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8D8" w:rsidRPr="007417D2" w:rsidRDefault="006F38D8" w:rsidP="007417D2">
      <w:pPr>
        <w:spacing w:line="360" w:lineRule="auto"/>
        <w:rPr>
          <w:rFonts w:ascii="Book Antiqua" w:hAnsi="Book Antiqua"/>
          <w:b/>
          <w:sz w:val="24"/>
        </w:rPr>
      </w:pPr>
      <w:r w:rsidRPr="007417D2">
        <w:rPr>
          <w:rFonts w:ascii="Book Antiqua" w:hAnsi="Book Antiqua"/>
          <w:b/>
          <w:sz w:val="24"/>
        </w:rPr>
        <w:t xml:space="preserve">Name of journal: </w:t>
      </w:r>
      <w:r w:rsidRPr="00B5219F">
        <w:rPr>
          <w:rFonts w:ascii="Book Antiqua" w:hAnsi="Book Antiqua"/>
          <w:b/>
          <w:i/>
          <w:sz w:val="24"/>
        </w:rPr>
        <w:t>World Journal of Diabetes</w:t>
      </w:r>
    </w:p>
    <w:p w:rsidR="006F38D8" w:rsidRPr="007417D2" w:rsidRDefault="006F38D8" w:rsidP="007417D2">
      <w:pPr>
        <w:spacing w:line="360" w:lineRule="auto"/>
        <w:rPr>
          <w:rFonts w:ascii="Book Antiqua" w:hAnsi="Book Antiqua"/>
          <w:b/>
          <w:sz w:val="24"/>
        </w:rPr>
      </w:pPr>
      <w:r w:rsidRPr="007417D2">
        <w:rPr>
          <w:rFonts w:ascii="Book Antiqua" w:hAnsi="Book Antiqua"/>
          <w:b/>
          <w:sz w:val="24"/>
        </w:rPr>
        <w:t>ESPS Manuscript NO: 19395</w:t>
      </w:r>
    </w:p>
    <w:p w:rsidR="006F38D8" w:rsidRPr="007417D2" w:rsidRDefault="007417D2" w:rsidP="007417D2">
      <w:pPr>
        <w:spacing w:line="360" w:lineRule="auto"/>
        <w:rPr>
          <w:rFonts w:ascii="Book Antiqua" w:hAnsi="Book Antiqua"/>
          <w:b/>
          <w:sz w:val="24"/>
        </w:rPr>
      </w:pPr>
      <w:r w:rsidRPr="007417D2">
        <w:rPr>
          <w:rFonts w:ascii="Book Antiqua" w:hAnsi="Book Antiqua"/>
          <w:b/>
          <w:sz w:val="24"/>
        </w:rPr>
        <w:t>Manuscript Type:</w:t>
      </w:r>
      <w:r w:rsidR="006F38D8" w:rsidRPr="007417D2">
        <w:rPr>
          <w:rFonts w:ascii="Book Antiqua" w:eastAsia="幼圆" w:hAnsi="Book Antiqua"/>
          <w:b/>
          <w:sz w:val="24"/>
        </w:rPr>
        <w:t xml:space="preserve"> REVIEW</w:t>
      </w:r>
    </w:p>
    <w:p w:rsidR="006F38D8" w:rsidRPr="007417D2" w:rsidRDefault="006F38D8" w:rsidP="007417D2">
      <w:pPr>
        <w:spacing w:line="360" w:lineRule="auto"/>
        <w:rPr>
          <w:rFonts w:ascii="Book Antiqua" w:eastAsia="幼圆" w:hAnsi="Book Antiqua"/>
          <w:sz w:val="24"/>
        </w:rPr>
      </w:pPr>
    </w:p>
    <w:p w:rsidR="006F38D8" w:rsidRPr="007417D2" w:rsidRDefault="006F38D8" w:rsidP="007417D2">
      <w:pPr>
        <w:spacing w:line="360" w:lineRule="auto"/>
        <w:rPr>
          <w:rFonts w:ascii="Book Antiqua" w:eastAsia="幼圆" w:hAnsi="Book Antiqua"/>
          <w:b/>
          <w:sz w:val="24"/>
        </w:rPr>
      </w:pPr>
      <w:r w:rsidRPr="007417D2">
        <w:rPr>
          <w:rFonts w:ascii="Book Antiqua" w:eastAsia="幼圆" w:hAnsi="Book Antiqua"/>
          <w:b/>
          <w:sz w:val="24"/>
        </w:rPr>
        <w:t>Molecular and biochemical trajectories from diabetes to Alzheimer’s disease: A critical appraisal</w:t>
      </w:r>
    </w:p>
    <w:p w:rsidR="006F38D8" w:rsidRPr="007417D2" w:rsidRDefault="006F38D8" w:rsidP="007417D2">
      <w:pPr>
        <w:spacing w:line="360" w:lineRule="auto"/>
        <w:rPr>
          <w:rFonts w:ascii="Book Antiqua" w:eastAsia="幼圆" w:hAnsi="Book Antiqua"/>
          <w:i/>
          <w:sz w:val="24"/>
        </w:rPr>
      </w:pPr>
    </w:p>
    <w:p w:rsidR="006F38D8" w:rsidRPr="007417D2" w:rsidRDefault="006F38D8" w:rsidP="007417D2">
      <w:pPr>
        <w:spacing w:line="360" w:lineRule="auto"/>
        <w:rPr>
          <w:rFonts w:ascii="Book Antiqua" w:eastAsia="幼圆" w:hAnsi="Book Antiqua"/>
          <w:sz w:val="24"/>
        </w:rPr>
      </w:pPr>
      <w:r w:rsidRPr="007417D2">
        <w:rPr>
          <w:rFonts w:ascii="Book Antiqua" w:eastAsia="幼圆" w:hAnsi="Book Antiqua"/>
          <w:sz w:val="24"/>
        </w:rPr>
        <w:t xml:space="preserve">Sandhir R </w:t>
      </w:r>
      <w:r w:rsidRPr="007417D2">
        <w:rPr>
          <w:rFonts w:ascii="Book Antiqua" w:eastAsia="幼圆" w:hAnsi="Book Antiqua"/>
          <w:i/>
          <w:sz w:val="24"/>
        </w:rPr>
        <w:t>et al.</w:t>
      </w:r>
      <w:r w:rsidRPr="007417D2">
        <w:rPr>
          <w:rFonts w:ascii="Book Antiqua" w:eastAsia="幼圆" w:hAnsi="Book Antiqua"/>
          <w:sz w:val="24"/>
        </w:rPr>
        <w:t xml:space="preserve"> Twin mystery of Alzheimer’s disease and diabetes</w:t>
      </w:r>
    </w:p>
    <w:p w:rsidR="006F38D8" w:rsidRPr="007417D2" w:rsidRDefault="006F38D8" w:rsidP="007417D2">
      <w:pPr>
        <w:spacing w:line="360" w:lineRule="auto"/>
        <w:rPr>
          <w:rFonts w:ascii="Book Antiqua" w:eastAsia="幼圆" w:hAnsi="Book Antiqua"/>
          <w:i/>
          <w:sz w:val="24"/>
        </w:rPr>
      </w:pPr>
    </w:p>
    <w:p w:rsidR="006F38D8" w:rsidRPr="00B5219F" w:rsidRDefault="006F38D8" w:rsidP="007417D2">
      <w:pPr>
        <w:spacing w:line="360" w:lineRule="auto"/>
        <w:rPr>
          <w:rFonts w:ascii="Book Antiqua" w:eastAsia="幼圆" w:hAnsi="Book Antiqua"/>
          <w:b/>
          <w:sz w:val="24"/>
        </w:rPr>
      </w:pPr>
      <w:r w:rsidRPr="00B5219F">
        <w:rPr>
          <w:rFonts w:ascii="Book Antiqua" w:eastAsia="幼圆" w:hAnsi="Book Antiqua"/>
          <w:b/>
          <w:sz w:val="24"/>
        </w:rPr>
        <w:t>Rajat Sandhir, Smriti Gupta</w:t>
      </w:r>
    </w:p>
    <w:p w:rsidR="006F38D8" w:rsidRPr="007417D2" w:rsidRDefault="006F38D8" w:rsidP="007417D2">
      <w:pPr>
        <w:spacing w:line="360" w:lineRule="auto"/>
        <w:rPr>
          <w:rFonts w:ascii="Book Antiqua" w:eastAsia="幼圆" w:hAnsi="Book Antiqua"/>
          <w:i/>
          <w:sz w:val="24"/>
        </w:rPr>
      </w:pPr>
    </w:p>
    <w:p w:rsidR="006F38D8" w:rsidRPr="007417D2" w:rsidRDefault="006F38D8" w:rsidP="007417D2">
      <w:pPr>
        <w:spacing w:line="360" w:lineRule="auto"/>
        <w:rPr>
          <w:rFonts w:ascii="Book Antiqua" w:eastAsia="幼圆" w:hAnsi="Book Antiqua"/>
          <w:b/>
          <w:sz w:val="24"/>
        </w:rPr>
      </w:pPr>
      <w:r w:rsidRPr="007417D2">
        <w:rPr>
          <w:rFonts w:ascii="Book Antiqua" w:eastAsia="幼圆" w:hAnsi="Book Antiqua"/>
          <w:b/>
          <w:sz w:val="24"/>
        </w:rPr>
        <w:t xml:space="preserve">Rajat Sandhir, Smriti Gupta, </w:t>
      </w:r>
      <w:r w:rsidRPr="007417D2">
        <w:rPr>
          <w:rFonts w:ascii="Book Antiqua" w:hAnsi="Book Antiqua"/>
          <w:sz w:val="24"/>
        </w:rPr>
        <w:t>Department of Biochemistry, Panjab University, Chandigarh 160014, India</w:t>
      </w:r>
    </w:p>
    <w:p w:rsidR="006F38D8" w:rsidRPr="007417D2" w:rsidRDefault="006F38D8" w:rsidP="007417D2">
      <w:pPr>
        <w:tabs>
          <w:tab w:val="center" w:pos="-540"/>
        </w:tabs>
        <w:spacing w:line="360" w:lineRule="auto"/>
        <w:rPr>
          <w:rFonts w:ascii="Book Antiqua" w:hAnsi="Book Antiqua"/>
          <w:b/>
          <w:sz w:val="24"/>
        </w:rPr>
      </w:pPr>
    </w:p>
    <w:p w:rsidR="006F38D8" w:rsidRPr="007417D2" w:rsidRDefault="006F38D8" w:rsidP="007417D2">
      <w:pPr>
        <w:tabs>
          <w:tab w:val="center" w:pos="-540"/>
        </w:tabs>
        <w:spacing w:line="360" w:lineRule="auto"/>
        <w:rPr>
          <w:rFonts w:ascii="Book Antiqua" w:hAnsi="Book Antiqua"/>
          <w:sz w:val="24"/>
        </w:rPr>
      </w:pPr>
      <w:r w:rsidRPr="007417D2">
        <w:rPr>
          <w:rFonts w:ascii="Book Antiqua" w:hAnsi="Book Antiqua"/>
          <w:b/>
          <w:sz w:val="24"/>
        </w:rPr>
        <w:t xml:space="preserve">Author contributions: </w:t>
      </w:r>
      <w:r w:rsidRPr="007417D2">
        <w:rPr>
          <w:rFonts w:ascii="Book Antiqua" w:hAnsi="Book Antiqua"/>
          <w:sz w:val="24"/>
        </w:rPr>
        <w:t>Sandhir R and Gupta S</w:t>
      </w:r>
      <w:r w:rsidRPr="007417D2">
        <w:rPr>
          <w:rFonts w:ascii="Book Antiqua" w:hAnsi="Book Antiqua"/>
          <w:spacing w:val="-5"/>
          <w:sz w:val="24"/>
        </w:rPr>
        <w:t xml:space="preserve"> contributed to this paper.</w:t>
      </w:r>
    </w:p>
    <w:p w:rsidR="006F38D8" w:rsidRPr="007417D2" w:rsidRDefault="006F38D8" w:rsidP="007417D2">
      <w:pPr>
        <w:spacing w:line="360" w:lineRule="auto"/>
        <w:rPr>
          <w:rFonts w:ascii="Book Antiqua" w:hAnsi="Book Antiqua"/>
          <w:b/>
          <w:sz w:val="24"/>
        </w:rPr>
      </w:pPr>
    </w:p>
    <w:p w:rsidR="006F38D8" w:rsidRPr="007417D2" w:rsidRDefault="007417D2" w:rsidP="007417D2">
      <w:pPr>
        <w:spacing w:line="360" w:lineRule="auto"/>
        <w:rPr>
          <w:rFonts w:ascii="Book Antiqua" w:hAnsi="Book Antiqua" w:cs="Garamond"/>
          <w:color w:val="000000"/>
          <w:sz w:val="24"/>
        </w:rPr>
      </w:pPr>
      <w:r w:rsidRPr="007417D2">
        <w:rPr>
          <w:rFonts w:ascii="Book Antiqua" w:hAnsi="Book Antiqua" w:cs="TimesNewRomanPS-BoldItalicMT"/>
          <w:b/>
          <w:bCs/>
          <w:iCs/>
          <w:color w:val="000000"/>
          <w:sz w:val="24"/>
        </w:rPr>
        <w:t>Conflict-of-interest</w:t>
      </w:r>
      <w:r w:rsidRPr="007417D2">
        <w:rPr>
          <w:rFonts w:ascii="Book Antiqua" w:hAnsi="Book Antiqua"/>
          <w:sz w:val="24"/>
        </w:rPr>
        <w:t xml:space="preserve"> </w:t>
      </w:r>
      <w:r w:rsidRPr="007417D2">
        <w:rPr>
          <w:rFonts w:ascii="Book Antiqua" w:hAnsi="Book Antiqua" w:cs="TimesNewRomanPS-BoldItalicMT"/>
          <w:b/>
          <w:bCs/>
          <w:iCs/>
          <w:color w:val="000000"/>
          <w:sz w:val="24"/>
        </w:rPr>
        <w:t xml:space="preserve">statement: </w:t>
      </w:r>
      <w:r w:rsidR="006F38D8" w:rsidRPr="007417D2">
        <w:rPr>
          <w:rFonts w:ascii="Book Antiqua" w:hAnsi="Book Antiqua"/>
          <w:sz w:val="24"/>
        </w:rPr>
        <w:t>Authors have no conflict of interest.</w:t>
      </w:r>
    </w:p>
    <w:p w:rsidR="006F38D8" w:rsidRPr="007417D2" w:rsidRDefault="006F38D8" w:rsidP="007417D2">
      <w:pPr>
        <w:spacing w:line="360" w:lineRule="auto"/>
        <w:rPr>
          <w:rFonts w:ascii="Book Antiqua" w:hAnsi="Book Antiqua" w:cs="Garamond"/>
          <w:sz w:val="24"/>
        </w:rPr>
      </w:pPr>
    </w:p>
    <w:p w:rsidR="007417D2" w:rsidRPr="007417D2" w:rsidRDefault="007417D2" w:rsidP="007417D2">
      <w:pPr>
        <w:spacing w:line="360" w:lineRule="auto"/>
        <w:rPr>
          <w:rFonts w:ascii="Book Antiqua" w:hAnsi="Book Antiqua"/>
          <w:sz w:val="24"/>
        </w:rPr>
      </w:pPr>
      <w:bookmarkStart w:id="0" w:name="OLE_LINK507"/>
      <w:bookmarkStart w:id="1" w:name="OLE_LINK506"/>
      <w:bookmarkStart w:id="2" w:name="OLE_LINK496"/>
      <w:bookmarkStart w:id="3" w:name="OLE_LINK479"/>
      <w:r w:rsidRPr="007417D2">
        <w:rPr>
          <w:rFonts w:ascii="Book Antiqua" w:hAnsi="Book Antiqua"/>
          <w:b/>
          <w:sz w:val="24"/>
        </w:rPr>
        <w:t xml:space="preserve">Open-Access: </w:t>
      </w:r>
      <w:r w:rsidRPr="007417D2">
        <w:rPr>
          <w:rFonts w:ascii="Book Antiqua" w:hAnsi="Book Antiqua"/>
          <w:sz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7417D2">
          <w:rPr>
            <w:rStyle w:val="Hyperlink"/>
            <w:rFonts w:ascii="Book Antiqua" w:hAnsi="Book Antiqua"/>
            <w:color w:val="auto"/>
            <w:sz w:val="24"/>
          </w:rPr>
          <w:t>http://creativecommons.org/licenses/by-nc/4.0/</w:t>
        </w:r>
      </w:hyperlink>
      <w:bookmarkEnd w:id="0"/>
      <w:bookmarkEnd w:id="1"/>
      <w:bookmarkEnd w:id="2"/>
      <w:bookmarkEnd w:id="3"/>
    </w:p>
    <w:p w:rsidR="006F38D8" w:rsidRPr="007417D2" w:rsidRDefault="006F38D8" w:rsidP="007417D2">
      <w:pPr>
        <w:spacing w:line="360" w:lineRule="auto"/>
        <w:rPr>
          <w:rFonts w:ascii="Book Antiqua" w:hAnsi="Book Antiqua"/>
          <w:b/>
          <w:sz w:val="24"/>
        </w:rPr>
      </w:pPr>
    </w:p>
    <w:p w:rsidR="006F38D8" w:rsidRPr="007417D2" w:rsidRDefault="006F38D8" w:rsidP="007417D2">
      <w:pPr>
        <w:spacing w:line="360" w:lineRule="auto"/>
        <w:rPr>
          <w:rFonts w:ascii="Book Antiqua" w:hAnsi="Book Antiqua"/>
          <w:b/>
          <w:sz w:val="24"/>
        </w:rPr>
      </w:pPr>
      <w:r w:rsidRPr="007417D2">
        <w:rPr>
          <w:rFonts w:ascii="Book Antiqua" w:hAnsi="Book Antiqua"/>
          <w:b/>
          <w:sz w:val="24"/>
        </w:rPr>
        <w:t>Correspondence to:</w:t>
      </w:r>
      <w:r w:rsidRPr="007417D2">
        <w:rPr>
          <w:rFonts w:ascii="Book Antiqua" w:eastAsia="幼圆" w:hAnsi="Book Antiqua"/>
          <w:sz w:val="24"/>
        </w:rPr>
        <w:t xml:space="preserve"> </w:t>
      </w:r>
      <w:r w:rsidRPr="007417D2">
        <w:rPr>
          <w:rFonts w:ascii="Book Antiqua" w:eastAsia="幼圆" w:hAnsi="Book Antiqua"/>
          <w:b/>
          <w:sz w:val="24"/>
        </w:rPr>
        <w:t>Rajat Sandhir,</w:t>
      </w:r>
      <w:r w:rsidRPr="007417D2">
        <w:rPr>
          <w:rFonts w:ascii="Book Antiqua" w:hAnsi="Book Antiqua"/>
          <w:b/>
          <w:sz w:val="24"/>
        </w:rPr>
        <w:t xml:space="preserve"> Professor, </w:t>
      </w:r>
      <w:r w:rsidRPr="007417D2">
        <w:rPr>
          <w:rFonts w:ascii="Book Antiqua" w:hAnsi="Book Antiqua"/>
          <w:sz w:val="24"/>
        </w:rPr>
        <w:t>Department of Biochemistry,</w:t>
      </w:r>
      <w:r w:rsidRPr="007417D2">
        <w:rPr>
          <w:rFonts w:ascii="Book Antiqua" w:hAnsi="Book Antiqua"/>
          <w:b/>
          <w:sz w:val="24"/>
        </w:rPr>
        <w:t xml:space="preserve"> </w:t>
      </w:r>
      <w:r w:rsidRPr="007417D2">
        <w:rPr>
          <w:rFonts w:ascii="Book Antiqua" w:hAnsi="Book Antiqua"/>
          <w:sz w:val="24"/>
        </w:rPr>
        <w:t>Panjab University,</w:t>
      </w:r>
      <w:r w:rsidRPr="007417D2">
        <w:rPr>
          <w:rFonts w:ascii="Book Antiqua" w:hAnsi="Book Antiqua" w:cs="Arial"/>
          <w:sz w:val="24"/>
        </w:rPr>
        <w:t xml:space="preserve"> Sector 14,</w:t>
      </w:r>
      <w:r w:rsidRPr="007417D2">
        <w:rPr>
          <w:rFonts w:ascii="Book Antiqua" w:hAnsi="Book Antiqua"/>
          <w:sz w:val="24"/>
        </w:rPr>
        <w:t xml:space="preserve"> Chandigarh 160014, India. sandhir@pu.ac.in</w:t>
      </w:r>
    </w:p>
    <w:p w:rsidR="006F38D8" w:rsidRPr="007417D2" w:rsidRDefault="006F38D8" w:rsidP="007417D2">
      <w:pPr>
        <w:spacing w:line="360" w:lineRule="auto"/>
        <w:rPr>
          <w:rFonts w:ascii="Book Antiqua" w:hAnsi="Book Antiqua"/>
          <w:b/>
          <w:sz w:val="24"/>
        </w:rPr>
      </w:pPr>
      <w:r w:rsidRPr="007417D2">
        <w:rPr>
          <w:rFonts w:ascii="Book Antiqua" w:hAnsi="Book Antiqua"/>
          <w:b/>
          <w:sz w:val="24"/>
        </w:rPr>
        <w:t>Telephone:</w:t>
      </w:r>
      <w:r w:rsidRPr="007417D2">
        <w:rPr>
          <w:rFonts w:ascii="Book Antiqua" w:hAnsi="Book Antiqua"/>
          <w:sz w:val="24"/>
        </w:rPr>
        <w:t xml:space="preserve"> +91-172-2534131-38</w:t>
      </w:r>
    </w:p>
    <w:p w:rsidR="006F38D8" w:rsidRPr="007417D2" w:rsidRDefault="006F38D8" w:rsidP="007417D2">
      <w:pPr>
        <w:spacing w:line="360" w:lineRule="auto"/>
        <w:rPr>
          <w:rFonts w:ascii="Book Antiqua" w:hAnsi="Book Antiqua"/>
          <w:b/>
          <w:sz w:val="24"/>
        </w:rPr>
      </w:pPr>
    </w:p>
    <w:p w:rsidR="006F38D8" w:rsidRPr="007417D2" w:rsidRDefault="006F38D8" w:rsidP="007417D2">
      <w:pPr>
        <w:spacing w:line="360" w:lineRule="auto"/>
        <w:rPr>
          <w:rFonts w:ascii="Book Antiqua" w:hAnsi="Book Antiqua"/>
          <w:b/>
          <w:sz w:val="24"/>
        </w:rPr>
      </w:pPr>
      <w:r w:rsidRPr="007417D2">
        <w:rPr>
          <w:rFonts w:ascii="Book Antiqua" w:hAnsi="Book Antiqua"/>
          <w:b/>
          <w:sz w:val="24"/>
        </w:rPr>
        <w:lastRenderedPageBreak/>
        <w:t xml:space="preserve">Received: </w:t>
      </w:r>
      <w:r w:rsidRPr="007417D2">
        <w:rPr>
          <w:rFonts w:ascii="Book Antiqua" w:hAnsi="Book Antiqua"/>
          <w:sz w:val="24"/>
        </w:rPr>
        <w:t xml:space="preserve">May 6, 2015 </w:t>
      </w:r>
    </w:p>
    <w:p w:rsidR="006F38D8" w:rsidRPr="007417D2" w:rsidRDefault="006F38D8" w:rsidP="007417D2">
      <w:pPr>
        <w:spacing w:line="360" w:lineRule="auto"/>
        <w:rPr>
          <w:rFonts w:ascii="Book Antiqua" w:hAnsi="Book Antiqua"/>
          <w:b/>
          <w:sz w:val="24"/>
        </w:rPr>
      </w:pPr>
      <w:r w:rsidRPr="007417D2">
        <w:rPr>
          <w:rFonts w:ascii="Book Antiqua" w:hAnsi="Book Antiqua"/>
          <w:b/>
          <w:sz w:val="24"/>
        </w:rPr>
        <w:t>Peer-review started:</w:t>
      </w:r>
      <w:r w:rsidRPr="007417D2">
        <w:rPr>
          <w:rFonts w:ascii="Book Antiqua" w:hAnsi="Book Antiqua"/>
          <w:sz w:val="24"/>
        </w:rPr>
        <w:t xml:space="preserve"> May 8, 2015</w:t>
      </w:r>
    </w:p>
    <w:p w:rsidR="006F38D8" w:rsidRPr="007417D2" w:rsidRDefault="006F38D8" w:rsidP="007417D2">
      <w:pPr>
        <w:spacing w:line="360" w:lineRule="auto"/>
        <w:rPr>
          <w:rFonts w:ascii="Book Antiqua" w:hAnsi="Book Antiqua"/>
          <w:b/>
          <w:sz w:val="24"/>
        </w:rPr>
      </w:pPr>
      <w:r w:rsidRPr="007417D2">
        <w:rPr>
          <w:rFonts w:ascii="Book Antiqua" w:hAnsi="Book Antiqua"/>
          <w:b/>
          <w:sz w:val="24"/>
        </w:rPr>
        <w:t>First decision:</w:t>
      </w:r>
      <w:r w:rsidRPr="007417D2">
        <w:rPr>
          <w:rFonts w:ascii="Book Antiqua" w:hAnsi="Book Antiqua"/>
          <w:sz w:val="24"/>
        </w:rPr>
        <w:t xml:space="preserve"> July 10, 2015 </w:t>
      </w:r>
    </w:p>
    <w:p w:rsidR="006F38D8" w:rsidRPr="007417D2" w:rsidRDefault="006F38D8" w:rsidP="007417D2">
      <w:pPr>
        <w:spacing w:line="360" w:lineRule="auto"/>
        <w:rPr>
          <w:rFonts w:ascii="Book Antiqua" w:hAnsi="Book Antiqua"/>
          <w:b/>
          <w:sz w:val="24"/>
        </w:rPr>
      </w:pPr>
      <w:r w:rsidRPr="007417D2">
        <w:rPr>
          <w:rFonts w:ascii="Book Antiqua" w:hAnsi="Book Antiqua"/>
          <w:b/>
          <w:sz w:val="24"/>
        </w:rPr>
        <w:t xml:space="preserve">Revised: </w:t>
      </w:r>
      <w:r w:rsidR="007417D2" w:rsidRPr="007417D2">
        <w:rPr>
          <w:rFonts w:ascii="Book Antiqua" w:hAnsi="Book Antiqua"/>
          <w:sz w:val="24"/>
        </w:rPr>
        <w:t xml:space="preserve">August </w:t>
      </w:r>
      <w:r w:rsidRPr="007417D2">
        <w:rPr>
          <w:rFonts w:ascii="Book Antiqua" w:hAnsi="Book Antiqua"/>
          <w:sz w:val="24"/>
        </w:rPr>
        <w:t>2</w:t>
      </w:r>
      <w:r w:rsidR="007417D2" w:rsidRPr="007417D2">
        <w:rPr>
          <w:rFonts w:ascii="Book Antiqua" w:hAnsi="Book Antiqua"/>
          <w:sz w:val="24"/>
        </w:rPr>
        <w:t>6</w:t>
      </w:r>
      <w:r w:rsidRPr="007417D2">
        <w:rPr>
          <w:rFonts w:ascii="Book Antiqua" w:hAnsi="Book Antiqua"/>
          <w:sz w:val="24"/>
        </w:rPr>
        <w:t>, 2015</w:t>
      </w:r>
    </w:p>
    <w:p w:rsidR="006F38D8" w:rsidRPr="00591AF8" w:rsidRDefault="006F38D8" w:rsidP="00591AF8">
      <w:pPr>
        <w:rPr>
          <w:rFonts w:ascii="Book Antiqua" w:hAnsi="Book Antiqua" w:cs="宋体"/>
          <w:sz w:val="24"/>
        </w:rPr>
      </w:pPr>
      <w:r w:rsidRPr="007417D2">
        <w:rPr>
          <w:rFonts w:ascii="Book Antiqua" w:hAnsi="Book Antiqua"/>
          <w:b/>
          <w:sz w:val="24"/>
        </w:rPr>
        <w:t>Accepted:</w:t>
      </w:r>
      <w:r w:rsidR="00D3592B">
        <w:rPr>
          <w:rFonts w:ascii="Book Antiqua" w:hAnsi="Book Antiqua"/>
          <w:b/>
          <w:sz w:val="24"/>
        </w:rPr>
        <w:t xml:space="preserve"> </w:t>
      </w:r>
      <w:r w:rsidR="00591AF8">
        <w:rPr>
          <w:rFonts w:ascii="Book Antiqua" w:hAnsi="Book Antiqua" w:cs="宋体"/>
          <w:sz w:val="24"/>
        </w:rPr>
        <w:t>September 7</w:t>
      </w:r>
      <w:r w:rsidR="00591AF8" w:rsidRPr="00AF30D4">
        <w:rPr>
          <w:rFonts w:ascii="Book Antiqua" w:hAnsi="Book Antiqua" w:cs="宋体"/>
          <w:sz w:val="24"/>
        </w:rPr>
        <w:t>,</w:t>
      </w:r>
      <w:r w:rsidR="00591AF8">
        <w:rPr>
          <w:rFonts w:ascii="Book Antiqua" w:hAnsi="Book Antiqua" w:cs="宋体"/>
          <w:sz w:val="24"/>
        </w:rPr>
        <w:t xml:space="preserve"> 2015</w:t>
      </w:r>
      <w:bookmarkStart w:id="4" w:name="_GoBack"/>
      <w:bookmarkEnd w:id="4"/>
    </w:p>
    <w:p w:rsidR="006F38D8" w:rsidRPr="007417D2" w:rsidRDefault="006F38D8" w:rsidP="007417D2">
      <w:pPr>
        <w:spacing w:line="360" w:lineRule="auto"/>
        <w:rPr>
          <w:rFonts w:ascii="Book Antiqua" w:hAnsi="Book Antiqua"/>
          <w:b/>
          <w:sz w:val="24"/>
        </w:rPr>
      </w:pPr>
      <w:r w:rsidRPr="007417D2">
        <w:rPr>
          <w:rFonts w:ascii="Book Antiqua" w:hAnsi="Book Antiqua"/>
          <w:b/>
          <w:sz w:val="24"/>
        </w:rPr>
        <w:t>Article in press:</w:t>
      </w:r>
    </w:p>
    <w:p w:rsidR="006F38D8" w:rsidRPr="007417D2" w:rsidRDefault="006F38D8" w:rsidP="007417D2">
      <w:pPr>
        <w:spacing w:line="360" w:lineRule="auto"/>
        <w:rPr>
          <w:rFonts w:ascii="Book Antiqua" w:hAnsi="Book Antiqua"/>
          <w:b/>
          <w:sz w:val="24"/>
        </w:rPr>
      </w:pPr>
      <w:r w:rsidRPr="007417D2">
        <w:rPr>
          <w:rFonts w:ascii="Book Antiqua" w:hAnsi="Book Antiqua"/>
          <w:b/>
          <w:sz w:val="24"/>
        </w:rPr>
        <w:t xml:space="preserve">Published online: </w:t>
      </w:r>
    </w:p>
    <w:p w:rsidR="008B2868" w:rsidRPr="007417D2" w:rsidRDefault="008B2868" w:rsidP="007417D2">
      <w:pPr>
        <w:widowControl/>
        <w:spacing w:line="360" w:lineRule="auto"/>
        <w:rPr>
          <w:rFonts w:ascii="Book Antiqua" w:hAnsi="Book Antiqua"/>
          <w:b/>
          <w:sz w:val="24"/>
        </w:rPr>
      </w:pPr>
      <w:r w:rsidRPr="007417D2">
        <w:rPr>
          <w:rFonts w:ascii="Book Antiqua" w:hAnsi="Book Antiqua"/>
          <w:b/>
          <w:sz w:val="24"/>
        </w:rPr>
        <w:br w:type="page"/>
      </w:r>
    </w:p>
    <w:p w:rsidR="008B2868" w:rsidRPr="007417D2" w:rsidRDefault="00FA235F" w:rsidP="007417D2">
      <w:pPr>
        <w:spacing w:line="360" w:lineRule="auto"/>
        <w:rPr>
          <w:rFonts w:ascii="Book Antiqua" w:hAnsi="Book Antiqua"/>
          <w:b/>
          <w:sz w:val="24"/>
        </w:rPr>
      </w:pPr>
      <w:r w:rsidRPr="007417D2">
        <w:rPr>
          <w:rFonts w:ascii="Book Antiqua" w:hAnsi="Book Antiqua"/>
          <w:b/>
          <w:sz w:val="24"/>
        </w:rPr>
        <w:lastRenderedPageBreak/>
        <w:t>Abstract</w:t>
      </w:r>
    </w:p>
    <w:p w:rsidR="00FA235F" w:rsidRPr="007417D2" w:rsidRDefault="00FA235F" w:rsidP="007417D2">
      <w:pPr>
        <w:spacing w:line="360" w:lineRule="auto"/>
        <w:rPr>
          <w:rFonts w:ascii="Book Antiqua" w:hAnsi="Book Antiqua"/>
          <w:sz w:val="24"/>
        </w:rPr>
      </w:pPr>
      <w:r w:rsidRPr="007417D2">
        <w:rPr>
          <w:rFonts w:ascii="Book Antiqua" w:hAnsi="Book Antiqua"/>
          <w:sz w:val="24"/>
        </w:rPr>
        <w:t xml:space="preserve">Diabetes mellitus (DM), a metabolic disorder is a major orchestra influencing brain and behavioral responses via direct or indirect mechanisms. Many lines of evidence suggest that diabetic patients apparently face severe brain complications, but the story is far from being fully understood. Type 2 diabetes, an </w:t>
      </w:r>
      <w:proofErr w:type="gramStart"/>
      <w:r w:rsidRPr="007417D2">
        <w:rPr>
          <w:rFonts w:ascii="Book Antiqua" w:hAnsi="Book Antiqua"/>
          <w:sz w:val="24"/>
        </w:rPr>
        <w:t>ever increasing</w:t>
      </w:r>
      <w:proofErr w:type="gramEnd"/>
      <w:r w:rsidRPr="007417D2">
        <w:rPr>
          <w:rFonts w:ascii="Book Antiqua" w:hAnsi="Book Antiqua"/>
          <w:sz w:val="24"/>
        </w:rPr>
        <w:t xml:space="preserve"> epidemic and its chronic brain complications are implicated in the development of Alzheimer’s disease (AD). Evidences from clinical and experimental studies suggest that insulin draws a clear trajectory from the peripheral system to the central nervous system. This review is a spot light on striking pathological, biochemical, molecular and behavioral commonalities of AD and DM. Incidence of cognitive decline in diabetic patients and diabetic symptoms in AD patients has brought the concept of brain diabetes to attention. Brain diabetes reflects insulin resistance brain state with oxidative stress, cognitive impairment, activation of various inflammatory cascade and mitochondrial vulnerability as a shared footprint of AD and DM. It has become extremely important for the investigators to understand the patho-physiology of brain complications in diabetes and put intensive pursuits for therapeutic interventions. </w:t>
      </w:r>
      <w:proofErr w:type="gramStart"/>
      <w:r w:rsidRPr="007417D2">
        <w:rPr>
          <w:rFonts w:ascii="Book Antiqua" w:hAnsi="Book Antiqua"/>
          <w:sz w:val="24"/>
        </w:rPr>
        <w:t>Although, decades of research have yielded a range of molecules with potential beneficial effects, but they are yet to meet the expectations.</w:t>
      </w:r>
      <w:proofErr w:type="gramEnd"/>
      <w:r w:rsidRPr="007417D2">
        <w:rPr>
          <w:rFonts w:ascii="Book Antiqua" w:hAnsi="Book Antiqua"/>
          <w:sz w:val="24"/>
        </w:rPr>
        <w:t xml:space="preserve"> </w:t>
      </w:r>
    </w:p>
    <w:p w:rsidR="00065317" w:rsidRPr="007417D2" w:rsidRDefault="00065317" w:rsidP="007417D2">
      <w:pPr>
        <w:spacing w:line="360" w:lineRule="auto"/>
        <w:rPr>
          <w:rFonts w:ascii="Book Antiqua" w:hAnsi="Book Antiqua"/>
          <w:b/>
          <w:sz w:val="24"/>
        </w:rPr>
      </w:pPr>
    </w:p>
    <w:p w:rsidR="00FA235F" w:rsidRPr="007417D2" w:rsidRDefault="00FA235F" w:rsidP="007417D2">
      <w:pPr>
        <w:spacing w:line="360" w:lineRule="auto"/>
        <w:rPr>
          <w:rFonts w:ascii="Book Antiqua" w:hAnsi="Book Antiqua"/>
          <w:sz w:val="24"/>
        </w:rPr>
      </w:pPr>
      <w:r w:rsidRPr="007417D2">
        <w:rPr>
          <w:rFonts w:ascii="Book Antiqua" w:hAnsi="Book Antiqua"/>
          <w:b/>
          <w:sz w:val="24"/>
        </w:rPr>
        <w:t>Key</w:t>
      </w:r>
      <w:r w:rsidR="00947F0A" w:rsidRPr="007417D2">
        <w:rPr>
          <w:rFonts w:ascii="Book Antiqua" w:hAnsi="Book Antiqua"/>
          <w:b/>
          <w:sz w:val="24"/>
        </w:rPr>
        <w:t xml:space="preserve"> </w:t>
      </w:r>
      <w:r w:rsidRPr="007417D2">
        <w:rPr>
          <w:rFonts w:ascii="Book Antiqua" w:hAnsi="Book Antiqua"/>
          <w:b/>
          <w:sz w:val="24"/>
        </w:rPr>
        <w:t>words:</w:t>
      </w:r>
      <w:r w:rsidR="008B2868" w:rsidRPr="007417D2">
        <w:rPr>
          <w:rFonts w:ascii="Book Antiqua" w:hAnsi="Book Antiqua"/>
          <w:b/>
          <w:sz w:val="24"/>
        </w:rPr>
        <w:t xml:space="preserve"> </w:t>
      </w:r>
      <w:r w:rsidR="008B2868" w:rsidRPr="007417D2">
        <w:rPr>
          <w:rFonts w:ascii="Book Antiqua" w:hAnsi="Book Antiqua"/>
          <w:sz w:val="24"/>
        </w:rPr>
        <w:t>Diabetes mellitus; Alzheimer’s disease;</w:t>
      </w:r>
      <w:r w:rsidRPr="007417D2">
        <w:rPr>
          <w:rFonts w:ascii="Book Antiqua" w:hAnsi="Book Antiqua"/>
          <w:sz w:val="24"/>
        </w:rPr>
        <w:t xml:space="preserve"> Insulin</w:t>
      </w:r>
      <w:r w:rsidR="008B2868" w:rsidRPr="007417D2">
        <w:rPr>
          <w:rFonts w:ascii="Book Antiqua" w:hAnsi="Book Antiqua"/>
          <w:sz w:val="24"/>
        </w:rPr>
        <w:t xml:space="preserve">; Type 2 diabetes; </w:t>
      </w:r>
      <w:r w:rsidRPr="007417D2">
        <w:rPr>
          <w:rFonts w:ascii="Book Antiqua" w:hAnsi="Book Antiqua"/>
          <w:sz w:val="24"/>
        </w:rPr>
        <w:t>T</w:t>
      </w:r>
      <w:r w:rsidR="008B2868" w:rsidRPr="007417D2">
        <w:rPr>
          <w:rFonts w:ascii="Book Antiqua" w:hAnsi="Book Antiqua"/>
          <w:sz w:val="24"/>
        </w:rPr>
        <w:t>ype 3 diabetes</w:t>
      </w:r>
    </w:p>
    <w:p w:rsidR="00FA235F" w:rsidRPr="007417D2" w:rsidRDefault="00FA235F" w:rsidP="007417D2">
      <w:pPr>
        <w:spacing w:line="360" w:lineRule="auto"/>
        <w:rPr>
          <w:rFonts w:ascii="Book Antiqua" w:hAnsi="Book Antiqua"/>
          <w:sz w:val="24"/>
        </w:rPr>
      </w:pPr>
    </w:p>
    <w:p w:rsidR="00947F0A" w:rsidRPr="007417D2" w:rsidRDefault="00947F0A" w:rsidP="007417D2">
      <w:pPr>
        <w:spacing w:line="360" w:lineRule="auto"/>
        <w:rPr>
          <w:rFonts w:ascii="Book Antiqua" w:hAnsi="Book Antiqua" w:cs="Arial"/>
          <w:sz w:val="24"/>
        </w:rPr>
      </w:pPr>
      <w:proofErr w:type="gramStart"/>
      <w:r w:rsidRPr="007417D2">
        <w:rPr>
          <w:rFonts w:ascii="Book Antiqua" w:hAnsi="Book Antiqua"/>
          <w:b/>
          <w:sz w:val="24"/>
        </w:rPr>
        <w:t xml:space="preserve">© </w:t>
      </w:r>
      <w:r w:rsidRPr="007417D2">
        <w:rPr>
          <w:rFonts w:ascii="Book Antiqua" w:hAnsi="Book Antiqua" w:cs="Arial"/>
          <w:b/>
          <w:sz w:val="24"/>
        </w:rPr>
        <w:t>The Author(s) 2015.</w:t>
      </w:r>
      <w:proofErr w:type="gramEnd"/>
      <w:r w:rsidRPr="007417D2">
        <w:rPr>
          <w:rFonts w:ascii="Book Antiqua" w:hAnsi="Book Antiqua" w:cs="Arial"/>
          <w:sz w:val="24"/>
        </w:rPr>
        <w:t xml:space="preserve"> Published by Baishideng Publishing Group Inc. All rights reserved.</w:t>
      </w:r>
    </w:p>
    <w:p w:rsidR="00065317" w:rsidRPr="007417D2" w:rsidRDefault="00065317" w:rsidP="007417D2">
      <w:pPr>
        <w:spacing w:line="360" w:lineRule="auto"/>
        <w:rPr>
          <w:rFonts w:ascii="Book Antiqua" w:hAnsi="Book Antiqua"/>
          <w:sz w:val="24"/>
        </w:rPr>
      </w:pPr>
    </w:p>
    <w:p w:rsidR="00FA235F" w:rsidRPr="007417D2" w:rsidRDefault="00FA235F" w:rsidP="007417D2">
      <w:pPr>
        <w:spacing w:line="360" w:lineRule="auto"/>
        <w:rPr>
          <w:rFonts w:ascii="Book Antiqua" w:hAnsi="Book Antiqua"/>
          <w:b/>
          <w:sz w:val="24"/>
        </w:rPr>
      </w:pPr>
      <w:r w:rsidRPr="007417D2">
        <w:rPr>
          <w:rFonts w:ascii="Book Antiqua" w:hAnsi="Book Antiqua"/>
          <w:b/>
          <w:sz w:val="24"/>
        </w:rPr>
        <w:t>Co</w:t>
      </w:r>
      <w:r w:rsidR="00947F0A" w:rsidRPr="007417D2">
        <w:rPr>
          <w:rFonts w:ascii="Book Antiqua" w:hAnsi="Book Antiqua"/>
          <w:b/>
          <w:sz w:val="24"/>
        </w:rPr>
        <w:t xml:space="preserve">re </w:t>
      </w:r>
      <w:r w:rsidRPr="007417D2">
        <w:rPr>
          <w:rFonts w:ascii="Book Antiqua" w:hAnsi="Book Antiqua"/>
          <w:b/>
          <w:sz w:val="24"/>
        </w:rPr>
        <w:t xml:space="preserve">tip: </w:t>
      </w:r>
      <w:r w:rsidRPr="007417D2">
        <w:rPr>
          <w:rFonts w:ascii="Book Antiqua" w:hAnsi="Book Antiqua"/>
          <w:sz w:val="24"/>
        </w:rPr>
        <w:t xml:space="preserve">This review provides a synopsis in which a metabolic disturbance becomes indispensible for life and emerges as a molecular signal defect leading to a syndrome with multiple complications. Insulin is a spotlight player which draws a trajectory from diabetes to </w:t>
      </w:r>
      <w:r w:rsidR="00947F0A" w:rsidRPr="007417D2">
        <w:rPr>
          <w:rFonts w:ascii="Book Antiqua" w:hAnsi="Book Antiqua"/>
          <w:sz w:val="24"/>
        </w:rPr>
        <w:t>Alzheimer’s disease</w:t>
      </w:r>
      <w:r w:rsidRPr="007417D2">
        <w:rPr>
          <w:rFonts w:ascii="Book Antiqua" w:hAnsi="Book Antiqua"/>
          <w:sz w:val="24"/>
        </w:rPr>
        <w:t xml:space="preserve"> with multiple divergence and convergence. We have discussed their interplay to speculate their shared molecular footprints. These </w:t>
      </w:r>
      <w:r w:rsidRPr="007417D2">
        <w:rPr>
          <w:rFonts w:ascii="Book Antiqua" w:hAnsi="Book Antiqua"/>
          <w:sz w:val="24"/>
        </w:rPr>
        <w:lastRenderedPageBreak/>
        <w:t xml:space="preserve">biochemical and molecular commonalities provide a clue to the investigators to look inside a therapy with a common experimental and clinical platform and emerges new interventions as future perspective to find a potential stone to kill two birds together. </w:t>
      </w:r>
    </w:p>
    <w:p w:rsidR="00C241F8" w:rsidRPr="007417D2" w:rsidRDefault="00C241F8" w:rsidP="007417D2">
      <w:pPr>
        <w:spacing w:line="360" w:lineRule="auto"/>
        <w:rPr>
          <w:rFonts w:ascii="Book Antiqua" w:eastAsia="幼圆" w:hAnsi="Book Antiqua"/>
          <w:i/>
          <w:sz w:val="24"/>
        </w:rPr>
      </w:pPr>
    </w:p>
    <w:p w:rsidR="00947F0A" w:rsidRPr="007417D2" w:rsidRDefault="00947F0A" w:rsidP="007417D2">
      <w:pPr>
        <w:spacing w:line="360" w:lineRule="auto"/>
        <w:rPr>
          <w:rFonts w:ascii="Book Antiqua" w:eastAsia="幼圆" w:hAnsi="Book Antiqua"/>
          <w:sz w:val="24"/>
        </w:rPr>
      </w:pPr>
      <w:r w:rsidRPr="007417D2">
        <w:rPr>
          <w:rFonts w:ascii="Book Antiqua" w:eastAsia="幼圆" w:hAnsi="Book Antiqua"/>
          <w:sz w:val="24"/>
        </w:rPr>
        <w:t xml:space="preserve">Sandhir R, Gupta S. Molecular and biochemical trajectories from diabetes to Alzheimer’s disease: A critical appraisal. </w:t>
      </w:r>
      <w:r w:rsidRPr="007417D2">
        <w:rPr>
          <w:rFonts w:ascii="Book Antiqua" w:hAnsi="Book Antiqua"/>
          <w:i/>
          <w:iCs/>
          <w:sz w:val="24"/>
        </w:rPr>
        <w:t xml:space="preserve">World J Diabetes </w:t>
      </w:r>
      <w:r w:rsidRPr="007417D2">
        <w:rPr>
          <w:rFonts w:ascii="Book Antiqua" w:hAnsi="Book Antiqua"/>
          <w:iCs/>
          <w:sz w:val="24"/>
        </w:rPr>
        <w:t xml:space="preserve">2015; </w:t>
      </w:r>
      <w:proofErr w:type="gramStart"/>
      <w:r w:rsidRPr="007417D2">
        <w:rPr>
          <w:rFonts w:ascii="Book Antiqua" w:hAnsi="Book Antiqua"/>
          <w:iCs/>
          <w:sz w:val="24"/>
        </w:rPr>
        <w:t>In</w:t>
      </w:r>
      <w:proofErr w:type="gramEnd"/>
      <w:r w:rsidRPr="007417D2">
        <w:rPr>
          <w:rFonts w:ascii="Book Antiqua" w:hAnsi="Book Antiqua"/>
          <w:iCs/>
          <w:sz w:val="24"/>
        </w:rPr>
        <w:t xml:space="preserve"> press</w:t>
      </w:r>
    </w:p>
    <w:p w:rsidR="00FA235F" w:rsidRPr="007417D2" w:rsidRDefault="00FA235F" w:rsidP="007417D2">
      <w:pPr>
        <w:spacing w:line="360" w:lineRule="auto"/>
        <w:rPr>
          <w:rFonts w:ascii="Book Antiqua" w:hAnsi="Book Antiqua"/>
          <w:b/>
          <w:sz w:val="24"/>
        </w:rPr>
      </w:pPr>
    </w:p>
    <w:p w:rsidR="00947F0A" w:rsidRPr="007417D2" w:rsidRDefault="00947F0A" w:rsidP="007417D2">
      <w:pPr>
        <w:widowControl/>
        <w:spacing w:line="360" w:lineRule="auto"/>
        <w:rPr>
          <w:rFonts w:ascii="Book Antiqua" w:hAnsi="Book Antiqua"/>
          <w:b/>
          <w:sz w:val="24"/>
        </w:rPr>
      </w:pPr>
      <w:r w:rsidRPr="007417D2">
        <w:rPr>
          <w:rFonts w:ascii="Book Antiqua" w:hAnsi="Book Antiqua"/>
          <w:b/>
          <w:sz w:val="24"/>
        </w:rPr>
        <w:br w:type="page"/>
      </w:r>
    </w:p>
    <w:p w:rsidR="00FA235F" w:rsidRPr="007417D2" w:rsidRDefault="00FA235F" w:rsidP="007417D2">
      <w:pPr>
        <w:spacing w:line="360" w:lineRule="auto"/>
        <w:rPr>
          <w:rFonts w:ascii="Book Antiqua" w:hAnsi="Book Antiqua"/>
          <w:b/>
          <w:sz w:val="24"/>
        </w:rPr>
      </w:pPr>
      <w:r w:rsidRPr="007417D2">
        <w:rPr>
          <w:rFonts w:ascii="Book Antiqua" w:hAnsi="Book Antiqua"/>
          <w:b/>
          <w:sz w:val="24"/>
        </w:rPr>
        <w:lastRenderedPageBreak/>
        <w:t>INTRODUCTION</w:t>
      </w:r>
    </w:p>
    <w:p w:rsidR="00065317" w:rsidRPr="007417D2" w:rsidRDefault="00FA235F" w:rsidP="007417D2">
      <w:pPr>
        <w:spacing w:line="360" w:lineRule="auto"/>
        <w:rPr>
          <w:rFonts w:ascii="Book Antiqua" w:hAnsi="Book Antiqua"/>
          <w:sz w:val="24"/>
        </w:rPr>
      </w:pPr>
      <w:r w:rsidRPr="007417D2">
        <w:rPr>
          <w:rFonts w:ascii="Book Antiqua" w:hAnsi="Book Antiqua"/>
          <w:sz w:val="24"/>
        </w:rPr>
        <w:t>Every human cell relies on a complex set of programs installed during ontogeny.</w:t>
      </w:r>
      <w:r w:rsidR="00D3592B">
        <w:rPr>
          <w:rFonts w:ascii="Book Antiqua" w:hAnsi="Book Antiqua"/>
          <w:sz w:val="24"/>
        </w:rPr>
        <w:t xml:space="preserve"> </w:t>
      </w:r>
      <w:r w:rsidRPr="007417D2">
        <w:rPr>
          <w:rFonts w:ascii="Book Antiqua" w:hAnsi="Book Antiqua"/>
          <w:sz w:val="24"/>
        </w:rPr>
        <w:t>These programs and commands over them are the two interfaces which need faultless execution for normal body physiology. Physiology, behavior and defense are three eventful networks, which are supposed to function in synchronicity. A defect in any of these three events alters rest of two without any delay. Diabetes is a complex disorder where a molecular compromise alters the physiology with significant changes in behavioral responses.</w:t>
      </w:r>
      <w:r w:rsidR="00D3592B">
        <w:rPr>
          <w:rFonts w:ascii="Book Antiqua" w:hAnsi="Book Antiqua"/>
          <w:sz w:val="24"/>
        </w:rPr>
        <w:t xml:space="preserve"> </w:t>
      </w:r>
    </w:p>
    <w:p w:rsidR="00065317" w:rsidRPr="007417D2" w:rsidRDefault="00FA235F" w:rsidP="001932D0">
      <w:pPr>
        <w:spacing w:line="360" w:lineRule="auto"/>
        <w:ind w:firstLineChars="100" w:firstLine="240"/>
        <w:rPr>
          <w:rFonts w:ascii="Book Antiqua" w:hAnsi="Book Antiqua"/>
          <w:sz w:val="24"/>
        </w:rPr>
      </w:pPr>
      <w:r w:rsidRPr="007417D2">
        <w:rPr>
          <w:rFonts w:ascii="Book Antiqua" w:hAnsi="Book Antiqua"/>
          <w:sz w:val="24"/>
        </w:rPr>
        <w:t>Diabetes is associated with the production of auto-antibodies against pancreatic β-cells</w:t>
      </w:r>
      <w:r w:rsidR="0007325F" w:rsidRPr="007417D2">
        <w:rPr>
          <w:rFonts w:ascii="Book Antiqua" w:hAnsi="Book Antiqua"/>
          <w:sz w:val="24"/>
        </w:rPr>
        <w:t>,</w:t>
      </w:r>
      <w:r w:rsidRPr="007417D2">
        <w:rPr>
          <w:rFonts w:ascii="Book Antiqua" w:hAnsi="Book Antiqua"/>
          <w:sz w:val="24"/>
        </w:rPr>
        <w:t xml:space="preserve"> </w:t>
      </w:r>
      <w:r w:rsidRPr="007417D2">
        <w:rPr>
          <w:rFonts w:ascii="Book Antiqua" w:hAnsi="Book Antiqua"/>
          <w:i/>
          <w:sz w:val="24"/>
        </w:rPr>
        <w:t>i.e.</w:t>
      </w:r>
      <w:r w:rsidR="0007325F" w:rsidRPr="007417D2">
        <w:rPr>
          <w:rFonts w:ascii="Book Antiqua" w:hAnsi="Book Antiqua"/>
          <w:sz w:val="24"/>
        </w:rPr>
        <w:t>,</w:t>
      </w:r>
      <w:r w:rsidRPr="007417D2">
        <w:rPr>
          <w:rFonts w:ascii="Book Antiqua" w:hAnsi="Book Antiqua"/>
          <w:sz w:val="24"/>
        </w:rPr>
        <w:t xml:space="preserve"> type 1 diabetes (T1D) or with insulin resistance (IR)</w:t>
      </w:r>
      <w:r w:rsidR="0007325F" w:rsidRPr="007417D2">
        <w:rPr>
          <w:rFonts w:ascii="Book Antiqua" w:hAnsi="Book Antiqua"/>
          <w:sz w:val="24"/>
        </w:rPr>
        <w:t>,</w:t>
      </w:r>
      <w:r w:rsidRPr="007417D2">
        <w:rPr>
          <w:rFonts w:ascii="Book Antiqua" w:hAnsi="Book Antiqua"/>
          <w:sz w:val="24"/>
        </w:rPr>
        <w:t xml:space="preserve"> </w:t>
      </w:r>
      <w:r w:rsidRPr="007417D2">
        <w:rPr>
          <w:rFonts w:ascii="Book Antiqua" w:hAnsi="Book Antiqua"/>
          <w:i/>
          <w:sz w:val="24"/>
        </w:rPr>
        <w:t>i.e.</w:t>
      </w:r>
      <w:r w:rsidR="0007325F" w:rsidRPr="007417D2">
        <w:rPr>
          <w:rFonts w:ascii="Book Antiqua" w:hAnsi="Book Antiqua"/>
          <w:sz w:val="24"/>
        </w:rPr>
        <w:t>,</w:t>
      </w:r>
      <w:r w:rsidRPr="007417D2">
        <w:rPr>
          <w:rFonts w:ascii="Book Antiqua" w:hAnsi="Book Antiqua"/>
          <w:sz w:val="24"/>
        </w:rPr>
        <w:t xml:space="preserve"> </w:t>
      </w:r>
      <w:proofErr w:type="gramStart"/>
      <w:r w:rsidRPr="007417D2">
        <w:rPr>
          <w:rFonts w:ascii="Book Antiqua" w:hAnsi="Book Antiqua"/>
          <w:sz w:val="24"/>
        </w:rPr>
        <w:t>T2D</w:t>
      </w:r>
      <w:r w:rsidR="0007325F" w:rsidRPr="007417D2">
        <w:rPr>
          <w:rFonts w:ascii="Book Antiqua" w:hAnsi="Book Antiqua"/>
          <w:noProof/>
          <w:sz w:val="24"/>
          <w:vertAlign w:val="superscript"/>
        </w:rPr>
        <w:t>[</w:t>
      </w:r>
      <w:proofErr w:type="gramEnd"/>
      <w:r w:rsidR="0007325F" w:rsidRPr="007417D2">
        <w:rPr>
          <w:rFonts w:ascii="Book Antiqua" w:hAnsi="Book Antiqua"/>
          <w:noProof/>
          <w:sz w:val="24"/>
          <w:vertAlign w:val="superscript"/>
        </w:rPr>
        <w:t>1,</w:t>
      </w:r>
      <w:r w:rsidRPr="007417D2">
        <w:rPr>
          <w:rFonts w:ascii="Book Antiqua" w:hAnsi="Book Antiqua"/>
          <w:noProof/>
          <w:sz w:val="24"/>
          <w:vertAlign w:val="superscript"/>
        </w:rPr>
        <w:t>2]</w:t>
      </w:r>
      <w:r w:rsidRPr="007417D2">
        <w:rPr>
          <w:rFonts w:ascii="Book Antiqua" w:hAnsi="Book Antiqua"/>
          <w:sz w:val="24"/>
        </w:rPr>
        <w:t xml:space="preserve">. T1D is a chronic hyperglycemic condition which affects multiple systems like brain, heart, eyes and </w:t>
      </w:r>
      <w:proofErr w:type="gramStart"/>
      <w:r w:rsidRPr="007417D2">
        <w:rPr>
          <w:rFonts w:ascii="Book Antiqua" w:hAnsi="Book Antiqua"/>
          <w:sz w:val="24"/>
        </w:rPr>
        <w:t>kidneys</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3]</w:t>
      </w:r>
      <w:r w:rsidRPr="007417D2">
        <w:rPr>
          <w:rFonts w:ascii="Book Antiqua" w:hAnsi="Book Antiqua"/>
          <w:sz w:val="24"/>
        </w:rPr>
        <w:t xml:space="preserve">. Diabetes is found to be one of the causes of brain atrophy, mild cognitive impairment and white matter </w:t>
      </w:r>
      <w:proofErr w:type="gramStart"/>
      <w:r w:rsidRPr="007417D2">
        <w:rPr>
          <w:rFonts w:ascii="Book Antiqua" w:hAnsi="Book Antiqua"/>
          <w:sz w:val="24"/>
        </w:rPr>
        <w:t>abnormalities</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4-6]</w:t>
      </w:r>
      <w:r w:rsidRPr="007417D2">
        <w:rPr>
          <w:rFonts w:ascii="Book Antiqua" w:hAnsi="Book Antiqua"/>
          <w:sz w:val="24"/>
        </w:rPr>
        <w:t xml:space="preserve">. In T2D insulin fails to stimulate utilization of glucose which gives rise to a phenomenon called IR. Chronic IR leads to several other complications such as lack of cellular energy, increased plasma lipids, cardiovascular problems and </w:t>
      </w:r>
      <w:proofErr w:type="gramStart"/>
      <w:r w:rsidRPr="007417D2">
        <w:rPr>
          <w:rFonts w:ascii="Book Antiqua" w:hAnsi="Book Antiqua"/>
          <w:sz w:val="24"/>
        </w:rPr>
        <w:t>hypertension</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7-11]</w:t>
      </w:r>
      <w:r w:rsidRPr="007417D2">
        <w:rPr>
          <w:rFonts w:ascii="Book Antiqua" w:hAnsi="Book Antiqua"/>
          <w:sz w:val="24"/>
        </w:rPr>
        <w:t xml:space="preserve">. Increased risk of developing dementia and </w:t>
      </w:r>
      <w:r w:rsidR="001932D0" w:rsidRPr="007417D2">
        <w:rPr>
          <w:rFonts w:ascii="Book Antiqua" w:hAnsi="Book Antiqua"/>
          <w:sz w:val="24"/>
        </w:rPr>
        <w:t>Alzheimer’s disease (AD)</w:t>
      </w:r>
      <w:r w:rsidRPr="007417D2">
        <w:rPr>
          <w:rFonts w:ascii="Book Antiqua" w:hAnsi="Book Antiqua"/>
          <w:sz w:val="24"/>
        </w:rPr>
        <w:t xml:space="preserve"> was suggested in T2D, which was further supported by clinical and epidemiological </w:t>
      </w:r>
      <w:proofErr w:type="gramStart"/>
      <w:r w:rsidRPr="007417D2">
        <w:rPr>
          <w:rFonts w:ascii="Book Antiqua" w:hAnsi="Book Antiqua"/>
          <w:sz w:val="24"/>
        </w:rPr>
        <w:t>studies</w:t>
      </w:r>
      <w:r w:rsidR="0007325F" w:rsidRPr="007417D2">
        <w:rPr>
          <w:rFonts w:ascii="Book Antiqua" w:hAnsi="Book Antiqua"/>
          <w:noProof/>
          <w:sz w:val="24"/>
          <w:vertAlign w:val="superscript"/>
        </w:rPr>
        <w:t>[</w:t>
      </w:r>
      <w:proofErr w:type="gramEnd"/>
      <w:r w:rsidR="0007325F" w:rsidRPr="007417D2">
        <w:rPr>
          <w:rFonts w:ascii="Book Antiqua" w:hAnsi="Book Antiqua"/>
          <w:noProof/>
          <w:sz w:val="24"/>
          <w:vertAlign w:val="superscript"/>
        </w:rPr>
        <w:t>12,</w:t>
      </w:r>
      <w:r w:rsidRPr="007417D2">
        <w:rPr>
          <w:rFonts w:ascii="Book Antiqua" w:hAnsi="Book Antiqua"/>
          <w:noProof/>
          <w:sz w:val="24"/>
          <w:vertAlign w:val="superscript"/>
        </w:rPr>
        <w:t>13]</w:t>
      </w:r>
      <w:r w:rsidRPr="007417D2">
        <w:rPr>
          <w:rFonts w:ascii="Book Antiqua" w:hAnsi="Book Antiqua"/>
          <w:sz w:val="24"/>
        </w:rPr>
        <w:t xml:space="preserve">. Diabetes patients are suggested with two fold higher risk of AD as compare to non-diabetic </w:t>
      </w:r>
      <w:proofErr w:type="gramStart"/>
      <w:r w:rsidRPr="007417D2">
        <w:rPr>
          <w:rFonts w:ascii="Book Antiqua" w:hAnsi="Book Antiqua"/>
          <w:sz w:val="24"/>
        </w:rPr>
        <w:t>patients</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12]</w:t>
      </w:r>
      <w:r w:rsidR="001932D0">
        <w:rPr>
          <w:rFonts w:ascii="Book Antiqua" w:hAnsi="Book Antiqua"/>
          <w:sz w:val="24"/>
        </w:rPr>
        <w:t>.</w:t>
      </w:r>
      <w:r w:rsidRPr="007417D2">
        <w:rPr>
          <w:rFonts w:ascii="Book Antiqua" w:hAnsi="Book Antiqua"/>
          <w:sz w:val="24"/>
        </w:rPr>
        <w:t xml:space="preserve"> In </w:t>
      </w:r>
      <w:r w:rsidR="001932D0" w:rsidRPr="0007325F">
        <w:rPr>
          <w:rFonts w:ascii="Book Antiqua" w:hAnsi="Book Antiqua"/>
          <w:sz w:val="24"/>
        </w:rPr>
        <w:t>central nervous system</w:t>
      </w:r>
      <w:r w:rsidR="001932D0" w:rsidRPr="007417D2">
        <w:rPr>
          <w:rFonts w:ascii="Book Antiqua" w:hAnsi="Book Antiqua"/>
          <w:sz w:val="24"/>
        </w:rPr>
        <w:t xml:space="preserve"> </w:t>
      </w:r>
      <w:r w:rsidR="001932D0">
        <w:rPr>
          <w:rFonts w:ascii="Book Antiqua" w:hAnsi="Book Antiqua" w:hint="eastAsia"/>
          <w:sz w:val="24"/>
        </w:rPr>
        <w:t>(</w:t>
      </w:r>
      <w:r w:rsidRPr="007417D2">
        <w:rPr>
          <w:rFonts w:ascii="Book Antiqua" w:hAnsi="Book Antiqua"/>
          <w:sz w:val="24"/>
        </w:rPr>
        <w:t>CNS</w:t>
      </w:r>
      <w:r w:rsidR="001932D0">
        <w:rPr>
          <w:rFonts w:ascii="Book Antiqua" w:hAnsi="Book Antiqua" w:hint="eastAsia"/>
          <w:sz w:val="24"/>
        </w:rPr>
        <w:t>)</w:t>
      </w:r>
      <w:r w:rsidRPr="007417D2">
        <w:rPr>
          <w:rFonts w:ascii="Book Antiqua" w:hAnsi="Book Antiqua"/>
          <w:sz w:val="24"/>
        </w:rPr>
        <w:t xml:space="preserve">, presence and distribution of insulin, insulin receptors (IRs) and its substrate is region </w:t>
      </w:r>
      <w:proofErr w:type="gramStart"/>
      <w:r w:rsidRPr="007417D2">
        <w:rPr>
          <w:rFonts w:ascii="Book Antiqua" w:hAnsi="Book Antiqua"/>
          <w:sz w:val="24"/>
        </w:rPr>
        <w:t>specific</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14</w:t>
      </w:r>
      <w:r w:rsidR="0007325F" w:rsidRPr="007417D2">
        <w:rPr>
          <w:rFonts w:ascii="Book Antiqua" w:hAnsi="Book Antiqua"/>
          <w:noProof/>
          <w:sz w:val="24"/>
          <w:vertAlign w:val="superscript"/>
        </w:rPr>
        <w:t>,</w:t>
      </w:r>
      <w:r w:rsidRPr="007417D2">
        <w:rPr>
          <w:rFonts w:ascii="Book Antiqua" w:hAnsi="Book Antiqua"/>
          <w:noProof/>
          <w:sz w:val="24"/>
          <w:vertAlign w:val="superscript"/>
        </w:rPr>
        <w:t>15]</w:t>
      </w:r>
      <w:r w:rsidRPr="007417D2">
        <w:rPr>
          <w:rFonts w:ascii="Book Antiqua" w:hAnsi="Book Antiqua"/>
          <w:sz w:val="24"/>
        </w:rPr>
        <w:t xml:space="preserve">. Insulin is found to play important role in learning and memory by regulating the release of neurotransmitters and synaptic </w:t>
      </w:r>
      <w:proofErr w:type="gramStart"/>
      <w:r w:rsidRPr="007417D2">
        <w:rPr>
          <w:rFonts w:ascii="Book Antiqua" w:hAnsi="Book Antiqua"/>
          <w:sz w:val="24"/>
        </w:rPr>
        <w:t>plasticity</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16]</w:t>
      </w:r>
      <w:r w:rsidRPr="007417D2">
        <w:rPr>
          <w:rFonts w:ascii="Book Antiqua" w:hAnsi="Book Antiqua"/>
          <w:sz w:val="24"/>
        </w:rPr>
        <w:t xml:space="preserve">. It is inferred from the literature that defective insulin signaling in diabetic patients plays a crucial role in synaptic </w:t>
      </w:r>
      <w:proofErr w:type="gramStart"/>
      <w:r w:rsidRPr="007417D2">
        <w:rPr>
          <w:rFonts w:ascii="Book Antiqua" w:hAnsi="Book Antiqua"/>
          <w:sz w:val="24"/>
        </w:rPr>
        <w:t>physiology</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17-19]</w:t>
      </w:r>
      <w:r w:rsidRPr="007417D2">
        <w:rPr>
          <w:rFonts w:ascii="Book Antiqua" w:hAnsi="Book Antiqua"/>
          <w:sz w:val="24"/>
        </w:rPr>
        <w:t>. Many other molecular members participating in insulin signaling pathway have appeared and known to be crucial for</w:t>
      </w:r>
      <w:r w:rsidR="0007325F" w:rsidRPr="007417D2">
        <w:rPr>
          <w:rFonts w:ascii="Book Antiqua" w:hAnsi="Book Antiqua"/>
          <w:sz w:val="24"/>
        </w:rPr>
        <w:t xml:space="preserve"> normal </w:t>
      </w:r>
      <w:proofErr w:type="gramStart"/>
      <w:r w:rsidR="0007325F" w:rsidRPr="007417D2">
        <w:rPr>
          <w:rFonts w:ascii="Book Antiqua" w:hAnsi="Book Antiqua"/>
          <w:sz w:val="24"/>
        </w:rPr>
        <w:t>physiology</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20]</w:t>
      </w:r>
      <w:r w:rsidRPr="007417D2">
        <w:rPr>
          <w:rFonts w:ascii="Book Antiqua" w:hAnsi="Book Antiqua"/>
          <w:sz w:val="24"/>
        </w:rPr>
        <w:t xml:space="preserve">. Remarkable presence of IRs in different brain areas has provided a clue of possible link between insulin signaling and synaptic plasticity. This fact is strongly supported by up-regulation of IRs in hippocampus after training for spatial memory task via Morris-Water </w:t>
      </w:r>
      <w:proofErr w:type="gramStart"/>
      <w:r w:rsidRPr="007417D2">
        <w:rPr>
          <w:rFonts w:ascii="Book Antiqua" w:hAnsi="Book Antiqua"/>
          <w:sz w:val="24"/>
        </w:rPr>
        <w:t>Maze</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21]</w:t>
      </w:r>
      <w:r w:rsidRPr="007417D2">
        <w:rPr>
          <w:rFonts w:ascii="Book Antiqua" w:hAnsi="Book Antiqua"/>
          <w:sz w:val="24"/>
        </w:rPr>
        <w:t>.</w:t>
      </w:r>
    </w:p>
    <w:p w:rsidR="009F1E60" w:rsidRPr="007417D2" w:rsidRDefault="00FA235F" w:rsidP="001932D0">
      <w:pPr>
        <w:spacing w:line="360" w:lineRule="auto"/>
        <w:ind w:firstLineChars="100" w:firstLine="240"/>
        <w:rPr>
          <w:rFonts w:ascii="Book Antiqua" w:hAnsi="Book Antiqua"/>
          <w:sz w:val="24"/>
        </w:rPr>
      </w:pPr>
      <w:r w:rsidRPr="007417D2">
        <w:rPr>
          <w:rFonts w:ascii="Book Antiqua" w:hAnsi="Book Antiqua"/>
          <w:sz w:val="24"/>
        </w:rPr>
        <w:t xml:space="preserve">In 1998, a possible link between insulin dysfunction and AD was </w:t>
      </w:r>
      <w:proofErr w:type="gramStart"/>
      <w:r w:rsidRPr="007417D2">
        <w:rPr>
          <w:rFonts w:ascii="Book Antiqua" w:hAnsi="Book Antiqua"/>
          <w:sz w:val="24"/>
        </w:rPr>
        <w:t>established</w:t>
      </w:r>
      <w:r w:rsidR="0007325F" w:rsidRPr="007417D2">
        <w:rPr>
          <w:rFonts w:ascii="Book Antiqua" w:hAnsi="Book Antiqua"/>
          <w:noProof/>
          <w:sz w:val="24"/>
          <w:vertAlign w:val="superscript"/>
        </w:rPr>
        <w:t>[</w:t>
      </w:r>
      <w:proofErr w:type="gramEnd"/>
      <w:r w:rsidR="0007325F" w:rsidRPr="007417D2">
        <w:rPr>
          <w:rFonts w:ascii="Book Antiqua" w:hAnsi="Book Antiqua"/>
          <w:noProof/>
          <w:sz w:val="24"/>
          <w:vertAlign w:val="superscript"/>
        </w:rPr>
        <w:t>22,</w:t>
      </w:r>
      <w:r w:rsidRPr="007417D2">
        <w:rPr>
          <w:rFonts w:ascii="Book Antiqua" w:hAnsi="Book Antiqua"/>
          <w:noProof/>
          <w:sz w:val="24"/>
          <w:vertAlign w:val="superscript"/>
        </w:rPr>
        <w:t>23]</w:t>
      </w:r>
      <w:r w:rsidRPr="007417D2">
        <w:rPr>
          <w:rFonts w:ascii="Book Antiqua" w:hAnsi="Book Antiqua"/>
          <w:sz w:val="24"/>
        </w:rPr>
        <w:t>.</w:t>
      </w:r>
      <w:r w:rsidR="00D3592B">
        <w:rPr>
          <w:rFonts w:ascii="Book Antiqua" w:hAnsi="Book Antiqua"/>
          <w:sz w:val="24"/>
        </w:rPr>
        <w:t xml:space="preserve"> </w:t>
      </w:r>
      <w:r w:rsidRPr="007417D2">
        <w:rPr>
          <w:rFonts w:ascii="Book Antiqua" w:hAnsi="Book Antiqua"/>
          <w:sz w:val="24"/>
        </w:rPr>
        <w:t xml:space="preserve">The </w:t>
      </w:r>
      <w:r w:rsidRPr="007417D2">
        <w:rPr>
          <w:rFonts w:ascii="Book Antiqua" w:hAnsi="Book Antiqua"/>
          <w:sz w:val="24"/>
        </w:rPr>
        <w:lastRenderedPageBreak/>
        <w:t xml:space="preserve">postmortem AD brains showed reduced insulin like growth factor (IGF) mRNA levels and its receptor as compared to </w:t>
      </w:r>
      <w:proofErr w:type="gramStart"/>
      <w:r w:rsidRPr="007417D2">
        <w:rPr>
          <w:rFonts w:ascii="Book Antiqua" w:hAnsi="Book Antiqua"/>
          <w:sz w:val="24"/>
        </w:rPr>
        <w:t>controls</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24]</w:t>
      </w:r>
      <w:r w:rsidRPr="007417D2">
        <w:rPr>
          <w:rFonts w:ascii="Book Antiqua" w:hAnsi="Book Antiqua"/>
          <w:sz w:val="24"/>
        </w:rPr>
        <w:t xml:space="preserve">. Impaired peripheral glucose </w:t>
      </w:r>
      <w:proofErr w:type="gramStart"/>
      <w:r w:rsidRPr="007417D2">
        <w:rPr>
          <w:rFonts w:ascii="Book Antiqua" w:hAnsi="Book Antiqua"/>
          <w:sz w:val="24"/>
        </w:rPr>
        <w:t>sensitivity</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25]</w:t>
      </w:r>
      <w:r w:rsidRPr="007417D2">
        <w:rPr>
          <w:rFonts w:ascii="Book Antiqua" w:hAnsi="Book Antiqua"/>
          <w:sz w:val="24"/>
        </w:rPr>
        <w:t xml:space="preserve"> and elevated plasma and cerebro-spinal fluid (CSF) level of insulin</w:t>
      </w:r>
      <w:r w:rsidRPr="007417D2">
        <w:rPr>
          <w:rFonts w:ascii="Book Antiqua" w:hAnsi="Book Antiqua"/>
          <w:noProof/>
          <w:sz w:val="24"/>
          <w:vertAlign w:val="superscript"/>
        </w:rPr>
        <w:t>[26-28]</w:t>
      </w:r>
      <w:r w:rsidRPr="007417D2">
        <w:rPr>
          <w:rFonts w:ascii="Book Antiqua" w:hAnsi="Book Antiqua"/>
          <w:sz w:val="24"/>
        </w:rPr>
        <w:t xml:space="preserve"> were also reported in AD patients. Thus, there are consistent reports showing involvement of impaired insulin signaling in cognitive decline in AD patients. The role of insulin in enhancing memory performance in AD patients was confirmed by rescuing effect of intravenous and intranasal insulin </w:t>
      </w:r>
      <w:proofErr w:type="gramStart"/>
      <w:r w:rsidRPr="007417D2">
        <w:rPr>
          <w:rFonts w:ascii="Book Antiqua" w:hAnsi="Book Antiqua"/>
          <w:sz w:val="24"/>
        </w:rPr>
        <w:t>administration</w:t>
      </w:r>
      <w:r w:rsidR="0007325F" w:rsidRPr="007417D2">
        <w:rPr>
          <w:rFonts w:ascii="Book Antiqua" w:hAnsi="Book Antiqua"/>
          <w:noProof/>
          <w:sz w:val="24"/>
          <w:vertAlign w:val="superscript"/>
        </w:rPr>
        <w:t>[</w:t>
      </w:r>
      <w:proofErr w:type="gramEnd"/>
      <w:r w:rsidR="0007325F" w:rsidRPr="007417D2">
        <w:rPr>
          <w:rFonts w:ascii="Book Antiqua" w:hAnsi="Book Antiqua"/>
          <w:noProof/>
          <w:sz w:val="24"/>
          <w:vertAlign w:val="superscript"/>
        </w:rPr>
        <w:t>29,</w:t>
      </w:r>
      <w:r w:rsidRPr="007417D2">
        <w:rPr>
          <w:rFonts w:ascii="Book Antiqua" w:hAnsi="Book Antiqua"/>
          <w:noProof/>
          <w:sz w:val="24"/>
          <w:vertAlign w:val="superscript"/>
        </w:rPr>
        <w:t>30]</w:t>
      </w:r>
      <w:r w:rsidRPr="007417D2">
        <w:rPr>
          <w:rFonts w:ascii="Book Antiqua" w:hAnsi="Book Antiqua"/>
          <w:sz w:val="24"/>
        </w:rPr>
        <w:t>.</w:t>
      </w:r>
    </w:p>
    <w:p w:rsidR="00FA235F" w:rsidRPr="007417D2" w:rsidRDefault="00FA235F" w:rsidP="001932D0">
      <w:pPr>
        <w:spacing w:line="360" w:lineRule="auto"/>
        <w:ind w:firstLineChars="100" w:firstLine="240"/>
        <w:rPr>
          <w:rFonts w:ascii="Book Antiqua" w:hAnsi="Book Antiqua"/>
          <w:sz w:val="24"/>
        </w:rPr>
      </w:pPr>
      <w:r w:rsidRPr="007417D2">
        <w:rPr>
          <w:rFonts w:ascii="Book Antiqua" w:hAnsi="Book Antiqua"/>
          <w:sz w:val="24"/>
        </w:rPr>
        <w:t>Attempts are being made to unscramble the cellular and molecular mechanisms connecting diabetes and AD. Present review critically examine impaired insulin signaling in diabetes as well as in AD patients with emphasis on critical molecular players such as fork head box O-1 (FOXO1), mammalian target of rapamaycin (mTOR) and glycogen synthase kinase 3 beta (GSK3β) which can be potential therapeutic targets.</w:t>
      </w:r>
    </w:p>
    <w:p w:rsidR="009F1E60" w:rsidRPr="007417D2" w:rsidRDefault="009F1E60" w:rsidP="007417D2">
      <w:pPr>
        <w:spacing w:line="360" w:lineRule="auto"/>
        <w:rPr>
          <w:rFonts w:ascii="Book Antiqua" w:hAnsi="Book Antiqua"/>
          <w:b/>
          <w:sz w:val="24"/>
        </w:rPr>
      </w:pPr>
    </w:p>
    <w:p w:rsidR="00FA235F" w:rsidRPr="007417D2" w:rsidRDefault="00FA235F" w:rsidP="007417D2">
      <w:pPr>
        <w:spacing w:line="360" w:lineRule="auto"/>
        <w:rPr>
          <w:rFonts w:ascii="Book Antiqua" w:hAnsi="Book Antiqua"/>
          <w:b/>
          <w:sz w:val="24"/>
        </w:rPr>
      </w:pPr>
      <w:r w:rsidRPr="007417D2">
        <w:rPr>
          <w:rFonts w:ascii="Book Antiqua" w:hAnsi="Book Antiqua"/>
          <w:b/>
          <w:sz w:val="24"/>
        </w:rPr>
        <w:t>DIABETES MELLITUS</w:t>
      </w:r>
    </w:p>
    <w:p w:rsidR="00FA235F" w:rsidRPr="007417D2" w:rsidRDefault="001E2ACC" w:rsidP="007417D2">
      <w:pPr>
        <w:spacing w:line="360" w:lineRule="auto"/>
        <w:rPr>
          <w:rFonts w:ascii="Book Antiqua" w:hAnsi="Book Antiqua"/>
          <w:b/>
          <w:sz w:val="24"/>
        </w:rPr>
      </w:pPr>
      <w:r w:rsidRPr="007417D2">
        <w:rPr>
          <w:rFonts w:ascii="Book Antiqua" w:hAnsi="Book Antiqua"/>
          <w:sz w:val="24"/>
        </w:rPr>
        <w:t>Diabetes mellitus (</w:t>
      </w:r>
      <w:r w:rsidR="00FA235F" w:rsidRPr="007417D2">
        <w:rPr>
          <w:rFonts w:ascii="Book Antiqua" w:hAnsi="Book Antiqua"/>
          <w:sz w:val="24"/>
        </w:rPr>
        <w:t>DM</w:t>
      </w:r>
      <w:r w:rsidRPr="007417D2">
        <w:rPr>
          <w:rFonts w:ascii="Book Antiqua" w:hAnsi="Book Antiqua"/>
          <w:sz w:val="24"/>
        </w:rPr>
        <w:t>)</w:t>
      </w:r>
      <w:r w:rsidR="00FA235F" w:rsidRPr="007417D2">
        <w:rPr>
          <w:rFonts w:ascii="Book Antiqua" w:hAnsi="Book Antiqua"/>
          <w:sz w:val="24"/>
        </w:rPr>
        <w:t>, a complex metabolic disorder is characterized by hyperglycemia with several macrovascular (coronary artery disease, peripheral arterial disease, and stroke) and microvascular complications (diabetic nephropathy, neuropathy, and retinopathy)</w:t>
      </w:r>
      <w:r w:rsidR="00FA235F" w:rsidRPr="007417D2">
        <w:rPr>
          <w:rFonts w:ascii="Book Antiqua" w:hAnsi="Book Antiqua"/>
          <w:noProof/>
          <w:sz w:val="24"/>
          <w:vertAlign w:val="superscript"/>
        </w:rPr>
        <w:t>[31]</w:t>
      </w:r>
      <w:r w:rsidR="00FA235F" w:rsidRPr="007417D2">
        <w:rPr>
          <w:rFonts w:ascii="Book Antiqua" w:hAnsi="Book Antiqua"/>
          <w:sz w:val="24"/>
        </w:rPr>
        <w:t xml:space="preserve">. Risk of developing any of microvascular complications of diabetes depends upon both the duration and the severity of hyperglycemia. Aldose reductase, initial enzyme in the intracellular polyol pathway is a key player involved in the development of diabetic complications. Polyol pathway converts glucose into sorbitol (glucose alcohol). Hyperglycemic condition increases the flux of glucose into this pathway and results in sorbitol accumulation which further leads to osmotic stress. Osmotic stress is reported to be most common underlying mechanism in the development of microvascular complications of </w:t>
      </w:r>
      <w:proofErr w:type="gramStart"/>
      <w:r w:rsidR="00FA235F" w:rsidRPr="007417D2">
        <w:rPr>
          <w:rFonts w:ascii="Book Antiqua" w:hAnsi="Book Antiqua"/>
          <w:sz w:val="24"/>
        </w:rPr>
        <w:t>diabetes</w:t>
      </w:r>
      <w:r w:rsidR="00FA235F" w:rsidRPr="007417D2">
        <w:rPr>
          <w:rFonts w:ascii="Book Antiqua" w:hAnsi="Book Antiqua"/>
          <w:sz w:val="24"/>
          <w:vertAlign w:val="superscript"/>
        </w:rPr>
        <w:t>[</w:t>
      </w:r>
      <w:proofErr w:type="gramEnd"/>
      <w:r w:rsidR="00FA235F" w:rsidRPr="007417D2">
        <w:rPr>
          <w:rFonts w:ascii="Book Antiqua" w:hAnsi="Book Antiqua"/>
          <w:sz w:val="24"/>
          <w:vertAlign w:val="superscript"/>
        </w:rPr>
        <w:t>31]</w:t>
      </w:r>
      <w:r w:rsidR="00FA235F" w:rsidRPr="007417D2">
        <w:rPr>
          <w:rFonts w:ascii="Book Antiqua" w:hAnsi="Book Antiqua"/>
          <w:sz w:val="24"/>
        </w:rPr>
        <w:t xml:space="preserve">. American Diabetes Association has categorized diabetes as T1D and T2D. T1D is characterized by autoimmune destruction of pancreatic beta cells resulting in absolute absence of insulin whereas T2D is identified by peripheral IR. According to WHO reports 2012, 90% </w:t>
      </w:r>
      <w:r w:rsidR="001932D0">
        <w:rPr>
          <w:rFonts w:ascii="Book Antiqua" w:hAnsi="Book Antiqua"/>
          <w:sz w:val="24"/>
        </w:rPr>
        <w:t>cases of diabetes are from T2D.</w:t>
      </w:r>
      <w:r w:rsidR="00FA235F" w:rsidRPr="007417D2">
        <w:rPr>
          <w:rFonts w:ascii="Book Antiqua" w:hAnsi="Book Antiqua"/>
          <w:sz w:val="24"/>
        </w:rPr>
        <w:t xml:space="preserve"> Clinical and experimental studies suggested strong association between diabetes and cognitive </w:t>
      </w:r>
      <w:proofErr w:type="gramStart"/>
      <w:r w:rsidR="00FA235F" w:rsidRPr="007417D2">
        <w:rPr>
          <w:rFonts w:ascii="Book Antiqua" w:hAnsi="Book Antiqua"/>
          <w:sz w:val="24"/>
        </w:rPr>
        <w:t>impairment</w:t>
      </w:r>
      <w:r w:rsidR="00FA235F" w:rsidRPr="007417D2">
        <w:rPr>
          <w:rFonts w:ascii="Book Antiqua" w:hAnsi="Book Antiqua"/>
          <w:noProof/>
          <w:sz w:val="24"/>
          <w:vertAlign w:val="superscript"/>
        </w:rPr>
        <w:t>[</w:t>
      </w:r>
      <w:proofErr w:type="gramEnd"/>
      <w:r w:rsidR="00FA235F" w:rsidRPr="007417D2">
        <w:rPr>
          <w:rFonts w:ascii="Book Antiqua" w:hAnsi="Book Antiqua"/>
          <w:noProof/>
          <w:sz w:val="24"/>
          <w:vertAlign w:val="superscript"/>
        </w:rPr>
        <w:t>32-35]</w:t>
      </w:r>
      <w:r w:rsidR="00FA235F" w:rsidRPr="007417D2">
        <w:rPr>
          <w:rFonts w:ascii="Book Antiqua" w:hAnsi="Book Antiqua"/>
          <w:sz w:val="24"/>
        </w:rPr>
        <w:t xml:space="preserve">. T2D is at the edge of </w:t>
      </w:r>
      <w:r w:rsidR="00FA235F" w:rsidRPr="007417D2">
        <w:rPr>
          <w:rFonts w:ascii="Book Antiqua" w:hAnsi="Book Antiqua"/>
          <w:sz w:val="24"/>
        </w:rPr>
        <w:lastRenderedPageBreak/>
        <w:t xml:space="preserve">several risk factors such as life style, obesity, physical inactivity, gestational diabetes history as well as genetic </w:t>
      </w:r>
      <w:proofErr w:type="gramStart"/>
      <w:r w:rsidR="00FA235F" w:rsidRPr="007417D2">
        <w:rPr>
          <w:rFonts w:ascii="Book Antiqua" w:hAnsi="Book Antiqua"/>
          <w:sz w:val="24"/>
        </w:rPr>
        <w:t>predispositions</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36,</w:t>
      </w:r>
      <w:r w:rsidR="00FA235F" w:rsidRPr="007417D2">
        <w:rPr>
          <w:rFonts w:ascii="Book Antiqua" w:hAnsi="Book Antiqua"/>
          <w:noProof/>
          <w:sz w:val="24"/>
          <w:vertAlign w:val="superscript"/>
        </w:rPr>
        <w:t>37]</w:t>
      </w:r>
      <w:r w:rsidR="00FA235F" w:rsidRPr="007417D2">
        <w:rPr>
          <w:rFonts w:ascii="Book Antiqua" w:hAnsi="Book Antiqua"/>
          <w:sz w:val="24"/>
        </w:rPr>
        <w:t xml:space="preserve">. The hallmark symptoms of the disease are polyurea, polydipsia, polyphagia and weight </w:t>
      </w:r>
      <w:proofErr w:type="gramStart"/>
      <w:r w:rsidR="00FA235F" w:rsidRPr="007417D2">
        <w:rPr>
          <w:rFonts w:ascii="Book Antiqua" w:hAnsi="Book Antiqua"/>
          <w:sz w:val="24"/>
        </w:rPr>
        <w:t>loss</w:t>
      </w:r>
      <w:r w:rsidR="00FA235F" w:rsidRPr="007417D2">
        <w:rPr>
          <w:rFonts w:ascii="Book Antiqua" w:hAnsi="Book Antiqua"/>
          <w:noProof/>
          <w:sz w:val="24"/>
          <w:vertAlign w:val="superscript"/>
        </w:rPr>
        <w:t>[</w:t>
      </w:r>
      <w:proofErr w:type="gramEnd"/>
      <w:r w:rsidR="00FA235F" w:rsidRPr="007417D2">
        <w:rPr>
          <w:rFonts w:ascii="Book Antiqua" w:hAnsi="Book Antiqua"/>
          <w:noProof/>
          <w:sz w:val="24"/>
          <w:vertAlign w:val="superscript"/>
        </w:rPr>
        <w:t>38]</w:t>
      </w:r>
      <w:r w:rsidR="00FA235F" w:rsidRPr="007417D2">
        <w:rPr>
          <w:rFonts w:ascii="Book Antiqua" w:hAnsi="Book Antiqua"/>
          <w:sz w:val="24"/>
        </w:rPr>
        <w:t>. Mechanisms of T2D involves lipid breakdown within fat cells, elevated plasma glucagon levels as well as an in</w:t>
      </w:r>
      <w:r w:rsidRPr="007417D2">
        <w:rPr>
          <w:rFonts w:ascii="Book Antiqua" w:hAnsi="Book Antiqua"/>
          <w:sz w:val="24"/>
        </w:rPr>
        <w:t xml:space="preserve">crease in electrolyte </w:t>
      </w:r>
      <w:proofErr w:type="gramStart"/>
      <w:r w:rsidRPr="007417D2">
        <w:rPr>
          <w:rFonts w:ascii="Book Antiqua" w:hAnsi="Book Antiqua"/>
          <w:sz w:val="24"/>
        </w:rPr>
        <w:t>retention</w:t>
      </w:r>
      <w:r w:rsidR="00FA235F" w:rsidRPr="007417D2">
        <w:rPr>
          <w:rFonts w:ascii="Book Antiqua" w:hAnsi="Book Antiqua"/>
          <w:noProof/>
          <w:sz w:val="24"/>
          <w:vertAlign w:val="superscript"/>
        </w:rPr>
        <w:t>[</w:t>
      </w:r>
      <w:proofErr w:type="gramEnd"/>
      <w:r w:rsidR="00FA235F" w:rsidRPr="007417D2">
        <w:rPr>
          <w:rFonts w:ascii="Book Antiqua" w:hAnsi="Book Antiqua"/>
          <w:noProof/>
          <w:sz w:val="24"/>
          <w:vertAlign w:val="superscript"/>
        </w:rPr>
        <w:t>39]</w:t>
      </w:r>
      <w:r w:rsidR="00FA235F" w:rsidRPr="007417D2">
        <w:rPr>
          <w:rFonts w:ascii="Book Antiqua" w:hAnsi="Book Antiqua"/>
          <w:sz w:val="24"/>
        </w:rPr>
        <w:t xml:space="preserve">. </w:t>
      </w:r>
    </w:p>
    <w:p w:rsidR="00FA235F" w:rsidRPr="007417D2" w:rsidRDefault="00FA235F" w:rsidP="007417D2">
      <w:pPr>
        <w:spacing w:line="360" w:lineRule="auto"/>
        <w:rPr>
          <w:rFonts w:ascii="Book Antiqua" w:hAnsi="Book Antiqua"/>
          <w:b/>
          <w:sz w:val="24"/>
        </w:rPr>
      </w:pPr>
    </w:p>
    <w:p w:rsidR="001932D0" w:rsidRPr="001932D0" w:rsidRDefault="001932D0" w:rsidP="007417D2">
      <w:pPr>
        <w:spacing w:line="360" w:lineRule="auto"/>
        <w:rPr>
          <w:rFonts w:ascii="Book Antiqua" w:hAnsi="Book Antiqua"/>
          <w:b/>
          <w:sz w:val="24"/>
        </w:rPr>
      </w:pPr>
      <w:r w:rsidRPr="001932D0">
        <w:rPr>
          <w:rFonts w:ascii="Book Antiqua" w:hAnsi="Book Antiqua"/>
          <w:b/>
          <w:sz w:val="24"/>
        </w:rPr>
        <w:t xml:space="preserve">AD </w:t>
      </w:r>
    </w:p>
    <w:p w:rsidR="00FA235F" w:rsidRPr="007417D2" w:rsidRDefault="00FA235F" w:rsidP="007417D2">
      <w:pPr>
        <w:spacing w:line="360" w:lineRule="auto"/>
        <w:rPr>
          <w:rFonts w:ascii="Book Antiqua" w:hAnsi="Book Antiqua"/>
          <w:b/>
          <w:sz w:val="24"/>
        </w:rPr>
      </w:pPr>
      <w:r w:rsidRPr="007417D2">
        <w:rPr>
          <w:rFonts w:ascii="Book Antiqua" w:hAnsi="Book Antiqua"/>
          <w:sz w:val="24"/>
        </w:rPr>
        <w:t xml:space="preserve">AD is an age dependent neurodegenerative disorder associated with deposits of plaques and tangles in </w:t>
      </w:r>
      <w:proofErr w:type="gramStart"/>
      <w:r w:rsidRPr="007417D2">
        <w:rPr>
          <w:rFonts w:ascii="Book Antiqua" w:hAnsi="Book Antiqua"/>
          <w:sz w:val="24"/>
        </w:rPr>
        <w:t>brain</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40]</w:t>
      </w:r>
      <w:r w:rsidRPr="007417D2">
        <w:rPr>
          <w:rFonts w:ascii="Book Antiqua" w:hAnsi="Book Antiqua"/>
          <w:sz w:val="24"/>
        </w:rPr>
        <w:t>. Only 1</w:t>
      </w:r>
      <w:r w:rsidR="001E2ACC" w:rsidRPr="007417D2">
        <w:rPr>
          <w:rFonts w:ascii="Book Antiqua" w:hAnsi="Book Antiqua"/>
          <w:sz w:val="24"/>
        </w:rPr>
        <w:t>%</w:t>
      </w:r>
      <w:r w:rsidRPr="007417D2">
        <w:rPr>
          <w:rFonts w:ascii="Book Antiqua" w:hAnsi="Book Antiqua"/>
          <w:sz w:val="24"/>
        </w:rPr>
        <w:t xml:space="preserve">-5% of the AD cases are found to have genetic differences and out of these cases, only 0.1% cases follow familial autosomal non-sex linked inheritance </w:t>
      </w:r>
      <w:proofErr w:type="gramStart"/>
      <w:r w:rsidRPr="007417D2">
        <w:rPr>
          <w:rFonts w:ascii="Book Antiqua" w:hAnsi="Book Antiqua"/>
          <w:sz w:val="24"/>
        </w:rPr>
        <w:t>pattern</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41]</w:t>
      </w:r>
      <w:r w:rsidRPr="007417D2">
        <w:rPr>
          <w:rFonts w:ascii="Book Antiqua" w:hAnsi="Book Antiqua"/>
          <w:sz w:val="24"/>
        </w:rPr>
        <w:t xml:space="preserve">. AD was for the first time reported in 1906 by Alois Alzheimer, a German psychiatrist and pathologist as a progressive neurodegenerative disorder of memory loss and </w:t>
      </w:r>
      <w:proofErr w:type="gramStart"/>
      <w:r w:rsidRPr="007417D2">
        <w:rPr>
          <w:rFonts w:ascii="Book Antiqua" w:hAnsi="Book Antiqua"/>
          <w:sz w:val="24"/>
        </w:rPr>
        <w:t>confusion</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42]</w:t>
      </w:r>
      <w:r w:rsidRPr="007417D2">
        <w:rPr>
          <w:rFonts w:ascii="Book Antiqua" w:hAnsi="Book Antiqua"/>
          <w:sz w:val="24"/>
        </w:rPr>
        <w:t xml:space="preserve">. Postmortem AD brains revealed intracellular accumulation of neurofibrillary tangles (NFTs) and extracellular deposition of amyloid beta (Aβ) plaques as two major hallmarks of AD. NFTs are hyperphosphorylated form of tau protein, which are involved in microtubule dynamics while Aβ plaques are the cleavage product of amyloid precursor protein (APP) which is a transmembrane glycoprotein of unknown function. Mutation in three genes encoding APP, presenelin 1 (PSEN1) and presenelin 2 (PSEN2) contributes to genetic cases of </w:t>
      </w:r>
      <w:proofErr w:type="gramStart"/>
      <w:r w:rsidRPr="007417D2">
        <w:rPr>
          <w:rFonts w:ascii="Book Antiqua" w:hAnsi="Book Antiqua"/>
          <w:sz w:val="24"/>
        </w:rPr>
        <w:t>AD</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43]</w:t>
      </w:r>
      <w:r w:rsidRPr="007417D2">
        <w:rPr>
          <w:rFonts w:ascii="Book Antiqua" w:hAnsi="Book Antiqua"/>
          <w:sz w:val="24"/>
        </w:rPr>
        <w:t xml:space="preserve">. These loci are responsible for the familial type of disease while environmental factors influence sporadic form of AD with unclear etiology. Mutated form of these genes increase production of Aβ-42 protein product, a major component of senile plaques. ε4 allele of the apolipoprotein E (APOEε4) is another risk factor for </w:t>
      </w:r>
      <w:proofErr w:type="gramStart"/>
      <w:r w:rsidRPr="007417D2">
        <w:rPr>
          <w:rFonts w:ascii="Book Antiqua" w:hAnsi="Book Antiqua"/>
          <w:sz w:val="24"/>
        </w:rPr>
        <w:t>AD</w:t>
      </w:r>
      <w:r w:rsidR="001E2ACC" w:rsidRPr="007417D2">
        <w:rPr>
          <w:rFonts w:ascii="Book Antiqua" w:hAnsi="Book Antiqua"/>
          <w:noProof/>
          <w:sz w:val="24"/>
          <w:vertAlign w:val="superscript"/>
        </w:rPr>
        <w:t>[</w:t>
      </w:r>
      <w:proofErr w:type="gramEnd"/>
      <w:r w:rsidR="001E2ACC" w:rsidRPr="007417D2">
        <w:rPr>
          <w:rFonts w:ascii="Book Antiqua" w:hAnsi="Book Antiqua"/>
          <w:noProof/>
          <w:sz w:val="24"/>
          <w:vertAlign w:val="superscript"/>
        </w:rPr>
        <w:t>44,</w:t>
      </w:r>
      <w:r w:rsidRPr="007417D2">
        <w:rPr>
          <w:rFonts w:ascii="Book Antiqua" w:hAnsi="Book Antiqua"/>
          <w:noProof/>
          <w:sz w:val="24"/>
          <w:vertAlign w:val="superscript"/>
        </w:rPr>
        <w:t>45]</w:t>
      </w:r>
      <w:r w:rsidRPr="007417D2">
        <w:rPr>
          <w:rFonts w:ascii="Book Antiqua" w:hAnsi="Book Antiqua"/>
          <w:sz w:val="24"/>
        </w:rPr>
        <w:t xml:space="preserve"> which is thought to contribute in neuronal lipid homeostasis, repairs injured neurons, maintains synapto-dendritic connections and scavenges neurotoxins. Loss of cholinergic system is a major cause of cognitive deficit in AD patients and the current therapies are targeted at improving cholinergic </w:t>
      </w:r>
      <w:proofErr w:type="gramStart"/>
      <w:r w:rsidRPr="007417D2">
        <w:rPr>
          <w:rFonts w:ascii="Book Antiqua" w:hAnsi="Book Antiqua"/>
          <w:sz w:val="24"/>
        </w:rPr>
        <w:t>functions</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46]</w:t>
      </w:r>
      <w:r w:rsidR="00A161EE" w:rsidRPr="007417D2">
        <w:rPr>
          <w:rFonts w:ascii="Book Antiqua" w:hAnsi="Book Antiqua"/>
          <w:sz w:val="24"/>
        </w:rPr>
        <w:t>.</w:t>
      </w:r>
    </w:p>
    <w:p w:rsidR="00FA235F" w:rsidRPr="007417D2" w:rsidRDefault="00FA235F" w:rsidP="007417D2">
      <w:pPr>
        <w:spacing w:line="360" w:lineRule="auto"/>
        <w:rPr>
          <w:rFonts w:ascii="Book Antiqua" w:hAnsi="Book Antiqua"/>
          <w:sz w:val="24"/>
        </w:rPr>
      </w:pPr>
    </w:p>
    <w:p w:rsidR="00FA235F" w:rsidRPr="007417D2" w:rsidRDefault="00FA235F" w:rsidP="007417D2">
      <w:pPr>
        <w:spacing w:line="360" w:lineRule="auto"/>
        <w:rPr>
          <w:rFonts w:ascii="Book Antiqua" w:hAnsi="Book Antiqua"/>
          <w:b/>
          <w:sz w:val="24"/>
        </w:rPr>
      </w:pPr>
      <w:r w:rsidRPr="007417D2">
        <w:rPr>
          <w:rFonts w:ascii="Book Antiqua" w:hAnsi="Book Antiqua"/>
          <w:b/>
          <w:sz w:val="24"/>
        </w:rPr>
        <w:t>TWIN MYSTERY OF AD AND DIABETES: THE STORY SO FAR</w:t>
      </w:r>
    </w:p>
    <w:p w:rsidR="009F1E60" w:rsidRPr="007417D2" w:rsidRDefault="00FA235F" w:rsidP="007417D2">
      <w:pPr>
        <w:spacing w:line="360" w:lineRule="auto"/>
        <w:rPr>
          <w:rFonts w:ascii="Book Antiqua" w:hAnsi="Book Antiqua"/>
          <w:noProof/>
          <w:sz w:val="24"/>
        </w:rPr>
      </w:pPr>
      <w:r w:rsidRPr="007417D2">
        <w:rPr>
          <w:rFonts w:ascii="Book Antiqua" w:hAnsi="Book Antiqua"/>
          <w:sz w:val="24"/>
        </w:rPr>
        <w:t xml:space="preserve">In 1980, first line of evidence appeared </w:t>
      </w:r>
      <w:r w:rsidRPr="007417D2">
        <w:rPr>
          <w:rFonts w:ascii="Book Antiqua" w:eastAsia="Times New Roman" w:hAnsi="Book Antiqua"/>
          <w:sz w:val="24"/>
        </w:rPr>
        <w:t xml:space="preserve">when Adolfsson </w:t>
      </w:r>
      <w:r w:rsidR="00D3592B">
        <w:rPr>
          <w:rFonts w:ascii="Book Antiqua" w:eastAsiaTheme="minorEastAsia" w:hAnsi="Book Antiqua" w:hint="eastAsia"/>
          <w:i/>
          <w:sz w:val="24"/>
        </w:rPr>
        <w:t>et al</w:t>
      </w:r>
      <w:r w:rsidR="001932D0" w:rsidRPr="007417D2">
        <w:rPr>
          <w:rFonts w:ascii="Book Antiqua" w:eastAsia="Times New Roman" w:hAnsi="Book Antiqua"/>
          <w:noProof/>
          <w:sz w:val="24"/>
          <w:vertAlign w:val="superscript"/>
        </w:rPr>
        <w:t>[47]</w:t>
      </w:r>
      <w:r w:rsidR="001932D0">
        <w:rPr>
          <w:rFonts w:ascii="Book Antiqua" w:eastAsiaTheme="minorEastAsia" w:hAnsi="Book Antiqua" w:hint="eastAsia"/>
          <w:noProof/>
          <w:sz w:val="24"/>
          <w:vertAlign w:val="superscript"/>
        </w:rPr>
        <w:t xml:space="preserve"> </w:t>
      </w:r>
      <w:r w:rsidRPr="007417D2">
        <w:rPr>
          <w:rFonts w:ascii="Book Antiqua" w:eastAsia="Times New Roman" w:hAnsi="Book Antiqua"/>
          <w:sz w:val="24"/>
        </w:rPr>
        <w:t xml:space="preserve">performed glucose </w:t>
      </w:r>
      <w:r w:rsidRPr="007417D2">
        <w:rPr>
          <w:rFonts w:ascii="Book Antiqua" w:eastAsia="Times New Roman" w:hAnsi="Book Antiqua"/>
          <w:sz w:val="24"/>
        </w:rPr>
        <w:lastRenderedPageBreak/>
        <w:t xml:space="preserve">tolerance test on AD type dementia patients and hypothesized that hypoglycemic condition can ameliorate brain status. In 1994, </w:t>
      </w:r>
      <w:r w:rsidRPr="007417D2">
        <w:rPr>
          <w:rFonts w:ascii="Book Antiqua" w:hAnsi="Book Antiqua"/>
          <w:sz w:val="24"/>
        </w:rPr>
        <w:t xml:space="preserve">George </w:t>
      </w:r>
      <w:r w:rsidR="001E2ACC" w:rsidRPr="007417D2">
        <w:rPr>
          <w:rFonts w:ascii="Book Antiqua" w:hAnsi="Book Antiqua"/>
          <w:i/>
          <w:sz w:val="24"/>
        </w:rPr>
        <w:t xml:space="preserve">et </w:t>
      </w:r>
      <w:proofErr w:type="gramStart"/>
      <w:r w:rsidR="001E2ACC" w:rsidRPr="007417D2">
        <w:rPr>
          <w:rFonts w:ascii="Book Antiqua" w:hAnsi="Book Antiqua"/>
          <w:i/>
          <w:sz w:val="24"/>
        </w:rPr>
        <w:t>al</w:t>
      </w:r>
      <w:r w:rsidR="001E2ACC" w:rsidRPr="007417D2">
        <w:rPr>
          <w:rFonts w:ascii="Book Antiqua" w:hAnsi="Book Antiqua"/>
          <w:noProof/>
          <w:sz w:val="24"/>
          <w:vertAlign w:val="superscript"/>
        </w:rPr>
        <w:t>[</w:t>
      </w:r>
      <w:proofErr w:type="gramEnd"/>
      <w:r w:rsidR="001E2ACC" w:rsidRPr="007417D2">
        <w:rPr>
          <w:rFonts w:ascii="Book Antiqua" w:hAnsi="Book Antiqua"/>
          <w:noProof/>
          <w:sz w:val="24"/>
          <w:vertAlign w:val="superscript"/>
        </w:rPr>
        <w:t>48]</w:t>
      </w:r>
      <w:r w:rsidRPr="007417D2">
        <w:rPr>
          <w:rFonts w:ascii="Book Antiqua" w:hAnsi="Book Antiqua"/>
          <w:sz w:val="24"/>
        </w:rPr>
        <w:t xml:space="preserve"> spotted light on disturbed glucose metabolism and hyper-insulinemia in female AD patients and tried to establish a link between insulin dysfunction and dementia. In 1996, Messier </w:t>
      </w:r>
      <w:r w:rsidRPr="007417D2">
        <w:rPr>
          <w:rFonts w:ascii="Book Antiqua" w:hAnsi="Book Antiqua"/>
          <w:i/>
          <w:sz w:val="24"/>
        </w:rPr>
        <w:t xml:space="preserve">et </w:t>
      </w:r>
      <w:proofErr w:type="gramStart"/>
      <w:r w:rsidRPr="007417D2">
        <w:rPr>
          <w:rFonts w:ascii="Book Antiqua" w:hAnsi="Book Antiqua"/>
          <w:i/>
          <w:sz w:val="24"/>
        </w:rPr>
        <w:t>al</w:t>
      </w:r>
      <w:r w:rsidR="001E2ACC" w:rsidRPr="007417D2">
        <w:rPr>
          <w:rFonts w:ascii="Book Antiqua" w:hAnsi="Book Antiqua"/>
          <w:noProof/>
          <w:sz w:val="24"/>
          <w:vertAlign w:val="superscript"/>
        </w:rPr>
        <w:t>[</w:t>
      </w:r>
      <w:proofErr w:type="gramEnd"/>
      <w:r w:rsidR="001E2ACC" w:rsidRPr="007417D2">
        <w:rPr>
          <w:rFonts w:ascii="Book Antiqua" w:hAnsi="Book Antiqua"/>
          <w:noProof/>
          <w:sz w:val="24"/>
          <w:vertAlign w:val="superscript"/>
        </w:rPr>
        <w:t>23]</w:t>
      </w:r>
      <w:r w:rsidR="001E2ACC" w:rsidRPr="007417D2">
        <w:rPr>
          <w:rFonts w:ascii="Book Antiqua" w:hAnsi="Book Antiqua"/>
          <w:i/>
          <w:sz w:val="24"/>
        </w:rPr>
        <w:t xml:space="preserve"> </w:t>
      </w:r>
      <w:r w:rsidRPr="007417D2">
        <w:rPr>
          <w:rFonts w:ascii="Book Antiqua" w:hAnsi="Book Antiqua"/>
          <w:sz w:val="24"/>
        </w:rPr>
        <w:t xml:space="preserve">strengthened the evidences by uncovering the potential effects of glucose on memory and cognition of AD patients. </w:t>
      </w:r>
      <w:r w:rsidRPr="007417D2">
        <w:rPr>
          <w:rFonts w:ascii="Book Antiqua" w:hAnsi="Book Antiqua"/>
          <w:noProof/>
          <w:sz w:val="24"/>
        </w:rPr>
        <w:t xml:space="preserve">In 2003, Messier </w:t>
      </w:r>
      <w:r w:rsidR="001E2ACC" w:rsidRPr="007417D2">
        <w:rPr>
          <w:rFonts w:ascii="Book Antiqua" w:hAnsi="Book Antiqua"/>
          <w:i/>
          <w:noProof/>
          <w:sz w:val="24"/>
        </w:rPr>
        <w:t>et al</w:t>
      </w:r>
      <w:r w:rsidR="001E2ACC" w:rsidRPr="007417D2">
        <w:rPr>
          <w:rFonts w:ascii="Book Antiqua" w:hAnsi="Book Antiqua"/>
          <w:noProof/>
          <w:sz w:val="24"/>
          <w:vertAlign w:val="superscript"/>
        </w:rPr>
        <w:t>[49]</w:t>
      </w:r>
      <w:r w:rsidRPr="007417D2">
        <w:rPr>
          <w:rFonts w:ascii="Book Antiqua" w:hAnsi="Book Antiqua"/>
          <w:noProof/>
          <w:sz w:val="24"/>
        </w:rPr>
        <w:t xml:space="preserve"> further established a clear association between non-insulin dependent diabetes mellitus (NIDDM) with neuropathy which is an incidence of vascular disease and retinopathy, he further suggested that DM is a probable risk factor for AD. Many more groups stepped ahead to address the fundamental question of whether the basic premise about the disease is true or not.</w:t>
      </w:r>
    </w:p>
    <w:p w:rsidR="001B73A3" w:rsidRPr="007417D2" w:rsidRDefault="00FA235F" w:rsidP="001932D0">
      <w:pPr>
        <w:spacing w:line="360" w:lineRule="auto"/>
        <w:ind w:firstLineChars="100" w:firstLine="240"/>
        <w:rPr>
          <w:rFonts w:ascii="Book Antiqua" w:hAnsi="Book Antiqua"/>
          <w:sz w:val="24"/>
        </w:rPr>
      </w:pPr>
      <w:r w:rsidRPr="007417D2">
        <w:rPr>
          <w:rFonts w:ascii="Book Antiqua" w:hAnsi="Book Antiqua"/>
          <w:noProof/>
          <w:sz w:val="24"/>
        </w:rPr>
        <w:t xml:space="preserve">In 2005, </w:t>
      </w:r>
      <w:r w:rsidRPr="007417D2">
        <w:rPr>
          <w:rFonts w:ascii="Book Antiqua" w:hAnsi="Book Antiqua"/>
          <w:sz w:val="24"/>
        </w:rPr>
        <w:t>Susanne de la Monte</w:t>
      </w:r>
      <w:r w:rsidR="001E2ACC" w:rsidRPr="007417D2">
        <w:rPr>
          <w:rFonts w:ascii="Book Antiqua" w:hAnsi="Book Antiqua"/>
          <w:sz w:val="24"/>
        </w:rPr>
        <w:t>’</w:t>
      </w:r>
      <w:r w:rsidRPr="007417D2">
        <w:rPr>
          <w:rFonts w:ascii="Book Antiqua" w:hAnsi="Book Antiqua"/>
          <w:sz w:val="24"/>
        </w:rPr>
        <w:t xml:space="preserve">s group at Brown University has added the emerging concept of brain diabetes or </w:t>
      </w:r>
      <w:r w:rsidR="001932D0">
        <w:rPr>
          <w:rFonts w:ascii="Book Antiqua" w:hAnsi="Book Antiqua"/>
          <w:sz w:val="24"/>
        </w:rPr>
        <w:t>T3D</w:t>
      </w:r>
      <w:r w:rsidRPr="007417D2">
        <w:rPr>
          <w:rFonts w:ascii="Book Antiqua" w:hAnsi="Book Antiqua"/>
          <w:sz w:val="24"/>
        </w:rPr>
        <w:t xml:space="preserve"> and observed that after blocking brain insulin supply, neurons get disoriented and develops AD pathology in rats. This provided a promising platform to investigators to touch insight of T3D or brain </w:t>
      </w:r>
      <w:proofErr w:type="gramStart"/>
      <w:r w:rsidRPr="007417D2">
        <w:rPr>
          <w:rFonts w:ascii="Book Antiqua" w:hAnsi="Book Antiqua"/>
          <w:sz w:val="24"/>
        </w:rPr>
        <w:t>diabetes</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50]</w:t>
      </w:r>
      <w:r w:rsidR="001932D0">
        <w:rPr>
          <w:rFonts w:ascii="Book Antiqua" w:hAnsi="Book Antiqua"/>
          <w:sz w:val="24"/>
        </w:rPr>
        <w:t>. In 2007, Li</w:t>
      </w:r>
      <w:r w:rsidRPr="007417D2">
        <w:rPr>
          <w:rFonts w:ascii="Book Antiqua" w:hAnsi="Book Antiqua"/>
          <w:sz w:val="24"/>
        </w:rPr>
        <w:t xml:space="preserve"> </w:t>
      </w:r>
      <w:r w:rsidRPr="007417D2">
        <w:rPr>
          <w:rFonts w:ascii="Book Antiqua" w:hAnsi="Book Antiqua"/>
          <w:i/>
          <w:sz w:val="24"/>
        </w:rPr>
        <w:t xml:space="preserve">et </w:t>
      </w:r>
      <w:proofErr w:type="gramStart"/>
      <w:r w:rsidRPr="007417D2">
        <w:rPr>
          <w:rFonts w:ascii="Book Antiqua" w:hAnsi="Book Antiqua"/>
          <w:i/>
          <w:sz w:val="24"/>
        </w:rPr>
        <w:t>al</w:t>
      </w:r>
      <w:r w:rsidR="0023162B" w:rsidRPr="007417D2">
        <w:rPr>
          <w:rFonts w:ascii="Book Antiqua" w:hAnsi="Book Antiqua"/>
          <w:noProof/>
          <w:sz w:val="24"/>
          <w:vertAlign w:val="superscript"/>
        </w:rPr>
        <w:t>[</w:t>
      </w:r>
      <w:proofErr w:type="gramEnd"/>
      <w:r w:rsidR="0023162B" w:rsidRPr="007417D2">
        <w:rPr>
          <w:rFonts w:ascii="Book Antiqua" w:hAnsi="Book Antiqua"/>
          <w:noProof/>
          <w:sz w:val="24"/>
          <w:vertAlign w:val="superscript"/>
        </w:rPr>
        <w:t>5</w:t>
      </w:r>
      <w:r w:rsidR="001932D0">
        <w:rPr>
          <w:rFonts w:ascii="Book Antiqua" w:hAnsi="Book Antiqua" w:hint="eastAsia"/>
          <w:noProof/>
          <w:sz w:val="24"/>
          <w:vertAlign w:val="superscript"/>
        </w:rPr>
        <w:t>0</w:t>
      </w:r>
      <w:r w:rsidR="0023162B" w:rsidRPr="007417D2">
        <w:rPr>
          <w:rFonts w:ascii="Book Antiqua" w:hAnsi="Book Antiqua"/>
          <w:noProof/>
          <w:sz w:val="24"/>
          <w:vertAlign w:val="superscript"/>
        </w:rPr>
        <w:t>]</w:t>
      </w:r>
      <w:r w:rsidRPr="007417D2">
        <w:rPr>
          <w:rFonts w:ascii="Book Antiqua" w:hAnsi="Book Antiqua"/>
          <w:sz w:val="24"/>
        </w:rPr>
        <w:t xml:space="preserve"> published a review dedicated to common pathological process in AD and T2D which shared molecular degenerative cascades like dysfunction in insulin signaling pathway. In 2008, Suzanne de la Monte </w:t>
      </w:r>
      <w:r w:rsidR="001932D0" w:rsidRPr="007417D2">
        <w:rPr>
          <w:rFonts w:ascii="Book Antiqua" w:hAnsi="Book Antiqua"/>
          <w:i/>
          <w:sz w:val="24"/>
        </w:rPr>
        <w:t xml:space="preserve">et </w:t>
      </w:r>
      <w:proofErr w:type="gramStart"/>
      <w:r w:rsidR="001932D0" w:rsidRPr="007417D2">
        <w:rPr>
          <w:rFonts w:ascii="Book Antiqua" w:hAnsi="Book Antiqua"/>
          <w:i/>
          <w:sz w:val="24"/>
        </w:rPr>
        <w:t>al</w:t>
      </w:r>
      <w:r w:rsidR="001932D0" w:rsidRPr="007417D2">
        <w:rPr>
          <w:rFonts w:ascii="Book Antiqua" w:hAnsi="Book Antiqua"/>
          <w:noProof/>
          <w:sz w:val="24"/>
          <w:vertAlign w:val="superscript"/>
        </w:rPr>
        <w:t>[</w:t>
      </w:r>
      <w:proofErr w:type="gramEnd"/>
      <w:r w:rsidR="001932D0" w:rsidRPr="007417D2">
        <w:rPr>
          <w:rFonts w:ascii="Book Antiqua" w:hAnsi="Book Antiqua"/>
          <w:noProof/>
          <w:sz w:val="24"/>
          <w:vertAlign w:val="superscript"/>
        </w:rPr>
        <w:t>5</w:t>
      </w:r>
      <w:r w:rsidR="001932D0">
        <w:rPr>
          <w:rFonts w:ascii="Book Antiqua" w:hAnsi="Book Antiqua" w:hint="eastAsia"/>
          <w:noProof/>
          <w:sz w:val="24"/>
          <w:vertAlign w:val="superscript"/>
        </w:rPr>
        <w:t>1</w:t>
      </w:r>
      <w:r w:rsidR="001932D0" w:rsidRPr="007417D2">
        <w:rPr>
          <w:rFonts w:ascii="Book Antiqua" w:hAnsi="Book Antiqua"/>
          <w:noProof/>
          <w:sz w:val="24"/>
          <w:vertAlign w:val="superscript"/>
        </w:rPr>
        <w:t>]</w:t>
      </w:r>
      <w:r w:rsidR="001932D0">
        <w:rPr>
          <w:rFonts w:ascii="Book Antiqua" w:hAnsi="Book Antiqua" w:hint="eastAsia"/>
          <w:noProof/>
          <w:sz w:val="24"/>
          <w:vertAlign w:val="superscript"/>
        </w:rPr>
        <w:t xml:space="preserve"> </w:t>
      </w:r>
      <w:r w:rsidRPr="007417D2">
        <w:rPr>
          <w:rFonts w:ascii="Book Antiqua" w:hAnsi="Book Antiqua"/>
          <w:sz w:val="24"/>
        </w:rPr>
        <w:t xml:space="preserve">reappeared with some more set of explanations which were unclear in 2005. Diabetic brain was found to be compromised for acetylcholine homeostasis and cognitive impairment, whereas insulin sensitizers rescued these </w:t>
      </w:r>
      <w:proofErr w:type="gramStart"/>
      <w:r w:rsidRPr="007417D2">
        <w:rPr>
          <w:rFonts w:ascii="Book Antiqua" w:hAnsi="Book Antiqua"/>
          <w:sz w:val="24"/>
        </w:rPr>
        <w:t>effects</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52]</w:t>
      </w:r>
      <w:r w:rsidRPr="007417D2">
        <w:rPr>
          <w:rFonts w:ascii="Book Antiqua" w:hAnsi="Book Antiqua"/>
          <w:sz w:val="24"/>
        </w:rPr>
        <w:t xml:space="preserve">. In 2009, Gotz </w:t>
      </w:r>
      <w:r w:rsidR="0023162B" w:rsidRPr="007417D2">
        <w:rPr>
          <w:rFonts w:ascii="Book Antiqua" w:hAnsi="Book Antiqua"/>
          <w:i/>
          <w:sz w:val="24"/>
        </w:rPr>
        <w:t xml:space="preserve">et </w:t>
      </w:r>
      <w:proofErr w:type="gramStart"/>
      <w:r w:rsidR="0023162B" w:rsidRPr="007417D2">
        <w:rPr>
          <w:rFonts w:ascii="Book Antiqua" w:hAnsi="Book Antiqua"/>
          <w:i/>
          <w:sz w:val="24"/>
        </w:rPr>
        <w:t>al</w:t>
      </w:r>
      <w:r w:rsidR="0023162B" w:rsidRPr="007417D2">
        <w:rPr>
          <w:rFonts w:ascii="Book Antiqua" w:hAnsi="Book Antiqua"/>
          <w:noProof/>
          <w:sz w:val="24"/>
          <w:vertAlign w:val="superscript"/>
        </w:rPr>
        <w:t>[</w:t>
      </w:r>
      <w:proofErr w:type="gramEnd"/>
      <w:r w:rsidR="0023162B" w:rsidRPr="007417D2">
        <w:rPr>
          <w:rFonts w:ascii="Book Antiqua" w:hAnsi="Book Antiqua"/>
          <w:noProof/>
          <w:sz w:val="24"/>
          <w:vertAlign w:val="superscript"/>
        </w:rPr>
        <w:t>53]</w:t>
      </w:r>
      <w:r w:rsidRPr="007417D2">
        <w:rPr>
          <w:rFonts w:ascii="Book Antiqua" w:hAnsi="Book Antiqua"/>
          <w:sz w:val="24"/>
        </w:rPr>
        <w:t xml:space="preserve"> opened an article with molecular commonalities between T2D and AD with hallmark feature of amylin deposition in pancreatic islets of T2D patients, whereas Aβ and NFTs deposition in AD brain which are characteristic fibrillar proteins leading to cell loss. In 2010, Saini </w:t>
      </w:r>
      <w:r w:rsidRPr="007417D2">
        <w:rPr>
          <w:rFonts w:ascii="Book Antiqua" w:hAnsi="Book Antiqua"/>
          <w:i/>
          <w:sz w:val="24"/>
        </w:rPr>
        <w:t xml:space="preserve">et </w:t>
      </w:r>
      <w:proofErr w:type="gramStart"/>
      <w:r w:rsidRPr="007417D2">
        <w:rPr>
          <w:rFonts w:ascii="Book Antiqua" w:hAnsi="Book Antiqua"/>
          <w:i/>
          <w:sz w:val="24"/>
        </w:rPr>
        <w:t>al</w:t>
      </w:r>
      <w:r w:rsidR="0023162B" w:rsidRPr="007417D2">
        <w:rPr>
          <w:rFonts w:ascii="Book Antiqua" w:hAnsi="Book Antiqua"/>
          <w:noProof/>
          <w:sz w:val="24"/>
          <w:vertAlign w:val="superscript"/>
        </w:rPr>
        <w:t>[</w:t>
      </w:r>
      <w:proofErr w:type="gramEnd"/>
      <w:r w:rsidR="0023162B" w:rsidRPr="007417D2">
        <w:rPr>
          <w:rFonts w:ascii="Book Antiqua" w:hAnsi="Book Antiqua"/>
          <w:noProof/>
          <w:sz w:val="24"/>
          <w:vertAlign w:val="superscript"/>
        </w:rPr>
        <w:t xml:space="preserve">54] </w:t>
      </w:r>
      <w:r w:rsidRPr="007417D2">
        <w:rPr>
          <w:rFonts w:ascii="Book Antiqua" w:hAnsi="Book Antiqua"/>
          <w:sz w:val="24"/>
        </w:rPr>
        <w:t xml:space="preserve">contributed a relevant publication to </w:t>
      </w:r>
      <w:r w:rsidRPr="007417D2">
        <w:rPr>
          <w:rFonts w:ascii="Book Antiqua" w:hAnsi="Book Antiqua"/>
          <w:i/>
          <w:sz w:val="24"/>
        </w:rPr>
        <w:t>World Journal of Diabetes</w:t>
      </w:r>
      <w:r w:rsidRPr="007417D2">
        <w:rPr>
          <w:rFonts w:ascii="Book Antiqua" w:hAnsi="Book Antiqua"/>
          <w:sz w:val="24"/>
        </w:rPr>
        <w:t xml:space="preserve">, establishing a molecular mechanism of </w:t>
      </w:r>
      <w:r w:rsidR="00D3592B" w:rsidRPr="007417D2">
        <w:rPr>
          <w:rFonts w:ascii="Book Antiqua" w:hAnsi="Book Antiqua"/>
          <w:sz w:val="24"/>
        </w:rPr>
        <w:t>IR</w:t>
      </w:r>
      <w:r w:rsidRPr="007417D2">
        <w:rPr>
          <w:rFonts w:ascii="Book Antiqua" w:hAnsi="Book Antiqua"/>
          <w:sz w:val="24"/>
        </w:rPr>
        <w:t xml:space="preserve"> in T2D. Crucial molecular players of these pathways came into the picture and provided new therapeutic targets. Streptozotocin induced diabetic rat model showed co-appearance of tau hyperphosphorylation and cognitive decline as interesting </w:t>
      </w:r>
      <w:proofErr w:type="gramStart"/>
      <w:r w:rsidRPr="007417D2">
        <w:rPr>
          <w:rFonts w:ascii="Book Antiqua" w:hAnsi="Book Antiqua"/>
          <w:sz w:val="24"/>
        </w:rPr>
        <w:t>evidence</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55]</w:t>
      </w:r>
      <w:r w:rsidRPr="007417D2">
        <w:rPr>
          <w:rFonts w:ascii="Book Antiqua" w:hAnsi="Book Antiqua"/>
          <w:sz w:val="24"/>
        </w:rPr>
        <w:t>.</w:t>
      </w:r>
      <w:r w:rsidRPr="007417D2">
        <w:rPr>
          <w:rFonts w:ascii="Book Antiqua" w:hAnsi="Book Antiqua"/>
          <w:noProof/>
          <w:sz w:val="24"/>
        </w:rPr>
        <w:t xml:space="preserve"> On the basis of clinical and biochemical evidences, it was further suggested that both of these diseases promote each other’s progression</w:t>
      </w:r>
      <w:r w:rsidRPr="007417D2">
        <w:rPr>
          <w:rFonts w:ascii="Book Antiqua" w:hAnsi="Book Antiqua"/>
          <w:noProof/>
          <w:sz w:val="24"/>
          <w:vertAlign w:val="superscript"/>
        </w:rPr>
        <w:t>[56]</w:t>
      </w:r>
      <w:r w:rsidRPr="007417D2">
        <w:rPr>
          <w:rFonts w:ascii="Book Antiqua" w:hAnsi="Book Antiqua"/>
          <w:noProof/>
          <w:sz w:val="24"/>
        </w:rPr>
        <w:t>.</w:t>
      </w:r>
      <w:r w:rsidR="00D3592B">
        <w:rPr>
          <w:rFonts w:ascii="Book Antiqua" w:hAnsi="Book Antiqua"/>
          <w:noProof/>
          <w:sz w:val="24"/>
        </w:rPr>
        <w:t xml:space="preserve"> </w:t>
      </w:r>
      <w:r w:rsidRPr="007417D2">
        <w:rPr>
          <w:rFonts w:ascii="Book Antiqua" w:hAnsi="Book Antiqua"/>
          <w:sz w:val="24"/>
        </w:rPr>
        <w:t xml:space="preserve">It has been recently found that proinflammatory signals in the brain impair insulin signaling, mitochondrial </w:t>
      </w:r>
      <w:r w:rsidRPr="007417D2">
        <w:rPr>
          <w:rFonts w:ascii="Book Antiqua" w:hAnsi="Book Antiqua"/>
          <w:sz w:val="24"/>
        </w:rPr>
        <w:lastRenderedPageBreak/>
        <w:t xml:space="preserve">dysfunction, synaptic crosstalk as well as cognitive </w:t>
      </w:r>
      <w:proofErr w:type="gramStart"/>
      <w:r w:rsidRPr="007417D2">
        <w:rPr>
          <w:rFonts w:ascii="Book Antiqua" w:hAnsi="Book Antiqua"/>
          <w:sz w:val="24"/>
        </w:rPr>
        <w:t>impairment</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57]</w:t>
      </w:r>
      <w:r w:rsidRPr="007417D2">
        <w:rPr>
          <w:rFonts w:ascii="Book Antiqua" w:hAnsi="Book Antiqua"/>
          <w:sz w:val="24"/>
        </w:rPr>
        <w:t>.</w:t>
      </w:r>
    </w:p>
    <w:p w:rsidR="00FA235F" w:rsidRPr="007417D2" w:rsidRDefault="00FA235F" w:rsidP="001932D0">
      <w:pPr>
        <w:spacing w:line="360" w:lineRule="auto"/>
        <w:ind w:firstLineChars="100" w:firstLine="240"/>
        <w:rPr>
          <w:rFonts w:ascii="Book Antiqua" w:hAnsi="Book Antiqua"/>
          <w:sz w:val="24"/>
        </w:rPr>
      </w:pPr>
      <w:r w:rsidRPr="007417D2">
        <w:rPr>
          <w:rFonts w:ascii="Book Antiqua" w:hAnsi="Book Antiqua"/>
          <w:sz w:val="24"/>
        </w:rPr>
        <w:t xml:space="preserve">Since 1980, many reports are being added to summarize the co relation between these two distinct problems with common molecular and cellular interface. Glucose metabolism and insulin signaling are major elements bridging AD and diabetes. Some relevant reports, unraveling the twin mystery of AD and DM are listed in </w:t>
      </w:r>
      <w:r w:rsidRPr="001932D0">
        <w:rPr>
          <w:rFonts w:ascii="Book Antiqua" w:hAnsi="Book Antiqua"/>
          <w:sz w:val="24"/>
        </w:rPr>
        <w:t>Table 1.</w:t>
      </w:r>
    </w:p>
    <w:p w:rsidR="0005622E" w:rsidRPr="007417D2" w:rsidRDefault="0005622E" w:rsidP="007417D2">
      <w:pPr>
        <w:spacing w:line="360" w:lineRule="auto"/>
        <w:rPr>
          <w:rFonts w:ascii="Book Antiqua" w:hAnsi="Book Antiqua"/>
          <w:b/>
          <w:sz w:val="24"/>
        </w:rPr>
      </w:pPr>
    </w:p>
    <w:p w:rsidR="00FA235F" w:rsidRPr="00D3592B" w:rsidRDefault="00FA235F" w:rsidP="007417D2">
      <w:pPr>
        <w:spacing w:line="360" w:lineRule="auto"/>
        <w:rPr>
          <w:rFonts w:ascii="Book Antiqua" w:hAnsi="Book Antiqua"/>
          <w:b/>
          <w:sz w:val="24"/>
        </w:rPr>
      </w:pPr>
      <w:r w:rsidRPr="00D3592B">
        <w:rPr>
          <w:rFonts w:ascii="Book Antiqua" w:hAnsi="Book Antiqua"/>
          <w:b/>
          <w:sz w:val="24"/>
        </w:rPr>
        <w:t>THE CHICKEN OR EGG QUESTION</w:t>
      </w:r>
    </w:p>
    <w:p w:rsidR="00FA235F" w:rsidRPr="007417D2" w:rsidRDefault="00FA235F" w:rsidP="007417D2">
      <w:pPr>
        <w:pStyle w:val="ListParagraph"/>
        <w:spacing w:after="0" w:line="360" w:lineRule="auto"/>
        <w:ind w:left="0"/>
        <w:jc w:val="both"/>
        <w:rPr>
          <w:rFonts w:ascii="Book Antiqua" w:hAnsi="Book Antiqua"/>
          <w:sz w:val="24"/>
          <w:szCs w:val="24"/>
        </w:rPr>
      </w:pPr>
      <w:r w:rsidRPr="007417D2">
        <w:rPr>
          <w:rFonts w:ascii="Book Antiqua" w:hAnsi="Book Antiqua"/>
          <w:sz w:val="24"/>
          <w:szCs w:val="24"/>
        </w:rPr>
        <w:t xml:space="preserve">In spite of so many striking evidences, due to common interface of homeostatic mechanisms of AD and DM, the chicken or the egg question has remained unresolved. Citing all relevant findings, in 2005, first time Suzanne de la Monte has introduced insulin signaling dysfunction as a core of AD. To untangle this mystery, evidence of crosstalk between AD and DM, were put forward as crucial milestones. Patients with T2D were found to be at high risk of developing mild cognitive impairment (MCI), dementia and </w:t>
      </w:r>
      <w:proofErr w:type="gramStart"/>
      <w:r w:rsidRPr="007417D2">
        <w:rPr>
          <w:rFonts w:ascii="Book Antiqua" w:hAnsi="Book Antiqua"/>
          <w:sz w:val="24"/>
          <w:szCs w:val="24"/>
        </w:rPr>
        <w:t>AD</w:t>
      </w:r>
      <w:r w:rsidR="001932D0">
        <w:rPr>
          <w:rFonts w:ascii="Book Antiqua" w:hAnsi="Book Antiqua"/>
          <w:noProof/>
          <w:sz w:val="24"/>
          <w:szCs w:val="24"/>
          <w:vertAlign w:val="superscript"/>
        </w:rPr>
        <w:t>[</w:t>
      </w:r>
      <w:proofErr w:type="gramEnd"/>
      <w:r w:rsidR="001932D0">
        <w:rPr>
          <w:rFonts w:ascii="Book Antiqua" w:hAnsi="Book Antiqua"/>
          <w:noProof/>
          <w:sz w:val="24"/>
          <w:szCs w:val="24"/>
          <w:vertAlign w:val="superscript"/>
        </w:rPr>
        <w:t>60,</w:t>
      </w:r>
      <w:r w:rsidRPr="007417D2">
        <w:rPr>
          <w:rFonts w:ascii="Book Antiqua" w:hAnsi="Book Antiqua"/>
          <w:noProof/>
          <w:sz w:val="24"/>
          <w:szCs w:val="24"/>
          <w:vertAlign w:val="superscript"/>
        </w:rPr>
        <w:t>61]</w:t>
      </w:r>
      <w:r w:rsidRPr="007417D2">
        <w:rPr>
          <w:rFonts w:ascii="Book Antiqua" w:hAnsi="Book Antiqua"/>
          <w:sz w:val="24"/>
          <w:szCs w:val="24"/>
        </w:rPr>
        <w:t xml:space="preserve">. Similar type of evidence for MCI, dementia and AD were found in experimental models of </w:t>
      </w:r>
      <w:proofErr w:type="gramStart"/>
      <w:r w:rsidRPr="007417D2">
        <w:rPr>
          <w:rFonts w:ascii="Book Antiqua" w:hAnsi="Book Antiqua"/>
          <w:sz w:val="24"/>
          <w:szCs w:val="24"/>
        </w:rPr>
        <w:t>diabetes</w:t>
      </w:r>
      <w:r w:rsidR="001932D0">
        <w:rPr>
          <w:rFonts w:ascii="Book Antiqua" w:hAnsi="Book Antiqua"/>
          <w:noProof/>
          <w:sz w:val="24"/>
          <w:szCs w:val="24"/>
          <w:vertAlign w:val="superscript"/>
        </w:rPr>
        <w:t>[</w:t>
      </w:r>
      <w:proofErr w:type="gramEnd"/>
      <w:r w:rsidR="001932D0">
        <w:rPr>
          <w:rFonts w:ascii="Book Antiqua" w:hAnsi="Book Antiqua"/>
          <w:noProof/>
          <w:sz w:val="24"/>
          <w:szCs w:val="24"/>
          <w:vertAlign w:val="superscript"/>
        </w:rPr>
        <w:t>56,</w:t>
      </w:r>
      <w:r w:rsidRPr="007417D2">
        <w:rPr>
          <w:rFonts w:ascii="Book Antiqua" w:hAnsi="Book Antiqua"/>
          <w:noProof/>
          <w:sz w:val="24"/>
          <w:szCs w:val="24"/>
          <w:vertAlign w:val="superscript"/>
        </w:rPr>
        <w:t>62-65]</w:t>
      </w:r>
      <w:r w:rsidRPr="007417D2">
        <w:rPr>
          <w:rFonts w:ascii="Book Antiqua" w:hAnsi="Book Antiqua"/>
          <w:sz w:val="24"/>
          <w:szCs w:val="24"/>
        </w:rPr>
        <w:t xml:space="preserve">. AD brains has also reciprocated the pathogenesis in the same way and showed insulin </w:t>
      </w:r>
      <w:proofErr w:type="gramStart"/>
      <w:r w:rsidRPr="007417D2">
        <w:rPr>
          <w:rFonts w:ascii="Book Antiqua" w:hAnsi="Book Antiqua"/>
          <w:sz w:val="24"/>
          <w:szCs w:val="24"/>
        </w:rPr>
        <w:t>deficiency</w:t>
      </w:r>
      <w:r w:rsidR="001932D0">
        <w:rPr>
          <w:rFonts w:ascii="Book Antiqua" w:hAnsi="Book Antiqua"/>
          <w:noProof/>
          <w:sz w:val="24"/>
          <w:szCs w:val="24"/>
          <w:vertAlign w:val="superscript"/>
        </w:rPr>
        <w:t>[</w:t>
      </w:r>
      <w:proofErr w:type="gramEnd"/>
      <w:r w:rsidR="001932D0">
        <w:rPr>
          <w:rFonts w:ascii="Book Antiqua" w:hAnsi="Book Antiqua"/>
          <w:noProof/>
          <w:sz w:val="24"/>
          <w:szCs w:val="24"/>
          <w:vertAlign w:val="superscript"/>
        </w:rPr>
        <w:t>24,</w:t>
      </w:r>
      <w:r w:rsidRPr="007417D2">
        <w:rPr>
          <w:rFonts w:ascii="Book Antiqua" w:hAnsi="Book Antiqua"/>
          <w:noProof/>
          <w:sz w:val="24"/>
          <w:szCs w:val="24"/>
          <w:vertAlign w:val="superscript"/>
        </w:rPr>
        <w:t>66-68]</w:t>
      </w:r>
      <w:r w:rsidRPr="007417D2">
        <w:rPr>
          <w:rFonts w:ascii="Book Antiqua" w:hAnsi="Book Antiqua"/>
          <w:sz w:val="24"/>
          <w:szCs w:val="24"/>
        </w:rPr>
        <w:t xml:space="preserve">. Studies with AD patients and animal model of AD showed that intranasal insulin therapy significantly improved cognitive </w:t>
      </w:r>
      <w:proofErr w:type="gramStart"/>
      <w:r w:rsidRPr="007417D2">
        <w:rPr>
          <w:rFonts w:ascii="Book Antiqua" w:hAnsi="Book Antiqua"/>
          <w:sz w:val="24"/>
          <w:szCs w:val="24"/>
        </w:rPr>
        <w:t>performance</w:t>
      </w:r>
      <w:r w:rsidRPr="007417D2">
        <w:rPr>
          <w:rFonts w:ascii="Book Antiqua" w:hAnsi="Book Antiqua"/>
          <w:noProof/>
          <w:sz w:val="24"/>
          <w:szCs w:val="24"/>
          <w:vertAlign w:val="superscript"/>
        </w:rPr>
        <w:t>[</w:t>
      </w:r>
      <w:proofErr w:type="gramEnd"/>
      <w:r w:rsidRPr="007417D2">
        <w:rPr>
          <w:rFonts w:ascii="Book Antiqua" w:hAnsi="Book Antiqua"/>
          <w:noProof/>
          <w:sz w:val="24"/>
          <w:szCs w:val="24"/>
          <w:vertAlign w:val="superscript"/>
        </w:rPr>
        <w:t>69-71]</w:t>
      </w:r>
      <w:r w:rsidR="001932D0">
        <w:rPr>
          <w:rFonts w:ascii="Book Antiqua" w:hAnsi="Book Antiqua"/>
          <w:sz w:val="24"/>
          <w:szCs w:val="24"/>
        </w:rPr>
        <w:t>.</w:t>
      </w:r>
      <w:r w:rsidRPr="007417D2">
        <w:rPr>
          <w:rFonts w:ascii="Book Antiqua" w:hAnsi="Book Antiqua"/>
          <w:sz w:val="24"/>
          <w:szCs w:val="24"/>
        </w:rPr>
        <w:t xml:space="preserve"> These clinical and experimental studies suggested that both of these disorders share common biochemical and molecular configuration and co-</w:t>
      </w:r>
      <w:proofErr w:type="gramStart"/>
      <w:r w:rsidRPr="007417D2">
        <w:rPr>
          <w:rFonts w:ascii="Book Antiqua" w:hAnsi="Book Antiqua"/>
          <w:sz w:val="24"/>
          <w:szCs w:val="24"/>
        </w:rPr>
        <w:t>ordination</w:t>
      </w:r>
      <w:r w:rsidR="001932D0">
        <w:rPr>
          <w:rFonts w:ascii="Book Antiqua" w:hAnsi="Book Antiqua"/>
          <w:noProof/>
          <w:sz w:val="24"/>
          <w:szCs w:val="24"/>
          <w:vertAlign w:val="superscript"/>
        </w:rPr>
        <w:t>[</w:t>
      </w:r>
      <w:proofErr w:type="gramEnd"/>
      <w:r w:rsidR="001932D0">
        <w:rPr>
          <w:rFonts w:ascii="Book Antiqua" w:hAnsi="Book Antiqua"/>
          <w:noProof/>
          <w:sz w:val="24"/>
          <w:szCs w:val="24"/>
          <w:vertAlign w:val="superscript"/>
        </w:rPr>
        <w:t>60,72,</w:t>
      </w:r>
      <w:r w:rsidRPr="007417D2">
        <w:rPr>
          <w:rFonts w:ascii="Book Antiqua" w:hAnsi="Book Antiqua"/>
          <w:noProof/>
          <w:sz w:val="24"/>
          <w:szCs w:val="24"/>
          <w:vertAlign w:val="superscript"/>
        </w:rPr>
        <w:t>73]</w:t>
      </w:r>
      <w:r w:rsidRPr="007417D2">
        <w:rPr>
          <w:rFonts w:ascii="Book Antiqua" w:hAnsi="Book Antiqua"/>
          <w:sz w:val="24"/>
          <w:szCs w:val="24"/>
        </w:rPr>
        <w:t xml:space="preserve">. Some of these common bridging elements have been schematically represented in </w:t>
      </w:r>
      <w:r w:rsidRPr="001932D0">
        <w:rPr>
          <w:rFonts w:ascii="Book Antiqua" w:hAnsi="Book Antiqua"/>
          <w:sz w:val="24"/>
          <w:szCs w:val="24"/>
        </w:rPr>
        <w:t>Figure 1.</w:t>
      </w:r>
      <w:r w:rsidRPr="007417D2">
        <w:rPr>
          <w:rFonts w:ascii="Book Antiqua" w:hAnsi="Book Antiqua"/>
          <w:sz w:val="24"/>
          <w:szCs w:val="24"/>
        </w:rPr>
        <w:t xml:space="preserve"> Interestingly, insulin has been found to regulate Aβ and tau metabolism, which are major hallmarks of </w:t>
      </w:r>
      <w:proofErr w:type="gramStart"/>
      <w:r w:rsidRPr="007417D2">
        <w:rPr>
          <w:rFonts w:ascii="Book Antiqua" w:hAnsi="Book Antiqua"/>
          <w:sz w:val="24"/>
          <w:szCs w:val="24"/>
        </w:rPr>
        <w:t>AD</w:t>
      </w:r>
      <w:r w:rsidR="001932D0">
        <w:rPr>
          <w:rFonts w:ascii="Book Antiqua" w:hAnsi="Book Antiqua"/>
          <w:noProof/>
          <w:sz w:val="24"/>
          <w:szCs w:val="24"/>
          <w:vertAlign w:val="superscript"/>
        </w:rPr>
        <w:t>[</w:t>
      </w:r>
      <w:proofErr w:type="gramEnd"/>
      <w:r w:rsidR="001932D0">
        <w:rPr>
          <w:rFonts w:ascii="Book Antiqua" w:hAnsi="Book Antiqua"/>
          <w:noProof/>
          <w:sz w:val="24"/>
          <w:szCs w:val="24"/>
          <w:vertAlign w:val="superscript"/>
        </w:rPr>
        <w:t>74,</w:t>
      </w:r>
      <w:r w:rsidRPr="007417D2">
        <w:rPr>
          <w:rFonts w:ascii="Book Antiqua" w:hAnsi="Book Antiqua"/>
          <w:noProof/>
          <w:sz w:val="24"/>
          <w:szCs w:val="24"/>
          <w:vertAlign w:val="superscript"/>
        </w:rPr>
        <w:t>75]</w:t>
      </w:r>
      <w:r w:rsidRPr="007417D2">
        <w:rPr>
          <w:rFonts w:ascii="Book Antiqua" w:hAnsi="Book Antiqua"/>
          <w:sz w:val="24"/>
          <w:szCs w:val="24"/>
        </w:rPr>
        <w:t xml:space="preserve">. </w:t>
      </w:r>
      <w:r w:rsidRPr="007417D2">
        <w:rPr>
          <w:rFonts w:ascii="Book Antiqua" w:hAnsi="Book Antiqua"/>
          <w:noProof/>
          <w:sz w:val="24"/>
          <w:szCs w:val="24"/>
        </w:rPr>
        <w:t>It is also evident that in T2D patients insulin metabolism dysfunction accelerates AβPP (amyloid beta precursor proten)/Aβ trafficking from trans-Golgi network, a major site for Aβ generation and alters dynamicity of a Aβ synthesis</w:t>
      </w:r>
      <w:r w:rsidRPr="007417D2">
        <w:rPr>
          <w:rFonts w:ascii="Book Antiqua" w:hAnsi="Book Antiqua"/>
          <w:noProof/>
          <w:sz w:val="24"/>
          <w:szCs w:val="24"/>
          <w:vertAlign w:val="superscript"/>
        </w:rPr>
        <w:t>[75]</w:t>
      </w:r>
      <w:r w:rsidRPr="007417D2">
        <w:rPr>
          <w:rFonts w:ascii="Book Antiqua" w:hAnsi="Book Antiqua"/>
          <w:noProof/>
          <w:sz w:val="24"/>
          <w:szCs w:val="24"/>
        </w:rPr>
        <w:t>. Some studies claim for the presence of some downstream regulators of insulin signaling pathway which are involved in cleavage of AβPP at γ-secretase site, a determining site for Aβ amyloidogenicity</w:t>
      </w:r>
      <w:r w:rsidRPr="007417D2">
        <w:rPr>
          <w:rFonts w:ascii="Book Antiqua" w:hAnsi="Book Antiqua"/>
          <w:noProof/>
          <w:sz w:val="24"/>
          <w:szCs w:val="24"/>
          <w:vertAlign w:val="superscript"/>
        </w:rPr>
        <w:t>[76]</w:t>
      </w:r>
      <w:r w:rsidRPr="007417D2">
        <w:rPr>
          <w:rFonts w:ascii="Book Antiqua" w:hAnsi="Book Antiqua"/>
          <w:noProof/>
          <w:sz w:val="24"/>
          <w:szCs w:val="24"/>
        </w:rPr>
        <w:t xml:space="preserve">. Although, investigators found an array of evidences of common features in both of these disorders, </w:t>
      </w:r>
      <w:r w:rsidRPr="007417D2">
        <w:rPr>
          <w:rFonts w:ascii="Book Antiqua" w:hAnsi="Book Antiqua"/>
          <w:sz w:val="24"/>
          <w:szCs w:val="24"/>
        </w:rPr>
        <w:t xml:space="preserve">the chicken or the egg question is still valid and </w:t>
      </w:r>
      <w:r w:rsidRPr="007417D2">
        <w:rPr>
          <w:rFonts w:ascii="Book Antiqua" w:hAnsi="Book Antiqua"/>
          <w:sz w:val="24"/>
          <w:szCs w:val="24"/>
        </w:rPr>
        <w:lastRenderedPageBreak/>
        <w:t xml:space="preserve">needs parsimonious explanations. Important evidences supporting the fact of AD symptoms in DM patients and DM symptoms in AD patients are listed in </w:t>
      </w:r>
      <w:r w:rsidRPr="001932D0">
        <w:rPr>
          <w:rFonts w:ascii="Book Antiqua" w:hAnsi="Book Antiqua"/>
          <w:sz w:val="24"/>
          <w:szCs w:val="24"/>
        </w:rPr>
        <w:t>T</w:t>
      </w:r>
      <w:r w:rsidR="00E72C71" w:rsidRPr="001932D0">
        <w:rPr>
          <w:rFonts w:ascii="Book Antiqua" w:hAnsi="Book Antiqua"/>
          <w:sz w:val="24"/>
          <w:szCs w:val="24"/>
        </w:rPr>
        <w:t>able 2</w:t>
      </w:r>
      <w:r w:rsidRPr="001932D0">
        <w:rPr>
          <w:rFonts w:ascii="Book Antiqua" w:hAnsi="Book Antiqua"/>
          <w:sz w:val="24"/>
          <w:szCs w:val="24"/>
        </w:rPr>
        <w:t>.</w:t>
      </w:r>
    </w:p>
    <w:p w:rsidR="00E72C71" w:rsidRPr="001932D0" w:rsidRDefault="00E72C71" w:rsidP="007417D2">
      <w:pPr>
        <w:pStyle w:val="ListParagraph"/>
        <w:spacing w:after="0" w:line="360" w:lineRule="auto"/>
        <w:ind w:left="0"/>
        <w:jc w:val="both"/>
        <w:rPr>
          <w:rFonts w:ascii="Book Antiqua" w:eastAsiaTheme="minorEastAsia" w:hAnsi="Book Antiqua"/>
          <w:b/>
          <w:sz w:val="24"/>
          <w:szCs w:val="24"/>
          <w:lang w:eastAsia="zh-CN"/>
        </w:rPr>
      </w:pPr>
    </w:p>
    <w:p w:rsidR="00FA235F" w:rsidRPr="00D3592B" w:rsidRDefault="00FA235F" w:rsidP="007417D2">
      <w:pPr>
        <w:pStyle w:val="ListParagraph"/>
        <w:spacing w:after="0" w:line="360" w:lineRule="auto"/>
        <w:ind w:left="0"/>
        <w:jc w:val="both"/>
        <w:rPr>
          <w:rFonts w:ascii="Book Antiqua" w:hAnsi="Book Antiqua"/>
          <w:b/>
          <w:sz w:val="24"/>
          <w:szCs w:val="24"/>
        </w:rPr>
      </w:pPr>
      <w:r w:rsidRPr="00D3592B">
        <w:rPr>
          <w:rFonts w:ascii="Book Antiqua" w:hAnsi="Book Antiqua"/>
          <w:b/>
          <w:sz w:val="24"/>
          <w:szCs w:val="24"/>
        </w:rPr>
        <w:t>AMYLOIDOGENESIS: A COMMON PATHOLOGY OF AD AND DIABETES</w:t>
      </w:r>
    </w:p>
    <w:p w:rsidR="00325182" w:rsidRPr="007417D2" w:rsidRDefault="00FA235F" w:rsidP="007417D2">
      <w:pPr>
        <w:spacing w:line="360" w:lineRule="auto"/>
        <w:rPr>
          <w:rFonts w:ascii="Book Antiqua" w:hAnsi="Book Antiqua"/>
          <w:sz w:val="24"/>
        </w:rPr>
      </w:pPr>
      <w:r w:rsidRPr="007417D2">
        <w:rPr>
          <w:rFonts w:ascii="Book Antiqua" w:hAnsi="Book Antiqua"/>
          <w:sz w:val="24"/>
        </w:rPr>
        <w:t xml:space="preserve">Protein structure and function is crucial for maintenance of life, moreover its mishandling leads to diverse pathological conditions. Neurodegenerative disorders lie in a class of disorders associated with different types of abnormal fibrous, extracellular poteinaceous deposits which are referred as </w:t>
      </w:r>
      <w:proofErr w:type="gramStart"/>
      <w:r w:rsidRPr="007417D2">
        <w:rPr>
          <w:rFonts w:ascii="Book Antiqua" w:hAnsi="Book Antiqua"/>
          <w:sz w:val="24"/>
        </w:rPr>
        <w:t>amyloid</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77]</w:t>
      </w:r>
      <w:r w:rsidRPr="007417D2">
        <w:rPr>
          <w:rFonts w:ascii="Book Antiqua" w:hAnsi="Book Antiqua"/>
          <w:sz w:val="24"/>
        </w:rPr>
        <w:t xml:space="preserve">. β-sheet structured insoluble moieties play an important role in the pathology of many protein miss-folding </w:t>
      </w:r>
      <w:proofErr w:type="gramStart"/>
      <w:r w:rsidRPr="007417D2">
        <w:rPr>
          <w:rFonts w:ascii="Book Antiqua" w:hAnsi="Book Antiqua"/>
          <w:sz w:val="24"/>
        </w:rPr>
        <w:t>diseases</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77]</w:t>
      </w:r>
      <w:r w:rsidRPr="007417D2">
        <w:rPr>
          <w:rFonts w:ascii="Book Antiqua" w:hAnsi="Book Antiqua"/>
          <w:sz w:val="24"/>
        </w:rPr>
        <w:t>. Globular proteins due to their tertiary structure constrain, undergo destabilization of their native structure and adopt partial folded and unfolded form while natively folded proteins are devoid of any ordered form so they passes through the stabilization process of fibrillogenesis and acquire a partially folded conformation</w:t>
      </w:r>
      <w:r w:rsidRPr="007417D2">
        <w:rPr>
          <w:rFonts w:ascii="Book Antiqua" w:hAnsi="Book Antiqua"/>
          <w:noProof/>
          <w:sz w:val="24"/>
          <w:vertAlign w:val="superscript"/>
        </w:rPr>
        <w:t>[78]</w:t>
      </w:r>
      <w:r w:rsidRPr="007417D2">
        <w:rPr>
          <w:rFonts w:ascii="Book Antiqua" w:hAnsi="Book Antiqua"/>
          <w:sz w:val="24"/>
        </w:rPr>
        <w:t xml:space="preserve">. In a crowded cellular milieu when functional protein erroneously interacts with other components and transforms itself into ordered stable form, the phenomenon known as amyloidogenesis. </w:t>
      </w:r>
    </w:p>
    <w:p w:rsidR="00FA235F" w:rsidRPr="007417D2" w:rsidRDefault="00FA235F" w:rsidP="001932D0">
      <w:pPr>
        <w:spacing w:line="360" w:lineRule="auto"/>
        <w:ind w:firstLineChars="100" w:firstLine="240"/>
        <w:rPr>
          <w:rFonts w:ascii="Book Antiqua" w:hAnsi="Book Antiqua"/>
          <w:sz w:val="24"/>
        </w:rPr>
      </w:pPr>
      <w:r w:rsidRPr="007417D2">
        <w:rPr>
          <w:rFonts w:ascii="Book Antiqua" w:hAnsi="Book Antiqua"/>
          <w:sz w:val="24"/>
        </w:rPr>
        <w:t xml:space="preserve">Interestingly AD and DM both share this class of disorders. Extracellular deposition of Aβ plaques is a feature of AD while amyloidogenic peptide deposition in pancreatic islets of Langerhans is a characteristic feature of </w:t>
      </w:r>
      <w:proofErr w:type="gramStart"/>
      <w:r w:rsidRPr="007417D2">
        <w:rPr>
          <w:rFonts w:ascii="Book Antiqua" w:hAnsi="Book Antiqua"/>
          <w:sz w:val="24"/>
        </w:rPr>
        <w:t>T2D</w:t>
      </w:r>
      <w:r w:rsidR="001932D0">
        <w:rPr>
          <w:rFonts w:ascii="Book Antiqua" w:hAnsi="Book Antiqua"/>
          <w:noProof/>
          <w:sz w:val="24"/>
          <w:vertAlign w:val="superscript"/>
        </w:rPr>
        <w:t>[</w:t>
      </w:r>
      <w:proofErr w:type="gramEnd"/>
      <w:r w:rsidR="001932D0">
        <w:rPr>
          <w:rFonts w:ascii="Book Antiqua" w:hAnsi="Book Antiqua"/>
          <w:noProof/>
          <w:sz w:val="24"/>
          <w:vertAlign w:val="superscript"/>
        </w:rPr>
        <w:t>79,</w:t>
      </w:r>
      <w:r w:rsidRPr="007417D2">
        <w:rPr>
          <w:rFonts w:ascii="Book Antiqua" w:hAnsi="Book Antiqua"/>
          <w:noProof/>
          <w:sz w:val="24"/>
          <w:vertAlign w:val="superscript"/>
        </w:rPr>
        <w:t>80]</w:t>
      </w:r>
      <w:r w:rsidRPr="007417D2">
        <w:rPr>
          <w:rFonts w:ascii="Book Antiqua" w:hAnsi="Book Antiqua"/>
          <w:sz w:val="24"/>
        </w:rPr>
        <w:t xml:space="preserve">. Amyloid deposits in islets are 37 amino acid peptides and referred as islet amyloid polypeptide (IAPP) </w:t>
      </w:r>
      <w:proofErr w:type="gramStart"/>
      <w:r w:rsidRPr="007417D2">
        <w:rPr>
          <w:rFonts w:ascii="Book Antiqua" w:hAnsi="Book Antiqua"/>
          <w:sz w:val="24"/>
        </w:rPr>
        <w:t>amylin</w:t>
      </w:r>
      <w:r w:rsidR="001932D0">
        <w:rPr>
          <w:rFonts w:ascii="Book Antiqua" w:hAnsi="Book Antiqua"/>
          <w:noProof/>
          <w:sz w:val="24"/>
          <w:vertAlign w:val="superscript"/>
        </w:rPr>
        <w:t>[</w:t>
      </w:r>
      <w:proofErr w:type="gramEnd"/>
      <w:r w:rsidR="001932D0">
        <w:rPr>
          <w:rFonts w:ascii="Book Antiqua" w:hAnsi="Book Antiqua"/>
          <w:noProof/>
          <w:sz w:val="24"/>
          <w:vertAlign w:val="superscript"/>
        </w:rPr>
        <w:t>81,</w:t>
      </w:r>
      <w:r w:rsidRPr="007417D2">
        <w:rPr>
          <w:rFonts w:ascii="Book Antiqua" w:hAnsi="Book Antiqua"/>
          <w:noProof/>
          <w:sz w:val="24"/>
          <w:vertAlign w:val="superscript"/>
        </w:rPr>
        <w:t>82]</w:t>
      </w:r>
      <w:r w:rsidRPr="007417D2">
        <w:rPr>
          <w:rFonts w:ascii="Book Antiqua" w:hAnsi="Book Antiqua"/>
          <w:sz w:val="24"/>
        </w:rPr>
        <w:t xml:space="preserve">. Aβ and IAPP have same folding patterns and </w:t>
      </w:r>
      <w:proofErr w:type="gramStart"/>
      <w:r w:rsidRPr="007417D2">
        <w:rPr>
          <w:rFonts w:ascii="Book Antiqua" w:hAnsi="Book Antiqua"/>
          <w:sz w:val="24"/>
        </w:rPr>
        <w:t>configuration</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83]</w:t>
      </w:r>
      <w:r w:rsidRPr="007417D2">
        <w:rPr>
          <w:rFonts w:ascii="Book Antiqua" w:hAnsi="Book Antiqua"/>
          <w:sz w:val="24"/>
        </w:rPr>
        <w:t>. IAPP is reported to generate islet β-cells toxicity in the same way as Aβ do in neurons. Although we are far to understand the exact mechanism of amyloid formation, it can be speculated from the emerging data that amyloid formation is a basic cause of AD, DM and other disorders related to protein deposition</w:t>
      </w:r>
      <w:r w:rsidRPr="007417D2">
        <w:rPr>
          <w:rFonts w:ascii="Book Antiqua" w:hAnsi="Book Antiqua"/>
          <w:noProof/>
          <w:sz w:val="24"/>
          <w:vertAlign w:val="superscript"/>
        </w:rPr>
        <w:t>[84-86]</w:t>
      </w:r>
      <w:r w:rsidR="001932D0" w:rsidRPr="001932D0">
        <w:rPr>
          <w:rFonts w:ascii="Book Antiqua" w:hAnsi="Book Antiqua" w:hint="eastAsia"/>
          <w:noProof/>
          <w:sz w:val="24"/>
        </w:rPr>
        <w:t>.</w:t>
      </w:r>
    </w:p>
    <w:p w:rsidR="00FA235F" w:rsidRPr="007417D2" w:rsidRDefault="00FA235F" w:rsidP="007417D2">
      <w:pPr>
        <w:spacing w:line="360" w:lineRule="auto"/>
        <w:rPr>
          <w:rFonts w:ascii="Book Antiqua" w:hAnsi="Book Antiqua"/>
          <w:b/>
          <w:sz w:val="24"/>
        </w:rPr>
      </w:pPr>
    </w:p>
    <w:p w:rsidR="00FA235F" w:rsidRPr="00D3592B" w:rsidRDefault="00D3592B" w:rsidP="007417D2">
      <w:pPr>
        <w:spacing w:line="360" w:lineRule="auto"/>
        <w:rPr>
          <w:rFonts w:ascii="Book Antiqua" w:hAnsi="Book Antiqua"/>
          <w:b/>
          <w:sz w:val="24"/>
        </w:rPr>
      </w:pPr>
      <w:r w:rsidRPr="00D3592B">
        <w:rPr>
          <w:rFonts w:ascii="Book Antiqua" w:hAnsi="Book Antiqua"/>
          <w:b/>
          <w:sz w:val="24"/>
        </w:rPr>
        <w:t>IR</w:t>
      </w:r>
      <w:r w:rsidR="00FA235F" w:rsidRPr="00D3592B">
        <w:rPr>
          <w:rFonts w:ascii="Book Antiqua" w:hAnsi="Book Antiqua"/>
          <w:b/>
          <w:sz w:val="24"/>
        </w:rPr>
        <w:t xml:space="preserve"> AS COMMON METABOLIC COMPROMISE IN </w:t>
      </w:r>
      <w:r w:rsidR="001932D0" w:rsidRPr="00D3592B">
        <w:rPr>
          <w:rFonts w:ascii="Book Antiqua" w:hAnsi="Book Antiqua"/>
          <w:b/>
          <w:sz w:val="24"/>
        </w:rPr>
        <w:t xml:space="preserve">AD </w:t>
      </w:r>
      <w:r w:rsidR="00FA235F" w:rsidRPr="00D3592B">
        <w:rPr>
          <w:rFonts w:ascii="Book Antiqua" w:hAnsi="Book Antiqua"/>
          <w:b/>
          <w:sz w:val="24"/>
        </w:rPr>
        <w:t>AND DIABETES</w:t>
      </w:r>
    </w:p>
    <w:p w:rsidR="00FA235F" w:rsidRPr="007417D2" w:rsidRDefault="00FA235F" w:rsidP="007417D2">
      <w:pPr>
        <w:spacing w:line="360" w:lineRule="auto"/>
        <w:rPr>
          <w:rFonts w:ascii="Book Antiqua" w:eastAsia="Arial Unicode MS" w:hAnsi="Book Antiqua"/>
          <w:sz w:val="24"/>
        </w:rPr>
      </w:pPr>
      <w:r w:rsidRPr="007417D2">
        <w:rPr>
          <w:rFonts w:ascii="Book Antiqua" w:hAnsi="Book Antiqua"/>
          <w:sz w:val="24"/>
        </w:rPr>
        <w:t xml:space="preserve">Glucose is the only required source of energy for neurons and any disruption in glucose metabolism leads to compromised neuronal </w:t>
      </w:r>
      <w:proofErr w:type="gramStart"/>
      <w:r w:rsidRPr="007417D2">
        <w:rPr>
          <w:rFonts w:ascii="Book Antiqua" w:hAnsi="Book Antiqua"/>
          <w:sz w:val="24"/>
        </w:rPr>
        <w:t>functions</w:t>
      </w:r>
      <w:r w:rsidRPr="007417D2">
        <w:rPr>
          <w:rFonts w:ascii="Book Antiqua" w:hAnsi="Book Antiqua"/>
          <w:sz w:val="24"/>
          <w:vertAlign w:val="superscript"/>
        </w:rPr>
        <w:t>[</w:t>
      </w:r>
      <w:proofErr w:type="gramEnd"/>
      <w:r w:rsidRPr="007417D2">
        <w:rPr>
          <w:rFonts w:ascii="Book Antiqua" w:hAnsi="Book Antiqua"/>
          <w:sz w:val="24"/>
          <w:vertAlign w:val="superscript"/>
        </w:rPr>
        <w:t>39]</w:t>
      </w:r>
      <w:r w:rsidRPr="007417D2">
        <w:rPr>
          <w:rFonts w:ascii="Book Antiqua" w:hAnsi="Book Antiqua"/>
          <w:sz w:val="24"/>
        </w:rPr>
        <w:t xml:space="preserve">. </w:t>
      </w:r>
      <w:r w:rsidRPr="007417D2">
        <w:rPr>
          <w:rStyle w:val="apple-converted-space"/>
          <w:rFonts w:ascii="Book Antiqua" w:eastAsia="Arial Unicode MS" w:hAnsi="Book Antiqua"/>
          <w:sz w:val="24"/>
        </w:rPr>
        <w:t xml:space="preserve">Presence of insulin is crucial for brain in terms of its peculiar CNS </w:t>
      </w:r>
      <w:proofErr w:type="gramStart"/>
      <w:r w:rsidRPr="007417D2">
        <w:rPr>
          <w:rStyle w:val="apple-converted-space"/>
          <w:rFonts w:ascii="Book Antiqua" w:eastAsia="Arial Unicode MS" w:hAnsi="Book Antiqua"/>
          <w:sz w:val="24"/>
        </w:rPr>
        <w:t>functions</w:t>
      </w:r>
      <w:r w:rsidRPr="007417D2">
        <w:rPr>
          <w:rStyle w:val="apple-converted-space"/>
          <w:rFonts w:ascii="Book Antiqua" w:eastAsia="Arial Unicode MS" w:hAnsi="Book Antiqua"/>
          <w:noProof/>
          <w:sz w:val="24"/>
          <w:vertAlign w:val="superscript"/>
        </w:rPr>
        <w:t>[</w:t>
      </w:r>
      <w:proofErr w:type="gramEnd"/>
      <w:r w:rsidRPr="007417D2">
        <w:rPr>
          <w:rStyle w:val="apple-converted-space"/>
          <w:rFonts w:ascii="Book Antiqua" w:eastAsia="Arial Unicode MS" w:hAnsi="Book Antiqua"/>
          <w:noProof/>
          <w:sz w:val="24"/>
          <w:vertAlign w:val="superscript"/>
        </w:rPr>
        <w:t>87]</w:t>
      </w:r>
      <w:r w:rsidRPr="007417D2">
        <w:rPr>
          <w:rStyle w:val="apple-converted-space"/>
          <w:rFonts w:ascii="Book Antiqua" w:eastAsia="Arial Unicode MS" w:hAnsi="Book Antiqua"/>
          <w:sz w:val="24"/>
        </w:rPr>
        <w:t xml:space="preserve"> but any disturbance in its </w:t>
      </w:r>
      <w:r w:rsidRPr="007417D2">
        <w:rPr>
          <w:rStyle w:val="apple-converted-space"/>
          <w:rFonts w:ascii="Book Antiqua" w:eastAsia="Arial Unicode MS" w:hAnsi="Book Antiqua"/>
          <w:sz w:val="24"/>
        </w:rPr>
        <w:lastRenderedPageBreak/>
        <w:t xml:space="preserve">physiological level leads to CNS dysfunction. IRs are reported with low binding affinity with insulin in postmortem AD </w:t>
      </w:r>
      <w:proofErr w:type="gramStart"/>
      <w:r w:rsidRPr="007417D2">
        <w:rPr>
          <w:rStyle w:val="apple-converted-space"/>
          <w:rFonts w:ascii="Book Antiqua" w:eastAsia="Arial Unicode MS" w:hAnsi="Book Antiqua"/>
          <w:sz w:val="24"/>
        </w:rPr>
        <w:t>brain</w:t>
      </w:r>
      <w:r w:rsidR="00D3592B">
        <w:rPr>
          <w:rStyle w:val="apple-converted-space"/>
          <w:rFonts w:ascii="Book Antiqua" w:eastAsia="Arial Unicode MS" w:hAnsi="Book Antiqua"/>
          <w:noProof/>
          <w:sz w:val="24"/>
          <w:vertAlign w:val="superscript"/>
        </w:rPr>
        <w:t>[</w:t>
      </w:r>
      <w:proofErr w:type="gramEnd"/>
      <w:r w:rsidR="00D3592B">
        <w:rPr>
          <w:rStyle w:val="apple-converted-space"/>
          <w:rFonts w:ascii="Book Antiqua" w:eastAsia="Arial Unicode MS" w:hAnsi="Book Antiqua"/>
          <w:noProof/>
          <w:sz w:val="24"/>
          <w:vertAlign w:val="superscript"/>
        </w:rPr>
        <w:t>87,</w:t>
      </w:r>
      <w:r w:rsidRPr="007417D2">
        <w:rPr>
          <w:rStyle w:val="apple-converted-space"/>
          <w:rFonts w:ascii="Book Antiqua" w:eastAsia="Arial Unicode MS" w:hAnsi="Book Antiqua"/>
          <w:noProof/>
          <w:sz w:val="24"/>
          <w:vertAlign w:val="superscript"/>
        </w:rPr>
        <w:t>88]</w:t>
      </w:r>
      <w:r w:rsidRPr="007417D2">
        <w:rPr>
          <w:rStyle w:val="apple-converted-space"/>
          <w:rFonts w:ascii="Book Antiqua" w:eastAsia="Arial Unicode MS" w:hAnsi="Book Antiqua"/>
          <w:sz w:val="24"/>
        </w:rPr>
        <w:t xml:space="preserve">. Moreover many other insulin signaling markers were altered in AD </w:t>
      </w:r>
      <w:proofErr w:type="gramStart"/>
      <w:r w:rsidRPr="007417D2">
        <w:rPr>
          <w:rStyle w:val="apple-converted-space"/>
          <w:rFonts w:ascii="Book Antiqua" w:eastAsia="Arial Unicode MS" w:hAnsi="Book Antiqua"/>
          <w:sz w:val="24"/>
        </w:rPr>
        <w:t>brain</w:t>
      </w:r>
      <w:r w:rsidRPr="007417D2">
        <w:rPr>
          <w:rStyle w:val="apple-converted-space"/>
          <w:rFonts w:ascii="Book Antiqua" w:eastAsia="Arial Unicode MS" w:hAnsi="Book Antiqua"/>
          <w:noProof/>
          <w:sz w:val="24"/>
          <w:vertAlign w:val="superscript"/>
        </w:rPr>
        <w:t>[</w:t>
      </w:r>
      <w:proofErr w:type="gramEnd"/>
      <w:r w:rsidRPr="007417D2">
        <w:rPr>
          <w:rStyle w:val="apple-converted-space"/>
          <w:rFonts w:ascii="Book Antiqua" w:eastAsia="Arial Unicode MS" w:hAnsi="Book Antiqua"/>
          <w:noProof/>
          <w:sz w:val="24"/>
          <w:vertAlign w:val="superscript"/>
        </w:rPr>
        <w:t>24]</w:t>
      </w:r>
      <w:r w:rsidRPr="007417D2">
        <w:rPr>
          <w:rStyle w:val="apple-converted-space"/>
          <w:rFonts w:ascii="Book Antiqua" w:eastAsia="Arial Unicode MS" w:hAnsi="Book Antiqua"/>
          <w:sz w:val="24"/>
        </w:rPr>
        <w:t xml:space="preserve">. Elevated insulin plasma level in AD patients indicates a closed association of AD and </w:t>
      </w:r>
      <w:proofErr w:type="gramStart"/>
      <w:r w:rsidRPr="007417D2">
        <w:rPr>
          <w:rStyle w:val="apple-converted-space"/>
          <w:rFonts w:ascii="Book Antiqua" w:eastAsia="Arial Unicode MS" w:hAnsi="Book Antiqua"/>
          <w:sz w:val="24"/>
        </w:rPr>
        <w:t>IR</w:t>
      </w:r>
      <w:r w:rsidR="00D3592B">
        <w:rPr>
          <w:rStyle w:val="apple-converted-space"/>
          <w:rFonts w:ascii="Book Antiqua" w:eastAsia="Arial Unicode MS" w:hAnsi="Book Antiqua"/>
          <w:noProof/>
          <w:sz w:val="24"/>
          <w:vertAlign w:val="superscript"/>
        </w:rPr>
        <w:t>[</w:t>
      </w:r>
      <w:proofErr w:type="gramEnd"/>
      <w:r w:rsidR="00D3592B">
        <w:rPr>
          <w:rStyle w:val="apple-converted-space"/>
          <w:rFonts w:ascii="Book Antiqua" w:eastAsia="Arial Unicode MS" w:hAnsi="Book Antiqua"/>
          <w:noProof/>
          <w:sz w:val="24"/>
          <w:vertAlign w:val="superscript"/>
        </w:rPr>
        <w:t>26,</w:t>
      </w:r>
      <w:r w:rsidRPr="007417D2">
        <w:rPr>
          <w:rStyle w:val="apple-converted-space"/>
          <w:rFonts w:ascii="Book Antiqua" w:eastAsia="Arial Unicode MS" w:hAnsi="Book Antiqua"/>
          <w:noProof/>
          <w:sz w:val="24"/>
          <w:vertAlign w:val="superscript"/>
        </w:rPr>
        <w:t>28]</w:t>
      </w:r>
      <w:r w:rsidRPr="007417D2">
        <w:rPr>
          <w:rStyle w:val="apple-converted-space"/>
          <w:rFonts w:ascii="Book Antiqua" w:eastAsia="Arial Unicode MS" w:hAnsi="Book Antiqua"/>
          <w:sz w:val="24"/>
        </w:rPr>
        <w:t xml:space="preserve">. Animal model studies revealed that factors contributing to T2D also regulate </w:t>
      </w:r>
      <w:r w:rsidRPr="007417D2">
        <w:rPr>
          <w:rFonts w:ascii="Book Antiqua" w:eastAsia="Arial Unicode MS" w:hAnsi="Book Antiqua"/>
          <w:sz w:val="24"/>
        </w:rPr>
        <w:t>Aβ</w:t>
      </w:r>
      <w:r w:rsidRPr="007417D2">
        <w:rPr>
          <w:rStyle w:val="apple-converted-space"/>
          <w:rFonts w:ascii="Book Antiqua" w:eastAsia="Arial Unicode MS" w:hAnsi="Book Antiqua"/>
          <w:sz w:val="24"/>
        </w:rPr>
        <w:t xml:space="preserve"> </w:t>
      </w:r>
      <w:proofErr w:type="gramStart"/>
      <w:r w:rsidRPr="007417D2">
        <w:rPr>
          <w:rStyle w:val="apple-converted-space"/>
          <w:rFonts w:ascii="Book Antiqua" w:eastAsia="Arial Unicode MS" w:hAnsi="Book Antiqua"/>
          <w:sz w:val="24"/>
        </w:rPr>
        <w:t>dynamics</w:t>
      </w:r>
      <w:r w:rsidRPr="007417D2">
        <w:rPr>
          <w:rFonts w:ascii="Book Antiqua" w:eastAsia="Arial Unicode MS" w:hAnsi="Book Antiqua"/>
          <w:noProof/>
          <w:sz w:val="24"/>
          <w:vertAlign w:val="superscript"/>
        </w:rPr>
        <w:t>[</w:t>
      </w:r>
      <w:proofErr w:type="gramEnd"/>
      <w:r w:rsidRPr="007417D2">
        <w:rPr>
          <w:rFonts w:ascii="Book Antiqua" w:eastAsia="Arial Unicode MS" w:hAnsi="Book Antiqua"/>
          <w:noProof/>
          <w:sz w:val="24"/>
          <w:vertAlign w:val="superscript"/>
        </w:rPr>
        <w:t>89]</w:t>
      </w:r>
      <w:r w:rsidRPr="007417D2">
        <w:rPr>
          <w:rFonts w:ascii="Book Antiqua" w:eastAsia="Arial Unicode MS" w:hAnsi="Book Antiqua"/>
          <w:sz w:val="24"/>
        </w:rPr>
        <w:t xml:space="preserve">. With this set of data it is clearly understood that IR or impaired IRs not only typify T2D but also orchestrate AD. </w:t>
      </w:r>
      <w:r w:rsidRPr="00D3592B">
        <w:rPr>
          <w:rFonts w:ascii="Book Antiqua" w:eastAsia="Arial Unicode MS" w:hAnsi="Book Antiqua"/>
          <w:sz w:val="24"/>
        </w:rPr>
        <w:t xml:space="preserve">Figure 2 </w:t>
      </w:r>
      <w:r w:rsidRPr="007417D2">
        <w:rPr>
          <w:rFonts w:ascii="Book Antiqua" w:eastAsia="Arial Unicode MS" w:hAnsi="Book Antiqua"/>
          <w:sz w:val="24"/>
        </w:rPr>
        <w:t xml:space="preserve">depicts that how </w:t>
      </w:r>
      <w:r w:rsidR="009325BB" w:rsidRPr="007417D2">
        <w:rPr>
          <w:rFonts w:ascii="Book Antiqua" w:hAnsi="Book Antiqua"/>
          <w:sz w:val="24"/>
        </w:rPr>
        <w:t>IR</w:t>
      </w:r>
      <w:r w:rsidRPr="007417D2">
        <w:rPr>
          <w:rFonts w:ascii="Book Antiqua" w:eastAsia="Arial Unicode MS" w:hAnsi="Book Antiqua"/>
          <w:sz w:val="24"/>
        </w:rPr>
        <w:t xml:space="preserve"> bridges peripheral and neuronal </w:t>
      </w:r>
      <w:r w:rsidR="009325BB" w:rsidRPr="007417D2">
        <w:rPr>
          <w:rFonts w:ascii="Book Antiqua" w:hAnsi="Book Antiqua"/>
          <w:sz w:val="24"/>
        </w:rPr>
        <w:t>IR</w:t>
      </w:r>
      <w:r w:rsidRPr="007417D2">
        <w:rPr>
          <w:rFonts w:ascii="Book Antiqua" w:eastAsia="Arial Unicode MS" w:hAnsi="Book Antiqua"/>
          <w:sz w:val="24"/>
        </w:rPr>
        <w:t xml:space="preserve"> and leads to AD.</w:t>
      </w:r>
    </w:p>
    <w:p w:rsidR="00FA235F" w:rsidRPr="007417D2" w:rsidRDefault="00FA235F" w:rsidP="007417D2">
      <w:pPr>
        <w:spacing w:line="360" w:lineRule="auto"/>
        <w:rPr>
          <w:rFonts w:ascii="Book Antiqua" w:hAnsi="Book Antiqua"/>
          <w:b/>
          <w:i/>
          <w:sz w:val="24"/>
        </w:rPr>
      </w:pPr>
    </w:p>
    <w:p w:rsidR="00FA235F" w:rsidRPr="007417D2" w:rsidRDefault="00FA235F" w:rsidP="007417D2">
      <w:pPr>
        <w:spacing w:line="360" w:lineRule="auto"/>
        <w:rPr>
          <w:rFonts w:ascii="Book Antiqua" w:hAnsi="Book Antiqua"/>
          <w:b/>
          <w:i/>
          <w:sz w:val="24"/>
        </w:rPr>
      </w:pPr>
      <w:r w:rsidRPr="007417D2">
        <w:rPr>
          <w:rFonts w:ascii="Book Antiqua" w:hAnsi="Book Antiqua"/>
          <w:b/>
          <w:i/>
          <w:sz w:val="24"/>
        </w:rPr>
        <w:t>How insulin modulates brain functions?</w:t>
      </w:r>
    </w:p>
    <w:p w:rsidR="00FA235F" w:rsidRPr="007417D2" w:rsidRDefault="00FA235F" w:rsidP="007417D2">
      <w:pPr>
        <w:spacing w:line="360" w:lineRule="auto"/>
        <w:rPr>
          <w:rFonts w:ascii="Book Antiqua" w:hAnsi="Book Antiqua"/>
          <w:sz w:val="24"/>
        </w:rPr>
      </w:pPr>
      <w:r w:rsidRPr="007417D2">
        <w:rPr>
          <w:rFonts w:ascii="Book Antiqua" w:hAnsi="Book Antiqua"/>
          <w:sz w:val="24"/>
        </w:rPr>
        <w:t xml:space="preserve">Insulin expression in brain remained a debated topic for investigators and raised a question on its significance at ectopic site. Brain synthesizes insulin locally as well as receives through the blood brain barrier (BBB) mediated </w:t>
      </w:r>
      <w:proofErr w:type="gramStart"/>
      <w:r w:rsidRPr="007417D2">
        <w:rPr>
          <w:rFonts w:ascii="Book Antiqua" w:hAnsi="Book Antiqua"/>
          <w:sz w:val="24"/>
        </w:rPr>
        <w:t>transfer</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90]</w:t>
      </w:r>
      <w:r w:rsidRPr="007417D2">
        <w:rPr>
          <w:rFonts w:ascii="Book Antiqua" w:hAnsi="Book Antiqua"/>
          <w:sz w:val="24"/>
        </w:rPr>
        <w:t xml:space="preserve">. With curious attempts, scientist documented its role in feeding behavior and energy homeostasis which integrate whole body </w:t>
      </w:r>
      <w:proofErr w:type="gramStart"/>
      <w:r w:rsidRPr="007417D2">
        <w:rPr>
          <w:rFonts w:ascii="Book Antiqua" w:hAnsi="Book Antiqua"/>
          <w:sz w:val="24"/>
        </w:rPr>
        <w:t>system</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91]</w:t>
      </w:r>
      <w:r w:rsidRPr="007417D2">
        <w:rPr>
          <w:rFonts w:ascii="Book Antiqua" w:hAnsi="Book Antiqua"/>
          <w:sz w:val="24"/>
        </w:rPr>
        <w:t>. The first article unpinning the relation between brain and insulin was reported in 1960, in which intracisternal injection of insulin in dogs reduced glucose levels, both in CSF and blood with its direct effects on the parasympathetic area of the brainstem</w:t>
      </w:r>
      <w:r w:rsidRPr="007417D2">
        <w:rPr>
          <w:rFonts w:ascii="Book Antiqua" w:hAnsi="Book Antiqua"/>
          <w:noProof/>
          <w:sz w:val="24"/>
          <w:vertAlign w:val="superscript"/>
        </w:rPr>
        <w:t>[92]</w:t>
      </w:r>
      <w:r w:rsidRPr="007417D2">
        <w:rPr>
          <w:rFonts w:ascii="Book Antiqua" w:hAnsi="Book Antiqua"/>
          <w:sz w:val="24"/>
        </w:rPr>
        <w:t xml:space="preserve">. Later, brain-centered glucoregulatory system (BCGS) that is involved in maintenance of blood glucose levels was found to act via insulin dependent as well as independent </w:t>
      </w:r>
      <w:proofErr w:type="gramStart"/>
      <w:r w:rsidRPr="007417D2">
        <w:rPr>
          <w:rFonts w:ascii="Book Antiqua" w:hAnsi="Book Antiqua"/>
          <w:sz w:val="24"/>
        </w:rPr>
        <w:t>mechanisms</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93]</w:t>
      </w:r>
      <w:r w:rsidRPr="007417D2">
        <w:rPr>
          <w:rFonts w:ascii="Book Antiqua" w:hAnsi="Book Antiqua"/>
          <w:sz w:val="24"/>
        </w:rPr>
        <w:t xml:space="preserve">. The hypothesis of BCGS and its crosstalk with pancreatic islets gained experimental momentum by multiple supporting evidences that provided a clear understanding of </w:t>
      </w:r>
      <w:proofErr w:type="gramStart"/>
      <w:r w:rsidRPr="007417D2">
        <w:rPr>
          <w:rFonts w:ascii="Book Antiqua" w:hAnsi="Book Antiqua"/>
          <w:sz w:val="24"/>
        </w:rPr>
        <w:t>BCGS</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93]</w:t>
      </w:r>
      <w:r w:rsidRPr="007417D2">
        <w:rPr>
          <w:rFonts w:ascii="Book Antiqua" w:hAnsi="Book Antiqua"/>
          <w:sz w:val="24"/>
        </w:rPr>
        <w:t xml:space="preserve">. BCGS is recognized as mechanistic node present in CNS which is channeled through peripheral hormone </w:t>
      </w:r>
      <w:proofErr w:type="gramStart"/>
      <w:r w:rsidRPr="007417D2">
        <w:rPr>
          <w:rFonts w:ascii="Book Antiqua" w:hAnsi="Book Antiqua"/>
          <w:sz w:val="24"/>
        </w:rPr>
        <w:t>status</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93]</w:t>
      </w:r>
      <w:r w:rsidRPr="007417D2">
        <w:rPr>
          <w:rFonts w:ascii="Book Antiqua" w:hAnsi="Book Antiqua"/>
          <w:sz w:val="24"/>
        </w:rPr>
        <w:t>. Both of these regulatory nodes co-operate with each other and compensate the load of other’s failure but when both are compromised, DM is an unavoidable issue.</w:t>
      </w:r>
    </w:p>
    <w:p w:rsidR="00325182" w:rsidRPr="007417D2" w:rsidRDefault="00325182" w:rsidP="007417D2">
      <w:pPr>
        <w:spacing w:line="360" w:lineRule="auto"/>
        <w:rPr>
          <w:rFonts w:ascii="Book Antiqua" w:hAnsi="Book Antiqua"/>
          <w:b/>
          <w:i/>
          <w:sz w:val="24"/>
        </w:rPr>
      </w:pPr>
    </w:p>
    <w:p w:rsidR="00FA235F" w:rsidRPr="007417D2" w:rsidRDefault="00FA235F" w:rsidP="007417D2">
      <w:pPr>
        <w:spacing w:line="360" w:lineRule="auto"/>
        <w:rPr>
          <w:rFonts w:ascii="Book Antiqua" w:hAnsi="Book Antiqua"/>
          <w:b/>
          <w:i/>
          <w:sz w:val="24"/>
        </w:rPr>
      </w:pPr>
      <w:r w:rsidRPr="007417D2">
        <w:rPr>
          <w:rFonts w:ascii="Book Antiqua" w:hAnsi="Book Antiqua"/>
          <w:b/>
          <w:i/>
          <w:sz w:val="24"/>
        </w:rPr>
        <w:t>Insulin as a synapto-dendritic player</w:t>
      </w:r>
    </w:p>
    <w:p w:rsidR="008063D5" w:rsidRPr="007417D2" w:rsidRDefault="00FA235F" w:rsidP="007417D2">
      <w:pPr>
        <w:spacing w:line="360" w:lineRule="auto"/>
        <w:rPr>
          <w:rFonts w:ascii="Book Antiqua" w:hAnsi="Book Antiqua"/>
          <w:sz w:val="24"/>
        </w:rPr>
      </w:pPr>
      <w:r w:rsidRPr="007417D2">
        <w:rPr>
          <w:rFonts w:ascii="Book Antiqua" w:hAnsi="Book Antiqua"/>
          <w:sz w:val="24"/>
        </w:rPr>
        <w:t xml:space="preserve">Insulin has drawn a wide trajectory from brain molecular milieu to cognitive function to orchestrate functions like development of neurite outgrowth, modulation of catecholamine release and uptake, regulation </w:t>
      </w:r>
      <w:r w:rsidR="00475A3D">
        <w:rPr>
          <w:rFonts w:ascii="Book Antiqua" w:hAnsi="Book Antiqua" w:hint="eastAsia"/>
          <w:sz w:val="24"/>
        </w:rPr>
        <w:t>and</w:t>
      </w:r>
      <w:r w:rsidRPr="007417D2">
        <w:rPr>
          <w:rFonts w:ascii="Book Antiqua" w:hAnsi="Book Antiqua"/>
          <w:sz w:val="24"/>
        </w:rPr>
        <w:t xml:space="preserve"> trafficking of ligand-gated ion </w:t>
      </w:r>
      <w:r w:rsidRPr="007417D2">
        <w:rPr>
          <w:rFonts w:ascii="Book Antiqua" w:hAnsi="Book Antiqua"/>
          <w:sz w:val="24"/>
        </w:rPr>
        <w:lastRenderedPageBreak/>
        <w:t>channels, expression and localization gamma-aminobutyric acid (GABA), N-methyl-D-aspartate (NMDA) and α-amino-3-hydroxy-5-methyl-4-isoxazolepropionic acid (AMPA) receptors, synaptic plasticity regulation via NMDA, phosphatidylinositide 3-kinases-Akt (PI3K-Akt)</w:t>
      </w:r>
      <w:r w:rsidRPr="007417D2">
        <w:rPr>
          <w:rFonts w:ascii="Book Antiqua" w:hAnsi="Book Antiqua"/>
          <w:noProof/>
          <w:sz w:val="24"/>
          <w:vertAlign w:val="superscript"/>
        </w:rPr>
        <w:t>[94]</w:t>
      </w:r>
      <w:r w:rsidR="00D3592B">
        <w:rPr>
          <w:rFonts w:ascii="Book Antiqua" w:hAnsi="Book Antiqua"/>
          <w:sz w:val="24"/>
        </w:rPr>
        <w:t xml:space="preserve"> </w:t>
      </w:r>
      <w:r w:rsidRPr="007417D2">
        <w:rPr>
          <w:rFonts w:ascii="Book Antiqua" w:hAnsi="Book Antiqua"/>
          <w:sz w:val="24"/>
        </w:rPr>
        <w:t>and maintenance of excitatory synapses</w:t>
      </w:r>
      <w:r w:rsidRPr="007417D2">
        <w:rPr>
          <w:rFonts w:ascii="Book Antiqua" w:hAnsi="Book Antiqua"/>
          <w:noProof/>
          <w:sz w:val="24"/>
          <w:vertAlign w:val="superscript"/>
        </w:rPr>
        <w:t>[95]</w:t>
      </w:r>
      <w:r w:rsidRPr="007417D2">
        <w:rPr>
          <w:rFonts w:ascii="Book Antiqua" w:hAnsi="Book Antiqua"/>
          <w:sz w:val="24"/>
        </w:rPr>
        <w:t>.</w:t>
      </w:r>
    </w:p>
    <w:p w:rsidR="008063D5" w:rsidRPr="007417D2" w:rsidRDefault="00FA235F" w:rsidP="00475A3D">
      <w:pPr>
        <w:spacing w:line="360" w:lineRule="auto"/>
        <w:ind w:firstLineChars="100" w:firstLine="240"/>
        <w:rPr>
          <w:rFonts w:ascii="Book Antiqua" w:hAnsi="Book Antiqua"/>
          <w:sz w:val="24"/>
        </w:rPr>
      </w:pPr>
      <w:r w:rsidRPr="007417D2">
        <w:rPr>
          <w:rFonts w:ascii="Book Antiqua" w:hAnsi="Book Antiqua"/>
          <w:sz w:val="24"/>
        </w:rPr>
        <w:t xml:space="preserve">Presence of IRs at synapses rich in plasticity (hippocampus and cortex) reveals its involvement in </w:t>
      </w:r>
      <w:proofErr w:type="gramStart"/>
      <w:r w:rsidRPr="007417D2">
        <w:rPr>
          <w:rFonts w:ascii="Book Antiqua" w:hAnsi="Book Antiqua"/>
          <w:sz w:val="24"/>
        </w:rPr>
        <w:t>cognition</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90]</w:t>
      </w:r>
      <w:r w:rsidRPr="007417D2">
        <w:rPr>
          <w:rFonts w:ascii="Book Antiqua" w:hAnsi="Book Antiqua"/>
          <w:sz w:val="24"/>
        </w:rPr>
        <w:t xml:space="preserve">. This fact was further strengthened in 1999 when Zhao </w:t>
      </w:r>
      <w:r w:rsidRPr="007417D2">
        <w:rPr>
          <w:rFonts w:ascii="Book Antiqua" w:hAnsi="Book Antiqua"/>
          <w:i/>
          <w:sz w:val="24"/>
        </w:rPr>
        <w:t xml:space="preserve">et </w:t>
      </w:r>
      <w:proofErr w:type="gramStart"/>
      <w:r w:rsidRPr="007417D2">
        <w:rPr>
          <w:rFonts w:ascii="Book Antiqua" w:hAnsi="Book Antiqua"/>
          <w:i/>
          <w:sz w:val="24"/>
        </w:rPr>
        <w:t>al</w:t>
      </w:r>
      <w:r w:rsidR="00475A3D" w:rsidRPr="007417D2">
        <w:rPr>
          <w:rFonts w:ascii="Book Antiqua" w:hAnsi="Book Antiqua"/>
          <w:noProof/>
          <w:sz w:val="24"/>
          <w:vertAlign w:val="superscript"/>
        </w:rPr>
        <w:t>[</w:t>
      </w:r>
      <w:proofErr w:type="gramEnd"/>
      <w:r w:rsidR="00475A3D" w:rsidRPr="007417D2">
        <w:rPr>
          <w:rFonts w:ascii="Book Antiqua" w:hAnsi="Book Antiqua"/>
          <w:noProof/>
          <w:sz w:val="24"/>
          <w:vertAlign w:val="superscript"/>
        </w:rPr>
        <w:t>21]</w:t>
      </w:r>
      <w:r w:rsidRPr="007417D2">
        <w:rPr>
          <w:rFonts w:ascii="Book Antiqua" w:hAnsi="Book Antiqua"/>
          <w:sz w:val="24"/>
        </w:rPr>
        <w:t xml:space="preserve"> reported that rat hippocampus IRs expression is up-regulated when they are subjected to spatial memory task in Morris water maze.</w:t>
      </w:r>
      <w:r w:rsidR="00D3592B">
        <w:rPr>
          <w:rFonts w:ascii="Book Antiqua" w:hAnsi="Book Antiqua"/>
          <w:sz w:val="24"/>
        </w:rPr>
        <w:t xml:space="preserve"> </w:t>
      </w:r>
      <w:r w:rsidRPr="007417D2">
        <w:rPr>
          <w:rFonts w:ascii="Book Antiqua" w:hAnsi="Book Antiqua"/>
          <w:sz w:val="24"/>
        </w:rPr>
        <w:t>IRs are enriched in synaptosomes</w:t>
      </w:r>
      <w:r w:rsidRPr="007417D2">
        <w:rPr>
          <w:rFonts w:ascii="Book Antiqua" w:hAnsi="Book Antiqua"/>
          <w:noProof/>
          <w:sz w:val="24"/>
          <w:vertAlign w:val="superscript"/>
        </w:rPr>
        <w:t>[96]</w:t>
      </w:r>
      <w:r w:rsidRPr="007417D2">
        <w:rPr>
          <w:rFonts w:ascii="Book Antiqua" w:hAnsi="Book Antiqua"/>
          <w:sz w:val="24"/>
        </w:rPr>
        <w:t>, co-localizes with axon terminal markers synaptophysin, synapsin</w:t>
      </w:r>
      <w:r w:rsidR="00475A3D">
        <w:rPr>
          <w:rFonts w:ascii="Book Antiqua" w:hAnsi="Book Antiqua" w:hint="eastAsia"/>
          <w:sz w:val="24"/>
        </w:rPr>
        <w:t>,</w:t>
      </w:r>
      <w:r w:rsidRPr="007417D2">
        <w:rPr>
          <w:rFonts w:ascii="Book Antiqua" w:hAnsi="Book Antiqua"/>
          <w:sz w:val="24"/>
        </w:rPr>
        <w:t xml:space="preserve"> </w:t>
      </w:r>
      <w:r w:rsidRPr="00475A3D">
        <w:rPr>
          <w:rFonts w:ascii="Book Antiqua" w:hAnsi="Book Antiqua"/>
          <w:i/>
          <w:sz w:val="24"/>
        </w:rPr>
        <w:t>etc</w:t>
      </w:r>
      <w:r w:rsidR="00475A3D">
        <w:rPr>
          <w:rFonts w:ascii="Book Antiqua" w:hAnsi="Book Antiqua" w:hint="eastAsia"/>
          <w:sz w:val="24"/>
        </w:rPr>
        <w:t>.</w:t>
      </w:r>
      <w:r w:rsidRPr="007417D2">
        <w:rPr>
          <w:rFonts w:ascii="Book Antiqua" w:hAnsi="Book Antiqua"/>
          <w:noProof/>
          <w:sz w:val="24"/>
          <w:vertAlign w:val="superscript"/>
        </w:rPr>
        <w:t>[97]</w:t>
      </w:r>
      <w:r w:rsidRPr="007417D2">
        <w:rPr>
          <w:rFonts w:ascii="Book Antiqua" w:hAnsi="Book Antiqua"/>
          <w:sz w:val="24"/>
        </w:rPr>
        <w:t xml:space="preserve"> and dominates in post-synaptic density (PSD) fractions to interact with scaffolding protein shank and PSD-95. Insulin is also involved in various neuromodulatory functions such as electrophysiological properties of </w:t>
      </w:r>
      <w:proofErr w:type="gramStart"/>
      <w:r w:rsidRPr="007417D2">
        <w:rPr>
          <w:rFonts w:ascii="Book Antiqua" w:hAnsi="Book Antiqua"/>
          <w:sz w:val="24"/>
        </w:rPr>
        <w:t>neurons</w:t>
      </w:r>
      <w:r w:rsidR="00475A3D">
        <w:rPr>
          <w:rFonts w:ascii="Book Antiqua" w:hAnsi="Book Antiqua"/>
          <w:noProof/>
          <w:sz w:val="24"/>
          <w:vertAlign w:val="superscript"/>
        </w:rPr>
        <w:t>[</w:t>
      </w:r>
      <w:proofErr w:type="gramEnd"/>
      <w:r w:rsidR="00475A3D">
        <w:rPr>
          <w:rFonts w:ascii="Book Antiqua" w:hAnsi="Book Antiqua"/>
          <w:noProof/>
          <w:sz w:val="24"/>
          <w:vertAlign w:val="superscript"/>
        </w:rPr>
        <w:t>98,</w:t>
      </w:r>
      <w:r w:rsidRPr="007417D2">
        <w:rPr>
          <w:rFonts w:ascii="Book Antiqua" w:hAnsi="Book Antiqua"/>
          <w:noProof/>
          <w:sz w:val="24"/>
          <w:vertAlign w:val="superscript"/>
        </w:rPr>
        <w:t>99]</w:t>
      </w:r>
      <w:r w:rsidRPr="007417D2">
        <w:rPr>
          <w:rFonts w:ascii="Book Antiqua" w:hAnsi="Book Antiqua"/>
          <w:sz w:val="24"/>
        </w:rPr>
        <w:t>, neurotransmitter receptors</w:t>
      </w:r>
      <w:r w:rsidR="00475A3D">
        <w:rPr>
          <w:rFonts w:ascii="Book Antiqua" w:hAnsi="Book Antiqua"/>
          <w:noProof/>
          <w:sz w:val="24"/>
          <w:vertAlign w:val="superscript"/>
        </w:rPr>
        <w:t>[100,</w:t>
      </w:r>
      <w:r w:rsidRPr="007417D2">
        <w:rPr>
          <w:rFonts w:ascii="Book Antiqua" w:hAnsi="Book Antiqua"/>
          <w:noProof/>
          <w:sz w:val="24"/>
          <w:vertAlign w:val="superscript"/>
        </w:rPr>
        <w:t>101]</w:t>
      </w:r>
      <w:r w:rsidRPr="007417D2">
        <w:rPr>
          <w:rFonts w:ascii="Book Antiqua" w:hAnsi="Book Antiqua"/>
          <w:sz w:val="24"/>
        </w:rPr>
        <w:t>, trafficking of ion channels</w:t>
      </w:r>
      <w:r w:rsidRPr="007417D2">
        <w:rPr>
          <w:rFonts w:ascii="Book Antiqua" w:hAnsi="Book Antiqua"/>
          <w:noProof/>
          <w:sz w:val="24"/>
          <w:vertAlign w:val="superscript"/>
        </w:rPr>
        <w:t>[102]</w:t>
      </w:r>
      <w:r w:rsidRPr="007417D2">
        <w:rPr>
          <w:rFonts w:ascii="Book Antiqua" w:hAnsi="Book Antiqua"/>
          <w:sz w:val="24"/>
        </w:rPr>
        <w:t>, neurotrophic effects</w:t>
      </w:r>
      <w:r w:rsidR="00475A3D">
        <w:rPr>
          <w:rFonts w:ascii="Book Antiqua" w:hAnsi="Book Antiqua"/>
          <w:noProof/>
          <w:sz w:val="24"/>
          <w:vertAlign w:val="superscript"/>
        </w:rPr>
        <w:t>[103,</w:t>
      </w:r>
      <w:r w:rsidRPr="007417D2">
        <w:rPr>
          <w:rFonts w:ascii="Book Antiqua" w:hAnsi="Book Antiqua"/>
          <w:noProof/>
          <w:sz w:val="24"/>
          <w:vertAlign w:val="superscript"/>
        </w:rPr>
        <w:t>104]</w:t>
      </w:r>
      <w:r w:rsidRPr="007417D2">
        <w:rPr>
          <w:rFonts w:ascii="Book Antiqua" w:hAnsi="Book Antiqua"/>
          <w:sz w:val="24"/>
        </w:rPr>
        <w:t xml:space="preserve"> and the neuroprotective role against a wide range of insults such as apoptosis</w:t>
      </w:r>
      <w:r w:rsidRPr="007417D2">
        <w:rPr>
          <w:rFonts w:ascii="Book Antiqua" w:hAnsi="Book Antiqua"/>
          <w:noProof/>
          <w:sz w:val="24"/>
          <w:vertAlign w:val="superscript"/>
        </w:rPr>
        <w:t>[105]</w:t>
      </w:r>
      <w:r w:rsidR="00475A3D">
        <w:rPr>
          <w:rFonts w:ascii="Book Antiqua" w:hAnsi="Book Antiqua"/>
          <w:sz w:val="24"/>
        </w:rPr>
        <w:t>, oxidative stress</w:t>
      </w:r>
      <w:r w:rsidRPr="007417D2">
        <w:rPr>
          <w:rFonts w:ascii="Book Antiqua" w:hAnsi="Book Antiqua"/>
          <w:noProof/>
          <w:sz w:val="24"/>
          <w:vertAlign w:val="superscript"/>
        </w:rPr>
        <w:t>[106]</w:t>
      </w:r>
      <w:r w:rsidRPr="007417D2">
        <w:rPr>
          <w:rFonts w:ascii="Book Antiqua" w:hAnsi="Book Antiqua"/>
          <w:sz w:val="24"/>
        </w:rPr>
        <w:t>,</w:t>
      </w:r>
      <w:r w:rsidR="00D3592B">
        <w:rPr>
          <w:rFonts w:ascii="Book Antiqua" w:hAnsi="Book Antiqua"/>
          <w:sz w:val="24"/>
        </w:rPr>
        <w:t xml:space="preserve"> </w:t>
      </w:r>
      <w:r w:rsidRPr="007417D2">
        <w:rPr>
          <w:rFonts w:ascii="Book Antiqua" w:hAnsi="Book Antiqua"/>
          <w:sz w:val="24"/>
        </w:rPr>
        <w:t>β-amyloid toxicity</w:t>
      </w:r>
      <w:r w:rsidRPr="007417D2">
        <w:rPr>
          <w:rFonts w:ascii="Book Antiqua" w:hAnsi="Book Antiqua"/>
          <w:noProof/>
          <w:sz w:val="24"/>
          <w:vertAlign w:val="superscript"/>
        </w:rPr>
        <w:t>[107]</w:t>
      </w:r>
      <w:r w:rsidRPr="007417D2">
        <w:rPr>
          <w:rFonts w:ascii="Book Antiqua" w:hAnsi="Book Antiqua"/>
          <w:sz w:val="24"/>
        </w:rPr>
        <w:t xml:space="preserve"> and ischemia</w:t>
      </w:r>
      <w:r w:rsidRPr="007417D2">
        <w:rPr>
          <w:rFonts w:ascii="Book Antiqua" w:hAnsi="Book Antiqua"/>
          <w:noProof/>
          <w:sz w:val="24"/>
          <w:vertAlign w:val="superscript"/>
        </w:rPr>
        <w:t>[108]</w:t>
      </w:r>
      <w:r w:rsidRPr="007417D2">
        <w:rPr>
          <w:rFonts w:ascii="Book Antiqua" w:hAnsi="Book Antiqua"/>
          <w:sz w:val="24"/>
        </w:rPr>
        <w:t xml:space="preserve"> in animal models as well as human studies.</w:t>
      </w:r>
    </w:p>
    <w:p w:rsidR="00FA235F" w:rsidRPr="007417D2" w:rsidRDefault="00FA235F" w:rsidP="00475A3D">
      <w:pPr>
        <w:spacing w:line="360" w:lineRule="auto"/>
        <w:ind w:firstLineChars="100" w:firstLine="240"/>
        <w:rPr>
          <w:rFonts w:ascii="Book Antiqua" w:hAnsi="Book Antiqua"/>
          <w:sz w:val="24"/>
        </w:rPr>
      </w:pPr>
      <w:r w:rsidRPr="007417D2">
        <w:rPr>
          <w:rFonts w:ascii="Book Antiqua" w:hAnsi="Book Antiqua"/>
          <w:sz w:val="24"/>
        </w:rPr>
        <w:t xml:space="preserve">Hyperinsulinemia is reported to reduce cholinergic activity in mice brain and resulted in impaired retention of an inhibitory </w:t>
      </w:r>
      <w:proofErr w:type="gramStart"/>
      <w:r w:rsidRPr="007417D2">
        <w:rPr>
          <w:rFonts w:ascii="Book Antiqua" w:hAnsi="Book Antiqua"/>
          <w:sz w:val="24"/>
        </w:rPr>
        <w:t>avoidance</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109]</w:t>
      </w:r>
      <w:r w:rsidRPr="007417D2">
        <w:rPr>
          <w:rFonts w:ascii="Book Antiqua" w:hAnsi="Book Antiqua"/>
          <w:sz w:val="24"/>
        </w:rPr>
        <w:t xml:space="preserve">. It also alters membrane potential to affect the ion </w:t>
      </w:r>
      <w:proofErr w:type="gramStart"/>
      <w:r w:rsidRPr="007417D2">
        <w:rPr>
          <w:rFonts w:ascii="Book Antiqua" w:hAnsi="Book Antiqua"/>
          <w:sz w:val="24"/>
        </w:rPr>
        <w:t>transport</w:t>
      </w:r>
      <w:r w:rsidR="00475A3D">
        <w:rPr>
          <w:rFonts w:ascii="Book Antiqua" w:hAnsi="Book Antiqua"/>
          <w:noProof/>
          <w:sz w:val="24"/>
          <w:vertAlign w:val="superscript"/>
        </w:rPr>
        <w:t>[</w:t>
      </w:r>
      <w:proofErr w:type="gramEnd"/>
      <w:r w:rsidR="00475A3D">
        <w:rPr>
          <w:rFonts w:ascii="Book Antiqua" w:hAnsi="Book Antiqua"/>
          <w:noProof/>
          <w:sz w:val="24"/>
          <w:vertAlign w:val="superscript"/>
        </w:rPr>
        <w:t>110,</w:t>
      </w:r>
      <w:r w:rsidRPr="007417D2">
        <w:rPr>
          <w:rFonts w:ascii="Book Antiqua" w:hAnsi="Book Antiqua"/>
          <w:noProof/>
          <w:sz w:val="24"/>
          <w:vertAlign w:val="superscript"/>
        </w:rPr>
        <w:t>111]</w:t>
      </w:r>
      <w:r w:rsidRPr="007417D2">
        <w:rPr>
          <w:rFonts w:ascii="Book Antiqua" w:hAnsi="Book Antiqua"/>
          <w:sz w:val="24"/>
        </w:rPr>
        <w:t xml:space="preserve">. In streptozotocin induced rat model of DM, long term memory potentiation was found to be impaired and insulin treatment rescued the </w:t>
      </w:r>
      <w:proofErr w:type="gramStart"/>
      <w:r w:rsidRPr="007417D2">
        <w:rPr>
          <w:rFonts w:ascii="Book Antiqua" w:hAnsi="Book Antiqua"/>
          <w:sz w:val="24"/>
        </w:rPr>
        <w:t>effects</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112-114]</w:t>
      </w:r>
      <w:r w:rsidRPr="007417D2">
        <w:rPr>
          <w:rFonts w:ascii="Book Antiqua" w:hAnsi="Book Antiqua"/>
          <w:sz w:val="24"/>
        </w:rPr>
        <w:t xml:space="preserve">. </w:t>
      </w:r>
      <w:r w:rsidR="008063D5" w:rsidRPr="007417D2">
        <w:rPr>
          <w:rFonts w:ascii="Book Antiqua" w:hAnsi="Book Antiqua"/>
          <w:sz w:val="24"/>
        </w:rPr>
        <w:t>W</w:t>
      </w:r>
      <w:r w:rsidRPr="007417D2">
        <w:rPr>
          <w:rFonts w:ascii="Book Antiqua" w:hAnsi="Book Antiqua"/>
          <w:sz w:val="24"/>
        </w:rPr>
        <w:t>ith these set of potential finding, it is evident that insulin is crucial synapto-dendritic player altering dendritic arbor morphology as well physiology.</w:t>
      </w:r>
    </w:p>
    <w:p w:rsidR="00FA235F" w:rsidRPr="007417D2" w:rsidRDefault="00FA235F" w:rsidP="007417D2">
      <w:pPr>
        <w:spacing w:line="360" w:lineRule="auto"/>
        <w:rPr>
          <w:rFonts w:ascii="Book Antiqua" w:hAnsi="Book Antiqua"/>
          <w:b/>
          <w:sz w:val="24"/>
        </w:rPr>
      </w:pPr>
    </w:p>
    <w:p w:rsidR="00FA235F" w:rsidRPr="0027560D" w:rsidRDefault="0027560D" w:rsidP="007417D2">
      <w:pPr>
        <w:spacing w:line="360" w:lineRule="auto"/>
        <w:rPr>
          <w:rFonts w:ascii="Book Antiqua" w:hAnsi="Book Antiqua"/>
          <w:b/>
          <w:sz w:val="24"/>
        </w:rPr>
      </w:pPr>
      <w:r w:rsidRPr="0027560D">
        <w:rPr>
          <w:rFonts w:ascii="Book Antiqua" w:hAnsi="Book Antiqua"/>
          <w:b/>
          <w:sz w:val="24"/>
        </w:rPr>
        <w:t>IRS</w:t>
      </w:r>
      <w:r w:rsidR="00FA235F" w:rsidRPr="0027560D">
        <w:rPr>
          <w:rFonts w:ascii="Book Antiqua" w:hAnsi="Book Antiqua"/>
          <w:b/>
          <w:sz w:val="24"/>
        </w:rPr>
        <w:t xml:space="preserve"> PLAYING DOWNSTREAM MOLECULAR ORCHESTRA: INSIGHT INTO THE MECHANISMS</w:t>
      </w:r>
    </w:p>
    <w:p w:rsidR="008063D5" w:rsidRPr="007417D2" w:rsidRDefault="00FA235F" w:rsidP="007417D2">
      <w:pPr>
        <w:spacing w:line="360" w:lineRule="auto"/>
        <w:rPr>
          <w:rFonts w:ascii="Book Antiqua" w:hAnsi="Book Antiqua"/>
          <w:sz w:val="24"/>
        </w:rPr>
      </w:pPr>
      <w:r w:rsidRPr="007417D2">
        <w:rPr>
          <w:rFonts w:ascii="Book Antiqua" w:hAnsi="Book Antiqua"/>
          <w:sz w:val="24"/>
        </w:rPr>
        <w:t xml:space="preserve">Investigators unraveled the IRs downstream molecular orchestra and speculated that IRs activation further activates PI3K/protein kinase B (PI3K/PKB) </w:t>
      </w:r>
      <w:proofErr w:type="gramStart"/>
      <w:r w:rsidRPr="007417D2">
        <w:rPr>
          <w:rFonts w:ascii="Book Antiqua" w:hAnsi="Book Antiqua"/>
          <w:sz w:val="24"/>
        </w:rPr>
        <w:t>pathway</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115]</w:t>
      </w:r>
      <w:r w:rsidRPr="007417D2">
        <w:rPr>
          <w:rFonts w:ascii="Book Antiqua" w:hAnsi="Book Antiqua"/>
          <w:sz w:val="24"/>
        </w:rPr>
        <w:t xml:space="preserve">. GSK3β is a major player of this pathway and involved in long term potentiation/long term depression (LTP/LTD) which is a sole mechanism of memory formation and synaptic </w:t>
      </w:r>
      <w:proofErr w:type="gramStart"/>
      <w:r w:rsidRPr="007417D2">
        <w:rPr>
          <w:rFonts w:ascii="Book Antiqua" w:hAnsi="Book Antiqua"/>
          <w:sz w:val="24"/>
        </w:rPr>
        <w:t>plasticity</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116]</w:t>
      </w:r>
      <w:r w:rsidRPr="007417D2">
        <w:rPr>
          <w:rFonts w:ascii="Book Antiqua" w:hAnsi="Book Antiqua"/>
          <w:sz w:val="24"/>
        </w:rPr>
        <w:t xml:space="preserve">. Other than insulin, PI3K can be activated by multiple growth factor </w:t>
      </w:r>
      <w:r w:rsidRPr="007417D2">
        <w:rPr>
          <w:rFonts w:ascii="Book Antiqua" w:hAnsi="Book Antiqua"/>
          <w:sz w:val="24"/>
        </w:rPr>
        <w:lastRenderedPageBreak/>
        <w:t>ligands including nerve growth factor (NGF), brain-derived neurotrophic factor (BDNF), glial cell-derived neurotrophic factor (GDNF), insulin like growth factor-1 (IGF-1)</w:t>
      </w:r>
      <w:r w:rsidR="0027560D">
        <w:rPr>
          <w:rFonts w:ascii="Book Antiqua" w:hAnsi="Book Antiqua" w:hint="eastAsia"/>
          <w:sz w:val="24"/>
        </w:rPr>
        <w:t>,</w:t>
      </w:r>
      <w:r w:rsidRPr="007417D2">
        <w:rPr>
          <w:rFonts w:ascii="Book Antiqua" w:hAnsi="Book Antiqua"/>
          <w:sz w:val="24"/>
        </w:rPr>
        <w:t xml:space="preserve"> </w:t>
      </w:r>
      <w:r w:rsidRPr="0027560D">
        <w:rPr>
          <w:rFonts w:ascii="Book Antiqua" w:hAnsi="Book Antiqua"/>
          <w:i/>
          <w:sz w:val="24"/>
        </w:rPr>
        <w:t>etc</w:t>
      </w:r>
      <w:r w:rsidR="0027560D">
        <w:rPr>
          <w:rFonts w:ascii="Book Antiqua" w:hAnsi="Book Antiqua" w:hint="eastAsia"/>
          <w:sz w:val="24"/>
        </w:rPr>
        <w:t>.</w:t>
      </w:r>
      <w:r w:rsidRPr="007417D2">
        <w:rPr>
          <w:rFonts w:ascii="Book Antiqua" w:hAnsi="Book Antiqua"/>
          <w:noProof/>
          <w:sz w:val="24"/>
          <w:vertAlign w:val="superscript"/>
        </w:rPr>
        <w:t>[117]</w:t>
      </w:r>
      <w:r w:rsidRPr="007417D2">
        <w:rPr>
          <w:rFonts w:ascii="Book Antiqua" w:hAnsi="Book Antiqua"/>
          <w:sz w:val="24"/>
        </w:rPr>
        <w:t xml:space="preserve">. </w:t>
      </w:r>
    </w:p>
    <w:p w:rsidR="008063D5" w:rsidRPr="007417D2" w:rsidRDefault="00FA235F" w:rsidP="0027560D">
      <w:pPr>
        <w:spacing w:line="360" w:lineRule="auto"/>
        <w:ind w:firstLineChars="100" w:firstLine="240"/>
        <w:rPr>
          <w:rFonts w:ascii="Book Antiqua" w:hAnsi="Book Antiqua"/>
          <w:sz w:val="24"/>
        </w:rPr>
      </w:pPr>
      <w:r w:rsidRPr="007417D2">
        <w:rPr>
          <w:rFonts w:ascii="Book Antiqua" w:hAnsi="Book Antiqua"/>
          <w:sz w:val="24"/>
        </w:rPr>
        <w:t>After relevant findings of two decades, it is safe to accept that PI3K/Akt signaling pathway is a potential window through which various ON/OFF switches of cognitive decline get operated.</w:t>
      </w:r>
      <w:r w:rsidR="00D3592B">
        <w:rPr>
          <w:rFonts w:ascii="Book Antiqua" w:hAnsi="Book Antiqua"/>
          <w:sz w:val="24"/>
        </w:rPr>
        <w:t xml:space="preserve"> </w:t>
      </w:r>
      <w:r w:rsidRPr="007417D2">
        <w:rPr>
          <w:rFonts w:ascii="Book Antiqua" w:hAnsi="Book Antiqua"/>
          <w:sz w:val="24"/>
        </w:rPr>
        <w:t>Protein kinase B (PKB), also known as Akt is a main downstream hub of various other pathways and exists with its widely expressed isoforms such as PKB-α, PKB-β and PKB-γ (predominates in CNS)</w:t>
      </w:r>
      <w:r w:rsidRPr="007417D2">
        <w:rPr>
          <w:rFonts w:ascii="Book Antiqua" w:hAnsi="Book Antiqua"/>
          <w:noProof/>
          <w:sz w:val="24"/>
          <w:vertAlign w:val="superscript"/>
        </w:rPr>
        <w:t>[118]</w:t>
      </w:r>
      <w:r w:rsidRPr="007417D2">
        <w:rPr>
          <w:rFonts w:ascii="Book Antiqua" w:hAnsi="Book Antiqua"/>
          <w:sz w:val="24"/>
        </w:rPr>
        <w:t xml:space="preserve">. Akt pathway has its regulating arms over neuronal survival, glucose uptake, angiogenesis, metabolism and </w:t>
      </w:r>
      <w:proofErr w:type="gramStart"/>
      <w:r w:rsidRPr="007417D2">
        <w:rPr>
          <w:rFonts w:ascii="Book Antiqua" w:hAnsi="Book Antiqua"/>
          <w:sz w:val="24"/>
        </w:rPr>
        <w:t>proliferation</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119]</w:t>
      </w:r>
      <w:r w:rsidRPr="007417D2">
        <w:rPr>
          <w:rFonts w:ascii="Book Antiqua" w:hAnsi="Book Antiqua"/>
          <w:sz w:val="24"/>
        </w:rPr>
        <w:t>. Moreover Akt has a negative feedback regulation over these via phosphatase and tensin homolog (PTEN), protein phosphatase 2A (PP2A), c-jun N-terminal kinases (JNK) and forkhead box O (FOXO</w:t>
      </w:r>
      <w:r w:rsidR="008063D5" w:rsidRPr="007417D2">
        <w:rPr>
          <w:rFonts w:ascii="Book Antiqua" w:hAnsi="Book Antiqua"/>
          <w:sz w:val="24"/>
        </w:rPr>
        <w:t>)</w:t>
      </w:r>
      <w:r w:rsidR="008063D5" w:rsidRPr="007417D2">
        <w:rPr>
          <w:rFonts w:ascii="Book Antiqua" w:hAnsi="Book Antiqua"/>
          <w:noProof/>
          <w:sz w:val="24"/>
          <w:vertAlign w:val="superscript"/>
        </w:rPr>
        <w:t xml:space="preserve"> [</w:t>
      </w:r>
      <w:r w:rsidRPr="007417D2">
        <w:rPr>
          <w:rFonts w:ascii="Book Antiqua" w:hAnsi="Book Antiqua"/>
          <w:noProof/>
          <w:sz w:val="24"/>
          <w:vertAlign w:val="superscript"/>
        </w:rPr>
        <w:t>119]</w:t>
      </w:r>
      <w:r w:rsidRPr="007417D2">
        <w:rPr>
          <w:rFonts w:ascii="Book Antiqua" w:hAnsi="Book Antiqua"/>
          <w:sz w:val="24"/>
        </w:rPr>
        <w:t xml:space="preserve">. </w:t>
      </w:r>
    </w:p>
    <w:p w:rsidR="00FA235F" w:rsidRPr="007417D2" w:rsidRDefault="00FA235F" w:rsidP="0027560D">
      <w:pPr>
        <w:spacing w:line="360" w:lineRule="auto"/>
        <w:ind w:firstLineChars="100" w:firstLine="240"/>
        <w:rPr>
          <w:rFonts w:ascii="Book Antiqua" w:hAnsi="Book Antiqua"/>
          <w:sz w:val="24"/>
        </w:rPr>
      </w:pPr>
      <w:r w:rsidRPr="007417D2">
        <w:rPr>
          <w:rFonts w:ascii="Book Antiqua" w:hAnsi="Book Antiqua"/>
          <w:sz w:val="24"/>
        </w:rPr>
        <w:t xml:space="preserve">Loss of PI3K control is a central mechanism of neurodegeneration in DM </w:t>
      </w:r>
      <w:proofErr w:type="gramStart"/>
      <w:r w:rsidRPr="007417D2">
        <w:rPr>
          <w:rFonts w:ascii="Book Antiqua" w:hAnsi="Book Antiqua"/>
          <w:sz w:val="24"/>
        </w:rPr>
        <w:t>patients</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120]</w:t>
      </w:r>
      <w:r w:rsidRPr="007417D2">
        <w:rPr>
          <w:rFonts w:ascii="Book Antiqua" w:hAnsi="Book Antiqua"/>
          <w:sz w:val="24"/>
        </w:rPr>
        <w:t>. Moreover, AD patients a</w:t>
      </w:r>
      <w:r w:rsidR="0027560D">
        <w:rPr>
          <w:rFonts w:ascii="Book Antiqua" w:hAnsi="Book Antiqua"/>
          <w:sz w:val="24"/>
        </w:rPr>
        <w:t>re reported with sustained PI3K</w:t>
      </w:r>
      <w:r w:rsidRPr="007417D2">
        <w:rPr>
          <w:rFonts w:ascii="Book Antiqua" w:hAnsi="Book Antiqua"/>
          <w:sz w:val="24"/>
        </w:rPr>
        <w:t xml:space="preserve">/AKT signaling which is a primary response linking insulin, IGF resistance, tau pathogenesis and synaptic </w:t>
      </w:r>
      <w:proofErr w:type="gramStart"/>
      <w:r w:rsidRPr="007417D2">
        <w:rPr>
          <w:rFonts w:ascii="Book Antiqua" w:hAnsi="Book Antiqua"/>
          <w:sz w:val="24"/>
        </w:rPr>
        <w:t>decline</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121]</w:t>
      </w:r>
      <w:r w:rsidRPr="007417D2">
        <w:rPr>
          <w:rFonts w:ascii="Book Antiqua" w:hAnsi="Book Antiqua"/>
          <w:sz w:val="24"/>
        </w:rPr>
        <w:t xml:space="preserve">. GSK3, mammalian target of rapamycin (mTOR) and FOXO are three main downstream targets playing this whole orchestra (represented in </w:t>
      </w:r>
      <w:r w:rsidR="0027560D" w:rsidRPr="0027560D">
        <w:rPr>
          <w:rFonts w:ascii="Book Antiqua" w:hAnsi="Book Antiqua"/>
          <w:sz w:val="24"/>
        </w:rPr>
        <w:t>Figure</w:t>
      </w:r>
      <w:r w:rsidR="0027560D" w:rsidRPr="0027560D">
        <w:rPr>
          <w:rFonts w:ascii="Book Antiqua" w:hAnsi="Book Antiqua" w:hint="eastAsia"/>
          <w:sz w:val="24"/>
        </w:rPr>
        <w:t xml:space="preserve"> </w:t>
      </w:r>
      <w:r w:rsidRPr="0027560D">
        <w:rPr>
          <w:rFonts w:ascii="Book Antiqua" w:hAnsi="Book Antiqua"/>
          <w:sz w:val="24"/>
        </w:rPr>
        <w:t>3).</w:t>
      </w:r>
    </w:p>
    <w:p w:rsidR="00FA235F" w:rsidRPr="007417D2" w:rsidRDefault="00FA235F" w:rsidP="007417D2">
      <w:pPr>
        <w:tabs>
          <w:tab w:val="left" w:pos="6100"/>
        </w:tabs>
        <w:spacing w:line="360" w:lineRule="auto"/>
        <w:rPr>
          <w:rFonts w:ascii="Book Antiqua" w:hAnsi="Book Antiqua"/>
          <w:b/>
          <w:sz w:val="24"/>
        </w:rPr>
      </w:pPr>
    </w:p>
    <w:p w:rsidR="00FA235F" w:rsidRPr="007417D2" w:rsidRDefault="00FA235F" w:rsidP="007417D2">
      <w:pPr>
        <w:tabs>
          <w:tab w:val="left" w:pos="6100"/>
        </w:tabs>
        <w:spacing w:line="360" w:lineRule="auto"/>
        <w:rPr>
          <w:rFonts w:ascii="Book Antiqua" w:hAnsi="Book Antiqua"/>
          <w:b/>
          <w:i/>
          <w:sz w:val="24"/>
        </w:rPr>
      </w:pPr>
      <w:r w:rsidRPr="007417D2">
        <w:rPr>
          <w:rFonts w:ascii="Book Antiqua" w:hAnsi="Book Antiqua"/>
          <w:b/>
          <w:i/>
          <w:sz w:val="24"/>
        </w:rPr>
        <w:t xml:space="preserve">Gsk3 β, a </w:t>
      </w:r>
      <w:r w:rsidR="0027560D" w:rsidRPr="007417D2">
        <w:rPr>
          <w:rFonts w:ascii="Book Antiqua" w:hAnsi="Book Antiqua"/>
          <w:b/>
          <w:i/>
          <w:sz w:val="24"/>
        </w:rPr>
        <w:t>p</w:t>
      </w:r>
      <w:r w:rsidRPr="007417D2">
        <w:rPr>
          <w:rFonts w:ascii="Book Antiqua" w:hAnsi="Book Antiqua"/>
          <w:b/>
          <w:i/>
          <w:sz w:val="24"/>
        </w:rPr>
        <w:t xml:space="preserve">ivot kinase in </w:t>
      </w:r>
      <w:r w:rsidR="001932D0" w:rsidRPr="007417D2">
        <w:rPr>
          <w:rFonts w:ascii="Book Antiqua" w:hAnsi="Book Antiqua"/>
          <w:sz w:val="24"/>
        </w:rPr>
        <w:t>AD</w:t>
      </w:r>
      <w:r w:rsidR="001932D0" w:rsidRPr="007417D2">
        <w:rPr>
          <w:rFonts w:ascii="Book Antiqua" w:hAnsi="Book Antiqua"/>
          <w:b/>
          <w:i/>
          <w:sz w:val="24"/>
        </w:rPr>
        <w:t xml:space="preserve"> </w:t>
      </w:r>
      <w:r w:rsidRPr="007417D2">
        <w:rPr>
          <w:rFonts w:ascii="Book Antiqua" w:hAnsi="Book Antiqua"/>
          <w:b/>
          <w:i/>
          <w:sz w:val="24"/>
        </w:rPr>
        <w:t xml:space="preserve">and </w:t>
      </w:r>
      <w:r w:rsidR="0027560D" w:rsidRPr="007417D2">
        <w:rPr>
          <w:rFonts w:ascii="Book Antiqua" w:hAnsi="Book Antiqua"/>
          <w:b/>
          <w:i/>
          <w:sz w:val="24"/>
        </w:rPr>
        <w:t>d</w:t>
      </w:r>
      <w:r w:rsidRPr="007417D2">
        <w:rPr>
          <w:rFonts w:ascii="Book Antiqua" w:hAnsi="Book Antiqua"/>
          <w:b/>
          <w:i/>
          <w:sz w:val="24"/>
        </w:rPr>
        <w:t>iabetes</w:t>
      </w:r>
    </w:p>
    <w:p w:rsidR="00FA235F" w:rsidRPr="007417D2" w:rsidRDefault="00FA235F" w:rsidP="007417D2">
      <w:pPr>
        <w:tabs>
          <w:tab w:val="left" w:pos="6100"/>
        </w:tabs>
        <w:spacing w:line="360" w:lineRule="auto"/>
        <w:rPr>
          <w:rFonts w:ascii="Book Antiqua" w:hAnsi="Book Antiqua"/>
          <w:sz w:val="24"/>
        </w:rPr>
      </w:pPr>
      <w:r w:rsidRPr="007417D2">
        <w:rPr>
          <w:rFonts w:ascii="Book Antiqua" w:hAnsi="Book Antiqua"/>
          <w:sz w:val="24"/>
        </w:rPr>
        <w:t xml:space="preserve">Extensive reports supporting pivotal role of GSK3β proposed </w:t>
      </w:r>
      <w:r w:rsidR="0027560D">
        <w:rPr>
          <w:rFonts w:ascii="Book Antiqua" w:hAnsi="Book Antiqua"/>
          <w:sz w:val="24"/>
        </w:rPr>
        <w:t>“</w:t>
      </w:r>
      <w:r w:rsidRPr="007417D2">
        <w:rPr>
          <w:rFonts w:ascii="Book Antiqua" w:hAnsi="Book Antiqua"/>
          <w:sz w:val="24"/>
        </w:rPr>
        <w:t>GSK3β hypothesis of AD</w:t>
      </w:r>
      <w:r w:rsidR="0027560D">
        <w:rPr>
          <w:rFonts w:ascii="Book Antiqua" w:hAnsi="Book Antiqua"/>
          <w:sz w:val="24"/>
        </w:rPr>
        <w:t>”</w:t>
      </w:r>
      <w:r w:rsidRPr="007417D2">
        <w:rPr>
          <w:rFonts w:ascii="Book Antiqua" w:hAnsi="Book Antiqua"/>
          <w:noProof/>
          <w:sz w:val="24"/>
          <w:vertAlign w:val="superscript"/>
        </w:rPr>
        <w:t>[107]</w:t>
      </w:r>
      <w:r w:rsidRPr="007417D2">
        <w:rPr>
          <w:rFonts w:ascii="Book Antiqua" w:hAnsi="Book Antiqua"/>
          <w:sz w:val="24"/>
        </w:rPr>
        <w:t xml:space="preserve">, according to which GSK3 β over-expression leads to impaired memory, amyloid β accumulation, tau hyperphosphorylation, neuronal defects and microglial mediated inflammation cascades. Genetic studies established that insulin signaling genes are also loci of </w:t>
      </w:r>
      <w:proofErr w:type="gramStart"/>
      <w:r w:rsidRPr="007417D2">
        <w:rPr>
          <w:rFonts w:ascii="Book Antiqua" w:hAnsi="Book Antiqua"/>
          <w:sz w:val="24"/>
        </w:rPr>
        <w:t>AD</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106]</w:t>
      </w:r>
      <w:r w:rsidRPr="007417D2">
        <w:rPr>
          <w:rFonts w:ascii="Book Antiqua" w:hAnsi="Book Antiqua"/>
          <w:sz w:val="24"/>
        </w:rPr>
        <w:t xml:space="preserve">. Cholinergic system is one of the major regulating knob under GSK3β control with choline acetyltransferase (ChAT) and acetylcholinesterase as regulating </w:t>
      </w:r>
      <w:proofErr w:type="gramStart"/>
      <w:r w:rsidRPr="007417D2">
        <w:rPr>
          <w:rFonts w:ascii="Book Antiqua" w:hAnsi="Book Antiqua"/>
          <w:sz w:val="24"/>
        </w:rPr>
        <w:t>keys</w:t>
      </w:r>
      <w:r w:rsidR="00545F02">
        <w:rPr>
          <w:rFonts w:ascii="Book Antiqua" w:hAnsi="Book Antiqua"/>
          <w:noProof/>
          <w:sz w:val="24"/>
          <w:vertAlign w:val="superscript"/>
        </w:rPr>
        <w:t>[</w:t>
      </w:r>
      <w:proofErr w:type="gramEnd"/>
      <w:r w:rsidR="00545F02">
        <w:rPr>
          <w:rFonts w:ascii="Book Antiqua" w:hAnsi="Book Antiqua"/>
          <w:noProof/>
          <w:sz w:val="24"/>
          <w:vertAlign w:val="superscript"/>
        </w:rPr>
        <w:t>107,</w:t>
      </w:r>
      <w:r w:rsidRPr="007417D2">
        <w:rPr>
          <w:rFonts w:ascii="Book Antiqua" w:hAnsi="Book Antiqua"/>
          <w:noProof/>
          <w:sz w:val="24"/>
          <w:vertAlign w:val="superscript"/>
        </w:rPr>
        <w:t>108]</w:t>
      </w:r>
      <w:r w:rsidRPr="007417D2">
        <w:rPr>
          <w:rFonts w:ascii="Book Antiqua" w:hAnsi="Book Antiqua"/>
          <w:sz w:val="24"/>
        </w:rPr>
        <w:t xml:space="preserve">. GSK3β leads to reduction of acetylcholine synthesis, which is in accordance with the cholinergic deficit observed in AD </w:t>
      </w:r>
      <w:proofErr w:type="gramStart"/>
      <w:r w:rsidRPr="007417D2">
        <w:rPr>
          <w:rFonts w:ascii="Book Antiqua" w:hAnsi="Book Antiqua"/>
          <w:sz w:val="24"/>
        </w:rPr>
        <w:t>brain</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122]</w:t>
      </w:r>
      <w:r w:rsidRPr="007417D2">
        <w:rPr>
          <w:rFonts w:ascii="Book Antiqua" w:hAnsi="Book Antiqua"/>
          <w:sz w:val="24"/>
        </w:rPr>
        <w:t xml:space="preserve">. GSK3β negatively affects axonal transport, microtubule dynamics and destabilizes microtubule by lowering its affinity with GSK3β phosphorylated </w:t>
      </w:r>
      <w:proofErr w:type="gramStart"/>
      <w:r w:rsidRPr="007417D2">
        <w:rPr>
          <w:rFonts w:ascii="Book Antiqua" w:hAnsi="Book Antiqua"/>
          <w:sz w:val="24"/>
        </w:rPr>
        <w:t>tau</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95-97]</w:t>
      </w:r>
      <w:r w:rsidRPr="007417D2">
        <w:rPr>
          <w:rFonts w:ascii="Book Antiqua" w:hAnsi="Book Antiqua"/>
          <w:sz w:val="24"/>
        </w:rPr>
        <w:t xml:space="preserve"> and contributes to AD pathology. Being a key mediator of apoptosis it may directly contribute to neuronal loss </w:t>
      </w:r>
      <w:r w:rsidRPr="007417D2">
        <w:rPr>
          <w:rFonts w:ascii="Book Antiqua" w:hAnsi="Book Antiqua"/>
          <w:sz w:val="24"/>
        </w:rPr>
        <w:lastRenderedPageBreak/>
        <w:t xml:space="preserve">in </w:t>
      </w:r>
      <w:proofErr w:type="gramStart"/>
      <w:r w:rsidRPr="007417D2">
        <w:rPr>
          <w:rFonts w:ascii="Book Antiqua" w:hAnsi="Book Antiqua"/>
          <w:sz w:val="24"/>
        </w:rPr>
        <w:t>AD</w:t>
      </w:r>
      <w:r w:rsidR="00545F02">
        <w:rPr>
          <w:rFonts w:ascii="Book Antiqua" w:hAnsi="Book Antiqua"/>
          <w:noProof/>
          <w:sz w:val="24"/>
          <w:vertAlign w:val="superscript"/>
        </w:rPr>
        <w:t>[</w:t>
      </w:r>
      <w:proofErr w:type="gramEnd"/>
      <w:r w:rsidR="00545F02">
        <w:rPr>
          <w:rFonts w:ascii="Book Antiqua" w:hAnsi="Book Antiqua"/>
          <w:noProof/>
          <w:sz w:val="24"/>
          <w:vertAlign w:val="superscript"/>
        </w:rPr>
        <w:t>105,</w:t>
      </w:r>
      <w:r w:rsidRPr="007417D2">
        <w:rPr>
          <w:rFonts w:ascii="Book Antiqua" w:hAnsi="Book Antiqua"/>
          <w:noProof/>
          <w:sz w:val="24"/>
          <w:vertAlign w:val="superscript"/>
        </w:rPr>
        <w:t>123]</w:t>
      </w:r>
      <w:r w:rsidRPr="007417D2">
        <w:rPr>
          <w:rFonts w:ascii="Book Antiqua" w:hAnsi="Book Antiqua"/>
          <w:sz w:val="24"/>
        </w:rPr>
        <w:t xml:space="preserve">. GSK3β interestingly controls cell cycle in two way system by activating intrinsic pathway to trigger cell death and by inhibiting death receptors by extrinsic </w:t>
      </w:r>
      <w:proofErr w:type="gramStart"/>
      <w:r w:rsidRPr="007417D2">
        <w:rPr>
          <w:rFonts w:ascii="Book Antiqua" w:hAnsi="Book Antiqua"/>
          <w:sz w:val="24"/>
        </w:rPr>
        <w:t>pathway</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124]</w:t>
      </w:r>
      <w:r w:rsidRPr="007417D2">
        <w:rPr>
          <w:rFonts w:ascii="Book Antiqua" w:hAnsi="Book Antiqua"/>
          <w:sz w:val="24"/>
        </w:rPr>
        <w:t xml:space="preserve">. In 2002, Sun </w:t>
      </w:r>
      <w:r w:rsidRPr="007417D2">
        <w:rPr>
          <w:rFonts w:ascii="Book Antiqua" w:hAnsi="Book Antiqua"/>
          <w:i/>
          <w:sz w:val="24"/>
        </w:rPr>
        <w:t xml:space="preserve">et </w:t>
      </w:r>
      <w:proofErr w:type="gramStart"/>
      <w:r w:rsidRPr="007417D2">
        <w:rPr>
          <w:rFonts w:ascii="Book Antiqua" w:hAnsi="Book Antiqua"/>
          <w:i/>
          <w:sz w:val="24"/>
        </w:rPr>
        <w:t>al</w:t>
      </w:r>
      <w:r w:rsidR="00545F02" w:rsidRPr="00545F02">
        <w:rPr>
          <w:rFonts w:ascii="Book Antiqua" w:hAnsi="Book Antiqua" w:hint="eastAsia"/>
          <w:sz w:val="24"/>
          <w:vertAlign w:val="superscript"/>
        </w:rPr>
        <w:t>[</w:t>
      </w:r>
      <w:proofErr w:type="gramEnd"/>
      <w:r w:rsidR="00545F02" w:rsidRPr="00545F02">
        <w:rPr>
          <w:rFonts w:ascii="Book Antiqua" w:hAnsi="Book Antiqua" w:hint="eastAsia"/>
          <w:sz w:val="24"/>
          <w:vertAlign w:val="superscript"/>
        </w:rPr>
        <w:t>125]</w:t>
      </w:r>
      <w:r w:rsidRPr="007417D2">
        <w:rPr>
          <w:rFonts w:ascii="Book Antiqua" w:hAnsi="Book Antiqua"/>
          <w:sz w:val="24"/>
        </w:rPr>
        <w:t xml:space="preserve"> and in 2003, Phiel </w:t>
      </w:r>
      <w:r w:rsidR="00545F02">
        <w:rPr>
          <w:rFonts w:ascii="Book Antiqua" w:hAnsi="Book Antiqua"/>
          <w:i/>
          <w:sz w:val="24"/>
        </w:rPr>
        <w:t>et al</w:t>
      </w:r>
      <w:r w:rsidR="00545F02">
        <w:rPr>
          <w:rFonts w:ascii="Book Antiqua" w:hAnsi="Book Antiqua" w:hint="eastAsia"/>
          <w:sz w:val="24"/>
          <w:vertAlign w:val="superscript"/>
        </w:rPr>
        <w:t>[76]</w:t>
      </w:r>
      <w:r w:rsidRPr="007417D2">
        <w:rPr>
          <w:rFonts w:ascii="Book Antiqua" w:hAnsi="Book Antiqua"/>
          <w:sz w:val="24"/>
        </w:rPr>
        <w:t xml:space="preserve"> reported that GSK3β increases Aβ production by regulating APP cleavage. On exposure of Aβ, neurons inhibit PI3K pathway and increase GSK3β </w:t>
      </w:r>
      <w:proofErr w:type="gramStart"/>
      <w:r w:rsidRPr="007417D2">
        <w:rPr>
          <w:rFonts w:ascii="Book Antiqua" w:hAnsi="Book Antiqua"/>
          <w:sz w:val="24"/>
        </w:rPr>
        <w:t>activity</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126]</w:t>
      </w:r>
      <w:r w:rsidRPr="007417D2">
        <w:rPr>
          <w:rFonts w:ascii="Book Antiqua" w:hAnsi="Book Antiqua"/>
          <w:sz w:val="24"/>
        </w:rPr>
        <w:t xml:space="preserve">. GSK3α as well as GSK3β both are found to be an inducer of tau </w:t>
      </w:r>
      <w:proofErr w:type="gramStart"/>
      <w:r w:rsidRPr="007417D2">
        <w:rPr>
          <w:rFonts w:ascii="Book Antiqua" w:hAnsi="Book Antiqua"/>
          <w:sz w:val="24"/>
        </w:rPr>
        <w:t>phosphorylation</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127-132]</w:t>
      </w:r>
      <w:r w:rsidRPr="007417D2">
        <w:rPr>
          <w:rFonts w:ascii="Book Antiqua" w:hAnsi="Book Antiqua"/>
          <w:sz w:val="24"/>
        </w:rPr>
        <w:t>.</w:t>
      </w:r>
      <w:r w:rsidR="00D3592B">
        <w:rPr>
          <w:rFonts w:ascii="Book Antiqua" w:hAnsi="Book Antiqua"/>
          <w:sz w:val="24"/>
        </w:rPr>
        <w:t xml:space="preserve"> </w:t>
      </w:r>
      <w:r w:rsidRPr="007417D2">
        <w:rPr>
          <w:rFonts w:ascii="Book Antiqua" w:hAnsi="Book Antiqua"/>
          <w:sz w:val="24"/>
        </w:rPr>
        <w:t xml:space="preserve">Drastic alteration in dendritic arbor and post synaptic density, a common morphological feature of AD brain has been observed in GSK3 β deficient </w:t>
      </w:r>
      <w:proofErr w:type="gramStart"/>
      <w:r w:rsidRPr="007417D2">
        <w:rPr>
          <w:rFonts w:ascii="Book Antiqua" w:hAnsi="Book Antiqua"/>
          <w:sz w:val="24"/>
        </w:rPr>
        <w:t>mice</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132]</w:t>
      </w:r>
      <w:r w:rsidRPr="007417D2">
        <w:rPr>
          <w:rFonts w:ascii="Book Antiqua" w:hAnsi="Book Antiqua"/>
          <w:sz w:val="24"/>
        </w:rPr>
        <w:t>. GSK3 β is the only kinase involved in NMDAR-</w:t>
      </w:r>
      <w:proofErr w:type="gramStart"/>
      <w:r w:rsidRPr="007417D2">
        <w:rPr>
          <w:rFonts w:ascii="Book Antiqua" w:hAnsi="Book Antiqua"/>
          <w:sz w:val="24"/>
        </w:rPr>
        <w:t>LTD</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124]</w:t>
      </w:r>
      <w:r w:rsidRPr="007417D2">
        <w:rPr>
          <w:rFonts w:ascii="Book Antiqua" w:hAnsi="Book Antiqua"/>
          <w:sz w:val="24"/>
        </w:rPr>
        <w:t>. It also maintains a threshold of LTP and LTD</w:t>
      </w:r>
      <w:r w:rsidR="00545F02">
        <w:rPr>
          <w:rFonts w:ascii="Book Antiqua" w:hAnsi="Book Antiqua" w:hint="eastAsia"/>
          <w:sz w:val="24"/>
        </w:rPr>
        <w:t>,</w:t>
      </w:r>
      <w:r w:rsidRPr="007417D2">
        <w:rPr>
          <w:rFonts w:ascii="Book Antiqua" w:hAnsi="Book Antiqua"/>
          <w:sz w:val="24"/>
        </w:rPr>
        <w:t xml:space="preserve"> </w:t>
      </w:r>
      <w:r w:rsidRPr="00545F02">
        <w:rPr>
          <w:rFonts w:ascii="Book Antiqua" w:hAnsi="Book Antiqua"/>
          <w:i/>
          <w:sz w:val="24"/>
        </w:rPr>
        <w:t>i.e.</w:t>
      </w:r>
      <w:r w:rsidR="00545F02">
        <w:rPr>
          <w:rFonts w:ascii="Book Antiqua" w:hAnsi="Book Antiqua" w:hint="eastAsia"/>
          <w:sz w:val="24"/>
        </w:rPr>
        <w:t>,</w:t>
      </w:r>
      <w:r w:rsidRPr="007417D2">
        <w:rPr>
          <w:rFonts w:ascii="Book Antiqua" w:hAnsi="Book Antiqua"/>
          <w:sz w:val="24"/>
        </w:rPr>
        <w:t xml:space="preserve"> maintenance of </w:t>
      </w:r>
      <w:proofErr w:type="gramStart"/>
      <w:r w:rsidRPr="007417D2">
        <w:rPr>
          <w:rFonts w:ascii="Book Antiqua" w:hAnsi="Book Antiqua"/>
          <w:sz w:val="24"/>
        </w:rPr>
        <w:t>metaplasticity</w:t>
      </w:r>
      <w:r w:rsidR="00545F02">
        <w:rPr>
          <w:rFonts w:ascii="Book Antiqua" w:hAnsi="Book Antiqua"/>
          <w:noProof/>
          <w:sz w:val="24"/>
          <w:vertAlign w:val="superscript"/>
        </w:rPr>
        <w:t>[</w:t>
      </w:r>
      <w:proofErr w:type="gramEnd"/>
      <w:r w:rsidR="00545F02">
        <w:rPr>
          <w:rFonts w:ascii="Book Antiqua" w:hAnsi="Book Antiqua"/>
          <w:noProof/>
          <w:sz w:val="24"/>
          <w:vertAlign w:val="superscript"/>
        </w:rPr>
        <w:t>116,133,</w:t>
      </w:r>
      <w:r w:rsidRPr="007417D2">
        <w:rPr>
          <w:rFonts w:ascii="Book Antiqua" w:hAnsi="Book Antiqua"/>
          <w:noProof/>
          <w:sz w:val="24"/>
          <w:vertAlign w:val="superscript"/>
        </w:rPr>
        <w:t>134]</w:t>
      </w:r>
      <w:r w:rsidRPr="007417D2">
        <w:rPr>
          <w:rFonts w:ascii="Book Antiqua" w:hAnsi="Book Antiqua"/>
          <w:sz w:val="24"/>
        </w:rPr>
        <w:t xml:space="preserve">. Modulation in regulated/constituted expression of GSK3β orchestrates neuronal </w:t>
      </w:r>
      <w:proofErr w:type="gramStart"/>
      <w:r w:rsidRPr="007417D2">
        <w:rPr>
          <w:rFonts w:ascii="Book Antiqua" w:hAnsi="Book Antiqua"/>
          <w:sz w:val="24"/>
        </w:rPr>
        <w:t>plasticity</w:t>
      </w:r>
      <w:r w:rsidR="00545F02">
        <w:rPr>
          <w:rFonts w:ascii="Book Antiqua" w:hAnsi="Book Antiqua"/>
          <w:noProof/>
          <w:sz w:val="24"/>
          <w:vertAlign w:val="superscript"/>
        </w:rPr>
        <w:t>[</w:t>
      </w:r>
      <w:proofErr w:type="gramEnd"/>
      <w:r w:rsidR="00545F02">
        <w:rPr>
          <w:rFonts w:ascii="Book Antiqua" w:hAnsi="Book Antiqua"/>
          <w:noProof/>
          <w:sz w:val="24"/>
          <w:vertAlign w:val="superscript"/>
        </w:rPr>
        <w:t>84,116,</w:t>
      </w:r>
      <w:r w:rsidRPr="007417D2">
        <w:rPr>
          <w:rFonts w:ascii="Book Antiqua" w:hAnsi="Book Antiqua"/>
          <w:noProof/>
          <w:sz w:val="24"/>
          <w:vertAlign w:val="superscript"/>
        </w:rPr>
        <w:t>134-140]</w:t>
      </w:r>
      <w:r w:rsidRPr="007417D2">
        <w:rPr>
          <w:rFonts w:ascii="Book Antiqua" w:hAnsi="Book Antiqua"/>
          <w:sz w:val="24"/>
        </w:rPr>
        <w:t xml:space="preserve">. GSK3β dramatically induces the internalization of AMPA and NMDA </w:t>
      </w:r>
      <w:proofErr w:type="gramStart"/>
      <w:r w:rsidRPr="007417D2">
        <w:rPr>
          <w:rFonts w:ascii="Book Antiqua" w:hAnsi="Book Antiqua"/>
          <w:sz w:val="24"/>
        </w:rPr>
        <w:t>receptors</w:t>
      </w:r>
      <w:r w:rsidR="00545F02">
        <w:rPr>
          <w:rFonts w:ascii="Book Antiqua" w:hAnsi="Book Antiqua"/>
          <w:noProof/>
          <w:sz w:val="24"/>
          <w:vertAlign w:val="superscript"/>
        </w:rPr>
        <w:t>[</w:t>
      </w:r>
      <w:proofErr w:type="gramEnd"/>
      <w:r w:rsidR="00545F02">
        <w:rPr>
          <w:rFonts w:ascii="Book Antiqua" w:hAnsi="Book Antiqua"/>
          <w:noProof/>
          <w:sz w:val="24"/>
          <w:vertAlign w:val="superscript"/>
        </w:rPr>
        <w:t>141,</w:t>
      </w:r>
      <w:r w:rsidRPr="007417D2">
        <w:rPr>
          <w:rFonts w:ascii="Book Antiqua" w:hAnsi="Book Antiqua"/>
          <w:noProof/>
          <w:sz w:val="24"/>
          <w:vertAlign w:val="superscript"/>
        </w:rPr>
        <w:t>142]</w:t>
      </w:r>
      <w:r w:rsidRPr="007417D2">
        <w:rPr>
          <w:rFonts w:ascii="Book Antiqua" w:hAnsi="Book Antiqua"/>
          <w:sz w:val="24"/>
        </w:rPr>
        <w:t xml:space="preserve"> and decreases the level of PSD proteins, a molecular marker of memory acquisition</w:t>
      </w:r>
      <w:r w:rsidRPr="007417D2">
        <w:rPr>
          <w:rFonts w:ascii="Book Antiqua" w:hAnsi="Book Antiqua"/>
          <w:noProof/>
          <w:sz w:val="24"/>
          <w:vertAlign w:val="superscript"/>
        </w:rPr>
        <w:t>[77]</w:t>
      </w:r>
      <w:r w:rsidRPr="007417D2">
        <w:rPr>
          <w:rFonts w:ascii="Book Antiqua" w:hAnsi="Book Antiqua"/>
          <w:sz w:val="24"/>
        </w:rPr>
        <w:t>.</w:t>
      </w:r>
      <w:r w:rsidR="00D3592B">
        <w:rPr>
          <w:rFonts w:ascii="Book Antiqua" w:hAnsi="Book Antiqua"/>
          <w:sz w:val="24"/>
        </w:rPr>
        <w:t xml:space="preserve"> </w:t>
      </w:r>
      <w:r w:rsidRPr="007417D2">
        <w:rPr>
          <w:rFonts w:ascii="Book Antiqua" w:hAnsi="Book Antiqua"/>
          <w:sz w:val="24"/>
        </w:rPr>
        <w:t xml:space="preserve">GSK3β phosphorylates CREB protein to inhibit its function which is a universal modulator of memory. It aids in cyto-architecture of cell by promoting actin and tubulin assembly for synaptic </w:t>
      </w:r>
      <w:proofErr w:type="gramStart"/>
      <w:r w:rsidR="008063D5" w:rsidRPr="007417D2">
        <w:rPr>
          <w:rFonts w:ascii="Book Antiqua" w:hAnsi="Book Antiqua"/>
          <w:sz w:val="24"/>
        </w:rPr>
        <w:t>reorganization</w:t>
      </w:r>
      <w:r w:rsidR="008063D5" w:rsidRPr="007417D2">
        <w:rPr>
          <w:rFonts w:ascii="Book Antiqua" w:hAnsi="Book Antiqua"/>
          <w:noProof/>
          <w:sz w:val="24"/>
          <w:vertAlign w:val="superscript"/>
        </w:rPr>
        <w:t>[</w:t>
      </w:r>
      <w:proofErr w:type="gramEnd"/>
      <w:r w:rsidRPr="007417D2">
        <w:rPr>
          <w:rFonts w:ascii="Book Antiqua" w:hAnsi="Book Antiqua"/>
          <w:noProof/>
          <w:sz w:val="24"/>
          <w:vertAlign w:val="superscript"/>
        </w:rPr>
        <w:t>143]</w:t>
      </w:r>
      <w:r w:rsidRPr="007417D2">
        <w:rPr>
          <w:rFonts w:ascii="Book Antiqua" w:hAnsi="Book Antiqua"/>
          <w:sz w:val="24"/>
        </w:rPr>
        <w:t>. GSK3β is also a pivot kinase involved in adult hippocampal neurogenesis which negatively regulates it by reducing the number of proliferating neurons in the dentate</w:t>
      </w:r>
      <w:r w:rsidR="008063D5" w:rsidRPr="007417D2">
        <w:rPr>
          <w:rFonts w:ascii="Book Antiqua" w:hAnsi="Book Antiqua"/>
          <w:sz w:val="24"/>
        </w:rPr>
        <w:t xml:space="preserve"> </w:t>
      </w:r>
      <w:r w:rsidRPr="007417D2">
        <w:rPr>
          <w:rFonts w:ascii="Book Antiqua" w:hAnsi="Book Antiqua"/>
          <w:sz w:val="24"/>
        </w:rPr>
        <w:t xml:space="preserve">gyrus </w:t>
      </w:r>
      <w:proofErr w:type="gramStart"/>
      <w:r w:rsidRPr="007417D2">
        <w:rPr>
          <w:rFonts w:ascii="Book Antiqua" w:hAnsi="Book Antiqua"/>
          <w:sz w:val="24"/>
        </w:rPr>
        <w:t>region</w:t>
      </w:r>
      <w:r w:rsidR="00545F02">
        <w:rPr>
          <w:rFonts w:ascii="Book Antiqua" w:hAnsi="Book Antiqua"/>
          <w:noProof/>
          <w:sz w:val="24"/>
          <w:vertAlign w:val="superscript"/>
        </w:rPr>
        <w:t>[</w:t>
      </w:r>
      <w:proofErr w:type="gramEnd"/>
      <w:r w:rsidR="00545F02">
        <w:rPr>
          <w:rFonts w:ascii="Book Antiqua" w:hAnsi="Book Antiqua"/>
          <w:noProof/>
          <w:sz w:val="24"/>
          <w:vertAlign w:val="superscript"/>
        </w:rPr>
        <w:t>144,</w:t>
      </w:r>
      <w:r w:rsidRPr="007417D2">
        <w:rPr>
          <w:rFonts w:ascii="Book Antiqua" w:hAnsi="Book Antiqua"/>
          <w:noProof/>
          <w:sz w:val="24"/>
          <w:vertAlign w:val="superscript"/>
        </w:rPr>
        <w:t>145]</w:t>
      </w:r>
      <w:r w:rsidRPr="007417D2">
        <w:rPr>
          <w:rFonts w:ascii="Book Antiqua" w:hAnsi="Book Antiqua"/>
          <w:sz w:val="24"/>
        </w:rPr>
        <w:t xml:space="preserve">. GSK3β is directly involved in the production of pro-inflammatory cytokines such as </w:t>
      </w:r>
      <w:r w:rsidR="00281EA4" w:rsidRPr="007417D2">
        <w:rPr>
          <w:rFonts w:ascii="Book Antiqua" w:hAnsi="Book Antiqua"/>
          <w:sz w:val="24"/>
        </w:rPr>
        <w:t>interleukin (IL)</w:t>
      </w:r>
      <w:r w:rsidR="00281EA4">
        <w:rPr>
          <w:rFonts w:ascii="Book Antiqua" w:hAnsi="Book Antiqua" w:hint="eastAsia"/>
          <w:sz w:val="24"/>
        </w:rPr>
        <w:t xml:space="preserve"> </w:t>
      </w:r>
      <w:r w:rsidRPr="007417D2">
        <w:rPr>
          <w:rFonts w:ascii="Book Antiqua" w:hAnsi="Book Antiqua"/>
          <w:sz w:val="24"/>
        </w:rPr>
        <w:t xml:space="preserve">6, IL-1 β, TNF alpha which indicates its positive regulation </w:t>
      </w:r>
      <w:r w:rsidR="009325BB">
        <w:rPr>
          <w:rFonts w:ascii="Book Antiqua" w:hAnsi="Book Antiqua"/>
          <w:sz w:val="24"/>
        </w:rPr>
        <w:t xml:space="preserve">towards inflammatory </w:t>
      </w:r>
      <w:proofErr w:type="gramStart"/>
      <w:r w:rsidR="009325BB">
        <w:rPr>
          <w:rFonts w:ascii="Book Antiqua" w:hAnsi="Book Antiqua"/>
          <w:sz w:val="24"/>
        </w:rPr>
        <w:t>mechanisms</w:t>
      </w:r>
      <w:r w:rsidR="009325BB">
        <w:rPr>
          <w:rFonts w:ascii="Book Antiqua" w:hAnsi="Book Antiqua"/>
          <w:noProof/>
          <w:sz w:val="24"/>
          <w:vertAlign w:val="superscript"/>
        </w:rPr>
        <w:t>[</w:t>
      </w:r>
      <w:proofErr w:type="gramEnd"/>
      <w:r w:rsidR="009325BB">
        <w:rPr>
          <w:rFonts w:ascii="Book Antiqua" w:hAnsi="Book Antiqua"/>
          <w:noProof/>
          <w:sz w:val="24"/>
          <w:vertAlign w:val="superscript"/>
        </w:rPr>
        <w:t>146,</w:t>
      </w:r>
      <w:r w:rsidRPr="007417D2">
        <w:rPr>
          <w:rFonts w:ascii="Book Antiqua" w:hAnsi="Book Antiqua"/>
          <w:noProof/>
          <w:sz w:val="24"/>
          <w:vertAlign w:val="superscript"/>
        </w:rPr>
        <w:t>147]</w:t>
      </w:r>
      <w:r w:rsidRPr="007417D2">
        <w:rPr>
          <w:rFonts w:ascii="Book Antiqua" w:hAnsi="Book Antiqua"/>
          <w:sz w:val="24"/>
        </w:rPr>
        <w:t xml:space="preserve">. </w:t>
      </w:r>
    </w:p>
    <w:p w:rsidR="00FA235F" w:rsidRPr="007417D2" w:rsidRDefault="00FA235F" w:rsidP="007417D2">
      <w:pPr>
        <w:tabs>
          <w:tab w:val="left" w:pos="6100"/>
        </w:tabs>
        <w:spacing w:line="360" w:lineRule="auto"/>
        <w:rPr>
          <w:rFonts w:ascii="Book Antiqua" w:hAnsi="Book Antiqua"/>
          <w:b/>
          <w:sz w:val="24"/>
        </w:rPr>
      </w:pPr>
    </w:p>
    <w:p w:rsidR="00FA235F" w:rsidRPr="007417D2" w:rsidRDefault="00FA235F" w:rsidP="007417D2">
      <w:pPr>
        <w:spacing w:line="360" w:lineRule="auto"/>
        <w:rPr>
          <w:rFonts w:ascii="Book Antiqua" w:hAnsi="Book Antiqua"/>
          <w:b/>
          <w:i/>
          <w:sz w:val="24"/>
        </w:rPr>
      </w:pPr>
      <w:r w:rsidRPr="007417D2">
        <w:rPr>
          <w:rFonts w:ascii="Book Antiqua" w:hAnsi="Book Antiqua"/>
          <w:b/>
          <w:i/>
          <w:sz w:val="24"/>
        </w:rPr>
        <w:t xml:space="preserve">Foxo1 </w:t>
      </w:r>
      <w:r w:rsidR="009325BB" w:rsidRPr="007417D2">
        <w:rPr>
          <w:rFonts w:ascii="Book Antiqua" w:hAnsi="Book Antiqua"/>
          <w:b/>
          <w:i/>
          <w:sz w:val="24"/>
        </w:rPr>
        <w:t>s</w:t>
      </w:r>
      <w:r w:rsidRPr="007417D2">
        <w:rPr>
          <w:rFonts w:ascii="Book Antiqua" w:hAnsi="Book Antiqua"/>
          <w:b/>
          <w:i/>
          <w:sz w:val="24"/>
        </w:rPr>
        <w:t xml:space="preserve">ignaling: A </w:t>
      </w:r>
      <w:r w:rsidR="009325BB" w:rsidRPr="007417D2">
        <w:rPr>
          <w:rFonts w:ascii="Book Antiqua" w:hAnsi="Book Antiqua"/>
          <w:b/>
          <w:i/>
          <w:sz w:val="24"/>
        </w:rPr>
        <w:t xml:space="preserve">mechanistic node for a vicious cycle of </w:t>
      </w:r>
      <w:r w:rsidR="009325BB">
        <w:rPr>
          <w:rFonts w:ascii="Book Antiqua" w:hAnsi="Book Antiqua" w:hint="eastAsia"/>
          <w:b/>
          <w:i/>
          <w:sz w:val="24"/>
        </w:rPr>
        <w:t>IR</w:t>
      </w:r>
      <w:r w:rsidRPr="007417D2">
        <w:rPr>
          <w:rFonts w:ascii="Book Antiqua" w:hAnsi="Book Antiqua"/>
          <w:b/>
          <w:i/>
          <w:sz w:val="24"/>
        </w:rPr>
        <w:t xml:space="preserve"> and Aβ </w:t>
      </w:r>
      <w:r w:rsidR="009325BB" w:rsidRPr="007417D2">
        <w:rPr>
          <w:rFonts w:ascii="Book Antiqua" w:hAnsi="Book Antiqua"/>
          <w:b/>
          <w:i/>
          <w:sz w:val="24"/>
        </w:rPr>
        <w:t>u</w:t>
      </w:r>
      <w:r w:rsidRPr="007417D2">
        <w:rPr>
          <w:rFonts w:ascii="Book Antiqua" w:hAnsi="Book Antiqua"/>
          <w:b/>
          <w:i/>
          <w:sz w:val="24"/>
        </w:rPr>
        <w:t>p-regulation</w:t>
      </w:r>
    </w:p>
    <w:p w:rsidR="008063D5" w:rsidRPr="007417D2" w:rsidRDefault="00FA235F" w:rsidP="007417D2">
      <w:pPr>
        <w:tabs>
          <w:tab w:val="left" w:pos="6100"/>
        </w:tabs>
        <w:spacing w:line="360" w:lineRule="auto"/>
        <w:rPr>
          <w:rFonts w:ascii="Book Antiqua" w:hAnsi="Book Antiqua"/>
          <w:i/>
          <w:sz w:val="24"/>
        </w:rPr>
      </w:pPr>
      <w:r w:rsidRPr="007417D2">
        <w:rPr>
          <w:rFonts w:ascii="Book Antiqua" w:hAnsi="Book Antiqua"/>
          <w:sz w:val="24"/>
        </w:rPr>
        <w:t xml:space="preserve">FOXO signaling is a mechanistic node and regulates the fine balance of oxidative stress pathways (depicted in </w:t>
      </w:r>
      <w:r w:rsidRPr="009325BB">
        <w:rPr>
          <w:rFonts w:ascii="Book Antiqua" w:hAnsi="Book Antiqua"/>
          <w:sz w:val="24"/>
        </w:rPr>
        <w:t xml:space="preserve">Figure 4). </w:t>
      </w:r>
      <w:r w:rsidRPr="007417D2">
        <w:rPr>
          <w:rFonts w:ascii="Book Antiqua" w:hAnsi="Book Antiqua"/>
          <w:sz w:val="24"/>
        </w:rPr>
        <w:t xml:space="preserve">Before moving into the mechanism part, it has been briefly discussed about the dramatic story of its evolution in molecular series under </w:t>
      </w:r>
      <w:proofErr w:type="gramStart"/>
      <w:r w:rsidRPr="007417D2">
        <w:rPr>
          <w:rFonts w:ascii="Book Antiqua" w:hAnsi="Book Antiqua"/>
          <w:sz w:val="24"/>
        </w:rPr>
        <w:t>discovery</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148]</w:t>
      </w:r>
      <w:r w:rsidRPr="007417D2">
        <w:rPr>
          <w:rFonts w:ascii="Book Antiqua" w:hAnsi="Book Antiqua"/>
          <w:sz w:val="24"/>
        </w:rPr>
        <w:t xml:space="preserve">. Many lines of evidence suggest its role in AD as well as IR with major involvement in cell proliferation, differentiation, cell survival, apoptosis and development of proliferative late onset </w:t>
      </w:r>
      <w:proofErr w:type="gramStart"/>
      <w:r w:rsidRPr="007417D2">
        <w:rPr>
          <w:rFonts w:ascii="Book Antiqua" w:hAnsi="Book Antiqua"/>
          <w:sz w:val="24"/>
        </w:rPr>
        <w:t>diseases</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148]</w:t>
      </w:r>
      <w:r w:rsidRPr="007417D2">
        <w:rPr>
          <w:rFonts w:ascii="Book Antiqua" w:hAnsi="Book Antiqua"/>
          <w:sz w:val="24"/>
        </w:rPr>
        <w:t xml:space="preserve">. Short term activation of this player leads to protective mechanism of scavenging reactive oxygen species (ROS) which is a part of normal cell physiology but its persistent activation awakes the apoptosis </w:t>
      </w:r>
      <w:proofErr w:type="gramStart"/>
      <w:r w:rsidRPr="007417D2">
        <w:rPr>
          <w:rFonts w:ascii="Book Antiqua" w:hAnsi="Book Antiqua"/>
          <w:sz w:val="24"/>
        </w:rPr>
        <w:lastRenderedPageBreak/>
        <w:t>pathway</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148]</w:t>
      </w:r>
      <w:r w:rsidRPr="007417D2">
        <w:rPr>
          <w:rFonts w:ascii="Book Antiqua" w:hAnsi="Book Antiqua"/>
          <w:sz w:val="24"/>
        </w:rPr>
        <w:t xml:space="preserve">. Cellular milieu tends to adopt a balance oxidant and antioxidants concentration to cope up any environmental stress, but whenever this balance acquires any plane of inclination, it comes to the individual’s survivorship </w:t>
      </w:r>
      <w:proofErr w:type="gramStart"/>
      <w:r w:rsidRPr="007417D2">
        <w:rPr>
          <w:rFonts w:ascii="Book Antiqua" w:hAnsi="Book Antiqua"/>
          <w:sz w:val="24"/>
        </w:rPr>
        <w:t>cost</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148]</w:t>
      </w:r>
      <w:r w:rsidRPr="007417D2">
        <w:rPr>
          <w:rFonts w:ascii="Book Antiqua" w:hAnsi="Book Antiqua"/>
          <w:sz w:val="24"/>
        </w:rPr>
        <w:t>.</w:t>
      </w:r>
      <w:r w:rsidRPr="007417D2">
        <w:rPr>
          <w:rFonts w:ascii="Book Antiqua" w:hAnsi="Book Antiqua"/>
          <w:i/>
          <w:sz w:val="24"/>
        </w:rPr>
        <w:tab/>
      </w:r>
    </w:p>
    <w:p w:rsidR="008063D5" w:rsidRPr="007417D2" w:rsidRDefault="00FA235F" w:rsidP="009325BB">
      <w:pPr>
        <w:tabs>
          <w:tab w:val="left" w:pos="6100"/>
        </w:tabs>
        <w:spacing w:line="360" w:lineRule="auto"/>
        <w:ind w:firstLineChars="100" w:firstLine="240"/>
        <w:rPr>
          <w:rFonts w:ascii="Book Antiqua" w:hAnsi="Book Antiqua"/>
          <w:sz w:val="24"/>
        </w:rPr>
      </w:pPr>
      <w:r w:rsidRPr="007417D2">
        <w:rPr>
          <w:rFonts w:ascii="Book Antiqua" w:hAnsi="Book Antiqua"/>
          <w:sz w:val="24"/>
        </w:rPr>
        <w:t xml:space="preserve">Wnt and β catenin up-regulate FOXO signaling via oxidative stress </w:t>
      </w:r>
      <w:proofErr w:type="gramStart"/>
      <w:r w:rsidRPr="007417D2">
        <w:rPr>
          <w:rFonts w:ascii="Book Antiqua" w:hAnsi="Book Antiqua"/>
          <w:sz w:val="24"/>
        </w:rPr>
        <w:t>pathways</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148]</w:t>
      </w:r>
      <w:r w:rsidRPr="007417D2">
        <w:rPr>
          <w:rFonts w:ascii="Book Antiqua" w:hAnsi="Book Antiqua"/>
          <w:sz w:val="24"/>
        </w:rPr>
        <w:t xml:space="preserve">. Wnt signaling inhibits GSK3β expression and mediates β catenin transport into the nucleus and modulates transcription of T cell factor (TCF) family gene, which has function opposite to FOXO1, this is known as the canonical pathway of Wnt signaling and involved in lipid and glucose </w:t>
      </w:r>
      <w:proofErr w:type="gramStart"/>
      <w:r w:rsidRPr="007417D2">
        <w:rPr>
          <w:rFonts w:ascii="Book Antiqua" w:hAnsi="Book Antiqua"/>
          <w:sz w:val="24"/>
        </w:rPr>
        <w:t>metabolism</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149]</w:t>
      </w:r>
      <w:r w:rsidRPr="007417D2">
        <w:rPr>
          <w:rFonts w:ascii="Book Antiqua" w:hAnsi="Book Antiqua"/>
          <w:sz w:val="24"/>
        </w:rPr>
        <w:t xml:space="preserve">. In case of ROS, Wnt pathway is inhibited and hence downstream trend also changes leading β catenin towards FOXO which acts as a cofactor for FOXO and activates its transcriptional activity. FOXO promotes gluconeogenesis leading to hyperglycemia as well as hyperinsulinemia which in turn increases NFTs and Aβ accumulation to gear up ROS production and drives the vicious </w:t>
      </w:r>
      <w:proofErr w:type="gramStart"/>
      <w:r w:rsidRPr="007417D2">
        <w:rPr>
          <w:rFonts w:ascii="Book Antiqua" w:hAnsi="Book Antiqua"/>
          <w:sz w:val="24"/>
        </w:rPr>
        <w:t>cycle</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150]</w:t>
      </w:r>
      <w:r w:rsidRPr="007417D2">
        <w:rPr>
          <w:rFonts w:ascii="Book Antiqua" w:hAnsi="Book Antiqua"/>
          <w:sz w:val="24"/>
        </w:rPr>
        <w:t>.</w:t>
      </w:r>
    </w:p>
    <w:p w:rsidR="00FA235F" w:rsidRPr="007417D2" w:rsidRDefault="00FA235F" w:rsidP="009325BB">
      <w:pPr>
        <w:tabs>
          <w:tab w:val="left" w:pos="6100"/>
        </w:tabs>
        <w:spacing w:line="360" w:lineRule="auto"/>
        <w:ind w:firstLineChars="100" w:firstLine="240"/>
        <w:rPr>
          <w:rFonts w:ascii="Book Antiqua" w:hAnsi="Book Antiqua"/>
          <w:sz w:val="24"/>
        </w:rPr>
      </w:pPr>
      <w:r w:rsidRPr="007417D2">
        <w:rPr>
          <w:rFonts w:ascii="Book Antiqua" w:hAnsi="Book Antiqua"/>
          <w:sz w:val="24"/>
        </w:rPr>
        <w:t xml:space="preserve">When insulin is absent, FOXO1 is located in the nucleus and promotes transcription of respective enzymes for hepatic glucose production while in the presence of insulin; PKB is activated and leads to nuclear exclusion of FOXO 1 by phosphorylating it. State of IR in case of DM leads to impairment of PKB pathway and inhibition of FOXO activity resulting in hepatic glucose production triggering a vicious cycle of hyperglycemia and oxidative stress. FOXO, the downstream activator of PI3K/AKT controls energy homeostasis, locomotor behavior and leptin </w:t>
      </w:r>
      <w:proofErr w:type="gramStart"/>
      <w:r w:rsidRPr="007417D2">
        <w:rPr>
          <w:rFonts w:ascii="Book Antiqua" w:hAnsi="Book Antiqua"/>
          <w:sz w:val="24"/>
        </w:rPr>
        <w:t>sensitivity</w:t>
      </w:r>
      <w:r w:rsidR="009325BB">
        <w:rPr>
          <w:rFonts w:ascii="Book Antiqua" w:hAnsi="Book Antiqua"/>
          <w:noProof/>
          <w:sz w:val="24"/>
          <w:vertAlign w:val="superscript"/>
        </w:rPr>
        <w:t>[</w:t>
      </w:r>
      <w:proofErr w:type="gramEnd"/>
      <w:r w:rsidR="009325BB">
        <w:rPr>
          <w:rFonts w:ascii="Book Antiqua" w:hAnsi="Book Antiqua"/>
          <w:noProof/>
          <w:sz w:val="24"/>
          <w:vertAlign w:val="superscript"/>
        </w:rPr>
        <w:t>151,</w:t>
      </w:r>
      <w:r w:rsidRPr="007417D2">
        <w:rPr>
          <w:rFonts w:ascii="Book Antiqua" w:hAnsi="Book Antiqua"/>
          <w:noProof/>
          <w:sz w:val="24"/>
          <w:vertAlign w:val="superscript"/>
        </w:rPr>
        <w:t>152]</w:t>
      </w:r>
      <w:r w:rsidRPr="007417D2">
        <w:rPr>
          <w:rFonts w:ascii="Book Antiqua" w:hAnsi="Book Antiqua"/>
          <w:sz w:val="24"/>
        </w:rPr>
        <w:t>.</w:t>
      </w:r>
    </w:p>
    <w:p w:rsidR="00280431" w:rsidRPr="007417D2" w:rsidRDefault="00280431" w:rsidP="007417D2">
      <w:pPr>
        <w:spacing w:line="360" w:lineRule="auto"/>
        <w:rPr>
          <w:rFonts w:ascii="Book Antiqua" w:hAnsi="Book Antiqua"/>
          <w:b/>
          <w:i/>
          <w:sz w:val="24"/>
        </w:rPr>
      </w:pPr>
    </w:p>
    <w:p w:rsidR="00FA235F" w:rsidRPr="009325BB" w:rsidRDefault="00FA235F" w:rsidP="007417D2">
      <w:pPr>
        <w:spacing w:line="360" w:lineRule="auto"/>
        <w:rPr>
          <w:rFonts w:ascii="Book Antiqua" w:hAnsi="Book Antiqua"/>
          <w:b/>
          <w:i/>
          <w:sz w:val="24"/>
        </w:rPr>
      </w:pPr>
      <w:proofErr w:type="gramStart"/>
      <w:r w:rsidRPr="009325BB">
        <w:rPr>
          <w:rFonts w:ascii="Book Antiqua" w:hAnsi="Book Antiqua"/>
          <w:b/>
          <w:i/>
          <w:sz w:val="24"/>
        </w:rPr>
        <w:t>mTOR</w:t>
      </w:r>
      <w:proofErr w:type="gramEnd"/>
      <w:r w:rsidRPr="009325BB">
        <w:rPr>
          <w:rFonts w:ascii="Book Antiqua" w:hAnsi="Book Antiqua"/>
          <w:b/>
          <w:i/>
          <w:sz w:val="24"/>
        </w:rPr>
        <w:t xml:space="preserve"> pathway: </w:t>
      </w:r>
      <w:r w:rsidR="009325BB" w:rsidRPr="009325BB">
        <w:rPr>
          <w:rFonts w:ascii="Book Antiqua" w:hAnsi="Book Antiqua"/>
          <w:b/>
          <w:i/>
          <w:sz w:val="24"/>
        </w:rPr>
        <w:t>A</w:t>
      </w:r>
      <w:r w:rsidRPr="009325BB">
        <w:rPr>
          <w:rFonts w:ascii="Book Antiqua" w:hAnsi="Book Antiqua"/>
          <w:b/>
          <w:i/>
          <w:sz w:val="24"/>
        </w:rPr>
        <w:t xml:space="preserve"> crucial intersection of </w:t>
      </w:r>
      <w:r w:rsidR="001932D0" w:rsidRPr="009325BB">
        <w:rPr>
          <w:rFonts w:ascii="Book Antiqua" w:hAnsi="Book Antiqua"/>
          <w:b/>
          <w:i/>
          <w:sz w:val="24"/>
        </w:rPr>
        <w:t xml:space="preserve">AD </w:t>
      </w:r>
      <w:r w:rsidRPr="009325BB">
        <w:rPr>
          <w:rFonts w:ascii="Book Antiqua" w:hAnsi="Book Antiqua"/>
          <w:b/>
          <w:i/>
          <w:sz w:val="24"/>
        </w:rPr>
        <w:t xml:space="preserve">and </w:t>
      </w:r>
      <w:r w:rsidR="009325BB" w:rsidRPr="009325BB">
        <w:rPr>
          <w:rFonts w:ascii="Book Antiqua" w:hAnsi="Book Antiqua"/>
          <w:b/>
          <w:i/>
          <w:sz w:val="24"/>
        </w:rPr>
        <w:t>d</w:t>
      </w:r>
      <w:r w:rsidRPr="009325BB">
        <w:rPr>
          <w:rFonts w:ascii="Book Antiqua" w:hAnsi="Book Antiqua"/>
          <w:b/>
          <w:i/>
          <w:sz w:val="24"/>
        </w:rPr>
        <w:t>iabetes</w:t>
      </w:r>
    </w:p>
    <w:p w:rsidR="00280431" w:rsidRPr="007417D2" w:rsidRDefault="00FA235F" w:rsidP="007417D2">
      <w:pPr>
        <w:tabs>
          <w:tab w:val="left" w:pos="6100"/>
        </w:tabs>
        <w:spacing w:line="360" w:lineRule="auto"/>
        <w:rPr>
          <w:rFonts w:ascii="Book Antiqua" w:hAnsi="Book Antiqua"/>
          <w:sz w:val="24"/>
        </w:rPr>
      </w:pPr>
      <w:proofErr w:type="gramStart"/>
      <w:r w:rsidRPr="007417D2">
        <w:rPr>
          <w:rFonts w:ascii="Book Antiqua" w:hAnsi="Book Antiqua"/>
          <w:sz w:val="24"/>
        </w:rPr>
        <w:t>mTOR</w:t>
      </w:r>
      <w:proofErr w:type="gramEnd"/>
      <w:r w:rsidRPr="007417D2">
        <w:rPr>
          <w:rFonts w:ascii="Book Antiqua" w:hAnsi="Book Antiqua"/>
          <w:sz w:val="24"/>
        </w:rPr>
        <w:t xml:space="preserve"> pathway has been evolved as environment sensor and growth promoter in unicellular organisms but as multi-cellularity emerged it acquired its role in central growth and homeostasis mechanisms. Metabolism and cell growth are two basic requirements and their proper functioning depends upon each other. Since mTOR pathway is centered for growth processes, it is activated by nutrition as well as </w:t>
      </w:r>
      <w:proofErr w:type="gramStart"/>
      <w:r w:rsidRPr="007417D2">
        <w:rPr>
          <w:rFonts w:ascii="Book Antiqua" w:hAnsi="Book Antiqua"/>
          <w:sz w:val="24"/>
        </w:rPr>
        <w:t>insulin</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136]</w:t>
      </w:r>
      <w:r w:rsidRPr="007417D2">
        <w:rPr>
          <w:rFonts w:ascii="Book Antiqua" w:hAnsi="Book Antiqua"/>
          <w:sz w:val="24"/>
        </w:rPr>
        <w:t xml:space="preserve">. In evolutionary history from yeast to rodents, mTOR has been evolved as key modulator of aging. Many investigators stepped ahead to understand its basic premise and decades of extensive pursuit have yielded a broad coverage range of </w:t>
      </w:r>
      <w:r w:rsidRPr="007417D2">
        <w:rPr>
          <w:rFonts w:ascii="Book Antiqua" w:hAnsi="Book Antiqua"/>
          <w:sz w:val="24"/>
        </w:rPr>
        <w:lastRenderedPageBreak/>
        <w:t xml:space="preserve">mTOR regulation with the anticipation of same progress ahead. </w:t>
      </w:r>
      <w:proofErr w:type="gramStart"/>
      <w:r w:rsidRPr="007417D2">
        <w:rPr>
          <w:rFonts w:ascii="Book Antiqua" w:hAnsi="Book Antiqua"/>
          <w:sz w:val="24"/>
        </w:rPr>
        <w:t>mTOR</w:t>
      </w:r>
      <w:proofErr w:type="gramEnd"/>
      <w:r w:rsidRPr="007417D2">
        <w:rPr>
          <w:rFonts w:ascii="Book Antiqua" w:hAnsi="Book Antiqua"/>
          <w:sz w:val="24"/>
        </w:rPr>
        <w:t xml:space="preserve"> has been evolved to accelerate growth but it has compromised some of metabolic signals by conflicting pathways and introduced a paradox or better to say insulin paradox</w:t>
      </w:r>
      <w:r w:rsidRPr="007417D2">
        <w:rPr>
          <w:rFonts w:ascii="Book Antiqua" w:hAnsi="Book Antiqua"/>
          <w:noProof/>
          <w:sz w:val="24"/>
          <w:vertAlign w:val="superscript"/>
        </w:rPr>
        <w:t>[137]</w:t>
      </w:r>
      <w:r w:rsidRPr="007417D2">
        <w:rPr>
          <w:rFonts w:ascii="Book Antiqua" w:hAnsi="Book Antiqua"/>
          <w:sz w:val="24"/>
        </w:rPr>
        <w:t>.</w:t>
      </w:r>
    </w:p>
    <w:p w:rsidR="00280431" w:rsidRPr="007417D2" w:rsidRDefault="00FA235F" w:rsidP="009325BB">
      <w:pPr>
        <w:tabs>
          <w:tab w:val="left" w:pos="6100"/>
        </w:tabs>
        <w:spacing w:line="360" w:lineRule="auto"/>
        <w:ind w:firstLineChars="100" w:firstLine="240"/>
        <w:rPr>
          <w:rFonts w:ascii="Book Antiqua" w:hAnsi="Book Antiqua"/>
          <w:sz w:val="24"/>
        </w:rPr>
      </w:pPr>
      <w:r w:rsidRPr="007417D2">
        <w:rPr>
          <w:rFonts w:ascii="Book Antiqua" w:hAnsi="Book Antiqua"/>
          <w:sz w:val="24"/>
        </w:rPr>
        <w:t xml:space="preserve">This paradox appeared due to the evidences of compromised insulin signaling with good health and </w:t>
      </w:r>
      <w:r w:rsidR="009325BB" w:rsidRPr="007417D2">
        <w:rPr>
          <w:rFonts w:ascii="Book Antiqua" w:hAnsi="Book Antiqua"/>
          <w:sz w:val="24"/>
        </w:rPr>
        <w:t>IR</w:t>
      </w:r>
      <w:r w:rsidRPr="007417D2">
        <w:rPr>
          <w:rFonts w:ascii="Book Antiqua" w:hAnsi="Book Antiqua"/>
          <w:sz w:val="24"/>
        </w:rPr>
        <w:t xml:space="preserve"> leading to compromised health while both of the cases are of poor insulin </w:t>
      </w:r>
      <w:proofErr w:type="gramStart"/>
      <w:r w:rsidRPr="007417D2">
        <w:rPr>
          <w:rFonts w:ascii="Book Antiqua" w:hAnsi="Book Antiqua"/>
          <w:sz w:val="24"/>
        </w:rPr>
        <w:t>signaling</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138]</w:t>
      </w:r>
      <w:r w:rsidRPr="007417D2">
        <w:rPr>
          <w:rFonts w:ascii="Book Antiqua" w:hAnsi="Book Antiqua"/>
          <w:sz w:val="24"/>
        </w:rPr>
        <w:t xml:space="preserve">. Parsimonious explanations are, compromised insulin signaling is unable to activate mTOR (good for health) while </w:t>
      </w:r>
      <w:r w:rsidR="009325BB" w:rsidRPr="007417D2">
        <w:rPr>
          <w:rFonts w:ascii="Book Antiqua" w:hAnsi="Book Antiqua"/>
          <w:sz w:val="24"/>
        </w:rPr>
        <w:t>IR</w:t>
      </w:r>
      <w:r w:rsidRPr="007417D2">
        <w:rPr>
          <w:rFonts w:ascii="Book Antiqua" w:hAnsi="Book Antiqua"/>
          <w:sz w:val="24"/>
        </w:rPr>
        <w:t xml:space="preserve"> may be due to hyperactive </w:t>
      </w:r>
      <w:proofErr w:type="gramStart"/>
      <w:r w:rsidRPr="007417D2">
        <w:rPr>
          <w:rFonts w:ascii="Book Antiqua" w:hAnsi="Book Antiqua"/>
          <w:sz w:val="24"/>
        </w:rPr>
        <w:t>mTOR which</w:t>
      </w:r>
      <w:proofErr w:type="gramEnd"/>
      <w:r w:rsidRPr="007417D2">
        <w:rPr>
          <w:rFonts w:ascii="Book Antiqua" w:hAnsi="Book Antiqua"/>
          <w:sz w:val="24"/>
        </w:rPr>
        <w:t xml:space="preserve"> is bad. So in previous case compromised insulin signaling inhibits mTOR insurgence while active mTOR is promoting </w:t>
      </w:r>
      <w:r w:rsidR="009325BB" w:rsidRPr="007417D2">
        <w:rPr>
          <w:rFonts w:ascii="Book Antiqua" w:hAnsi="Book Antiqua"/>
          <w:sz w:val="24"/>
        </w:rPr>
        <w:t>IR</w:t>
      </w:r>
      <w:r w:rsidRPr="007417D2">
        <w:rPr>
          <w:rFonts w:ascii="Book Antiqua" w:hAnsi="Book Antiqua"/>
          <w:sz w:val="24"/>
        </w:rPr>
        <w:t xml:space="preserve"> in the later </w:t>
      </w:r>
      <w:proofErr w:type="gramStart"/>
      <w:r w:rsidRPr="007417D2">
        <w:rPr>
          <w:rFonts w:ascii="Book Antiqua" w:hAnsi="Book Antiqua"/>
          <w:sz w:val="24"/>
        </w:rPr>
        <w:t>case</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138]</w:t>
      </w:r>
      <w:r w:rsidRPr="007417D2">
        <w:rPr>
          <w:rFonts w:ascii="Book Antiqua" w:hAnsi="Book Antiqua"/>
          <w:sz w:val="24"/>
        </w:rPr>
        <w:t xml:space="preserve">. Mechanistic node of this story, S6 kinase (S6K) is activated by mTOR to phosphorylate and degrade </w:t>
      </w:r>
      <w:r w:rsidR="009325BB" w:rsidRPr="007417D2">
        <w:rPr>
          <w:rFonts w:ascii="Book Antiqua" w:hAnsi="Book Antiqua"/>
          <w:sz w:val="24"/>
        </w:rPr>
        <w:t>i</w:t>
      </w:r>
      <w:r w:rsidRPr="007417D2">
        <w:rPr>
          <w:rFonts w:ascii="Book Antiqua" w:hAnsi="Book Antiqua"/>
          <w:sz w:val="24"/>
        </w:rPr>
        <w:t xml:space="preserve">nsulin receptor substrate-1 (IRS-1) which ultimately leads to insulin </w:t>
      </w:r>
      <w:proofErr w:type="gramStart"/>
      <w:r w:rsidRPr="007417D2">
        <w:rPr>
          <w:rFonts w:ascii="Book Antiqua" w:hAnsi="Book Antiqua"/>
          <w:sz w:val="24"/>
        </w:rPr>
        <w:t>desensitization</w:t>
      </w:r>
      <w:r w:rsidR="009325BB">
        <w:rPr>
          <w:rFonts w:ascii="Book Antiqua" w:hAnsi="Book Antiqua"/>
          <w:noProof/>
          <w:sz w:val="24"/>
          <w:vertAlign w:val="superscript"/>
        </w:rPr>
        <w:t>[</w:t>
      </w:r>
      <w:proofErr w:type="gramEnd"/>
      <w:r w:rsidR="009325BB">
        <w:rPr>
          <w:rFonts w:ascii="Book Antiqua" w:hAnsi="Book Antiqua"/>
          <w:noProof/>
          <w:sz w:val="24"/>
          <w:vertAlign w:val="superscript"/>
        </w:rPr>
        <w:t>139,</w:t>
      </w:r>
      <w:r w:rsidRPr="007417D2">
        <w:rPr>
          <w:rFonts w:ascii="Book Antiqua" w:hAnsi="Book Antiqua"/>
          <w:noProof/>
          <w:sz w:val="24"/>
          <w:vertAlign w:val="superscript"/>
        </w:rPr>
        <w:t>140]</w:t>
      </w:r>
      <w:r w:rsidRPr="007417D2">
        <w:rPr>
          <w:rFonts w:ascii="Book Antiqua" w:hAnsi="Book Antiqua"/>
          <w:sz w:val="24"/>
        </w:rPr>
        <w:t>.</w:t>
      </w:r>
    </w:p>
    <w:p w:rsidR="00280431" w:rsidRPr="007417D2" w:rsidRDefault="00FA235F" w:rsidP="009325BB">
      <w:pPr>
        <w:tabs>
          <w:tab w:val="left" w:pos="6100"/>
        </w:tabs>
        <w:spacing w:line="360" w:lineRule="auto"/>
        <w:ind w:firstLineChars="100" w:firstLine="240"/>
        <w:rPr>
          <w:rFonts w:ascii="Book Antiqua" w:hAnsi="Book Antiqua"/>
          <w:sz w:val="24"/>
        </w:rPr>
      </w:pPr>
      <w:proofErr w:type="gramStart"/>
      <w:r w:rsidRPr="007417D2">
        <w:rPr>
          <w:rFonts w:ascii="Book Antiqua" w:hAnsi="Book Antiqua"/>
          <w:sz w:val="24"/>
        </w:rPr>
        <w:t>mTOR</w:t>
      </w:r>
      <w:proofErr w:type="gramEnd"/>
      <w:r w:rsidRPr="007417D2">
        <w:rPr>
          <w:rFonts w:ascii="Book Antiqua" w:hAnsi="Book Antiqua"/>
          <w:sz w:val="24"/>
        </w:rPr>
        <w:t xml:space="preserve"> signaling has a dramatic interplay with Aβ and tau proteins which are two hallmarks of AD in their aggregated forms. It was reported in 2012 that Aβ is an activator of PI3K/Akt pathway which further switches on mTOR </w:t>
      </w:r>
      <w:proofErr w:type="gramStart"/>
      <w:r w:rsidRPr="007417D2">
        <w:rPr>
          <w:rFonts w:ascii="Book Antiqua" w:hAnsi="Book Antiqua"/>
          <w:sz w:val="24"/>
        </w:rPr>
        <w:t>cascade</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153]</w:t>
      </w:r>
      <w:r w:rsidRPr="007417D2">
        <w:rPr>
          <w:rFonts w:ascii="Book Antiqua" w:hAnsi="Book Antiqua"/>
          <w:sz w:val="24"/>
        </w:rPr>
        <w:t xml:space="preserve">. </w:t>
      </w:r>
      <w:r w:rsidRPr="007417D2">
        <w:rPr>
          <w:rFonts w:ascii="Book Antiqua" w:hAnsi="Book Antiqua"/>
          <w:i/>
          <w:sz w:val="24"/>
        </w:rPr>
        <w:t>In vitro</w:t>
      </w:r>
      <w:r w:rsidRPr="007417D2">
        <w:rPr>
          <w:rFonts w:ascii="Book Antiqua" w:hAnsi="Book Antiqua"/>
          <w:sz w:val="24"/>
        </w:rPr>
        <w:t xml:space="preserve"> studies suggest that Aβ application elevates the level of p70S6K, a downstream target of mTOR which contributes in development of </w:t>
      </w:r>
      <w:proofErr w:type="gramStart"/>
      <w:r w:rsidRPr="007417D2">
        <w:rPr>
          <w:rFonts w:ascii="Book Antiqua" w:hAnsi="Book Antiqua"/>
          <w:sz w:val="24"/>
        </w:rPr>
        <w:t>NFTs</w:t>
      </w:r>
      <w:r w:rsidR="009325BB">
        <w:rPr>
          <w:rFonts w:ascii="Book Antiqua" w:hAnsi="Book Antiqua"/>
          <w:noProof/>
          <w:sz w:val="24"/>
          <w:vertAlign w:val="superscript"/>
        </w:rPr>
        <w:t>[</w:t>
      </w:r>
      <w:proofErr w:type="gramEnd"/>
      <w:r w:rsidR="009325BB">
        <w:rPr>
          <w:rFonts w:ascii="Book Antiqua" w:hAnsi="Book Antiqua"/>
          <w:noProof/>
          <w:sz w:val="24"/>
          <w:vertAlign w:val="superscript"/>
        </w:rPr>
        <w:t>154,</w:t>
      </w:r>
      <w:r w:rsidRPr="007417D2">
        <w:rPr>
          <w:rFonts w:ascii="Book Antiqua" w:hAnsi="Book Antiqua"/>
          <w:noProof/>
          <w:sz w:val="24"/>
          <w:vertAlign w:val="superscript"/>
        </w:rPr>
        <w:t>155]</w:t>
      </w:r>
      <w:r w:rsidRPr="007417D2">
        <w:rPr>
          <w:rFonts w:ascii="Book Antiqua" w:hAnsi="Book Antiqua"/>
          <w:sz w:val="24"/>
        </w:rPr>
        <w:t xml:space="preserve">. Consistent </w:t>
      </w:r>
      <w:r w:rsidRPr="007417D2">
        <w:rPr>
          <w:rFonts w:ascii="Book Antiqua" w:hAnsi="Book Antiqua"/>
          <w:i/>
          <w:sz w:val="24"/>
        </w:rPr>
        <w:t>in vitro</w:t>
      </w:r>
      <w:r w:rsidRPr="007417D2">
        <w:rPr>
          <w:rFonts w:ascii="Book Antiqua" w:hAnsi="Book Antiqua"/>
          <w:sz w:val="24"/>
        </w:rPr>
        <w:t xml:space="preserve"> reports validated the fact that mTOR activity and activated p70S6K are either cause or consequence of the molecular cascade and hence are found with elevated levels in hippocampus and cortex of animal model of </w:t>
      </w:r>
      <w:proofErr w:type="gramStart"/>
      <w:r w:rsidRPr="007417D2">
        <w:rPr>
          <w:rFonts w:ascii="Book Antiqua" w:hAnsi="Book Antiqua"/>
          <w:sz w:val="24"/>
        </w:rPr>
        <w:t>AD</w:t>
      </w:r>
      <w:r w:rsidR="009325BB">
        <w:rPr>
          <w:rFonts w:ascii="Book Antiqua" w:hAnsi="Book Antiqua"/>
          <w:noProof/>
          <w:sz w:val="24"/>
          <w:vertAlign w:val="superscript"/>
        </w:rPr>
        <w:t>[</w:t>
      </w:r>
      <w:proofErr w:type="gramEnd"/>
      <w:r w:rsidR="009325BB">
        <w:rPr>
          <w:rFonts w:ascii="Book Antiqua" w:hAnsi="Book Antiqua"/>
          <w:noProof/>
          <w:sz w:val="24"/>
          <w:vertAlign w:val="superscript"/>
        </w:rPr>
        <w:t>156,</w:t>
      </w:r>
      <w:r w:rsidRPr="007417D2">
        <w:rPr>
          <w:rFonts w:ascii="Book Antiqua" w:hAnsi="Book Antiqua"/>
          <w:noProof/>
          <w:sz w:val="24"/>
          <w:vertAlign w:val="superscript"/>
        </w:rPr>
        <w:t>157]</w:t>
      </w:r>
      <w:r w:rsidRPr="007417D2">
        <w:rPr>
          <w:rFonts w:ascii="Book Antiqua" w:hAnsi="Book Antiqua"/>
          <w:sz w:val="24"/>
        </w:rPr>
        <w:t xml:space="preserve">. </w:t>
      </w:r>
      <w:proofErr w:type="gramStart"/>
      <w:r w:rsidRPr="007417D2">
        <w:rPr>
          <w:rFonts w:ascii="Book Antiqua" w:hAnsi="Book Antiqua"/>
          <w:sz w:val="24"/>
        </w:rPr>
        <w:t>mTOR</w:t>
      </w:r>
      <w:proofErr w:type="gramEnd"/>
      <w:r w:rsidRPr="007417D2">
        <w:rPr>
          <w:rFonts w:ascii="Book Antiqua" w:hAnsi="Book Antiqua"/>
          <w:sz w:val="24"/>
        </w:rPr>
        <w:t xml:space="preserve"> suppression leads to induction of autophagy which is a cell cleaning process. In AD brain it is evident that neuronal autophagy is induced to end up with impaired steps and leads to mas</w:t>
      </w:r>
      <w:r w:rsidR="009325BB">
        <w:rPr>
          <w:rFonts w:ascii="Book Antiqua" w:hAnsi="Book Antiqua"/>
          <w:sz w:val="24"/>
        </w:rPr>
        <w:t xml:space="preserve">sive accumulation of Aβ </w:t>
      </w:r>
      <w:proofErr w:type="gramStart"/>
      <w:r w:rsidR="009325BB">
        <w:rPr>
          <w:rFonts w:ascii="Book Antiqua" w:hAnsi="Book Antiqua"/>
          <w:sz w:val="24"/>
        </w:rPr>
        <w:t>plaques</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158]</w:t>
      </w:r>
      <w:r w:rsidRPr="007417D2">
        <w:rPr>
          <w:rFonts w:ascii="Book Antiqua" w:hAnsi="Book Antiqua"/>
          <w:sz w:val="24"/>
        </w:rPr>
        <w:t>.</w:t>
      </w:r>
    </w:p>
    <w:p w:rsidR="00FA235F" w:rsidRPr="007417D2" w:rsidRDefault="00FA235F" w:rsidP="009325BB">
      <w:pPr>
        <w:tabs>
          <w:tab w:val="left" w:pos="6100"/>
        </w:tabs>
        <w:spacing w:line="360" w:lineRule="auto"/>
        <w:ind w:firstLineChars="100" w:firstLine="240"/>
        <w:rPr>
          <w:rFonts w:ascii="Book Antiqua" w:hAnsi="Book Antiqua"/>
          <w:sz w:val="24"/>
        </w:rPr>
      </w:pPr>
      <w:proofErr w:type="gramStart"/>
      <w:r w:rsidRPr="007417D2">
        <w:rPr>
          <w:rFonts w:ascii="Book Antiqua" w:hAnsi="Book Antiqua"/>
          <w:sz w:val="24"/>
        </w:rPr>
        <w:t>mTOR</w:t>
      </w:r>
      <w:proofErr w:type="gramEnd"/>
      <w:r w:rsidRPr="007417D2">
        <w:rPr>
          <w:rFonts w:ascii="Book Antiqua" w:hAnsi="Book Antiqua"/>
          <w:sz w:val="24"/>
        </w:rPr>
        <w:t xml:space="preserve"> has characteristic property of maintenance of protein homeostasis, translational control and cellular maintenance, which plays an important role in the maintenance of synaptic plasticity. </w:t>
      </w:r>
      <w:r w:rsidR="00280431" w:rsidRPr="009325BB">
        <w:rPr>
          <w:rFonts w:ascii="Book Antiqua" w:hAnsi="Book Antiqua"/>
          <w:sz w:val="24"/>
        </w:rPr>
        <w:t xml:space="preserve">Figure </w:t>
      </w:r>
      <w:r w:rsidRPr="009325BB">
        <w:rPr>
          <w:rFonts w:ascii="Book Antiqua" w:hAnsi="Book Antiqua"/>
          <w:sz w:val="24"/>
        </w:rPr>
        <w:t xml:space="preserve">5 </w:t>
      </w:r>
      <w:r w:rsidRPr="007417D2">
        <w:rPr>
          <w:rFonts w:ascii="Book Antiqua" w:hAnsi="Book Antiqua"/>
          <w:sz w:val="24"/>
        </w:rPr>
        <w:t xml:space="preserve">provides detailed information of mTOR domain. To execute these entire tasks mTOR pathway is operated under fine control of several surface receptors such as NMDA, dopaminergic and metabotropic glutamate receptors (mGluRs) and </w:t>
      </w:r>
      <w:proofErr w:type="gramStart"/>
      <w:r w:rsidRPr="007417D2">
        <w:rPr>
          <w:rFonts w:ascii="Book Antiqua" w:hAnsi="Book Antiqua"/>
          <w:sz w:val="24"/>
        </w:rPr>
        <w:t>BDNF</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159-163]</w:t>
      </w:r>
      <w:r w:rsidRPr="007417D2">
        <w:rPr>
          <w:rFonts w:ascii="Book Antiqua" w:hAnsi="Book Antiqua"/>
          <w:sz w:val="24"/>
        </w:rPr>
        <w:t xml:space="preserve">. </w:t>
      </w:r>
      <w:proofErr w:type="gramStart"/>
      <w:r w:rsidRPr="007417D2">
        <w:rPr>
          <w:rFonts w:ascii="Book Antiqua" w:hAnsi="Book Antiqua"/>
          <w:sz w:val="24"/>
        </w:rPr>
        <w:t>mTORC1</w:t>
      </w:r>
      <w:proofErr w:type="gramEnd"/>
      <w:r w:rsidRPr="007417D2">
        <w:rPr>
          <w:rFonts w:ascii="Book Antiqua" w:hAnsi="Book Antiqua"/>
          <w:sz w:val="24"/>
        </w:rPr>
        <w:t xml:space="preserve"> is one of the downstream targets of PI3K/AKT pathway which is very important for synaptic plasticity, neuronal repair, protein folding mechanism and autophagy</w:t>
      </w:r>
      <w:r w:rsidR="009325BB">
        <w:rPr>
          <w:rFonts w:ascii="Book Antiqua" w:hAnsi="Book Antiqua"/>
          <w:noProof/>
          <w:sz w:val="24"/>
          <w:vertAlign w:val="superscript"/>
        </w:rPr>
        <w:t>[164,</w:t>
      </w:r>
      <w:r w:rsidRPr="007417D2">
        <w:rPr>
          <w:rFonts w:ascii="Book Antiqua" w:hAnsi="Book Antiqua"/>
          <w:noProof/>
          <w:sz w:val="24"/>
          <w:vertAlign w:val="superscript"/>
        </w:rPr>
        <w:t>165]</w:t>
      </w:r>
      <w:r w:rsidRPr="007417D2">
        <w:rPr>
          <w:rFonts w:ascii="Book Antiqua" w:hAnsi="Book Antiqua"/>
          <w:sz w:val="24"/>
        </w:rPr>
        <w:t>.</w:t>
      </w:r>
    </w:p>
    <w:p w:rsidR="00FA235F" w:rsidRPr="007417D2" w:rsidRDefault="00FA235F" w:rsidP="007417D2">
      <w:pPr>
        <w:spacing w:line="360" w:lineRule="auto"/>
        <w:rPr>
          <w:rFonts w:ascii="Book Antiqua" w:hAnsi="Book Antiqua"/>
          <w:b/>
          <w:sz w:val="24"/>
        </w:rPr>
      </w:pPr>
    </w:p>
    <w:p w:rsidR="00FA235F" w:rsidRPr="007417D2" w:rsidRDefault="00FA235F" w:rsidP="007417D2">
      <w:pPr>
        <w:spacing w:line="360" w:lineRule="auto"/>
        <w:rPr>
          <w:rFonts w:ascii="Book Antiqua" w:hAnsi="Book Antiqua"/>
          <w:b/>
          <w:sz w:val="24"/>
        </w:rPr>
      </w:pPr>
      <w:r w:rsidRPr="007417D2">
        <w:rPr>
          <w:rFonts w:ascii="Book Antiqua" w:hAnsi="Book Antiqua"/>
          <w:b/>
          <w:sz w:val="24"/>
        </w:rPr>
        <w:t xml:space="preserve">INFLAMMATION: A COMMON ALARM FOR </w:t>
      </w:r>
      <w:r w:rsidR="001932D0" w:rsidRPr="007417D2">
        <w:rPr>
          <w:rFonts w:ascii="Book Antiqua" w:hAnsi="Book Antiqua"/>
          <w:sz w:val="24"/>
        </w:rPr>
        <w:t>AD</w:t>
      </w:r>
      <w:r w:rsidR="001932D0" w:rsidRPr="007417D2">
        <w:rPr>
          <w:rFonts w:ascii="Book Antiqua" w:hAnsi="Book Antiqua"/>
          <w:b/>
          <w:sz w:val="24"/>
        </w:rPr>
        <w:t xml:space="preserve"> </w:t>
      </w:r>
      <w:r w:rsidRPr="007417D2">
        <w:rPr>
          <w:rFonts w:ascii="Book Antiqua" w:hAnsi="Book Antiqua"/>
          <w:b/>
          <w:sz w:val="24"/>
        </w:rPr>
        <w:t>AND DIABETES</w:t>
      </w:r>
    </w:p>
    <w:p w:rsidR="00280431" w:rsidRPr="007417D2" w:rsidRDefault="00FA235F" w:rsidP="007417D2">
      <w:pPr>
        <w:tabs>
          <w:tab w:val="left" w:pos="6100"/>
        </w:tabs>
        <w:spacing w:line="360" w:lineRule="auto"/>
        <w:rPr>
          <w:rFonts w:ascii="Book Antiqua" w:hAnsi="Book Antiqua"/>
          <w:sz w:val="24"/>
        </w:rPr>
      </w:pPr>
      <w:r w:rsidRPr="007417D2">
        <w:rPr>
          <w:rFonts w:ascii="Book Antiqua" w:hAnsi="Book Antiqua"/>
          <w:sz w:val="24"/>
        </w:rPr>
        <w:t xml:space="preserve">Inflammation is an exceedingly complex but equally fascinating and costly host defense system evolved with proximate set of mechanisms and exhibit phenotypic plasticity. It is crucial for life but once dysregulated, it can be detrimental. Emerging field of metabolic and aging syndromes spurred a renewed interest of scientists into inflammatory mechanisms. This is a compensatory mechanism for body to cope up with the hostile environment which involves many subtle factors and specialized cells to fight against any </w:t>
      </w:r>
      <w:proofErr w:type="gramStart"/>
      <w:r w:rsidRPr="007417D2">
        <w:rPr>
          <w:rFonts w:ascii="Book Antiqua" w:hAnsi="Book Antiqua"/>
          <w:sz w:val="24"/>
        </w:rPr>
        <w:t>threat</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166]</w:t>
      </w:r>
      <w:r w:rsidRPr="007417D2">
        <w:rPr>
          <w:rFonts w:ascii="Book Antiqua" w:hAnsi="Book Antiqua"/>
          <w:sz w:val="24"/>
        </w:rPr>
        <w:t xml:space="preserve">. It has very critical progressive role with analogous mechanism in diabetic patients showing </w:t>
      </w:r>
      <w:r w:rsidR="009325BB" w:rsidRPr="007417D2">
        <w:rPr>
          <w:rFonts w:ascii="Book Antiqua" w:hAnsi="Book Antiqua"/>
          <w:sz w:val="24"/>
        </w:rPr>
        <w:t>IR</w:t>
      </w:r>
      <w:r w:rsidRPr="007417D2">
        <w:rPr>
          <w:rFonts w:ascii="Book Antiqua" w:hAnsi="Book Antiqua"/>
          <w:sz w:val="24"/>
        </w:rPr>
        <w:t xml:space="preserve"> and defective neuronal signaling in AD </w:t>
      </w:r>
      <w:proofErr w:type="gramStart"/>
      <w:r w:rsidRPr="007417D2">
        <w:rPr>
          <w:rFonts w:ascii="Book Antiqua" w:hAnsi="Book Antiqua"/>
          <w:sz w:val="24"/>
        </w:rPr>
        <w:t>patients</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167]</w:t>
      </w:r>
      <w:r w:rsidRPr="007417D2">
        <w:rPr>
          <w:rFonts w:ascii="Book Antiqua" w:hAnsi="Book Antiqua"/>
          <w:sz w:val="24"/>
        </w:rPr>
        <w:t xml:space="preserve">. Thus, DM and AD share inflammation as a common pathological feature. </w:t>
      </w:r>
    </w:p>
    <w:p w:rsidR="00FA235F" w:rsidRPr="007417D2" w:rsidRDefault="00FA235F" w:rsidP="009325BB">
      <w:pPr>
        <w:tabs>
          <w:tab w:val="left" w:pos="6100"/>
        </w:tabs>
        <w:spacing w:line="360" w:lineRule="auto"/>
        <w:ind w:firstLineChars="100" w:firstLine="240"/>
        <w:rPr>
          <w:rFonts w:ascii="Book Antiqua" w:hAnsi="Book Antiqua"/>
          <w:sz w:val="24"/>
        </w:rPr>
      </w:pPr>
      <w:r w:rsidRPr="007417D2">
        <w:rPr>
          <w:rFonts w:ascii="Book Antiqua" w:hAnsi="Book Antiqua"/>
          <w:sz w:val="24"/>
        </w:rPr>
        <w:t xml:space="preserve">Studies have reported elevated levels of proinflammatory cytokines such as TNF α, </w:t>
      </w:r>
      <w:r w:rsidR="00281EA4">
        <w:rPr>
          <w:rFonts w:ascii="Book Antiqua" w:hAnsi="Book Antiqua"/>
          <w:sz w:val="24"/>
        </w:rPr>
        <w:t>IL</w:t>
      </w:r>
      <w:r w:rsidRPr="007417D2">
        <w:rPr>
          <w:rFonts w:ascii="Book Antiqua" w:hAnsi="Book Antiqua"/>
          <w:sz w:val="24"/>
        </w:rPr>
        <w:t xml:space="preserve"> 6, IL 1β</w:t>
      </w:r>
      <w:r w:rsidR="00281EA4">
        <w:rPr>
          <w:rFonts w:ascii="Book Antiqua" w:hAnsi="Book Antiqua" w:hint="eastAsia"/>
          <w:sz w:val="24"/>
        </w:rPr>
        <w:t>,</w:t>
      </w:r>
      <w:r w:rsidRPr="007417D2">
        <w:rPr>
          <w:rFonts w:ascii="Book Antiqua" w:hAnsi="Book Antiqua"/>
          <w:sz w:val="24"/>
        </w:rPr>
        <w:t xml:space="preserve"> </w:t>
      </w:r>
      <w:r w:rsidRPr="00281EA4">
        <w:rPr>
          <w:rFonts w:ascii="Book Antiqua" w:hAnsi="Book Antiqua"/>
          <w:i/>
          <w:sz w:val="24"/>
        </w:rPr>
        <w:t>etc</w:t>
      </w:r>
      <w:r w:rsidR="00281EA4" w:rsidRPr="00281EA4">
        <w:rPr>
          <w:rFonts w:ascii="Book Antiqua" w:hAnsi="Book Antiqua" w:hint="eastAsia"/>
          <w:i/>
          <w:sz w:val="24"/>
        </w:rPr>
        <w:t>.</w:t>
      </w:r>
      <w:r w:rsidR="00281EA4">
        <w:rPr>
          <w:rFonts w:ascii="Book Antiqua" w:hAnsi="Book Antiqua" w:hint="eastAsia"/>
          <w:sz w:val="24"/>
        </w:rPr>
        <w:t>,</w:t>
      </w:r>
      <w:r w:rsidRPr="007417D2">
        <w:rPr>
          <w:rFonts w:ascii="Book Antiqua" w:hAnsi="Book Antiqua"/>
          <w:sz w:val="24"/>
        </w:rPr>
        <w:t xml:space="preserve"> in AD </w:t>
      </w:r>
      <w:proofErr w:type="gramStart"/>
      <w:r w:rsidRPr="007417D2">
        <w:rPr>
          <w:rFonts w:ascii="Book Antiqua" w:hAnsi="Book Antiqua"/>
          <w:sz w:val="24"/>
        </w:rPr>
        <w:t>patients</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168]</w:t>
      </w:r>
      <w:r w:rsidRPr="007417D2">
        <w:rPr>
          <w:rFonts w:ascii="Book Antiqua" w:hAnsi="Book Antiqua"/>
          <w:sz w:val="24"/>
        </w:rPr>
        <w:t xml:space="preserve">. In diabetes patients, elevated TNF α triggers various stress kinases to phosphorylate </w:t>
      </w:r>
      <w:r w:rsidR="00281EA4" w:rsidRPr="007417D2">
        <w:rPr>
          <w:rFonts w:ascii="Book Antiqua" w:hAnsi="Book Antiqua"/>
          <w:sz w:val="24"/>
        </w:rPr>
        <w:t>i</w:t>
      </w:r>
      <w:r w:rsidRPr="007417D2">
        <w:rPr>
          <w:rFonts w:ascii="Book Antiqua" w:hAnsi="Book Antiqua"/>
          <w:sz w:val="24"/>
        </w:rPr>
        <w:t xml:space="preserve">nsulin receptor substrate 1 (IRS1) (at inhibitory serine residues) and disrupts insulin </w:t>
      </w:r>
      <w:proofErr w:type="gramStart"/>
      <w:r w:rsidRPr="007417D2">
        <w:rPr>
          <w:rFonts w:ascii="Book Antiqua" w:hAnsi="Book Antiqua"/>
          <w:sz w:val="24"/>
        </w:rPr>
        <w:t>signaling</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169-171]</w:t>
      </w:r>
      <w:r w:rsidRPr="007417D2">
        <w:rPr>
          <w:rFonts w:ascii="Book Antiqua" w:hAnsi="Book Antiqua"/>
          <w:sz w:val="24"/>
        </w:rPr>
        <w:t xml:space="preserve"> (explained in </w:t>
      </w:r>
      <w:r w:rsidRPr="00281EA4">
        <w:rPr>
          <w:rFonts w:ascii="Book Antiqua" w:hAnsi="Book Antiqua"/>
          <w:sz w:val="24"/>
        </w:rPr>
        <w:t xml:space="preserve">Figure 6), </w:t>
      </w:r>
      <w:r w:rsidRPr="007417D2">
        <w:rPr>
          <w:rFonts w:ascii="Book Antiqua" w:hAnsi="Book Antiqua"/>
          <w:sz w:val="24"/>
        </w:rPr>
        <w:t>while blocking TNF α rescues its effects in obese mouse model</w:t>
      </w:r>
      <w:r w:rsidR="00281EA4">
        <w:rPr>
          <w:rFonts w:ascii="Book Antiqua" w:hAnsi="Book Antiqua"/>
          <w:noProof/>
          <w:sz w:val="24"/>
          <w:vertAlign w:val="superscript"/>
        </w:rPr>
        <w:t>[172,</w:t>
      </w:r>
      <w:r w:rsidRPr="007417D2">
        <w:rPr>
          <w:rFonts w:ascii="Book Antiqua" w:hAnsi="Book Antiqua"/>
          <w:noProof/>
          <w:sz w:val="24"/>
          <w:vertAlign w:val="superscript"/>
        </w:rPr>
        <w:t>173]</w:t>
      </w:r>
      <w:r w:rsidRPr="007417D2">
        <w:rPr>
          <w:rFonts w:ascii="Book Antiqua" w:hAnsi="Book Antiqua"/>
          <w:sz w:val="24"/>
        </w:rPr>
        <w:t xml:space="preserve">. JNK and double-stranded RNA-dependent protein kinase are major stress kinases which are common regulatory nodes between inflammation and </w:t>
      </w:r>
      <w:proofErr w:type="gramStart"/>
      <w:r w:rsidRPr="007417D2">
        <w:rPr>
          <w:rFonts w:ascii="Book Antiqua" w:hAnsi="Book Antiqua"/>
          <w:sz w:val="24"/>
        </w:rPr>
        <w:t>metabolism</w:t>
      </w:r>
      <w:r w:rsidR="00281EA4">
        <w:rPr>
          <w:rFonts w:ascii="Book Antiqua" w:hAnsi="Book Antiqua"/>
          <w:noProof/>
          <w:sz w:val="24"/>
          <w:vertAlign w:val="superscript"/>
        </w:rPr>
        <w:t>[</w:t>
      </w:r>
      <w:proofErr w:type="gramEnd"/>
      <w:r w:rsidR="00281EA4">
        <w:rPr>
          <w:rFonts w:ascii="Book Antiqua" w:hAnsi="Book Antiqua"/>
          <w:noProof/>
          <w:sz w:val="24"/>
          <w:vertAlign w:val="superscript"/>
        </w:rPr>
        <w:t>174,</w:t>
      </w:r>
      <w:r w:rsidRPr="007417D2">
        <w:rPr>
          <w:rFonts w:ascii="Book Antiqua" w:hAnsi="Book Antiqua"/>
          <w:noProof/>
          <w:sz w:val="24"/>
          <w:vertAlign w:val="superscript"/>
        </w:rPr>
        <w:t>175]</w:t>
      </w:r>
      <w:r w:rsidRPr="007417D2">
        <w:rPr>
          <w:rFonts w:ascii="Book Antiqua" w:hAnsi="Book Antiqua"/>
          <w:sz w:val="24"/>
        </w:rPr>
        <w:t xml:space="preserve">. Since insulin signaling contributes to normal functioning of neurons, any inflammation mediated alteration in these, results into defective neuronal </w:t>
      </w:r>
      <w:proofErr w:type="gramStart"/>
      <w:r w:rsidRPr="007417D2">
        <w:rPr>
          <w:rFonts w:ascii="Book Antiqua" w:hAnsi="Book Antiqua"/>
          <w:sz w:val="24"/>
        </w:rPr>
        <w:t>function</w:t>
      </w:r>
      <w:r w:rsidR="00281EA4">
        <w:rPr>
          <w:rFonts w:ascii="Book Antiqua" w:hAnsi="Book Antiqua"/>
          <w:noProof/>
          <w:sz w:val="24"/>
          <w:vertAlign w:val="superscript"/>
        </w:rPr>
        <w:t>[</w:t>
      </w:r>
      <w:proofErr w:type="gramEnd"/>
      <w:r w:rsidR="00281EA4">
        <w:rPr>
          <w:rFonts w:ascii="Book Antiqua" w:hAnsi="Book Antiqua"/>
          <w:noProof/>
          <w:sz w:val="24"/>
          <w:vertAlign w:val="superscript"/>
        </w:rPr>
        <w:t>95,176,</w:t>
      </w:r>
      <w:r w:rsidRPr="007417D2">
        <w:rPr>
          <w:rFonts w:ascii="Book Antiqua" w:hAnsi="Book Antiqua"/>
          <w:noProof/>
          <w:sz w:val="24"/>
          <w:vertAlign w:val="superscript"/>
        </w:rPr>
        <w:t>177]</w:t>
      </w:r>
      <w:r w:rsidRPr="007417D2">
        <w:rPr>
          <w:rFonts w:ascii="Book Antiqua" w:hAnsi="Book Antiqua"/>
          <w:sz w:val="24"/>
        </w:rPr>
        <w:t xml:space="preserve">. These evidences suggest that there is a common mechanistic pathway adopted by peripheral </w:t>
      </w:r>
      <w:r w:rsidR="009325BB" w:rsidRPr="007417D2">
        <w:rPr>
          <w:rFonts w:ascii="Book Antiqua" w:hAnsi="Book Antiqua"/>
          <w:sz w:val="24"/>
        </w:rPr>
        <w:t>IR</w:t>
      </w:r>
      <w:r w:rsidRPr="007417D2">
        <w:rPr>
          <w:rFonts w:ascii="Book Antiqua" w:hAnsi="Book Antiqua"/>
          <w:sz w:val="24"/>
        </w:rPr>
        <w:t xml:space="preserve"> in T2D as well as impaired brain insulin signaling in AD.</w:t>
      </w:r>
    </w:p>
    <w:p w:rsidR="00FA235F" w:rsidRPr="007417D2" w:rsidRDefault="00FA235F" w:rsidP="007417D2">
      <w:pPr>
        <w:spacing w:line="360" w:lineRule="auto"/>
        <w:rPr>
          <w:rFonts w:ascii="Book Antiqua" w:hAnsi="Book Antiqua"/>
          <w:b/>
          <w:sz w:val="24"/>
        </w:rPr>
      </w:pPr>
    </w:p>
    <w:p w:rsidR="00FA235F" w:rsidRPr="00281EA4" w:rsidRDefault="00FA235F" w:rsidP="007417D2">
      <w:pPr>
        <w:spacing w:line="360" w:lineRule="auto"/>
        <w:rPr>
          <w:rFonts w:ascii="Book Antiqua" w:hAnsi="Book Antiqua"/>
          <w:b/>
          <w:sz w:val="24"/>
        </w:rPr>
      </w:pPr>
      <w:r w:rsidRPr="00281EA4">
        <w:rPr>
          <w:rFonts w:ascii="Book Antiqua" w:hAnsi="Book Antiqua"/>
          <w:b/>
          <w:sz w:val="24"/>
        </w:rPr>
        <w:t xml:space="preserve">OXIDATIVE STRESS: A COMMON BURDEN IN </w:t>
      </w:r>
      <w:r w:rsidR="001932D0" w:rsidRPr="00281EA4">
        <w:rPr>
          <w:rFonts w:ascii="Book Antiqua" w:hAnsi="Book Antiqua"/>
          <w:b/>
          <w:sz w:val="24"/>
        </w:rPr>
        <w:t xml:space="preserve">AD </w:t>
      </w:r>
      <w:r w:rsidRPr="00281EA4">
        <w:rPr>
          <w:rFonts w:ascii="Book Antiqua" w:hAnsi="Book Antiqua"/>
          <w:b/>
          <w:sz w:val="24"/>
        </w:rPr>
        <w:t>AND DIABETES</w:t>
      </w:r>
    </w:p>
    <w:p w:rsidR="00280431" w:rsidRPr="007417D2" w:rsidRDefault="00FA235F" w:rsidP="007417D2">
      <w:pPr>
        <w:tabs>
          <w:tab w:val="left" w:pos="6100"/>
        </w:tabs>
        <w:spacing w:line="360" w:lineRule="auto"/>
        <w:rPr>
          <w:rFonts w:ascii="Book Antiqua" w:hAnsi="Book Antiqua"/>
          <w:sz w:val="24"/>
        </w:rPr>
      </w:pPr>
      <w:r w:rsidRPr="007417D2">
        <w:rPr>
          <w:rFonts w:ascii="Book Antiqua" w:hAnsi="Book Antiqua"/>
          <w:sz w:val="24"/>
        </w:rPr>
        <w:t xml:space="preserve">Normal body physiology tends to maintain a balance between production of ROS and body’s antioxidant defense system and any sort of imbalance altering this dynamic system leads to onset of metabolic disorder with cognitive </w:t>
      </w:r>
      <w:proofErr w:type="gramStart"/>
      <w:r w:rsidRPr="007417D2">
        <w:rPr>
          <w:rFonts w:ascii="Book Antiqua" w:hAnsi="Book Antiqua"/>
          <w:sz w:val="24"/>
        </w:rPr>
        <w:t>dysfunction</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178]</w:t>
      </w:r>
      <w:r w:rsidRPr="007417D2">
        <w:rPr>
          <w:rFonts w:ascii="Book Antiqua" w:hAnsi="Book Antiqua"/>
          <w:sz w:val="24"/>
        </w:rPr>
        <w:t>. Hydrogen peroxide, hydroxyl radical, superoxide ion and singlet oxygen are such reactive species which are abundantly produced in cellular respiration cycles running in mitochondria and have very short half life</w:t>
      </w:r>
      <w:r w:rsidRPr="007417D2">
        <w:rPr>
          <w:rFonts w:ascii="Book Antiqua" w:hAnsi="Book Antiqua"/>
          <w:noProof/>
          <w:sz w:val="24"/>
          <w:vertAlign w:val="superscript"/>
        </w:rPr>
        <w:t>[179]</w:t>
      </w:r>
      <w:r w:rsidRPr="007417D2">
        <w:rPr>
          <w:rFonts w:ascii="Book Antiqua" w:hAnsi="Book Antiqua"/>
          <w:sz w:val="24"/>
        </w:rPr>
        <w:t xml:space="preserve">. It is known that diabetic patients have more oxidative </w:t>
      </w:r>
      <w:r w:rsidRPr="007417D2">
        <w:rPr>
          <w:rFonts w:ascii="Book Antiqua" w:hAnsi="Book Antiqua"/>
          <w:sz w:val="24"/>
        </w:rPr>
        <w:lastRenderedPageBreak/>
        <w:t>cellular environment as compared to healthy ones</w:t>
      </w:r>
      <w:r w:rsidRPr="007417D2">
        <w:rPr>
          <w:rFonts w:ascii="Book Antiqua" w:hAnsi="Book Antiqua"/>
          <w:noProof/>
          <w:sz w:val="24"/>
          <w:vertAlign w:val="superscript"/>
        </w:rPr>
        <w:t>[180-182]</w:t>
      </w:r>
      <w:r w:rsidRPr="007417D2">
        <w:rPr>
          <w:rFonts w:ascii="Book Antiqua" w:hAnsi="Book Antiqua"/>
          <w:sz w:val="24"/>
        </w:rPr>
        <w:t xml:space="preserve"> Hyperglycemic condition has proportionality with sorbitol production which reduces NADPH, a cofactor for GSH production and hence decreases antioxidant levels in the body</w:t>
      </w:r>
      <w:r w:rsidRPr="007417D2">
        <w:rPr>
          <w:rFonts w:ascii="Book Antiqua" w:hAnsi="Book Antiqua"/>
          <w:noProof/>
          <w:sz w:val="24"/>
          <w:vertAlign w:val="superscript"/>
        </w:rPr>
        <w:t>[183-185]</w:t>
      </w:r>
      <w:r w:rsidRPr="007417D2">
        <w:rPr>
          <w:rFonts w:ascii="Book Antiqua" w:hAnsi="Book Antiqua"/>
          <w:sz w:val="24"/>
        </w:rPr>
        <w:t>. One more prevalent mechanism of diabetes contributing towards ROS is insurgence of advanced glycation end products (AGEs) production</w:t>
      </w:r>
      <w:r w:rsidR="003A7907">
        <w:rPr>
          <w:rFonts w:ascii="Book Antiqua" w:hAnsi="Book Antiqua"/>
          <w:noProof/>
          <w:sz w:val="24"/>
          <w:vertAlign w:val="superscript"/>
        </w:rPr>
        <w:t>[183,184,</w:t>
      </w:r>
      <w:r w:rsidRPr="007417D2">
        <w:rPr>
          <w:rFonts w:ascii="Book Antiqua" w:hAnsi="Book Antiqua"/>
          <w:noProof/>
          <w:sz w:val="24"/>
          <w:vertAlign w:val="superscript"/>
        </w:rPr>
        <w:t>186]</w:t>
      </w:r>
      <w:r w:rsidRPr="007417D2">
        <w:rPr>
          <w:rFonts w:ascii="Book Antiqua" w:hAnsi="Book Antiqua"/>
          <w:sz w:val="24"/>
        </w:rPr>
        <w:t xml:space="preserve">, which binds to cell surface receptors i.e. receptor for advanced glycation end roducts (RAGEs). RAGEs-AGEs interaction leads to ROS production via NADPH oxidase system which in turn activates Ras-MAPK pathway and ultimately nuclear factor kappa-light-chain-enhancer of activated B cells (NFκB) </w:t>
      </w:r>
      <w:proofErr w:type="gramStart"/>
      <w:r w:rsidRPr="007417D2">
        <w:rPr>
          <w:rFonts w:ascii="Book Antiqua" w:hAnsi="Book Antiqua"/>
          <w:sz w:val="24"/>
        </w:rPr>
        <w:t>activation</w:t>
      </w:r>
      <w:r w:rsidR="003A7907">
        <w:rPr>
          <w:rFonts w:ascii="Book Antiqua" w:hAnsi="Book Antiqua"/>
          <w:noProof/>
          <w:sz w:val="24"/>
          <w:vertAlign w:val="superscript"/>
        </w:rPr>
        <w:t>[</w:t>
      </w:r>
      <w:proofErr w:type="gramEnd"/>
      <w:r w:rsidR="003A7907">
        <w:rPr>
          <w:rFonts w:ascii="Book Antiqua" w:hAnsi="Book Antiqua"/>
          <w:noProof/>
          <w:sz w:val="24"/>
          <w:vertAlign w:val="superscript"/>
        </w:rPr>
        <w:t>184,</w:t>
      </w:r>
      <w:r w:rsidRPr="007417D2">
        <w:rPr>
          <w:rFonts w:ascii="Book Antiqua" w:hAnsi="Book Antiqua"/>
          <w:noProof/>
          <w:sz w:val="24"/>
          <w:vertAlign w:val="superscript"/>
        </w:rPr>
        <w:t>187]</w:t>
      </w:r>
      <w:r w:rsidRPr="007417D2">
        <w:rPr>
          <w:rFonts w:ascii="Book Antiqua" w:hAnsi="Book Antiqua"/>
          <w:sz w:val="24"/>
        </w:rPr>
        <w:t xml:space="preserve">. Hyperglycemia also leads to flux of glucose or FFA into blood which turns hexosamine pathway </w:t>
      </w:r>
      <w:proofErr w:type="gramStart"/>
      <w:r w:rsidRPr="007417D2">
        <w:rPr>
          <w:rFonts w:ascii="Book Antiqua" w:hAnsi="Book Antiqua"/>
          <w:sz w:val="24"/>
        </w:rPr>
        <w:t>on</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188]</w:t>
      </w:r>
      <w:r w:rsidRPr="007417D2">
        <w:rPr>
          <w:rFonts w:ascii="Book Antiqua" w:hAnsi="Book Antiqua"/>
          <w:sz w:val="24"/>
        </w:rPr>
        <w:t xml:space="preserve"> for further ROS production</w:t>
      </w:r>
      <w:r w:rsidRPr="007417D2">
        <w:rPr>
          <w:rFonts w:ascii="Book Antiqua" w:hAnsi="Book Antiqua"/>
          <w:noProof/>
          <w:sz w:val="24"/>
          <w:vertAlign w:val="superscript"/>
        </w:rPr>
        <w:t>[189]</w:t>
      </w:r>
      <w:r w:rsidRPr="007417D2">
        <w:rPr>
          <w:rFonts w:ascii="Book Antiqua" w:hAnsi="Book Antiqua"/>
          <w:sz w:val="24"/>
        </w:rPr>
        <w:t xml:space="preserve">. </w:t>
      </w:r>
      <w:r w:rsidR="003A7907">
        <w:rPr>
          <w:rFonts w:ascii="Book Antiqua" w:hAnsi="Book Antiqua" w:hint="eastAsia"/>
          <w:sz w:val="24"/>
        </w:rPr>
        <w:t xml:space="preserve">  </w:t>
      </w:r>
      <w:r w:rsidRPr="007417D2">
        <w:rPr>
          <w:rFonts w:ascii="Book Antiqua" w:hAnsi="Book Antiqua"/>
          <w:sz w:val="24"/>
        </w:rPr>
        <w:t xml:space="preserve">Elevated levels of FFA have an adverse effect on mitochondrial functioning and uncouple oxidative phosphorylation to contribute in ROS </w:t>
      </w:r>
      <w:proofErr w:type="gramStart"/>
      <w:r w:rsidRPr="007417D2">
        <w:rPr>
          <w:rFonts w:ascii="Book Antiqua" w:hAnsi="Book Antiqua"/>
          <w:sz w:val="24"/>
        </w:rPr>
        <w:t>production</w:t>
      </w:r>
      <w:r w:rsidR="003A7907">
        <w:rPr>
          <w:rFonts w:ascii="Book Antiqua" w:hAnsi="Book Antiqua"/>
          <w:noProof/>
          <w:sz w:val="24"/>
          <w:vertAlign w:val="superscript"/>
        </w:rPr>
        <w:t>[</w:t>
      </w:r>
      <w:proofErr w:type="gramEnd"/>
      <w:r w:rsidR="003A7907">
        <w:rPr>
          <w:rFonts w:ascii="Book Antiqua" w:hAnsi="Book Antiqua"/>
          <w:noProof/>
          <w:sz w:val="24"/>
          <w:vertAlign w:val="superscript"/>
        </w:rPr>
        <w:t>190,</w:t>
      </w:r>
      <w:r w:rsidRPr="007417D2">
        <w:rPr>
          <w:rFonts w:ascii="Book Antiqua" w:hAnsi="Book Antiqua"/>
          <w:noProof/>
          <w:sz w:val="24"/>
          <w:vertAlign w:val="superscript"/>
        </w:rPr>
        <w:t>191]</w:t>
      </w:r>
      <w:r w:rsidRPr="007417D2">
        <w:rPr>
          <w:rFonts w:ascii="Book Antiqua" w:hAnsi="Book Antiqua"/>
          <w:sz w:val="24"/>
        </w:rPr>
        <w:t>. ROS production worsens the status of insulin signaling and stress pathways which lead to further ROS production to turn a vicious cycle on.</w:t>
      </w:r>
    </w:p>
    <w:p w:rsidR="00FA235F" w:rsidRPr="007417D2" w:rsidRDefault="00FA235F" w:rsidP="003A7907">
      <w:pPr>
        <w:tabs>
          <w:tab w:val="left" w:pos="6100"/>
        </w:tabs>
        <w:spacing w:line="360" w:lineRule="auto"/>
        <w:ind w:firstLineChars="100" w:firstLine="240"/>
        <w:rPr>
          <w:rFonts w:ascii="Book Antiqua" w:hAnsi="Book Antiqua"/>
          <w:sz w:val="24"/>
        </w:rPr>
      </w:pPr>
      <w:r w:rsidRPr="007417D2">
        <w:rPr>
          <w:rFonts w:ascii="Book Antiqua" w:hAnsi="Book Antiqua"/>
          <w:sz w:val="24"/>
        </w:rPr>
        <w:t>High polyunsaturated fatty acid (PUFA) proportion with GSH content leave neurons vulnerable and make them prone for free radical attack</w:t>
      </w:r>
      <w:r w:rsidRPr="007417D2">
        <w:rPr>
          <w:rFonts w:ascii="Book Antiqua" w:hAnsi="Book Antiqua"/>
          <w:noProof/>
          <w:sz w:val="24"/>
          <w:vertAlign w:val="superscript"/>
        </w:rPr>
        <w:t>[192]</w:t>
      </w:r>
      <w:r w:rsidRPr="007417D2">
        <w:rPr>
          <w:rFonts w:ascii="Book Antiqua" w:hAnsi="Book Antiqua"/>
          <w:sz w:val="24"/>
        </w:rPr>
        <w:t xml:space="preserve">. A noticeable increase in lipid peroxidation was observed in brain of AD </w:t>
      </w:r>
      <w:proofErr w:type="gramStart"/>
      <w:r w:rsidRPr="007417D2">
        <w:rPr>
          <w:rFonts w:ascii="Book Antiqua" w:hAnsi="Book Antiqua"/>
          <w:sz w:val="24"/>
        </w:rPr>
        <w:t>patients</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193-195]</w:t>
      </w:r>
      <w:r w:rsidRPr="007417D2">
        <w:rPr>
          <w:rFonts w:ascii="Book Antiqua" w:hAnsi="Book Antiqua"/>
          <w:sz w:val="24"/>
        </w:rPr>
        <w:t xml:space="preserve">. Oxidative stress and Aβ aggregation has both way relationships controlling each other’s turnover. Oxidative stress channels regulate Aβ dynamicity from non-aggregated form to aggregated </w:t>
      </w:r>
      <w:proofErr w:type="gramStart"/>
      <w:r w:rsidRPr="007417D2">
        <w:rPr>
          <w:rFonts w:ascii="Book Antiqua" w:hAnsi="Book Antiqua"/>
          <w:sz w:val="24"/>
        </w:rPr>
        <w:t>form</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196]</w:t>
      </w:r>
      <w:r w:rsidRPr="007417D2">
        <w:rPr>
          <w:rFonts w:ascii="Book Antiqua" w:hAnsi="Book Antiqua"/>
          <w:sz w:val="24"/>
        </w:rPr>
        <w:t xml:space="preserve">. Aggregated Aβ acts like a source of free radical production and lipid </w:t>
      </w:r>
      <w:proofErr w:type="gramStart"/>
      <w:r w:rsidRPr="007417D2">
        <w:rPr>
          <w:rFonts w:ascii="Book Antiqua" w:hAnsi="Book Antiqua"/>
          <w:sz w:val="24"/>
        </w:rPr>
        <w:t>peroxidation</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197]</w:t>
      </w:r>
      <w:r w:rsidRPr="007417D2">
        <w:rPr>
          <w:rFonts w:ascii="Book Antiqua" w:hAnsi="Book Antiqua"/>
          <w:sz w:val="24"/>
        </w:rPr>
        <w:t xml:space="preserve"> to drive brain towards neurodegeneration. </w:t>
      </w:r>
    </w:p>
    <w:p w:rsidR="00FA235F" w:rsidRPr="007417D2" w:rsidRDefault="00FA235F" w:rsidP="007417D2">
      <w:pPr>
        <w:tabs>
          <w:tab w:val="left" w:pos="6100"/>
        </w:tabs>
        <w:spacing w:line="360" w:lineRule="auto"/>
        <w:rPr>
          <w:rFonts w:ascii="Book Antiqua" w:hAnsi="Book Antiqua"/>
          <w:sz w:val="24"/>
        </w:rPr>
      </w:pPr>
    </w:p>
    <w:p w:rsidR="00FA235F" w:rsidRPr="003A7907" w:rsidRDefault="00FA235F" w:rsidP="007417D2">
      <w:pPr>
        <w:spacing w:line="360" w:lineRule="auto"/>
        <w:rPr>
          <w:rFonts w:ascii="Book Antiqua" w:hAnsi="Book Antiqua"/>
          <w:b/>
          <w:sz w:val="24"/>
        </w:rPr>
      </w:pPr>
      <w:r w:rsidRPr="003A7907">
        <w:rPr>
          <w:rFonts w:ascii="Book Antiqua" w:hAnsi="Book Antiqua"/>
          <w:b/>
          <w:sz w:val="24"/>
        </w:rPr>
        <w:t xml:space="preserve">MITOCHONDRIAL VULNERABILITY IN CASE OF </w:t>
      </w:r>
      <w:r w:rsidR="001932D0" w:rsidRPr="003A7907">
        <w:rPr>
          <w:rFonts w:ascii="Book Antiqua" w:hAnsi="Book Antiqua"/>
          <w:b/>
          <w:sz w:val="24"/>
        </w:rPr>
        <w:t xml:space="preserve">AD </w:t>
      </w:r>
      <w:r w:rsidRPr="003A7907">
        <w:rPr>
          <w:rFonts w:ascii="Book Antiqua" w:hAnsi="Book Antiqua"/>
          <w:b/>
          <w:sz w:val="24"/>
        </w:rPr>
        <w:t>AND DIABETES</w:t>
      </w:r>
    </w:p>
    <w:p w:rsidR="00280431" w:rsidRPr="007417D2" w:rsidRDefault="00FA235F" w:rsidP="007417D2">
      <w:pPr>
        <w:spacing w:line="360" w:lineRule="auto"/>
        <w:rPr>
          <w:rFonts w:ascii="Book Antiqua" w:hAnsi="Book Antiqua"/>
          <w:sz w:val="24"/>
        </w:rPr>
      </w:pPr>
      <w:r w:rsidRPr="007417D2">
        <w:rPr>
          <w:rFonts w:ascii="Book Antiqua" w:hAnsi="Book Antiqua"/>
          <w:sz w:val="24"/>
        </w:rPr>
        <w:t>Mitochondria origin, a result of 1.5 billion years of obligate endosymbiotic co-evolution is not only undertaking death cascade but also emitting a danger signal to alert</w:t>
      </w:r>
      <w:r w:rsidR="003A7907">
        <w:rPr>
          <w:rFonts w:ascii="Book Antiqua" w:hAnsi="Book Antiqua"/>
          <w:sz w:val="24"/>
        </w:rPr>
        <w:t xml:space="preserve"> cell for adverse </w:t>
      </w:r>
      <w:proofErr w:type="gramStart"/>
      <w:r w:rsidR="003A7907">
        <w:rPr>
          <w:rFonts w:ascii="Book Antiqua" w:hAnsi="Book Antiqua"/>
          <w:sz w:val="24"/>
        </w:rPr>
        <w:t>perturbations</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198]</w:t>
      </w:r>
      <w:r w:rsidRPr="007417D2">
        <w:rPr>
          <w:rFonts w:ascii="Book Antiqua" w:hAnsi="Book Antiqua"/>
          <w:sz w:val="24"/>
        </w:rPr>
        <w:t xml:space="preserve">. Several decades of research has established that fission-fusion dynamicity of mitochondria is critical in </w:t>
      </w:r>
      <w:proofErr w:type="gramStart"/>
      <w:r w:rsidRPr="007417D2">
        <w:rPr>
          <w:rFonts w:ascii="Book Antiqua" w:hAnsi="Book Antiqua"/>
          <w:sz w:val="24"/>
        </w:rPr>
        <w:t>neurodegeneration</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198]</w:t>
      </w:r>
      <w:r w:rsidRPr="007417D2">
        <w:rPr>
          <w:rFonts w:ascii="Book Antiqua" w:hAnsi="Book Antiqua"/>
          <w:sz w:val="24"/>
        </w:rPr>
        <w:t xml:space="preserve">. As the brain is offered with limited capacity of glycolysis, neuronal cells are highly dependent on aerobic oxidative phosphorylation for energy production which is an electron transfer event from lower redox potential to higher redox </w:t>
      </w:r>
      <w:proofErr w:type="gramStart"/>
      <w:r w:rsidRPr="007417D2">
        <w:rPr>
          <w:rFonts w:ascii="Book Antiqua" w:hAnsi="Book Antiqua"/>
          <w:sz w:val="24"/>
        </w:rPr>
        <w:t>potential</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199-202]</w:t>
      </w:r>
      <w:r w:rsidRPr="007417D2">
        <w:rPr>
          <w:rFonts w:ascii="Book Antiqua" w:hAnsi="Book Antiqua"/>
          <w:sz w:val="24"/>
        </w:rPr>
        <w:t xml:space="preserve">. Although, this electron </w:t>
      </w:r>
      <w:r w:rsidRPr="007417D2">
        <w:rPr>
          <w:rFonts w:ascii="Book Antiqua" w:hAnsi="Book Antiqua"/>
          <w:sz w:val="24"/>
        </w:rPr>
        <w:lastRenderedPageBreak/>
        <w:t>chain transfer process is very efficient, still some ROS are produced which leads to oxidation of mitochondrial DNA, lipids and proteins further contributing to mitochondrial dysfunction which is a prominent feature of AD</w:t>
      </w:r>
      <w:r w:rsidR="003A7907">
        <w:rPr>
          <w:rFonts w:ascii="Book Antiqua" w:hAnsi="Book Antiqua"/>
          <w:noProof/>
          <w:sz w:val="24"/>
          <w:vertAlign w:val="superscript"/>
        </w:rPr>
        <w:t>[181,</w:t>
      </w:r>
      <w:r w:rsidRPr="007417D2">
        <w:rPr>
          <w:rFonts w:ascii="Book Antiqua" w:hAnsi="Book Antiqua"/>
          <w:noProof/>
          <w:sz w:val="24"/>
          <w:vertAlign w:val="superscript"/>
        </w:rPr>
        <w:t>203]</w:t>
      </w:r>
      <w:r w:rsidRPr="007417D2">
        <w:rPr>
          <w:rFonts w:ascii="Book Antiqua" w:hAnsi="Book Antiqua"/>
          <w:sz w:val="24"/>
        </w:rPr>
        <w:t>.</w:t>
      </w:r>
    </w:p>
    <w:p w:rsidR="00280431" w:rsidRPr="007417D2" w:rsidRDefault="00FA235F" w:rsidP="003A7907">
      <w:pPr>
        <w:spacing w:line="360" w:lineRule="auto"/>
        <w:ind w:firstLineChars="100" w:firstLine="240"/>
        <w:rPr>
          <w:rFonts w:ascii="Book Antiqua" w:hAnsi="Book Antiqua"/>
          <w:sz w:val="24"/>
        </w:rPr>
      </w:pPr>
      <w:r w:rsidRPr="007417D2">
        <w:rPr>
          <w:rFonts w:ascii="Book Antiqua" w:hAnsi="Book Antiqua"/>
          <w:sz w:val="24"/>
        </w:rPr>
        <w:t xml:space="preserve">Substantial data from diabetic patients and animal model systems revealed that brain faces several structural and functional deficits. Functional impairment of mitochondria leads to neurodegeneration and loss of control over neuronal metabolism. A study reflected that there is a significant decrease in coenzyme Q levels in diabetic animals which represents a marked deficit in antioxidant defense </w:t>
      </w:r>
      <w:proofErr w:type="gramStart"/>
      <w:r w:rsidRPr="007417D2">
        <w:rPr>
          <w:rFonts w:ascii="Book Antiqua" w:hAnsi="Book Antiqua"/>
          <w:sz w:val="24"/>
        </w:rPr>
        <w:t>system</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204]</w:t>
      </w:r>
      <w:r w:rsidRPr="007417D2">
        <w:rPr>
          <w:rFonts w:ascii="Book Antiqua" w:hAnsi="Book Antiqua"/>
          <w:sz w:val="24"/>
        </w:rPr>
        <w:t xml:space="preserve">. There are reports which are directly linking impairment in glucose utilization with mitochondrial dysfunction and metabolic </w:t>
      </w:r>
      <w:proofErr w:type="gramStart"/>
      <w:r w:rsidRPr="007417D2">
        <w:rPr>
          <w:rFonts w:ascii="Book Antiqua" w:hAnsi="Book Antiqua"/>
          <w:sz w:val="24"/>
        </w:rPr>
        <w:t>disturbances</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205-208]</w:t>
      </w:r>
      <w:r w:rsidRPr="007417D2">
        <w:rPr>
          <w:rFonts w:ascii="Book Antiqua" w:hAnsi="Book Antiqua"/>
          <w:sz w:val="24"/>
        </w:rPr>
        <w:t xml:space="preserve">. In 2003, clear evidence of oxidative phosphorylation uncoupling was found in rat model of </w:t>
      </w:r>
      <w:proofErr w:type="gramStart"/>
      <w:r w:rsidRPr="007417D2">
        <w:rPr>
          <w:rFonts w:ascii="Book Antiqua" w:hAnsi="Book Antiqua"/>
          <w:sz w:val="24"/>
        </w:rPr>
        <w:t>T2D</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209]</w:t>
      </w:r>
      <w:r w:rsidRPr="007417D2">
        <w:rPr>
          <w:rFonts w:ascii="Book Antiqua" w:hAnsi="Book Antiqua"/>
          <w:sz w:val="24"/>
        </w:rPr>
        <w:t>. Mitochondrial capacity of Ca</w:t>
      </w:r>
      <w:r w:rsidRPr="007417D2">
        <w:rPr>
          <w:rFonts w:ascii="Book Antiqua" w:hAnsi="Book Antiqua"/>
          <w:sz w:val="24"/>
          <w:vertAlign w:val="superscript"/>
        </w:rPr>
        <w:t>2+</w:t>
      </w:r>
      <w:r w:rsidRPr="007417D2">
        <w:rPr>
          <w:rFonts w:ascii="Book Antiqua" w:hAnsi="Book Antiqua"/>
          <w:sz w:val="24"/>
        </w:rPr>
        <w:t xml:space="preserve"> accumulation was also found to decrease in case of diabetes which is a favorable environment for mitochondrial permeability transition (MPT) opening and ultimately leads to cell </w:t>
      </w:r>
      <w:proofErr w:type="gramStart"/>
      <w:r w:rsidRPr="007417D2">
        <w:rPr>
          <w:rFonts w:ascii="Book Antiqua" w:hAnsi="Book Antiqua"/>
          <w:sz w:val="24"/>
        </w:rPr>
        <w:t>death</w:t>
      </w:r>
      <w:r w:rsidR="003A7907">
        <w:rPr>
          <w:rFonts w:ascii="Book Antiqua" w:hAnsi="Book Antiqua"/>
          <w:noProof/>
          <w:sz w:val="24"/>
          <w:vertAlign w:val="superscript"/>
        </w:rPr>
        <w:t>[</w:t>
      </w:r>
      <w:proofErr w:type="gramEnd"/>
      <w:r w:rsidR="003A7907">
        <w:rPr>
          <w:rFonts w:ascii="Book Antiqua" w:hAnsi="Book Antiqua"/>
          <w:noProof/>
          <w:sz w:val="24"/>
          <w:vertAlign w:val="superscript"/>
        </w:rPr>
        <w:t>210,</w:t>
      </w:r>
      <w:r w:rsidRPr="007417D2">
        <w:rPr>
          <w:rFonts w:ascii="Book Antiqua" w:hAnsi="Book Antiqua"/>
          <w:noProof/>
          <w:sz w:val="24"/>
          <w:vertAlign w:val="superscript"/>
        </w:rPr>
        <w:t>211]</w:t>
      </w:r>
      <w:r w:rsidRPr="007417D2">
        <w:rPr>
          <w:rFonts w:ascii="Book Antiqua" w:hAnsi="Book Antiqua"/>
          <w:sz w:val="24"/>
        </w:rPr>
        <w:t>.</w:t>
      </w:r>
    </w:p>
    <w:p w:rsidR="00280431" w:rsidRPr="007417D2" w:rsidRDefault="00FA235F" w:rsidP="003A7907">
      <w:pPr>
        <w:spacing w:line="360" w:lineRule="auto"/>
        <w:ind w:firstLineChars="100" w:firstLine="240"/>
        <w:rPr>
          <w:rFonts w:ascii="Book Antiqua" w:hAnsi="Book Antiqua"/>
          <w:sz w:val="24"/>
        </w:rPr>
      </w:pPr>
      <w:r w:rsidRPr="007417D2">
        <w:rPr>
          <w:rFonts w:ascii="Book Antiqua" w:hAnsi="Book Antiqua"/>
          <w:sz w:val="24"/>
        </w:rPr>
        <w:t xml:space="preserve">AD animal models as well as human studies suggested that AD pathology leads to mitochondrial dysfunction and ROS production. Some crucial molecules such as Aβ binding alcohol dehydrogenase are reported to aid to AD pathology by mediating Aβ induced cell death via mitochondrial </w:t>
      </w:r>
      <w:proofErr w:type="gramStart"/>
      <w:r w:rsidRPr="007417D2">
        <w:rPr>
          <w:rFonts w:ascii="Book Antiqua" w:hAnsi="Book Antiqua"/>
          <w:sz w:val="24"/>
        </w:rPr>
        <w:t>channel</w:t>
      </w:r>
      <w:r w:rsidR="00F70713">
        <w:rPr>
          <w:rFonts w:ascii="Book Antiqua" w:hAnsi="Book Antiqua"/>
          <w:noProof/>
          <w:sz w:val="24"/>
          <w:vertAlign w:val="superscript"/>
        </w:rPr>
        <w:t>[</w:t>
      </w:r>
      <w:proofErr w:type="gramEnd"/>
      <w:r w:rsidR="00F70713">
        <w:rPr>
          <w:rFonts w:ascii="Book Antiqua" w:hAnsi="Book Antiqua"/>
          <w:noProof/>
          <w:sz w:val="24"/>
          <w:vertAlign w:val="superscript"/>
        </w:rPr>
        <w:t>209,</w:t>
      </w:r>
      <w:r w:rsidRPr="007417D2">
        <w:rPr>
          <w:rFonts w:ascii="Book Antiqua" w:hAnsi="Book Antiqua"/>
          <w:noProof/>
          <w:sz w:val="24"/>
          <w:vertAlign w:val="superscript"/>
        </w:rPr>
        <w:t>212]</w:t>
      </w:r>
      <w:r w:rsidRPr="007417D2">
        <w:rPr>
          <w:rFonts w:ascii="Book Antiqua" w:hAnsi="Book Antiqua"/>
          <w:sz w:val="24"/>
        </w:rPr>
        <w:t xml:space="preserve">. In some reports it is mentioned that one of the insulin degrading enzymes (IDE) isoform, a well established regulator of Aβ dynamicity targets mitochondria and interfere with its normal </w:t>
      </w:r>
      <w:proofErr w:type="gramStart"/>
      <w:r w:rsidRPr="007417D2">
        <w:rPr>
          <w:rFonts w:ascii="Book Antiqua" w:hAnsi="Book Antiqua"/>
          <w:sz w:val="24"/>
        </w:rPr>
        <w:t>functioning</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213]</w:t>
      </w:r>
      <w:r w:rsidRPr="007417D2">
        <w:rPr>
          <w:rFonts w:ascii="Book Antiqua" w:hAnsi="Book Antiqua"/>
          <w:sz w:val="24"/>
        </w:rPr>
        <w:t xml:space="preserve">. Aβ is also found to be a good inhibitor of respiratory chain complex and thus leads to marked decrease in cellular ATP </w:t>
      </w:r>
      <w:proofErr w:type="gramStart"/>
      <w:r w:rsidRPr="007417D2">
        <w:rPr>
          <w:rFonts w:ascii="Book Antiqua" w:hAnsi="Book Antiqua"/>
          <w:sz w:val="24"/>
        </w:rPr>
        <w:t>levels</w:t>
      </w:r>
      <w:r w:rsidR="00F70713">
        <w:rPr>
          <w:rFonts w:ascii="Book Antiqua" w:hAnsi="Book Antiqua"/>
          <w:noProof/>
          <w:sz w:val="24"/>
          <w:vertAlign w:val="superscript"/>
        </w:rPr>
        <w:t>[</w:t>
      </w:r>
      <w:proofErr w:type="gramEnd"/>
      <w:r w:rsidR="00F70713">
        <w:rPr>
          <w:rFonts w:ascii="Book Antiqua" w:hAnsi="Book Antiqua"/>
          <w:noProof/>
          <w:sz w:val="24"/>
          <w:vertAlign w:val="superscript"/>
        </w:rPr>
        <w:t>214,</w:t>
      </w:r>
      <w:r w:rsidRPr="007417D2">
        <w:rPr>
          <w:rFonts w:ascii="Book Antiqua" w:hAnsi="Book Antiqua"/>
          <w:noProof/>
          <w:sz w:val="24"/>
          <w:vertAlign w:val="superscript"/>
        </w:rPr>
        <w:t>215]</w:t>
      </w:r>
      <w:r w:rsidRPr="007417D2">
        <w:rPr>
          <w:rFonts w:ascii="Book Antiqua" w:hAnsi="Book Antiqua"/>
          <w:sz w:val="24"/>
        </w:rPr>
        <w:t xml:space="preserve">. Importantly, Aβ 40 and Aβ 25-35 contribute in uncoupling of oxidative phosphorylation and impair respiratory chain as well as MPT </w:t>
      </w:r>
      <w:proofErr w:type="gramStart"/>
      <w:r w:rsidRPr="007417D2">
        <w:rPr>
          <w:rFonts w:ascii="Book Antiqua" w:hAnsi="Book Antiqua"/>
          <w:sz w:val="24"/>
        </w:rPr>
        <w:t>opening</w:t>
      </w:r>
      <w:r w:rsidR="00F70713">
        <w:rPr>
          <w:rFonts w:ascii="Book Antiqua" w:hAnsi="Book Antiqua"/>
          <w:noProof/>
          <w:sz w:val="24"/>
          <w:vertAlign w:val="superscript"/>
        </w:rPr>
        <w:t>[</w:t>
      </w:r>
      <w:proofErr w:type="gramEnd"/>
      <w:r w:rsidR="00F70713">
        <w:rPr>
          <w:rFonts w:ascii="Book Antiqua" w:hAnsi="Book Antiqua"/>
          <w:noProof/>
          <w:sz w:val="24"/>
          <w:vertAlign w:val="superscript"/>
        </w:rPr>
        <w:t>204,210,</w:t>
      </w:r>
      <w:r w:rsidRPr="007417D2">
        <w:rPr>
          <w:rFonts w:ascii="Book Antiqua" w:hAnsi="Book Antiqua"/>
          <w:noProof/>
          <w:sz w:val="24"/>
          <w:vertAlign w:val="superscript"/>
        </w:rPr>
        <w:t>211]</w:t>
      </w:r>
      <w:r w:rsidRPr="007417D2">
        <w:rPr>
          <w:rFonts w:ascii="Book Antiqua" w:hAnsi="Book Antiqua"/>
          <w:sz w:val="24"/>
        </w:rPr>
        <w:t>. Moreover Aβ induces H</w:t>
      </w:r>
      <w:r w:rsidRPr="007417D2">
        <w:rPr>
          <w:rFonts w:ascii="Book Antiqua" w:hAnsi="Book Antiqua"/>
          <w:sz w:val="24"/>
          <w:vertAlign w:val="subscript"/>
        </w:rPr>
        <w:t>2</w:t>
      </w:r>
      <w:r w:rsidRPr="007417D2">
        <w:rPr>
          <w:rFonts w:ascii="Book Antiqua" w:hAnsi="Book Antiqua"/>
          <w:sz w:val="24"/>
        </w:rPr>
        <w:t>O</w:t>
      </w:r>
      <w:r w:rsidRPr="007417D2">
        <w:rPr>
          <w:rFonts w:ascii="Book Antiqua" w:hAnsi="Book Antiqua"/>
          <w:sz w:val="24"/>
          <w:vertAlign w:val="subscript"/>
        </w:rPr>
        <w:t>2</w:t>
      </w:r>
      <w:r w:rsidRPr="007417D2">
        <w:rPr>
          <w:rFonts w:ascii="Book Antiqua" w:hAnsi="Book Antiqua"/>
          <w:sz w:val="24"/>
        </w:rPr>
        <w:t xml:space="preserve"> production which is rescued by CoQ10, a key enzyme of electron transport </w:t>
      </w:r>
      <w:proofErr w:type="gramStart"/>
      <w:r w:rsidRPr="007417D2">
        <w:rPr>
          <w:rFonts w:ascii="Book Antiqua" w:hAnsi="Book Antiqua"/>
          <w:sz w:val="24"/>
        </w:rPr>
        <w:t>chain</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216]</w:t>
      </w:r>
      <w:r w:rsidRPr="007417D2">
        <w:rPr>
          <w:rFonts w:ascii="Book Antiqua" w:hAnsi="Book Antiqua"/>
          <w:sz w:val="24"/>
        </w:rPr>
        <w:t>. Various tri-carboxylic acid (TCA) cycle enzymes such as pyruvate dehydrogenase, α-ketoglutarate dehydrogenase and ATP citrate lyase were also found t</w:t>
      </w:r>
      <w:r w:rsidR="00F70713">
        <w:rPr>
          <w:rFonts w:ascii="Book Antiqua" w:hAnsi="Book Antiqua"/>
          <w:sz w:val="24"/>
        </w:rPr>
        <w:t xml:space="preserve">o be dysregulated in case of </w:t>
      </w:r>
      <w:proofErr w:type="gramStart"/>
      <w:r w:rsidR="00F70713">
        <w:rPr>
          <w:rFonts w:ascii="Book Antiqua" w:hAnsi="Book Antiqua"/>
          <w:sz w:val="24"/>
        </w:rPr>
        <w:t>AD</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217]</w:t>
      </w:r>
      <w:r w:rsidRPr="007417D2">
        <w:rPr>
          <w:rFonts w:ascii="Book Antiqua" w:hAnsi="Book Antiqua"/>
          <w:sz w:val="24"/>
        </w:rPr>
        <w:t>.</w:t>
      </w:r>
    </w:p>
    <w:p w:rsidR="00FA235F" w:rsidRPr="007417D2" w:rsidRDefault="00FA235F" w:rsidP="00F70713">
      <w:pPr>
        <w:spacing w:line="360" w:lineRule="auto"/>
        <w:ind w:firstLineChars="100" w:firstLine="240"/>
        <w:rPr>
          <w:rFonts w:ascii="Book Antiqua" w:hAnsi="Book Antiqua"/>
          <w:sz w:val="24"/>
        </w:rPr>
      </w:pPr>
      <w:r w:rsidRPr="007417D2">
        <w:rPr>
          <w:rFonts w:ascii="Book Antiqua" w:hAnsi="Book Antiqua"/>
          <w:sz w:val="24"/>
        </w:rPr>
        <w:t xml:space="preserve">Mitochondrial morphology was found to be altered with some functional loss in neurodegenerative disorders such as </w:t>
      </w:r>
      <w:proofErr w:type="gramStart"/>
      <w:r w:rsidRPr="007417D2">
        <w:rPr>
          <w:rFonts w:ascii="Book Antiqua" w:hAnsi="Book Antiqua"/>
          <w:sz w:val="24"/>
        </w:rPr>
        <w:t>AD</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218-221]</w:t>
      </w:r>
      <w:r w:rsidRPr="007417D2">
        <w:rPr>
          <w:rFonts w:ascii="Book Antiqua" w:hAnsi="Book Antiqua"/>
          <w:sz w:val="24"/>
        </w:rPr>
        <w:t xml:space="preserve">. In brief it can be mentioned that a small metabolic compromise is sufficient to trigger a cascade and disrupt normal </w:t>
      </w:r>
      <w:r w:rsidRPr="007417D2">
        <w:rPr>
          <w:rFonts w:ascii="Book Antiqua" w:hAnsi="Book Antiqua"/>
          <w:sz w:val="24"/>
        </w:rPr>
        <w:lastRenderedPageBreak/>
        <w:t>mitochondrial function which plays a vital role in neuronal survival, growth and plasticity.</w:t>
      </w:r>
    </w:p>
    <w:p w:rsidR="00FA235F" w:rsidRPr="007417D2" w:rsidRDefault="00FA235F" w:rsidP="007417D2">
      <w:pPr>
        <w:spacing w:line="360" w:lineRule="auto"/>
        <w:rPr>
          <w:rFonts w:ascii="Book Antiqua" w:hAnsi="Book Antiqua"/>
          <w:b/>
          <w:sz w:val="24"/>
        </w:rPr>
      </w:pPr>
    </w:p>
    <w:p w:rsidR="00FA235F" w:rsidRPr="007417D2" w:rsidRDefault="00FA235F" w:rsidP="007417D2">
      <w:pPr>
        <w:spacing w:line="360" w:lineRule="auto"/>
        <w:rPr>
          <w:rFonts w:ascii="Book Antiqua" w:hAnsi="Book Antiqua"/>
          <w:b/>
          <w:sz w:val="24"/>
        </w:rPr>
      </w:pPr>
      <w:r w:rsidRPr="007417D2">
        <w:rPr>
          <w:rFonts w:ascii="Book Antiqua" w:hAnsi="Book Antiqua"/>
          <w:b/>
          <w:sz w:val="24"/>
        </w:rPr>
        <w:t>THERAPEUTIC OPPORTUNITIES</w:t>
      </w:r>
    </w:p>
    <w:p w:rsidR="00280431" w:rsidRPr="007417D2" w:rsidRDefault="00FA235F" w:rsidP="007417D2">
      <w:pPr>
        <w:spacing w:line="360" w:lineRule="auto"/>
        <w:rPr>
          <w:rFonts w:ascii="Book Antiqua" w:hAnsi="Book Antiqua"/>
          <w:sz w:val="24"/>
        </w:rPr>
      </w:pPr>
      <w:r w:rsidRPr="007417D2">
        <w:rPr>
          <w:rFonts w:ascii="Book Antiqua" w:hAnsi="Book Antiqua"/>
          <w:sz w:val="24"/>
        </w:rPr>
        <w:t xml:space="preserve">Sedentary life style, dietary changes and genetic predisposition are conspired forces responsible for worldwide epidemic of metabolic and aging syndrome. Discovered molecular trajectories from T2D to T3D gained experimental momentum for new therapeutic interventions. Elucidating role of anti-diabetic drug for the treatment of AD translated the disease information and added new armaments to the arsenal of putative therapies. It is unquestionable issue that both of these disorders share common pathologies including glucose metabolism defects, mitochondrial dysfunction, oxidative stress and abnormal deposition of amyloidogenic </w:t>
      </w:r>
      <w:proofErr w:type="gramStart"/>
      <w:r w:rsidRPr="007417D2">
        <w:rPr>
          <w:rFonts w:ascii="Book Antiqua" w:hAnsi="Book Antiqua"/>
          <w:sz w:val="24"/>
        </w:rPr>
        <w:t>proteins</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55]</w:t>
      </w:r>
      <w:r w:rsidRPr="007417D2">
        <w:rPr>
          <w:rFonts w:ascii="Book Antiqua" w:hAnsi="Book Antiqua"/>
          <w:sz w:val="24"/>
        </w:rPr>
        <w:t>. The reason why insulin got this recognition under frontier’s of Alzheimer research is that its high level in CNS revealed its own crucial role in learning, memory, co</w:t>
      </w:r>
      <w:r w:rsidR="00F70713">
        <w:rPr>
          <w:rFonts w:ascii="Book Antiqua" w:hAnsi="Book Antiqua"/>
          <w:sz w:val="24"/>
        </w:rPr>
        <w:t>gnition and synaptic plasticity</w:t>
      </w:r>
      <w:r w:rsidRPr="007417D2">
        <w:rPr>
          <w:rFonts w:ascii="Book Antiqua" w:hAnsi="Book Antiqua"/>
          <w:noProof/>
          <w:sz w:val="24"/>
          <w:vertAlign w:val="superscript"/>
        </w:rPr>
        <w:t>[222]</w:t>
      </w:r>
      <w:r w:rsidRPr="007417D2">
        <w:rPr>
          <w:rFonts w:ascii="Book Antiqua" w:hAnsi="Book Antiqua"/>
          <w:sz w:val="24"/>
        </w:rPr>
        <w:t xml:space="preserve">. Although, brain has potential pyramidal neurons involved in synthesis and secretion of insulin, majority of brain insulin is replenished by peripheral source of pancreatic β cells transported through blood across </w:t>
      </w:r>
      <w:proofErr w:type="gramStart"/>
      <w:r w:rsidRPr="007417D2">
        <w:rPr>
          <w:rFonts w:ascii="Book Antiqua" w:hAnsi="Book Antiqua"/>
          <w:sz w:val="24"/>
        </w:rPr>
        <w:t>BBB</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223]</w:t>
      </w:r>
      <w:r w:rsidRPr="007417D2">
        <w:rPr>
          <w:rFonts w:ascii="Book Antiqua" w:hAnsi="Book Antiqua"/>
          <w:sz w:val="24"/>
        </w:rPr>
        <w:t>. Therefore, investigators advised to look for potential combined therapies as compare to anti-diabetic drugs, for minimizing the damage to other organs and avoiding development of other long term complications such as AD.</w:t>
      </w:r>
    </w:p>
    <w:p w:rsidR="00FA235F" w:rsidRPr="007417D2" w:rsidRDefault="00FA235F" w:rsidP="00F70713">
      <w:pPr>
        <w:spacing w:line="360" w:lineRule="auto"/>
        <w:ind w:firstLineChars="100" w:firstLine="240"/>
        <w:rPr>
          <w:rFonts w:ascii="Book Antiqua" w:hAnsi="Book Antiqua"/>
          <w:sz w:val="24"/>
        </w:rPr>
      </w:pPr>
      <w:r w:rsidRPr="007417D2">
        <w:rPr>
          <w:rFonts w:ascii="Book Antiqua" w:hAnsi="Book Antiqua"/>
          <w:sz w:val="24"/>
        </w:rPr>
        <w:t xml:space="preserve">There are some well known potential oral drugs </w:t>
      </w:r>
      <w:r w:rsidR="00F70713">
        <w:rPr>
          <w:rFonts w:ascii="Book Antiqua" w:hAnsi="Book Antiqua" w:hint="eastAsia"/>
          <w:sz w:val="24"/>
        </w:rPr>
        <w:t>[</w:t>
      </w:r>
      <w:r w:rsidRPr="007417D2">
        <w:rPr>
          <w:rFonts w:ascii="Book Antiqua" w:hAnsi="Book Antiqua"/>
          <w:sz w:val="24"/>
        </w:rPr>
        <w:t xml:space="preserve">such as biguanides, sulfonylureas (SUs), thiazolidinediones (TZDs), and dipeptidyl peptidase-IV (DPP-IV) </w:t>
      </w:r>
      <w:r w:rsidR="00F70713">
        <w:rPr>
          <w:rFonts w:ascii="Book Antiqua" w:hAnsi="Book Antiqua"/>
          <w:sz w:val="24"/>
        </w:rPr>
        <w:t>inhibitors</w:t>
      </w:r>
      <w:r w:rsidR="00F70713">
        <w:rPr>
          <w:rFonts w:ascii="Book Antiqua" w:hAnsi="Book Antiqua" w:hint="eastAsia"/>
          <w:sz w:val="24"/>
        </w:rPr>
        <w:t>]</w:t>
      </w:r>
      <w:r w:rsidR="00F70713">
        <w:rPr>
          <w:rFonts w:ascii="Book Antiqua" w:hAnsi="Book Antiqua"/>
          <w:sz w:val="24"/>
        </w:rPr>
        <w:t>, injections (</w:t>
      </w:r>
      <w:r w:rsidR="00F70713" w:rsidRPr="00F70713">
        <w:rPr>
          <w:rFonts w:ascii="Book Antiqua" w:hAnsi="Book Antiqua"/>
          <w:i/>
          <w:sz w:val="24"/>
        </w:rPr>
        <w:t>e.g</w:t>
      </w:r>
      <w:r w:rsidR="00F70713">
        <w:rPr>
          <w:rFonts w:ascii="Book Antiqua" w:hAnsi="Book Antiqua"/>
          <w:sz w:val="24"/>
        </w:rPr>
        <w:t>., insulin and GLP-1 analogs</w:t>
      </w:r>
      <w:r w:rsidRPr="007417D2">
        <w:rPr>
          <w:rFonts w:ascii="Book Antiqua" w:hAnsi="Book Antiqua"/>
          <w:sz w:val="24"/>
        </w:rPr>
        <w:t>), and some other therapies like glucokinase activators, amylin analogs, D2-dopamine agonists, bile acid chelators, and sodium/glucose-linked transporter-2 (SGLT-2) inhibitors etc established for T2D. Most of the anti-diabetic drugs act through the mechanism of maintenance of plasma glucose level, regulation of inflammatory cascades and establishing the balance between reactive oxygen species and antioxidants. We will briefly overview experimental and clinical trials of some anti-diabetic drugs which are being tested in patients with AD and with low to moderate mild cognitive impairment.</w:t>
      </w:r>
    </w:p>
    <w:p w:rsidR="00280431" w:rsidRPr="007417D2" w:rsidRDefault="00280431" w:rsidP="007417D2">
      <w:pPr>
        <w:spacing w:line="360" w:lineRule="auto"/>
        <w:rPr>
          <w:rFonts w:ascii="Book Antiqua" w:hAnsi="Book Antiqua"/>
          <w:sz w:val="24"/>
        </w:rPr>
      </w:pPr>
    </w:p>
    <w:p w:rsidR="00FA235F" w:rsidRPr="007417D2" w:rsidRDefault="00FA235F" w:rsidP="007417D2">
      <w:pPr>
        <w:spacing w:line="360" w:lineRule="auto"/>
        <w:rPr>
          <w:rFonts w:ascii="Book Antiqua" w:hAnsi="Book Antiqua"/>
          <w:b/>
          <w:i/>
          <w:sz w:val="24"/>
        </w:rPr>
      </w:pPr>
      <w:r w:rsidRPr="007417D2">
        <w:rPr>
          <w:rFonts w:ascii="Book Antiqua" w:hAnsi="Book Antiqua"/>
          <w:b/>
          <w:i/>
          <w:sz w:val="24"/>
        </w:rPr>
        <w:t>Metformin</w:t>
      </w:r>
    </w:p>
    <w:p w:rsidR="00FA235F" w:rsidRPr="007417D2" w:rsidRDefault="00FA235F" w:rsidP="007417D2">
      <w:pPr>
        <w:spacing w:line="360" w:lineRule="auto"/>
        <w:rPr>
          <w:rFonts w:ascii="Book Antiqua" w:hAnsi="Book Antiqua"/>
          <w:sz w:val="24"/>
        </w:rPr>
      </w:pPr>
      <w:r w:rsidRPr="007417D2">
        <w:rPr>
          <w:rFonts w:ascii="Book Antiqua" w:hAnsi="Book Antiqua"/>
          <w:sz w:val="24"/>
        </w:rPr>
        <w:t xml:space="preserve">Metformin, a well known biguanide anti-diabetic drug is used to reduce </w:t>
      </w:r>
      <w:r w:rsidR="009325BB" w:rsidRPr="007417D2">
        <w:rPr>
          <w:rFonts w:ascii="Book Antiqua" w:hAnsi="Book Antiqua"/>
          <w:sz w:val="24"/>
        </w:rPr>
        <w:t>IR</w:t>
      </w:r>
      <w:r w:rsidRPr="007417D2">
        <w:rPr>
          <w:rFonts w:ascii="Book Antiqua" w:hAnsi="Book Antiqua"/>
          <w:sz w:val="24"/>
        </w:rPr>
        <w:t xml:space="preserve">. It sensitizes liver and skeletal muscle cell via AMP kinase </w:t>
      </w:r>
      <w:proofErr w:type="gramStart"/>
      <w:r w:rsidRPr="007417D2">
        <w:rPr>
          <w:rFonts w:ascii="Book Antiqua" w:hAnsi="Book Antiqua"/>
          <w:sz w:val="24"/>
        </w:rPr>
        <w:t>channel</w:t>
      </w:r>
      <w:r w:rsidR="00F70713">
        <w:rPr>
          <w:rFonts w:ascii="Book Antiqua" w:hAnsi="Book Antiqua"/>
          <w:noProof/>
          <w:sz w:val="24"/>
          <w:vertAlign w:val="superscript"/>
        </w:rPr>
        <w:t>[</w:t>
      </w:r>
      <w:proofErr w:type="gramEnd"/>
      <w:r w:rsidR="00F70713">
        <w:rPr>
          <w:rFonts w:ascii="Book Antiqua" w:hAnsi="Book Antiqua"/>
          <w:noProof/>
          <w:sz w:val="24"/>
          <w:vertAlign w:val="superscript"/>
        </w:rPr>
        <w:t>224,</w:t>
      </w:r>
      <w:r w:rsidRPr="007417D2">
        <w:rPr>
          <w:rFonts w:ascii="Book Antiqua" w:hAnsi="Book Antiqua"/>
          <w:noProof/>
          <w:sz w:val="24"/>
          <w:vertAlign w:val="superscript"/>
        </w:rPr>
        <w:t>225]</w:t>
      </w:r>
      <w:r w:rsidRPr="007417D2">
        <w:rPr>
          <w:rFonts w:ascii="Book Antiqua" w:hAnsi="Book Antiqua"/>
          <w:sz w:val="24"/>
        </w:rPr>
        <w:t>. Brain is most vulnerable vital organ for oxidative stress</w:t>
      </w:r>
      <w:r w:rsidR="00F70713">
        <w:rPr>
          <w:rFonts w:ascii="Book Antiqua" w:hAnsi="Book Antiqua" w:hint="eastAsia"/>
          <w:sz w:val="24"/>
        </w:rPr>
        <w:t>,</w:t>
      </w:r>
      <w:r w:rsidRPr="007417D2">
        <w:rPr>
          <w:rFonts w:ascii="Book Antiqua" w:hAnsi="Book Antiqua"/>
          <w:sz w:val="24"/>
        </w:rPr>
        <w:t xml:space="preserve"> </w:t>
      </w:r>
      <w:r w:rsidRPr="00F70713">
        <w:rPr>
          <w:rFonts w:ascii="Book Antiqua" w:hAnsi="Book Antiqua"/>
          <w:i/>
          <w:sz w:val="24"/>
        </w:rPr>
        <w:t>i.e</w:t>
      </w:r>
      <w:r w:rsidRPr="007417D2">
        <w:rPr>
          <w:rFonts w:ascii="Book Antiqua" w:hAnsi="Book Antiqua"/>
          <w:sz w:val="24"/>
        </w:rPr>
        <w:t>.</w:t>
      </w:r>
      <w:r w:rsidR="00F70713">
        <w:rPr>
          <w:rFonts w:ascii="Book Antiqua" w:hAnsi="Book Antiqua" w:hint="eastAsia"/>
          <w:sz w:val="24"/>
        </w:rPr>
        <w:t>,</w:t>
      </w:r>
      <w:r w:rsidRPr="007417D2">
        <w:rPr>
          <w:rFonts w:ascii="Book Antiqua" w:hAnsi="Book Antiqua"/>
          <w:sz w:val="24"/>
        </w:rPr>
        <w:t xml:space="preserve"> high oxidative metabolism rate and limited antioxidant level. Under oxidative stress mitochondrial permeability pores open up to release cytochrome c and trigger apoptotic cascade. Metformin is reported to inhibit opening of these permeability pores in ectoposide-induced cell death model to inhibit apoptotic </w:t>
      </w:r>
      <w:proofErr w:type="gramStart"/>
      <w:r w:rsidRPr="007417D2">
        <w:rPr>
          <w:rFonts w:ascii="Book Antiqua" w:hAnsi="Book Antiqua"/>
          <w:sz w:val="24"/>
        </w:rPr>
        <w:t>cascade</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226]</w:t>
      </w:r>
      <w:r w:rsidRPr="007417D2">
        <w:rPr>
          <w:rFonts w:ascii="Book Antiqua" w:hAnsi="Book Antiqua"/>
          <w:sz w:val="24"/>
        </w:rPr>
        <w:t xml:space="preserve">. Metformin is also involved in neurogenesis by activation of protein kinase C-CREB binding pathway (PKC-CBP) pathway in neuronal cell culture study, in human and rodent model </w:t>
      </w:r>
      <w:proofErr w:type="gramStart"/>
      <w:r w:rsidRPr="007417D2">
        <w:rPr>
          <w:rFonts w:ascii="Book Antiqua" w:hAnsi="Book Antiqua"/>
          <w:sz w:val="24"/>
        </w:rPr>
        <w:t>system</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227]</w:t>
      </w:r>
      <w:r w:rsidRPr="007417D2">
        <w:rPr>
          <w:rFonts w:ascii="Book Antiqua" w:hAnsi="Book Antiqua"/>
          <w:sz w:val="24"/>
        </w:rPr>
        <w:t xml:space="preserve">. In neuronal cell lines (neuro2A), metformin promotes insulin action and attenuates molecular and pathological features observed in AD. Metformin treatment was found to reduce the risk of dementia in human aged </w:t>
      </w:r>
      <w:proofErr w:type="gramStart"/>
      <w:r w:rsidRPr="007417D2">
        <w:rPr>
          <w:rFonts w:ascii="Book Antiqua" w:hAnsi="Book Antiqua"/>
          <w:sz w:val="24"/>
        </w:rPr>
        <w:t>subjects</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228]</w:t>
      </w:r>
      <w:r w:rsidRPr="007417D2">
        <w:rPr>
          <w:rFonts w:ascii="Book Antiqua" w:hAnsi="Book Antiqua"/>
          <w:sz w:val="24"/>
        </w:rPr>
        <w:t>. AD patients taking calcium in diet supplemented with metformin were found to have be</w:t>
      </w:r>
      <w:r w:rsidR="00F70713">
        <w:rPr>
          <w:rFonts w:ascii="Book Antiqua" w:hAnsi="Book Antiqua"/>
          <w:sz w:val="24"/>
        </w:rPr>
        <w:t xml:space="preserve">tter cognitive </w:t>
      </w:r>
      <w:proofErr w:type="gramStart"/>
      <w:r w:rsidR="00F70713">
        <w:rPr>
          <w:rFonts w:ascii="Book Antiqua" w:hAnsi="Book Antiqua"/>
          <w:sz w:val="24"/>
        </w:rPr>
        <w:t>performance</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229]</w:t>
      </w:r>
      <w:r w:rsidRPr="007417D2">
        <w:rPr>
          <w:rFonts w:ascii="Book Antiqua" w:hAnsi="Book Antiqua"/>
          <w:sz w:val="24"/>
        </w:rPr>
        <w:t>. Thus these evidences support the fact that metformin is not only a known anti-diabetic agent but also took a position in list of effective neuroprotectives.</w:t>
      </w:r>
    </w:p>
    <w:p w:rsidR="00280431" w:rsidRPr="007417D2" w:rsidRDefault="00280431" w:rsidP="007417D2">
      <w:pPr>
        <w:spacing w:line="360" w:lineRule="auto"/>
        <w:rPr>
          <w:rFonts w:ascii="Book Antiqua" w:hAnsi="Book Antiqua"/>
          <w:sz w:val="24"/>
        </w:rPr>
      </w:pPr>
    </w:p>
    <w:p w:rsidR="00FA235F" w:rsidRPr="007417D2" w:rsidRDefault="00FA235F" w:rsidP="007417D2">
      <w:pPr>
        <w:spacing w:line="360" w:lineRule="auto"/>
        <w:rPr>
          <w:rFonts w:ascii="Book Antiqua" w:hAnsi="Book Antiqua"/>
          <w:b/>
          <w:i/>
          <w:sz w:val="24"/>
        </w:rPr>
      </w:pPr>
      <w:r w:rsidRPr="007417D2">
        <w:rPr>
          <w:rFonts w:ascii="Book Antiqua" w:hAnsi="Book Antiqua"/>
          <w:b/>
          <w:i/>
          <w:sz w:val="24"/>
        </w:rPr>
        <w:t>Sulphonylurea</w:t>
      </w:r>
    </w:p>
    <w:p w:rsidR="00FA235F" w:rsidRDefault="00F70713" w:rsidP="007417D2">
      <w:pPr>
        <w:spacing w:line="360" w:lineRule="auto"/>
        <w:rPr>
          <w:rFonts w:ascii="Book Antiqua" w:hAnsi="Book Antiqua"/>
          <w:sz w:val="24"/>
        </w:rPr>
      </w:pPr>
      <w:r w:rsidRPr="00F70713">
        <w:rPr>
          <w:rFonts w:ascii="Book Antiqua" w:hAnsi="Book Antiqua"/>
          <w:sz w:val="24"/>
        </w:rPr>
        <w:t>Sulphonylurea (SUs)</w:t>
      </w:r>
      <w:r w:rsidR="00D3592B" w:rsidRPr="00F70713">
        <w:rPr>
          <w:rFonts w:ascii="Book Antiqua" w:hAnsi="Book Antiqua"/>
          <w:sz w:val="24"/>
        </w:rPr>
        <w:t xml:space="preserve"> </w:t>
      </w:r>
      <w:r w:rsidR="00FA235F" w:rsidRPr="007417D2">
        <w:rPr>
          <w:rFonts w:ascii="Book Antiqua" w:hAnsi="Book Antiqua"/>
          <w:sz w:val="24"/>
        </w:rPr>
        <w:t xml:space="preserve">is a class of anti-diabetic drugs which are used as mono or combined therapy to increase insulin secretion by enhancing pro-insulin level via voltage gated calcium channel but the actual mechanistic node is still under </w:t>
      </w:r>
      <w:proofErr w:type="gramStart"/>
      <w:r w:rsidR="00FA235F" w:rsidRPr="007417D2">
        <w:rPr>
          <w:rFonts w:ascii="Book Antiqua" w:hAnsi="Book Antiqua"/>
          <w:sz w:val="24"/>
        </w:rPr>
        <w:t>investigation</w:t>
      </w:r>
      <w:r w:rsidR="00FA235F" w:rsidRPr="007417D2">
        <w:rPr>
          <w:rFonts w:ascii="Book Antiqua" w:hAnsi="Book Antiqua"/>
          <w:noProof/>
          <w:sz w:val="24"/>
          <w:vertAlign w:val="superscript"/>
        </w:rPr>
        <w:t>[</w:t>
      </w:r>
      <w:proofErr w:type="gramEnd"/>
      <w:r w:rsidR="00FA235F" w:rsidRPr="007417D2">
        <w:rPr>
          <w:rFonts w:ascii="Book Antiqua" w:hAnsi="Book Antiqua"/>
          <w:noProof/>
          <w:sz w:val="24"/>
          <w:vertAlign w:val="superscript"/>
        </w:rPr>
        <w:t>230]</w:t>
      </w:r>
      <w:r w:rsidR="00FA235F" w:rsidRPr="007417D2">
        <w:rPr>
          <w:rFonts w:ascii="Book Antiqua" w:hAnsi="Book Antiqua"/>
          <w:sz w:val="24"/>
        </w:rPr>
        <w:t xml:space="preserve">. </w:t>
      </w:r>
      <w:proofErr w:type="gramStart"/>
      <w:r w:rsidR="00FA235F" w:rsidRPr="007417D2">
        <w:rPr>
          <w:rFonts w:ascii="Book Antiqua" w:hAnsi="Book Antiqua"/>
          <w:sz w:val="24"/>
        </w:rPr>
        <w:t>SUs limits liver glucose production and decreases</w:t>
      </w:r>
      <w:proofErr w:type="gramEnd"/>
      <w:r w:rsidR="00FA235F" w:rsidRPr="007417D2">
        <w:rPr>
          <w:rFonts w:ascii="Book Antiqua" w:hAnsi="Book Antiqua"/>
          <w:sz w:val="24"/>
        </w:rPr>
        <w:t xml:space="preserve"> insulin clearance by liver. Glipizide and Glyburide (glibenclamide) are the main SUs compounds which are investigated for memory and cognition in diabetic patients.</w:t>
      </w:r>
    </w:p>
    <w:p w:rsidR="00F70713" w:rsidRPr="00F70713" w:rsidRDefault="00F70713" w:rsidP="007417D2">
      <w:pPr>
        <w:spacing w:line="360" w:lineRule="auto"/>
        <w:rPr>
          <w:rFonts w:ascii="Book Antiqua" w:hAnsi="Book Antiqua"/>
          <w:b/>
          <w:i/>
          <w:sz w:val="24"/>
        </w:rPr>
      </w:pPr>
    </w:p>
    <w:p w:rsidR="00FA235F" w:rsidRPr="007417D2" w:rsidRDefault="00FA235F" w:rsidP="007417D2">
      <w:pPr>
        <w:spacing w:line="360" w:lineRule="auto"/>
        <w:rPr>
          <w:rFonts w:ascii="Book Antiqua" w:hAnsi="Book Antiqua"/>
          <w:b/>
          <w:i/>
          <w:sz w:val="24"/>
        </w:rPr>
      </w:pPr>
      <w:r w:rsidRPr="007417D2">
        <w:rPr>
          <w:rFonts w:ascii="Book Antiqua" w:hAnsi="Book Antiqua"/>
          <w:b/>
          <w:i/>
          <w:sz w:val="24"/>
        </w:rPr>
        <w:t>Experimental and clinical studies</w:t>
      </w:r>
    </w:p>
    <w:p w:rsidR="00FA235F" w:rsidRPr="007417D2" w:rsidRDefault="00FA235F" w:rsidP="007417D2">
      <w:pPr>
        <w:spacing w:line="360" w:lineRule="auto"/>
        <w:rPr>
          <w:rFonts w:ascii="Book Antiqua" w:hAnsi="Book Antiqua"/>
          <w:sz w:val="24"/>
        </w:rPr>
      </w:pPr>
      <w:r w:rsidRPr="007417D2">
        <w:rPr>
          <w:rFonts w:ascii="Book Antiqua" w:hAnsi="Book Antiqua"/>
          <w:sz w:val="24"/>
        </w:rPr>
        <w:t xml:space="preserve">In case of diabetes and AD, PI3K/mTOR is found to be aberrantly activated. Glyburide and glipizide are reported to have properties of mTOR </w:t>
      </w:r>
      <w:proofErr w:type="gramStart"/>
      <w:r w:rsidRPr="007417D2">
        <w:rPr>
          <w:rFonts w:ascii="Book Antiqua" w:hAnsi="Book Antiqua"/>
          <w:sz w:val="24"/>
        </w:rPr>
        <w:t>antagonist</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231]</w:t>
      </w:r>
      <w:r w:rsidRPr="007417D2">
        <w:rPr>
          <w:rFonts w:ascii="Book Antiqua" w:hAnsi="Book Antiqua"/>
          <w:sz w:val="24"/>
        </w:rPr>
        <w:t xml:space="preserve"> but their efficacy to recover AD patients is yet to be determined.</w:t>
      </w:r>
      <w:r w:rsidR="00D3592B">
        <w:rPr>
          <w:rFonts w:ascii="Book Antiqua" w:hAnsi="Book Antiqua"/>
          <w:sz w:val="24"/>
        </w:rPr>
        <w:t xml:space="preserve"> </w:t>
      </w:r>
      <w:r w:rsidRPr="007417D2">
        <w:rPr>
          <w:rFonts w:ascii="Book Antiqua" w:hAnsi="Book Antiqua"/>
          <w:sz w:val="24"/>
        </w:rPr>
        <w:t xml:space="preserve">Inflammosomes are involved in the </w:t>
      </w:r>
      <w:r w:rsidRPr="007417D2">
        <w:rPr>
          <w:rFonts w:ascii="Book Antiqua" w:hAnsi="Book Antiqua"/>
          <w:sz w:val="24"/>
        </w:rPr>
        <w:lastRenderedPageBreak/>
        <w:t xml:space="preserve">secretion of proinflammatory cytokines that results in inflammation and associates it to AD. Along with inhibiting mTOR pathway, gliburide is found to inhibit inflammosome and thus brain </w:t>
      </w:r>
      <w:proofErr w:type="gramStart"/>
      <w:r w:rsidRPr="007417D2">
        <w:rPr>
          <w:rFonts w:ascii="Book Antiqua" w:hAnsi="Book Antiqua"/>
          <w:sz w:val="24"/>
        </w:rPr>
        <w:t>inflammation</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232]</w:t>
      </w:r>
      <w:r w:rsidRPr="007417D2">
        <w:rPr>
          <w:rFonts w:ascii="Book Antiqua" w:hAnsi="Book Antiqua"/>
          <w:sz w:val="24"/>
        </w:rPr>
        <w:t xml:space="preserve">. Exalto </w:t>
      </w:r>
      <w:r w:rsidRPr="007417D2">
        <w:rPr>
          <w:rFonts w:ascii="Book Antiqua" w:hAnsi="Book Antiqua"/>
          <w:i/>
          <w:sz w:val="24"/>
        </w:rPr>
        <w:t xml:space="preserve">et </w:t>
      </w:r>
      <w:proofErr w:type="gramStart"/>
      <w:r w:rsidRPr="007417D2">
        <w:rPr>
          <w:rFonts w:ascii="Book Antiqua" w:hAnsi="Book Antiqua"/>
          <w:i/>
          <w:sz w:val="24"/>
        </w:rPr>
        <w:t>al</w:t>
      </w:r>
      <w:r w:rsidR="00CA575B" w:rsidRPr="007417D2">
        <w:rPr>
          <w:rFonts w:ascii="Book Antiqua" w:hAnsi="Book Antiqua"/>
          <w:noProof/>
          <w:sz w:val="24"/>
          <w:vertAlign w:val="superscript"/>
        </w:rPr>
        <w:t>[</w:t>
      </w:r>
      <w:proofErr w:type="gramEnd"/>
      <w:r w:rsidR="00CA575B" w:rsidRPr="007417D2">
        <w:rPr>
          <w:rFonts w:ascii="Book Antiqua" w:hAnsi="Book Antiqua"/>
          <w:noProof/>
          <w:sz w:val="24"/>
          <w:vertAlign w:val="superscript"/>
        </w:rPr>
        <w:t>230]</w:t>
      </w:r>
      <w:r w:rsidRPr="007417D2">
        <w:rPr>
          <w:rFonts w:ascii="Book Antiqua" w:hAnsi="Book Antiqua"/>
          <w:sz w:val="24"/>
        </w:rPr>
        <w:t xml:space="preserve"> reported that SUs treated T2D patients shows improved AD type dementia symptoms but the precise mechanism is still unknown.</w:t>
      </w:r>
    </w:p>
    <w:p w:rsidR="00FA235F" w:rsidRPr="007417D2" w:rsidRDefault="00FA235F" w:rsidP="00CA575B">
      <w:pPr>
        <w:spacing w:line="360" w:lineRule="auto"/>
        <w:ind w:firstLineChars="100" w:firstLine="240"/>
        <w:rPr>
          <w:rFonts w:ascii="Book Antiqua" w:hAnsi="Book Antiqua"/>
          <w:sz w:val="24"/>
        </w:rPr>
      </w:pPr>
      <w:r w:rsidRPr="007417D2">
        <w:rPr>
          <w:rFonts w:ascii="Book Antiqua" w:hAnsi="Book Antiqua"/>
          <w:sz w:val="24"/>
        </w:rPr>
        <w:t xml:space="preserve">DM patients treated with glipizide are reported to have better learning </w:t>
      </w:r>
      <w:proofErr w:type="gramStart"/>
      <w:r w:rsidRPr="007417D2">
        <w:rPr>
          <w:rFonts w:ascii="Book Antiqua" w:hAnsi="Book Antiqua"/>
          <w:sz w:val="24"/>
        </w:rPr>
        <w:t>efficiency</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233]</w:t>
      </w:r>
      <w:r w:rsidRPr="007417D2">
        <w:rPr>
          <w:rFonts w:ascii="Book Antiqua" w:hAnsi="Book Antiqua"/>
          <w:sz w:val="24"/>
        </w:rPr>
        <w:t xml:space="preserve">. Some recent studies show that there is no alteration in the development of AD in population using SUs in long </w:t>
      </w:r>
      <w:proofErr w:type="gramStart"/>
      <w:r w:rsidRPr="007417D2">
        <w:rPr>
          <w:rFonts w:ascii="Book Antiqua" w:hAnsi="Book Antiqua"/>
          <w:sz w:val="24"/>
        </w:rPr>
        <w:t>term</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234]</w:t>
      </w:r>
      <w:r w:rsidRPr="007417D2">
        <w:rPr>
          <w:rFonts w:ascii="Book Antiqua" w:hAnsi="Book Antiqua"/>
          <w:sz w:val="24"/>
        </w:rPr>
        <w:t>. Metformin and SUs in combination are reported to reduce the risk of dementia upto 35</w:t>
      </w:r>
      <w:r w:rsidR="00CA575B">
        <w:rPr>
          <w:rFonts w:ascii="Book Antiqua" w:hAnsi="Book Antiqua"/>
          <w:sz w:val="24"/>
        </w:rPr>
        <w:t xml:space="preserve">% in a prospective cohort </w:t>
      </w:r>
      <w:proofErr w:type="gramStart"/>
      <w:r w:rsidR="00CA575B">
        <w:rPr>
          <w:rFonts w:ascii="Book Antiqua" w:hAnsi="Book Antiqua"/>
          <w:sz w:val="24"/>
        </w:rPr>
        <w:t>study</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228]</w:t>
      </w:r>
      <w:r w:rsidRPr="007417D2">
        <w:rPr>
          <w:rFonts w:ascii="Book Antiqua" w:hAnsi="Book Antiqua"/>
          <w:sz w:val="24"/>
        </w:rPr>
        <w:t>.</w:t>
      </w:r>
    </w:p>
    <w:p w:rsidR="00280431" w:rsidRPr="007417D2" w:rsidRDefault="00280431" w:rsidP="007417D2">
      <w:pPr>
        <w:spacing w:line="360" w:lineRule="auto"/>
        <w:rPr>
          <w:rFonts w:ascii="Book Antiqua" w:hAnsi="Book Antiqua"/>
          <w:sz w:val="24"/>
        </w:rPr>
      </w:pPr>
    </w:p>
    <w:p w:rsidR="00FA235F" w:rsidRPr="007417D2" w:rsidRDefault="00FA235F" w:rsidP="007417D2">
      <w:pPr>
        <w:spacing w:line="360" w:lineRule="auto"/>
        <w:rPr>
          <w:rFonts w:ascii="Book Antiqua" w:hAnsi="Book Antiqua"/>
          <w:b/>
          <w:i/>
          <w:sz w:val="24"/>
        </w:rPr>
      </w:pPr>
      <w:r w:rsidRPr="007417D2">
        <w:rPr>
          <w:rFonts w:ascii="Book Antiqua" w:hAnsi="Book Antiqua"/>
          <w:b/>
          <w:i/>
          <w:sz w:val="24"/>
        </w:rPr>
        <w:t>Intranasal insulin</w:t>
      </w:r>
    </w:p>
    <w:p w:rsidR="00FA235F" w:rsidRDefault="00FA235F" w:rsidP="007417D2">
      <w:pPr>
        <w:spacing w:line="360" w:lineRule="auto"/>
        <w:rPr>
          <w:rFonts w:ascii="Book Antiqua" w:hAnsi="Book Antiqua"/>
          <w:sz w:val="24"/>
        </w:rPr>
      </w:pPr>
      <w:r w:rsidRPr="007417D2">
        <w:rPr>
          <w:rFonts w:ascii="Book Antiqua" w:hAnsi="Book Antiqua"/>
          <w:sz w:val="24"/>
        </w:rPr>
        <w:t xml:space="preserve">Intranasal administration of insulin is reported to attenuate reduced insulin signaling in </w:t>
      </w:r>
      <w:proofErr w:type="gramStart"/>
      <w:r w:rsidRPr="007417D2">
        <w:rPr>
          <w:rFonts w:ascii="Book Antiqua" w:hAnsi="Book Antiqua"/>
          <w:sz w:val="24"/>
        </w:rPr>
        <w:t>AD</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235]</w:t>
      </w:r>
      <w:r w:rsidRPr="007417D2">
        <w:rPr>
          <w:rFonts w:ascii="Book Antiqua" w:hAnsi="Book Antiqua"/>
          <w:sz w:val="24"/>
        </w:rPr>
        <w:t>. Importantly, intranasal insulin does not adversely affect blood insulin or glucose levels.</w:t>
      </w:r>
    </w:p>
    <w:p w:rsidR="00CA575B" w:rsidRPr="007417D2" w:rsidRDefault="00CA575B" w:rsidP="007417D2">
      <w:pPr>
        <w:spacing w:line="360" w:lineRule="auto"/>
        <w:rPr>
          <w:rFonts w:ascii="Book Antiqua" w:hAnsi="Book Antiqua"/>
          <w:sz w:val="24"/>
        </w:rPr>
      </w:pPr>
    </w:p>
    <w:p w:rsidR="00FA235F" w:rsidRPr="007417D2" w:rsidRDefault="00FA235F" w:rsidP="007417D2">
      <w:pPr>
        <w:spacing w:line="360" w:lineRule="auto"/>
        <w:rPr>
          <w:rFonts w:ascii="Book Antiqua" w:hAnsi="Book Antiqua"/>
          <w:b/>
          <w:i/>
          <w:sz w:val="24"/>
        </w:rPr>
      </w:pPr>
      <w:r w:rsidRPr="007417D2">
        <w:rPr>
          <w:rFonts w:ascii="Book Antiqua" w:hAnsi="Book Antiqua"/>
          <w:b/>
          <w:i/>
          <w:sz w:val="24"/>
        </w:rPr>
        <w:t xml:space="preserve">Experimental and clinical studies </w:t>
      </w:r>
    </w:p>
    <w:p w:rsidR="00280431" w:rsidRPr="007417D2" w:rsidRDefault="00FA235F" w:rsidP="007417D2">
      <w:pPr>
        <w:spacing w:line="360" w:lineRule="auto"/>
        <w:rPr>
          <w:rFonts w:ascii="Book Antiqua" w:hAnsi="Book Antiqua"/>
          <w:sz w:val="24"/>
        </w:rPr>
      </w:pPr>
      <w:r w:rsidRPr="007417D2">
        <w:rPr>
          <w:rFonts w:ascii="Book Antiqua" w:hAnsi="Book Antiqua"/>
          <w:sz w:val="24"/>
        </w:rPr>
        <w:t>It is evident that AD patients have low insulin level and brain insulin resistant state which leads to impaired energy metabolism of neurons and make them vulnerable for survival.</w:t>
      </w:r>
      <w:r w:rsidR="00D3592B">
        <w:rPr>
          <w:rFonts w:ascii="Book Antiqua" w:hAnsi="Book Antiqua"/>
          <w:sz w:val="24"/>
        </w:rPr>
        <w:t xml:space="preserve"> </w:t>
      </w:r>
      <w:r w:rsidRPr="007417D2">
        <w:rPr>
          <w:rFonts w:ascii="Book Antiqua" w:hAnsi="Book Antiqua"/>
          <w:sz w:val="24"/>
        </w:rPr>
        <w:t xml:space="preserve">Insulin has been reported with its anti-amyloidogenic effect in human neuronal cell </w:t>
      </w:r>
      <w:proofErr w:type="gramStart"/>
      <w:r w:rsidRPr="007417D2">
        <w:rPr>
          <w:rFonts w:ascii="Book Antiqua" w:hAnsi="Book Antiqua"/>
          <w:sz w:val="24"/>
        </w:rPr>
        <w:t>lines</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236]</w:t>
      </w:r>
      <w:r w:rsidRPr="007417D2">
        <w:rPr>
          <w:rFonts w:ascii="Book Antiqua" w:hAnsi="Book Antiqua"/>
          <w:sz w:val="24"/>
        </w:rPr>
        <w:t xml:space="preserve">. Some reports have shown that Aβ induced neuronal </w:t>
      </w:r>
      <w:r w:rsidR="009325BB" w:rsidRPr="007417D2">
        <w:rPr>
          <w:rFonts w:ascii="Book Antiqua" w:hAnsi="Book Antiqua"/>
          <w:sz w:val="24"/>
        </w:rPr>
        <w:t>IR</w:t>
      </w:r>
      <w:r w:rsidRPr="007417D2">
        <w:rPr>
          <w:rFonts w:ascii="Book Antiqua" w:hAnsi="Book Antiqua"/>
          <w:sz w:val="24"/>
        </w:rPr>
        <w:t xml:space="preserve"> is attenuated by insulin </w:t>
      </w:r>
      <w:proofErr w:type="gramStart"/>
      <w:r w:rsidRPr="007417D2">
        <w:rPr>
          <w:rFonts w:ascii="Book Antiqua" w:hAnsi="Book Antiqua"/>
          <w:sz w:val="24"/>
        </w:rPr>
        <w:t>treatment</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237]</w:t>
      </w:r>
      <w:r w:rsidRPr="007417D2">
        <w:rPr>
          <w:rFonts w:ascii="Book Antiqua" w:hAnsi="Book Antiqua"/>
          <w:sz w:val="24"/>
        </w:rPr>
        <w:t xml:space="preserve">. </w:t>
      </w:r>
    </w:p>
    <w:p w:rsidR="00FA235F" w:rsidRDefault="00FA235F" w:rsidP="002C13CA">
      <w:pPr>
        <w:spacing w:line="360" w:lineRule="auto"/>
        <w:ind w:firstLineChars="100" w:firstLine="240"/>
        <w:rPr>
          <w:rFonts w:ascii="Book Antiqua" w:hAnsi="Book Antiqua"/>
          <w:sz w:val="24"/>
        </w:rPr>
      </w:pPr>
      <w:r w:rsidRPr="007417D2">
        <w:rPr>
          <w:rFonts w:ascii="Book Antiqua" w:hAnsi="Book Antiqua"/>
          <w:sz w:val="24"/>
        </w:rPr>
        <w:t xml:space="preserve">In a study it is found that 20 IU insulin twice a day over a period of 21 d in early AD or MCI subject’s helps to retain verbal information more </w:t>
      </w:r>
      <w:proofErr w:type="gramStart"/>
      <w:r w:rsidRPr="007417D2">
        <w:rPr>
          <w:rFonts w:ascii="Book Antiqua" w:hAnsi="Book Antiqua"/>
          <w:sz w:val="24"/>
        </w:rPr>
        <w:t>effectively</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30</w:t>
      </w:r>
      <w:r w:rsidR="002C13CA">
        <w:rPr>
          <w:rFonts w:ascii="Book Antiqua" w:hAnsi="Book Antiqua" w:hint="eastAsia"/>
          <w:sz w:val="24"/>
          <w:vertAlign w:val="superscript"/>
        </w:rPr>
        <w:t>]</w:t>
      </w:r>
      <w:r w:rsidRPr="007417D2">
        <w:rPr>
          <w:rFonts w:ascii="Book Antiqua" w:hAnsi="Book Antiqua"/>
          <w:sz w:val="24"/>
        </w:rPr>
        <w:t xml:space="preserve">. In 2006 Reger </w:t>
      </w:r>
      <w:r w:rsidRPr="007417D2">
        <w:rPr>
          <w:rFonts w:ascii="Book Antiqua" w:hAnsi="Book Antiqua"/>
          <w:i/>
          <w:sz w:val="24"/>
        </w:rPr>
        <w:t xml:space="preserve">et </w:t>
      </w:r>
      <w:proofErr w:type="gramStart"/>
      <w:r w:rsidRPr="007417D2">
        <w:rPr>
          <w:rFonts w:ascii="Book Antiqua" w:hAnsi="Book Antiqua"/>
          <w:i/>
          <w:sz w:val="24"/>
        </w:rPr>
        <w:t>al</w:t>
      </w:r>
      <w:r w:rsidR="002C13CA" w:rsidRPr="007417D2">
        <w:rPr>
          <w:rFonts w:ascii="Book Antiqua" w:hAnsi="Book Antiqua"/>
          <w:noProof/>
          <w:sz w:val="24"/>
          <w:vertAlign w:val="superscript"/>
        </w:rPr>
        <w:t>[</w:t>
      </w:r>
      <w:proofErr w:type="gramEnd"/>
      <w:r w:rsidR="002C13CA" w:rsidRPr="007417D2">
        <w:rPr>
          <w:rFonts w:ascii="Book Antiqua" w:hAnsi="Book Antiqua"/>
          <w:noProof/>
          <w:sz w:val="24"/>
          <w:vertAlign w:val="superscript"/>
        </w:rPr>
        <w:t>30</w:t>
      </w:r>
      <w:r w:rsidR="002C13CA">
        <w:rPr>
          <w:rFonts w:ascii="Book Antiqua" w:hAnsi="Book Antiqua" w:hint="eastAsia"/>
          <w:sz w:val="24"/>
          <w:vertAlign w:val="superscript"/>
        </w:rPr>
        <w:t>]</w:t>
      </w:r>
      <w:r w:rsidRPr="007417D2">
        <w:rPr>
          <w:rFonts w:ascii="Book Antiqua" w:hAnsi="Book Antiqua"/>
          <w:i/>
          <w:sz w:val="24"/>
        </w:rPr>
        <w:t xml:space="preserve"> </w:t>
      </w:r>
      <w:r w:rsidRPr="007417D2">
        <w:rPr>
          <w:rFonts w:ascii="Book Antiqua" w:hAnsi="Book Antiqua"/>
          <w:sz w:val="24"/>
        </w:rPr>
        <w:t>showed that 10 IU intranasal insulin improves cognition in APOE4 AD/MCI subjects.</w:t>
      </w:r>
    </w:p>
    <w:p w:rsidR="002C13CA" w:rsidRPr="007417D2" w:rsidRDefault="002C13CA" w:rsidP="002C13CA">
      <w:pPr>
        <w:spacing w:line="360" w:lineRule="auto"/>
        <w:ind w:firstLineChars="100" w:firstLine="240"/>
        <w:rPr>
          <w:rFonts w:ascii="Book Antiqua" w:hAnsi="Book Antiqua"/>
          <w:sz w:val="24"/>
        </w:rPr>
      </w:pPr>
    </w:p>
    <w:p w:rsidR="00FA235F" w:rsidRPr="007417D2" w:rsidRDefault="002C13CA" w:rsidP="007417D2">
      <w:pPr>
        <w:spacing w:line="360" w:lineRule="auto"/>
        <w:rPr>
          <w:rFonts w:ascii="Book Antiqua" w:hAnsi="Book Antiqua"/>
          <w:b/>
          <w:i/>
          <w:sz w:val="24"/>
        </w:rPr>
      </w:pPr>
      <w:r>
        <w:rPr>
          <w:rFonts w:ascii="Book Antiqua" w:hAnsi="Book Antiqua"/>
          <w:b/>
          <w:i/>
          <w:sz w:val="24"/>
        </w:rPr>
        <w:t>TZDs</w:t>
      </w:r>
    </w:p>
    <w:p w:rsidR="00FA235F" w:rsidRDefault="00FA235F" w:rsidP="007417D2">
      <w:pPr>
        <w:spacing w:line="360" w:lineRule="auto"/>
        <w:rPr>
          <w:rFonts w:ascii="Book Antiqua" w:hAnsi="Book Antiqua"/>
          <w:sz w:val="24"/>
        </w:rPr>
      </w:pPr>
      <w:r w:rsidRPr="007417D2">
        <w:rPr>
          <w:rFonts w:ascii="Book Antiqua" w:hAnsi="Book Antiqua"/>
          <w:sz w:val="24"/>
        </w:rPr>
        <w:t xml:space="preserve">TZDs (also represented as glitazones) are a potential class of drug used for T2D which includes rosiglitazone (avandia), pioglitazone (actos) and troglitazone (rezulin). Mechanism of this group lies in activation of peroxisome proliferator-activated </w:t>
      </w:r>
      <w:r w:rsidRPr="007417D2">
        <w:rPr>
          <w:rFonts w:ascii="Book Antiqua" w:hAnsi="Book Antiqua"/>
          <w:sz w:val="24"/>
        </w:rPr>
        <w:lastRenderedPageBreak/>
        <w:t xml:space="preserve">receptors (PPAR) by mimicking as a potential agonist of it and involved in transcription of lipid and glucose metabolism </w:t>
      </w:r>
      <w:proofErr w:type="gramStart"/>
      <w:r w:rsidRPr="007417D2">
        <w:rPr>
          <w:rFonts w:ascii="Book Antiqua" w:hAnsi="Book Antiqua"/>
          <w:sz w:val="24"/>
        </w:rPr>
        <w:t>genes</w:t>
      </w:r>
      <w:r w:rsidR="002C13CA">
        <w:rPr>
          <w:rFonts w:ascii="Book Antiqua" w:hAnsi="Book Antiqua"/>
          <w:noProof/>
          <w:sz w:val="24"/>
          <w:vertAlign w:val="superscript"/>
        </w:rPr>
        <w:t>[</w:t>
      </w:r>
      <w:proofErr w:type="gramEnd"/>
      <w:r w:rsidR="002C13CA">
        <w:rPr>
          <w:rFonts w:ascii="Book Antiqua" w:hAnsi="Book Antiqua"/>
          <w:noProof/>
          <w:sz w:val="24"/>
          <w:vertAlign w:val="superscript"/>
        </w:rPr>
        <w:t>238,</w:t>
      </w:r>
      <w:r w:rsidRPr="007417D2">
        <w:rPr>
          <w:rFonts w:ascii="Book Antiqua" w:hAnsi="Book Antiqua"/>
          <w:noProof/>
          <w:sz w:val="24"/>
          <w:vertAlign w:val="superscript"/>
        </w:rPr>
        <w:t>239]</w:t>
      </w:r>
      <w:r w:rsidRPr="007417D2">
        <w:rPr>
          <w:rFonts w:ascii="Book Antiqua" w:hAnsi="Book Antiqua"/>
          <w:sz w:val="24"/>
        </w:rPr>
        <w:t xml:space="preserve">. Since TZDs are anti-amyloidogenic and anti-inflammatory compounds with insulin sensitizing role, these delay </w:t>
      </w:r>
      <w:proofErr w:type="gramStart"/>
      <w:r w:rsidRPr="007417D2">
        <w:rPr>
          <w:rFonts w:ascii="Book Antiqua" w:hAnsi="Book Antiqua"/>
          <w:sz w:val="24"/>
        </w:rPr>
        <w:t>neurodegeneration</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240]</w:t>
      </w:r>
      <w:r w:rsidRPr="007417D2">
        <w:rPr>
          <w:rFonts w:ascii="Book Antiqua" w:hAnsi="Book Antiqua"/>
          <w:sz w:val="24"/>
        </w:rPr>
        <w:t xml:space="preserve">. It also improves glycemic control in diabetic patients by inhibiting hepatic gluconeogenesis. Moreover, TZDs (mainly Troglitazone) are supposed to have their involvement in rescuing memory loss and decreasing plasma Aβ 40 and Aβ 42 </w:t>
      </w:r>
      <w:proofErr w:type="gramStart"/>
      <w:r w:rsidRPr="007417D2">
        <w:rPr>
          <w:rFonts w:ascii="Book Antiqua" w:hAnsi="Book Antiqua"/>
          <w:sz w:val="24"/>
        </w:rPr>
        <w:t>levels</w:t>
      </w:r>
      <w:r w:rsidR="002C13CA">
        <w:rPr>
          <w:rFonts w:ascii="Book Antiqua" w:hAnsi="Book Antiqua"/>
          <w:noProof/>
          <w:sz w:val="24"/>
          <w:vertAlign w:val="superscript"/>
        </w:rPr>
        <w:t>[</w:t>
      </w:r>
      <w:proofErr w:type="gramEnd"/>
      <w:r w:rsidR="002C13CA">
        <w:rPr>
          <w:rFonts w:ascii="Book Antiqua" w:hAnsi="Book Antiqua"/>
          <w:noProof/>
          <w:sz w:val="24"/>
          <w:vertAlign w:val="superscript"/>
        </w:rPr>
        <w:t>241,</w:t>
      </w:r>
      <w:r w:rsidRPr="007417D2">
        <w:rPr>
          <w:rFonts w:ascii="Book Antiqua" w:hAnsi="Book Antiqua"/>
          <w:noProof/>
          <w:sz w:val="24"/>
          <w:vertAlign w:val="superscript"/>
        </w:rPr>
        <w:t>242]</w:t>
      </w:r>
      <w:r w:rsidRPr="007417D2">
        <w:rPr>
          <w:rFonts w:ascii="Book Antiqua" w:hAnsi="Book Antiqua"/>
          <w:sz w:val="24"/>
        </w:rPr>
        <w:t xml:space="preserve"> but again it needs to be investigated further. </w:t>
      </w:r>
    </w:p>
    <w:p w:rsidR="002C13CA" w:rsidRPr="007417D2" w:rsidRDefault="002C13CA" w:rsidP="007417D2">
      <w:pPr>
        <w:spacing w:line="360" w:lineRule="auto"/>
        <w:rPr>
          <w:rFonts w:ascii="Book Antiqua" w:hAnsi="Book Antiqua"/>
          <w:sz w:val="24"/>
        </w:rPr>
      </w:pPr>
    </w:p>
    <w:p w:rsidR="00FA235F" w:rsidRPr="007417D2" w:rsidRDefault="00FA235F" w:rsidP="007417D2">
      <w:pPr>
        <w:spacing w:line="360" w:lineRule="auto"/>
        <w:rPr>
          <w:rFonts w:ascii="Book Antiqua" w:hAnsi="Book Antiqua"/>
          <w:b/>
          <w:i/>
          <w:sz w:val="24"/>
        </w:rPr>
      </w:pPr>
      <w:r w:rsidRPr="007417D2">
        <w:rPr>
          <w:rFonts w:ascii="Book Antiqua" w:hAnsi="Book Antiqua"/>
          <w:b/>
          <w:i/>
          <w:sz w:val="24"/>
        </w:rPr>
        <w:t>Experimental and clinical studies</w:t>
      </w:r>
    </w:p>
    <w:p w:rsidR="00280431" w:rsidRPr="007417D2" w:rsidRDefault="00FA235F" w:rsidP="007417D2">
      <w:pPr>
        <w:spacing w:line="360" w:lineRule="auto"/>
        <w:rPr>
          <w:rFonts w:ascii="Book Antiqua" w:hAnsi="Book Antiqua"/>
          <w:sz w:val="24"/>
        </w:rPr>
      </w:pPr>
      <w:r w:rsidRPr="007417D2">
        <w:rPr>
          <w:rFonts w:ascii="Book Antiqua" w:hAnsi="Book Antiqua"/>
          <w:sz w:val="24"/>
        </w:rPr>
        <w:t xml:space="preserve">Rosiglitazone is reported to attenuate neuronal </w:t>
      </w:r>
      <w:r w:rsidR="009325BB" w:rsidRPr="007417D2">
        <w:rPr>
          <w:rFonts w:ascii="Book Antiqua" w:hAnsi="Book Antiqua"/>
          <w:sz w:val="24"/>
        </w:rPr>
        <w:t>IR</w:t>
      </w:r>
      <w:r w:rsidRPr="007417D2">
        <w:rPr>
          <w:rFonts w:ascii="Book Antiqua" w:hAnsi="Book Antiqua"/>
          <w:sz w:val="24"/>
        </w:rPr>
        <w:t xml:space="preserve"> induced by Aβ </w:t>
      </w:r>
      <w:proofErr w:type="gramStart"/>
      <w:r w:rsidRPr="007417D2">
        <w:rPr>
          <w:rFonts w:ascii="Book Antiqua" w:hAnsi="Book Antiqua"/>
          <w:sz w:val="24"/>
        </w:rPr>
        <w:t>oligomers</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237]</w:t>
      </w:r>
      <w:r w:rsidRPr="007417D2">
        <w:rPr>
          <w:rFonts w:ascii="Book Antiqua" w:hAnsi="Book Antiqua"/>
          <w:sz w:val="24"/>
        </w:rPr>
        <w:t xml:space="preserve">. Pioglitazone is found to improve cognitive performance in a rodent dementia model induced by intracerebroventricular (ICV) injection of </w:t>
      </w:r>
      <w:proofErr w:type="gramStart"/>
      <w:r w:rsidRPr="007417D2">
        <w:rPr>
          <w:rFonts w:ascii="Book Antiqua" w:hAnsi="Book Antiqua"/>
          <w:sz w:val="24"/>
        </w:rPr>
        <w:t>streptozotocin</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243]</w:t>
      </w:r>
      <w:r w:rsidRPr="007417D2">
        <w:rPr>
          <w:rFonts w:ascii="Book Antiqua" w:hAnsi="Book Antiqua"/>
          <w:sz w:val="24"/>
        </w:rPr>
        <w:t>.</w:t>
      </w:r>
    </w:p>
    <w:p w:rsidR="00FA235F" w:rsidRPr="007417D2" w:rsidRDefault="00FA235F" w:rsidP="002C13CA">
      <w:pPr>
        <w:spacing w:line="360" w:lineRule="auto"/>
        <w:ind w:firstLineChars="100" w:firstLine="240"/>
        <w:rPr>
          <w:rFonts w:ascii="Book Antiqua" w:hAnsi="Book Antiqua"/>
          <w:noProof/>
          <w:sz w:val="24"/>
          <w:vertAlign w:val="superscript"/>
        </w:rPr>
      </w:pPr>
      <w:r w:rsidRPr="007417D2">
        <w:rPr>
          <w:rFonts w:ascii="Book Antiqua" w:hAnsi="Book Antiqua"/>
          <w:sz w:val="24"/>
        </w:rPr>
        <w:t>In a randomized trial rosiglitazone (8 mg) is reported to improve cognitive function in mild to moderate</w:t>
      </w:r>
      <w:r w:rsidR="002C13CA">
        <w:rPr>
          <w:rFonts w:ascii="Book Antiqua" w:hAnsi="Book Antiqua"/>
          <w:sz w:val="24"/>
        </w:rPr>
        <w:t xml:space="preserve"> AD patients (non APOE4 </w:t>
      </w:r>
      <w:proofErr w:type="gramStart"/>
      <w:r w:rsidR="002C13CA">
        <w:rPr>
          <w:rFonts w:ascii="Book Antiqua" w:hAnsi="Book Antiqua"/>
          <w:sz w:val="24"/>
        </w:rPr>
        <w:t>carrier</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244]</w:t>
      </w:r>
      <w:r w:rsidRPr="007417D2">
        <w:rPr>
          <w:rFonts w:ascii="Book Antiqua" w:hAnsi="Book Antiqua"/>
          <w:sz w:val="24"/>
        </w:rPr>
        <w:t xml:space="preserve">. In contrast, a recent phase III trial of the same drug has failed to show similar effects in AD </w:t>
      </w:r>
      <w:proofErr w:type="gramStart"/>
      <w:r w:rsidRPr="007417D2">
        <w:rPr>
          <w:rFonts w:ascii="Book Antiqua" w:hAnsi="Book Antiqua"/>
          <w:sz w:val="24"/>
        </w:rPr>
        <w:t>subjects</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245]</w:t>
      </w:r>
      <w:r w:rsidRPr="007417D2">
        <w:rPr>
          <w:rFonts w:ascii="Book Antiqua" w:hAnsi="Book Antiqua"/>
          <w:sz w:val="24"/>
        </w:rPr>
        <w:t xml:space="preserve">. Moreover, long term use of TZDs, in general has no effect on risk of AD </w:t>
      </w:r>
      <w:proofErr w:type="gramStart"/>
      <w:r w:rsidRPr="007417D2">
        <w:rPr>
          <w:rFonts w:ascii="Book Antiqua" w:hAnsi="Book Antiqua"/>
          <w:sz w:val="24"/>
        </w:rPr>
        <w:t>development</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234]</w:t>
      </w:r>
    </w:p>
    <w:p w:rsidR="00280431" w:rsidRPr="007417D2" w:rsidRDefault="00280431" w:rsidP="007417D2">
      <w:pPr>
        <w:spacing w:line="360" w:lineRule="auto"/>
        <w:rPr>
          <w:rFonts w:ascii="Book Antiqua" w:hAnsi="Book Antiqua"/>
          <w:sz w:val="24"/>
        </w:rPr>
      </w:pPr>
    </w:p>
    <w:p w:rsidR="00FA235F" w:rsidRPr="007417D2" w:rsidRDefault="00FA235F" w:rsidP="007417D2">
      <w:pPr>
        <w:spacing w:line="360" w:lineRule="auto"/>
        <w:rPr>
          <w:rFonts w:ascii="Book Antiqua" w:hAnsi="Book Antiqua"/>
          <w:b/>
          <w:i/>
          <w:sz w:val="24"/>
        </w:rPr>
      </w:pPr>
      <w:r w:rsidRPr="007417D2">
        <w:rPr>
          <w:rFonts w:ascii="Book Antiqua" w:hAnsi="Book Antiqua"/>
          <w:b/>
          <w:i/>
          <w:sz w:val="24"/>
        </w:rPr>
        <w:t xml:space="preserve">Glucagon like peptide 1 </w:t>
      </w:r>
    </w:p>
    <w:p w:rsidR="00FA235F" w:rsidRDefault="002C13CA" w:rsidP="007417D2">
      <w:pPr>
        <w:spacing w:line="360" w:lineRule="auto"/>
        <w:rPr>
          <w:rFonts w:ascii="Book Antiqua" w:hAnsi="Book Antiqua"/>
          <w:sz w:val="24"/>
        </w:rPr>
      </w:pPr>
      <w:r w:rsidRPr="002C13CA">
        <w:rPr>
          <w:rFonts w:ascii="Book Antiqua" w:hAnsi="Book Antiqua"/>
          <w:sz w:val="24"/>
        </w:rPr>
        <w:t>Glucagon like peptide 1 (Glp1)</w:t>
      </w:r>
      <w:r>
        <w:rPr>
          <w:rFonts w:ascii="Book Antiqua" w:hAnsi="Book Antiqua" w:hint="eastAsia"/>
          <w:sz w:val="24"/>
        </w:rPr>
        <w:t xml:space="preserve"> </w:t>
      </w:r>
      <w:r w:rsidR="00FA235F" w:rsidRPr="007417D2">
        <w:rPr>
          <w:rFonts w:ascii="Book Antiqua" w:hAnsi="Book Antiqua"/>
          <w:sz w:val="24"/>
        </w:rPr>
        <w:t>analogs are “incretin mimetics”, used to treat T2D. Exenatide, a 39 amino acid long peptide is analogous to human GLP1 which stimulates insulin secretion in a glucose dependent fashion. In brain these analogues bind tor GLP receptors and mediate various functions like suppression of glucagon production, slow down gastric emptying, increase satiety and reduce food intake with lower risk of hypoglycemia.</w:t>
      </w:r>
    </w:p>
    <w:p w:rsidR="000A5F6A" w:rsidRPr="007417D2" w:rsidRDefault="000A5F6A" w:rsidP="007417D2">
      <w:pPr>
        <w:spacing w:line="360" w:lineRule="auto"/>
        <w:rPr>
          <w:rFonts w:ascii="Book Antiqua" w:hAnsi="Book Antiqua"/>
          <w:sz w:val="24"/>
        </w:rPr>
      </w:pPr>
    </w:p>
    <w:p w:rsidR="00FA235F" w:rsidRPr="007417D2" w:rsidRDefault="00FA235F" w:rsidP="007417D2">
      <w:pPr>
        <w:spacing w:line="360" w:lineRule="auto"/>
        <w:rPr>
          <w:rFonts w:ascii="Book Antiqua" w:hAnsi="Book Antiqua"/>
          <w:b/>
          <w:i/>
          <w:sz w:val="24"/>
        </w:rPr>
      </w:pPr>
      <w:r w:rsidRPr="007417D2">
        <w:rPr>
          <w:rFonts w:ascii="Book Antiqua" w:hAnsi="Book Antiqua"/>
          <w:b/>
          <w:i/>
          <w:sz w:val="24"/>
        </w:rPr>
        <w:t>Experimental and clinical studies</w:t>
      </w:r>
    </w:p>
    <w:p w:rsidR="00FA235F" w:rsidRPr="007417D2" w:rsidRDefault="00FA235F" w:rsidP="007417D2">
      <w:pPr>
        <w:spacing w:line="360" w:lineRule="auto"/>
        <w:rPr>
          <w:rFonts w:ascii="Book Antiqua" w:hAnsi="Book Antiqua"/>
          <w:sz w:val="24"/>
        </w:rPr>
      </w:pPr>
      <w:r w:rsidRPr="007417D2">
        <w:rPr>
          <w:rFonts w:ascii="Book Antiqua" w:hAnsi="Book Antiqua"/>
          <w:sz w:val="24"/>
        </w:rPr>
        <w:t xml:space="preserve">In an animal study, GLP1 is reported to protect neurons from oxidative stress with reduced apoptosis, plaque formation and inflammatory response. Moreover, it strengthens synaptic plasticity in AD mouse brain </w:t>
      </w:r>
      <w:proofErr w:type="gramStart"/>
      <w:r w:rsidRPr="007417D2">
        <w:rPr>
          <w:rFonts w:ascii="Book Antiqua" w:hAnsi="Book Antiqua"/>
          <w:sz w:val="24"/>
        </w:rPr>
        <w:t>l</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246]</w:t>
      </w:r>
      <w:r w:rsidRPr="007417D2">
        <w:rPr>
          <w:rFonts w:ascii="Book Antiqua" w:hAnsi="Book Antiqua"/>
          <w:sz w:val="24"/>
        </w:rPr>
        <w:t xml:space="preserve">. It is shown to improve spatial memory in transgenic AD mice </w:t>
      </w:r>
      <w:proofErr w:type="gramStart"/>
      <w:r w:rsidRPr="007417D2">
        <w:rPr>
          <w:rFonts w:ascii="Book Antiqua" w:hAnsi="Book Antiqua"/>
          <w:sz w:val="24"/>
        </w:rPr>
        <w:t>model</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247]</w:t>
      </w:r>
      <w:r w:rsidRPr="007417D2">
        <w:rPr>
          <w:rFonts w:ascii="Book Antiqua" w:hAnsi="Book Antiqua"/>
          <w:sz w:val="24"/>
        </w:rPr>
        <w:t xml:space="preserve">. Liraglutide and lixisenatide are GLP1 </w:t>
      </w:r>
      <w:r w:rsidRPr="007417D2">
        <w:rPr>
          <w:rFonts w:ascii="Book Antiqua" w:hAnsi="Book Antiqua"/>
          <w:sz w:val="24"/>
        </w:rPr>
        <w:lastRenderedPageBreak/>
        <w:t xml:space="preserve">receptor agonists which are reported to activate cAMP in the brain and induce </w:t>
      </w:r>
      <w:proofErr w:type="gramStart"/>
      <w:r w:rsidRPr="007417D2">
        <w:rPr>
          <w:rFonts w:ascii="Book Antiqua" w:hAnsi="Book Antiqua"/>
          <w:sz w:val="24"/>
        </w:rPr>
        <w:t>neurogenesis</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248]</w:t>
      </w:r>
      <w:r w:rsidRPr="007417D2">
        <w:rPr>
          <w:rFonts w:ascii="Book Antiqua" w:hAnsi="Book Antiqua"/>
          <w:sz w:val="24"/>
        </w:rPr>
        <w:t xml:space="preserve">. In addition, liraglutide attenuates memory impairments in a mouse model of </w:t>
      </w:r>
      <w:proofErr w:type="gramStart"/>
      <w:r w:rsidRPr="007417D2">
        <w:rPr>
          <w:rFonts w:ascii="Book Antiqua" w:hAnsi="Book Antiqua"/>
          <w:sz w:val="24"/>
        </w:rPr>
        <w:t>AD</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249]</w:t>
      </w:r>
      <w:r w:rsidRPr="007417D2">
        <w:rPr>
          <w:rFonts w:ascii="Book Antiqua" w:hAnsi="Book Antiqua"/>
          <w:sz w:val="24"/>
        </w:rPr>
        <w:t xml:space="preserve">. Subcutaneous administration of liraglutide is reported to restore both peripheral and brain insulin sensitivity and ameliorates tau hyperphosphorylation in rat model of </w:t>
      </w:r>
      <w:proofErr w:type="gramStart"/>
      <w:r w:rsidRPr="007417D2">
        <w:rPr>
          <w:rFonts w:ascii="Book Antiqua" w:hAnsi="Book Antiqua"/>
          <w:sz w:val="24"/>
        </w:rPr>
        <w:t>T2D</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250]</w:t>
      </w:r>
      <w:r w:rsidRPr="007417D2">
        <w:rPr>
          <w:rFonts w:ascii="Book Antiqua" w:hAnsi="Book Antiqua"/>
          <w:sz w:val="24"/>
        </w:rPr>
        <w:t xml:space="preserve">. Clinical research on the effect of liraglutide on AD patients is still going to evaluate the changes in cognition using a neuropsychological test </w:t>
      </w:r>
      <w:proofErr w:type="gramStart"/>
      <w:r w:rsidRPr="007417D2">
        <w:rPr>
          <w:rFonts w:ascii="Book Antiqua" w:hAnsi="Book Antiqua"/>
          <w:sz w:val="24"/>
        </w:rPr>
        <w:t>battery</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251]</w:t>
      </w:r>
      <w:r w:rsidRPr="007417D2">
        <w:rPr>
          <w:rFonts w:ascii="Book Antiqua" w:hAnsi="Book Antiqua"/>
          <w:sz w:val="24"/>
        </w:rPr>
        <w:t>.</w:t>
      </w:r>
    </w:p>
    <w:p w:rsidR="002D4597" w:rsidRPr="007417D2" w:rsidRDefault="002D4597" w:rsidP="007417D2">
      <w:pPr>
        <w:spacing w:line="360" w:lineRule="auto"/>
        <w:rPr>
          <w:rFonts w:ascii="Book Antiqua" w:hAnsi="Book Antiqua"/>
          <w:sz w:val="24"/>
        </w:rPr>
      </w:pPr>
    </w:p>
    <w:p w:rsidR="00FA235F" w:rsidRPr="007417D2" w:rsidRDefault="00FA235F" w:rsidP="007417D2">
      <w:pPr>
        <w:spacing w:line="360" w:lineRule="auto"/>
        <w:rPr>
          <w:rFonts w:ascii="Book Antiqua" w:hAnsi="Book Antiqua"/>
          <w:b/>
          <w:i/>
          <w:sz w:val="24"/>
        </w:rPr>
      </w:pPr>
      <w:r w:rsidRPr="007417D2">
        <w:rPr>
          <w:rFonts w:ascii="Book Antiqua" w:hAnsi="Book Antiqua"/>
          <w:b/>
          <w:i/>
          <w:sz w:val="24"/>
        </w:rPr>
        <w:t xml:space="preserve">DPP IV </w:t>
      </w:r>
      <w:r w:rsidR="000A5F6A" w:rsidRPr="007417D2">
        <w:rPr>
          <w:rFonts w:ascii="Book Antiqua" w:hAnsi="Book Antiqua"/>
          <w:b/>
          <w:i/>
          <w:sz w:val="24"/>
        </w:rPr>
        <w:t>i</w:t>
      </w:r>
      <w:r w:rsidRPr="007417D2">
        <w:rPr>
          <w:rFonts w:ascii="Book Antiqua" w:hAnsi="Book Antiqua"/>
          <w:b/>
          <w:i/>
          <w:sz w:val="24"/>
        </w:rPr>
        <w:t xml:space="preserve">nhibitors: Oral </w:t>
      </w:r>
      <w:r w:rsidR="000A5F6A" w:rsidRPr="007417D2">
        <w:rPr>
          <w:rFonts w:ascii="Book Antiqua" w:hAnsi="Book Antiqua"/>
          <w:b/>
          <w:i/>
          <w:sz w:val="24"/>
        </w:rPr>
        <w:t>h</w:t>
      </w:r>
      <w:r w:rsidRPr="007417D2">
        <w:rPr>
          <w:rFonts w:ascii="Book Antiqua" w:hAnsi="Book Antiqua"/>
          <w:b/>
          <w:i/>
          <w:sz w:val="24"/>
        </w:rPr>
        <w:t>ypoglyceimic</w:t>
      </w:r>
    </w:p>
    <w:p w:rsidR="00FA235F" w:rsidRDefault="00FA235F" w:rsidP="007417D2">
      <w:pPr>
        <w:spacing w:line="360" w:lineRule="auto"/>
        <w:rPr>
          <w:rFonts w:ascii="Book Antiqua" w:hAnsi="Book Antiqua"/>
          <w:sz w:val="24"/>
        </w:rPr>
      </w:pPr>
      <w:r w:rsidRPr="007417D2">
        <w:rPr>
          <w:rFonts w:ascii="Book Antiqua" w:hAnsi="Book Antiqua"/>
          <w:sz w:val="24"/>
        </w:rPr>
        <w:t xml:space="preserve">DPP-IV, pharmacological inhibitors are oral hypoglycemic. These compounds reduce blood glucose levels by increasing incretin (GLP-1 and GIP levels) and attenuating glucagon effects. Sitagliptin, Vildagliptin, Saxagliptin, Linagliptin, Teneligliptin, Gemigliptin and Dutogliptin are major members of gliptins, out of which Dutogliptin is under Phase III clinical </w:t>
      </w:r>
      <w:proofErr w:type="gramStart"/>
      <w:r w:rsidRPr="007417D2">
        <w:rPr>
          <w:rFonts w:ascii="Book Antiqua" w:hAnsi="Book Antiqua"/>
          <w:sz w:val="24"/>
        </w:rPr>
        <w:t>trial</w:t>
      </w:r>
      <w:r w:rsidRPr="007417D2">
        <w:rPr>
          <w:rFonts w:ascii="Book Antiqua" w:hAnsi="Book Antiqua"/>
          <w:sz w:val="24"/>
          <w:vertAlign w:val="superscript"/>
        </w:rPr>
        <w:t>[</w:t>
      </w:r>
      <w:proofErr w:type="gramEnd"/>
      <w:r w:rsidRPr="007417D2">
        <w:rPr>
          <w:rFonts w:ascii="Book Antiqua" w:hAnsi="Book Antiqua"/>
          <w:sz w:val="24"/>
          <w:vertAlign w:val="superscript"/>
        </w:rPr>
        <w:t>252]</w:t>
      </w:r>
      <w:r w:rsidRPr="007417D2">
        <w:rPr>
          <w:rFonts w:ascii="Book Antiqua" w:hAnsi="Book Antiqua"/>
          <w:sz w:val="24"/>
        </w:rPr>
        <w:t>. Effect of sitagliptin administration is studied double transgenic mice model of AD and reported</w:t>
      </w:r>
      <w:r w:rsidR="00D3592B">
        <w:rPr>
          <w:rFonts w:ascii="Book Antiqua" w:hAnsi="Book Antiqua"/>
          <w:sz w:val="24"/>
        </w:rPr>
        <w:t xml:space="preserve"> </w:t>
      </w:r>
      <w:r w:rsidRPr="007417D2">
        <w:rPr>
          <w:rFonts w:ascii="Book Antiqua" w:hAnsi="Book Antiqua"/>
          <w:sz w:val="24"/>
        </w:rPr>
        <w:t xml:space="preserve">to significantly delay AD pathology including amyloid deposition and </w:t>
      </w:r>
      <w:proofErr w:type="gramStart"/>
      <w:r w:rsidRPr="007417D2">
        <w:rPr>
          <w:rFonts w:ascii="Book Antiqua" w:hAnsi="Book Antiqua"/>
          <w:sz w:val="24"/>
        </w:rPr>
        <w:t>taupathies</w:t>
      </w:r>
      <w:r w:rsidRPr="007417D2">
        <w:rPr>
          <w:rFonts w:ascii="Book Antiqua" w:hAnsi="Book Antiqua"/>
          <w:sz w:val="24"/>
          <w:vertAlign w:val="superscript"/>
        </w:rPr>
        <w:t>[</w:t>
      </w:r>
      <w:proofErr w:type="gramEnd"/>
      <w:r w:rsidRPr="007417D2">
        <w:rPr>
          <w:rFonts w:ascii="Book Antiqua" w:hAnsi="Book Antiqua"/>
          <w:sz w:val="24"/>
          <w:vertAlign w:val="superscript"/>
        </w:rPr>
        <w:t>253]</w:t>
      </w:r>
      <w:r w:rsidRPr="007417D2">
        <w:rPr>
          <w:rFonts w:ascii="Book Antiqua" w:hAnsi="Book Antiqua"/>
          <w:sz w:val="24"/>
        </w:rPr>
        <w:t>.</w:t>
      </w:r>
      <w:r w:rsidR="000A72F9" w:rsidRPr="007417D2">
        <w:rPr>
          <w:rFonts w:ascii="Book Antiqua" w:hAnsi="Book Antiqua"/>
          <w:sz w:val="24"/>
        </w:rPr>
        <w:t xml:space="preserve"> </w:t>
      </w:r>
    </w:p>
    <w:p w:rsidR="000A5F6A" w:rsidRPr="007417D2" w:rsidRDefault="000A5F6A" w:rsidP="007417D2">
      <w:pPr>
        <w:spacing w:line="360" w:lineRule="auto"/>
        <w:rPr>
          <w:rFonts w:ascii="Book Antiqua" w:hAnsi="Book Antiqua"/>
          <w:sz w:val="24"/>
        </w:rPr>
      </w:pPr>
    </w:p>
    <w:p w:rsidR="00FA235F" w:rsidRPr="007417D2" w:rsidRDefault="00FA235F" w:rsidP="007417D2">
      <w:pPr>
        <w:spacing w:line="360" w:lineRule="auto"/>
        <w:rPr>
          <w:rFonts w:ascii="Book Antiqua" w:hAnsi="Book Antiqua"/>
          <w:b/>
          <w:i/>
          <w:sz w:val="24"/>
        </w:rPr>
      </w:pPr>
      <w:r w:rsidRPr="007417D2">
        <w:rPr>
          <w:rFonts w:ascii="Book Antiqua" w:hAnsi="Book Antiqua"/>
          <w:b/>
          <w:i/>
          <w:sz w:val="24"/>
        </w:rPr>
        <w:t>Insulin and oral anti-diabetics: A combined therapy</w:t>
      </w:r>
    </w:p>
    <w:p w:rsidR="00FA235F" w:rsidRPr="007417D2" w:rsidRDefault="00FA235F" w:rsidP="007417D2">
      <w:pPr>
        <w:spacing w:line="360" w:lineRule="auto"/>
        <w:rPr>
          <w:rFonts w:ascii="Book Antiqua" w:hAnsi="Book Antiqua"/>
          <w:sz w:val="24"/>
        </w:rPr>
      </w:pPr>
      <w:r w:rsidRPr="007417D2">
        <w:rPr>
          <w:rFonts w:ascii="Book Antiqua" w:hAnsi="Book Antiqua"/>
          <w:sz w:val="24"/>
        </w:rPr>
        <w:t xml:space="preserve">Combination of insulin and other oral anti-diabetic drugs are reported to lower neuritic plaque density by 20% in AD </w:t>
      </w:r>
      <w:proofErr w:type="gramStart"/>
      <w:r w:rsidRPr="007417D2">
        <w:rPr>
          <w:rFonts w:ascii="Book Antiqua" w:hAnsi="Book Antiqua"/>
          <w:sz w:val="24"/>
        </w:rPr>
        <w:t>brains</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253]</w:t>
      </w:r>
      <w:r w:rsidRPr="007417D2">
        <w:rPr>
          <w:rFonts w:ascii="Book Antiqua" w:hAnsi="Book Antiqua"/>
          <w:sz w:val="24"/>
        </w:rPr>
        <w:t xml:space="preserve">. Metformin in combination with rosiglitazone or glyburide is reported to improve working memory very </w:t>
      </w:r>
      <w:proofErr w:type="gramStart"/>
      <w:r w:rsidRPr="007417D2">
        <w:rPr>
          <w:rFonts w:ascii="Book Antiqua" w:hAnsi="Book Antiqua"/>
          <w:sz w:val="24"/>
        </w:rPr>
        <w:t>significantly</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253]</w:t>
      </w:r>
      <w:r w:rsidRPr="007417D2">
        <w:rPr>
          <w:rFonts w:ascii="Book Antiqua" w:hAnsi="Book Antiqua"/>
          <w:sz w:val="24"/>
        </w:rPr>
        <w:t>. In a prospective cohort study, metformin and SUs are reported to reduce risk of dementia by 35%</w:t>
      </w:r>
      <w:r w:rsidRPr="007417D2">
        <w:rPr>
          <w:rFonts w:ascii="Book Antiqua" w:hAnsi="Book Antiqua"/>
          <w:noProof/>
          <w:sz w:val="24"/>
          <w:vertAlign w:val="superscript"/>
        </w:rPr>
        <w:t>[228]</w:t>
      </w:r>
      <w:r w:rsidRPr="007417D2">
        <w:rPr>
          <w:rFonts w:ascii="Book Antiqua" w:hAnsi="Book Antiqua"/>
          <w:sz w:val="24"/>
        </w:rPr>
        <w:t>. Although, a number of anti-diabetic drugs are reported to improve cognitive effect, it is still not well understood whether these effects are due to glucose lowering effects or adopt different pathways of neuroprotection.</w:t>
      </w:r>
      <w:r w:rsidR="000A72F9" w:rsidRPr="007417D2">
        <w:rPr>
          <w:rFonts w:ascii="Book Antiqua" w:hAnsi="Book Antiqua"/>
          <w:sz w:val="24"/>
        </w:rPr>
        <w:t xml:space="preserve"> A broad range of anti diabetic therapies are undergoing clinical trials including those involving stimulation of the pancreatic beta-cell with the gut-derived insulinotropic hormones (incretins), GIP and GLP-1</w:t>
      </w:r>
      <w:r w:rsidR="000A72F9" w:rsidRPr="007417D2">
        <w:rPr>
          <w:rFonts w:ascii="Book Antiqua" w:hAnsi="Book Antiqua"/>
          <w:sz w:val="24"/>
          <w:vertAlign w:val="superscript"/>
        </w:rPr>
        <w:t>[254]</w:t>
      </w:r>
      <w:r w:rsidR="000A72F9" w:rsidRPr="007417D2">
        <w:rPr>
          <w:rFonts w:ascii="Book Antiqua" w:hAnsi="Book Antiqua"/>
          <w:sz w:val="24"/>
        </w:rPr>
        <w:t xml:space="preserve">. </w:t>
      </w:r>
      <w:r w:rsidRPr="007417D2">
        <w:rPr>
          <w:rFonts w:ascii="Book Antiqua" w:hAnsi="Book Antiqua"/>
          <w:sz w:val="24"/>
        </w:rPr>
        <w:t xml:space="preserve">Some drugs have good glycemic control but have no history to improve cognitive </w:t>
      </w:r>
      <w:proofErr w:type="gramStart"/>
      <w:r w:rsidRPr="007417D2">
        <w:rPr>
          <w:rFonts w:ascii="Book Antiqua" w:hAnsi="Book Antiqua"/>
          <w:sz w:val="24"/>
        </w:rPr>
        <w:t>functions</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255]</w:t>
      </w:r>
      <w:r w:rsidRPr="007417D2">
        <w:rPr>
          <w:rFonts w:ascii="Book Antiqua" w:hAnsi="Book Antiqua"/>
          <w:sz w:val="24"/>
        </w:rPr>
        <w:t xml:space="preserve">. In a study diabetes patients were maintained at normoglycemia over 3 months but no significant improvement in cognitive performance was </w:t>
      </w:r>
      <w:proofErr w:type="gramStart"/>
      <w:r w:rsidRPr="007417D2">
        <w:rPr>
          <w:rFonts w:ascii="Book Antiqua" w:hAnsi="Book Antiqua"/>
          <w:sz w:val="24"/>
        </w:rPr>
        <w:t>observed</w:t>
      </w:r>
      <w:r w:rsidRPr="007417D2">
        <w:rPr>
          <w:rFonts w:ascii="Book Antiqua" w:hAnsi="Book Antiqua"/>
          <w:noProof/>
          <w:sz w:val="24"/>
          <w:vertAlign w:val="superscript"/>
        </w:rPr>
        <w:t>[</w:t>
      </w:r>
      <w:proofErr w:type="gramEnd"/>
      <w:r w:rsidRPr="007417D2">
        <w:rPr>
          <w:rFonts w:ascii="Book Antiqua" w:hAnsi="Book Antiqua"/>
          <w:noProof/>
          <w:sz w:val="24"/>
          <w:vertAlign w:val="superscript"/>
        </w:rPr>
        <w:t>256]</w:t>
      </w:r>
      <w:r w:rsidRPr="007417D2">
        <w:rPr>
          <w:rFonts w:ascii="Book Antiqua" w:hAnsi="Book Antiqua"/>
          <w:sz w:val="24"/>
        </w:rPr>
        <w:t xml:space="preserve">. Other than glycemic control, anti-diabetic drugs carry some specific </w:t>
      </w:r>
      <w:r w:rsidRPr="007417D2">
        <w:rPr>
          <w:rFonts w:ascii="Book Antiqua" w:hAnsi="Book Antiqua"/>
          <w:sz w:val="24"/>
        </w:rPr>
        <w:lastRenderedPageBreak/>
        <w:t>properties which make them to improve cognitive function. Although various clinical trials are underway to evaluate the role of anti-diabetic drugs in treatment of neurodegenerative disorders such as dementia and AD but the search is still not over.</w:t>
      </w:r>
    </w:p>
    <w:p w:rsidR="000A72F9" w:rsidRPr="007417D2" w:rsidRDefault="000A72F9" w:rsidP="007417D2">
      <w:pPr>
        <w:spacing w:line="360" w:lineRule="auto"/>
        <w:rPr>
          <w:rFonts w:ascii="Book Antiqua" w:hAnsi="Book Antiqua"/>
          <w:sz w:val="24"/>
        </w:rPr>
      </w:pPr>
    </w:p>
    <w:p w:rsidR="00FA235F" w:rsidRPr="007417D2" w:rsidRDefault="000A5F6A" w:rsidP="007417D2">
      <w:pPr>
        <w:spacing w:line="360" w:lineRule="auto"/>
        <w:rPr>
          <w:rFonts w:ascii="Book Antiqua" w:hAnsi="Book Antiqua"/>
          <w:b/>
          <w:sz w:val="24"/>
        </w:rPr>
      </w:pPr>
      <w:r>
        <w:rPr>
          <w:rFonts w:ascii="Book Antiqua" w:hAnsi="Book Antiqua" w:hint="eastAsia"/>
          <w:b/>
          <w:sz w:val="24"/>
        </w:rPr>
        <w:t>CONCLUSION</w:t>
      </w:r>
    </w:p>
    <w:p w:rsidR="00280431" w:rsidRPr="007417D2" w:rsidRDefault="00FA235F" w:rsidP="007417D2">
      <w:pPr>
        <w:spacing w:line="360" w:lineRule="auto"/>
        <w:rPr>
          <w:rFonts w:ascii="Book Antiqua" w:hAnsi="Book Antiqua"/>
          <w:sz w:val="24"/>
        </w:rPr>
      </w:pPr>
      <w:r w:rsidRPr="007417D2">
        <w:rPr>
          <w:rFonts w:ascii="Book Antiqua" w:hAnsi="Book Antiqua"/>
          <w:sz w:val="24"/>
        </w:rPr>
        <w:t>This review provides a synopsis in which a metabolic disturbance becomes indispensible for life. This is a talk of a metabolic problem which emerges as a molecular signal defect and takes a form of syndrome with multiple complications. Spotlighted player of this article</w:t>
      </w:r>
      <w:r w:rsidR="000A5F6A">
        <w:rPr>
          <w:rFonts w:ascii="Book Antiqua" w:hAnsi="Book Antiqua" w:hint="eastAsia"/>
          <w:sz w:val="24"/>
        </w:rPr>
        <w:t>,</w:t>
      </w:r>
      <w:r w:rsidRPr="007417D2">
        <w:rPr>
          <w:rFonts w:ascii="Book Antiqua" w:hAnsi="Book Antiqua"/>
          <w:sz w:val="24"/>
        </w:rPr>
        <w:t xml:space="preserve"> </w:t>
      </w:r>
      <w:r w:rsidRPr="000A5F6A">
        <w:rPr>
          <w:rFonts w:ascii="Book Antiqua" w:hAnsi="Book Antiqua"/>
          <w:i/>
          <w:sz w:val="24"/>
        </w:rPr>
        <w:t>i.e.</w:t>
      </w:r>
      <w:r w:rsidR="000A5F6A">
        <w:rPr>
          <w:rFonts w:ascii="Book Antiqua" w:hAnsi="Book Antiqua" w:hint="eastAsia"/>
          <w:sz w:val="24"/>
        </w:rPr>
        <w:t>,</w:t>
      </w:r>
      <w:r w:rsidRPr="007417D2">
        <w:rPr>
          <w:rFonts w:ascii="Book Antiqua" w:hAnsi="Book Antiqua"/>
          <w:sz w:val="24"/>
        </w:rPr>
        <w:t xml:space="preserve"> insulin draws a trajectory from diabetes to AD with multiple divergence and convergence. </w:t>
      </w:r>
    </w:p>
    <w:p w:rsidR="00FA235F" w:rsidRPr="007417D2" w:rsidRDefault="00FA235F" w:rsidP="000A5F6A">
      <w:pPr>
        <w:spacing w:line="360" w:lineRule="auto"/>
        <w:ind w:firstLineChars="100" w:firstLine="240"/>
        <w:rPr>
          <w:rFonts w:ascii="Book Antiqua" w:hAnsi="Book Antiqua"/>
          <w:sz w:val="24"/>
        </w:rPr>
      </w:pPr>
      <w:r w:rsidRPr="007417D2">
        <w:rPr>
          <w:rFonts w:ascii="Book Antiqua" w:hAnsi="Book Antiqua"/>
          <w:sz w:val="24"/>
        </w:rPr>
        <w:t xml:space="preserve">In the introductory facets of this write up, we started with our understanding of two devastating syndromes diabetes and AD, discussed their molecular interplay and finally speculated commonalities as well as evidences of their shared footprints. For the remainder of the part we tried to shed light on the therapeutic interventions and major future perspectives. </w:t>
      </w:r>
    </w:p>
    <w:p w:rsidR="00FA235F" w:rsidRPr="007417D2" w:rsidRDefault="00FA235F" w:rsidP="007417D2">
      <w:pPr>
        <w:spacing w:line="360" w:lineRule="auto"/>
        <w:rPr>
          <w:rFonts w:ascii="Book Antiqua" w:hAnsi="Book Antiqua"/>
          <w:sz w:val="24"/>
        </w:rPr>
      </w:pPr>
    </w:p>
    <w:p w:rsidR="00FA235F" w:rsidRPr="000A5F6A" w:rsidRDefault="000A5F6A" w:rsidP="007417D2">
      <w:pPr>
        <w:spacing w:line="360" w:lineRule="auto"/>
        <w:rPr>
          <w:rFonts w:ascii="Book Antiqua" w:hAnsi="Book Antiqua"/>
          <w:b/>
          <w:sz w:val="24"/>
        </w:rPr>
      </w:pPr>
      <w:r w:rsidRPr="000A5F6A">
        <w:rPr>
          <w:rFonts w:ascii="Book Antiqua" w:hAnsi="Book Antiqua"/>
          <w:b/>
          <w:sz w:val="24"/>
        </w:rPr>
        <w:t>ACKNOWLEDGEMENTS</w:t>
      </w:r>
    </w:p>
    <w:p w:rsidR="00FA235F" w:rsidRPr="007417D2" w:rsidRDefault="00FA235F" w:rsidP="007417D2">
      <w:pPr>
        <w:spacing w:line="360" w:lineRule="auto"/>
        <w:rPr>
          <w:rFonts w:ascii="Book Antiqua" w:hAnsi="Book Antiqua"/>
          <w:sz w:val="24"/>
        </w:rPr>
      </w:pPr>
      <w:r w:rsidRPr="007417D2">
        <w:rPr>
          <w:rFonts w:ascii="Book Antiqua" w:hAnsi="Book Antiqua"/>
          <w:sz w:val="24"/>
        </w:rPr>
        <w:t>The authors would like to thank Dr. Aditya Sunkaria for his advice and support.</w:t>
      </w:r>
      <w:r w:rsidR="002D4597" w:rsidRPr="007417D2">
        <w:rPr>
          <w:rFonts w:ascii="Book Antiqua" w:hAnsi="Book Antiqua"/>
          <w:sz w:val="24"/>
        </w:rPr>
        <w:t xml:space="preserve"> </w:t>
      </w:r>
    </w:p>
    <w:p w:rsidR="000A72F9" w:rsidRPr="007417D2" w:rsidRDefault="000A72F9" w:rsidP="007417D2">
      <w:pPr>
        <w:spacing w:line="360" w:lineRule="auto"/>
        <w:rPr>
          <w:rFonts w:ascii="Book Antiqua" w:hAnsi="Book Antiqua"/>
          <w:sz w:val="24"/>
        </w:rPr>
      </w:pPr>
    </w:p>
    <w:p w:rsidR="000A5F6A" w:rsidRDefault="000A5F6A">
      <w:pPr>
        <w:widowControl/>
        <w:spacing w:after="200" w:line="276" w:lineRule="auto"/>
        <w:jc w:val="left"/>
        <w:rPr>
          <w:rFonts w:ascii="Book Antiqua" w:hAnsi="Book Antiqua"/>
          <w:b/>
          <w:sz w:val="24"/>
        </w:rPr>
      </w:pPr>
      <w:r>
        <w:rPr>
          <w:rFonts w:ascii="Book Antiqua" w:hAnsi="Book Antiqua"/>
          <w:b/>
          <w:sz w:val="24"/>
        </w:rPr>
        <w:br w:type="page"/>
      </w:r>
    </w:p>
    <w:p w:rsidR="00480424" w:rsidRPr="00133249" w:rsidRDefault="000A72F9" w:rsidP="00133249">
      <w:pPr>
        <w:spacing w:line="360" w:lineRule="auto"/>
        <w:rPr>
          <w:rFonts w:ascii="Book Antiqua" w:hAnsi="Book Antiqua"/>
          <w:b/>
          <w:sz w:val="24"/>
        </w:rPr>
      </w:pPr>
      <w:r w:rsidRPr="00133249">
        <w:rPr>
          <w:rFonts w:ascii="Book Antiqua" w:hAnsi="Book Antiqua"/>
          <w:b/>
          <w:sz w:val="24"/>
        </w:rPr>
        <w:lastRenderedPageBreak/>
        <w:t>REFERENCES</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 </w:t>
      </w:r>
      <w:r w:rsidRPr="00133249">
        <w:rPr>
          <w:rFonts w:ascii="Book Antiqua" w:hAnsi="Book Antiqua" w:cs="宋体"/>
          <w:b/>
          <w:bCs/>
          <w:kern w:val="0"/>
          <w:sz w:val="24"/>
        </w:rPr>
        <w:t>Mehers KL</w:t>
      </w:r>
      <w:r w:rsidRPr="00133249">
        <w:rPr>
          <w:rFonts w:ascii="Book Antiqua" w:hAnsi="Book Antiqua" w:cs="宋体"/>
          <w:kern w:val="0"/>
          <w:sz w:val="24"/>
        </w:rPr>
        <w:t xml:space="preserve">, Gillespie KM. The genetic basis for type </w:t>
      </w:r>
      <w:proofErr w:type="gramStart"/>
      <w:r w:rsidRPr="00133249">
        <w:rPr>
          <w:rFonts w:ascii="Book Antiqua" w:hAnsi="Book Antiqua" w:cs="宋体"/>
          <w:kern w:val="0"/>
          <w:sz w:val="24"/>
        </w:rPr>
        <w:t>1 diabetes</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Br Med Bull</w:t>
      </w:r>
      <w:r w:rsidRPr="00133249">
        <w:rPr>
          <w:rFonts w:ascii="Book Antiqua" w:hAnsi="Book Antiqua" w:cs="宋体"/>
          <w:kern w:val="0"/>
          <w:sz w:val="24"/>
        </w:rPr>
        <w:t xml:space="preserve"> 2008; </w:t>
      </w:r>
      <w:r w:rsidRPr="00133249">
        <w:rPr>
          <w:rFonts w:ascii="Book Antiqua" w:hAnsi="Book Antiqua" w:cs="宋体"/>
          <w:b/>
          <w:bCs/>
          <w:kern w:val="0"/>
          <w:sz w:val="24"/>
        </w:rPr>
        <w:t>88</w:t>
      </w:r>
      <w:r w:rsidRPr="00133249">
        <w:rPr>
          <w:rFonts w:ascii="Book Antiqua" w:hAnsi="Book Antiqua" w:cs="宋体"/>
          <w:kern w:val="0"/>
          <w:sz w:val="24"/>
        </w:rPr>
        <w:t>: 115-129 [PMID: 19088009]</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 </w:t>
      </w:r>
      <w:r w:rsidRPr="00133249">
        <w:rPr>
          <w:rFonts w:ascii="Book Antiqua" w:hAnsi="Book Antiqua" w:cs="宋体"/>
          <w:b/>
          <w:bCs/>
          <w:kern w:val="0"/>
          <w:sz w:val="24"/>
        </w:rPr>
        <w:t>Wright E</w:t>
      </w:r>
      <w:r w:rsidRPr="00133249">
        <w:rPr>
          <w:rFonts w:ascii="Book Antiqua" w:hAnsi="Book Antiqua" w:cs="宋体"/>
          <w:kern w:val="0"/>
          <w:sz w:val="24"/>
        </w:rPr>
        <w:t xml:space="preserve">, Scism-Bacon JL, Glass LC. Oxidative stress in type 2 diabetes: the role of fasting and postprandial glycaemia. </w:t>
      </w:r>
      <w:r w:rsidRPr="00133249">
        <w:rPr>
          <w:rFonts w:ascii="Book Antiqua" w:hAnsi="Book Antiqua" w:cs="宋体"/>
          <w:i/>
          <w:iCs/>
          <w:kern w:val="0"/>
          <w:sz w:val="24"/>
        </w:rPr>
        <w:t>Int J Clin Pract</w:t>
      </w:r>
      <w:r w:rsidRPr="00133249">
        <w:rPr>
          <w:rFonts w:ascii="Book Antiqua" w:hAnsi="Book Antiqua" w:cs="宋体"/>
          <w:kern w:val="0"/>
          <w:sz w:val="24"/>
        </w:rPr>
        <w:t xml:space="preserve"> 2006; </w:t>
      </w:r>
      <w:r w:rsidRPr="00133249">
        <w:rPr>
          <w:rFonts w:ascii="Book Antiqua" w:hAnsi="Book Antiqua" w:cs="宋体"/>
          <w:b/>
          <w:bCs/>
          <w:kern w:val="0"/>
          <w:sz w:val="24"/>
        </w:rPr>
        <w:t>60</w:t>
      </w:r>
      <w:r w:rsidRPr="00133249">
        <w:rPr>
          <w:rFonts w:ascii="Book Antiqua" w:hAnsi="Book Antiqua" w:cs="宋体"/>
          <w:kern w:val="0"/>
          <w:sz w:val="24"/>
        </w:rPr>
        <w:t>: 308-314 [PMID: 16494646 DOI: 10.1111/j.1368-5031.2006.00825.x]</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3 </w:t>
      </w:r>
      <w:r w:rsidRPr="00133249">
        <w:rPr>
          <w:rFonts w:ascii="Book Antiqua" w:hAnsi="Book Antiqua" w:cs="宋体"/>
          <w:b/>
          <w:bCs/>
          <w:kern w:val="0"/>
          <w:sz w:val="24"/>
        </w:rPr>
        <w:t>Nordwall M</w:t>
      </w:r>
      <w:r w:rsidRPr="00133249">
        <w:rPr>
          <w:rFonts w:ascii="Book Antiqua" w:hAnsi="Book Antiqua" w:cs="宋体"/>
          <w:kern w:val="0"/>
          <w:sz w:val="24"/>
        </w:rPr>
        <w:t xml:space="preserve">, Abrahamsson M, Dhir M, Fredrikson M, Ludvigsson J, Arnqvist HJ. Impact of HbA1c, followed from onset of type 1 diabetes, on the development of severe retinopathy and nephropathy: the VISS Study (Vascular Diabetic Complications in Southeast Sweden). </w:t>
      </w:r>
      <w:r w:rsidRPr="00133249">
        <w:rPr>
          <w:rFonts w:ascii="Book Antiqua" w:hAnsi="Book Antiqua" w:cs="宋体"/>
          <w:i/>
          <w:iCs/>
          <w:kern w:val="0"/>
          <w:sz w:val="24"/>
        </w:rPr>
        <w:t>Diabetes Care</w:t>
      </w:r>
      <w:r w:rsidRPr="00133249">
        <w:rPr>
          <w:rFonts w:ascii="Book Antiqua" w:hAnsi="Book Antiqua" w:cs="宋体"/>
          <w:kern w:val="0"/>
          <w:sz w:val="24"/>
        </w:rPr>
        <w:t xml:space="preserve"> 2015; </w:t>
      </w:r>
      <w:r w:rsidRPr="00133249">
        <w:rPr>
          <w:rFonts w:ascii="Book Antiqua" w:hAnsi="Book Antiqua" w:cs="宋体"/>
          <w:b/>
          <w:bCs/>
          <w:kern w:val="0"/>
          <w:sz w:val="24"/>
        </w:rPr>
        <w:t>38</w:t>
      </w:r>
      <w:r w:rsidRPr="00133249">
        <w:rPr>
          <w:rFonts w:ascii="Book Antiqua" w:hAnsi="Book Antiqua" w:cs="宋体"/>
          <w:kern w:val="0"/>
          <w:sz w:val="24"/>
        </w:rPr>
        <w:t>: 308-315 [PMID: 25510400 DOI: 10.2337/dc14-1203]</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t xml:space="preserve">4 </w:t>
      </w:r>
      <w:r w:rsidRPr="00133249">
        <w:rPr>
          <w:rFonts w:ascii="Book Antiqua" w:hAnsi="Book Antiqua" w:cs="宋体"/>
          <w:b/>
          <w:bCs/>
          <w:kern w:val="0"/>
          <w:sz w:val="24"/>
        </w:rPr>
        <w:t>Sima AA</w:t>
      </w:r>
      <w:r w:rsidRPr="00133249">
        <w:rPr>
          <w:rFonts w:ascii="Book Antiqua" w:hAnsi="Book Antiqua" w:cs="宋体"/>
          <w:kern w:val="0"/>
          <w:sz w:val="24"/>
        </w:rPr>
        <w:t>.</w:t>
      </w:r>
      <w:proofErr w:type="gramEnd"/>
      <w:r w:rsidRPr="00133249">
        <w:rPr>
          <w:rFonts w:ascii="Book Antiqua" w:hAnsi="Book Antiqua" w:cs="宋体"/>
          <w:kern w:val="0"/>
          <w:sz w:val="24"/>
        </w:rPr>
        <w:t xml:space="preserve"> Encephalopathies: the emerging diabetic complications. </w:t>
      </w:r>
      <w:r w:rsidRPr="00133249">
        <w:rPr>
          <w:rFonts w:ascii="Book Antiqua" w:hAnsi="Book Antiqua" w:cs="宋体"/>
          <w:i/>
          <w:iCs/>
          <w:kern w:val="0"/>
          <w:sz w:val="24"/>
        </w:rPr>
        <w:t>Acta Diabetol</w:t>
      </w:r>
      <w:r w:rsidRPr="00133249">
        <w:rPr>
          <w:rFonts w:ascii="Book Antiqua" w:hAnsi="Book Antiqua" w:cs="宋体"/>
          <w:kern w:val="0"/>
          <w:sz w:val="24"/>
        </w:rPr>
        <w:t xml:space="preserve"> 2010; </w:t>
      </w:r>
      <w:r w:rsidRPr="00133249">
        <w:rPr>
          <w:rFonts w:ascii="Book Antiqua" w:hAnsi="Book Antiqua" w:cs="宋体"/>
          <w:b/>
          <w:bCs/>
          <w:kern w:val="0"/>
          <w:sz w:val="24"/>
        </w:rPr>
        <w:t>47</w:t>
      </w:r>
      <w:r w:rsidRPr="00133249">
        <w:rPr>
          <w:rFonts w:ascii="Book Antiqua" w:hAnsi="Book Antiqua" w:cs="宋体"/>
          <w:kern w:val="0"/>
          <w:sz w:val="24"/>
        </w:rPr>
        <w:t>: 279-293 [PMID: 20798963]</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5 </w:t>
      </w:r>
      <w:r w:rsidRPr="00133249">
        <w:rPr>
          <w:rFonts w:ascii="Book Antiqua" w:hAnsi="Book Antiqua" w:cs="宋体"/>
          <w:b/>
          <w:bCs/>
          <w:kern w:val="0"/>
          <w:sz w:val="24"/>
        </w:rPr>
        <w:t>den Heijer T</w:t>
      </w:r>
      <w:r w:rsidRPr="00133249">
        <w:rPr>
          <w:rFonts w:ascii="Book Antiqua" w:hAnsi="Book Antiqua" w:cs="宋体"/>
          <w:kern w:val="0"/>
          <w:sz w:val="24"/>
        </w:rPr>
        <w:t xml:space="preserve">, Vermeer SE, Clarke R, Oudkerk M, Koudstaal PJ, Hofman A, Breteler MM. Homocysteine and brain atrophy on MRI of non-demented elderly. </w:t>
      </w:r>
      <w:r w:rsidRPr="00133249">
        <w:rPr>
          <w:rFonts w:ascii="Book Antiqua" w:hAnsi="Book Antiqua" w:cs="宋体"/>
          <w:i/>
          <w:iCs/>
          <w:kern w:val="0"/>
          <w:sz w:val="24"/>
        </w:rPr>
        <w:t>Brain</w:t>
      </w:r>
      <w:r w:rsidRPr="00133249">
        <w:rPr>
          <w:rFonts w:ascii="Book Antiqua" w:hAnsi="Book Antiqua" w:cs="宋体"/>
          <w:kern w:val="0"/>
          <w:sz w:val="24"/>
        </w:rPr>
        <w:t xml:space="preserve"> 2003; </w:t>
      </w:r>
      <w:r w:rsidRPr="00133249">
        <w:rPr>
          <w:rFonts w:ascii="Book Antiqua" w:hAnsi="Book Antiqua" w:cs="宋体"/>
          <w:b/>
          <w:bCs/>
          <w:kern w:val="0"/>
          <w:sz w:val="24"/>
        </w:rPr>
        <w:t>126</w:t>
      </w:r>
      <w:r w:rsidRPr="00133249">
        <w:rPr>
          <w:rFonts w:ascii="Book Antiqua" w:hAnsi="Book Antiqua" w:cs="宋体"/>
          <w:kern w:val="0"/>
          <w:sz w:val="24"/>
        </w:rPr>
        <w:t>: 170-175 [PMID: 12477704]</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6 </w:t>
      </w:r>
      <w:r w:rsidRPr="00133249">
        <w:rPr>
          <w:rFonts w:ascii="Book Antiqua" w:hAnsi="Book Antiqua" w:cs="宋体"/>
          <w:b/>
          <w:bCs/>
          <w:kern w:val="0"/>
          <w:sz w:val="24"/>
        </w:rPr>
        <w:t>Schmidt R</w:t>
      </w:r>
      <w:r w:rsidRPr="00133249">
        <w:rPr>
          <w:rFonts w:ascii="Book Antiqua" w:hAnsi="Book Antiqua" w:cs="宋体"/>
          <w:kern w:val="0"/>
          <w:sz w:val="24"/>
        </w:rPr>
        <w:t xml:space="preserve">, Launer LJ, Nilsson LG, Pajak A, Sans S, Berger K, Breteler MM, de Ridder M, Dufouil C, Fuhrer R, Giampaoli S, Hofman A. Magnetic resonance imaging of the brain in diabetes: the Cardiovascular Determinants of Dementia (CASCADE) Study. </w:t>
      </w:r>
      <w:r w:rsidRPr="00133249">
        <w:rPr>
          <w:rFonts w:ascii="Book Antiqua" w:hAnsi="Book Antiqua" w:cs="宋体"/>
          <w:i/>
          <w:iCs/>
          <w:kern w:val="0"/>
          <w:sz w:val="24"/>
        </w:rPr>
        <w:t>Diabetes</w:t>
      </w:r>
      <w:r w:rsidRPr="00133249">
        <w:rPr>
          <w:rFonts w:ascii="Book Antiqua" w:hAnsi="Book Antiqua" w:cs="宋体"/>
          <w:kern w:val="0"/>
          <w:sz w:val="24"/>
        </w:rPr>
        <w:t xml:space="preserve"> 2004; </w:t>
      </w:r>
      <w:r w:rsidRPr="00133249">
        <w:rPr>
          <w:rFonts w:ascii="Book Antiqua" w:hAnsi="Book Antiqua" w:cs="宋体"/>
          <w:b/>
          <w:bCs/>
          <w:kern w:val="0"/>
          <w:sz w:val="24"/>
        </w:rPr>
        <w:t>53</w:t>
      </w:r>
      <w:r w:rsidRPr="00133249">
        <w:rPr>
          <w:rFonts w:ascii="Book Antiqua" w:hAnsi="Book Antiqua" w:cs="宋体"/>
          <w:kern w:val="0"/>
          <w:sz w:val="24"/>
        </w:rPr>
        <w:t>: 687-692 [PMID: 14988253]</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7 </w:t>
      </w:r>
      <w:r w:rsidRPr="00133249">
        <w:rPr>
          <w:rFonts w:ascii="Book Antiqua" w:hAnsi="Book Antiqua" w:cs="宋体"/>
          <w:b/>
          <w:bCs/>
          <w:kern w:val="0"/>
          <w:sz w:val="24"/>
        </w:rPr>
        <w:t>García RG</w:t>
      </w:r>
      <w:r w:rsidRPr="00133249">
        <w:rPr>
          <w:rFonts w:ascii="Book Antiqua" w:hAnsi="Book Antiqua" w:cs="宋体"/>
          <w:kern w:val="0"/>
          <w:sz w:val="24"/>
        </w:rPr>
        <w:t xml:space="preserve">, Rincón MY, Arenas WD, Silva SY, Reyes LM, Ruiz SL, Ramirez F, Camacho PA, Luengas C, Saaibi JF, Balestrini S, Morillo C, López-Jaramillo P. Hyperinsulinemia is a predictor of new cardiovascular events in Colombian patients with a first myocardial infarction. </w:t>
      </w:r>
      <w:r w:rsidRPr="00133249">
        <w:rPr>
          <w:rFonts w:ascii="Book Antiqua" w:hAnsi="Book Antiqua" w:cs="宋体"/>
          <w:i/>
          <w:iCs/>
          <w:kern w:val="0"/>
          <w:sz w:val="24"/>
        </w:rPr>
        <w:t>Int J Cardiol</w:t>
      </w:r>
      <w:r w:rsidRPr="00133249">
        <w:rPr>
          <w:rFonts w:ascii="Book Antiqua" w:hAnsi="Book Antiqua" w:cs="宋体"/>
          <w:kern w:val="0"/>
          <w:sz w:val="24"/>
        </w:rPr>
        <w:t xml:space="preserve"> 2011; </w:t>
      </w:r>
      <w:r w:rsidRPr="00133249">
        <w:rPr>
          <w:rFonts w:ascii="Book Antiqua" w:hAnsi="Book Antiqua" w:cs="宋体"/>
          <w:b/>
          <w:bCs/>
          <w:kern w:val="0"/>
          <w:sz w:val="24"/>
        </w:rPr>
        <w:t>148</w:t>
      </w:r>
      <w:r w:rsidRPr="00133249">
        <w:rPr>
          <w:rFonts w:ascii="Book Antiqua" w:hAnsi="Book Antiqua" w:cs="宋体"/>
          <w:kern w:val="0"/>
          <w:sz w:val="24"/>
        </w:rPr>
        <w:t>: 85-90 [PMID: 19923024 DOI: 10.1016/j.ijcard.2009.10.030]</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8 </w:t>
      </w:r>
      <w:r w:rsidRPr="00133249">
        <w:rPr>
          <w:rFonts w:ascii="Book Antiqua" w:hAnsi="Book Antiqua" w:cs="宋体"/>
          <w:b/>
          <w:bCs/>
          <w:kern w:val="0"/>
          <w:sz w:val="24"/>
        </w:rPr>
        <w:t>Kasai T</w:t>
      </w:r>
      <w:r w:rsidRPr="00133249">
        <w:rPr>
          <w:rFonts w:ascii="Book Antiqua" w:hAnsi="Book Antiqua" w:cs="宋体"/>
          <w:kern w:val="0"/>
          <w:sz w:val="24"/>
        </w:rPr>
        <w:t xml:space="preserve">, Miyauchi K, Kajimoto K, Kubota N, Dohi T, Kurata T, Amano A, Daida H. The adverse prognostic significance of the metabolic syndrome with and without hypertension in patients who underwent </w:t>
      </w:r>
      <w:proofErr w:type="gramStart"/>
      <w:r w:rsidRPr="00133249">
        <w:rPr>
          <w:rFonts w:ascii="Book Antiqua" w:hAnsi="Book Antiqua" w:cs="宋体"/>
          <w:kern w:val="0"/>
          <w:sz w:val="24"/>
        </w:rPr>
        <w:t>complete</w:t>
      </w:r>
      <w:proofErr w:type="gramEnd"/>
      <w:r w:rsidRPr="00133249">
        <w:rPr>
          <w:rFonts w:ascii="Book Antiqua" w:hAnsi="Book Antiqua" w:cs="宋体"/>
          <w:kern w:val="0"/>
          <w:sz w:val="24"/>
        </w:rPr>
        <w:t xml:space="preserve"> coronary revascularization. </w:t>
      </w:r>
      <w:r w:rsidRPr="00133249">
        <w:rPr>
          <w:rFonts w:ascii="Book Antiqua" w:hAnsi="Book Antiqua" w:cs="宋体"/>
          <w:i/>
          <w:iCs/>
          <w:kern w:val="0"/>
          <w:sz w:val="24"/>
        </w:rPr>
        <w:t>J Hypertens</w:t>
      </w:r>
      <w:r w:rsidRPr="00133249">
        <w:rPr>
          <w:rFonts w:ascii="Book Antiqua" w:hAnsi="Book Antiqua" w:cs="宋体"/>
          <w:kern w:val="0"/>
          <w:sz w:val="24"/>
        </w:rPr>
        <w:t xml:space="preserve"> 2009; </w:t>
      </w:r>
      <w:r w:rsidRPr="00133249">
        <w:rPr>
          <w:rFonts w:ascii="Book Antiqua" w:hAnsi="Book Antiqua" w:cs="宋体"/>
          <w:b/>
          <w:bCs/>
          <w:kern w:val="0"/>
          <w:sz w:val="24"/>
        </w:rPr>
        <w:t>27</w:t>
      </w:r>
      <w:r w:rsidRPr="00133249">
        <w:rPr>
          <w:rFonts w:ascii="Book Antiqua" w:hAnsi="Book Antiqua" w:cs="宋体"/>
          <w:kern w:val="0"/>
          <w:sz w:val="24"/>
        </w:rPr>
        <w:t>: 1017-1024 [PMID: 19381109 DOI: 10.1097/HJH.0b013e32832961cf]</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lastRenderedPageBreak/>
        <w:t xml:space="preserve">9 </w:t>
      </w:r>
      <w:r w:rsidRPr="00133249">
        <w:rPr>
          <w:rFonts w:ascii="Book Antiqua" w:hAnsi="Book Antiqua" w:cs="宋体"/>
          <w:b/>
          <w:bCs/>
          <w:kern w:val="0"/>
          <w:sz w:val="24"/>
        </w:rPr>
        <w:t>Agnoli C</w:t>
      </w:r>
      <w:r w:rsidRPr="00133249">
        <w:rPr>
          <w:rFonts w:ascii="Book Antiqua" w:hAnsi="Book Antiqua" w:cs="宋体"/>
          <w:kern w:val="0"/>
          <w:sz w:val="24"/>
        </w:rPr>
        <w:t xml:space="preserve">, Berrino F, Abagnato CA, Muti P, Panico S, Crosignani P, Krogh V. Metabolic syndrome and postmenopausal breast cancer in the ORDET cohort: a nested case-control study. </w:t>
      </w:r>
      <w:r w:rsidRPr="00133249">
        <w:rPr>
          <w:rFonts w:ascii="Book Antiqua" w:hAnsi="Book Antiqua" w:cs="宋体"/>
          <w:i/>
          <w:iCs/>
          <w:kern w:val="0"/>
          <w:sz w:val="24"/>
        </w:rPr>
        <w:t>Nutr Metab Cardiovasc Dis</w:t>
      </w:r>
      <w:r w:rsidRPr="00133249">
        <w:rPr>
          <w:rFonts w:ascii="Book Antiqua" w:hAnsi="Book Antiqua" w:cs="宋体"/>
          <w:kern w:val="0"/>
          <w:sz w:val="24"/>
        </w:rPr>
        <w:t xml:space="preserve"> 2010; </w:t>
      </w:r>
      <w:r w:rsidRPr="00133249">
        <w:rPr>
          <w:rFonts w:ascii="Book Antiqua" w:hAnsi="Book Antiqua" w:cs="宋体"/>
          <w:b/>
          <w:bCs/>
          <w:kern w:val="0"/>
          <w:sz w:val="24"/>
        </w:rPr>
        <w:t>20</w:t>
      </w:r>
      <w:r w:rsidRPr="00133249">
        <w:rPr>
          <w:rFonts w:ascii="Book Antiqua" w:hAnsi="Book Antiqua" w:cs="宋体"/>
          <w:kern w:val="0"/>
          <w:sz w:val="24"/>
        </w:rPr>
        <w:t>: 41-48 [PMID: 19361966 DOI: 10.1016/j.numecd.2009.02.006]</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10 </w:t>
      </w:r>
      <w:r w:rsidRPr="00133249">
        <w:rPr>
          <w:rFonts w:ascii="Book Antiqua" w:hAnsi="Book Antiqua" w:cs="宋体"/>
          <w:b/>
          <w:bCs/>
          <w:kern w:val="0"/>
          <w:sz w:val="24"/>
        </w:rPr>
        <w:t>Faulds MH</w:t>
      </w:r>
      <w:r w:rsidRPr="00133249">
        <w:rPr>
          <w:rFonts w:ascii="Book Antiqua" w:hAnsi="Book Antiqua" w:cs="宋体"/>
          <w:kern w:val="0"/>
          <w:sz w:val="24"/>
        </w:rPr>
        <w:t xml:space="preserve">, Dahlman-Wright K. Metabolic diseases and cancer risk. </w:t>
      </w:r>
      <w:r w:rsidRPr="00133249">
        <w:rPr>
          <w:rFonts w:ascii="Book Antiqua" w:hAnsi="Book Antiqua" w:cs="宋体"/>
          <w:i/>
          <w:iCs/>
          <w:kern w:val="0"/>
          <w:sz w:val="24"/>
        </w:rPr>
        <w:t>Curr Opin Oncol</w:t>
      </w:r>
      <w:r w:rsidRPr="00133249">
        <w:rPr>
          <w:rFonts w:ascii="Book Antiqua" w:hAnsi="Book Antiqua" w:cs="宋体"/>
          <w:kern w:val="0"/>
          <w:sz w:val="24"/>
        </w:rPr>
        <w:t xml:space="preserve"> 2012; </w:t>
      </w:r>
      <w:r w:rsidRPr="00133249">
        <w:rPr>
          <w:rFonts w:ascii="Book Antiqua" w:hAnsi="Book Antiqua" w:cs="宋体"/>
          <w:b/>
          <w:bCs/>
          <w:kern w:val="0"/>
          <w:sz w:val="24"/>
        </w:rPr>
        <w:t>24</w:t>
      </w:r>
      <w:r w:rsidRPr="00133249">
        <w:rPr>
          <w:rFonts w:ascii="Book Antiqua" w:hAnsi="Book Antiqua" w:cs="宋体"/>
          <w:kern w:val="0"/>
          <w:sz w:val="24"/>
        </w:rPr>
        <w:t>: 58-61 [PMID: 22123235 DOI: 10.1097/CCO.0b013e32834e0582]</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t xml:space="preserve">11 </w:t>
      </w:r>
      <w:r w:rsidRPr="00133249">
        <w:rPr>
          <w:rFonts w:ascii="Book Antiqua" w:hAnsi="Book Antiqua" w:cs="宋体"/>
          <w:b/>
          <w:bCs/>
          <w:kern w:val="0"/>
          <w:sz w:val="24"/>
        </w:rPr>
        <w:t>Colonna SV</w:t>
      </w:r>
      <w:r w:rsidRPr="00133249">
        <w:rPr>
          <w:rFonts w:ascii="Book Antiqua" w:hAnsi="Book Antiqua" w:cs="宋体"/>
          <w:kern w:val="0"/>
          <w:sz w:val="24"/>
        </w:rPr>
        <w:t>, Douglas Case L, Lawrence JA.</w:t>
      </w:r>
      <w:proofErr w:type="gramEnd"/>
      <w:r w:rsidRPr="00133249">
        <w:rPr>
          <w:rFonts w:ascii="Book Antiqua" w:hAnsi="Book Antiqua" w:cs="宋体"/>
          <w:kern w:val="0"/>
          <w:sz w:val="24"/>
        </w:rPr>
        <w:t xml:space="preserve"> A retrospective review of the metabolic syndrome in women diagnosed with breast cancer and correlation with estrogen receptor. </w:t>
      </w:r>
      <w:r w:rsidRPr="00133249">
        <w:rPr>
          <w:rFonts w:ascii="Book Antiqua" w:hAnsi="Book Antiqua" w:cs="宋体"/>
          <w:i/>
          <w:iCs/>
          <w:kern w:val="0"/>
          <w:sz w:val="24"/>
        </w:rPr>
        <w:t>Breast Cancer Res Treat</w:t>
      </w:r>
      <w:r w:rsidRPr="00133249">
        <w:rPr>
          <w:rFonts w:ascii="Book Antiqua" w:hAnsi="Book Antiqua" w:cs="宋体"/>
          <w:kern w:val="0"/>
          <w:sz w:val="24"/>
        </w:rPr>
        <w:t xml:space="preserve"> 2012; </w:t>
      </w:r>
      <w:r w:rsidRPr="00133249">
        <w:rPr>
          <w:rFonts w:ascii="Book Antiqua" w:hAnsi="Book Antiqua" w:cs="宋体"/>
          <w:b/>
          <w:bCs/>
          <w:kern w:val="0"/>
          <w:sz w:val="24"/>
        </w:rPr>
        <w:t>131</w:t>
      </w:r>
      <w:r w:rsidRPr="00133249">
        <w:rPr>
          <w:rFonts w:ascii="Book Antiqua" w:hAnsi="Book Antiqua" w:cs="宋体"/>
          <w:kern w:val="0"/>
          <w:sz w:val="24"/>
        </w:rPr>
        <w:t>: 325-331 [PMID: 21964613 DOI: 10.1007/s10549-011-1790-x]</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t xml:space="preserve">12 </w:t>
      </w:r>
      <w:r w:rsidRPr="00133249">
        <w:rPr>
          <w:rFonts w:ascii="Book Antiqua" w:hAnsi="Book Antiqua" w:cs="宋体"/>
          <w:b/>
          <w:bCs/>
          <w:kern w:val="0"/>
          <w:sz w:val="24"/>
        </w:rPr>
        <w:t>Kroner Z</w:t>
      </w:r>
      <w:r w:rsidRPr="00133249">
        <w:rPr>
          <w:rFonts w:ascii="Book Antiqua" w:hAnsi="Book Antiqua" w:cs="宋体"/>
          <w:kern w:val="0"/>
          <w:sz w:val="24"/>
        </w:rPr>
        <w:t>.</w:t>
      </w:r>
      <w:proofErr w:type="gramEnd"/>
      <w:r w:rsidRPr="00133249">
        <w:rPr>
          <w:rFonts w:ascii="Book Antiqua" w:hAnsi="Book Antiqua" w:cs="宋体"/>
          <w:kern w:val="0"/>
          <w:sz w:val="24"/>
        </w:rPr>
        <w:t xml:space="preserve"> The relationship between Alzheimer's disease and diabetes: Type 3 diabetes? </w:t>
      </w:r>
      <w:r w:rsidRPr="00133249">
        <w:rPr>
          <w:rFonts w:ascii="Book Antiqua" w:hAnsi="Book Antiqua" w:cs="宋体"/>
          <w:i/>
          <w:iCs/>
          <w:kern w:val="0"/>
          <w:sz w:val="24"/>
        </w:rPr>
        <w:t>Altern Med Rev</w:t>
      </w:r>
      <w:r w:rsidRPr="00133249">
        <w:rPr>
          <w:rFonts w:ascii="Book Antiqua" w:hAnsi="Book Antiqua" w:cs="宋体"/>
          <w:kern w:val="0"/>
          <w:sz w:val="24"/>
        </w:rPr>
        <w:t xml:space="preserve"> 2009; </w:t>
      </w:r>
      <w:r w:rsidRPr="00133249">
        <w:rPr>
          <w:rFonts w:ascii="Book Antiqua" w:hAnsi="Book Antiqua" w:cs="宋体"/>
          <w:b/>
          <w:bCs/>
          <w:kern w:val="0"/>
          <w:sz w:val="24"/>
        </w:rPr>
        <w:t>14</w:t>
      </w:r>
      <w:r w:rsidRPr="00133249">
        <w:rPr>
          <w:rFonts w:ascii="Book Antiqua" w:hAnsi="Book Antiqua" w:cs="宋体"/>
          <w:kern w:val="0"/>
          <w:sz w:val="24"/>
        </w:rPr>
        <w:t>: 373-379 [PMID: 20030463]</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13 </w:t>
      </w:r>
      <w:r w:rsidRPr="00133249">
        <w:rPr>
          <w:rFonts w:ascii="Book Antiqua" w:hAnsi="Book Antiqua" w:cs="宋体"/>
          <w:b/>
          <w:bCs/>
          <w:kern w:val="0"/>
          <w:sz w:val="24"/>
        </w:rPr>
        <w:t>Ott A</w:t>
      </w:r>
      <w:r w:rsidRPr="00133249">
        <w:rPr>
          <w:rFonts w:ascii="Book Antiqua" w:hAnsi="Book Antiqua" w:cs="宋体"/>
          <w:kern w:val="0"/>
          <w:sz w:val="24"/>
        </w:rPr>
        <w:t xml:space="preserve">, Stolk RP, van Harskamp F, Pols HA, Hofman A, Breteler MM. Diabetes mellitus and the risk of dementia: The Rotterdam Study. </w:t>
      </w:r>
      <w:r w:rsidRPr="00133249">
        <w:rPr>
          <w:rFonts w:ascii="Book Antiqua" w:hAnsi="Book Antiqua" w:cs="宋体"/>
          <w:i/>
          <w:iCs/>
          <w:kern w:val="0"/>
          <w:sz w:val="24"/>
        </w:rPr>
        <w:t>Neurology</w:t>
      </w:r>
      <w:r w:rsidRPr="00133249">
        <w:rPr>
          <w:rFonts w:ascii="Book Antiqua" w:hAnsi="Book Antiqua" w:cs="宋体"/>
          <w:kern w:val="0"/>
          <w:sz w:val="24"/>
        </w:rPr>
        <w:t xml:space="preserve"> 1999; </w:t>
      </w:r>
      <w:r w:rsidRPr="00133249">
        <w:rPr>
          <w:rFonts w:ascii="Book Antiqua" w:hAnsi="Book Antiqua" w:cs="宋体"/>
          <w:b/>
          <w:bCs/>
          <w:kern w:val="0"/>
          <w:sz w:val="24"/>
        </w:rPr>
        <w:t>53</w:t>
      </w:r>
      <w:r w:rsidRPr="00133249">
        <w:rPr>
          <w:rFonts w:ascii="Book Antiqua" w:hAnsi="Book Antiqua" w:cs="宋体"/>
          <w:kern w:val="0"/>
          <w:sz w:val="24"/>
        </w:rPr>
        <w:t>: 1937-1942 [PMID: 10599761]</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14 </w:t>
      </w:r>
      <w:r w:rsidRPr="00133249">
        <w:rPr>
          <w:rFonts w:ascii="Book Antiqua" w:hAnsi="Book Antiqua" w:cs="宋体"/>
          <w:b/>
          <w:bCs/>
          <w:kern w:val="0"/>
          <w:sz w:val="24"/>
        </w:rPr>
        <w:t>Baskin DG</w:t>
      </w:r>
      <w:r w:rsidRPr="00133249">
        <w:rPr>
          <w:rFonts w:ascii="Book Antiqua" w:hAnsi="Book Antiqua" w:cs="宋体"/>
          <w:kern w:val="0"/>
          <w:sz w:val="24"/>
        </w:rPr>
        <w:t xml:space="preserve">, Wilcox BJ, Figlewicz DP, Dorsa DM. Insulin and insulin-like growth factors in the CNS. </w:t>
      </w:r>
      <w:r w:rsidRPr="00133249">
        <w:rPr>
          <w:rFonts w:ascii="Book Antiqua" w:hAnsi="Book Antiqua" w:cs="宋体"/>
          <w:i/>
          <w:iCs/>
          <w:kern w:val="0"/>
          <w:sz w:val="24"/>
        </w:rPr>
        <w:t>Trends Neurosci</w:t>
      </w:r>
      <w:r w:rsidRPr="00133249">
        <w:rPr>
          <w:rFonts w:ascii="Book Antiqua" w:hAnsi="Book Antiqua" w:cs="宋体"/>
          <w:kern w:val="0"/>
          <w:sz w:val="24"/>
        </w:rPr>
        <w:t xml:space="preserve"> 1988; </w:t>
      </w:r>
      <w:r w:rsidRPr="00133249">
        <w:rPr>
          <w:rFonts w:ascii="Book Antiqua" w:hAnsi="Book Antiqua" w:cs="宋体"/>
          <w:b/>
          <w:bCs/>
          <w:kern w:val="0"/>
          <w:sz w:val="24"/>
        </w:rPr>
        <w:t>11</w:t>
      </w:r>
      <w:r w:rsidRPr="00133249">
        <w:rPr>
          <w:rFonts w:ascii="Book Antiqua" w:hAnsi="Book Antiqua" w:cs="宋体"/>
          <w:kern w:val="0"/>
          <w:sz w:val="24"/>
        </w:rPr>
        <w:t>: 107-111 [PMID: 2465607]</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15 </w:t>
      </w:r>
      <w:r w:rsidRPr="00133249">
        <w:rPr>
          <w:rFonts w:ascii="Book Antiqua" w:hAnsi="Book Antiqua" w:cs="宋体"/>
          <w:b/>
          <w:bCs/>
          <w:kern w:val="0"/>
          <w:sz w:val="24"/>
        </w:rPr>
        <w:t>Adamo M</w:t>
      </w:r>
      <w:r w:rsidRPr="00133249">
        <w:rPr>
          <w:rFonts w:ascii="Book Antiqua" w:hAnsi="Book Antiqua" w:cs="宋体"/>
          <w:kern w:val="0"/>
          <w:sz w:val="24"/>
        </w:rPr>
        <w:t xml:space="preserve">, Raizada MK, LeRoith D. Insulin and insulin-like growth factor receptors in the nervous system. </w:t>
      </w:r>
      <w:r w:rsidRPr="00133249">
        <w:rPr>
          <w:rFonts w:ascii="Book Antiqua" w:hAnsi="Book Antiqua" w:cs="宋体"/>
          <w:i/>
          <w:iCs/>
          <w:kern w:val="0"/>
          <w:sz w:val="24"/>
        </w:rPr>
        <w:t>Mol Neurobiol</w:t>
      </w:r>
      <w:r w:rsidRPr="00133249">
        <w:rPr>
          <w:rFonts w:ascii="Book Antiqua" w:hAnsi="Book Antiqua" w:cs="宋体"/>
          <w:kern w:val="0"/>
          <w:sz w:val="24"/>
        </w:rPr>
        <w:t xml:space="preserve"> </w:t>
      </w:r>
      <w:r w:rsidR="00E57732">
        <w:rPr>
          <w:rFonts w:ascii="Book Antiqua" w:hAnsi="Book Antiqua" w:cs="宋体" w:hint="eastAsia"/>
          <w:kern w:val="0"/>
          <w:sz w:val="24"/>
        </w:rPr>
        <w:t>1989</w:t>
      </w:r>
      <w:r w:rsidRPr="00133249">
        <w:rPr>
          <w:rFonts w:ascii="Book Antiqua" w:hAnsi="Book Antiqua" w:cs="宋体"/>
          <w:kern w:val="0"/>
          <w:sz w:val="24"/>
        </w:rPr>
        <w:t xml:space="preserve">; </w:t>
      </w:r>
      <w:r w:rsidRPr="00133249">
        <w:rPr>
          <w:rFonts w:ascii="Book Antiqua" w:hAnsi="Book Antiqua" w:cs="宋体"/>
          <w:b/>
          <w:bCs/>
          <w:kern w:val="0"/>
          <w:sz w:val="24"/>
        </w:rPr>
        <w:t>3</w:t>
      </w:r>
      <w:r w:rsidRPr="00133249">
        <w:rPr>
          <w:rFonts w:ascii="Book Antiqua" w:hAnsi="Book Antiqua" w:cs="宋体"/>
          <w:kern w:val="0"/>
          <w:sz w:val="24"/>
        </w:rPr>
        <w:t>: 71-100 [PMID: 2553069]</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16 </w:t>
      </w:r>
      <w:r w:rsidRPr="00133249">
        <w:rPr>
          <w:rFonts w:ascii="Book Antiqua" w:hAnsi="Book Antiqua" w:cs="宋体"/>
          <w:b/>
          <w:bCs/>
          <w:kern w:val="0"/>
          <w:sz w:val="24"/>
        </w:rPr>
        <w:t>Biessels GJ</w:t>
      </w:r>
      <w:r w:rsidRPr="00133249">
        <w:rPr>
          <w:rFonts w:ascii="Book Antiqua" w:hAnsi="Book Antiqua" w:cs="宋体"/>
          <w:kern w:val="0"/>
          <w:sz w:val="24"/>
        </w:rPr>
        <w:t xml:space="preserve">, Bravenboer B, Gispen WH. Glucose, insulin and the brain: modulation of cognition and synaptic plasticity in health and disease: a preface. </w:t>
      </w:r>
      <w:r w:rsidRPr="00133249">
        <w:rPr>
          <w:rFonts w:ascii="Book Antiqua" w:hAnsi="Book Antiqua" w:cs="宋体"/>
          <w:i/>
          <w:iCs/>
          <w:kern w:val="0"/>
          <w:sz w:val="24"/>
        </w:rPr>
        <w:t>Eur J Pharmacol</w:t>
      </w:r>
      <w:r w:rsidRPr="00133249">
        <w:rPr>
          <w:rFonts w:ascii="Book Antiqua" w:hAnsi="Book Antiqua" w:cs="宋体"/>
          <w:kern w:val="0"/>
          <w:sz w:val="24"/>
        </w:rPr>
        <w:t xml:space="preserve"> 2004; </w:t>
      </w:r>
      <w:r w:rsidRPr="00133249">
        <w:rPr>
          <w:rFonts w:ascii="Book Antiqua" w:hAnsi="Book Antiqua" w:cs="宋体"/>
          <w:b/>
          <w:bCs/>
          <w:kern w:val="0"/>
          <w:sz w:val="24"/>
        </w:rPr>
        <w:t>490</w:t>
      </w:r>
      <w:r w:rsidRPr="00133249">
        <w:rPr>
          <w:rFonts w:ascii="Book Antiqua" w:hAnsi="Book Antiqua" w:cs="宋体"/>
          <w:kern w:val="0"/>
          <w:sz w:val="24"/>
        </w:rPr>
        <w:t>: 1-4 [PMID: 15094068]</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t xml:space="preserve">17 </w:t>
      </w:r>
      <w:r w:rsidRPr="00133249">
        <w:rPr>
          <w:rFonts w:ascii="Book Antiqua" w:hAnsi="Book Antiqua" w:cs="宋体"/>
          <w:b/>
          <w:bCs/>
          <w:kern w:val="0"/>
          <w:sz w:val="24"/>
        </w:rPr>
        <w:t>Gerozissis K</w:t>
      </w:r>
      <w:r w:rsidRPr="00133249">
        <w:rPr>
          <w:rFonts w:ascii="Book Antiqua" w:hAnsi="Book Antiqua" w:cs="宋体"/>
          <w:kern w:val="0"/>
          <w:sz w:val="24"/>
        </w:rPr>
        <w:t>. Brain insulin</w:t>
      </w:r>
      <w:proofErr w:type="gramEnd"/>
      <w:r w:rsidRPr="00133249">
        <w:rPr>
          <w:rFonts w:ascii="Book Antiqua" w:hAnsi="Book Antiqua" w:cs="宋体"/>
          <w:kern w:val="0"/>
          <w:sz w:val="24"/>
        </w:rPr>
        <w:t xml:space="preserve">: regulation, mechanisms of action and functions. </w:t>
      </w:r>
      <w:r w:rsidRPr="00133249">
        <w:rPr>
          <w:rFonts w:ascii="Book Antiqua" w:hAnsi="Book Antiqua" w:cs="宋体"/>
          <w:i/>
          <w:iCs/>
          <w:kern w:val="0"/>
          <w:sz w:val="24"/>
        </w:rPr>
        <w:t>Cell Mol Neurobiol</w:t>
      </w:r>
      <w:r w:rsidRPr="00133249">
        <w:rPr>
          <w:rFonts w:ascii="Book Antiqua" w:hAnsi="Book Antiqua" w:cs="宋体"/>
          <w:kern w:val="0"/>
          <w:sz w:val="24"/>
        </w:rPr>
        <w:t xml:space="preserve"> 2003; </w:t>
      </w:r>
      <w:r w:rsidRPr="00133249">
        <w:rPr>
          <w:rFonts w:ascii="Book Antiqua" w:hAnsi="Book Antiqua" w:cs="宋体"/>
          <w:b/>
          <w:bCs/>
          <w:kern w:val="0"/>
          <w:sz w:val="24"/>
        </w:rPr>
        <w:t>23</w:t>
      </w:r>
      <w:r w:rsidRPr="00133249">
        <w:rPr>
          <w:rFonts w:ascii="Book Antiqua" w:hAnsi="Book Antiqua" w:cs="宋体"/>
          <w:kern w:val="0"/>
          <w:sz w:val="24"/>
        </w:rPr>
        <w:t>: 1-25 [PMID: 12701881]</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18 </w:t>
      </w:r>
      <w:r w:rsidRPr="00133249">
        <w:rPr>
          <w:rFonts w:ascii="Book Antiqua" w:hAnsi="Book Antiqua" w:cs="宋体"/>
          <w:b/>
          <w:bCs/>
          <w:kern w:val="0"/>
          <w:sz w:val="24"/>
        </w:rPr>
        <w:t>Plitzko D</w:t>
      </w:r>
      <w:r w:rsidRPr="00133249">
        <w:rPr>
          <w:rFonts w:ascii="Book Antiqua" w:hAnsi="Book Antiqua" w:cs="宋体"/>
          <w:kern w:val="0"/>
          <w:sz w:val="24"/>
        </w:rPr>
        <w:t xml:space="preserve">, Rumpel S, Gottmann K. Insulin promotes functional induction of silent synapses in differentiating rat neocortical neurons. </w:t>
      </w:r>
      <w:r w:rsidRPr="00133249">
        <w:rPr>
          <w:rFonts w:ascii="Book Antiqua" w:hAnsi="Book Antiqua" w:cs="宋体"/>
          <w:i/>
          <w:iCs/>
          <w:kern w:val="0"/>
          <w:sz w:val="24"/>
        </w:rPr>
        <w:t>Eur J Neurosci</w:t>
      </w:r>
      <w:r w:rsidRPr="00133249">
        <w:rPr>
          <w:rFonts w:ascii="Book Antiqua" w:hAnsi="Book Antiqua" w:cs="宋体"/>
          <w:kern w:val="0"/>
          <w:sz w:val="24"/>
        </w:rPr>
        <w:t xml:space="preserve"> 2001; </w:t>
      </w:r>
      <w:r w:rsidRPr="00133249">
        <w:rPr>
          <w:rFonts w:ascii="Book Antiqua" w:hAnsi="Book Antiqua" w:cs="宋体"/>
          <w:b/>
          <w:bCs/>
          <w:kern w:val="0"/>
          <w:sz w:val="24"/>
        </w:rPr>
        <w:t>14</w:t>
      </w:r>
      <w:r w:rsidRPr="00133249">
        <w:rPr>
          <w:rFonts w:ascii="Book Antiqua" w:hAnsi="Book Antiqua" w:cs="宋体"/>
          <w:kern w:val="0"/>
          <w:sz w:val="24"/>
        </w:rPr>
        <w:t>: 1412-1415 [PMID: 11703469]</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t xml:space="preserve">19 </w:t>
      </w:r>
      <w:r w:rsidRPr="00133249">
        <w:rPr>
          <w:rFonts w:ascii="Book Antiqua" w:hAnsi="Book Antiqua" w:cs="宋体"/>
          <w:b/>
          <w:bCs/>
          <w:kern w:val="0"/>
          <w:sz w:val="24"/>
        </w:rPr>
        <w:t>Skeberdis VA</w:t>
      </w:r>
      <w:r w:rsidRPr="00133249">
        <w:rPr>
          <w:rFonts w:ascii="Book Antiqua" w:hAnsi="Book Antiqua" w:cs="宋体"/>
          <w:kern w:val="0"/>
          <w:sz w:val="24"/>
        </w:rPr>
        <w:t>, Lan J, Zheng X, Zukin RS, Bennett MV.</w:t>
      </w:r>
      <w:proofErr w:type="gramEnd"/>
      <w:r w:rsidRPr="00133249">
        <w:rPr>
          <w:rFonts w:ascii="Book Antiqua" w:hAnsi="Book Antiqua" w:cs="宋体"/>
          <w:kern w:val="0"/>
          <w:sz w:val="24"/>
        </w:rPr>
        <w:t xml:space="preserve"> Insulin promotes rapid delivery of N-methyl-D- aspartate receptors to the cell surface by exocytosis. </w:t>
      </w:r>
      <w:r w:rsidR="00E57732">
        <w:rPr>
          <w:rFonts w:ascii="Book Antiqua" w:hAnsi="Book Antiqua" w:cs="宋体"/>
          <w:i/>
          <w:iCs/>
          <w:kern w:val="0"/>
          <w:sz w:val="24"/>
        </w:rPr>
        <w:t>Proc Natl Acad Sci US</w:t>
      </w:r>
      <w:r w:rsidRPr="00133249">
        <w:rPr>
          <w:rFonts w:ascii="Book Antiqua" w:hAnsi="Book Antiqua" w:cs="宋体"/>
          <w:i/>
          <w:iCs/>
          <w:kern w:val="0"/>
          <w:sz w:val="24"/>
        </w:rPr>
        <w:t>A</w:t>
      </w:r>
      <w:r w:rsidRPr="00133249">
        <w:rPr>
          <w:rFonts w:ascii="Book Antiqua" w:hAnsi="Book Antiqua" w:cs="宋体"/>
          <w:kern w:val="0"/>
          <w:sz w:val="24"/>
        </w:rPr>
        <w:t xml:space="preserve"> 2001; </w:t>
      </w:r>
      <w:r w:rsidRPr="00133249">
        <w:rPr>
          <w:rFonts w:ascii="Book Antiqua" w:hAnsi="Book Antiqua" w:cs="宋体"/>
          <w:b/>
          <w:bCs/>
          <w:kern w:val="0"/>
          <w:sz w:val="24"/>
        </w:rPr>
        <w:t>98</w:t>
      </w:r>
      <w:r w:rsidRPr="00133249">
        <w:rPr>
          <w:rFonts w:ascii="Book Antiqua" w:hAnsi="Book Antiqua" w:cs="宋体"/>
          <w:kern w:val="0"/>
          <w:sz w:val="24"/>
        </w:rPr>
        <w:t>: 3561-3566 [PMID: 11248117]</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lastRenderedPageBreak/>
        <w:t xml:space="preserve">20 </w:t>
      </w:r>
      <w:r w:rsidRPr="00133249">
        <w:rPr>
          <w:rFonts w:ascii="Book Antiqua" w:hAnsi="Book Antiqua" w:cs="宋体"/>
          <w:b/>
          <w:bCs/>
          <w:kern w:val="0"/>
          <w:sz w:val="24"/>
        </w:rPr>
        <w:t>Hooper PL</w:t>
      </w:r>
      <w:r w:rsidRPr="00133249">
        <w:rPr>
          <w:rFonts w:ascii="Book Antiqua" w:hAnsi="Book Antiqua" w:cs="宋体"/>
          <w:kern w:val="0"/>
          <w:sz w:val="24"/>
        </w:rPr>
        <w:t xml:space="preserve">. Insulin Signaling, GSK-3, Heat Shock Proteins and the Natural History of Type 2 Diabetes Mellitus: A Hypothesis. </w:t>
      </w:r>
      <w:r w:rsidRPr="00133249">
        <w:rPr>
          <w:rFonts w:ascii="Book Antiqua" w:hAnsi="Book Antiqua" w:cs="宋体"/>
          <w:i/>
          <w:iCs/>
          <w:kern w:val="0"/>
          <w:sz w:val="24"/>
        </w:rPr>
        <w:t>Metab Syndr Relat Disord</w:t>
      </w:r>
      <w:r w:rsidRPr="00133249">
        <w:rPr>
          <w:rFonts w:ascii="Book Antiqua" w:hAnsi="Book Antiqua" w:cs="宋体"/>
          <w:kern w:val="0"/>
          <w:sz w:val="24"/>
        </w:rPr>
        <w:t xml:space="preserve"> 2007; </w:t>
      </w:r>
      <w:r w:rsidRPr="00133249">
        <w:rPr>
          <w:rFonts w:ascii="Book Antiqua" w:hAnsi="Book Antiqua" w:cs="宋体"/>
          <w:b/>
          <w:bCs/>
          <w:kern w:val="0"/>
          <w:sz w:val="24"/>
        </w:rPr>
        <w:t>5</w:t>
      </w:r>
      <w:r w:rsidRPr="00133249">
        <w:rPr>
          <w:rFonts w:ascii="Book Antiqua" w:hAnsi="Book Antiqua" w:cs="宋体"/>
          <w:kern w:val="0"/>
          <w:sz w:val="24"/>
        </w:rPr>
        <w:t>: 220-230 [PMID: 18370776 DOI: 10.1089/met.2007.0005]</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21 </w:t>
      </w:r>
      <w:r w:rsidRPr="00133249">
        <w:rPr>
          <w:rFonts w:ascii="Book Antiqua" w:hAnsi="Book Antiqua" w:cs="宋体"/>
          <w:b/>
          <w:bCs/>
          <w:kern w:val="0"/>
          <w:sz w:val="24"/>
        </w:rPr>
        <w:t>Zhao W</w:t>
      </w:r>
      <w:r w:rsidRPr="00133249">
        <w:rPr>
          <w:rFonts w:ascii="Book Antiqua" w:hAnsi="Book Antiqua" w:cs="宋体"/>
          <w:kern w:val="0"/>
          <w:sz w:val="24"/>
        </w:rPr>
        <w:t xml:space="preserve">, Chen H, Xu H, Moore E, Meiri N, Quon MJ, Alkon DL. </w:t>
      </w:r>
      <w:proofErr w:type="gramStart"/>
      <w:r w:rsidRPr="00133249">
        <w:rPr>
          <w:rFonts w:ascii="Book Antiqua" w:hAnsi="Book Antiqua" w:cs="宋体"/>
          <w:kern w:val="0"/>
          <w:sz w:val="24"/>
        </w:rPr>
        <w:t>Brain insulin receptors and spatial memory.</w:t>
      </w:r>
      <w:proofErr w:type="gramEnd"/>
      <w:r w:rsidRPr="00133249">
        <w:rPr>
          <w:rFonts w:ascii="Book Antiqua" w:hAnsi="Book Antiqua" w:cs="宋体"/>
          <w:kern w:val="0"/>
          <w:sz w:val="24"/>
        </w:rPr>
        <w:t xml:space="preserve"> Correlated changes in gene expression, tyrosine phosphorylation, and signaling molecules in the hippocampus of water maze trained rats. </w:t>
      </w:r>
      <w:r w:rsidRPr="00133249">
        <w:rPr>
          <w:rFonts w:ascii="Book Antiqua" w:hAnsi="Book Antiqua" w:cs="宋体"/>
          <w:i/>
          <w:iCs/>
          <w:kern w:val="0"/>
          <w:sz w:val="24"/>
        </w:rPr>
        <w:t>J Biol Chem</w:t>
      </w:r>
      <w:r w:rsidRPr="00133249">
        <w:rPr>
          <w:rFonts w:ascii="Book Antiqua" w:hAnsi="Book Antiqua" w:cs="宋体"/>
          <w:kern w:val="0"/>
          <w:sz w:val="24"/>
        </w:rPr>
        <w:t xml:space="preserve"> 1999; </w:t>
      </w:r>
      <w:r w:rsidRPr="00133249">
        <w:rPr>
          <w:rFonts w:ascii="Book Antiqua" w:hAnsi="Book Antiqua" w:cs="宋体"/>
          <w:b/>
          <w:bCs/>
          <w:kern w:val="0"/>
          <w:sz w:val="24"/>
        </w:rPr>
        <w:t>274</w:t>
      </w:r>
      <w:r w:rsidRPr="00133249">
        <w:rPr>
          <w:rFonts w:ascii="Book Antiqua" w:hAnsi="Book Antiqua" w:cs="宋体"/>
          <w:kern w:val="0"/>
          <w:sz w:val="24"/>
        </w:rPr>
        <w:t>: 34893-34902 [PMID: 10574963]</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22 </w:t>
      </w:r>
      <w:r w:rsidRPr="00133249">
        <w:rPr>
          <w:rFonts w:ascii="Book Antiqua" w:hAnsi="Book Antiqua" w:cs="宋体"/>
          <w:b/>
          <w:bCs/>
          <w:kern w:val="0"/>
          <w:sz w:val="24"/>
        </w:rPr>
        <w:t>Hoyer S</w:t>
      </w:r>
      <w:r w:rsidRPr="00133249">
        <w:rPr>
          <w:rFonts w:ascii="Book Antiqua" w:hAnsi="Book Antiqua" w:cs="宋体"/>
          <w:kern w:val="0"/>
          <w:sz w:val="24"/>
        </w:rPr>
        <w:t xml:space="preserve">. Is sporadic Alzheimer </w:t>
      </w:r>
      <w:proofErr w:type="gramStart"/>
      <w:r w:rsidRPr="00133249">
        <w:rPr>
          <w:rFonts w:ascii="Book Antiqua" w:hAnsi="Book Antiqua" w:cs="宋体"/>
          <w:kern w:val="0"/>
          <w:sz w:val="24"/>
        </w:rPr>
        <w:t>disease</w:t>
      </w:r>
      <w:proofErr w:type="gramEnd"/>
      <w:r w:rsidRPr="00133249">
        <w:rPr>
          <w:rFonts w:ascii="Book Antiqua" w:hAnsi="Book Antiqua" w:cs="宋体"/>
          <w:kern w:val="0"/>
          <w:sz w:val="24"/>
        </w:rPr>
        <w:t xml:space="preserve"> the brain type of non-insulin dependent diabetes mellitus? </w:t>
      </w:r>
      <w:proofErr w:type="gramStart"/>
      <w:r w:rsidRPr="00133249">
        <w:rPr>
          <w:rFonts w:ascii="Book Antiqua" w:hAnsi="Book Antiqua" w:cs="宋体"/>
          <w:kern w:val="0"/>
          <w:sz w:val="24"/>
        </w:rPr>
        <w:t>A challenging hypothesis.</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J Neural Transm</w:t>
      </w:r>
      <w:r w:rsidRPr="00133249">
        <w:rPr>
          <w:rFonts w:ascii="Book Antiqua" w:hAnsi="Book Antiqua" w:cs="宋体"/>
          <w:kern w:val="0"/>
          <w:sz w:val="24"/>
        </w:rPr>
        <w:t xml:space="preserve"> 1998; </w:t>
      </w:r>
      <w:r w:rsidRPr="00133249">
        <w:rPr>
          <w:rFonts w:ascii="Book Antiqua" w:hAnsi="Book Antiqua" w:cs="宋体"/>
          <w:b/>
          <w:bCs/>
          <w:kern w:val="0"/>
          <w:sz w:val="24"/>
        </w:rPr>
        <w:t>105</w:t>
      </w:r>
      <w:r w:rsidRPr="00133249">
        <w:rPr>
          <w:rFonts w:ascii="Book Antiqua" w:hAnsi="Book Antiqua" w:cs="宋体"/>
          <w:kern w:val="0"/>
          <w:sz w:val="24"/>
        </w:rPr>
        <w:t>: 415-422 [PMID: 9720971]</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23 </w:t>
      </w:r>
      <w:r w:rsidRPr="00133249">
        <w:rPr>
          <w:rFonts w:ascii="Book Antiqua" w:hAnsi="Book Antiqua" w:cs="宋体"/>
          <w:b/>
          <w:bCs/>
          <w:kern w:val="0"/>
          <w:sz w:val="24"/>
        </w:rPr>
        <w:t>Messier C</w:t>
      </w:r>
      <w:r w:rsidRPr="00133249">
        <w:rPr>
          <w:rFonts w:ascii="Book Antiqua" w:hAnsi="Book Antiqua" w:cs="宋体"/>
          <w:kern w:val="0"/>
          <w:sz w:val="24"/>
        </w:rPr>
        <w:t xml:space="preserve">, Gagnon M. Glucose regulation and cognitive functions: relation to Alzheimer's disease and diabetes. </w:t>
      </w:r>
      <w:r w:rsidRPr="00133249">
        <w:rPr>
          <w:rFonts w:ascii="Book Antiqua" w:hAnsi="Book Antiqua" w:cs="宋体"/>
          <w:i/>
          <w:iCs/>
          <w:kern w:val="0"/>
          <w:sz w:val="24"/>
        </w:rPr>
        <w:t>Behav Brain Res</w:t>
      </w:r>
      <w:r w:rsidRPr="00133249">
        <w:rPr>
          <w:rFonts w:ascii="Book Antiqua" w:hAnsi="Book Antiqua" w:cs="宋体"/>
          <w:kern w:val="0"/>
          <w:sz w:val="24"/>
        </w:rPr>
        <w:t xml:space="preserve"> 1996; </w:t>
      </w:r>
      <w:r w:rsidRPr="00133249">
        <w:rPr>
          <w:rFonts w:ascii="Book Antiqua" w:hAnsi="Book Antiqua" w:cs="宋体"/>
          <w:b/>
          <w:bCs/>
          <w:kern w:val="0"/>
          <w:sz w:val="24"/>
        </w:rPr>
        <w:t>75</w:t>
      </w:r>
      <w:r w:rsidRPr="00133249">
        <w:rPr>
          <w:rFonts w:ascii="Book Antiqua" w:hAnsi="Book Antiqua" w:cs="宋体"/>
          <w:kern w:val="0"/>
          <w:sz w:val="24"/>
        </w:rPr>
        <w:t>: 1-11 [PMID: 8800646]</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24 </w:t>
      </w:r>
      <w:r w:rsidRPr="00133249">
        <w:rPr>
          <w:rFonts w:ascii="Book Antiqua" w:hAnsi="Book Antiqua" w:cs="宋体"/>
          <w:b/>
          <w:bCs/>
          <w:kern w:val="0"/>
          <w:sz w:val="24"/>
        </w:rPr>
        <w:t>Steen E</w:t>
      </w:r>
      <w:r w:rsidRPr="00133249">
        <w:rPr>
          <w:rFonts w:ascii="Book Antiqua" w:hAnsi="Book Antiqua" w:cs="宋体"/>
          <w:kern w:val="0"/>
          <w:sz w:val="24"/>
        </w:rPr>
        <w:t xml:space="preserve">, Terry BM, Rivera EJ, Cannon JL, Neely TR, Tavares R, Xu XJ, Wands JR, de la Monte SM. Impaired insulin and insulin-like growth factor expression and signaling mechanisms in Alzheimer's disease--is this type 3 diabetes? </w:t>
      </w:r>
      <w:r w:rsidRPr="00133249">
        <w:rPr>
          <w:rFonts w:ascii="Book Antiqua" w:hAnsi="Book Antiqua" w:cs="宋体"/>
          <w:i/>
          <w:iCs/>
          <w:kern w:val="0"/>
          <w:sz w:val="24"/>
        </w:rPr>
        <w:t>J Alzheimers Dis</w:t>
      </w:r>
      <w:r w:rsidRPr="00133249">
        <w:rPr>
          <w:rFonts w:ascii="Book Antiqua" w:hAnsi="Book Antiqua" w:cs="宋体"/>
          <w:kern w:val="0"/>
          <w:sz w:val="24"/>
        </w:rPr>
        <w:t xml:space="preserve"> 2005; </w:t>
      </w:r>
      <w:r w:rsidRPr="00133249">
        <w:rPr>
          <w:rFonts w:ascii="Book Antiqua" w:hAnsi="Book Antiqua" w:cs="宋体"/>
          <w:b/>
          <w:bCs/>
          <w:kern w:val="0"/>
          <w:sz w:val="24"/>
        </w:rPr>
        <w:t>7</w:t>
      </w:r>
      <w:r w:rsidRPr="00133249">
        <w:rPr>
          <w:rFonts w:ascii="Book Antiqua" w:hAnsi="Book Antiqua" w:cs="宋体"/>
          <w:kern w:val="0"/>
          <w:sz w:val="24"/>
        </w:rPr>
        <w:t>: 63-80 [PMID: 15750215]</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25 </w:t>
      </w:r>
      <w:r w:rsidRPr="00133249">
        <w:rPr>
          <w:rFonts w:ascii="Book Antiqua" w:hAnsi="Book Antiqua" w:cs="宋体"/>
          <w:b/>
          <w:bCs/>
          <w:kern w:val="0"/>
          <w:sz w:val="24"/>
        </w:rPr>
        <w:t>Craft S</w:t>
      </w:r>
      <w:r w:rsidRPr="00133249">
        <w:rPr>
          <w:rFonts w:ascii="Book Antiqua" w:hAnsi="Book Antiqua" w:cs="宋体"/>
          <w:kern w:val="0"/>
          <w:sz w:val="24"/>
        </w:rPr>
        <w:t xml:space="preserve">, Dagogo-Jack SE, Wiethop BV, Murphy C, Nevins RT, Fleischman S, Rice V, Newcomer JW, Cryer PE. Effects of hyperglycemia on memory and hormone levels in dementia of the Alzheimer type: a longitudinal study. </w:t>
      </w:r>
      <w:r w:rsidRPr="00133249">
        <w:rPr>
          <w:rFonts w:ascii="Book Antiqua" w:hAnsi="Book Antiqua" w:cs="宋体"/>
          <w:i/>
          <w:iCs/>
          <w:kern w:val="0"/>
          <w:sz w:val="24"/>
        </w:rPr>
        <w:t>Behav Neurosci</w:t>
      </w:r>
      <w:r w:rsidRPr="00133249">
        <w:rPr>
          <w:rFonts w:ascii="Book Antiqua" w:hAnsi="Book Antiqua" w:cs="宋体"/>
          <w:kern w:val="0"/>
          <w:sz w:val="24"/>
        </w:rPr>
        <w:t xml:space="preserve"> 1993; </w:t>
      </w:r>
      <w:r w:rsidRPr="00133249">
        <w:rPr>
          <w:rFonts w:ascii="Book Antiqua" w:hAnsi="Book Antiqua" w:cs="宋体"/>
          <w:b/>
          <w:bCs/>
          <w:kern w:val="0"/>
          <w:sz w:val="24"/>
        </w:rPr>
        <w:t>107</w:t>
      </w:r>
      <w:r w:rsidRPr="00133249">
        <w:rPr>
          <w:rFonts w:ascii="Book Antiqua" w:hAnsi="Book Antiqua" w:cs="宋体"/>
          <w:kern w:val="0"/>
          <w:sz w:val="24"/>
        </w:rPr>
        <w:t>: 926-940 [PMID: 8136068]</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26 </w:t>
      </w:r>
      <w:r w:rsidRPr="00133249">
        <w:rPr>
          <w:rFonts w:ascii="Book Antiqua" w:hAnsi="Book Antiqua" w:cs="宋体"/>
          <w:b/>
          <w:bCs/>
          <w:kern w:val="0"/>
          <w:sz w:val="24"/>
        </w:rPr>
        <w:t>Craft S</w:t>
      </w:r>
      <w:r w:rsidRPr="00133249">
        <w:rPr>
          <w:rFonts w:ascii="Book Antiqua" w:hAnsi="Book Antiqua" w:cs="宋体"/>
          <w:kern w:val="0"/>
          <w:sz w:val="24"/>
        </w:rPr>
        <w:t xml:space="preserve">, Peskind E, Schwartz MW, Schellenberg GD, Raskind M, Porte D. Cerebrospinal fluid and plasma insulin levels in Alzheimer's disease: relationship to severity of dementia and apolipoprotein E genotype. </w:t>
      </w:r>
      <w:r w:rsidRPr="00133249">
        <w:rPr>
          <w:rFonts w:ascii="Book Antiqua" w:hAnsi="Book Antiqua" w:cs="宋体"/>
          <w:i/>
          <w:iCs/>
          <w:kern w:val="0"/>
          <w:sz w:val="24"/>
        </w:rPr>
        <w:t>Neurology</w:t>
      </w:r>
      <w:r w:rsidRPr="00133249">
        <w:rPr>
          <w:rFonts w:ascii="Book Antiqua" w:hAnsi="Book Antiqua" w:cs="宋体"/>
          <w:kern w:val="0"/>
          <w:sz w:val="24"/>
        </w:rPr>
        <w:t xml:space="preserve"> 1998; </w:t>
      </w:r>
      <w:r w:rsidRPr="00133249">
        <w:rPr>
          <w:rFonts w:ascii="Book Antiqua" w:hAnsi="Book Antiqua" w:cs="宋体"/>
          <w:b/>
          <w:bCs/>
          <w:kern w:val="0"/>
          <w:sz w:val="24"/>
        </w:rPr>
        <w:t>50</w:t>
      </w:r>
      <w:r w:rsidRPr="00133249">
        <w:rPr>
          <w:rFonts w:ascii="Book Antiqua" w:hAnsi="Book Antiqua" w:cs="宋体"/>
          <w:kern w:val="0"/>
          <w:sz w:val="24"/>
        </w:rPr>
        <w:t>: 164-168 [PMID: 9443474]</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27 </w:t>
      </w:r>
      <w:r w:rsidRPr="00133249">
        <w:rPr>
          <w:rFonts w:ascii="Book Antiqua" w:hAnsi="Book Antiqua" w:cs="宋体"/>
          <w:b/>
          <w:bCs/>
          <w:kern w:val="0"/>
          <w:sz w:val="24"/>
        </w:rPr>
        <w:t>Meneilly GS</w:t>
      </w:r>
      <w:r w:rsidRPr="00133249">
        <w:rPr>
          <w:rFonts w:ascii="Book Antiqua" w:hAnsi="Book Antiqua" w:cs="宋体"/>
          <w:kern w:val="0"/>
          <w:sz w:val="24"/>
        </w:rPr>
        <w:t xml:space="preserve">, Hill A. Alterations in glucose metabolism in patients with Alzheimer's disease. </w:t>
      </w:r>
      <w:r w:rsidRPr="00133249">
        <w:rPr>
          <w:rFonts w:ascii="Book Antiqua" w:hAnsi="Book Antiqua" w:cs="宋体"/>
          <w:i/>
          <w:iCs/>
          <w:kern w:val="0"/>
          <w:sz w:val="24"/>
        </w:rPr>
        <w:t>J Am Geriatr Soc</w:t>
      </w:r>
      <w:r w:rsidRPr="00133249">
        <w:rPr>
          <w:rFonts w:ascii="Book Antiqua" w:hAnsi="Book Antiqua" w:cs="宋体"/>
          <w:kern w:val="0"/>
          <w:sz w:val="24"/>
        </w:rPr>
        <w:t xml:space="preserve"> 1993; </w:t>
      </w:r>
      <w:r w:rsidRPr="00133249">
        <w:rPr>
          <w:rFonts w:ascii="Book Antiqua" w:hAnsi="Book Antiqua" w:cs="宋体"/>
          <w:b/>
          <w:bCs/>
          <w:kern w:val="0"/>
          <w:sz w:val="24"/>
        </w:rPr>
        <w:t>41</w:t>
      </w:r>
      <w:r w:rsidRPr="00133249">
        <w:rPr>
          <w:rFonts w:ascii="Book Antiqua" w:hAnsi="Book Antiqua" w:cs="宋体"/>
          <w:kern w:val="0"/>
          <w:sz w:val="24"/>
        </w:rPr>
        <w:t>: 710-714 [PMID: 8315179]</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28 </w:t>
      </w:r>
      <w:r w:rsidRPr="00133249">
        <w:rPr>
          <w:rFonts w:ascii="Book Antiqua" w:hAnsi="Book Antiqua" w:cs="宋体"/>
          <w:b/>
          <w:bCs/>
          <w:kern w:val="0"/>
          <w:sz w:val="24"/>
        </w:rPr>
        <w:t>Craft S</w:t>
      </w:r>
      <w:r w:rsidRPr="00133249">
        <w:rPr>
          <w:rFonts w:ascii="Book Antiqua" w:hAnsi="Book Antiqua" w:cs="宋体"/>
          <w:kern w:val="0"/>
          <w:sz w:val="24"/>
        </w:rPr>
        <w:t xml:space="preserve">, Asthana S, Schellenberg G, Cherrier M, Baker LD, Newcomer J, Plymate S, Latendresse S, Petrova A, Raskind M, Peskind E, Lofgreen C, Grimwood K. Insulin metabolism in Alzheimer's disease differs according to apolipoprotein E genotype and gender. </w:t>
      </w:r>
      <w:r w:rsidRPr="00133249">
        <w:rPr>
          <w:rFonts w:ascii="Book Antiqua" w:hAnsi="Book Antiqua" w:cs="宋体"/>
          <w:i/>
          <w:iCs/>
          <w:kern w:val="0"/>
          <w:sz w:val="24"/>
        </w:rPr>
        <w:t>Neuroendocrinology</w:t>
      </w:r>
      <w:r w:rsidRPr="00133249">
        <w:rPr>
          <w:rFonts w:ascii="Book Antiqua" w:hAnsi="Book Antiqua" w:cs="宋体"/>
          <w:kern w:val="0"/>
          <w:sz w:val="24"/>
        </w:rPr>
        <w:t xml:space="preserve"> 1999; </w:t>
      </w:r>
      <w:r w:rsidRPr="00133249">
        <w:rPr>
          <w:rFonts w:ascii="Book Antiqua" w:hAnsi="Book Antiqua" w:cs="宋体"/>
          <w:b/>
          <w:bCs/>
          <w:kern w:val="0"/>
          <w:sz w:val="24"/>
        </w:rPr>
        <w:t>70</w:t>
      </w:r>
      <w:r w:rsidRPr="00133249">
        <w:rPr>
          <w:rFonts w:ascii="Book Antiqua" w:hAnsi="Book Antiqua" w:cs="宋体"/>
          <w:kern w:val="0"/>
          <w:sz w:val="24"/>
        </w:rPr>
        <w:t>: 146-152 [PMID: 10461029]</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lastRenderedPageBreak/>
        <w:t xml:space="preserve">29 </w:t>
      </w:r>
      <w:r w:rsidRPr="00133249">
        <w:rPr>
          <w:rFonts w:ascii="Book Antiqua" w:hAnsi="Book Antiqua" w:cs="宋体"/>
          <w:b/>
          <w:bCs/>
          <w:kern w:val="0"/>
          <w:sz w:val="24"/>
        </w:rPr>
        <w:t>Craft S</w:t>
      </w:r>
      <w:r w:rsidRPr="00133249">
        <w:rPr>
          <w:rFonts w:ascii="Book Antiqua" w:hAnsi="Book Antiqua" w:cs="宋体"/>
          <w:kern w:val="0"/>
          <w:sz w:val="24"/>
        </w:rPr>
        <w:t xml:space="preserve">, Newcomer J, Kanne S, Dagogo-Jack S, Cryer P, Sheline Y, Luby J, Dagogo-Jack A, Alderson A. Memory improvement following induced hyperinsulinemia in Alzheimer's disease. </w:t>
      </w:r>
      <w:r w:rsidRPr="00133249">
        <w:rPr>
          <w:rFonts w:ascii="Book Antiqua" w:hAnsi="Book Antiqua" w:cs="宋体"/>
          <w:i/>
          <w:iCs/>
          <w:kern w:val="0"/>
          <w:sz w:val="24"/>
        </w:rPr>
        <w:t>Neurobiol Aging</w:t>
      </w:r>
      <w:r w:rsidRPr="00133249">
        <w:rPr>
          <w:rFonts w:ascii="Book Antiqua" w:hAnsi="Book Antiqua" w:cs="宋体"/>
          <w:kern w:val="0"/>
          <w:sz w:val="24"/>
        </w:rPr>
        <w:t xml:space="preserve"> </w:t>
      </w:r>
      <w:r w:rsidR="00E57732">
        <w:rPr>
          <w:rFonts w:ascii="Book Antiqua" w:hAnsi="Book Antiqua" w:cs="宋体" w:hint="eastAsia"/>
          <w:kern w:val="0"/>
          <w:sz w:val="24"/>
        </w:rPr>
        <w:t>1996</w:t>
      </w:r>
      <w:r w:rsidRPr="00133249">
        <w:rPr>
          <w:rFonts w:ascii="Book Antiqua" w:hAnsi="Book Antiqua" w:cs="宋体"/>
          <w:kern w:val="0"/>
          <w:sz w:val="24"/>
        </w:rPr>
        <w:t xml:space="preserve">; </w:t>
      </w:r>
      <w:r w:rsidRPr="00133249">
        <w:rPr>
          <w:rFonts w:ascii="Book Antiqua" w:hAnsi="Book Antiqua" w:cs="宋体"/>
          <w:b/>
          <w:bCs/>
          <w:kern w:val="0"/>
          <w:sz w:val="24"/>
        </w:rPr>
        <w:t>17</w:t>
      </w:r>
      <w:r w:rsidRPr="00133249">
        <w:rPr>
          <w:rFonts w:ascii="Book Antiqua" w:hAnsi="Book Antiqua" w:cs="宋体"/>
          <w:kern w:val="0"/>
          <w:sz w:val="24"/>
        </w:rPr>
        <w:t>: 123-130 [PMID: 8786794]</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30 </w:t>
      </w:r>
      <w:r w:rsidRPr="00133249">
        <w:rPr>
          <w:rFonts w:ascii="Book Antiqua" w:hAnsi="Book Antiqua" w:cs="宋体"/>
          <w:b/>
          <w:bCs/>
          <w:kern w:val="0"/>
          <w:sz w:val="24"/>
        </w:rPr>
        <w:t>Reger MA</w:t>
      </w:r>
      <w:r w:rsidRPr="00133249">
        <w:rPr>
          <w:rFonts w:ascii="Book Antiqua" w:hAnsi="Book Antiqua" w:cs="宋体"/>
          <w:kern w:val="0"/>
          <w:sz w:val="24"/>
        </w:rPr>
        <w:t xml:space="preserve">, Watson GS, Green PS, Wilkinson CW, Baker LD, Cholerton B, Fishel MA, Plymate SR, Breitner JC, DeGroodt W, Mehta P, Craft S. Intranasal insulin improves cognition and modulates beta-amyloid in early AD. </w:t>
      </w:r>
      <w:r w:rsidRPr="00133249">
        <w:rPr>
          <w:rFonts w:ascii="Book Antiqua" w:hAnsi="Book Antiqua" w:cs="宋体"/>
          <w:i/>
          <w:iCs/>
          <w:kern w:val="0"/>
          <w:sz w:val="24"/>
        </w:rPr>
        <w:t>Neurology</w:t>
      </w:r>
      <w:r w:rsidRPr="00133249">
        <w:rPr>
          <w:rFonts w:ascii="Book Antiqua" w:hAnsi="Book Antiqua" w:cs="宋体"/>
          <w:kern w:val="0"/>
          <w:sz w:val="24"/>
        </w:rPr>
        <w:t xml:space="preserve"> 2008; </w:t>
      </w:r>
      <w:r w:rsidRPr="00133249">
        <w:rPr>
          <w:rFonts w:ascii="Book Antiqua" w:hAnsi="Book Antiqua" w:cs="宋体"/>
          <w:b/>
          <w:bCs/>
          <w:kern w:val="0"/>
          <w:sz w:val="24"/>
        </w:rPr>
        <w:t>70</w:t>
      </w:r>
      <w:r w:rsidRPr="00133249">
        <w:rPr>
          <w:rFonts w:ascii="Book Antiqua" w:hAnsi="Book Antiqua" w:cs="宋体"/>
          <w:kern w:val="0"/>
          <w:sz w:val="24"/>
        </w:rPr>
        <w:t>: 440-448 [PMID: 17942819]</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t xml:space="preserve">31 </w:t>
      </w:r>
      <w:r w:rsidRPr="00133249">
        <w:rPr>
          <w:rFonts w:ascii="Book Antiqua" w:hAnsi="Book Antiqua" w:cs="宋体"/>
          <w:b/>
          <w:bCs/>
          <w:kern w:val="0"/>
          <w:sz w:val="24"/>
        </w:rPr>
        <w:t>Klein R</w:t>
      </w:r>
      <w:r w:rsidRPr="00133249">
        <w:rPr>
          <w:rFonts w:ascii="Book Antiqua" w:hAnsi="Book Antiqua" w:cs="宋体"/>
          <w:kern w:val="0"/>
          <w:sz w:val="24"/>
        </w:rPr>
        <w:t>. Hyperglycemia and microvascular and macrovascular disease in diabetes.</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Diabetes Care</w:t>
      </w:r>
      <w:r w:rsidRPr="00133249">
        <w:rPr>
          <w:rFonts w:ascii="Book Antiqua" w:hAnsi="Book Antiqua" w:cs="宋体"/>
          <w:kern w:val="0"/>
          <w:sz w:val="24"/>
        </w:rPr>
        <w:t xml:space="preserve"> 1995; </w:t>
      </w:r>
      <w:r w:rsidRPr="00133249">
        <w:rPr>
          <w:rFonts w:ascii="Book Antiqua" w:hAnsi="Book Antiqua" w:cs="宋体"/>
          <w:b/>
          <w:bCs/>
          <w:kern w:val="0"/>
          <w:sz w:val="24"/>
        </w:rPr>
        <w:t>18</w:t>
      </w:r>
      <w:r w:rsidRPr="00133249">
        <w:rPr>
          <w:rFonts w:ascii="Book Antiqua" w:hAnsi="Book Antiqua" w:cs="宋体"/>
          <w:kern w:val="0"/>
          <w:sz w:val="24"/>
        </w:rPr>
        <w:t>: 258-268 [PMID: 7729308]</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32 </w:t>
      </w:r>
      <w:r w:rsidRPr="00133249">
        <w:rPr>
          <w:rFonts w:ascii="Book Antiqua" w:hAnsi="Book Antiqua" w:cs="宋体"/>
          <w:b/>
          <w:bCs/>
          <w:kern w:val="0"/>
          <w:sz w:val="24"/>
        </w:rPr>
        <w:t>Strachan MW</w:t>
      </w:r>
      <w:r w:rsidRPr="00133249">
        <w:rPr>
          <w:rFonts w:ascii="Book Antiqua" w:hAnsi="Book Antiqua" w:cs="宋体"/>
          <w:kern w:val="0"/>
          <w:sz w:val="24"/>
        </w:rPr>
        <w:t xml:space="preserve">, Deary IJ, Ewing FM, Frier BM. Is type II diabetes associated with an increased risk of cognitive dysfunction? A critical review of published studies. </w:t>
      </w:r>
      <w:r w:rsidRPr="00133249">
        <w:rPr>
          <w:rFonts w:ascii="Book Antiqua" w:hAnsi="Book Antiqua" w:cs="宋体"/>
          <w:i/>
          <w:iCs/>
          <w:kern w:val="0"/>
          <w:sz w:val="24"/>
        </w:rPr>
        <w:t>Diabetes Care</w:t>
      </w:r>
      <w:r w:rsidRPr="00133249">
        <w:rPr>
          <w:rFonts w:ascii="Book Antiqua" w:hAnsi="Book Antiqua" w:cs="宋体"/>
          <w:kern w:val="0"/>
          <w:sz w:val="24"/>
        </w:rPr>
        <w:t xml:space="preserve"> 1997; </w:t>
      </w:r>
      <w:r w:rsidRPr="00133249">
        <w:rPr>
          <w:rFonts w:ascii="Book Antiqua" w:hAnsi="Book Antiqua" w:cs="宋体"/>
          <w:b/>
          <w:bCs/>
          <w:kern w:val="0"/>
          <w:sz w:val="24"/>
        </w:rPr>
        <w:t>20</w:t>
      </w:r>
      <w:r w:rsidRPr="00133249">
        <w:rPr>
          <w:rFonts w:ascii="Book Antiqua" w:hAnsi="Book Antiqua" w:cs="宋体"/>
          <w:kern w:val="0"/>
          <w:sz w:val="24"/>
        </w:rPr>
        <w:t>: 438-445 [PMID: 9051402]</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t xml:space="preserve">33 </w:t>
      </w:r>
      <w:r w:rsidRPr="00133249">
        <w:rPr>
          <w:rFonts w:ascii="Book Antiqua" w:hAnsi="Book Antiqua" w:cs="宋体"/>
          <w:b/>
          <w:bCs/>
          <w:kern w:val="0"/>
          <w:sz w:val="24"/>
        </w:rPr>
        <w:t>Stewart R</w:t>
      </w:r>
      <w:r w:rsidRPr="00133249">
        <w:rPr>
          <w:rFonts w:ascii="Book Antiqua" w:hAnsi="Book Antiqua" w:cs="宋体"/>
          <w:kern w:val="0"/>
          <w:sz w:val="24"/>
        </w:rPr>
        <w:t>, Liolitsa D. Type 2 diabetes mellitus, cognitive impairment and dementia.</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Diabet Med</w:t>
      </w:r>
      <w:r w:rsidRPr="00133249">
        <w:rPr>
          <w:rFonts w:ascii="Book Antiqua" w:hAnsi="Book Antiqua" w:cs="宋体"/>
          <w:kern w:val="0"/>
          <w:sz w:val="24"/>
        </w:rPr>
        <w:t xml:space="preserve"> 1999; </w:t>
      </w:r>
      <w:r w:rsidRPr="00133249">
        <w:rPr>
          <w:rFonts w:ascii="Book Antiqua" w:hAnsi="Book Antiqua" w:cs="宋体"/>
          <w:b/>
          <w:bCs/>
          <w:kern w:val="0"/>
          <w:sz w:val="24"/>
        </w:rPr>
        <w:t>16</w:t>
      </w:r>
      <w:r w:rsidRPr="00133249">
        <w:rPr>
          <w:rFonts w:ascii="Book Antiqua" w:hAnsi="Book Antiqua" w:cs="宋体"/>
          <w:kern w:val="0"/>
          <w:sz w:val="24"/>
        </w:rPr>
        <w:t>: 93-112 [PMID: 10229302]</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34 </w:t>
      </w:r>
      <w:r w:rsidRPr="00133249">
        <w:rPr>
          <w:rFonts w:ascii="Book Antiqua" w:hAnsi="Book Antiqua" w:cs="宋体"/>
          <w:b/>
          <w:bCs/>
          <w:kern w:val="0"/>
          <w:sz w:val="24"/>
        </w:rPr>
        <w:t>Manschot SM</w:t>
      </w:r>
      <w:r w:rsidRPr="00133249">
        <w:rPr>
          <w:rFonts w:ascii="Book Antiqua" w:hAnsi="Book Antiqua" w:cs="宋体"/>
          <w:kern w:val="0"/>
          <w:sz w:val="24"/>
        </w:rPr>
        <w:t xml:space="preserve">, Brands AM, van der Grond J, Kessels RP, Algra A, Kappelle LJ, Biessels GJ. Brain magnetic resonance imaging correlates of impaired cognition in patients with type 2 diabetes. </w:t>
      </w:r>
      <w:r w:rsidRPr="00133249">
        <w:rPr>
          <w:rFonts w:ascii="Book Antiqua" w:hAnsi="Book Antiqua" w:cs="宋体"/>
          <w:i/>
          <w:iCs/>
          <w:kern w:val="0"/>
          <w:sz w:val="24"/>
        </w:rPr>
        <w:t>Diabetes</w:t>
      </w:r>
      <w:r w:rsidRPr="00133249">
        <w:rPr>
          <w:rFonts w:ascii="Book Antiqua" w:hAnsi="Book Antiqua" w:cs="宋体"/>
          <w:kern w:val="0"/>
          <w:sz w:val="24"/>
        </w:rPr>
        <w:t xml:space="preserve"> 2006; </w:t>
      </w:r>
      <w:r w:rsidRPr="00133249">
        <w:rPr>
          <w:rFonts w:ascii="Book Antiqua" w:hAnsi="Book Antiqua" w:cs="宋体"/>
          <w:b/>
          <w:bCs/>
          <w:kern w:val="0"/>
          <w:sz w:val="24"/>
        </w:rPr>
        <w:t>55</w:t>
      </w:r>
      <w:r w:rsidRPr="00133249">
        <w:rPr>
          <w:rFonts w:ascii="Book Antiqua" w:hAnsi="Book Antiqua" w:cs="宋体"/>
          <w:kern w:val="0"/>
          <w:sz w:val="24"/>
        </w:rPr>
        <w:t>: 1106-1113 [PMID: 16567535]</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35 </w:t>
      </w:r>
      <w:r w:rsidRPr="00133249">
        <w:rPr>
          <w:rFonts w:ascii="Book Antiqua" w:hAnsi="Book Antiqua" w:cs="宋体"/>
          <w:b/>
          <w:bCs/>
          <w:kern w:val="0"/>
          <w:sz w:val="24"/>
        </w:rPr>
        <w:t>Cukierman T</w:t>
      </w:r>
      <w:r w:rsidRPr="00133249">
        <w:rPr>
          <w:rFonts w:ascii="Book Antiqua" w:hAnsi="Book Antiqua" w:cs="宋体"/>
          <w:kern w:val="0"/>
          <w:sz w:val="24"/>
        </w:rPr>
        <w:t xml:space="preserve">, Gerstein HC, Williamson JD. </w:t>
      </w:r>
      <w:proofErr w:type="gramStart"/>
      <w:r w:rsidRPr="00133249">
        <w:rPr>
          <w:rFonts w:ascii="Book Antiqua" w:hAnsi="Book Antiqua" w:cs="宋体"/>
          <w:kern w:val="0"/>
          <w:sz w:val="24"/>
        </w:rPr>
        <w:t>Cognitive decline and dementia in diabetes--systematic overview of prospective observational studies.</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Diabetologia</w:t>
      </w:r>
      <w:r w:rsidRPr="00133249">
        <w:rPr>
          <w:rFonts w:ascii="Book Antiqua" w:hAnsi="Book Antiqua" w:cs="宋体"/>
          <w:kern w:val="0"/>
          <w:sz w:val="24"/>
        </w:rPr>
        <w:t xml:space="preserve"> 2005; </w:t>
      </w:r>
      <w:r w:rsidRPr="00133249">
        <w:rPr>
          <w:rFonts w:ascii="Book Antiqua" w:hAnsi="Book Antiqua" w:cs="宋体"/>
          <w:b/>
          <w:bCs/>
          <w:kern w:val="0"/>
          <w:sz w:val="24"/>
        </w:rPr>
        <w:t>48</w:t>
      </w:r>
      <w:r w:rsidRPr="00133249">
        <w:rPr>
          <w:rFonts w:ascii="Book Antiqua" w:hAnsi="Book Antiqua" w:cs="宋体"/>
          <w:kern w:val="0"/>
          <w:sz w:val="24"/>
        </w:rPr>
        <w:t>: 2460-2469 [PMID: 16283246]</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36 </w:t>
      </w:r>
      <w:r w:rsidRPr="00133249">
        <w:rPr>
          <w:rFonts w:ascii="Book Antiqua" w:hAnsi="Book Antiqua" w:cs="宋体"/>
          <w:b/>
          <w:bCs/>
          <w:kern w:val="0"/>
          <w:sz w:val="24"/>
        </w:rPr>
        <w:t>Mozaffarian D</w:t>
      </w:r>
      <w:r w:rsidRPr="00133249">
        <w:rPr>
          <w:rFonts w:ascii="Book Antiqua" w:hAnsi="Book Antiqua" w:cs="宋体"/>
          <w:kern w:val="0"/>
          <w:sz w:val="24"/>
        </w:rPr>
        <w:t xml:space="preserve">, Kamineni A, Carnethon M, Djoussé L, Mukamal KJ, Siscovick D. Lifestyle risk factors and new-onset diabetes mellitus in older adults: the cardiovascular health study. </w:t>
      </w:r>
      <w:r w:rsidRPr="00133249">
        <w:rPr>
          <w:rFonts w:ascii="Book Antiqua" w:hAnsi="Book Antiqua" w:cs="宋体"/>
          <w:i/>
          <w:iCs/>
          <w:kern w:val="0"/>
          <w:sz w:val="24"/>
        </w:rPr>
        <w:t>Arch Intern Med</w:t>
      </w:r>
      <w:r w:rsidRPr="00133249">
        <w:rPr>
          <w:rFonts w:ascii="Book Antiqua" w:hAnsi="Book Antiqua" w:cs="宋体"/>
          <w:kern w:val="0"/>
          <w:sz w:val="24"/>
        </w:rPr>
        <w:t xml:space="preserve"> 2009; </w:t>
      </w:r>
      <w:r w:rsidRPr="00133249">
        <w:rPr>
          <w:rFonts w:ascii="Book Antiqua" w:hAnsi="Book Antiqua" w:cs="宋体"/>
          <w:b/>
          <w:bCs/>
          <w:kern w:val="0"/>
          <w:sz w:val="24"/>
        </w:rPr>
        <w:t>169</w:t>
      </w:r>
      <w:r w:rsidRPr="00133249">
        <w:rPr>
          <w:rFonts w:ascii="Book Antiqua" w:hAnsi="Book Antiqua" w:cs="宋体"/>
          <w:kern w:val="0"/>
          <w:sz w:val="24"/>
        </w:rPr>
        <w:t>: 798-807 [PMID: 19398692 DOI: 10.1001/archinternmed.2009.21]</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37 </w:t>
      </w:r>
      <w:r w:rsidRPr="00133249">
        <w:rPr>
          <w:rFonts w:ascii="Book Antiqua" w:hAnsi="Book Antiqua" w:cs="宋体"/>
          <w:b/>
          <w:bCs/>
          <w:kern w:val="0"/>
          <w:sz w:val="24"/>
        </w:rPr>
        <w:t>Jakicic JM</w:t>
      </w:r>
      <w:r w:rsidRPr="00133249">
        <w:rPr>
          <w:rFonts w:ascii="Book Antiqua" w:hAnsi="Book Antiqua" w:cs="宋体"/>
          <w:kern w:val="0"/>
          <w:sz w:val="24"/>
        </w:rPr>
        <w:t xml:space="preserve">, Jaramillo SA, Balasubramanyam A, Bancroft B, Curtis JM, Mathews A, Pereira M, Regensteiner JG, Ribisl PM. Effect of a lifestyle intervention on change in cardiorespiratory fitness in adults with type 2 diabetes: results from the Look AHEAD Study. </w:t>
      </w:r>
      <w:r w:rsidRPr="00133249">
        <w:rPr>
          <w:rFonts w:ascii="Book Antiqua" w:hAnsi="Book Antiqua" w:cs="宋体"/>
          <w:i/>
          <w:iCs/>
          <w:kern w:val="0"/>
          <w:sz w:val="24"/>
        </w:rPr>
        <w:t>Int J Obes</w:t>
      </w:r>
      <w:r w:rsidRPr="00133249">
        <w:rPr>
          <w:rFonts w:ascii="Book Antiqua" w:hAnsi="Book Antiqua" w:cs="宋体"/>
          <w:iCs/>
          <w:kern w:val="0"/>
          <w:sz w:val="24"/>
        </w:rPr>
        <w:t xml:space="preserve"> (Lond)</w:t>
      </w:r>
      <w:r w:rsidRPr="00133249">
        <w:rPr>
          <w:rFonts w:ascii="Book Antiqua" w:hAnsi="Book Antiqua" w:cs="宋体"/>
          <w:kern w:val="0"/>
          <w:sz w:val="24"/>
        </w:rPr>
        <w:t xml:space="preserve"> 2009; </w:t>
      </w:r>
      <w:r w:rsidRPr="00133249">
        <w:rPr>
          <w:rFonts w:ascii="Book Antiqua" w:hAnsi="Book Antiqua" w:cs="宋体"/>
          <w:b/>
          <w:bCs/>
          <w:kern w:val="0"/>
          <w:sz w:val="24"/>
        </w:rPr>
        <w:t>33</w:t>
      </w:r>
      <w:r w:rsidRPr="00133249">
        <w:rPr>
          <w:rFonts w:ascii="Book Antiqua" w:hAnsi="Book Antiqua" w:cs="宋体"/>
          <w:kern w:val="0"/>
          <w:sz w:val="24"/>
        </w:rPr>
        <w:t>: 305-316 [PMID: 19153582 DOI: 10.1038/ijo.2008.280]</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38 </w:t>
      </w:r>
      <w:r w:rsidRPr="00133249">
        <w:rPr>
          <w:rFonts w:ascii="Book Antiqua" w:hAnsi="Book Antiqua" w:cs="宋体"/>
          <w:b/>
          <w:bCs/>
          <w:kern w:val="0"/>
          <w:sz w:val="24"/>
        </w:rPr>
        <w:t>Vijan S</w:t>
      </w:r>
      <w:r w:rsidRPr="00133249">
        <w:rPr>
          <w:rFonts w:ascii="Book Antiqua" w:hAnsi="Book Antiqua" w:cs="宋体"/>
          <w:kern w:val="0"/>
          <w:sz w:val="24"/>
        </w:rPr>
        <w:t xml:space="preserve">. Type </w:t>
      </w:r>
      <w:proofErr w:type="gramStart"/>
      <w:r w:rsidRPr="00133249">
        <w:rPr>
          <w:rFonts w:ascii="Book Antiqua" w:hAnsi="Book Antiqua" w:cs="宋体"/>
          <w:kern w:val="0"/>
          <w:sz w:val="24"/>
        </w:rPr>
        <w:t>2 diabetes</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Ann Intern Med</w:t>
      </w:r>
      <w:r w:rsidRPr="00133249">
        <w:rPr>
          <w:rFonts w:ascii="Book Antiqua" w:hAnsi="Book Antiqua" w:cs="宋体"/>
          <w:kern w:val="0"/>
          <w:sz w:val="24"/>
        </w:rPr>
        <w:t xml:space="preserve"> 2010; </w:t>
      </w:r>
      <w:r w:rsidRPr="00133249">
        <w:rPr>
          <w:rFonts w:ascii="Book Antiqua" w:hAnsi="Book Antiqua" w:cs="宋体"/>
          <w:b/>
          <w:bCs/>
          <w:kern w:val="0"/>
          <w:sz w:val="24"/>
        </w:rPr>
        <w:t>152</w:t>
      </w:r>
      <w:r w:rsidRPr="00133249">
        <w:rPr>
          <w:rFonts w:ascii="Book Antiqua" w:hAnsi="Book Antiqua" w:cs="宋体"/>
          <w:kern w:val="0"/>
          <w:sz w:val="24"/>
        </w:rPr>
        <w:t>: ITC31-IT15; quiz ITC316 [PMID: 20194231]</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lastRenderedPageBreak/>
        <w:t xml:space="preserve">39 </w:t>
      </w:r>
      <w:r w:rsidRPr="00133249">
        <w:rPr>
          <w:rFonts w:ascii="Book Antiqua" w:hAnsi="Book Antiqua" w:cs="宋体"/>
          <w:b/>
          <w:bCs/>
          <w:kern w:val="0"/>
          <w:sz w:val="24"/>
        </w:rPr>
        <w:t>Hoyer S</w:t>
      </w:r>
      <w:r w:rsidRPr="00133249">
        <w:rPr>
          <w:rFonts w:ascii="Book Antiqua" w:hAnsi="Book Antiqua" w:cs="宋体"/>
          <w:kern w:val="0"/>
          <w:sz w:val="24"/>
        </w:rPr>
        <w:t>. Brain glucose and energy metabolism during normal aging.</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Aging</w:t>
      </w:r>
      <w:r w:rsidRPr="00133249">
        <w:rPr>
          <w:rFonts w:ascii="Book Antiqua" w:hAnsi="Book Antiqua" w:cs="宋体"/>
          <w:iCs/>
          <w:kern w:val="0"/>
          <w:sz w:val="24"/>
        </w:rPr>
        <w:t xml:space="preserve"> (Milano)</w:t>
      </w:r>
      <w:r w:rsidRPr="00133249">
        <w:rPr>
          <w:rFonts w:ascii="Book Antiqua" w:hAnsi="Book Antiqua" w:cs="宋体"/>
          <w:kern w:val="0"/>
          <w:sz w:val="24"/>
        </w:rPr>
        <w:t xml:space="preserve"> 1990; </w:t>
      </w:r>
      <w:r w:rsidRPr="00133249">
        <w:rPr>
          <w:rFonts w:ascii="Book Antiqua" w:hAnsi="Book Antiqua" w:cs="宋体"/>
          <w:b/>
          <w:bCs/>
          <w:kern w:val="0"/>
          <w:sz w:val="24"/>
        </w:rPr>
        <w:t>2</w:t>
      </w:r>
      <w:r w:rsidRPr="00133249">
        <w:rPr>
          <w:rFonts w:ascii="Book Antiqua" w:hAnsi="Book Antiqua" w:cs="宋体"/>
          <w:kern w:val="0"/>
          <w:sz w:val="24"/>
        </w:rPr>
        <w:t>: 245-258 [PMID: 1982730]</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40 </w:t>
      </w:r>
      <w:r w:rsidRPr="00133249">
        <w:rPr>
          <w:rFonts w:ascii="Book Antiqua" w:hAnsi="Book Antiqua" w:cs="宋体"/>
          <w:b/>
          <w:bCs/>
          <w:kern w:val="0"/>
          <w:sz w:val="24"/>
        </w:rPr>
        <w:t>Tiraboschi P</w:t>
      </w:r>
      <w:r w:rsidRPr="00133249">
        <w:rPr>
          <w:rFonts w:ascii="Book Antiqua" w:hAnsi="Book Antiqua" w:cs="宋体"/>
          <w:kern w:val="0"/>
          <w:sz w:val="24"/>
        </w:rPr>
        <w:t xml:space="preserve">, Hansen LA, Thal LJ, Corey-Bloom J. </w:t>
      </w:r>
      <w:proofErr w:type="gramStart"/>
      <w:r w:rsidRPr="00133249">
        <w:rPr>
          <w:rFonts w:ascii="Book Antiqua" w:hAnsi="Book Antiqua" w:cs="宋体"/>
          <w:kern w:val="0"/>
          <w:sz w:val="24"/>
        </w:rPr>
        <w:t>The importance of neuritic plaques and tangles to the development and evolution of AD.</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Neurology</w:t>
      </w:r>
      <w:r w:rsidRPr="00133249">
        <w:rPr>
          <w:rFonts w:ascii="Book Antiqua" w:hAnsi="Book Antiqua" w:cs="宋体"/>
          <w:kern w:val="0"/>
          <w:sz w:val="24"/>
        </w:rPr>
        <w:t xml:space="preserve"> 2004; </w:t>
      </w:r>
      <w:r w:rsidRPr="00133249">
        <w:rPr>
          <w:rFonts w:ascii="Book Antiqua" w:hAnsi="Book Antiqua" w:cs="宋体"/>
          <w:b/>
          <w:bCs/>
          <w:kern w:val="0"/>
          <w:sz w:val="24"/>
        </w:rPr>
        <w:t>62</w:t>
      </w:r>
      <w:r w:rsidRPr="00133249">
        <w:rPr>
          <w:rFonts w:ascii="Book Antiqua" w:hAnsi="Book Antiqua" w:cs="宋体"/>
          <w:kern w:val="0"/>
          <w:sz w:val="24"/>
        </w:rPr>
        <w:t>: 1984-1989 [PMID: 15184601]</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41 </w:t>
      </w:r>
      <w:r w:rsidRPr="00133249">
        <w:rPr>
          <w:rFonts w:ascii="Book Antiqua" w:hAnsi="Book Antiqua" w:cs="宋体"/>
          <w:b/>
          <w:bCs/>
          <w:kern w:val="0"/>
          <w:sz w:val="24"/>
        </w:rPr>
        <w:t>Qiu C</w:t>
      </w:r>
      <w:r w:rsidRPr="00133249">
        <w:rPr>
          <w:rFonts w:ascii="Book Antiqua" w:hAnsi="Book Antiqua" w:cs="宋体"/>
          <w:kern w:val="0"/>
          <w:sz w:val="24"/>
        </w:rPr>
        <w:t xml:space="preserve">, Kivipelto M, von Strauss E. Epidemiology of Alzheimer's disease: occurrence, determinants, and strategies toward intervention. </w:t>
      </w:r>
      <w:r w:rsidRPr="00133249">
        <w:rPr>
          <w:rFonts w:ascii="Book Antiqua" w:hAnsi="Book Antiqua" w:cs="宋体"/>
          <w:i/>
          <w:iCs/>
          <w:kern w:val="0"/>
          <w:sz w:val="24"/>
        </w:rPr>
        <w:t>Dialogues Clin Neurosci</w:t>
      </w:r>
      <w:r w:rsidRPr="00133249">
        <w:rPr>
          <w:rFonts w:ascii="Book Antiqua" w:hAnsi="Book Antiqua" w:cs="宋体"/>
          <w:kern w:val="0"/>
          <w:sz w:val="24"/>
        </w:rPr>
        <w:t xml:space="preserve"> 2009; </w:t>
      </w:r>
      <w:r w:rsidRPr="00133249">
        <w:rPr>
          <w:rFonts w:ascii="Book Antiqua" w:hAnsi="Book Antiqua" w:cs="宋体"/>
          <w:b/>
          <w:bCs/>
          <w:kern w:val="0"/>
          <w:sz w:val="24"/>
        </w:rPr>
        <w:t>11</w:t>
      </w:r>
      <w:r w:rsidRPr="00133249">
        <w:rPr>
          <w:rFonts w:ascii="Book Antiqua" w:hAnsi="Book Antiqua" w:cs="宋体"/>
          <w:kern w:val="0"/>
          <w:sz w:val="24"/>
        </w:rPr>
        <w:t>: 111-128 [PMID: 19585947]</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42 </w:t>
      </w:r>
      <w:r w:rsidRPr="00133249">
        <w:rPr>
          <w:rFonts w:ascii="Book Antiqua" w:hAnsi="Book Antiqua" w:cs="宋体"/>
          <w:b/>
          <w:bCs/>
          <w:kern w:val="0"/>
          <w:sz w:val="24"/>
        </w:rPr>
        <w:t>Tagarelli A</w:t>
      </w:r>
      <w:r w:rsidRPr="00133249">
        <w:rPr>
          <w:rFonts w:ascii="Book Antiqua" w:hAnsi="Book Antiqua" w:cs="宋体"/>
          <w:kern w:val="0"/>
          <w:sz w:val="24"/>
        </w:rPr>
        <w:t xml:space="preserve">, Piro A, Tagarelli G, Lagonia P, Quattrone A. Alois Alzheimer: a hundred years after the discovery of the eponymous disorder. </w:t>
      </w:r>
      <w:r w:rsidRPr="00133249">
        <w:rPr>
          <w:rFonts w:ascii="Book Antiqua" w:hAnsi="Book Antiqua" w:cs="宋体"/>
          <w:i/>
          <w:iCs/>
          <w:kern w:val="0"/>
          <w:sz w:val="24"/>
        </w:rPr>
        <w:t>Int J Biomed Sci</w:t>
      </w:r>
      <w:r w:rsidRPr="00133249">
        <w:rPr>
          <w:rFonts w:ascii="Book Antiqua" w:hAnsi="Book Antiqua" w:cs="宋体"/>
          <w:kern w:val="0"/>
          <w:sz w:val="24"/>
        </w:rPr>
        <w:t xml:space="preserve"> 2006; </w:t>
      </w:r>
      <w:r w:rsidRPr="00133249">
        <w:rPr>
          <w:rFonts w:ascii="Book Antiqua" w:hAnsi="Book Antiqua" w:cs="宋体"/>
          <w:b/>
          <w:bCs/>
          <w:kern w:val="0"/>
          <w:sz w:val="24"/>
        </w:rPr>
        <w:t>2</w:t>
      </w:r>
      <w:r w:rsidRPr="00133249">
        <w:rPr>
          <w:rFonts w:ascii="Book Antiqua" w:hAnsi="Book Antiqua" w:cs="宋体"/>
          <w:kern w:val="0"/>
          <w:sz w:val="24"/>
        </w:rPr>
        <w:t>: 196-204 [PMID: 23674983]</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t xml:space="preserve">43 </w:t>
      </w:r>
      <w:r w:rsidRPr="00133249">
        <w:rPr>
          <w:rFonts w:ascii="Book Antiqua" w:hAnsi="Book Antiqua" w:cs="宋体"/>
          <w:b/>
          <w:bCs/>
          <w:kern w:val="0"/>
          <w:sz w:val="24"/>
        </w:rPr>
        <w:t>Waring SC</w:t>
      </w:r>
      <w:r w:rsidRPr="00133249">
        <w:rPr>
          <w:rFonts w:ascii="Book Antiqua" w:hAnsi="Book Antiqua" w:cs="宋体"/>
          <w:kern w:val="0"/>
          <w:sz w:val="24"/>
        </w:rPr>
        <w:t>, Rosenberg RN.</w:t>
      </w:r>
      <w:proofErr w:type="gramEnd"/>
      <w:r w:rsidRPr="00133249">
        <w:rPr>
          <w:rFonts w:ascii="Book Antiqua" w:hAnsi="Book Antiqua" w:cs="宋体"/>
          <w:kern w:val="0"/>
          <w:sz w:val="24"/>
        </w:rPr>
        <w:t xml:space="preserve"> Genome-wide association studies in Alzheimer disease. </w:t>
      </w:r>
      <w:r w:rsidRPr="00133249">
        <w:rPr>
          <w:rFonts w:ascii="Book Antiqua" w:hAnsi="Book Antiqua" w:cs="宋体"/>
          <w:i/>
          <w:iCs/>
          <w:kern w:val="0"/>
          <w:sz w:val="24"/>
        </w:rPr>
        <w:t>Arch Neurol</w:t>
      </w:r>
      <w:r w:rsidRPr="00133249">
        <w:rPr>
          <w:rFonts w:ascii="Book Antiqua" w:hAnsi="Book Antiqua" w:cs="宋体"/>
          <w:kern w:val="0"/>
          <w:sz w:val="24"/>
        </w:rPr>
        <w:t xml:space="preserve"> 2008; </w:t>
      </w:r>
      <w:r w:rsidRPr="00133249">
        <w:rPr>
          <w:rFonts w:ascii="Book Antiqua" w:hAnsi="Book Antiqua" w:cs="宋体"/>
          <w:b/>
          <w:bCs/>
          <w:kern w:val="0"/>
          <w:sz w:val="24"/>
        </w:rPr>
        <w:t>65</w:t>
      </w:r>
      <w:r w:rsidRPr="00133249">
        <w:rPr>
          <w:rFonts w:ascii="Book Antiqua" w:hAnsi="Book Antiqua" w:cs="宋体"/>
          <w:kern w:val="0"/>
          <w:sz w:val="24"/>
        </w:rPr>
        <w:t>: 329-334 [PMID: 18332245 DOI: 10.1001/archneur.65.3.329]</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44 </w:t>
      </w:r>
      <w:r w:rsidRPr="00133249">
        <w:rPr>
          <w:rFonts w:ascii="Book Antiqua" w:hAnsi="Book Antiqua" w:cs="宋体"/>
          <w:b/>
          <w:bCs/>
          <w:kern w:val="0"/>
          <w:sz w:val="24"/>
        </w:rPr>
        <w:t>Strittmatter WJ</w:t>
      </w:r>
      <w:r w:rsidRPr="00133249">
        <w:rPr>
          <w:rFonts w:ascii="Book Antiqua" w:hAnsi="Book Antiqua" w:cs="宋体"/>
          <w:kern w:val="0"/>
          <w:sz w:val="24"/>
        </w:rPr>
        <w:t xml:space="preserve">, Saunders AM, Schmechel D, Pericak-Vance M, Enghild J, Salvesen GS, Roses AD. Apolipoprotein E: high-avidity binding to beta-amyloid and increased frequency of type 4 allele in late-onset familial Alzheimer disease. </w:t>
      </w:r>
      <w:r w:rsidR="00E57732">
        <w:rPr>
          <w:rFonts w:ascii="Book Antiqua" w:hAnsi="Book Antiqua" w:cs="宋体"/>
          <w:i/>
          <w:iCs/>
          <w:kern w:val="0"/>
          <w:sz w:val="24"/>
        </w:rPr>
        <w:t>Proc Natl Acad Sci US</w:t>
      </w:r>
      <w:r w:rsidRPr="00133249">
        <w:rPr>
          <w:rFonts w:ascii="Book Antiqua" w:hAnsi="Book Antiqua" w:cs="宋体"/>
          <w:i/>
          <w:iCs/>
          <w:kern w:val="0"/>
          <w:sz w:val="24"/>
        </w:rPr>
        <w:t>A</w:t>
      </w:r>
      <w:r w:rsidRPr="00133249">
        <w:rPr>
          <w:rFonts w:ascii="Book Antiqua" w:hAnsi="Book Antiqua" w:cs="宋体"/>
          <w:kern w:val="0"/>
          <w:sz w:val="24"/>
        </w:rPr>
        <w:t xml:space="preserve"> 1993; </w:t>
      </w:r>
      <w:r w:rsidRPr="00133249">
        <w:rPr>
          <w:rFonts w:ascii="Book Antiqua" w:hAnsi="Book Antiqua" w:cs="宋体"/>
          <w:b/>
          <w:bCs/>
          <w:kern w:val="0"/>
          <w:sz w:val="24"/>
        </w:rPr>
        <w:t>90</w:t>
      </w:r>
      <w:r w:rsidRPr="00133249">
        <w:rPr>
          <w:rFonts w:ascii="Book Antiqua" w:hAnsi="Book Antiqua" w:cs="宋体"/>
          <w:kern w:val="0"/>
          <w:sz w:val="24"/>
        </w:rPr>
        <w:t>: 1977-1981 [PMID: 8446617]</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45 </w:t>
      </w:r>
      <w:r w:rsidRPr="00133249">
        <w:rPr>
          <w:rFonts w:ascii="Book Antiqua" w:hAnsi="Book Antiqua" w:cs="宋体"/>
          <w:b/>
          <w:bCs/>
          <w:kern w:val="0"/>
          <w:sz w:val="24"/>
        </w:rPr>
        <w:t>Mahley RW</w:t>
      </w:r>
      <w:r w:rsidRPr="00133249">
        <w:rPr>
          <w:rFonts w:ascii="Book Antiqua" w:hAnsi="Book Antiqua" w:cs="宋体"/>
          <w:kern w:val="0"/>
          <w:sz w:val="24"/>
        </w:rPr>
        <w:t xml:space="preserve">, Weisgraber KH, Huang Y. Apolipoprotein E4: a causative factor and therapeutic target in neuropathology, including Alzheimer's disease. </w:t>
      </w:r>
      <w:r w:rsidRPr="00133249">
        <w:rPr>
          <w:rFonts w:ascii="Book Antiqua" w:hAnsi="Book Antiqua" w:cs="宋体"/>
          <w:i/>
          <w:iCs/>
          <w:kern w:val="0"/>
          <w:sz w:val="24"/>
        </w:rPr>
        <w:t>Pro</w:t>
      </w:r>
      <w:r w:rsidR="00E57732">
        <w:rPr>
          <w:rFonts w:ascii="Book Antiqua" w:hAnsi="Book Antiqua" w:cs="宋体"/>
          <w:i/>
          <w:iCs/>
          <w:kern w:val="0"/>
          <w:sz w:val="24"/>
        </w:rPr>
        <w:t>c Natl Acad Sci US</w:t>
      </w:r>
      <w:r w:rsidRPr="00133249">
        <w:rPr>
          <w:rFonts w:ascii="Book Antiqua" w:hAnsi="Book Antiqua" w:cs="宋体"/>
          <w:i/>
          <w:iCs/>
          <w:kern w:val="0"/>
          <w:sz w:val="24"/>
        </w:rPr>
        <w:t>A</w:t>
      </w:r>
      <w:r w:rsidRPr="00133249">
        <w:rPr>
          <w:rFonts w:ascii="Book Antiqua" w:hAnsi="Book Antiqua" w:cs="宋体"/>
          <w:kern w:val="0"/>
          <w:sz w:val="24"/>
        </w:rPr>
        <w:t xml:space="preserve"> 2006; </w:t>
      </w:r>
      <w:r w:rsidRPr="00133249">
        <w:rPr>
          <w:rFonts w:ascii="Book Antiqua" w:hAnsi="Book Antiqua" w:cs="宋体"/>
          <w:b/>
          <w:bCs/>
          <w:kern w:val="0"/>
          <w:sz w:val="24"/>
        </w:rPr>
        <w:t>103</w:t>
      </w:r>
      <w:r w:rsidRPr="00133249">
        <w:rPr>
          <w:rFonts w:ascii="Book Antiqua" w:hAnsi="Book Antiqua" w:cs="宋体"/>
          <w:kern w:val="0"/>
          <w:sz w:val="24"/>
        </w:rPr>
        <w:t>: 5644-5651 [PMID: 16567625]</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46 </w:t>
      </w:r>
      <w:r w:rsidRPr="00133249">
        <w:rPr>
          <w:rFonts w:ascii="Book Antiqua" w:hAnsi="Book Antiqua" w:cs="宋体"/>
          <w:b/>
          <w:bCs/>
          <w:kern w:val="0"/>
          <w:sz w:val="24"/>
        </w:rPr>
        <w:t>Francis PT</w:t>
      </w:r>
      <w:r w:rsidRPr="00133249">
        <w:rPr>
          <w:rFonts w:ascii="Book Antiqua" w:hAnsi="Book Antiqua" w:cs="宋体"/>
          <w:kern w:val="0"/>
          <w:sz w:val="24"/>
        </w:rPr>
        <w:t xml:space="preserve">, Palmer AM, Snape M, Wilcock GK. The cholinergic hypothesis of Alzheimer's disease: a review of progress. </w:t>
      </w:r>
      <w:r w:rsidRPr="00133249">
        <w:rPr>
          <w:rFonts w:ascii="Book Antiqua" w:hAnsi="Book Antiqua" w:cs="宋体"/>
          <w:i/>
          <w:iCs/>
          <w:kern w:val="0"/>
          <w:sz w:val="24"/>
        </w:rPr>
        <w:t>J Neurol Neurosurg Psychiatry</w:t>
      </w:r>
      <w:r w:rsidRPr="00133249">
        <w:rPr>
          <w:rFonts w:ascii="Book Antiqua" w:hAnsi="Book Antiqua" w:cs="宋体"/>
          <w:kern w:val="0"/>
          <w:sz w:val="24"/>
        </w:rPr>
        <w:t xml:space="preserve"> 1999; </w:t>
      </w:r>
      <w:r w:rsidRPr="00133249">
        <w:rPr>
          <w:rFonts w:ascii="Book Antiqua" w:hAnsi="Book Antiqua" w:cs="宋体"/>
          <w:b/>
          <w:bCs/>
          <w:kern w:val="0"/>
          <w:sz w:val="24"/>
        </w:rPr>
        <w:t>66</w:t>
      </w:r>
      <w:r w:rsidRPr="00133249">
        <w:rPr>
          <w:rFonts w:ascii="Book Antiqua" w:hAnsi="Book Antiqua" w:cs="宋体"/>
          <w:kern w:val="0"/>
          <w:sz w:val="24"/>
        </w:rPr>
        <w:t>: 137-147 [PMID: 10071091]</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47 </w:t>
      </w:r>
      <w:r w:rsidRPr="00133249">
        <w:rPr>
          <w:rFonts w:ascii="Book Antiqua" w:hAnsi="Book Antiqua" w:cs="宋体"/>
          <w:b/>
          <w:bCs/>
          <w:kern w:val="0"/>
          <w:sz w:val="24"/>
        </w:rPr>
        <w:t>Adolfsson R</w:t>
      </w:r>
      <w:r w:rsidRPr="00133249">
        <w:rPr>
          <w:rFonts w:ascii="Book Antiqua" w:hAnsi="Book Antiqua" w:cs="宋体"/>
          <w:kern w:val="0"/>
          <w:sz w:val="24"/>
        </w:rPr>
        <w:t xml:space="preserve">, Bucht G, Lithner F, Winblad B. Hypoglycemia in Alzheimer's disease. </w:t>
      </w:r>
      <w:r w:rsidRPr="00133249">
        <w:rPr>
          <w:rFonts w:ascii="Book Antiqua" w:hAnsi="Book Antiqua" w:cs="宋体"/>
          <w:i/>
          <w:iCs/>
          <w:kern w:val="0"/>
          <w:sz w:val="24"/>
        </w:rPr>
        <w:t>Acta Med Scand</w:t>
      </w:r>
      <w:r w:rsidRPr="00133249">
        <w:rPr>
          <w:rFonts w:ascii="Book Antiqua" w:hAnsi="Book Antiqua" w:cs="宋体"/>
          <w:kern w:val="0"/>
          <w:sz w:val="24"/>
        </w:rPr>
        <w:t xml:space="preserve"> 1980; </w:t>
      </w:r>
      <w:r w:rsidRPr="00133249">
        <w:rPr>
          <w:rFonts w:ascii="Book Antiqua" w:hAnsi="Book Antiqua" w:cs="宋体"/>
          <w:b/>
          <w:bCs/>
          <w:kern w:val="0"/>
          <w:sz w:val="24"/>
        </w:rPr>
        <w:t>208</w:t>
      </w:r>
      <w:r w:rsidRPr="00133249">
        <w:rPr>
          <w:rFonts w:ascii="Book Antiqua" w:hAnsi="Book Antiqua" w:cs="宋体"/>
          <w:kern w:val="0"/>
          <w:sz w:val="24"/>
        </w:rPr>
        <w:t>: 387-388 [PMID: 6109433]</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t xml:space="preserve">48 </w:t>
      </w:r>
      <w:r w:rsidRPr="00133249">
        <w:rPr>
          <w:rFonts w:ascii="Book Antiqua" w:hAnsi="Book Antiqua" w:cs="宋体"/>
          <w:b/>
          <w:bCs/>
          <w:kern w:val="0"/>
          <w:sz w:val="24"/>
        </w:rPr>
        <w:t>Razay G</w:t>
      </w:r>
      <w:r w:rsidRPr="00133249">
        <w:rPr>
          <w:rFonts w:ascii="Book Antiqua" w:hAnsi="Book Antiqua" w:cs="宋体"/>
          <w:kern w:val="0"/>
          <w:sz w:val="24"/>
        </w:rPr>
        <w:t>, Wilcock GK.</w:t>
      </w:r>
      <w:proofErr w:type="gramEnd"/>
      <w:r w:rsidRPr="00133249">
        <w:rPr>
          <w:rFonts w:ascii="Book Antiqua" w:hAnsi="Book Antiqua" w:cs="宋体"/>
          <w:kern w:val="0"/>
          <w:sz w:val="24"/>
        </w:rPr>
        <w:t xml:space="preserve"> Hyperinsulinaemia and Alzheimer's disease. </w:t>
      </w:r>
      <w:r w:rsidRPr="00133249">
        <w:rPr>
          <w:rFonts w:ascii="Book Antiqua" w:hAnsi="Book Antiqua" w:cs="宋体"/>
          <w:i/>
          <w:iCs/>
          <w:kern w:val="0"/>
          <w:sz w:val="24"/>
        </w:rPr>
        <w:t>Age Ageing</w:t>
      </w:r>
      <w:r w:rsidRPr="00133249">
        <w:rPr>
          <w:rFonts w:ascii="Book Antiqua" w:hAnsi="Book Antiqua" w:cs="宋体"/>
          <w:kern w:val="0"/>
          <w:sz w:val="24"/>
        </w:rPr>
        <w:t xml:space="preserve"> 1994; </w:t>
      </w:r>
      <w:r w:rsidRPr="00133249">
        <w:rPr>
          <w:rFonts w:ascii="Book Antiqua" w:hAnsi="Book Antiqua" w:cs="宋体"/>
          <w:b/>
          <w:bCs/>
          <w:kern w:val="0"/>
          <w:sz w:val="24"/>
        </w:rPr>
        <w:t>23</w:t>
      </w:r>
      <w:r w:rsidRPr="00133249">
        <w:rPr>
          <w:rFonts w:ascii="Book Antiqua" w:hAnsi="Book Antiqua" w:cs="宋体"/>
          <w:kern w:val="0"/>
          <w:sz w:val="24"/>
        </w:rPr>
        <w:t>: 396-399 [PMID: 7825486]</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t xml:space="preserve">49 </w:t>
      </w:r>
      <w:r w:rsidRPr="00133249">
        <w:rPr>
          <w:rFonts w:ascii="Book Antiqua" w:hAnsi="Book Antiqua" w:cs="宋体"/>
          <w:b/>
          <w:bCs/>
          <w:kern w:val="0"/>
          <w:sz w:val="24"/>
        </w:rPr>
        <w:t>Messier C</w:t>
      </w:r>
      <w:r w:rsidRPr="00133249">
        <w:rPr>
          <w:rFonts w:ascii="Book Antiqua" w:hAnsi="Book Antiqua" w:cs="宋体"/>
          <w:kern w:val="0"/>
          <w:sz w:val="24"/>
        </w:rPr>
        <w:t>. Diabetes, Alzheimer's disease and apolipoprotein genotype.</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Exp Gerontol</w:t>
      </w:r>
      <w:r w:rsidRPr="00133249">
        <w:rPr>
          <w:rFonts w:ascii="Book Antiqua" w:hAnsi="Book Antiqua" w:cs="宋体"/>
          <w:kern w:val="0"/>
          <w:sz w:val="24"/>
        </w:rPr>
        <w:t xml:space="preserve"> 2003; </w:t>
      </w:r>
      <w:r w:rsidRPr="00133249">
        <w:rPr>
          <w:rFonts w:ascii="Book Antiqua" w:hAnsi="Book Antiqua" w:cs="宋体"/>
          <w:b/>
          <w:bCs/>
          <w:kern w:val="0"/>
          <w:sz w:val="24"/>
        </w:rPr>
        <w:t>38</w:t>
      </w:r>
      <w:r w:rsidRPr="00133249">
        <w:rPr>
          <w:rFonts w:ascii="Book Antiqua" w:hAnsi="Book Antiqua" w:cs="宋体"/>
          <w:kern w:val="0"/>
          <w:sz w:val="24"/>
        </w:rPr>
        <w:t>: 941-946 [PMID: 12954480]</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lastRenderedPageBreak/>
        <w:t xml:space="preserve">50 </w:t>
      </w:r>
      <w:r w:rsidRPr="00133249">
        <w:rPr>
          <w:rFonts w:ascii="Book Antiqua" w:hAnsi="Book Antiqua" w:cs="宋体"/>
          <w:b/>
          <w:bCs/>
          <w:kern w:val="0"/>
          <w:sz w:val="24"/>
        </w:rPr>
        <w:t>Li L</w:t>
      </w:r>
      <w:r w:rsidRPr="00133249">
        <w:rPr>
          <w:rFonts w:ascii="Book Antiqua" w:hAnsi="Book Antiqua" w:cs="宋体"/>
          <w:kern w:val="0"/>
          <w:sz w:val="24"/>
        </w:rPr>
        <w:t xml:space="preserve">, Hölscher C. Common pathological processes in Alzheimer disease and type 2 diabetes: a review. </w:t>
      </w:r>
      <w:r w:rsidRPr="00133249">
        <w:rPr>
          <w:rFonts w:ascii="Book Antiqua" w:hAnsi="Book Antiqua" w:cs="宋体"/>
          <w:i/>
          <w:iCs/>
          <w:kern w:val="0"/>
          <w:sz w:val="24"/>
        </w:rPr>
        <w:t>Brain Res Rev</w:t>
      </w:r>
      <w:r w:rsidRPr="00133249">
        <w:rPr>
          <w:rFonts w:ascii="Book Antiqua" w:hAnsi="Book Antiqua" w:cs="宋体"/>
          <w:kern w:val="0"/>
          <w:sz w:val="24"/>
        </w:rPr>
        <w:t xml:space="preserve"> 2007; </w:t>
      </w:r>
      <w:r w:rsidRPr="00133249">
        <w:rPr>
          <w:rFonts w:ascii="Book Antiqua" w:hAnsi="Book Antiqua" w:cs="宋体"/>
          <w:b/>
          <w:bCs/>
          <w:kern w:val="0"/>
          <w:sz w:val="24"/>
        </w:rPr>
        <w:t>56</w:t>
      </w:r>
      <w:r w:rsidRPr="00133249">
        <w:rPr>
          <w:rFonts w:ascii="Book Antiqua" w:hAnsi="Book Antiqua" w:cs="宋体"/>
          <w:kern w:val="0"/>
          <w:sz w:val="24"/>
        </w:rPr>
        <w:t>: 384-402 [PMID: 17920690]</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51 </w:t>
      </w:r>
      <w:r w:rsidRPr="00133249">
        <w:rPr>
          <w:rFonts w:ascii="Book Antiqua" w:hAnsi="Book Antiqua" w:cs="宋体"/>
          <w:b/>
          <w:bCs/>
          <w:kern w:val="0"/>
          <w:sz w:val="24"/>
        </w:rPr>
        <w:t>de la Monte SM</w:t>
      </w:r>
      <w:r w:rsidRPr="00133249">
        <w:rPr>
          <w:rFonts w:ascii="Book Antiqua" w:hAnsi="Book Antiqua" w:cs="宋体"/>
          <w:kern w:val="0"/>
          <w:sz w:val="24"/>
        </w:rPr>
        <w:t xml:space="preserve">, Wands JR. Alzheimer's disease is type 3 diabetes-evidence reviewed. </w:t>
      </w:r>
      <w:r w:rsidRPr="00133249">
        <w:rPr>
          <w:rFonts w:ascii="Book Antiqua" w:hAnsi="Book Antiqua" w:cs="宋体"/>
          <w:i/>
          <w:iCs/>
          <w:kern w:val="0"/>
          <w:sz w:val="24"/>
        </w:rPr>
        <w:t>J Diabetes Sci Technol</w:t>
      </w:r>
      <w:r w:rsidRPr="00133249">
        <w:rPr>
          <w:rFonts w:ascii="Book Antiqua" w:hAnsi="Book Antiqua" w:cs="宋体"/>
          <w:kern w:val="0"/>
          <w:sz w:val="24"/>
        </w:rPr>
        <w:t xml:space="preserve"> 2008; </w:t>
      </w:r>
      <w:r w:rsidRPr="00133249">
        <w:rPr>
          <w:rFonts w:ascii="Book Antiqua" w:hAnsi="Book Antiqua" w:cs="宋体"/>
          <w:b/>
          <w:bCs/>
          <w:kern w:val="0"/>
          <w:sz w:val="24"/>
        </w:rPr>
        <w:t>2</w:t>
      </w:r>
      <w:r w:rsidRPr="00133249">
        <w:rPr>
          <w:rFonts w:ascii="Book Antiqua" w:hAnsi="Book Antiqua" w:cs="宋体"/>
          <w:kern w:val="0"/>
          <w:sz w:val="24"/>
        </w:rPr>
        <w:t>: 1101-1113 [PMID: 19885299]</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t xml:space="preserve">52 </w:t>
      </w:r>
      <w:r w:rsidRPr="00133249">
        <w:rPr>
          <w:rFonts w:ascii="Book Antiqua" w:hAnsi="Book Antiqua" w:cs="宋体"/>
          <w:b/>
          <w:bCs/>
          <w:kern w:val="0"/>
          <w:sz w:val="24"/>
        </w:rPr>
        <w:t>Götz J</w:t>
      </w:r>
      <w:r w:rsidRPr="00133249">
        <w:rPr>
          <w:rFonts w:ascii="Book Antiqua" w:hAnsi="Book Antiqua" w:cs="宋体"/>
          <w:kern w:val="0"/>
          <w:sz w:val="24"/>
        </w:rPr>
        <w:t>, Ittner LM, Lim YA.</w:t>
      </w:r>
      <w:proofErr w:type="gramEnd"/>
      <w:r w:rsidRPr="00133249">
        <w:rPr>
          <w:rFonts w:ascii="Book Antiqua" w:hAnsi="Book Antiqua" w:cs="宋体"/>
          <w:kern w:val="0"/>
          <w:sz w:val="24"/>
        </w:rPr>
        <w:t xml:space="preserve"> </w:t>
      </w:r>
      <w:proofErr w:type="gramStart"/>
      <w:r w:rsidRPr="00133249">
        <w:rPr>
          <w:rFonts w:ascii="Book Antiqua" w:hAnsi="Book Antiqua" w:cs="宋体"/>
          <w:kern w:val="0"/>
          <w:sz w:val="24"/>
        </w:rPr>
        <w:t>Common features between diabetes mellitus and Alzheimer's disease.</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Cell Mol Life Sci</w:t>
      </w:r>
      <w:r w:rsidRPr="00133249">
        <w:rPr>
          <w:rFonts w:ascii="Book Antiqua" w:hAnsi="Book Antiqua" w:cs="宋体"/>
          <w:kern w:val="0"/>
          <w:sz w:val="24"/>
        </w:rPr>
        <w:t xml:space="preserve"> 2009; </w:t>
      </w:r>
      <w:r w:rsidRPr="00133249">
        <w:rPr>
          <w:rFonts w:ascii="Book Antiqua" w:hAnsi="Book Antiqua" w:cs="宋体"/>
          <w:b/>
          <w:bCs/>
          <w:kern w:val="0"/>
          <w:sz w:val="24"/>
        </w:rPr>
        <w:t>66</w:t>
      </w:r>
      <w:r w:rsidRPr="00133249">
        <w:rPr>
          <w:rFonts w:ascii="Book Antiqua" w:hAnsi="Book Antiqua" w:cs="宋体"/>
          <w:kern w:val="0"/>
          <w:sz w:val="24"/>
        </w:rPr>
        <w:t>: 1321-1325 [PMID: 19266159 DOI: 10.1007/s00018-009-9070-1]</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53 </w:t>
      </w:r>
      <w:r w:rsidRPr="00133249">
        <w:rPr>
          <w:rFonts w:ascii="Book Antiqua" w:hAnsi="Book Antiqua" w:cs="宋体"/>
          <w:b/>
          <w:bCs/>
          <w:kern w:val="0"/>
          <w:sz w:val="24"/>
        </w:rPr>
        <w:t>Saini V</w:t>
      </w:r>
      <w:r w:rsidRPr="00133249">
        <w:rPr>
          <w:rFonts w:ascii="Book Antiqua" w:hAnsi="Book Antiqua" w:cs="宋体"/>
          <w:kern w:val="0"/>
          <w:sz w:val="24"/>
        </w:rPr>
        <w:t xml:space="preserve">. Molecular mechanisms of insulin resistance in type 2 diabetes mellitus. </w:t>
      </w:r>
      <w:r w:rsidRPr="00133249">
        <w:rPr>
          <w:rFonts w:ascii="Book Antiqua" w:hAnsi="Book Antiqua" w:cs="宋体"/>
          <w:i/>
          <w:iCs/>
          <w:kern w:val="0"/>
          <w:sz w:val="24"/>
        </w:rPr>
        <w:t>World J Diabetes</w:t>
      </w:r>
      <w:r w:rsidRPr="00133249">
        <w:rPr>
          <w:rFonts w:ascii="Book Antiqua" w:hAnsi="Book Antiqua" w:cs="宋体"/>
          <w:kern w:val="0"/>
          <w:sz w:val="24"/>
        </w:rPr>
        <w:t xml:space="preserve"> 2010; </w:t>
      </w:r>
      <w:r w:rsidRPr="00133249">
        <w:rPr>
          <w:rFonts w:ascii="Book Antiqua" w:hAnsi="Book Antiqua" w:cs="宋体"/>
          <w:b/>
          <w:bCs/>
          <w:kern w:val="0"/>
          <w:sz w:val="24"/>
        </w:rPr>
        <w:t>1</w:t>
      </w:r>
      <w:r w:rsidRPr="00133249">
        <w:rPr>
          <w:rFonts w:ascii="Book Antiqua" w:hAnsi="Book Antiqua" w:cs="宋体"/>
          <w:kern w:val="0"/>
          <w:sz w:val="24"/>
        </w:rPr>
        <w:t>: 68-75 [PMID: 21537430]</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t xml:space="preserve">54 </w:t>
      </w:r>
      <w:r w:rsidRPr="00133249">
        <w:rPr>
          <w:rFonts w:ascii="Book Antiqua" w:hAnsi="Book Antiqua" w:cs="宋体"/>
          <w:b/>
          <w:bCs/>
          <w:kern w:val="0"/>
          <w:sz w:val="24"/>
        </w:rPr>
        <w:t>Park SA</w:t>
      </w:r>
      <w:r w:rsidRPr="00133249">
        <w:rPr>
          <w:rFonts w:ascii="Book Antiqua" w:hAnsi="Book Antiqua" w:cs="宋体"/>
          <w:kern w:val="0"/>
          <w:sz w:val="24"/>
        </w:rPr>
        <w:t>.</w:t>
      </w:r>
      <w:proofErr w:type="gramEnd"/>
      <w:r w:rsidRPr="00133249">
        <w:rPr>
          <w:rFonts w:ascii="Book Antiqua" w:hAnsi="Book Antiqua" w:cs="宋体"/>
          <w:kern w:val="0"/>
          <w:sz w:val="24"/>
        </w:rPr>
        <w:t xml:space="preserve"> A common pathogenic mechanism linking type-2 diabetes and Alzheimer's disease: evidence from animal models. </w:t>
      </w:r>
      <w:r w:rsidRPr="00133249">
        <w:rPr>
          <w:rFonts w:ascii="Book Antiqua" w:hAnsi="Book Antiqua" w:cs="宋体"/>
          <w:i/>
          <w:iCs/>
          <w:kern w:val="0"/>
          <w:sz w:val="24"/>
        </w:rPr>
        <w:t>J Clin Neurol</w:t>
      </w:r>
      <w:r w:rsidRPr="00133249">
        <w:rPr>
          <w:rFonts w:ascii="Book Antiqua" w:hAnsi="Book Antiqua" w:cs="宋体"/>
          <w:kern w:val="0"/>
          <w:sz w:val="24"/>
        </w:rPr>
        <w:t xml:space="preserve"> 2011; </w:t>
      </w:r>
      <w:r w:rsidRPr="00133249">
        <w:rPr>
          <w:rFonts w:ascii="Book Antiqua" w:hAnsi="Book Antiqua" w:cs="宋体"/>
          <w:b/>
          <w:bCs/>
          <w:kern w:val="0"/>
          <w:sz w:val="24"/>
        </w:rPr>
        <w:t>7</w:t>
      </w:r>
      <w:r w:rsidRPr="00133249">
        <w:rPr>
          <w:rFonts w:ascii="Book Antiqua" w:hAnsi="Book Antiqua" w:cs="宋体"/>
          <w:kern w:val="0"/>
          <w:sz w:val="24"/>
        </w:rPr>
        <w:t>: 10-18 [PMID: 21519521]</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55 </w:t>
      </w:r>
      <w:r w:rsidRPr="00133249">
        <w:rPr>
          <w:rFonts w:ascii="Book Antiqua" w:hAnsi="Book Antiqua" w:cs="宋体"/>
          <w:b/>
          <w:bCs/>
          <w:kern w:val="0"/>
          <w:sz w:val="24"/>
        </w:rPr>
        <w:t>Correia SC</w:t>
      </w:r>
      <w:r w:rsidRPr="00133249">
        <w:rPr>
          <w:rFonts w:ascii="Book Antiqua" w:hAnsi="Book Antiqua" w:cs="宋体"/>
          <w:kern w:val="0"/>
          <w:sz w:val="24"/>
        </w:rPr>
        <w:t xml:space="preserve">, Santos RX, Carvalho C, Cardoso S, Candeias E, Santos MS, Oliveira CR, Moreira PI. Insulin signaling, glucose metabolism and mitochondria: major players in Alzheimer's disease and diabetes interrelation. </w:t>
      </w:r>
      <w:r w:rsidRPr="00133249">
        <w:rPr>
          <w:rFonts w:ascii="Book Antiqua" w:hAnsi="Book Antiqua" w:cs="宋体"/>
          <w:i/>
          <w:iCs/>
          <w:kern w:val="0"/>
          <w:sz w:val="24"/>
        </w:rPr>
        <w:t>Brain Res</w:t>
      </w:r>
      <w:r w:rsidRPr="00133249">
        <w:rPr>
          <w:rFonts w:ascii="Book Antiqua" w:hAnsi="Book Antiqua" w:cs="宋体"/>
          <w:kern w:val="0"/>
          <w:sz w:val="24"/>
        </w:rPr>
        <w:t xml:space="preserve"> 2012; </w:t>
      </w:r>
      <w:r w:rsidRPr="00133249">
        <w:rPr>
          <w:rFonts w:ascii="Book Antiqua" w:hAnsi="Book Antiqua" w:cs="宋体"/>
          <w:b/>
          <w:bCs/>
          <w:kern w:val="0"/>
          <w:sz w:val="24"/>
        </w:rPr>
        <w:t>1441</w:t>
      </w:r>
      <w:r w:rsidRPr="00133249">
        <w:rPr>
          <w:rFonts w:ascii="Book Antiqua" w:hAnsi="Book Antiqua" w:cs="宋体"/>
          <w:kern w:val="0"/>
          <w:sz w:val="24"/>
        </w:rPr>
        <w:t>: 64-78 [PMID: 22290178 DOI: 10.1016/j.brainres.2011.12.063]</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56 </w:t>
      </w:r>
      <w:r w:rsidRPr="00133249">
        <w:rPr>
          <w:rFonts w:ascii="Book Antiqua" w:hAnsi="Book Antiqua" w:cs="宋体"/>
          <w:b/>
          <w:bCs/>
          <w:kern w:val="0"/>
          <w:sz w:val="24"/>
        </w:rPr>
        <w:t>Biju MP</w:t>
      </w:r>
      <w:r w:rsidRPr="00133249">
        <w:rPr>
          <w:rFonts w:ascii="Book Antiqua" w:hAnsi="Book Antiqua" w:cs="宋体"/>
          <w:kern w:val="0"/>
          <w:sz w:val="24"/>
        </w:rPr>
        <w:t xml:space="preserve">, Paulose CS. Brain glutamate dehydrogenase changes in streptozotocin diabetic rats as a function of age. </w:t>
      </w:r>
      <w:r w:rsidRPr="00133249">
        <w:rPr>
          <w:rFonts w:ascii="Book Antiqua" w:hAnsi="Book Antiqua" w:cs="宋体"/>
          <w:i/>
          <w:iCs/>
          <w:kern w:val="0"/>
          <w:sz w:val="24"/>
        </w:rPr>
        <w:t>Biochem Mol Biol Int</w:t>
      </w:r>
      <w:r w:rsidRPr="00133249">
        <w:rPr>
          <w:rFonts w:ascii="Book Antiqua" w:hAnsi="Book Antiqua" w:cs="宋体"/>
          <w:kern w:val="0"/>
          <w:sz w:val="24"/>
        </w:rPr>
        <w:t xml:space="preserve"> 1998; </w:t>
      </w:r>
      <w:r w:rsidRPr="00133249">
        <w:rPr>
          <w:rFonts w:ascii="Book Antiqua" w:hAnsi="Book Antiqua" w:cs="宋体"/>
          <w:b/>
          <w:bCs/>
          <w:kern w:val="0"/>
          <w:sz w:val="24"/>
        </w:rPr>
        <w:t>44</w:t>
      </w:r>
      <w:r w:rsidRPr="00133249">
        <w:rPr>
          <w:rFonts w:ascii="Book Antiqua" w:hAnsi="Book Antiqua" w:cs="宋体"/>
          <w:kern w:val="0"/>
          <w:sz w:val="24"/>
        </w:rPr>
        <w:t>: 1-7 [PMID: 9503142]</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57 </w:t>
      </w:r>
      <w:r w:rsidRPr="00133249">
        <w:rPr>
          <w:rFonts w:ascii="Book Antiqua" w:hAnsi="Book Antiqua" w:cs="宋体"/>
          <w:b/>
          <w:bCs/>
          <w:kern w:val="0"/>
          <w:sz w:val="24"/>
        </w:rPr>
        <w:t>Talbot K</w:t>
      </w:r>
      <w:r w:rsidRPr="00133249">
        <w:rPr>
          <w:rFonts w:ascii="Book Antiqua" w:hAnsi="Book Antiqua" w:cs="宋体"/>
          <w:kern w:val="0"/>
          <w:sz w:val="24"/>
        </w:rPr>
        <w:t xml:space="preserve">, Wang HY, Kazi H, Han LY, Bakshi KP, Stucky A, Fuino RL, Kawaguchi KR, Samoyedny AJ, Wilson RS, Arvanitakis Z, Schneider JA, Wolf BA, Bennett DA, Trojanowski JQ, Arnold SE. Demonstrated brain insulin resistance in Alzheimer's disease patients is associated with IGF-1 resistance, IRS-1 dysregulation, and cognitive decline. </w:t>
      </w:r>
      <w:r w:rsidRPr="00133249">
        <w:rPr>
          <w:rFonts w:ascii="Book Antiqua" w:hAnsi="Book Antiqua" w:cs="宋体"/>
          <w:i/>
          <w:iCs/>
          <w:kern w:val="0"/>
          <w:sz w:val="24"/>
        </w:rPr>
        <w:t>J Clin Invest</w:t>
      </w:r>
      <w:r w:rsidRPr="00133249">
        <w:rPr>
          <w:rFonts w:ascii="Book Antiqua" w:hAnsi="Book Antiqua" w:cs="宋体"/>
          <w:kern w:val="0"/>
          <w:sz w:val="24"/>
        </w:rPr>
        <w:t xml:space="preserve"> 2012; </w:t>
      </w:r>
      <w:r w:rsidRPr="00133249">
        <w:rPr>
          <w:rFonts w:ascii="Book Antiqua" w:hAnsi="Book Antiqua" w:cs="宋体"/>
          <w:b/>
          <w:bCs/>
          <w:kern w:val="0"/>
          <w:sz w:val="24"/>
        </w:rPr>
        <w:t>122</w:t>
      </w:r>
      <w:r w:rsidRPr="00133249">
        <w:rPr>
          <w:rFonts w:ascii="Book Antiqua" w:hAnsi="Book Antiqua" w:cs="宋体"/>
          <w:kern w:val="0"/>
          <w:sz w:val="24"/>
        </w:rPr>
        <w:t>: 1316-1338 [PMID: 22476197 DOI: 10.1172/JCI59903]</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58 </w:t>
      </w:r>
      <w:r w:rsidRPr="00133249">
        <w:rPr>
          <w:rFonts w:ascii="Book Antiqua" w:hAnsi="Book Antiqua" w:cs="宋体"/>
          <w:b/>
          <w:bCs/>
          <w:kern w:val="0"/>
          <w:sz w:val="24"/>
        </w:rPr>
        <w:t>Ruigómez A</w:t>
      </w:r>
      <w:r w:rsidRPr="00133249">
        <w:rPr>
          <w:rFonts w:ascii="Book Antiqua" w:hAnsi="Book Antiqua" w:cs="宋体"/>
          <w:kern w:val="0"/>
          <w:sz w:val="24"/>
        </w:rPr>
        <w:t xml:space="preserve">, García Rodríguez LA. Presence of diabetes related complication at the time of NIDDM diagnosis: an important prognostic factor. </w:t>
      </w:r>
      <w:r w:rsidRPr="00133249">
        <w:rPr>
          <w:rFonts w:ascii="Book Antiqua" w:hAnsi="Book Antiqua" w:cs="宋体"/>
          <w:i/>
          <w:iCs/>
          <w:kern w:val="0"/>
          <w:sz w:val="24"/>
        </w:rPr>
        <w:t>Eur J Epidemiol</w:t>
      </w:r>
      <w:r w:rsidRPr="00133249">
        <w:rPr>
          <w:rFonts w:ascii="Book Antiqua" w:hAnsi="Book Antiqua" w:cs="宋体"/>
          <w:kern w:val="0"/>
          <w:sz w:val="24"/>
        </w:rPr>
        <w:t xml:space="preserve"> 1998; </w:t>
      </w:r>
      <w:r w:rsidRPr="00133249">
        <w:rPr>
          <w:rFonts w:ascii="Book Antiqua" w:hAnsi="Book Antiqua" w:cs="宋体"/>
          <w:b/>
          <w:bCs/>
          <w:kern w:val="0"/>
          <w:sz w:val="24"/>
        </w:rPr>
        <w:t>14</w:t>
      </w:r>
      <w:r w:rsidRPr="00133249">
        <w:rPr>
          <w:rFonts w:ascii="Book Antiqua" w:hAnsi="Book Antiqua" w:cs="宋体"/>
          <w:kern w:val="0"/>
          <w:sz w:val="24"/>
        </w:rPr>
        <w:t>: 439-445 [PMID: 9744675]</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59 </w:t>
      </w:r>
      <w:r w:rsidRPr="00133249">
        <w:rPr>
          <w:rFonts w:ascii="Book Antiqua" w:hAnsi="Book Antiqua" w:cs="宋体"/>
          <w:b/>
          <w:bCs/>
          <w:kern w:val="0"/>
          <w:sz w:val="24"/>
        </w:rPr>
        <w:t>Ke YD</w:t>
      </w:r>
      <w:r w:rsidRPr="00133249">
        <w:rPr>
          <w:rFonts w:ascii="Book Antiqua" w:hAnsi="Book Antiqua" w:cs="宋体"/>
          <w:kern w:val="0"/>
          <w:sz w:val="24"/>
        </w:rPr>
        <w:t xml:space="preserve">, Delerue F, Gladbach A, Götz J, Ittner LM. Experimental diabetes mellitus exacerbates tau pathology in a transgenic mouse model of Alzheimer's disease. </w:t>
      </w:r>
      <w:r w:rsidRPr="00133249">
        <w:rPr>
          <w:rFonts w:ascii="Book Antiqua" w:hAnsi="Book Antiqua" w:cs="宋体"/>
          <w:i/>
          <w:iCs/>
          <w:kern w:val="0"/>
          <w:sz w:val="24"/>
        </w:rPr>
        <w:t>PLoS One</w:t>
      </w:r>
      <w:r w:rsidRPr="00133249">
        <w:rPr>
          <w:rFonts w:ascii="Book Antiqua" w:hAnsi="Book Antiqua" w:cs="宋体"/>
          <w:kern w:val="0"/>
          <w:sz w:val="24"/>
        </w:rPr>
        <w:t xml:space="preserve"> 2009; </w:t>
      </w:r>
      <w:r w:rsidRPr="00133249">
        <w:rPr>
          <w:rFonts w:ascii="Book Antiqua" w:hAnsi="Book Antiqua" w:cs="宋体"/>
          <w:b/>
          <w:bCs/>
          <w:kern w:val="0"/>
          <w:sz w:val="24"/>
        </w:rPr>
        <w:t>4</w:t>
      </w:r>
      <w:r w:rsidRPr="00133249">
        <w:rPr>
          <w:rFonts w:ascii="Book Antiqua" w:hAnsi="Book Antiqua" w:cs="宋体"/>
          <w:kern w:val="0"/>
          <w:sz w:val="24"/>
        </w:rPr>
        <w:t>: e7917 [PMID: 19936237 DOI: 10.1371/journal.pone.0007917]</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t xml:space="preserve">60 </w:t>
      </w:r>
      <w:r w:rsidRPr="00133249">
        <w:rPr>
          <w:rFonts w:ascii="Book Antiqua" w:hAnsi="Book Antiqua" w:cs="宋体"/>
          <w:b/>
          <w:bCs/>
          <w:kern w:val="0"/>
          <w:sz w:val="24"/>
        </w:rPr>
        <w:t>Pasquier F</w:t>
      </w:r>
      <w:r w:rsidRPr="00133249">
        <w:rPr>
          <w:rFonts w:ascii="Book Antiqua" w:hAnsi="Book Antiqua" w:cs="宋体"/>
          <w:kern w:val="0"/>
          <w:sz w:val="24"/>
        </w:rPr>
        <w:t>, Boulogne A, Leys D, Fontaine P. Diabetes mellitus and dementia.</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Diabetes Metab</w:t>
      </w:r>
      <w:r w:rsidRPr="00133249">
        <w:rPr>
          <w:rFonts w:ascii="Book Antiqua" w:hAnsi="Book Antiqua" w:cs="宋体"/>
          <w:kern w:val="0"/>
          <w:sz w:val="24"/>
        </w:rPr>
        <w:t xml:space="preserve"> 2006; </w:t>
      </w:r>
      <w:r w:rsidRPr="00133249">
        <w:rPr>
          <w:rFonts w:ascii="Book Antiqua" w:hAnsi="Book Antiqua" w:cs="宋体"/>
          <w:b/>
          <w:bCs/>
          <w:kern w:val="0"/>
          <w:sz w:val="24"/>
        </w:rPr>
        <w:t>32</w:t>
      </w:r>
      <w:r w:rsidRPr="00133249">
        <w:rPr>
          <w:rFonts w:ascii="Book Antiqua" w:hAnsi="Book Antiqua" w:cs="宋体"/>
          <w:kern w:val="0"/>
          <w:sz w:val="24"/>
        </w:rPr>
        <w:t>: 403-414 [PMID: 17110895]</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lastRenderedPageBreak/>
        <w:t xml:space="preserve">61 </w:t>
      </w:r>
      <w:r w:rsidRPr="00133249">
        <w:rPr>
          <w:rFonts w:ascii="Book Antiqua" w:hAnsi="Book Antiqua" w:cs="宋体"/>
          <w:b/>
          <w:bCs/>
          <w:kern w:val="0"/>
          <w:sz w:val="24"/>
        </w:rPr>
        <w:t>Verdelho A</w:t>
      </w:r>
      <w:r w:rsidRPr="00133249">
        <w:rPr>
          <w:rFonts w:ascii="Book Antiqua" w:hAnsi="Book Antiqua" w:cs="宋体"/>
          <w:kern w:val="0"/>
          <w:sz w:val="24"/>
        </w:rPr>
        <w:t xml:space="preserve">, Madureira S, Ferro JM, Basile AM, Chabriat H, Erkinjuntti T, Fazekas F, Hennerici M, O'Brien J, Pantoni L, Salvadori E, Scheltens P, Visser MC, Wahlund LO, Waldemar G, Wallin A, Inzitari D. Differential impact of cerebral white matter changes, diabetes, hypertension and stroke on cognitive performance among non-disabled elderly. The LADIS study. </w:t>
      </w:r>
      <w:r w:rsidRPr="00133249">
        <w:rPr>
          <w:rFonts w:ascii="Book Antiqua" w:hAnsi="Book Antiqua" w:cs="宋体"/>
          <w:i/>
          <w:iCs/>
          <w:kern w:val="0"/>
          <w:sz w:val="24"/>
        </w:rPr>
        <w:t>J Neurol Neurosurg Psychiatry</w:t>
      </w:r>
      <w:r w:rsidRPr="00133249">
        <w:rPr>
          <w:rFonts w:ascii="Book Antiqua" w:hAnsi="Book Antiqua" w:cs="宋体"/>
          <w:kern w:val="0"/>
          <w:sz w:val="24"/>
        </w:rPr>
        <w:t xml:space="preserve"> 2007; </w:t>
      </w:r>
      <w:r w:rsidRPr="00133249">
        <w:rPr>
          <w:rFonts w:ascii="Book Antiqua" w:hAnsi="Book Antiqua" w:cs="宋体"/>
          <w:b/>
          <w:bCs/>
          <w:kern w:val="0"/>
          <w:sz w:val="24"/>
        </w:rPr>
        <w:t>78</w:t>
      </w:r>
      <w:r w:rsidRPr="00133249">
        <w:rPr>
          <w:rFonts w:ascii="Book Antiqua" w:hAnsi="Book Antiqua" w:cs="宋体"/>
          <w:kern w:val="0"/>
          <w:sz w:val="24"/>
        </w:rPr>
        <w:t>: 1325-1330 [PMID: 17470472]</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t xml:space="preserve">62 </w:t>
      </w:r>
      <w:r w:rsidRPr="00133249">
        <w:rPr>
          <w:rFonts w:ascii="Book Antiqua" w:hAnsi="Book Antiqua" w:cs="宋体"/>
          <w:b/>
          <w:bCs/>
          <w:kern w:val="0"/>
          <w:sz w:val="24"/>
        </w:rPr>
        <w:t>Winocur G</w:t>
      </w:r>
      <w:r w:rsidRPr="00133249">
        <w:rPr>
          <w:rFonts w:ascii="Book Antiqua" w:hAnsi="Book Antiqua" w:cs="宋体"/>
          <w:kern w:val="0"/>
          <w:sz w:val="24"/>
        </w:rPr>
        <w:t>, Greenwood CE.</w:t>
      </w:r>
      <w:proofErr w:type="gramEnd"/>
      <w:r w:rsidRPr="00133249">
        <w:rPr>
          <w:rFonts w:ascii="Book Antiqua" w:hAnsi="Book Antiqua" w:cs="宋体"/>
          <w:kern w:val="0"/>
          <w:sz w:val="24"/>
        </w:rPr>
        <w:t xml:space="preserve"> </w:t>
      </w:r>
      <w:proofErr w:type="gramStart"/>
      <w:r w:rsidRPr="00133249">
        <w:rPr>
          <w:rFonts w:ascii="Book Antiqua" w:hAnsi="Book Antiqua" w:cs="宋体"/>
          <w:kern w:val="0"/>
          <w:sz w:val="24"/>
        </w:rPr>
        <w:t>Studies of the effects of high fat diets on cognitive function in a rat model.</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Neurobiol Aging</w:t>
      </w:r>
      <w:r w:rsidRPr="00133249">
        <w:rPr>
          <w:rFonts w:ascii="Book Antiqua" w:hAnsi="Book Antiqua" w:cs="宋体"/>
          <w:kern w:val="0"/>
          <w:sz w:val="24"/>
        </w:rPr>
        <w:t xml:space="preserve"> 2005; </w:t>
      </w:r>
      <w:r w:rsidRPr="00133249">
        <w:rPr>
          <w:rFonts w:ascii="Book Antiqua" w:hAnsi="Book Antiqua" w:cs="宋体"/>
          <w:b/>
          <w:bCs/>
          <w:kern w:val="0"/>
          <w:sz w:val="24"/>
        </w:rPr>
        <w:t xml:space="preserve">26 </w:t>
      </w:r>
      <w:r w:rsidRPr="00133249">
        <w:rPr>
          <w:rFonts w:ascii="Book Antiqua" w:hAnsi="Book Antiqua" w:cs="宋体"/>
          <w:bCs/>
          <w:kern w:val="0"/>
          <w:sz w:val="24"/>
        </w:rPr>
        <w:t>Suppl 1</w:t>
      </w:r>
      <w:r w:rsidRPr="00133249">
        <w:rPr>
          <w:rFonts w:ascii="Book Antiqua" w:hAnsi="Book Antiqua" w:cs="宋体"/>
          <w:kern w:val="0"/>
          <w:sz w:val="24"/>
        </w:rPr>
        <w:t>: 46-49 [PMID: 16219391]</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t xml:space="preserve">63 </w:t>
      </w:r>
      <w:r w:rsidRPr="00133249">
        <w:rPr>
          <w:rFonts w:ascii="Book Antiqua" w:hAnsi="Book Antiqua" w:cs="宋体"/>
          <w:b/>
          <w:bCs/>
          <w:kern w:val="0"/>
          <w:sz w:val="24"/>
        </w:rPr>
        <w:t>Winocur G</w:t>
      </w:r>
      <w:r w:rsidRPr="00133249">
        <w:rPr>
          <w:rFonts w:ascii="Book Antiqua" w:hAnsi="Book Antiqua" w:cs="宋体"/>
          <w:kern w:val="0"/>
          <w:sz w:val="24"/>
        </w:rPr>
        <w:t>, Greenwood CE, Piroli GG, Grillo CA, Reznikov LR, Reagan LP, McEwen BS.</w:t>
      </w:r>
      <w:proofErr w:type="gramEnd"/>
      <w:r w:rsidRPr="00133249">
        <w:rPr>
          <w:rFonts w:ascii="Book Antiqua" w:hAnsi="Book Antiqua" w:cs="宋体"/>
          <w:kern w:val="0"/>
          <w:sz w:val="24"/>
        </w:rPr>
        <w:t xml:space="preserve"> Memory impairment in obese Zucker rats: an investigation of cognitive function in an animal model of insulin resistance and obesity. </w:t>
      </w:r>
      <w:r w:rsidRPr="00133249">
        <w:rPr>
          <w:rFonts w:ascii="Book Antiqua" w:hAnsi="Book Antiqua" w:cs="宋体"/>
          <w:i/>
          <w:iCs/>
          <w:kern w:val="0"/>
          <w:sz w:val="24"/>
        </w:rPr>
        <w:t>Behav Neurosci</w:t>
      </w:r>
      <w:r w:rsidRPr="00133249">
        <w:rPr>
          <w:rFonts w:ascii="Book Antiqua" w:hAnsi="Book Antiqua" w:cs="宋体"/>
          <w:kern w:val="0"/>
          <w:sz w:val="24"/>
        </w:rPr>
        <w:t xml:space="preserve"> 2005; </w:t>
      </w:r>
      <w:r w:rsidRPr="00133249">
        <w:rPr>
          <w:rFonts w:ascii="Book Antiqua" w:hAnsi="Book Antiqua" w:cs="宋体"/>
          <w:b/>
          <w:bCs/>
          <w:kern w:val="0"/>
          <w:sz w:val="24"/>
        </w:rPr>
        <w:t>119</w:t>
      </w:r>
      <w:r w:rsidRPr="00133249">
        <w:rPr>
          <w:rFonts w:ascii="Book Antiqua" w:hAnsi="Book Antiqua" w:cs="宋体"/>
          <w:kern w:val="0"/>
          <w:sz w:val="24"/>
        </w:rPr>
        <w:t>: 1389-1395 [PMID: 16300445]</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64 </w:t>
      </w:r>
      <w:r w:rsidRPr="00133249">
        <w:rPr>
          <w:rFonts w:ascii="Book Antiqua" w:hAnsi="Book Antiqua" w:cs="宋体"/>
          <w:b/>
          <w:bCs/>
          <w:kern w:val="0"/>
          <w:sz w:val="24"/>
        </w:rPr>
        <w:t>Lester-Coll N</w:t>
      </w:r>
      <w:r w:rsidRPr="00133249">
        <w:rPr>
          <w:rFonts w:ascii="Book Antiqua" w:hAnsi="Book Antiqua" w:cs="宋体"/>
          <w:kern w:val="0"/>
          <w:sz w:val="24"/>
        </w:rPr>
        <w:t xml:space="preserve">, Rivera EJ, Soscia SJ, Doiron K, Wands JR, de la Monte SM. Intracerebral streptozotocin model of type 3 diabetes: relevance to sporadic Alzheimer's disease. </w:t>
      </w:r>
      <w:r w:rsidRPr="00133249">
        <w:rPr>
          <w:rFonts w:ascii="Book Antiqua" w:hAnsi="Book Antiqua" w:cs="宋体"/>
          <w:i/>
          <w:iCs/>
          <w:kern w:val="0"/>
          <w:sz w:val="24"/>
        </w:rPr>
        <w:t>J Alzheimers Dis</w:t>
      </w:r>
      <w:r w:rsidRPr="00133249">
        <w:rPr>
          <w:rFonts w:ascii="Book Antiqua" w:hAnsi="Book Antiqua" w:cs="宋体"/>
          <w:kern w:val="0"/>
          <w:sz w:val="24"/>
        </w:rPr>
        <w:t xml:space="preserve"> 2006; </w:t>
      </w:r>
      <w:r w:rsidRPr="00133249">
        <w:rPr>
          <w:rFonts w:ascii="Book Antiqua" w:hAnsi="Book Antiqua" w:cs="宋体"/>
          <w:b/>
          <w:bCs/>
          <w:kern w:val="0"/>
          <w:sz w:val="24"/>
        </w:rPr>
        <w:t>9</w:t>
      </w:r>
      <w:r w:rsidRPr="00133249">
        <w:rPr>
          <w:rFonts w:ascii="Book Antiqua" w:hAnsi="Book Antiqua" w:cs="宋体"/>
          <w:kern w:val="0"/>
          <w:sz w:val="24"/>
        </w:rPr>
        <w:t>: 13-33 [PMID: 16627931]</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65 </w:t>
      </w:r>
      <w:r w:rsidRPr="00133249">
        <w:rPr>
          <w:rFonts w:ascii="Book Antiqua" w:hAnsi="Book Antiqua" w:cs="宋体"/>
          <w:b/>
          <w:bCs/>
          <w:kern w:val="0"/>
          <w:sz w:val="24"/>
        </w:rPr>
        <w:t>Weinstock M</w:t>
      </w:r>
      <w:r w:rsidRPr="00133249">
        <w:rPr>
          <w:rFonts w:ascii="Book Antiqua" w:hAnsi="Book Antiqua" w:cs="宋体"/>
          <w:kern w:val="0"/>
          <w:sz w:val="24"/>
        </w:rPr>
        <w:t xml:space="preserve">, Shoham S. Rat models of dementia based on reductions in regional glucose metabolism, cerebral blood flow and cytochrome oxidase activity. </w:t>
      </w:r>
      <w:r w:rsidRPr="00133249">
        <w:rPr>
          <w:rFonts w:ascii="Book Antiqua" w:hAnsi="Book Antiqua" w:cs="宋体"/>
          <w:i/>
          <w:iCs/>
          <w:kern w:val="0"/>
          <w:sz w:val="24"/>
        </w:rPr>
        <w:t>J Neural Transm</w:t>
      </w:r>
      <w:r w:rsidRPr="00133249">
        <w:rPr>
          <w:rFonts w:ascii="Book Antiqua" w:hAnsi="Book Antiqua" w:cs="宋体"/>
          <w:kern w:val="0"/>
          <w:sz w:val="24"/>
        </w:rPr>
        <w:t xml:space="preserve"> 2004; </w:t>
      </w:r>
      <w:r w:rsidRPr="00133249">
        <w:rPr>
          <w:rFonts w:ascii="Book Antiqua" w:hAnsi="Book Antiqua" w:cs="宋体"/>
          <w:b/>
          <w:bCs/>
          <w:kern w:val="0"/>
          <w:sz w:val="24"/>
        </w:rPr>
        <w:t>111</w:t>
      </w:r>
      <w:r w:rsidRPr="00133249">
        <w:rPr>
          <w:rFonts w:ascii="Book Antiqua" w:hAnsi="Book Antiqua" w:cs="宋体"/>
          <w:kern w:val="0"/>
          <w:sz w:val="24"/>
        </w:rPr>
        <w:t>: 347-366 [PMID: 14991459]</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66 </w:t>
      </w:r>
      <w:r w:rsidRPr="00133249">
        <w:rPr>
          <w:rFonts w:ascii="Book Antiqua" w:hAnsi="Book Antiqua" w:cs="宋体"/>
          <w:b/>
          <w:bCs/>
          <w:kern w:val="0"/>
          <w:sz w:val="24"/>
        </w:rPr>
        <w:t>Rivera EJ</w:t>
      </w:r>
      <w:r w:rsidRPr="00133249">
        <w:rPr>
          <w:rFonts w:ascii="Book Antiqua" w:hAnsi="Book Antiqua" w:cs="宋体"/>
          <w:kern w:val="0"/>
          <w:sz w:val="24"/>
        </w:rPr>
        <w:t xml:space="preserve">, Goldin A, Fulmer N, Tavares R, Wands JR, de la Monte SM. Insulin and insulin-like growth factor expression and function deteriorate with progression of Alzheimer's disease: link to brain reductions in acetylcholine. </w:t>
      </w:r>
      <w:r w:rsidRPr="00133249">
        <w:rPr>
          <w:rFonts w:ascii="Book Antiqua" w:hAnsi="Book Antiqua" w:cs="宋体"/>
          <w:i/>
          <w:iCs/>
          <w:kern w:val="0"/>
          <w:sz w:val="24"/>
        </w:rPr>
        <w:t>J Alzheimers Dis</w:t>
      </w:r>
      <w:r w:rsidRPr="00133249">
        <w:rPr>
          <w:rFonts w:ascii="Book Antiqua" w:hAnsi="Book Antiqua" w:cs="宋体"/>
          <w:kern w:val="0"/>
          <w:sz w:val="24"/>
        </w:rPr>
        <w:t xml:space="preserve"> 2005; </w:t>
      </w:r>
      <w:r w:rsidRPr="00133249">
        <w:rPr>
          <w:rFonts w:ascii="Book Antiqua" w:hAnsi="Book Antiqua" w:cs="宋体"/>
          <w:b/>
          <w:bCs/>
          <w:kern w:val="0"/>
          <w:sz w:val="24"/>
        </w:rPr>
        <w:t>8</w:t>
      </w:r>
      <w:r w:rsidRPr="00133249">
        <w:rPr>
          <w:rFonts w:ascii="Book Antiqua" w:hAnsi="Book Antiqua" w:cs="宋体"/>
          <w:kern w:val="0"/>
          <w:sz w:val="24"/>
        </w:rPr>
        <w:t>: 247-268 [PMID: 16340083]</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67 </w:t>
      </w:r>
      <w:r w:rsidRPr="00133249">
        <w:rPr>
          <w:rFonts w:ascii="Book Antiqua" w:hAnsi="Book Antiqua" w:cs="宋体"/>
          <w:b/>
          <w:bCs/>
          <w:kern w:val="0"/>
          <w:sz w:val="24"/>
        </w:rPr>
        <w:t>Craft S</w:t>
      </w:r>
      <w:r w:rsidRPr="00133249">
        <w:rPr>
          <w:rFonts w:ascii="Book Antiqua" w:hAnsi="Book Antiqua" w:cs="宋体"/>
          <w:kern w:val="0"/>
          <w:sz w:val="24"/>
        </w:rPr>
        <w:t xml:space="preserve">. Insulin resistance syndrome and Alzheimer disease: pathophysiologic mechanisms and therapeutic implications. </w:t>
      </w:r>
      <w:r w:rsidRPr="00133249">
        <w:rPr>
          <w:rFonts w:ascii="Book Antiqua" w:hAnsi="Book Antiqua" w:cs="宋体"/>
          <w:i/>
          <w:iCs/>
          <w:kern w:val="0"/>
          <w:sz w:val="24"/>
        </w:rPr>
        <w:t>Alzheimer Dis Assoc Disord</w:t>
      </w:r>
      <w:r w:rsidRPr="00133249">
        <w:rPr>
          <w:rFonts w:ascii="Book Antiqua" w:hAnsi="Book Antiqua" w:cs="宋体"/>
          <w:kern w:val="0"/>
          <w:sz w:val="24"/>
        </w:rPr>
        <w:t xml:space="preserve"> </w:t>
      </w:r>
      <w:r w:rsidR="00E57732">
        <w:rPr>
          <w:rFonts w:ascii="Book Antiqua" w:hAnsi="Book Antiqua" w:cs="宋体" w:hint="eastAsia"/>
          <w:kern w:val="0"/>
          <w:sz w:val="24"/>
        </w:rPr>
        <w:t>2006</w:t>
      </w:r>
      <w:r w:rsidRPr="00133249">
        <w:rPr>
          <w:rFonts w:ascii="Book Antiqua" w:hAnsi="Book Antiqua" w:cs="宋体"/>
          <w:kern w:val="0"/>
          <w:sz w:val="24"/>
        </w:rPr>
        <w:t xml:space="preserve">; </w:t>
      </w:r>
      <w:r w:rsidRPr="00133249">
        <w:rPr>
          <w:rFonts w:ascii="Book Antiqua" w:hAnsi="Book Antiqua" w:cs="宋体"/>
          <w:b/>
          <w:bCs/>
          <w:kern w:val="0"/>
          <w:sz w:val="24"/>
        </w:rPr>
        <w:t>20</w:t>
      </w:r>
      <w:r w:rsidRPr="00133249">
        <w:rPr>
          <w:rFonts w:ascii="Book Antiqua" w:hAnsi="Book Antiqua" w:cs="宋体"/>
          <w:kern w:val="0"/>
          <w:sz w:val="24"/>
        </w:rPr>
        <w:t>: 298-301 [PMID: 17132977]</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68 </w:t>
      </w:r>
      <w:r w:rsidRPr="00133249">
        <w:rPr>
          <w:rFonts w:ascii="Book Antiqua" w:hAnsi="Book Antiqua" w:cs="宋体"/>
          <w:b/>
          <w:bCs/>
          <w:kern w:val="0"/>
          <w:sz w:val="24"/>
        </w:rPr>
        <w:t>Craft S</w:t>
      </w:r>
      <w:r w:rsidRPr="00133249">
        <w:rPr>
          <w:rFonts w:ascii="Book Antiqua" w:hAnsi="Book Antiqua" w:cs="宋体"/>
          <w:kern w:val="0"/>
          <w:sz w:val="24"/>
        </w:rPr>
        <w:t xml:space="preserve">. Insulin resistance and Alzheimer's disease pathogenesis: potential mechanisms and implications for treatment. </w:t>
      </w:r>
      <w:r w:rsidRPr="00133249">
        <w:rPr>
          <w:rFonts w:ascii="Book Antiqua" w:hAnsi="Book Antiqua" w:cs="宋体"/>
          <w:i/>
          <w:iCs/>
          <w:kern w:val="0"/>
          <w:sz w:val="24"/>
        </w:rPr>
        <w:t>Curr Alzheimer Res</w:t>
      </w:r>
      <w:r w:rsidRPr="00133249">
        <w:rPr>
          <w:rFonts w:ascii="Book Antiqua" w:hAnsi="Book Antiqua" w:cs="宋体"/>
          <w:kern w:val="0"/>
          <w:sz w:val="24"/>
        </w:rPr>
        <w:t xml:space="preserve"> 2007; </w:t>
      </w:r>
      <w:r w:rsidRPr="00133249">
        <w:rPr>
          <w:rFonts w:ascii="Book Antiqua" w:hAnsi="Book Antiqua" w:cs="宋体"/>
          <w:b/>
          <w:bCs/>
          <w:kern w:val="0"/>
          <w:sz w:val="24"/>
        </w:rPr>
        <w:t>4</w:t>
      </w:r>
      <w:r w:rsidRPr="00133249">
        <w:rPr>
          <w:rFonts w:ascii="Book Antiqua" w:hAnsi="Book Antiqua" w:cs="宋体"/>
          <w:kern w:val="0"/>
          <w:sz w:val="24"/>
        </w:rPr>
        <w:t>: 147-152 [PMID: 17430239]</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lastRenderedPageBreak/>
        <w:t xml:space="preserve">69 </w:t>
      </w:r>
      <w:r w:rsidRPr="00133249">
        <w:rPr>
          <w:rFonts w:ascii="Book Antiqua" w:hAnsi="Book Antiqua" w:cs="宋体"/>
          <w:b/>
          <w:bCs/>
          <w:kern w:val="0"/>
          <w:sz w:val="24"/>
        </w:rPr>
        <w:t>de la Monte SM</w:t>
      </w:r>
      <w:r w:rsidRPr="00133249">
        <w:rPr>
          <w:rFonts w:ascii="Book Antiqua" w:hAnsi="Book Antiqua" w:cs="宋体"/>
          <w:kern w:val="0"/>
          <w:sz w:val="24"/>
        </w:rPr>
        <w:t xml:space="preserve">, Tong M, Lester-Coll N, Plater M, Wands JR. Therapeutic rescue of neurodegeneration in experimental type 3 diabetes: relevance to Alzheimer's disease. </w:t>
      </w:r>
      <w:r w:rsidRPr="00133249">
        <w:rPr>
          <w:rFonts w:ascii="Book Antiqua" w:hAnsi="Book Antiqua" w:cs="宋体"/>
          <w:i/>
          <w:iCs/>
          <w:kern w:val="0"/>
          <w:sz w:val="24"/>
        </w:rPr>
        <w:t>J Alzheimers Dis</w:t>
      </w:r>
      <w:r w:rsidRPr="00133249">
        <w:rPr>
          <w:rFonts w:ascii="Book Antiqua" w:hAnsi="Book Antiqua" w:cs="宋体"/>
          <w:kern w:val="0"/>
          <w:sz w:val="24"/>
        </w:rPr>
        <w:t xml:space="preserve"> 2006; </w:t>
      </w:r>
      <w:r w:rsidRPr="00133249">
        <w:rPr>
          <w:rFonts w:ascii="Book Antiqua" w:hAnsi="Book Antiqua" w:cs="宋体"/>
          <w:b/>
          <w:bCs/>
          <w:kern w:val="0"/>
          <w:sz w:val="24"/>
        </w:rPr>
        <w:t>10</w:t>
      </w:r>
      <w:r w:rsidRPr="00133249">
        <w:rPr>
          <w:rFonts w:ascii="Book Antiqua" w:hAnsi="Book Antiqua" w:cs="宋体"/>
          <w:kern w:val="0"/>
          <w:sz w:val="24"/>
        </w:rPr>
        <w:t>: 89-109 [PMID: 16988486]</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t xml:space="preserve">70 </w:t>
      </w:r>
      <w:r w:rsidRPr="00133249">
        <w:rPr>
          <w:rFonts w:ascii="Book Antiqua" w:hAnsi="Book Antiqua" w:cs="宋体"/>
          <w:b/>
          <w:bCs/>
          <w:kern w:val="0"/>
          <w:sz w:val="24"/>
        </w:rPr>
        <w:t>Haan MN</w:t>
      </w:r>
      <w:r w:rsidRPr="00133249">
        <w:rPr>
          <w:rFonts w:ascii="Book Antiqua" w:hAnsi="Book Antiqua" w:cs="宋体"/>
          <w:kern w:val="0"/>
          <w:sz w:val="24"/>
        </w:rPr>
        <w:t>.</w:t>
      </w:r>
      <w:proofErr w:type="gramEnd"/>
      <w:r w:rsidRPr="00133249">
        <w:rPr>
          <w:rFonts w:ascii="Book Antiqua" w:hAnsi="Book Antiqua" w:cs="宋体"/>
          <w:kern w:val="0"/>
          <w:sz w:val="24"/>
        </w:rPr>
        <w:t xml:space="preserve"> Therapy Insight: type 2 diabetes mellitus and the risk of late-onset Alzheimer's disease. </w:t>
      </w:r>
      <w:r w:rsidRPr="00133249">
        <w:rPr>
          <w:rFonts w:ascii="Book Antiqua" w:hAnsi="Book Antiqua" w:cs="宋体"/>
          <w:i/>
          <w:iCs/>
          <w:kern w:val="0"/>
          <w:sz w:val="24"/>
        </w:rPr>
        <w:t>Nat Clin Pract Neurol</w:t>
      </w:r>
      <w:r w:rsidRPr="00133249">
        <w:rPr>
          <w:rFonts w:ascii="Book Antiqua" w:hAnsi="Book Antiqua" w:cs="宋体"/>
          <w:kern w:val="0"/>
          <w:sz w:val="24"/>
        </w:rPr>
        <w:t xml:space="preserve"> 2006; </w:t>
      </w:r>
      <w:r w:rsidRPr="00133249">
        <w:rPr>
          <w:rFonts w:ascii="Book Antiqua" w:hAnsi="Book Antiqua" w:cs="宋体"/>
          <w:b/>
          <w:bCs/>
          <w:kern w:val="0"/>
          <w:sz w:val="24"/>
        </w:rPr>
        <w:t>2</w:t>
      </w:r>
      <w:r w:rsidRPr="00133249">
        <w:rPr>
          <w:rFonts w:ascii="Book Antiqua" w:hAnsi="Book Antiqua" w:cs="宋体"/>
          <w:kern w:val="0"/>
          <w:sz w:val="24"/>
        </w:rPr>
        <w:t>: 159-166 [PMID: 16932542]</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71 </w:t>
      </w:r>
      <w:r w:rsidRPr="00133249">
        <w:rPr>
          <w:rFonts w:ascii="Book Antiqua" w:hAnsi="Book Antiqua" w:cs="宋体"/>
          <w:b/>
          <w:bCs/>
          <w:kern w:val="0"/>
          <w:sz w:val="24"/>
        </w:rPr>
        <w:t>Watson GS</w:t>
      </w:r>
      <w:r w:rsidRPr="00133249">
        <w:rPr>
          <w:rFonts w:ascii="Book Antiqua" w:hAnsi="Book Antiqua" w:cs="宋体"/>
          <w:kern w:val="0"/>
          <w:sz w:val="24"/>
        </w:rPr>
        <w:t xml:space="preserve">, Bernhardt T, Reger MA, Cholerton BA, Baker LD, Peskind ER, Asthana S, Plymate SR, Frölich L, Craft S. Insulin effects on CSF norepinephrine and cognition in Alzheimer's disease. </w:t>
      </w:r>
      <w:r w:rsidRPr="00133249">
        <w:rPr>
          <w:rFonts w:ascii="Book Antiqua" w:hAnsi="Book Antiqua" w:cs="宋体"/>
          <w:i/>
          <w:iCs/>
          <w:kern w:val="0"/>
          <w:sz w:val="24"/>
        </w:rPr>
        <w:t>Neurobiol Aging</w:t>
      </w:r>
      <w:r w:rsidRPr="00133249">
        <w:rPr>
          <w:rFonts w:ascii="Book Antiqua" w:hAnsi="Book Antiqua" w:cs="宋体"/>
          <w:kern w:val="0"/>
          <w:sz w:val="24"/>
        </w:rPr>
        <w:t xml:space="preserve"> 2006; </w:t>
      </w:r>
      <w:r w:rsidRPr="00133249">
        <w:rPr>
          <w:rFonts w:ascii="Book Antiqua" w:hAnsi="Book Antiqua" w:cs="宋体"/>
          <w:b/>
          <w:bCs/>
          <w:kern w:val="0"/>
          <w:sz w:val="24"/>
        </w:rPr>
        <w:t>27</w:t>
      </w:r>
      <w:r w:rsidRPr="00133249">
        <w:rPr>
          <w:rFonts w:ascii="Book Antiqua" w:hAnsi="Book Antiqua" w:cs="宋体"/>
          <w:kern w:val="0"/>
          <w:sz w:val="24"/>
        </w:rPr>
        <w:t>: 38-41 [PMID: 16298239]</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t xml:space="preserve">72 </w:t>
      </w:r>
      <w:r w:rsidRPr="00133249">
        <w:rPr>
          <w:rFonts w:ascii="Book Antiqua" w:hAnsi="Book Antiqua" w:cs="宋体"/>
          <w:b/>
          <w:bCs/>
          <w:kern w:val="0"/>
          <w:sz w:val="24"/>
        </w:rPr>
        <w:t>Marchesini G</w:t>
      </w:r>
      <w:r w:rsidRPr="00133249">
        <w:rPr>
          <w:rFonts w:ascii="Book Antiqua" w:hAnsi="Book Antiqua" w:cs="宋体"/>
          <w:kern w:val="0"/>
          <w:sz w:val="24"/>
        </w:rPr>
        <w:t>, Marzocchi R. Metabolic syndrome and NASH.</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Clin Liver Dis</w:t>
      </w:r>
      <w:r w:rsidRPr="00133249">
        <w:rPr>
          <w:rFonts w:ascii="Book Antiqua" w:hAnsi="Book Antiqua" w:cs="宋体"/>
          <w:kern w:val="0"/>
          <w:sz w:val="24"/>
        </w:rPr>
        <w:t xml:space="preserve"> 2007; </w:t>
      </w:r>
      <w:r w:rsidRPr="00133249">
        <w:rPr>
          <w:rFonts w:ascii="Book Antiqua" w:hAnsi="Book Antiqua" w:cs="宋体"/>
          <w:b/>
          <w:bCs/>
          <w:kern w:val="0"/>
          <w:sz w:val="24"/>
        </w:rPr>
        <w:t>11</w:t>
      </w:r>
      <w:r w:rsidRPr="00133249">
        <w:rPr>
          <w:rFonts w:ascii="Book Antiqua" w:hAnsi="Book Antiqua" w:cs="宋体"/>
          <w:kern w:val="0"/>
          <w:sz w:val="24"/>
        </w:rPr>
        <w:t>: 105-17, ix [PMID: 17544974]</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73 </w:t>
      </w:r>
      <w:r w:rsidRPr="00133249">
        <w:rPr>
          <w:rFonts w:ascii="Book Antiqua" w:hAnsi="Book Antiqua" w:cs="宋体"/>
          <w:b/>
          <w:bCs/>
          <w:kern w:val="0"/>
          <w:sz w:val="24"/>
        </w:rPr>
        <w:t>Yeh MM</w:t>
      </w:r>
      <w:r w:rsidRPr="00133249">
        <w:rPr>
          <w:rFonts w:ascii="Book Antiqua" w:hAnsi="Book Antiqua" w:cs="宋体"/>
          <w:kern w:val="0"/>
          <w:sz w:val="24"/>
        </w:rPr>
        <w:t xml:space="preserve">, Brunt EM. </w:t>
      </w:r>
      <w:proofErr w:type="gramStart"/>
      <w:r w:rsidRPr="00133249">
        <w:rPr>
          <w:rFonts w:ascii="Book Antiqua" w:hAnsi="Book Antiqua" w:cs="宋体"/>
          <w:kern w:val="0"/>
          <w:sz w:val="24"/>
        </w:rPr>
        <w:t>Pathology of nonalcoholic fatty liver disease.</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Am J Clin Pathol</w:t>
      </w:r>
      <w:r w:rsidRPr="00133249">
        <w:rPr>
          <w:rFonts w:ascii="Book Antiqua" w:hAnsi="Book Antiqua" w:cs="宋体"/>
          <w:kern w:val="0"/>
          <w:sz w:val="24"/>
        </w:rPr>
        <w:t xml:space="preserve"> 2007; </w:t>
      </w:r>
      <w:r w:rsidRPr="00133249">
        <w:rPr>
          <w:rFonts w:ascii="Book Antiqua" w:hAnsi="Book Antiqua" w:cs="宋体"/>
          <w:b/>
          <w:bCs/>
          <w:kern w:val="0"/>
          <w:sz w:val="24"/>
        </w:rPr>
        <w:t>128</w:t>
      </w:r>
      <w:r w:rsidRPr="00133249">
        <w:rPr>
          <w:rFonts w:ascii="Book Antiqua" w:hAnsi="Book Antiqua" w:cs="宋体"/>
          <w:kern w:val="0"/>
          <w:sz w:val="24"/>
        </w:rPr>
        <w:t>: 837-847 [PMID: 17951208]</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74 </w:t>
      </w:r>
      <w:r w:rsidRPr="00133249">
        <w:rPr>
          <w:rFonts w:ascii="Book Antiqua" w:hAnsi="Book Antiqua" w:cs="宋体"/>
          <w:b/>
          <w:bCs/>
          <w:kern w:val="0"/>
          <w:sz w:val="24"/>
        </w:rPr>
        <w:t>Mandelkow EM</w:t>
      </w:r>
      <w:r w:rsidRPr="00133249">
        <w:rPr>
          <w:rFonts w:ascii="Book Antiqua" w:hAnsi="Book Antiqua" w:cs="宋体"/>
          <w:kern w:val="0"/>
          <w:sz w:val="24"/>
        </w:rPr>
        <w:t xml:space="preserve">, Drewes G, Biernat J, Gustke N, Van Lint J, Vandenheede JR, Mandelkow E. Glycogen synthase kinase-3 and the Alzheimer-like state of microtubule-associated protein tau. </w:t>
      </w:r>
      <w:r w:rsidRPr="00133249">
        <w:rPr>
          <w:rFonts w:ascii="Book Antiqua" w:hAnsi="Book Antiqua" w:cs="宋体"/>
          <w:i/>
          <w:iCs/>
          <w:kern w:val="0"/>
          <w:sz w:val="24"/>
        </w:rPr>
        <w:t>FEBS Lett</w:t>
      </w:r>
      <w:r w:rsidRPr="00133249">
        <w:rPr>
          <w:rFonts w:ascii="Book Antiqua" w:hAnsi="Book Antiqua" w:cs="宋体"/>
          <w:kern w:val="0"/>
          <w:sz w:val="24"/>
        </w:rPr>
        <w:t xml:space="preserve"> 1992; </w:t>
      </w:r>
      <w:r w:rsidRPr="00133249">
        <w:rPr>
          <w:rFonts w:ascii="Book Antiqua" w:hAnsi="Book Antiqua" w:cs="宋体"/>
          <w:b/>
          <w:bCs/>
          <w:kern w:val="0"/>
          <w:sz w:val="24"/>
        </w:rPr>
        <w:t>314</w:t>
      </w:r>
      <w:r w:rsidRPr="00133249">
        <w:rPr>
          <w:rFonts w:ascii="Book Antiqua" w:hAnsi="Book Antiqua" w:cs="宋体"/>
          <w:kern w:val="0"/>
          <w:sz w:val="24"/>
        </w:rPr>
        <w:t>: 315-321 [PMID: 1334849]</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75 </w:t>
      </w:r>
      <w:r w:rsidRPr="00133249">
        <w:rPr>
          <w:rFonts w:ascii="Book Antiqua" w:hAnsi="Book Antiqua" w:cs="宋体"/>
          <w:b/>
          <w:bCs/>
          <w:kern w:val="0"/>
          <w:sz w:val="24"/>
        </w:rPr>
        <w:t>Gasparini L</w:t>
      </w:r>
      <w:r w:rsidRPr="00133249">
        <w:rPr>
          <w:rFonts w:ascii="Book Antiqua" w:hAnsi="Book Antiqua" w:cs="宋体"/>
          <w:kern w:val="0"/>
          <w:sz w:val="24"/>
        </w:rPr>
        <w:t xml:space="preserve">, Gouras GK, Wang R, Gross RS, Beal MF, Greengard P, Xu H. Stimulation of beta-amyloid precursor protein trafficking by insulin reduces intraneuronal beta-amyloid and requires mitogen-activated protein kinase signaling. </w:t>
      </w:r>
      <w:r w:rsidRPr="00133249">
        <w:rPr>
          <w:rFonts w:ascii="Book Antiqua" w:hAnsi="Book Antiqua" w:cs="宋体"/>
          <w:i/>
          <w:iCs/>
          <w:kern w:val="0"/>
          <w:sz w:val="24"/>
        </w:rPr>
        <w:t>J Neurosci</w:t>
      </w:r>
      <w:r w:rsidRPr="00133249">
        <w:rPr>
          <w:rFonts w:ascii="Book Antiqua" w:hAnsi="Book Antiqua" w:cs="宋体"/>
          <w:kern w:val="0"/>
          <w:sz w:val="24"/>
        </w:rPr>
        <w:t xml:space="preserve"> 2001; </w:t>
      </w:r>
      <w:r w:rsidRPr="00133249">
        <w:rPr>
          <w:rFonts w:ascii="Book Antiqua" w:hAnsi="Book Antiqua" w:cs="宋体"/>
          <w:b/>
          <w:bCs/>
          <w:kern w:val="0"/>
          <w:sz w:val="24"/>
        </w:rPr>
        <w:t>21</w:t>
      </w:r>
      <w:r w:rsidRPr="00133249">
        <w:rPr>
          <w:rFonts w:ascii="Book Antiqua" w:hAnsi="Book Antiqua" w:cs="宋体"/>
          <w:kern w:val="0"/>
          <w:sz w:val="24"/>
        </w:rPr>
        <w:t>: 2561-2570 [PMID: 11306609]</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76 </w:t>
      </w:r>
      <w:r w:rsidRPr="00133249">
        <w:rPr>
          <w:rFonts w:ascii="Book Antiqua" w:hAnsi="Book Antiqua" w:cs="宋体"/>
          <w:b/>
          <w:bCs/>
          <w:kern w:val="0"/>
          <w:sz w:val="24"/>
        </w:rPr>
        <w:t>Phiel CJ</w:t>
      </w:r>
      <w:r w:rsidRPr="00133249">
        <w:rPr>
          <w:rFonts w:ascii="Book Antiqua" w:hAnsi="Book Antiqua" w:cs="宋体"/>
          <w:kern w:val="0"/>
          <w:sz w:val="24"/>
        </w:rPr>
        <w:t xml:space="preserve">, Wilson CA, Lee VM, Klein PS. GSK-3alpha regulates production of Alzheimer's disease amyloid-beta peptides. </w:t>
      </w:r>
      <w:r w:rsidRPr="00133249">
        <w:rPr>
          <w:rFonts w:ascii="Book Antiqua" w:hAnsi="Book Antiqua" w:cs="宋体"/>
          <w:i/>
          <w:iCs/>
          <w:kern w:val="0"/>
          <w:sz w:val="24"/>
        </w:rPr>
        <w:t>Nature</w:t>
      </w:r>
      <w:r w:rsidRPr="00133249">
        <w:rPr>
          <w:rFonts w:ascii="Book Antiqua" w:hAnsi="Book Antiqua" w:cs="宋体"/>
          <w:kern w:val="0"/>
          <w:sz w:val="24"/>
        </w:rPr>
        <w:t xml:space="preserve"> 2003; </w:t>
      </w:r>
      <w:r w:rsidRPr="00133249">
        <w:rPr>
          <w:rFonts w:ascii="Book Antiqua" w:hAnsi="Book Antiqua" w:cs="宋体"/>
          <w:b/>
          <w:bCs/>
          <w:kern w:val="0"/>
          <w:sz w:val="24"/>
        </w:rPr>
        <w:t>423</w:t>
      </w:r>
      <w:r w:rsidRPr="00133249">
        <w:rPr>
          <w:rFonts w:ascii="Book Antiqua" w:hAnsi="Book Antiqua" w:cs="宋体"/>
          <w:kern w:val="0"/>
          <w:sz w:val="24"/>
        </w:rPr>
        <w:t>: 435-439 [PMID: 12761548]</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77 </w:t>
      </w:r>
      <w:r w:rsidRPr="00133249">
        <w:rPr>
          <w:rFonts w:ascii="Book Antiqua" w:hAnsi="Book Antiqua" w:cs="宋体"/>
          <w:b/>
          <w:bCs/>
          <w:kern w:val="0"/>
          <w:sz w:val="24"/>
        </w:rPr>
        <w:t>Zhao WQ</w:t>
      </w:r>
      <w:r w:rsidRPr="00133249">
        <w:rPr>
          <w:rFonts w:ascii="Book Antiqua" w:hAnsi="Book Antiqua" w:cs="宋体"/>
          <w:kern w:val="0"/>
          <w:sz w:val="24"/>
        </w:rPr>
        <w:t xml:space="preserve">, Townsend M. Insulin resistance and amyloidogenesis as common molecular foundation for type 2 diabetes and Alzheimer's disease. </w:t>
      </w:r>
      <w:r w:rsidRPr="00133249">
        <w:rPr>
          <w:rFonts w:ascii="Book Antiqua" w:hAnsi="Book Antiqua" w:cs="宋体"/>
          <w:i/>
          <w:iCs/>
          <w:kern w:val="0"/>
          <w:sz w:val="24"/>
        </w:rPr>
        <w:t>Biochim Biophys Acta</w:t>
      </w:r>
      <w:r w:rsidRPr="00133249">
        <w:rPr>
          <w:rFonts w:ascii="Book Antiqua" w:hAnsi="Book Antiqua" w:cs="宋体"/>
          <w:kern w:val="0"/>
          <w:sz w:val="24"/>
        </w:rPr>
        <w:t xml:space="preserve"> 2009; </w:t>
      </w:r>
      <w:r w:rsidRPr="00133249">
        <w:rPr>
          <w:rFonts w:ascii="Book Antiqua" w:hAnsi="Book Antiqua" w:cs="宋体"/>
          <w:b/>
          <w:bCs/>
          <w:kern w:val="0"/>
          <w:sz w:val="24"/>
        </w:rPr>
        <w:t>1792</w:t>
      </w:r>
      <w:r w:rsidRPr="00133249">
        <w:rPr>
          <w:rFonts w:ascii="Book Antiqua" w:hAnsi="Book Antiqua" w:cs="宋体"/>
          <w:kern w:val="0"/>
          <w:sz w:val="24"/>
        </w:rPr>
        <w:t>: 482-496 [PMID: 19026743]</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t xml:space="preserve">78 </w:t>
      </w:r>
      <w:r w:rsidRPr="00133249">
        <w:rPr>
          <w:rFonts w:ascii="Book Antiqua" w:hAnsi="Book Antiqua" w:cs="宋体"/>
          <w:b/>
          <w:bCs/>
          <w:kern w:val="0"/>
          <w:sz w:val="24"/>
        </w:rPr>
        <w:t>Uversky VN</w:t>
      </w:r>
      <w:r w:rsidRPr="00133249">
        <w:rPr>
          <w:rFonts w:ascii="Book Antiqua" w:hAnsi="Book Antiqua" w:cs="宋体"/>
          <w:kern w:val="0"/>
          <w:sz w:val="24"/>
        </w:rPr>
        <w:t>.</w:t>
      </w:r>
      <w:proofErr w:type="gramEnd"/>
      <w:r w:rsidRPr="00133249">
        <w:rPr>
          <w:rFonts w:ascii="Book Antiqua" w:hAnsi="Book Antiqua" w:cs="宋体"/>
          <w:kern w:val="0"/>
          <w:sz w:val="24"/>
        </w:rPr>
        <w:t xml:space="preserve"> </w:t>
      </w:r>
      <w:proofErr w:type="gramStart"/>
      <w:r w:rsidRPr="00133249">
        <w:rPr>
          <w:rFonts w:ascii="Book Antiqua" w:hAnsi="Book Antiqua" w:cs="宋体"/>
          <w:kern w:val="0"/>
          <w:sz w:val="24"/>
        </w:rPr>
        <w:t>Amyloidogenesis of natively unfolded proteins.</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Curr Alzheimer Res</w:t>
      </w:r>
      <w:r w:rsidRPr="00133249">
        <w:rPr>
          <w:rFonts w:ascii="Book Antiqua" w:hAnsi="Book Antiqua" w:cs="宋体"/>
          <w:kern w:val="0"/>
          <w:sz w:val="24"/>
        </w:rPr>
        <w:t xml:space="preserve"> 2008; </w:t>
      </w:r>
      <w:r w:rsidRPr="00133249">
        <w:rPr>
          <w:rFonts w:ascii="Book Antiqua" w:hAnsi="Book Antiqua" w:cs="宋体"/>
          <w:b/>
          <w:bCs/>
          <w:kern w:val="0"/>
          <w:sz w:val="24"/>
        </w:rPr>
        <w:t>5</w:t>
      </w:r>
      <w:r w:rsidRPr="00133249">
        <w:rPr>
          <w:rFonts w:ascii="Book Antiqua" w:hAnsi="Book Antiqua" w:cs="宋体"/>
          <w:kern w:val="0"/>
          <w:sz w:val="24"/>
        </w:rPr>
        <w:t>: 260-287 [PMID: 18537543]</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79 </w:t>
      </w:r>
      <w:r w:rsidRPr="00133249">
        <w:rPr>
          <w:rFonts w:ascii="Book Antiqua" w:hAnsi="Book Antiqua" w:cs="宋体"/>
          <w:b/>
          <w:bCs/>
          <w:kern w:val="0"/>
          <w:sz w:val="24"/>
        </w:rPr>
        <w:t>Haass C</w:t>
      </w:r>
      <w:r w:rsidRPr="00133249">
        <w:rPr>
          <w:rFonts w:ascii="Book Antiqua" w:hAnsi="Book Antiqua" w:cs="宋体"/>
          <w:kern w:val="0"/>
          <w:sz w:val="24"/>
        </w:rPr>
        <w:t xml:space="preserve">, Koo EH, Mellon A, Hung AY, Selkoe DJ. Targeting of cell-surface beta-amyloid precursor protein to lysosomes: alternative processing into amyloid-bearing fragments. </w:t>
      </w:r>
      <w:r w:rsidRPr="00133249">
        <w:rPr>
          <w:rFonts w:ascii="Book Antiqua" w:hAnsi="Book Antiqua" w:cs="宋体"/>
          <w:i/>
          <w:iCs/>
          <w:kern w:val="0"/>
          <w:sz w:val="24"/>
        </w:rPr>
        <w:t>Nature</w:t>
      </w:r>
      <w:r w:rsidRPr="00133249">
        <w:rPr>
          <w:rFonts w:ascii="Book Antiqua" w:hAnsi="Book Antiqua" w:cs="宋体"/>
          <w:kern w:val="0"/>
          <w:sz w:val="24"/>
        </w:rPr>
        <w:t xml:space="preserve"> 1992; </w:t>
      </w:r>
      <w:r w:rsidRPr="00133249">
        <w:rPr>
          <w:rFonts w:ascii="Book Antiqua" w:hAnsi="Book Antiqua" w:cs="宋体"/>
          <w:b/>
          <w:bCs/>
          <w:kern w:val="0"/>
          <w:sz w:val="24"/>
        </w:rPr>
        <w:t>357</w:t>
      </w:r>
      <w:r w:rsidRPr="00133249">
        <w:rPr>
          <w:rFonts w:ascii="Book Antiqua" w:hAnsi="Book Antiqua" w:cs="宋体"/>
          <w:kern w:val="0"/>
          <w:sz w:val="24"/>
        </w:rPr>
        <w:t>: 500-503 [PMID: 1608449]</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lastRenderedPageBreak/>
        <w:t xml:space="preserve">80 </w:t>
      </w:r>
      <w:r w:rsidRPr="00133249">
        <w:rPr>
          <w:rFonts w:ascii="Book Antiqua" w:hAnsi="Book Antiqua" w:cs="宋体"/>
          <w:b/>
          <w:bCs/>
          <w:kern w:val="0"/>
          <w:sz w:val="24"/>
        </w:rPr>
        <w:t>Shoji M</w:t>
      </w:r>
      <w:r w:rsidRPr="00133249">
        <w:rPr>
          <w:rFonts w:ascii="Book Antiqua" w:hAnsi="Book Antiqua" w:cs="宋体"/>
          <w:kern w:val="0"/>
          <w:sz w:val="24"/>
        </w:rPr>
        <w:t xml:space="preserve">, Golde TE, Ghiso J, Cheung TT, Estus S, Shaffer LM, Cai XD, McKay DM, Tintner R, Frangione B. Production of the Alzheimer amyloid beta protein by normal proteolytic processing. </w:t>
      </w:r>
      <w:r w:rsidRPr="00133249">
        <w:rPr>
          <w:rFonts w:ascii="Book Antiqua" w:hAnsi="Book Antiqua" w:cs="宋体"/>
          <w:i/>
          <w:iCs/>
          <w:kern w:val="0"/>
          <w:sz w:val="24"/>
        </w:rPr>
        <w:t>Science</w:t>
      </w:r>
      <w:r w:rsidRPr="00133249">
        <w:rPr>
          <w:rFonts w:ascii="Book Antiqua" w:hAnsi="Book Antiqua" w:cs="宋体"/>
          <w:kern w:val="0"/>
          <w:sz w:val="24"/>
        </w:rPr>
        <w:t xml:space="preserve"> 1992; </w:t>
      </w:r>
      <w:r w:rsidRPr="00133249">
        <w:rPr>
          <w:rFonts w:ascii="Book Antiqua" w:hAnsi="Book Antiqua" w:cs="宋体"/>
          <w:b/>
          <w:bCs/>
          <w:kern w:val="0"/>
          <w:sz w:val="24"/>
        </w:rPr>
        <w:t>258</w:t>
      </w:r>
      <w:r w:rsidRPr="00133249">
        <w:rPr>
          <w:rFonts w:ascii="Book Antiqua" w:hAnsi="Book Antiqua" w:cs="宋体"/>
          <w:kern w:val="0"/>
          <w:sz w:val="24"/>
        </w:rPr>
        <w:t>: 126-129 [PMID: 1439760]</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81 </w:t>
      </w:r>
      <w:r w:rsidRPr="00133249">
        <w:rPr>
          <w:rFonts w:ascii="Book Antiqua" w:hAnsi="Book Antiqua" w:cs="宋体"/>
          <w:b/>
          <w:bCs/>
          <w:kern w:val="0"/>
          <w:sz w:val="24"/>
        </w:rPr>
        <w:t>Westermark P</w:t>
      </w:r>
      <w:r w:rsidRPr="00133249">
        <w:rPr>
          <w:rFonts w:ascii="Book Antiqua" w:hAnsi="Book Antiqua" w:cs="宋体"/>
          <w:kern w:val="0"/>
          <w:sz w:val="24"/>
        </w:rPr>
        <w:t xml:space="preserve">, Wernstedt C, Wilander E, Hayden DW, O'Brien TD, Johnson KH. Amyloid fibrils in human insulinoma and islets of Langerhans of the diabetic cat are derived from a neuropeptide-like protein also present in normal islet cells. </w:t>
      </w:r>
      <w:r w:rsidR="00E57732">
        <w:rPr>
          <w:rFonts w:ascii="Book Antiqua" w:hAnsi="Book Antiqua" w:cs="宋体"/>
          <w:i/>
          <w:iCs/>
          <w:kern w:val="0"/>
          <w:sz w:val="24"/>
        </w:rPr>
        <w:t>Proc Natl Acad Sci US</w:t>
      </w:r>
      <w:r w:rsidRPr="00133249">
        <w:rPr>
          <w:rFonts w:ascii="Book Antiqua" w:hAnsi="Book Antiqua" w:cs="宋体"/>
          <w:i/>
          <w:iCs/>
          <w:kern w:val="0"/>
          <w:sz w:val="24"/>
        </w:rPr>
        <w:t>A</w:t>
      </w:r>
      <w:r w:rsidRPr="00133249">
        <w:rPr>
          <w:rFonts w:ascii="Book Antiqua" w:hAnsi="Book Antiqua" w:cs="宋体"/>
          <w:kern w:val="0"/>
          <w:sz w:val="24"/>
        </w:rPr>
        <w:t xml:space="preserve"> 1987; </w:t>
      </w:r>
      <w:r w:rsidRPr="00133249">
        <w:rPr>
          <w:rFonts w:ascii="Book Antiqua" w:hAnsi="Book Antiqua" w:cs="宋体"/>
          <w:b/>
          <w:bCs/>
          <w:kern w:val="0"/>
          <w:sz w:val="24"/>
        </w:rPr>
        <w:t>84</w:t>
      </w:r>
      <w:r w:rsidRPr="00133249">
        <w:rPr>
          <w:rFonts w:ascii="Book Antiqua" w:hAnsi="Book Antiqua" w:cs="宋体"/>
          <w:kern w:val="0"/>
          <w:sz w:val="24"/>
        </w:rPr>
        <w:t>: 3881-3885 [PMID: 3035556]</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82 </w:t>
      </w:r>
      <w:r w:rsidRPr="00133249">
        <w:rPr>
          <w:rFonts w:ascii="Book Antiqua" w:hAnsi="Book Antiqua" w:cs="宋体"/>
          <w:b/>
          <w:bCs/>
          <w:kern w:val="0"/>
          <w:sz w:val="24"/>
        </w:rPr>
        <w:t>Cooper GJ</w:t>
      </w:r>
      <w:r w:rsidRPr="00133249">
        <w:rPr>
          <w:rFonts w:ascii="Book Antiqua" w:hAnsi="Book Antiqua" w:cs="宋体"/>
          <w:kern w:val="0"/>
          <w:sz w:val="24"/>
        </w:rPr>
        <w:t xml:space="preserve">, Willis AC, Clark A, Turner RC, Sim RB, Reid KB. Purification and characterization of a peptide from amyloid-rich pancreases of type 2 diabetic patients. </w:t>
      </w:r>
      <w:r w:rsidR="00E57732">
        <w:rPr>
          <w:rFonts w:ascii="Book Antiqua" w:hAnsi="Book Antiqua" w:cs="宋体"/>
          <w:i/>
          <w:iCs/>
          <w:kern w:val="0"/>
          <w:sz w:val="24"/>
        </w:rPr>
        <w:t>Proc Natl Acad Sci US</w:t>
      </w:r>
      <w:r w:rsidRPr="00133249">
        <w:rPr>
          <w:rFonts w:ascii="Book Antiqua" w:hAnsi="Book Antiqua" w:cs="宋体"/>
          <w:i/>
          <w:iCs/>
          <w:kern w:val="0"/>
          <w:sz w:val="24"/>
        </w:rPr>
        <w:t>A</w:t>
      </w:r>
      <w:r w:rsidRPr="00133249">
        <w:rPr>
          <w:rFonts w:ascii="Book Antiqua" w:hAnsi="Book Antiqua" w:cs="宋体"/>
          <w:kern w:val="0"/>
          <w:sz w:val="24"/>
        </w:rPr>
        <w:t xml:space="preserve"> 1987; </w:t>
      </w:r>
      <w:r w:rsidRPr="00133249">
        <w:rPr>
          <w:rFonts w:ascii="Book Antiqua" w:hAnsi="Book Antiqua" w:cs="宋体"/>
          <w:b/>
          <w:bCs/>
          <w:kern w:val="0"/>
          <w:sz w:val="24"/>
        </w:rPr>
        <w:t>84</w:t>
      </w:r>
      <w:r w:rsidRPr="00133249">
        <w:rPr>
          <w:rFonts w:ascii="Book Antiqua" w:hAnsi="Book Antiqua" w:cs="宋体"/>
          <w:kern w:val="0"/>
          <w:sz w:val="24"/>
        </w:rPr>
        <w:t>: 8628-8632 [PMID: 3317417]</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t xml:space="preserve">83 </w:t>
      </w:r>
      <w:r w:rsidRPr="00133249">
        <w:rPr>
          <w:rFonts w:ascii="Book Antiqua" w:hAnsi="Book Antiqua" w:cs="宋体"/>
          <w:b/>
          <w:bCs/>
          <w:kern w:val="0"/>
          <w:sz w:val="24"/>
        </w:rPr>
        <w:t>Kayed R</w:t>
      </w:r>
      <w:r w:rsidRPr="00133249">
        <w:rPr>
          <w:rFonts w:ascii="Book Antiqua" w:hAnsi="Book Antiqua" w:cs="宋体"/>
          <w:kern w:val="0"/>
          <w:sz w:val="24"/>
        </w:rPr>
        <w:t>, Head E, Thompson JL, McIntire TM, Milton SC, Cotman CW, Glabe CG.</w:t>
      </w:r>
      <w:proofErr w:type="gramEnd"/>
      <w:r w:rsidRPr="00133249">
        <w:rPr>
          <w:rFonts w:ascii="Book Antiqua" w:hAnsi="Book Antiqua" w:cs="宋体"/>
          <w:kern w:val="0"/>
          <w:sz w:val="24"/>
        </w:rPr>
        <w:t xml:space="preserve"> Common structure of soluble amyloid oligomers implies common mechanism of pathogenesis. </w:t>
      </w:r>
      <w:r w:rsidRPr="00133249">
        <w:rPr>
          <w:rFonts w:ascii="Book Antiqua" w:hAnsi="Book Antiqua" w:cs="宋体"/>
          <w:i/>
          <w:iCs/>
          <w:kern w:val="0"/>
          <w:sz w:val="24"/>
        </w:rPr>
        <w:t>Science</w:t>
      </w:r>
      <w:r w:rsidRPr="00133249">
        <w:rPr>
          <w:rFonts w:ascii="Book Antiqua" w:hAnsi="Book Antiqua" w:cs="宋体"/>
          <w:kern w:val="0"/>
          <w:sz w:val="24"/>
        </w:rPr>
        <w:t xml:space="preserve"> 2003; </w:t>
      </w:r>
      <w:r w:rsidRPr="00133249">
        <w:rPr>
          <w:rFonts w:ascii="Book Antiqua" w:hAnsi="Book Antiqua" w:cs="宋体"/>
          <w:b/>
          <w:bCs/>
          <w:kern w:val="0"/>
          <w:sz w:val="24"/>
        </w:rPr>
        <w:t>300</w:t>
      </w:r>
      <w:r w:rsidRPr="00133249">
        <w:rPr>
          <w:rFonts w:ascii="Book Antiqua" w:hAnsi="Book Antiqua" w:cs="宋体"/>
          <w:kern w:val="0"/>
          <w:sz w:val="24"/>
        </w:rPr>
        <w:t>: 486-489 [PMID: 12702875]</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84 </w:t>
      </w:r>
      <w:r w:rsidRPr="00133249">
        <w:rPr>
          <w:rFonts w:ascii="Book Antiqua" w:hAnsi="Book Antiqua" w:cs="宋体"/>
          <w:b/>
          <w:bCs/>
          <w:kern w:val="0"/>
          <w:sz w:val="24"/>
        </w:rPr>
        <w:t>Kelly A</w:t>
      </w:r>
      <w:r w:rsidRPr="00133249">
        <w:rPr>
          <w:rFonts w:ascii="Book Antiqua" w:hAnsi="Book Antiqua" w:cs="宋体"/>
          <w:kern w:val="0"/>
          <w:sz w:val="24"/>
        </w:rPr>
        <w:t xml:space="preserve">, Lynch MA. Long-term potentiation in dentate gyrus of the rat is inhibited by the phosphoinositide 3-kinase inhibitor, wortmannin. </w:t>
      </w:r>
      <w:r w:rsidRPr="00133249">
        <w:rPr>
          <w:rFonts w:ascii="Book Antiqua" w:hAnsi="Book Antiqua" w:cs="宋体"/>
          <w:i/>
          <w:iCs/>
          <w:kern w:val="0"/>
          <w:sz w:val="24"/>
        </w:rPr>
        <w:t>Neuropharmacology</w:t>
      </w:r>
      <w:r w:rsidRPr="00133249">
        <w:rPr>
          <w:rFonts w:ascii="Book Antiqua" w:hAnsi="Book Antiqua" w:cs="宋体"/>
          <w:kern w:val="0"/>
          <w:sz w:val="24"/>
        </w:rPr>
        <w:t xml:space="preserve"> 2000; </w:t>
      </w:r>
      <w:r w:rsidRPr="00133249">
        <w:rPr>
          <w:rFonts w:ascii="Book Antiqua" w:hAnsi="Book Antiqua" w:cs="宋体"/>
          <w:b/>
          <w:bCs/>
          <w:kern w:val="0"/>
          <w:sz w:val="24"/>
        </w:rPr>
        <w:t>39</w:t>
      </w:r>
      <w:r w:rsidRPr="00133249">
        <w:rPr>
          <w:rFonts w:ascii="Book Antiqua" w:hAnsi="Book Antiqua" w:cs="宋体"/>
          <w:kern w:val="0"/>
          <w:sz w:val="24"/>
        </w:rPr>
        <w:t>: 643-651 [PMID: 10728885]</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t xml:space="preserve">85 </w:t>
      </w:r>
      <w:r w:rsidRPr="00133249">
        <w:rPr>
          <w:rFonts w:ascii="Book Antiqua" w:hAnsi="Book Antiqua" w:cs="宋体"/>
          <w:b/>
          <w:bCs/>
          <w:kern w:val="0"/>
          <w:sz w:val="24"/>
        </w:rPr>
        <w:t>Selkoe DJ</w:t>
      </w:r>
      <w:r w:rsidRPr="00133249">
        <w:rPr>
          <w:rFonts w:ascii="Book Antiqua" w:hAnsi="Book Antiqua" w:cs="宋体"/>
          <w:kern w:val="0"/>
          <w:sz w:val="24"/>
        </w:rPr>
        <w:t>.</w:t>
      </w:r>
      <w:proofErr w:type="gramEnd"/>
      <w:r w:rsidRPr="00133249">
        <w:rPr>
          <w:rFonts w:ascii="Book Antiqua" w:hAnsi="Book Antiqua" w:cs="宋体"/>
          <w:kern w:val="0"/>
          <w:sz w:val="24"/>
        </w:rPr>
        <w:t xml:space="preserve"> Soluble oligomers of the amyloid beta-protein impair synaptic plasticity and behavior. </w:t>
      </w:r>
      <w:r w:rsidRPr="00133249">
        <w:rPr>
          <w:rFonts w:ascii="Book Antiqua" w:hAnsi="Book Antiqua" w:cs="宋体"/>
          <w:i/>
          <w:iCs/>
          <w:kern w:val="0"/>
          <w:sz w:val="24"/>
        </w:rPr>
        <w:t>Behav Brain Res</w:t>
      </w:r>
      <w:r w:rsidRPr="00133249">
        <w:rPr>
          <w:rFonts w:ascii="Book Antiqua" w:hAnsi="Book Antiqua" w:cs="宋体"/>
          <w:kern w:val="0"/>
          <w:sz w:val="24"/>
        </w:rPr>
        <w:t xml:space="preserve"> 2008; </w:t>
      </w:r>
      <w:r w:rsidRPr="00133249">
        <w:rPr>
          <w:rFonts w:ascii="Book Antiqua" w:hAnsi="Book Antiqua" w:cs="宋体"/>
          <w:b/>
          <w:bCs/>
          <w:kern w:val="0"/>
          <w:sz w:val="24"/>
        </w:rPr>
        <w:t>192</w:t>
      </w:r>
      <w:r w:rsidRPr="00133249">
        <w:rPr>
          <w:rFonts w:ascii="Book Antiqua" w:hAnsi="Book Antiqua" w:cs="宋体"/>
          <w:kern w:val="0"/>
          <w:sz w:val="24"/>
        </w:rPr>
        <w:t>: 106-113 [PMID: 18359102]</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t xml:space="preserve">86 </w:t>
      </w:r>
      <w:r w:rsidRPr="00133249">
        <w:rPr>
          <w:rFonts w:ascii="Book Antiqua" w:hAnsi="Book Antiqua" w:cs="宋体"/>
          <w:b/>
          <w:bCs/>
          <w:kern w:val="0"/>
          <w:sz w:val="24"/>
        </w:rPr>
        <w:t>Dobson CM</w:t>
      </w:r>
      <w:r w:rsidRPr="00133249">
        <w:rPr>
          <w:rFonts w:ascii="Book Antiqua" w:hAnsi="Book Antiqua" w:cs="宋体"/>
          <w:kern w:val="0"/>
          <w:sz w:val="24"/>
        </w:rPr>
        <w:t>.</w:t>
      </w:r>
      <w:proofErr w:type="gramEnd"/>
      <w:r w:rsidRPr="00133249">
        <w:rPr>
          <w:rFonts w:ascii="Book Antiqua" w:hAnsi="Book Antiqua" w:cs="宋体"/>
          <w:kern w:val="0"/>
          <w:sz w:val="24"/>
        </w:rPr>
        <w:t xml:space="preserve"> </w:t>
      </w:r>
      <w:proofErr w:type="gramStart"/>
      <w:r w:rsidRPr="00133249">
        <w:rPr>
          <w:rFonts w:ascii="Book Antiqua" w:hAnsi="Book Antiqua" w:cs="宋体"/>
          <w:kern w:val="0"/>
          <w:sz w:val="24"/>
        </w:rPr>
        <w:t>The structural basis of protein folding and its links with human disease.</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Philos Trans R Soc Lond B Biol Sci</w:t>
      </w:r>
      <w:r w:rsidRPr="00133249">
        <w:rPr>
          <w:rFonts w:ascii="Book Antiqua" w:hAnsi="Book Antiqua" w:cs="宋体"/>
          <w:kern w:val="0"/>
          <w:sz w:val="24"/>
        </w:rPr>
        <w:t xml:space="preserve"> 2001; </w:t>
      </w:r>
      <w:r w:rsidRPr="00133249">
        <w:rPr>
          <w:rFonts w:ascii="Book Antiqua" w:hAnsi="Book Antiqua" w:cs="宋体"/>
          <w:b/>
          <w:bCs/>
          <w:kern w:val="0"/>
          <w:sz w:val="24"/>
        </w:rPr>
        <w:t>356</w:t>
      </w:r>
      <w:r w:rsidRPr="00133249">
        <w:rPr>
          <w:rFonts w:ascii="Book Antiqua" w:hAnsi="Book Antiqua" w:cs="宋体"/>
          <w:kern w:val="0"/>
          <w:sz w:val="24"/>
        </w:rPr>
        <w:t>: 133-145 [PMID: 11260793]</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87 </w:t>
      </w:r>
      <w:r w:rsidRPr="00133249">
        <w:rPr>
          <w:rFonts w:ascii="Book Antiqua" w:hAnsi="Book Antiqua" w:cs="宋体"/>
          <w:b/>
          <w:bCs/>
          <w:kern w:val="0"/>
          <w:sz w:val="24"/>
        </w:rPr>
        <w:t>Heidenreich KA</w:t>
      </w:r>
      <w:r w:rsidRPr="00133249">
        <w:rPr>
          <w:rFonts w:ascii="Book Antiqua" w:hAnsi="Book Antiqua" w:cs="宋体"/>
          <w:kern w:val="0"/>
          <w:sz w:val="24"/>
        </w:rPr>
        <w:t xml:space="preserve">, Zahniser NR, Berhanu P, Brandenburg D, Olefsky JM. </w:t>
      </w:r>
      <w:proofErr w:type="gramStart"/>
      <w:r w:rsidRPr="00133249">
        <w:rPr>
          <w:rFonts w:ascii="Book Antiqua" w:hAnsi="Book Antiqua" w:cs="宋体"/>
          <w:kern w:val="0"/>
          <w:sz w:val="24"/>
        </w:rPr>
        <w:t>Structural differences between insulin receptors in the brain and peripheral target tissues.</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J Biol Chem</w:t>
      </w:r>
      <w:r w:rsidRPr="00133249">
        <w:rPr>
          <w:rFonts w:ascii="Book Antiqua" w:hAnsi="Book Antiqua" w:cs="宋体"/>
          <w:kern w:val="0"/>
          <w:sz w:val="24"/>
        </w:rPr>
        <w:t xml:space="preserve"> 1983; </w:t>
      </w:r>
      <w:r w:rsidRPr="00133249">
        <w:rPr>
          <w:rFonts w:ascii="Book Antiqua" w:hAnsi="Book Antiqua" w:cs="宋体"/>
          <w:b/>
          <w:bCs/>
          <w:kern w:val="0"/>
          <w:sz w:val="24"/>
        </w:rPr>
        <w:t>258</w:t>
      </w:r>
      <w:r w:rsidRPr="00133249">
        <w:rPr>
          <w:rFonts w:ascii="Book Antiqua" w:hAnsi="Book Antiqua" w:cs="宋体"/>
          <w:kern w:val="0"/>
          <w:sz w:val="24"/>
        </w:rPr>
        <w:t>: 8527-8530 [PMID: 6345543]</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88 </w:t>
      </w:r>
      <w:r w:rsidRPr="00133249">
        <w:rPr>
          <w:rFonts w:ascii="Book Antiqua" w:hAnsi="Book Antiqua" w:cs="宋体"/>
          <w:b/>
          <w:bCs/>
          <w:kern w:val="0"/>
          <w:sz w:val="24"/>
        </w:rPr>
        <w:t>Frölich L</w:t>
      </w:r>
      <w:r w:rsidRPr="00133249">
        <w:rPr>
          <w:rFonts w:ascii="Book Antiqua" w:hAnsi="Book Antiqua" w:cs="宋体"/>
          <w:kern w:val="0"/>
          <w:sz w:val="24"/>
        </w:rPr>
        <w:t xml:space="preserve">, Blum-Degen D, Riederer P, Hoyer S. A disturbance in the neuronal insulin receptor signal transduction in sporadic Alzheimer's disease. </w:t>
      </w:r>
      <w:r w:rsidR="00E57732">
        <w:rPr>
          <w:rFonts w:ascii="Book Antiqua" w:hAnsi="Book Antiqua" w:cs="宋体"/>
          <w:i/>
          <w:iCs/>
          <w:kern w:val="0"/>
          <w:sz w:val="24"/>
        </w:rPr>
        <w:t>Ann N</w:t>
      </w:r>
      <w:r w:rsidRPr="00133249">
        <w:rPr>
          <w:rFonts w:ascii="Book Antiqua" w:hAnsi="Book Antiqua" w:cs="宋体"/>
          <w:i/>
          <w:iCs/>
          <w:kern w:val="0"/>
          <w:sz w:val="24"/>
        </w:rPr>
        <w:t>Y Acad Sci</w:t>
      </w:r>
      <w:r w:rsidRPr="00133249">
        <w:rPr>
          <w:rFonts w:ascii="Book Antiqua" w:hAnsi="Book Antiqua" w:cs="宋体"/>
          <w:kern w:val="0"/>
          <w:sz w:val="24"/>
        </w:rPr>
        <w:t xml:space="preserve"> 1999; </w:t>
      </w:r>
      <w:r w:rsidRPr="00133249">
        <w:rPr>
          <w:rFonts w:ascii="Book Antiqua" w:hAnsi="Book Antiqua" w:cs="宋体"/>
          <w:b/>
          <w:bCs/>
          <w:kern w:val="0"/>
          <w:sz w:val="24"/>
        </w:rPr>
        <w:t>893</w:t>
      </w:r>
      <w:r w:rsidRPr="00133249">
        <w:rPr>
          <w:rFonts w:ascii="Book Antiqua" w:hAnsi="Book Antiqua" w:cs="宋体"/>
          <w:kern w:val="0"/>
          <w:sz w:val="24"/>
        </w:rPr>
        <w:t>: 290-293 [PMID: 10672251]</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89 </w:t>
      </w:r>
      <w:r w:rsidRPr="00133249">
        <w:rPr>
          <w:rFonts w:ascii="Book Antiqua" w:hAnsi="Book Antiqua" w:cs="宋体"/>
          <w:b/>
          <w:bCs/>
          <w:kern w:val="0"/>
          <w:sz w:val="24"/>
        </w:rPr>
        <w:t>Ho L</w:t>
      </w:r>
      <w:r w:rsidRPr="00133249">
        <w:rPr>
          <w:rFonts w:ascii="Book Antiqua" w:hAnsi="Book Antiqua" w:cs="宋体"/>
          <w:kern w:val="0"/>
          <w:sz w:val="24"/>
        </w:rPr>
        <w:t xml:space="preserve">, Qin W, Pompl PN, Xiang Z, Wang J, Zhao Z, Peng Y, Cambareri G, Rocher A, Mobbs CV, Hof PR, Pasinetti GM. Diet-induced insulin resistance promotes amyloidosis in a transgenic mouse model of Alzheimer's disease. </w:t>
      </w:r>
      <w:r w:rsidRPr="00133249">
        <w:rPr>
          <w:rFonts w:ascii="Book Antiqua" w:hAnsi="Book Antiqua" w:cs="宋体"/>
          <w:i/>
          <w:iCs/>
          <w:kern w:val="0"/>
          <w:sz w:val="24"/>
        </w:rPr>
        <w:t>FASEB J</w:t>
      </w:r>
      <w:r w:rsidRPr="00133249">
        <w:rPr>
          <w:rFonts w:ascii="Book Antiqua" w:hAnsi="Book Antiqua" w:cs="宋体"/>
          <w:kern w:val="0"/>
          <w:sz w:val="24"/>
        </w:rPr>
        <w:t xml:space="preserve"> 2004; </w:t>
      </w:r>
      <w:r w:rsidRPr="00133249">
        <w:rPr>
          <w:rFonts w:ascii="Book Antiqua" w:hAnsi="Book Antiqua" w:cs="宋体"/>
          <w:b/>
          <w:bCs/>
          <w:kern w:val="0"/>
          <w:sz w:val="24"/>
        </w:rPr>
        <w:t>18</w:t>
      </w:r>
      <w:r w:rsidRPr="00133249">
        <w:rPr>
          <w:rFonts w:ascii="Book Antiqua" w:hAnsi="Book Antiqua" w:cs="宋体"/>
          <w:kern w:val="0"/>
          <w:sz w:val="24"/>
        </w:rPr>
        <w:t>: 902-904 [PMID: 15033922]</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lastRenderedPageBreak/>
        <w:t xml:space="preserve">90 </w:t>
      </w:r>
      <w:r w:rsidRPr="00133249">
        <w:rPr>
          <w:rFonts w:ascii="Book Antiqua" w:hAnsi="Book Antiqua" w:cs="宋体"/>
          <w:b/>
          <w:bCs/>
          <w:kern w:val="0"/>
          <w:sz w:val="24"/>
        </w:rPr>
        <w:t>Valatx JL</w:t>
      </w:r>
      <w:r w:rsidRPr="00133249">
        <w:rPr>
          <w:rFonts w:ascii="Book Antiqua" w:hAnsi="Book Antiqua" w:cs="宋体"/>
          <w:kern w:val="0"/>
          <w:sz w:val="24"/>
        </w:rPr>
        <w:t>, Douhet P, Bucchini D. Human insulin gene insertion in mice.</w:t>
      </w:r>
      <w:proofErr w:type="gramEnd"/>
      <w:r w:rsidRPr="00133249">
        <w:rPr>
          <w:rFonts w:ascii="Book Antiqua" w:hAnsi="Book Antiqua" w:cs="宋体"/>
          <w:kern w:val="0"/>
          <w:sz w:val="24"/>
        </w:rPr>
        <w:t xml:space="preserve"> </w:t>
      </w:r>
      <w:proofErr w:type="gramStart"/>
      <w:r w:rsidRPr="00133249">
        <w:rPr>
          <w:rFonts w:ascii="Book Antiqua" w:hAnsi="Book Antiqua" w:cs="宋体"/>
          <w:kern w:val="0"/>
          <w:sz w:val="24"/>
        </w:rPr>
        <w:t>Effects on the sleep-wake cycle?</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J Sleep Res</w:t>
      </w:r>
      <w:r w:rsidRPr="00133249">
        <w:rPr>
          <w:rFonts w:ascii="Book Antiqua" w:hAnsi="Book Antiqua" w:cs="宋体"/>
          <w:kern w:val="0"/>
          <w:sz w:val="24"/>
        </w:rPr>
        <w:t xml:space="preserve"> 1999; </w:t>
      </w:r>
      <w:r w:rsidRPr="00133249">
        <w:rPr>
          <w:rFonts w:ascii="Book Antiqua" w:hAnsi="Book Antiqua" w:cs="宋体"/>
          <w:b/>
          <w:bCs/>
          <w:kern w:val="0"/>
          <w:sz w:val="24"/>
        </w:rPr>
        <w:t xml:space="preserve">8 </w:t>
      </w:r>
      <w:r w:rsidRPr="00133249">
        <w:rPr>
          <w:rFonts w:ascii="Book Antiqua" w:hAnsi="Book Antiqua" w:cs="宋体"/>
          <w:bCs/>
          <w:kern w:val="0"/>
          <w:sz w:val="24"/>
        </w:rPr>
        <w:t>Suppl 1</w:t>
      </w:r>
      <w:r w:rsidRPr="00133249">
        <w:rPr>
          <w:rFonts w:ascii="Book Antiqua" w:hAnsi="Book Antiqua" w:cs="宋体"/>
          <w:kern w:val="0"/>
          <w:sz w:val="24"/>
        </w:rPr>
        <w:t>: 65-68 [PMID: 10389109]</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91 </w:t>
      </w:r>
      <w:r w:rsidRPr="00133249">
        <w:rPr>
          <w:rFonts w:ascii="Book Antiqua" w:hAnsi="Book Antiqua" w:cs="宋体"/>
          <w:b/>
          <w:bCs/>
          <w:kern w:val="0"/>
          <w:sz w:val="24"/>
        </w:rPr>
        <w:t>Varela L</w:t>
      </w:r>
      <w:r w:rsidRPr="00133249">
        <w:rPr>
          <w:rFonts w:ascii="Book Antiqua" w:hAnsi="Book Antiqua" w:cs="宋体"/>
          <w:kern w:val="0"/>
          <w:sz w:val="24"/>
        </w:rPr>
        <w:t xml:space="preserve">, Horvath TL. </w:t>
      </w:r>
      <w:proofErr w:type="gramStart"/>
      <w:r w:rsidRPr="00133249">
        <w:rPr>
          <w:rFonts w:ascii="Book Antiqua" w:hAnsi="Book Antiqua" w:cs="宋体"/>
          <w:kern w:val="0"/>
          <w:sz w:val="24"/>
        </w:rPr>
        <w:t>Leptin and insulin pathways in POMC and AgRP neurons that modulate energy balance and glucose homeostasis.</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EMBO Rep</w:t>
      </w:r>
      <w:r w:rsidRPr="00133249">
        <w:rPr>
          <w:rFonts w:ascii="Book Antiqua" w:hAnsi="Book Antiqua" w:cs="宋体"/>
          <w:kern w:val="0"/>
          <w:sz w:val="24"/>
        </w:rPr>
        <w:t xml:space="preserve"> 2012; </w:t>
      </w:r>
      <w:r w:rsidRPr="00133249">
        <w:rPr>
          <w:rFonts w:ascii="Book Antiqua" w:hAnsi="Book Antiqua" w:cs="宋体"/>
          <w:b/>
          <w:bCs/>
          <w:kern w:val="0"/>
          <w:sz w:val="24"/>
        </w:rPr>
        <w:t>13</w:t>
      </w:r>
      <w:r w:rsidRPr="00133249">
        <w:rPr>
          <w:rFonts w:ascii="Book Antiqua" w:hAnsi="Book Antiqua" w:cs="宋体"/>
          <w:kern w:val="0"/>
          <w:sz w:val="24"/>
        </w:rPr>
        <w:t>: 1079-1086 [PMID: 23146889]</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92 </w:t>
      </w:r>
      <w:r w:rsidRPr="00133249">
        <w:rPr>
          <w:rFonts w:ascii="Book Antiqua" w:hAnsi="Book Antiqua" w:cs="宋体"/>
          <w:b/>
          <w:bCs/>
          <w:kern w:val="0"/>
          <w:sz w:val="24"/>
        </w:rPr>
        <w:t>Chowers I</w:t>
      </w:r>
      <w:r w:rsidRPr="00133249">
        <w:rPr>
          <w:rFonts w:ascii="Book Antiqua" w:hAnsi="Book Antiqua" w:cs="宋体"/>
          <w:kern w:val="0"/>
          <w:sz w:val="24"/>
        </w:rPr>
        <w:t xml:space="preserve">, Lavy S, Halpern L. Effect of insulin administered intracisternally on the glucose level of the blood and the cerebrospinal fluid in vagotomized dogs. </w:t>
      </w:r>
      <w:r w:rsidRPr="00133249">
        <w:rPr>
          <w:rFonts w:ascii="Book Antiqua" w:hAnsi="Book Antiqua" w:cs="宋体"/>
          <w:i/>
          <w:iCs/>
          <w:kern w:val="0"/>
          <w:sz w:val="24"/>
        </w:rPr>
        <w:t>Exp Neurol</w:t>
      </w:r>
      <w:r w:rsidRPr="00133249">
        <w:rPr>
          <w:rFonts w:ascii="Book Antiqua" w:hAnsi="Book Antiqua" w:cs="宋体"/>
          <w:kern w:val="0"/>
          <w:sz w:val="24"/>
        </w:rPr>
        <w:t xml:space="preserve"> 1966; </w:t>
      </w:r>
      <w:r w:rsidRPr="00133249">
        <w:rPr>
          <w:rFonts w:ascii="Book Antiqua" w:hAnsi="Book Antiqua" w:cs="宋体"/>
          <w:b/>
          <w:bCs/>
          <w:kern w:val="0"/>
          <w:sz w:val="24"/>
        </w:rPr>
        <w:t>14</w:t>
      </w:r>
      <w:r w:rsidRPr="00133249">
        <w:rPr>
          <w:rFonts w:ascii="Book Antiqua" w:hAnsi="Book Antiqua" w:cs="宋体"/>
          <w:kern w:val="0"/>
          <w:sz w:val="24"/>
        </w:rPr>
        <w:t>: 383-389 [PMID: 4952826]</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93 </w:t>
      </w:r>
      <w:r w:rsidRPr="00133249">
        <w:rPr>
          <w:rFonts w:ascii="Book Antiqua" w:hAnsi="Book Antiqua" w:cs="宋体"/>
          <w:b/>
          <w:bCs/>
          <w:kern w:val="0"/>
          <w:sz w:val="24"/>
        </w:rPr>
        <w:t>Schwartz MW</w:t>
      </w:r>
      <w:r w:rsidRPr="00133249">
        <w:rPr>
          <w:rFonts w:ascii="Book Antiqua" w:hAnsi="Book Antiqua" w:cs="宋体"/>
          <w:kern w:val="0"/>
          <w:sz w:val="24"/>
        </w:rPr>
        <w:t xml:space="preserve">, Seeley RJ, Tschöp MH, Woods SC, Morton GJ, Myers MG, D'Alessio D. Cooperation between brain and islet in glucose homeostasis and diabetes. </w:t>
      </w:r>
      <w:r w:rsidRPr="00133249">
        <w:rPr>
          <w:rFonts w:ascii="Book Antiqua" w:hAnsi="Book Antiqua" w:cs="宋体"/>
          <w:i/>
          <w:iCs/>
          <w:kern w:val="0"/>
          <w:sz w:val="24"/>
        </w:rPr>
        <w:t>Nature</w:t>
      </w:r>
      <w:r w:rsidRPr="00133249">
        <w:rPr>
          <w:rFonts w:ascii="Book Antiqua" w:hAnsi="Book Antiqua" w:cs="宋体"/>
          <w:kern w:val="0"/>
          <w:sz w:val="24"/>
        </w:rPr>
        <w:t xml:space="preserve"> 2013; </w:t>
      </w:r>
      <w:r w:rsidRPr="00133249">
        <w:rPr>
          <w:rFonts w:ascii="Book Antiqua" w:hAnsi="Book Antiqua" w:cs="宋体"/>
          <w:b/>
          <w:bCs/>
          <w:kern w:val="0"/>
          <w:sz w:val="24"/>
        </w:rPr>
        <w:t>503</w:t>
      </w:r>
      <w:r w:rsidRPr="00133249">
        <w:rPr>
          <w:rFonts w:ascii="Book Antiqua" w:hAnsi="Book Antiqua" w:cs="宋体"/>
          <w:kern w:val="0"/>
          <w:sz w:val="24"/>
        </w:rPr>
        <w:t>: 59-66 [PMID: 24</w:t>
      </w:r>
      <w:r w:rsidR="00E57732">
        <w:rPr>
          <w:rFonts w:ascii="Book Antiqua" w:hAnsi="Book Antiqua" w:cs="宋体"/>
          <w:kern w:val="0"/>
          <w:sz w:val="24"/>
        </w:rPr>
        <w:t>201279 DOI: 10.1038/nature12709</w:t>
      </w:r>
      <w:r w:rsidRPr="00133249">
        <w:rPr>
          <w:rFonts w:ascii="Book Antiqua" w:hAnsi="Book Antiqua" w:cs="宋体"/>
          <w:kern w:val="0"/>
          <w:sz w:val="24"/>
        </w:rPr>
        <w:t>]</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94 </w:t>
      </w:r>
      <w:r w:rsidRPr="00133249">
        <w:rPr>
          <w:rFonts w:ascii="Book Antiqua" w:hAnsi="Book Antiqua" w:cs="宋体"/>
          <w:b/>
          <w:bCs/>
          <w:kern w:val="0"/>
          <w:sz w:val="24"/>
        </w:rPr>
        <w:t>van der Heide LP</w:t>
      </w:r>
      <w:r w:rsidRPr="00133249">
        <w:rPr>
          <w:rFonts w:ascii="Book Antiqua" w:hAnsi="Book Antiqua" w:cs="宋体"/>
          <w:kern w:val="0"/>
          <w:sz w:val="24"/>
        </w:rPr>
        <w:t xml:space="preserve">, Kamal A, Artola A, Gispen </w:t>
      </w:r>
      <w:proofErr w:type="gramStart"/>
      <w:r w:rsidRPr="00133249">
        <w:rPr>
          <w:rFonts w:ascii="Book Antiqua" w:hAnsi="Book Antiqua" w:cs="宋体"/>
          <w:kern w:val="0"/>
          <w:sz w:val="24"/>
        </w:rPr>
        <w:t>WH,</w:t>
      </w:r>
      <w:proofErr w:type="gramEnd"/>
      <w:r w:rsidRPr="00133249">
        <w:rPr>
          <w:rFonts w:ascii="Book Antiqua" w:hAnsi="Book Antiqua" w:cs="宋体"/>
          <w:kern w:val="0"/>
          <w:sz w:val="24"/>
        </w:rPr>
        <w:t xml:space="preserve"> Ramakers GM. Insulin modulates hippocampal activity-dependent synaptic plasticity in a N-methyl-d-aspartate receptor and phosphatidyl-inositol-3-kinase-dependent manner. </w:t>
      </w:r>
      <w:r w:rsidRPr="00133249">
        <w:rPr>
          <w:rFonts w:ascii="Book Antiqua" w:hAnsi="Book Antiqua" w:cs="宋体"/>
          <w:i/>
          <w:iCs/>
          <w:kern w:val="0"/>
          <w:sz w:val="24"/>
        </w:rPr>
        <w:t>J Neurochem</w:t>
      </w:r>
      <w:r w:rsidRPr="00133249">
        <w:rPr>
          <w:rFonts w:ascii="Book Antiqua" w:hAnsi="Book Antiqua" w:cs="宋体"/>
          <w:kern w:val="0"/>
          <w:sz w:val="24"/>
        </w:rPr>
        <w:t xml:space="preserve"> 2005; </w:t>
      </w:r>
      <w:r w:rsidRPr="00133249">
        <w:rPr>
          <w:rFonts w:ascii="Book Antiqua" w:hAnsi="Book Antiqua" w:cs="宋体"/>
          <w:b/>
          <w:bCs/>
          <w:kern w:val="0"/>
          <w:sz w:val="24"/>
        </w:rPr>
        <w:t>94</w:t>
      </w:r>
      <w:r w:rsidRPr="00133249">
        <w:rPr>
          <w:rFonts w:ascii="Book Antiqua" w:hAnsi="Book Antiqua" w:cs="宋体"/>
          <w:kern w:val="0"/>
          <w:sz w:val="24"/>
        </w:rPr>
        <w:t>: 1158-1166 [PMID: 16092951]</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95 </w:t>
      </w:r>
      <w:r w:rsidRPr="00133249">
        <w:rPr>
          <w:rFonts w:ascii="Book Antiqua" w:hAnsi="Book Antiqua" w:cs="宋体"/>
          <w:b/>
          <w:bCs/>
          <w:kern w:val="0"/>
          <w:sz w:val="24"/>
        </w:rPr>
        <w:t>Chiu SL</w:t>
      </w:r>
      <w:r w:rsidRPr="00133249">
        <w:rPr>
          <w:rFonts w:ascii="Book Antiqua" w:hAnsi="Book Antiqua" w:cs="宋体"/>
          <w:kern w:val="0"/>
          <w:sz w:val="24"/>
        </w:rPr>
        <w:t xml:space="preserve">, Chen CM, Cline HT. Insulin receptor signaling regulates synapse number, dendritic plasticity, and circuit function in vivo. </w:t>
      </w:r>
      <w:r w:rsidRPr="00133249">
        <w:rPr>
          <w:rFonts w:ascii="Book Antiqua" w:hAnsi="Book Antiqua" w:cs="宋体"/>
          <w:i/>
          <w:iCs/>
          <w:kern w:val="0"/>
          <w:sz w:val="24"/>
        </w:rPr>
        <w:t>Neuron</w:t>
      </w:r>
      <w:r w:rsidRPr="00133249">
        <w:rPr>
          <w:rFonts w:ascii="Book Antiqua" w:hAnsi="Book Antiqua" w:cs="宋体"/>
          <w:kern w:val="0"/>
          <w:sz w:val="24"/>
        </w:rPr>
        <w:t xml:space="preserve"> 2008; </w:t>
      </w:r>
      <w:r w:rsidRPr="00133249">
        <w:rPr>
          <w:rFonts w:ascii="Book Antiqua" w:hAnsi="Book Antiqua" w:cs="宋体"/>
          <w:b/>
          <w:bCs/>
          <w:kern w:val="0"/>
          <w:sz w:val="24"/>
        </w:rPr>
        <w:t>58</w:t>
      </w:r>
      <w:r w:rsidRPr="00133249">
        <w:rPr>
          <w:rFonts w:ascii="Book Antiqua" w:hAnsi="Book Antiqua" w:cs="宋体"/>
          <w:kern w:val="0"/>
          <w:sz w:val="24"/>
        </w:rPr>
        <w:t>: 708-719 [PMID: 18549783 DOI: 10.1016/j.neuron.2008.04.014]</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96 </w:t>
      </w:r>
      <w:r w:rsidRPr="00133249">
        <w:rPr>
          <w:rFonts w:ascii="Book Antiqua" w:hAnsi="Book Antiqua" w:cs="宋体"/>
          <w:b/>
          <w:bCs/>
          <w:kern w:val="0"/>
          <w:sz w:val="24"/>
        </w:rPr>
        <w:t>Werther GA</w:t>
      </w:r>
      <w:r w:rsidRPr="00133249">
        <w:rPr>
          <w:rFonts w:ascii="Book Antiqua" w:hAnsi="Book Antiqua" w:cs="宋体"/>
          <w:kern w:val="0"/>
          <w:sz w:val="24"/>
        </w:rPr>
        <w:t xml:space="preserve">, Hogg A, Oldfield BJ, McKinley MJ, Figdor R, Allen AM, Mendelsohn FA. </w:t>
      </w:r>
      <w:proofErr w:type="gramStart"/>
      <w:r w:rsidRPr="00133249">
        <w:rPr>
          <w:rFonts w:ascii="Book Antiqua" w:hAnsi="Book Antiqua" w:cs="宋体"/>
          <w:kern w:val="0"/>
          <w:sz w:val="24"/>
        </w:rPr>
        <w:t>Localization and characterization of insulin receptors in rat brain and pituitary gland using in vitro autoradiography and computerized densitometry.</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Endocrinology</w:t>
      </w:r>
      <w:r w:rsidRPr="00133249">
        <w:rPr>
          <w:rFonts w:ascii="Book Antiqua" w:hAnsi="Book Antiqua" w:cs="宋体"/>
          <w:kern w:val="0"/>
          <w:sz w:val="24"/>
        </w:rPr>
        <w:t xml:space="preserve"> 1987; </w:t>
      </w:r>
      <w:r w:rsidRPr="00133249">
        <w:rPr>
          <w:rFonts w:ascii="Book Antiqua" w:hAnsi="Book Antiqua" w:cs="宋体"/>
          <w:b/>
          <w:bCs/>
          <w:kern w:val="0"/>
          <w:sz w:val="24"/>
        </w:rPr>
        <w:t>121</w:t>
      </w:r>
      <w:r w:rsidRPr="00133249">
        <w:rPr>
          <w:rFonts w:ascii="Book Antiqua" w:hAnsi="Book Antiqua" w:cs="宋体"/>
          <w:kern w:val="0"/>
          <w:sz w:val="24"/>
        </w:rPr>
        <w:t>: 1562-1570 [PMID: 3653038]</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t xml:space="preserve">97 </w:t>
      </w:r>
      <w:r w:rsidRPr="00133249">
        <w:rPr>
          <w:rFonts w:ascii="Book Antiqua" w:hAnsi="Book Antiqua" w:cs="宋体"/>
          <w:b/>
          <w:bCs/>
          <w:kern w:val="0"/>
          <w:sz w:val="24"/>
        </w:rPr>
        <w:t>Mielke JG</w:t>
      </w:r>
      <w:r w:rsidRPr="00133249">
        <w:rPr>
          <w:rFonts w:ascii="Book Antiqua" w:hAnsi="Book Antiqua" w:cs="宋体"/>
          <w:kern w:val="0"/>
          <w:sz w:val="24"/>
        </w:rPr>
        <w:t>, Taghibiglou C, Wang YT.</w:t>
      </w:r>
      <w:proofErr w:type="gramEnd"/>
      <w:r w:rsidRPr="00133249">
        <w:rPr>
          <w:rFonts w:ascii="Book Antiqua" w:hAnsi="Book Antiqua" w:cs="宋体"/>
          <w:kern w:val="0"/>
          <w:sz w:val="24"/>
        </w:rPr>
        <w:t xml:space="preserve"> Endogenous insulin signaling protects cultured neurons from oxygen-glucose deprivation-induced cell death. </w:t>
      </w:r>
      <w:r w:rsidRPr="00133249">
        <w:rPr>
          <w:rFonts w:ascii="Book Antiqua" w:hAnsi="Book Antiqua" w:cs="宋体"/>
          <w:i/>
          <w:iCs/>
          <w:kern w:val="0"/>
          <w:sz w:val="24"/>
        </w:rPr>
        <w:t>Neuroscience</w:t>
      </w:r>
      <w:r w:rsidRPr="00133249">
        <w:rPr>
          <w:rFonts w:ascii="Book Antiqua" w:hAnsi="Book Antiqua" w:cs="宋体"/>
          <w:kern w:val="0"/>
          <w:sz w:val="24"/>
        </w:rPr>
        <w:t xml:space="preserve"> 2006; </w:t>
      </w:r>
      <w:r w:rsidRPr="00133249">
        <w:rPr>
          <w:rFonts w:ascii="Book Antiqua" w:hAnsi="Book Antiqua" w:cs="宋体"/>
          <w:b/>
          <w:bCs/>
          <w:kern w:val="0"/>
          <w:sz w:val="24"/>
        </w:rPr>
        <w:t>143</w:t>
      </w:r>
      <w:r w:rsidRPr="00133249">
        <w:rPr>
          <w:rFonts w:ascii="Book Antiqua" w:hAnsi="Book Antiqua" w:cs="宋体"/>
          <w:kern w:val="0"/>
          <w:sz w:val="24"/>
        </w:rPr>
        <w:t>: 165-173 [PMID: 16978790]</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t xml:space="preserve">98 </w:t>
      </w:r>
      <w:r w:rsidRPr="00133249">
        <w:rPr>
          <w:rFonts w:ascii="Book Antiqua" w:hAnsi="Book Antiqua" w:cs="宋体"/>
          <w:b/>
          <w:bCs/>
          <w:kern w:val="0"/>
          <w:sz w:val="24"/>
        </w:rPr>
        <w:t>Kovacs P</w:t>
      </w:r>
      <w:r w:rsidRPr="00133249">
        <w:rPr>
          <w:rFonts w:ascii="Book Antiqua" w:hAnsi="Book Antiqua" w:cs="宋体"/>
          <w:kern w:val="0"/>
          <w:sz w:val="24"/>
        </w:rPr>
        <w:t>, Hajnal A.</w:t>
      </w:r>
      <w:proofErr w:type="gramEnd"/>
      <w:r w:rsidRPr="00133249">
        <w:rPr>
          <w:rFonts w:ascii="Book Antiqua" w:hAnsi="Book Antiqua" w:cs="宋体"/>
          <w:kern w:val="0"/>
          <w:sz w:val="24"/>
        </w:rPr>
        <w:t xml:space="preserve"> </w:t>
      </w:r>
      <w:proofErr w:type="gramStart"/>
      <w:r w:rsidRPr="00133249">
        <w:rPr>
          <w:rFonts w:ascii="Book Antiqua" w:hAnsi="Book Antiqua" w:cs="宋体"/>
          <w:kern w:val="0"/>
          <w:sz w:val="24"/>
        </w:rPr>
        <w:t>In vivo electrophysiological effects of insulin in the rat brain.</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Neuropeptides</w:t>
      </w:r>
      <w:r w:rsidRPr="00133249">
        <w:rPr>
          <w:rFonts w:ascii="Book Antiqua" w:hAnsi="Book Antiqua" w:cs="宋体"/>
          <w:kern w:val="0"/>
          <w:sz w:val="24"/>
        </w:rPr>
        <w:t xml:space="preserve"> 2009; </w:t>
      </w:r>
      <w:r w:rsidRPr="00133249">
        <w:rPr>
          <w:rFonts w:ascii="Book Antiqua" w:hAnsi="Book Antiqua" w:cs="宋体"/>
          <w:b/>
          <w:bCs/>
          <w:kern w:val="0"/>
          <w:sz w:val="24"/>
        </w:rPr>
        <w:t>43</w:t>
      </w:r>
      <w:r w:rsidRPr="00133249">
        <w:rPr>
          <w:rFonts w:ascii="Book Antiqua" w:hAnsi="Book Antiqua" w:cs="宋体"/>
          <w:kern w:val="0"/>
          <w:sz w:val="24"/>
        </w:rPr>
        <w:t>: 283-293 [PMID: 19541365 D</w:t>
      </w:r>
      <w:r w:rsidR="00E57732">
        <w:rPr>
          <w:rFonts w:ascii="Book Antiqua" w:hAnsi="Book Antiqua" w:cs="宋体"/>
          <w:kern w:val="0"/>
          <w:sz w:val="24"/>
        </w:rPr>
        <w:t>OI: 10.1016/j.npep.2009.05.006]</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99 </w:t>
      </w:r>
      <w:r w:rsidRPr="00133249">
        <w:rPr>
          <w:rFonts w:ascii="Book Antiqua" w:hAnsi="Book Antiqua" w:cs="宋体"/>
          <w:b/>
          <w:bCs/>
          <w:kern w:val="0"/>
          <w:sz w:val="24"/>
        </w:rPr>
        <w:t>Palovcik RA</w:t>
      </w:r>
      <w:r w:rsidRPr="00133249">
        <w:rPr>
          <w:rFonts w:ascii="Book Antiqua" w:hAnsi="Book Antiqua" w:cs="宋体"/>
          <w:kern w:val="0"/>
          <w:sz w:val="24"/>
        </w:rPr>
        <w:t xml:space="preserve">, Phillips MI, Kappy MS, Raizada MK. Insulin inhibits pyramidal neurons in hippocampal slices. </w:t>
      </w:r>
      <w:r w:rsidRPr="00133249">
        <w:rPr>
          <w:rFonts w:ascii="Book Antiqua" w:hAnsi="Book Antiqua" w:cs="宋体"/>
          <w:i/>
          <w:iCs/>
          <w:kern w:val="0"/>
          <w:sz w:val="24"/>
        </w:rPr>
        <w:t>Brain Res</w:t>
      </w:r>
      <w:r w:rsidRPr="00133249">
        <w:rPr>
          <w:rFonts w:ascii="Book Antiqua" w:hAnsi="Book Antiqua" w:cs="宋体"/>
          <w:kern w:val="0"/>
          <w:sz w:val="24"/>
        </w:rPr>
        <w:t xml:space="preserve"> 1984; </w:t>
      </w:r>
      <w:r w:rsidRPr="00133249">
        <w:rPr>
          <w:rFonts w:ascii="Book Antiqua" w:hAnsi="Book Antiqua" w:cs="宋体"/>
          <w:b/>
          <w:bCs/>
          <w:kern w:val="0"/>
          <w:sz w:val="24"/>
        </w:rPr>
        <w:t>309</w:t>
      </w:r>
      <w:r w:rsidRPr="00133249">
        <w:rPr>
          <w:rFonts w:ascii="Book Antiqua" w:hAnsi="Book Antiqua" w:cs="宋体"/>
          <w:kern w:val="0"/>
          <w:sz w:val="24"/>
        </w:rPr>
        <w:t>: 187-191 [PMID: 6386100]</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lastRenderedPageBreak/>
        <w:t xml:space="preserve">100 </w:t>
      </w:r>
      <w:r w:rsidRPr="00133249">
        <w:rPr>
          <w:rFonts w:ascii="Book Antiqua" w:hAnsi="Book Antiqua" w:cs="宋体"/>
          <w:b/>
          <w:bCs/>
          <w:kern w:val="0"/>
          <w:sz w:val="24"/>
        </w:rPr>
        <w:t>Wan Q</w:t>
      </w:r>
      <w:r w:rsidRPr="00133249">
        <w:rPr>
          <w:rFonts w:ascii="Book Antiqua" w:hAnsi="Book Antiqua" w:cs="宋体"/>
          <w:kern w:val="0"/>
          <w:sz w:val="24"/>
        </w:rPr>
        <w:t xml:space="preserve">, Xiong ZG, Man HY, Ackerley CA, Braunton J, Lu WY, Becker LE, MacDonald JF, Wang YT. Recruitment of functional </w:t>
      </w:r>
      <w:proofErr w:type="gramStart"/>
      <w:r w:rsidRPr="00133249">
        <w:rPr>
          <w:rFonts w:ascii="Book Antiqua" w:hAnsi="Book Antiqua" w:cs="宋体"/>
          <w:kern w:val="0"/>
          <w:sz w:val="24"/>
        </w:rPr>
        <w:t>GABA(</w:t>
      </w:r>
      <w:proofErr w:type="gramEnd"/>
      <w:r w:rsidRPr="00133249">
        <w:rPr>
          <w:rFonts w:ascii="Book Antiqua" w:hAnsi="Book Antiqua" w:cs="宋体"/>
          <w:kern w:val="0"/>
          <w:sz w:val="24"/>
        </w:rPr>
        <w:t xml:space="preserve">A) receptors to postsynaptic domains by insulin. </w:t>
      </w:r>
      <w:r w:rsidRPr="00133249">
        <w:rPr>
          <w:rFonts w:ascii="Book Antiqua" w:hAnsi="Book Antiqua" w:cs="宋体"/>
          <w:i/>
          <w:iCs/>
          <w:kern w:val="0"/>
          <w:sz w:val="24"/>
        </w:rPr>
        <w:t>Nature</w:t>
      </w:r>
      <w:r w:rsidRPr="00133249">
        <w:rPr>
          <w:rFonts w:ascii="Book Antiqua" w:hAnsi="Book Antiqua" w:cs="宋体"/>
          <w:kern w:val="0"/>
          <w:sz w:val="24"/>
        </w:rPr>
        <w:t xml:space="preserve"> 1997; </w:t>
      </w:r>
      <w:r w:rsidRPr="00133249">
        <w:rPr>
          <w:rFonts w:ascii="Book Antiqua" w:hAnsi="Book Antiqua" w:cs="宋体"/>
          <w:b/>
          <w:bCs/>
          <w:kern w:val="0"/>
          <w:sz w:val="24"/>
        </w:rPr>
        <w:t>388</w:t>
      </w:r>
      <w:r w:rsidRPr="00133249">
        <w:rPr>
          <w:rFonts w:ascii="Book Antiqua" w:hAnsi="Book Antiqua" w:cs="宋体"/>
          <w:kern w:val="0"/>
          <w:sz w:val="24"/>
        </w:rPr>
        <w:t>: 686-690 [PMID: 9262404]</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101 </w:t>
      </w:r>
      <w:r w:rsidRPr="00133249">
        <w:rPr>
          <w:rFonts w:ascii="Book Antiqua" w:hAnsi="Book Antiqua" w:cs="宋体"/>
          <w:b/>
          <w:bCs/>
          <w:kern w:val="0"/>
          <w:sz w:val="24"/>
        </w:rPr>
        <w:t>Lozovsky DB</w:t>
      </w:r>
      <w:r w:rsidRPr="00133249">
        <w:rPr>
          <w:rFonts w:ascii="Book Antiqua" w:hAnsi="Book Antiqua" w:cs="宋体"/>
          <w:kern w:val="0"/>
          <w:sz w:val="24"/>
        </w:rPr>
        <w:t xml:space="preserve">, Kopin IJ, Saller CF. Modulation of dopamine receptor supersensitivity by chronic insulin: implication in schizophrenia. </w:t>
      </w:r>
      <w:r w:rsidRPr="00133249">
        <w:rPr>
          <w:rFonts w:ascii="Book Antiqua" w:hAnsi="Book Antiqua" w:cs="宋体"/>
          <w:i/>
          <w:iCs/>
          <w:kern w:val="0"/>
          <w:sz w:val="24"/>
        </w:rPr>
        <w:t>Brain Res</w:t>
      </w:r>
      <w:r w:rsidRPr="00133249">
        <w:rPr>
          <w:rFonts w:ascii="Book Antiqua" w:hAnsi="Book Antiqua" w:cs="宋体"/>
          <w:kern w:val="0"/>
          <w:sz w:val="24"/>
        </w:rPr>
        <w:t xml:space="preserve"> 1985; </w:t>
      </w:r>
      <w:r w:rsidRPr="00133249">
        <w:rPr>
          <w:rFonts w:ascii="Book Antiqua" w:hAnsi="Book Antiqua" w:cs="宋体"/>
          <w:b/>
          <w:bCs/>
          <w:kern w:val="0"/>
          <w:sz w:val="24"/>
        </w:rPr>
        <w:t>343</w:t>
      </w:r>
      <w:r w:rsidRPr="00133249">
        <w:rPr>
          <w:rFonts w:ascii="Book Antiqua" w:hAnsi="Book Antiqua" w:cs="宋体"/>
          <w:kern w:val="0"/>
          <w:sz w:val="24"/>
        </w:rPr>
        <w:t>: 190-193 [PMID: 3899277]</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102 </w:t>
      </w:r>
      <w:r w:rsidRPr="00133249">
        <w:rPr>
          <w:rFonts w:ascii="Book Antiqua" w:hAnsi="Book Antiqua" w:cs="宋体"/>
          <w:b/>
          <w:bCs/>
          <w:kern w:val="0"/>
          <w:sz w:val="24"/>
        </w:rPr>
        <w:t>Fadool DA</w:t>
      </w:r>
      <w:r w:rsidRPr="00133249">
        <w:rPr>
          <w:rFonts w:ascii="Book Antiqua" w:hAnsi="Book Antiqua" w:cs="宋体"/>
          <w:kern w:val="0"/>
          <w:sz w:val="24"/>
        </w:rPr>
        <w:t xml:space="preserve">, Tucker K, Phillips JJ, Simmen JA. Brain insulin receptor causes activity-dependent current suppression in the olfactory bulb through multiple phosphorylation of Kv1.3. </w:t>
      </w:r>
      <w:r w:rsidRPr="00133249">
        <w:rPr>
          <w:rFonts w:ascii="Book Antiqua" w:hAnsi="Book Antiqua" w:cs="宋体"/>
          <w:i/>
          <w:iCs/>
          <w:kern w:val="0"/>
          <w:sz w:val="24"/>
        </w:rPr>
        <w:t>J Neurophysiol</w:t>
      </w:r>
      <w:r w:rsidRPr="00133249">
        <w:rPr>
          <w:rFonts w:ascii="Book Antiqua" w:hAnsi="Book Antiqua" w:cs="宋体"/>
          <w:kern w:val="0"/>
          <w:sz w:val="24"/>
        </w:rPr>
        <w:t xml:space="preserve"> 2000; </w:t>
      </w:r>
      <w:r w:rsidRPr="00133249">
        <w:rPr>
          <w:rFonts w:ascii="Book Antiqua" w:hAnsi="Book Antiqua" w:cs="宋体"/>
          <w:b/>
          <w:bCs/>
          <w:kern w:val="0"/>
          <w:sz w:val="24"/>
        </w:rPr>
        <w:t>83</w:t>
      </w:r>
      <w:r w:rsidRPr="00133249">
        <w:rPr>
          <w:rFonts w:ascii="Book Antiqua" w:hAnsi="Book Antiqua" w:cs="宋体"/>
          <w:kern w:val="0"/>
          <w:sz w:val="24"/>
        </w:rPr>
        <w:t>: 2332-2348 [PMID: 10758137]</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103 </w:t>
      </w:r>
      <w:r w:rsidRPr="00133249">
        <w:rPr>
          <w:rFonts w:ascii="Book Antiqua" w:hAnsi="Book Antiqua" w:cs="宋体"/>
          <w:b/>
          <w:bCs/>
          <w:kern w:val="0"/>
          <w:sz w:val="24"/>
        </w:rPr>
        <w:t>Farrar C</w:t>
      </w:r>
      <w:r w:rsidRPr="00133249">
        <w:rPr>
          <w:rFonts w:ascii="Book Antiqua" w:hAnsi="Book Antiqua" w:cs="宋体"/>
          <w:kern w:val="0"/>
          <w:sz w:val="24"/>
        </w:rPr>
        <w:t xml:space="preserve">, Houser CR, Clarke S. Activation of the PI3K/Akt signal transduction pathway and increased levels of insulin receptor in protein repair-deficient mice. </w:t>
      </w:r>
      <w:r w:rsidRPr="00133249">
        <w:rPr>
          <w:rFonts w:ascii="Book Antiqua" w:hAnsi="Book Antiqua" w:cs="宋体"/>
          <w:i/>
          <w:iCs/>
          <w:kern w:val="0"/>
          <w:sz w:val="24"/>
        </w:rPr>
        <w:t>Aging Cell</w:t>
      </w:r>
      <w:r w:rsidRPr="00133249">
        <w:rPr>
          <w:rFonts w:ascii="Book Antiqua" w:hAnsi="Book Antiqua" w:cs="宋体"/>
          <w:kern w:val="0"/>
          <w:sz w:val="24"/>
        </w:rPr>
        <w:t xml:space="preserve"> 2005; </w:t>
      </w:r>
      <w:r w:rsidRPr="00133249">
        <w:rPr>
          <w:rFonts w:ascii="Book Antiqua" w:hAnsi="Book Antiqua" w:cs="宋体"/>
          <w:b/>
          <w:bCs/>
          <w:kern w:val="0"/>
          <w:sz w:val="24"/>
        </w:rPr>
        <w:t>4</w:t>
      </w:r>
      <w:r w:rsidRPr="00133249">
        <w:rPr>
          <w:rFonts w:ascii="Book Antiqua" w:hAnsi="Book Antiqua" w:cs="宋体"/>
          <w:kern w:val="0"/>
          <w:sz w:val="24"/>
        </w:rPr>
        <w:t>: 1-12 [PMID: 15659208]</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t xml:space="preserve">104 </w:t>
      </w:r>
      <w:r w:rsidRPr="00133249">
        <w:rPr>
          <w:rFonts w:ascii="Book Antiqua" w:hAnsi="Book Antiqua" w:cs="宋体"/>
          <w:b/>
          <w:bCs/>
          <w:kern w:val="0"/>
          <w:sz w:val="24"/>
        </w:rPr>
        <w:t>Schubert M</w:t>
      </w:r>
      <w:r w:rsidRPr="00133249">
        <w:rPr>
          <w:rFonts w:ascii="Book Antiqua" w:hAnsi="Book Antiqua" w:cs="宋体"/>
          <w:kern w:val="0"/>
          <w:sz w:val="24"/>
        </w:rPr>
        <w:t>, Brazil DP, Burks DJ, Kushner JA, Ye J, Flint CL, Farhang-Fallah J, Dikkes P, Warot XM, Rio C, Corfas G, White MF.</w:t>
      </w:r>
      <w:proofErr w:type="gramEnd"/>
      <w:r w:rsidRPr="00133249">
        <w:rPr>
          <w:rFonts w:ascii="Book Antiqua" w:hAnsi="Book Antiqua" w:cs="宋体"/>
          <w:kern w:val="0"/>
          <w:sz w:val="24"/>
        </w:rPr>
        <w:t xml:space="preserve"> Insulin receptor substrate-2 deficiency impairs brain growth and promotes tau phosphorylation. </w:t>
      </w:r>
      <w:r w:rsidRPr="00133249">
        <w:rPr>
          <w:rFonts w:ascii="Book Antiqua" w:hAnsi="Book Antiqua" w:cs="宋体"/>
          <w:i/>
          <w:iCs/>
          <w:kern w:val="0"/>
          <w:sz w:val="24"/>
        </w:rPr>
        <w:t>J Neurosci</w:t>
      </w:r>
      <w:r w:rsidRPr="00133249">
        <w:rPr>
          <w:rFonts w:ascii="Book Antiqua" w:hAnsi="Book Antiqua" w:cs="宋体"/>
          <w:kern w:val="0"/>
          <w:sz w:val="24"/>
        </w:rPr>
        <w:t xml:space="preserve"> 2003; </w:t>
      </w:r>
      <w:r w:rsidRPr="00133249">
        <w:rPr>
          <w:rFonts w:ascii="Book Antiqua" w:hAnsi="Book Antiqua" w:cs="宋体"/>
          <w:b/>
          <w:bCs/>
          <w:kern w:val="0"/>
          <w:sz w:val="24"/>
        </w:rPr>
        <w:t>23</w:t>
      </w:r>
      <w:r w:rsidRPr="00133249">
        <w:rPr>
          <w:rFonts w:ascii="Book Antiqua" w:hAnsi="Book Antiqua" w:cs="宋体"/>
          <w:kern w:val="0"/>
          <w:sz w:val="24"/>
        </w:rPr>
        <w:t>: 7084-7092 [PMID: 12904469]</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105 </w:t>
      </w:r>
      <w:r w:rsidRPr="00133249">
        <w:rPr>
          <w:rFonts w:ascii="Book Antiqua" w:hAnsi="Book Antiqua" w:cs="宋体"/>
          <w:b/>
          <w:bCs/>
          <w:kern w:val="0"/>
          <w:sz w:val="24"/>
        </w:rPr>
        <w:t>Ryu BR</w:t>
      </w:r>
      <w:r w:rsidRPr="00133249">
        <w:rPr>
          <w:rFonts w:ascii="Book Antiqua" w:hAnsi="Book Antiqua" w:cs="宋体"/>
          <w:kern w:val="0"/>
          <w:sz w:val="24"/>
        </w:rPr>
        <w:t xml:space="preserve">, Ko HW, Jou I, Noh JS, Gwag BJ. </w:t>
      </w:r>
      <w:proofErr w:type="gramStart"/>
      <w:r w:rsidRPr="00133249">
        <w:rPr>
          <w:rFonts w:ascii="Book Antiqua" w:hAnsi="Book Antiqua" w:cs="宋体"/>
          <w:kern w:val="0"/>
          <w:sz w:val="24"/>
        </w:rPr>
        <w:t>Phosphatidylinositol 3-kinase-mediated regulation of neuronal apoptosis and necrosis by insulin and IGF-I.</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J Neurobiol</w:t>
      </w:r>
      <w:r w:rsidRPr="00133249">
        <w:rPr>
          <w:rFonts w:ascii="Book Antiqua" w:hAnsi="Book Antiqua" w:cs="宋体"/>
          <w:kern w:val="0"/>
          <w:sz w:val="24"/>
        </w:rPr>
        <w:t xml:space="preserve"> 1999; </w:t>
      </w:r>
      <w:r w:rsidRPr="00133249">
        <w:rPr>
          <w:rFonts w:ascii="Book Antiqua" w:hAnsi="Book Antiqua" w:cs="宋体"/>
          <w:b/>
          <w:bCs/>
          <w:kern w:val="0"/>
          <w:sz w:val="24"/>
        </w:rPr>
        <w:t>39</w:t>
      </w:r>
      <w:r w:rsidRPr="00133249">
        <w:rPr>
          <w:rFonts w:ascii="Book Antiqua" w:hAnsi="Book Antiqua" w:cs="宋体"/>
          <w:kern w:val="0"/>
          <w:sz w:val="24"/>
        </w:rPr>
        <w:t>: 536-546 [PMID: 10380075]</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106 </w:t>
      </w:r>
      <w:r w:rsidRPr="00133249">
        <w:rPr>
          <w:rFonts w:ascii="Book Antiqua" w:hAnsi="Book Antiqua" w:cs="宋体"/>
          <w:b/>
          <w:bCs/>
          <w:kern w:val="0"/>
          <w:sz w:val="24"/>
        </w:rPr>
        <w:t>Duarte AI</w:t>
      </w:r>
      <w:r w:rsidRPr="00133249">
        <w:rPr>
          <w:rFonts w:ascii="Book Antiqua" w:hAnsi="Book Antiqua" w:cs="宋体"/>
          <w:kern w:val="0"/>
          <w:sz w:val="24"/>
        </w:rPr>
        <w:t xml:space="preserve">, Santos MS, Oliveira CR, Rego AC. Insulin neuroprotection against oxidative stress in cortical neurons--involvement of uric acid and glutathione antioxidant defenses. </w:t>
      </w:r>
      <w:r w:rsidRPr="00133249">
        <w:rPr>
          <w:rFonts w:ascii="Book Antiqua" w:hAnsi="Book Antiqua" w:cs="宋体"/>
          <w:i/>
          <w:iCs/>
          <w:kern w:val="0"/>
          <w:sz w:val="24"/>
        </w:rPr>
        <w:t>Free Radic Biol Med</w:t>
      </w:r>
      <w:r w:rsidRPr="00133249">
        <w:rPr>
          <w:rFonts w:ascii="Book Antiqua" w:hAnsi="Book Antiqua" w:cs="宋体"/>
          <w:kern w:val="0"/>
          <w:sz w:val="24"/>
        </w:rPr>
        <w:t xml:space="preserve"> 2005; </w:t>
      </w:r>
      <w:r w:rsidRPr="00133249">
        <w:rPr>
          <w:rFonts w:ascii="Book Antiqua" w:hAnsi="Book Antiqua" w:cs="宋体"/>
          <w:b/>
          <w:bCs/>
          <w:kern w:val="0"/>
          <w:sz w:val="24"/>
        </w:rPr>
        <w:t>39</w:t>
      </w:r>
      <w:r w:rsidRPr="00133249">
        <w:rPr>
          <w:rFonts w:ascii="Book Antiqua" w:hAnsi="Book Antiqua" w:cs="宋体"/>
          <w:kern w:val="0"/>
          <w:sz w:val="24"/>
        </w:rPr>
        <w:t>: 876-889 [PMID: 16140208]</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107 </w:t>
      </w:r>
      <w:r w:rsidRPr="00133249">
        <w:rPr>
          <w:rFonts w:ascii="Book Antiqua" w:hAnsi="Book Antiqua" w:cs="宋体"/>
          <w:b/>
          <w:bCs/>
          <w:kern w:val="0"/>
          <w:sz w:val="24"/>
        </w:rPr>
        <w:t>Rensink AA</w:t>
      </w:r>
      <w:r w:rsidRPr="00133249">
        <w:rPr>
          <w:rFonts w:ascii="Book Antiqua" w:hAnsi="Book Antiqua" w:cs="宋体"/>
          <w:kern w:val="0"/>
          <w:sz w:val="24"/>
        </w:rPr>
        <w:t xml:space="preserve">, Otte-Höller I, de Boer R, Bosch RR, ten Donkelaar HJ, de Waal RM, Verbeek MM, Kremer B. Insulin inhibits amyloid beta-induced cell death in cultured human brain pericytes. </w:t>
      </w:r>
      <w:r w:rsidRPr="00133249">
        <w:rPr>
          <w:rFonts w:ascii="Book Antiqua" w:hAnsi="Book Antiqua" w:cs="宋体"/>
          <w:i/>
          <w:iCs/>
          <w:kern w:val="0"/>
          <w:sz w:val="24"/>
        </w:rPr>
        <w:t>Neurobiol Aging</w:t>
      </w:r>
      <w:r w:rsidRPr="00133249">
        <w:rPr>
          <w:rFonts w:ascii="Book Antiqua" w:hAnsi="Book Antiqua" w:cs="宋体"/>
          <w:kern w:val="0"/>
          <w:sz w:val="24"/>
        </w:rPr>
        <w:t xml:space="preserve"> 2004; </w:t>
      </w:r>
      <w:r w:rsidRPr="00133249">
        <w:rPr>
          <w:rFonts w:ascii="Book Antiqua" w:hAnsi="Book Antiqua" w:cs="宋体"/>
          <w:b/>
          <w:bCs/>
          <w:kern w:val="0"/>
          <w:sz w:val="24"/>
        </w:rPr>
        <w:t>25</w:t>
      </w:r>
      <w:r w:rsidRPr="00133249">
        <w:rPr>
          <w:rFonts w:ascii="Book Antiqua" w:hAnsi="Book Antiqua" w:cs="宋体"/>
          <w:kern w:val="0"/>
          <w:sz w:val="24"/>
        </w:rPr>
        <w:t>: 93-103 [PMID: 14675735]</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108 </w:t>
      </w:r>
      <w:r w:rsidRPr="00133249">
        <w:rPr>
          <w:rFonts w:ascii="Book Antiqua" w:hAnsi="Book Antiqua" w:cs="宋体"/>
          <w:b/>
          <w:bCs/>
          <w:kern w:val="0"/>
          <w:sz w:val="24"/>
        </w:rPr>
        <w:t>Voll CL</w:t>
      </w:r>
      <w:r w:rsidRPr="00133249">
        <w:rPr>
          <w:rFonts w:ascii="Book Antiqua" w:hAnsi="Book Antiqua" w:cs="宋体"/>
          <w:kern w:val="0"/>
          <w:sz w:val="24"/>
        </w:rPr>
        <w:t xml:space="preserve">, Auer RN. Insulin attenuates ischemic brain damage independent of its hypoglycemic effect. </w:t>
      </w:r>
      <w:r w:rsidRPr="00133249">
        <w:rPr>
          <w:rFonts w:ascii="Book Antiqua" w:hAnsi="Book Antiqua" w:cs="宋体"/>
          <w:i/>
          <w:iCs/>
          <w:kern w:val="0"/>
          <w:sz w:val="24"/>
        </w:rPr>
        <w:t>J Cereb Blood Flow Metab</w:t>
      </w:r>
      <w:r w:rsidRPr="00133249">
        <w:rPr>
          <w:rFonts w:ascii="Book Antiqua" w:hAnsi="Book Antiqua" w:cs="宋体"/>
          <w:kern w:val="0"/>
          <w:sz w:val="24"/>
        </w:rPr>
        <w:t xml:space="preserve"> 1991; </w:t>
      </w:r>
      <w:r w:rsidRPr="00133249">
        <w:rPr>
          <w:rFonts w:ascii="Book Antiqua" w:hAnsi="Book Antiqua" w:cs="宋体"/>
          <w:b/>
          <w:bCs/>
          <w:kern w:val="0"/>
          <w:sz w:val="24"/>
        </w:rPr>
        <w:t>11</w:t>
      </w:r>
      <w:r w:rsidRPr="00133249">
        <w:rPr>
          <w:rFonts w:ascii="Book Antiqua" w:hAnsi="Book Antiqua" w:cs="宋体"/>
          <w:kern w:val="0"/>
          <w:sz w:val="24"/>
        </w:rPr>
        <w:t>: 1006-1014 [PMID: 1939378]</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109 </w:t>
      </w:r>
      <w:r w:rsidRPr="00133249">
        <w:rPr>
          <w:rFonts w:ascii="Book Antiqua" w:hAnsi="Book Antiqua" w:cs="宋体"/>
          <w:b/>
          <w:bCs/>
          <w:kern w:val="0"/>
          <w:sz w:val="24"/>
        </w:rPr>
        <w:t>Kopf SR</w:t>
      </w:r>
      <w:r w:rsidRPr="00133249">
        <w:rPr>
          <w:rFonts w:ascii="Book Antiqua" w:hAnsi="Book Antiqua" w:cs="宋体"/>
          <w:kern w:val="0"/>
          <w:sz w:val="24"/>
        </w:rPr>
        <w:t xml:space="preserve">, Baratti CM. The impairment of retention induced by insulin in mice may be mediated by a reduction in central cholinergic activity. </w:t>
      </w:r>
      <w:r w:rsidRPr="00133249">
        <w:rPr>
          <w:rFonts w:ascii="Book Antiqua" w:hAnsi="Book Antiqua" w:cs="宋体"/>
          <w:i/>
          <w:iCs/>
          <w:kern w:val="0"/>
          <w:sz w:val="24"/>
        </w:rPr>
        <w:t>Neurobiol Learn Mem</w:t>
      </w:r>
      <w:r w:rsidRPr="00133249">
        <w:rPr>
          <w:rFonts w:ascii="Book Antiqua" w:hAnsi="Book Antiqua" w:cs="宋体"/>
          <w:kern w:val="0"/>
          <w:sz w:val="24"/>
        </w:rPr>
        <w:t xml:space="preserve"> 1995; </w:t>
      </w:r>
      <w:r w:rsidRPr="00133249">
        <w:rPr>
          <w:rFonts w:ascii="Book Antiqua" w:hAnsi="Book Antiqua" w:cs="宋体"/>
          <w:b/>
          <w:bCs/>
          <w:kern w:val="0"/>
          <w:sz w:val="24"/>
        </w:rPr>
        <w:t>63</w:t>
      </w:r>
      <w:r w:rsidRPr="00133249">
        <w:rPr>
          <w:rFonts w:ascii="Book Antiqua" w:hAnsi="Book Antiqua" w:cs="宋体"/>
          <w:kern w:val="0"/>
          <w:sz w:val="24"/>
        </w:rPr>
        <w:t>: 220-228 [PMID: 7670835]</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lastRenderedPageBreak/>
        <w:t xml:space="preserve">110 </w:t>
      </w:r>
      <w:r w:rsidRPr="00133249">
        <w:rPr>
          <w:rFonts w:ascii="Book Antiqua" w:hAnsi="Book Antiqua" w:cs="宋体"/>
          <w:b/>
          <w:bCs/>
          <w:kern w:val="0"/>
          <w:sz w:val="24"/>
        </w:rPr>
        <w:t>Park CR</w:t>
      </w:r>
      <w:r w:rsidRPr="00133249">
        <w:rPr>
          <w:rFonts w:ascii="Book Antiqua" w:hAnsi="Book Antiqua" w:cs="宋体"/>
          <w:kern w:val="0"/>
          <w:sz w:val="24"/>
        </w:rPr>
        <w:t>. Cognitive effects of insulin in the central nervous system.</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Neurosci Biobehav Rev</w:t>
      </w:r>
      <w:r w:rsidRPr="00133249">
        <w:rPr>
          <w:rFonts w:ascii="Book Antiqua" w:hAnsi="Book Antiqua" w:cs="宋体"/>
          <w:kern w:val="0"/>
          <w:sz w:val="24"/>
        </w:rPr>
        <w:t xml:space="preserve"> 2001; </w:t>
      </w:r>
      <w:r w:rsidRPr="00133249">
        <w:rPr>
          <w:rFonts w:ascii="Book Antiqua" w:hAnsi="Book Antiqua" w:cs="宋体"/>
          <w:b/>
          <w:bCs/>
          <w:kern w:val="0"/>
          <w:sz w:val="24"/>
        </w:rPr>
        <w:t>25</w:t>
      </w:r>
      <w:r w:rsidRPr="00133249">
        <w:rPr>
          <w:rFonts w:ascii="Book Antiqua" w:hAnsi="Book Antiqua" w:cs="宋体"/>
          <w:kern w:val="0"/>
          <w:sz w:val="24"/>
        </w:rPr>
        <w:t>: 311-323 [PMID: 11445137]</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111 </w:t>
      </w:r>
      <w:r w:rsidRPr="00133249">
        <w:rPr>
          <w:rFonts w:ascii="Book Antiqua" w:hAnsi="Book Antiqua" w:cs="宋体"/>
          <w:b/>
          <w:bCs/>
          <w:kern w:val="0"/>
          <w:sz w:val="24"/>
        </w:rPr>
        <w:t>Moore RD</w:t>
      </w:r>
      <w:r w:rsidRPr="00133249">
        <w:rPr>
          <w:rFonts w:ascii="Book Antiqua" w:hAnsi="Book Antiqua" w:cs="宋体"/>
          <w:kern w:val="0"/>
          <w:sz w:val="24"/>
        </w:rPr>
        <w:t xml:space="preserve">. Effects of insulin upon ion transport. </w:t>
      </w:r>
      <w:r w:rsidRPr="00133249">
        <w:rPr>
          <w:rFonts w:ascii="Book Antiqua" w:hAnsi="Book Antiqua" w:cs="宋体"/>
          <w:i/>
          <w:iCs/>
          <w:kern w:val="0"/>
          <w:sz w:val="24"/>
        </w:rPr>
        <w:t>Biochim Biophys Acta</w:t>
      </w:r>
      <w:r w:rsidRPr="00133249">
        <w:rPr>
          <w:rFonts w:ascii="Book Antiqua" w:hAnsi="Book Antiqua" w:cs="宋体"/>
          <w:kern w:val="0"/>
          <w:sz w:val="24"/>
        </w:rPr>
        <w:t xml:space="preserve"> 1983; </w:t>
      </w:r>
      <w:r w:rsidRPr="00133249">
        <w:rPr>
          <w:rFonts w:ascii="Book Antiqua" w:hAnsi="Book Antiqua" w:cs="宋体"/>
          <w:b/>
          <w:bCs/>
          <w:kern w:val="0"/>
          <w:sz w:val="24"/>
        </w:rPr>
        <w:t>737</w:t>
      </w:r>
      <w:r w:rsidRPr="00133249">
        <w:rPr>
          <w:rFonts w:ascii="Book Antiqua" w:hAnsi="Book Antiqua" w:cs="宋体"/>
          <w:kern w:val="0"/>
          <w:sz w:val="24"/>
        </w:rPr>
        <w:t>: 1-49 [PMID: 6297580]</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112 </w:t>
      </w:r>
      <w:r w:rsidRPr="00133249">
        <w:rPr>
          <w:rFonts w:ascii="Book Antiqua" w:hAnsi="Book Antiqua" w:cs="宋体"/>
          <w:b/>
          <w:bCs/>
          <w:kern w:val="0"/>
          <w:sz w:val="24"/>
        </w:rPr>
        <w:t>Biessels GJ</w:t>
      </w:r>
      <w:r w:rsidRPr="00133249">
        <w:rPr>
          <w:rFonts w:ascii="Book Antiqua" w:hAnsi="Book Antiqua" w:cs="宋体"/>
          <w:kern w:val="0"/>
          <w:sz w:val="24"/>
        </w:rPr>
        <w:t xml:space="preserve">, Kamal A, Ramakers GM, Urban IJ, Spruijt BM, Erkelens DW, Gispen WH. Place learning and hippocampal synaptic plasticity in streptozotocin-induced diabetic rats. </w:t>
      </w:r>
      <w:r w:rsidRPr="00133249">
        <w:rPr>
          <w:rFonts w:ascii="Book Antiqua" w:hAnsi="Book Antiqua" w:cs="宋体"/>
          <w:i/>
          <w:iCs/>
          <w:kern w:val="0"/>
          <w:sz w:val="24"/>
        </w:rPr>
        <w:t>Diabetes</w:t>
      </w:r>
      <w:r w:rsidRPr="00133249">
        <w:rPr>
          <w:rFonts w:ascii="Book Antiqua" w:hAnsi="Book Antiqua" w:cs="宋体"/>
          <w:kern w:val="0"/>
          <w:sz w:val="24"/>
        </w:rPr>
        <w:t xml:space="preserve"> 1996; </w:t>
      </w:r>
      <w:r w:rsidRPr="00133249">
        <w:rPr>
          <w:rFonts w:ascii="Book Antiqua" w:hAnsi="Book Antiqua" w:cs="宋体"/>
          <w:b/>
          <w:bCs/>
          <w:kern w:val="0"/>
          <w:sz w:val="24"/>
        </w:rPr>
        <w:t>45</w:t>
      </w:r>
      <w:r w:rsidRPr="00133249">
        <w:rPr>
          <w:rFonts w:ascii="Book Antiqua" w:hAnsi="Book Antiqua" w:cs="宋体"/>
          <w:kern w:val="0"/>
          <w:sz w:val="24"/>
        </w:rPr>
        <w:t>: 1259-1266 [PMID: 8772732]</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113 </w:t>
      </w:r>
      <w:r w:rsidRPr="00133249">
        <w:rPr>
          <w:rFonts w:ascii="Book Antiqua" w:hAnsi="Book Antiqua" w:cs="宋体"/>
          <w:b/>
          <w:bCs/>
          <w:kern w:val="0"/>
          <w:sz w:val="24"/>
        </w:rPr>
        <w:t>Biessels GJ</w:t>
      </w:r>
      <w:r w:rsidRPr="00133249">
        <w:rPr>
          <w:rFonts w:ascii="Book Antiqua" w:hAnsi="Book Antiqua" w:cs="宋体"/>
          <w:kern w:val="0"/>
          <w:sz w:val="24"/>
        </w:rPr>
        <w:t xml:space="preserve">, Kamal A, Urban IJ, Spruijt BM, Erkelens DW, Gispen WH. Water maze learning and hippocampal synaptic plasticity in streptozotocin-diabetic rats: effects of insulin treatment. </w:t>
      </w:r>
      <w:r w:rsidRPr="00133249">
        <w:rPr>
          <w:rFonts w:ascii="Book Antiqua" w:hAnsi="Book Antiqua" w:cs="宋体"/>
          <w:i/>
          <w:iCs/>
          <w:kern w:val="0"/>
          <w:sz w:val="24"/>
        </w:rPr>
        <w:t>Brain Res</w:t>
      </w:r>
      <w:r w:rsidRPr="00133249">
        <w:rPr>
          <w:rFonts w:ascii="Book Antiqua" w:hAnsi="Book Antiqua" w:cs="宋体"/>
          <w:kern w:val="0"/>
          <w:sz w:val="24"/>
        </w:rPr>
        <w:t xml:space="preserve"> 1998; </w:t>
      </w:r>
      <w:r w:rsidRPr="00133249">
        <w:rPr>
          <w:rFonts w:ascii="Book Antiqua" w:hAnsi="Book Antiqua" w:cs="宋体"/>
          <w:b/>
          <w:bCs/>
          <w:kern w:val="0"/>
          <w:sz w:val="24"/>
        </w:rPr>
        <w:t>800</w:t>
      </w:r>
      <w:r w:rsidRPr="00133249">
        <w:rPr>
          <w:rFonts w:ascii="Book Antiqua" w:hAnsi="Book Antiqua" w:cs="宋体"/>
          <w:kern w:val="0"/>
          <w:sz w:val="24"/>
        </w:rPr>
        <w:t>: 125-135 [PMID: 9685609]</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114 </w:t>
      </w:r>
      <w:r w:rsidRPr="00133249">
        <w:rPr>
          <w:rFonts w:ascii="Book Antiqua" w:hAnsi="Book Antiqua" w:cs="宋体"/>
          <w:b/>
          <w:bCs/>
          <w:kern w:val="0"/>
          <w:sz w:val="24"/>
        </w:rPr>
        <w:t>Kamal A</w:t>
      </w:r>
      <w:r w:rsidRPr="00133249">
        <w:rPr>
          <w:rFonts w:ascii="Book Antiqua" w:hAnsi="Book Antiqua" w:cs="宋体"/>
          <w:kern w:val="0"/>
          <w:sz w:val="24"/>
        </w:rPr>
        <w:t xml:space="preserve">, Biessels GJ, Urban IJ, Gispen WH. Hippocampal synaptic plasticity in streptozotocin-diabetic rats: impairment of long-term potentiation and facilitation of long-term depression. </w:t>
      </w:r>
      <w:r w:rsidRPr="00133249">
        <w:rPr>
          <w:rFonts w:ascii="Book Antiqua" w:hAnsi="Book Antiqua" w:cs="宋体"/>
          <w:i/>
          <w:iCs/>
          <w:kern w:val="0"/>
          <w:sz w:val="24"/>
        </w:rPr>
        <w:t>Neuroscience</w:t>
      </w:r>
      <w:r w:rsidRPr="00133249">
        <w:rPr>
          <w:rFonts w:ascii="Book Antiqua" w:hAnsi="Book Antiqua" w:cs="宋体"/>
          <w:kern w:val="0"/>
          <w:sz w:val="24"/>
        </w:rPr>
        <w:t xml:space="preserve"> 1999; </w:t>
      </w:r>
      <w:r w:rsidRPr="00133249">
        <w:rPr>
          <w:rFonts w:ascii="Book Antiqua" w:hAnsi="Book Antiqua" w:cs="宋体"/>
          <w:b/>
          <w:bCs/>
          <w:kern w:val="0"/>
          <w:sz w:val="24"/>
        </w:rPr>
        <w:t>90</w:t>
      </w:r>
      <w:r w:rsidRPr="00133249">
        <w:rPr>
          <w:rFonts w:ascii="Book Antiqua" w:hAnsi="Book Antiqua" w:cs="宋体"/>
          <w:kern w:val="0"/>
          <w:sz w:val="24"/>
        </w:rPr>
        <w:t>: 737-745 [PMID: 10218775]</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115 </w:t>
      </w:r>
      <w:r w:rsidRPr="00133249">
        <w:rPr>
          <w:rFonts w:ascii="Book Antiqua" w:hAnsi="Book Antiqua" w:cs="宋体"/>
          <w:b/>
          <w:bCs/>
          <w:kern w:val="0"/>
          <w:sz w:val="24"/>
        </w:rPr>
        <w:t>Johnston AM</w:t>
      </w:r>
      <w:r w:rsidRPr="00133249">
        <w:rPr>
          <w:rFonts w:ascii="Book Antiqua" w:hAnsi="Book Antiqua" w:cs="宋体"/>
          <w:kern w:val="0"/>
          <w:sz w:val="24"/>
        </w:rPr>
        <w:t xml:space="preserve">, Pirola L, Van Obberghen E. Molecular mechanisms of insulin receptor substrate protein-mediated modulation of insulin signalling. </w:t>
      </w:r>
      <w:r w:rsidRPr="00133249">
        <w:rPr>
          <w:rFonts w:ascii="Book Antiqua" w:hAnsi="Book Antiqua" w:cs="宋体"/>
          <w:i/>
          <w:iCs/>
          <w:kern w:val="0"/>
          <w:sz w:val="24"/>
        </w:rPr>
        <w:t>FEBS Lett</w:t>
      </w:r>
      <w:r w:rsidRPr="00133249">
        <w:rPr>
          <w:rFonts w:ascii="Book Antiqua" w:hAnsi="Book Antiqua" w:cs="宋体"/>
          <w:kern w:val="0"/>
          <w:sz w:val="24"/>
        </w:rPr>
        <w:t xml:space="preserve"> 2003; </w:t>
      </w:r>
      <w:r w:rsidRPr="00133249">
        <w:rPr>
          <w:rFonts w:ascii="Book Antiqua" w:hAnsi="Book Antiqua" w:cs="宋体"/>
          <w:b/>
          <w:bCs/>
          <w:kern w:val="0"/>
          <w:sz w:val="24"/>
        </w:rPr>
        <w:t>546</w:t>
      </w:r>
      <w:r w:rsidRPr="00133249">
        <w:rPr>
          <w:rFonts w:ascii="Book Antiqua" w:hAnsi="Book Antiqua" w:cs="宋体"/>
          <w:kern w:val="0"/>
          <w:sz w:val="24"/>
        </w:rPr>
        <w:t>: 32-36 [PMID: 12829233]</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116 </w:t>
      </w:r>
      <w:r w:rsidRPr="00133249">
        <w:rPr>
          <w:rFonts w:ascii="Book Antiqua" w:hAnsi="Book Antiqua" w:cs="宋体"/>
          <w:b/>
          <w:bCs/>
          <w:kern w:val="0"/>
          <w:sz w:val="24"/>
        </w:rPr>
        <w:t>Bradley CA</w:t>
      </w:r>
      <w:r w:rsidRPr="00133249">
        <w:rPr>
          <w:rFonts w:ascii="Book Antiqua" w:hAnsi="Book Antiqua" w:cs="宋体"/>
          <w:kern w:val="0"/>
          <w:sz w:val="24"/>
        </w:rPr>
        <w:t xml:space="preserve">, Peineau S, Taghibiglou C, Nicolas CS, Whitcomb DJ, Bortolotto ZA, Kaang BK, Cho K, Wang YT, Collingridge GL. </w:t>
      </w:r>
      <w:proofErr w:type="gramStart"/>
      <w:r w:rsidRPr="00133249">
        <w:rPr>
          <w:rFonts w:ascii="Book Antiqua" w:hAnsi="Book Antiqua" w:cs="宋体"/>
          <w:kern w:val="0"/>
          <w:sz w:val="24"/>
        </w:rPr>
        <w:t>A pivotal role of GSK-3 in synaptic plasticity.</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Front Mol Neurosci</w:t>
      </w:r>
      <w:r w:rsidRPr="00133249">
        <w:rPr>
          <w:rFonts w:ascii="Book Antiqua" w:hAnsi="Book Antiqua" w:cs="宋体"/>
          <w:kern w:val="0"/>
          <w:sz w:val="24"/>
        </w:rPr>
        <w:t xml:space="preserve"> 2012; </w:t>
      </w:r>
      <w:r w:rsidRPr="00133249">
        <w:rPr>
          <w:rFonts w:ascii="Book Antiqua" w:hAnsi="Book Antiqua" w:cs="宋体"/>
          <w:b/>
          <w:bCs/>
          <w:kern w:val="0"/>
          <w:sz w:val="24"/>
        </w:rPr>
        <w:t>5</w:t>
      </w:r>
      <w:r w:rsidRPr="00133249">
        <w:rPr>
          <w:rFonts w:ascii="Book Antiqua" w:hAnsi="Book Antiqua" w:cs="宋体"/>
          <w:kern w:val="0"/>
          <w:sz w:val="24"/>
        </w:rPr>
        <w:t>: 13 [PMID: 22363262 DOI: 10.3389/fnmol.2012.00013]</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117 </w:t>
      </w:r>
      <w:r w:rsidRPr="00133249">
        <w:rPr>
          <w:rFonts w:ascii="Book Antiqua" w:hAnsi="Book Antiqua" w:cs="宋体"/>
          <w:b/>
          <w:bCs/>
          <w:kern w:val="0"/>
          <w:sz w:val="24"/>
        </w:rPr>
        <w:t>Brietzke E</w:t>
      </w:r>
      <w:r w:rsidRPr="00133249">
        <w:rPr>
          <w:rFonts w:ascii="Book Antiqua" w:hAnsi="Book Antiqua" w:cs="宋体"/>
          <w:kern w:val="0"/>
          <w:sz w:val="24"/>
        </w:rPr>
        <w:t xml:space="preserve">, Kapczinski F, Grassi-Oliveira R, Grande I, Vieta E, McIntyre RS. Insulin dysfunction and allostatic load in bipolar disorder. </w:t>
      </w:r>
      <w:r w:rsidRPr="00133249">
        <w:rPr>
          <w:rFonts w:ascii="Book Antiqua" w:hAnsi="Book Antiqua" w:cs="宋体"/>
          <w:i/>
          <w:iCs/>
          <w:kern w:val="0"/>
          <w:sz w:val="24"/>
        </w:rPr>
        <w:t>Expert Rev Neurother</w:t>
      </w:r>
      <w:r w:rsidRPr="00133249">
        <w:rPr>
          <w:rFonts w:ascii="Book Antiqua" w:hAnsi="Book Antiqua" w:cs="宋体"/>
          <w:kern w:val="0"/>
          <w:sz w:val="24"/>
        </w:rPr>
        <w:t xml:space="preserve"> 2011; </w:t>
      </w:r>
      <w:r w:rsidRPr="00133249">
        <w:rPr>
          <w:rFonts w:ascii="Book Antiqua" w:hAnsi="Book Antiqua" w:cs="宋体"/>
          <w:b/>
          <w:bCs/>
          <w:kern w:val="0"/>
          <w:sz w:val="24"/>
        </w:rPr>
        <w:t>11</w:t>
      </w:r>
      <w:r w:rsidRPr="00133249">
        <w:rPr>
          <w:rFonts w:ascii="Book Antiqua" w:hAnsi="Book Antiqua" w:cs="宋体"/>
          <w:kern w:val="0"/>
          <w:sz w:val="24"/>
        </w:rPr>
        <w:t>: 1017-1028 [PMID: 21721918 DOI: 10.1586/ern]</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118 </w:t>
      </w:r>
      <w:r w:rsidRPr="00133249">
        <w:rPr>
          <w:rFonts w:ascii="Book Antiqua" w:hAnsi="Book Antiqua" w:cs="宋体"/>
          <w:b/>
          <w:bCs/>
          <w:kern w:val="0"/>
          <w:sz w:val="24"/>
        </w:rPr>
        <w:t>Schultze SM</w:t>
      </w:r>
      <w:r w:rsidRPr="00133249">
        <w:rPr>
          <w:rFonts w:ascii="Book Antiqua" w:hAnsi="Book Antiqua" w:cs="宋体"/>
          <w:kern w:val="0"/>
          <w:sz w:val="24"/>
        </w:rPr>
        <w:t xml:space="preserve">, Jensen J, Hemmings BA, Tschopp O, Niessen M. Promiscuous affairs of PKB/AKT isoforms in metabolism. </w:t>
      </w:r>
      <w:r w:rsidRPr="00133249">
        <w:rPr>
          <w:rFonts w:ascii="Book Antiqua" w:hAnsi="Book Antiqua" w:cs="宋体"/>
          <w:i/>
          <w:iCs/>
          <w:kern w:val="0"/>
          <w:sz w:val="24"/>
        </w:rPr>
        <w:t>Arch Physiol Biochem</w:t>
      </w:r>
      <w:r w:rsidRPr="00133249">
        <w:rPr>
          <w:rFonts w:ascii="Book Antiqua" w:hAnsi="Book Antiqua" w:cs="宋体"/>
          <w:kern w:val="0"/>
          <w:sz w:val="24"/>
        </w:rPr>
        <w:t xml:space="preserve"> 2011; </w:t>
      </w:r>
      <w:r w:rsidRPr="00133249">
        <w:rPr>
          <w:rFonts w:ascii="Book Antiqua" w:hAnsi="Book Antiqua" w:cs="宋体"/>
          <w:b/>
          <w:bCs/>
          <w:kern w:val="0"/>
          <w:sz w:val="24"/>
        </w:rPr>
        <w:t>117</w:t>
      </w:r>
      <w:r w:rsidRPr="00133249">
        <w:rPr>
          <w:rFonts w:ascii="Book Antiqua" w:hAnsi="Book Antiqua" w:cs="宋体"/>
          <w:kern w:val="0"/>
          <w:sz w:val="24"/>
        </w:rPr>
        <w:t>: 70-77 [PMID: 21214427 DOI: 10.3109/13813455.2010.539236]</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t xml:space="preserve">119 </w:t>
      </w:r>
      <w:r w:rsidRPr="00133249">
        <w:rPr>
          <w:rFonts w:ascii="Book Antiqua" w:hAnsi="Book Antiqua" w:cs="宋体"/>
          <w:b/>
          <w:bCs/>
          <w:kern w:val="0"/>
          <w:sz w:val="24"/>
        </w:rPr>
        <w:t>Cooray S</w:t>
      </w:r>
      <w:r w:rsidRPr="00133249">
        <w:rPr>
          <w:rFonts w:ascii="Book Antiqua" w:hAnsi="Book Antiqua" w:cs="宋体"/>
          <w:kern w:val="0"/>
          <w:sz w:val="24"/>
        </w:rPr>
        <w:t>.</w:t>
      </w:r>
      <w:proofErr w:type="gramEnd"/>
      <w:r w:rsidRPr="00133249">
        <w:rPr>
          <w:rFonts w:ascii="Book Antiqua" w:hAnsi="Book Antiqua" w:cs="宋体"/>
          <w:kern w:val="0"/>
          <w:sz w:val="24"/>
        </w:rPr>
        <w:t xml:space="preserve"> The pivotal role of phosphatidylinositol 3-kinase-Akt signal transduction in virus survival. </w:t>
      </w:r>
      <w:r w:rsidRPr="00133249">
        <w:rPr>
          <w:rFonts w:ascii="Book Antiqua" w:hAnsi="Book Antiqua" w:cs="宋体"/>
          <w:i/>
          <w:iCs/>
          <w:kern w:val="0"/>
          <w:sz w:val="24"/>
        </w:rPr>
        <w:t>J Gen Virol</w:t>
      </w:r>
      <w:r w:rsidRPr="00133249">
        <w:rPr>
          <w:rFonts w:ascii="Book Antiqua" w:hAnsi="Book Antiqua" w:cs="宋体"/>
          <w:kern w:val="0"/>
          <w:sz w:val="24"/>
        </w:rPr>
        <w:t xml:space="preserve"> 2004; </w:t>
      </w:r>
      <w:r w:rsidRPr="00133249">
        <w:rPr>
          <w:rFonts w:ascii="Book Antiqua" w:hAnsi="Book Antiqua" w:cs="宋体"/>
          <w:b/>
          <w:bCs/>
          <w:kern w:val="0"/>
          <w:sz w:val="24"/>
        </w:rPr>
        <w:t>85</w:t>
      </w:r>
      <w:r w:rsidRPr="00133249">
        <w:rPr>
          <w:rFonts w:ascii="Book Antiqua" w:hAnsi="Book Antiqua" w:cs="宋体"/>
          <w:kern w:val="0"/>
          <w:sz w:val="24"/>
        </w:rPr>
        <w:t>: 1065-1076 [PMID: 15105524]</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t xml:space="preserve">120 </w:t>
      </w:r>
      <w:r w:rsidRPr="00133249">
        <w:rPr>
          <w:rFonts w:ascii="Book Antiqua" w:hAnsi="Book Antiqua" w:cs="宋体"/>
          <w:b/>
          <w:bCs/>
          <w:kern w:val="0"/>
          <w:sz w:val="24"/>
        </w:rPr>
        <w:t>Laplante M</w:t>
      </w:r>
      <w:r w:rsidRPr="00133249">
        <w:rPr>
          <w:rFonts w:ascii="Book Antiqua" w:hAnsi="Book Antiqua" w:cs="宋体"/>
          <w:kern w:val="0"/>
          <w:sz w:val="24"/>
        </w:rPr>
        <w:t>, Sabatini DM. mTOR signaling in growth control and disease.</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Cell</w:t>
      </w:r>
      <w:r w:rsidRPr="00133249">
        <w:rPr>
          <w:rFonts w:ascii="Book Antiqua" w:hAnsi="Book Antiqua" w:cs="宋体"/>
          <w:kern w:val="0"/>
          <w:sz w:val="24"/>
        </w:rPr>
        <w:t xml:space="preserve"> 2012; </w:t>
      </w:r>
      <w:r w:rsidRPr="00133249">
        <w:rPr>
          <w:rFonts w:ascii="Book Antiqua" w:hAnsi="Book Antiqua" w:cs="宋体"/>
          <w:b/>
          <w:bCs/>
          <w:kern w:val="0"/>
          <w:sz w:val="24"/>
        </w:rPr>
        <w:t>149</w:t>
      </w:r>
      <w:r w:rsidRPr="00133249">
        <w:rPr>
          <w:rFonts w:ascii="Book Antiqua" w:hAnsi="Book Antiqua" w:cs="宋体"/>
          <w:kern w:val="0"/>
          <w:sz w:val="24"/>
        </w:rPr>
        <w:t>: 274-293 [PMID: 22500797 DOI: 10.1016/j.cell.2012.03.017]</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lastRenderedPageBreak/>
        <w:t xml:space="preserve">121 </w:t>
      </w:r>
      <w:r w:rsidRPr="00133249">
        <w:rPr>
          <w:rFonts w:ascii="Book Antiqua" w:hAnsi="Book Antiqua" w:cs="宋体"/>
          <w:b/>
          <w:bCs/>
          <w:kern w:val="0"/>
          <w:sz w:val="24"/>
        </w:rPr>
        <w:t>de la Monte SM</w:t>
      </w:r>
      <w:r w:rsidRPr="00133249">
        <w:rPr>
          <w:rFonts w:ascii="Book Antiqua" w:hAnsi="Book Antiqua" w:cs="宋体"/>
          <w:kern w:val="0"/>
          <w:sz w:val="24"/>
        </w:rPr>
        <w:t>. Brain insulin resistance and deficiency as therapeutic targets in Alzheimer's disease.</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Curr Alzheimer Res</w:t>
      </w:r>
      <w:r w:rsidRPr="00133249">
        <w:rPr>
          <w:rFonts w:ascii="Book Antiqua" w:hAnsi="Book Antiqua" w:cs="宋体"/>
          <w:kern w:val="0"/>
          <w:sz w:val="24"/>
        </w:rPr>
        <w:t xml:space="preserve"> 2012; </w:t>
      </w:r>
      <w:r w:rsidRPr="00133249">
        <w:rPr>
          <w:rFonts w:ascii="Book Antiqua" w:hAnsi="Book Antiqua" w:cs="宋体"/>
          <w:b/>
          <w:bCs/>
          <w:kern w:val="0"/>
          <w:sz w:val="24"/>
        </w:rPr>
        <w:t>9</w:t>
      </w:r>
      <w:r w:rsidRPr="00133249">
        <w:rPr>
          <w:rFonts w:ascii="Book Antiqua" w:hAnsi="Book Antiqua" w:cs="宋体"/>
          <w:kern w:val="0"/>
          <w:sz w:val="24"/>
        </w:rPr>
        <w:t>: 35-66 [PMID: 22329651]</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122 </w:t>
      </w:r>
      <w:r w:rsidRPr="00133249">
        <w:rPr>
          <w:rFonts w:ascii="Book Antiqua" w:hAnsi="Book Antiqua" w:cs="宋体"/>
          <w:b/>
          <w:bCs/>
          <w:kern w:val="0"/>
          <w:sz w:val="24"/>
        </w:rPr>
        <w:t>Hoshi M</w:t>
      </w:r>
      <w:r w:rsidRPr="00133249">
        <w:rPr>
          <w:rFonts w:ascii="Book Antiqua" w:hAnsi="Book Antiqua" w:cs="宋体"/>
          <w:kern w:val="0"/>
          <w:sz w:val="24"/>
        </w:rPr>
        <w:t xml:space="preserve">, Takashima A, Noguchi K, Murayama M, Sato M, Kondo S, Saitoh Y, Ishiguro K, Hoshino T, Imahori K. Regulation of mitochondrial pyruvate dehydrogenase activity by tau protein kinase I/glycogen synthase kinase 3beta in brain. </w:t>
      </w:r>
      <w:r w:rsidR="00E57732">
        <w:rPr>
          <w:rFonts w:ascii="Book Antiqua" w:hAnsi="Book Antiqua" w:cs="宋体"/>
          <w:i/>
          <w:iCs/>
          <w:kern w:val="0"/>
          <w:sz w:val="24"/>
        </w:rPr>
        <w:t>Proc Natl Acad Sci US</w:t>
      </w:r>
      <w:r w:rsidRPr="00133249">
        <w:rPr>
          <w:rFonts w:ascii="Book Antiqua" w:hAnsi="Book Antiqua" w:cs="宋体"/>
          <w:i/>
          <w:iCs/>
          <w:kern w:val="0"/>
          <w:sz w:val="24"/>
        </w:rPr>
        <w:t>A</w:t>
      </w:r>
      <w:r w:rsidRPr="00133249">
        <w:rPr>
          <w:rFonts w:ascii="Book Antiqua" w:hAnsi="Book Antiqua" w:cs="宋体"/>
          <w:kern w:val="0"/>
          <w:sz w:val="24"/>
        </w:rPr>
        <w:t xml:space="preserve"> 1996; </w:t>
      </w:r>
      <w:r w:rsidRPr="00133249">
        <w:rPr>
          <w:rFonts w:ascii="Book Antiqua" w:hAnsi="Book Antiqua" w:cs="宋体"/>
          <w:b/>
          <w:bCs/>
          <w:kern w:val="0"/>
          <w:sz w:val="24"/>
        </w:rPr>
        <w:t>93</w:t>
      </w:r>
      <w:r w:rsidRPr="00133249">
        <w:rPr>
          <w:rFonts w:ascii="Book Antiqua" w:hAnsi="Book Antiqua" w:cs="宋体"/>
          <w:kern w:val="0"/>
          <w:sz w:val="24"/>
        </w:rPr>
        <w:t>: 2719-2723 [PMID: 8610107]</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t xml:space="preserve">123 </w:t>
      </w:r>
      <w:r w:rsidRPr="00133249">
        <w:rPr>
          <w:rFonts w:ascii="Book Antiqua" w:hAnsi="Book Antiqua" w:cs="宋体"/>
          <w:b/>
          <w:bCs/>
          <w:kern w:val="0"/>
          <w:sz w:val="24"/>
        </w:rPr>
        <w:t>Hooper C</w:t>
      </w:r>
      <w:proofErr w:type="gramEnd"/>
      <w:r w:rsidRPr="00133249">
        <w:rPr>
          <w:rFonts w:ascii="Book Antiqua" w:hAnsi="Book Antiqua" w:cs="宋体"/>
          <w:kern w:val="0"/>
          <w:sz w:val="24"/>
        </w:rPr>
        <w:t xml:space="preserve">, Killick R, Lovestone S. </w:t>
      </w:r>
      <w:proofErr w:type="gramStart"/>
      <w:r w:rsidRPr="00133249">
        <w:rPr>
          <w:rFonts w:ascii="Book Antiqua" w:hAnsi="Book Antiqua" w:cs="宋体"/>
          <w:kern w:val="0"/>
          <w:sz w:val="24"/>
        </w:rPr>
        <w:t>The GSK3 hypothesis of Alzheimer's disease.</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J Neurochem</w:t>
      </w:r>
      <w:r w:rsidRPr="00133249">
        <w:rPr>
          <w:rFonts w:ascii="Book Antiqua" w:hAnsi="Book Antiqua" w:cs="宋体"/>
          <w:kern w:val="0"/>
          <w:sz w:val="24"/>
        </w:rPr>
        <w:t xml:space="preserve"> 2008; </w:t>
      </w:r>
      <w:r w:rsidRPr="00133249">
        <w:rPr>
          <w:rFonts w:ascii="Book Antiqua" w:hAnsi="Book Antiqua" w:cs="宋体"/>
          <w:b/>
          <w:bCs/>
          <w:kern w:val="0"/>
          <w:sz w:val="24"/>
        </w:rPr>
        <w:t>104</w:t>
      </w:r>
      <w:r w:rsidRPr="00133249">
        <w:rPr>
          <w:rFonts w:ascii="Book Antiqua" w:hAnsi="Book Antiqua" w:cs="宋体"/>
          <w:kern w:val="0"/>
          <w:sz w:val="24"/>
        </w:rPr>
        <w:t>: 1433-1439 [PMID: 18088381]</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t xml:space="preserve">124 </w:t>
      </w:r>
      <w:r w:rsidRPr="00133249">
        <w:rPr>
          <w:rFonts w:ascii="Book Antiqua" w:hAnsi="Book Antiqua" w:cs="宋体"/>
          <w:b/>
          <w:bCs/>
          <w:kern w:val="0"/>
          <w:sz w:val="24"/>
        </w:rPr>
        <w:t>Beurel E</w:t>
      </w:r>
      <w:r w:rsidRPr="00133249">
        <w:rPr>
          <w:rFonts w:ascii="Book Antiqua" w:hAnsi="Book Antiqua" w:cs="宋体"/>
          <w:kern w:val="0"/>
          <w:sz w:val="24"/>
        </w:rPr>
        <w:t>, Jope RS.</w:t>
      </w:r>
      <w:proofErr w:type="gramEnd"/>
      <w:r w:rsidRPr="00133249">
        <w:rPr>
          <w:rFonts w:ascii="Book Antiqua" w:hAnsi="Book Antiqua" w:cs="宋体"/>
          <w:kern w:val="0"/>
          <w:sz w:val="24"/>
        </w:rPr>
        <w:t xml:space="preserve"> </w:t>
      </w:r>
      <w:proofErr w:type="gramStart"/>
      <w:r w:rsidRPr="00133249">
        <w:rPr>
          <w:rFonts w:ascii="Book Antiqua" w:hAnsi="Book Antiqua" w:cs="宋体"/>
          <w:kern w:val="0"/>
          <w:sz w:val="24"/>
        </w:rPr>
        <w:t>The paradoxical pro- and anti-apoptotic actions of GSK3 in the intrinsic and extrinsic apoptosis signaling pathways.</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Prog Neurobiol</w:t>
      </w:r>
      <w:r w:rsidRPr="00133249">
        <w:rPr>
          <w:rFonts w:ascii="Book Antiqua" w:hAnsi="Book Antiqua" w:cs="宋体"/>
          <w:kern w:val="0"/>
          <w:sz w:val="24"/>
        </w:rPr>
        <w:t xml:space="preserve"> 2006; </w:t>
      </w:r>
      <w:r w:rsidRPr="00133249">
        <w:rPr>
          <w:rFonts w:ascii="Book Antiqua" w:hAnsi="Book Antiqua" w:cs="宋体"/>
          <w:b/>
          <w:bCs/>
          <w:kern w:val="0"/>
          <w:sz w:val="24"/>
        </w:rPr>
        <w:t>79</w:t>
      </w:r>
      <w:r w:rsidRPr="00133249">
        <w:rPr>
          <w:rFonts w:ascii="Book Antiqua" w:hAnsi="Book Antiqua" w:cs="宋体"/>
          <w:kern w:val="0"/>
          <w:sz w:val="24"/>
        </w:rPr>
        <w:t>: 173-189 [PMID: 16935409]</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125 </w:t>
      </w:r>
      <w:r w:rsidRPr="00133249">
        <w:rPr>
          <w:rFonts w:ascii="Book Antiqua" w:hAnsi="Book Antiqua" w:cs="宋体"/>
          <w:b/>
          <w:bCs/>
          <w:kern w:val="0"/>
          <w:sz w:val="24"/>
        </w:rPr>
        <w:t>Sun X</w:t>
      </w:r>
      <w:r w:rsidRPr="00133249">
        <w:rPr>
          <w:rFonts w:ascii="Book Antiqua" w:hAnsi="Book Antiqua" w:cs="宋体"/>
          <w:kern w:val="0"/>
          <w:sz w:val="24"/>
        </w:rPr>
        <w:t xml:space="preserve">, Sato S, Murayama O, Murayama M, Park JM, Yamaguchi H, Takashima A. Lithium inhibits amyloid secretion in COS7 cells transfected with amyloid precursor protein C100. </w:t>
      </w:r>
      <w:r w:rsidRPr="00133249">
        <w:rPr>
          <w:rFonts w:ascii="Book Antiqua" w:hAnsi="Book Antiqua" w:cs="宋体"/>
          <w:i/>
          <w:iCs/>
          <w:kern w:val="0"/>
          <w:sz w:val="24"/>
        </w:rPr>
        <w:t>Neurosci Lett</w:t>
      </w:r>
      <w:r w:rsidRPr="00133249">
        <w:rPr>
          <w:rFonts w:ascii="Book Antiqua" w:hAnsi="Book Antiqua" w:cs="宋体"/>
          <w:kern w:val="0"/>
          <w:sz w:val="24"/>
        </w:rPr>
        <w:t xml:space="preserve"> 2002; </w:t>
      </w:r>
      <w:r w:rsidRPr="00133249">
        <w:rPr>
          <w:rFonts w:ascii="Book Antiqua" w:hAnsi="Book Antiqua" w:cs="宋体"/>
          <w:b/>
          <w:bCs/>
          <w:kern w:val="0"/>
          <w:sz w:val="24"/>
        </w:rPr>
        <w:t>321</w:t>
      </w:r>
      <w:r w:rsidRPr="00133249">
        <w:rPr>
          <w:rFonts w:ascii="Book Antiqua" w:hAnsi="Book Antiqua" w:cs="宋体"/>
          <w:kern w:val="0"/>
          <w:sz w:val="24"/>
        </w:rPr>
        <w:t>: 61-64 [PMID: 11872257]</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126 </w:t>
      </w:r>
      <w:r w:rsidRPr="00133249">
        <w:rPr>
          <w:rFonts w:ascii="Book Antiqua" w:hAnsi="Book Antiqua" w:cs="宋体"/>
          <w:b/>
          <w:bCs/>
          <w:kern w:val="0"/>
          <w:sz w:val="24"/>
        </w:rPr>
        <w:t>Takashima A</w:t>
      </w:r>
      <w:r w:rsidRPr="00133249">
        <w:rPr>
          <w:rFonts w:ascii="Book Antiqua" w:hAnsi="Book Antiqua" w:cs="宋体"/>
          <w:kern w:val="0"/>
          <w:sz w:val="24"/>
        </w:rPr>
        <w:t xml:space="preserve">, Noguchi K, Sato K, Hoshino T, Imahori K. Tau protein kinase I is essential for amyloid beta-protein-induced neurotoxicity. </w:t>
      </w:r>
      <w:r w:rsidR="00E57732">
        <w:rPr>
          <w:rFonts w:ascii="Book Antiqua" w:hAnsi="Book Antiqua" w:cs="宋体"/>
          <w:i/>
          <w:iCs/>
          <w:kern w:val="0"/>
          <w:sz w:val="24"/>
        </w:rPr>
        <w:t>Proc Natl Acad Sci US</w:t>
      </w:r>
      <w:r w:rsidRPr="00133249">
        <w:rPr>
          <w:rFonts w:ascii="Book Antiqua" w:hAnsi="Book Antiqua" w:cs="宋体"/>
          <w:i/>
          <w:iCs/>
          <w:kern w:val="0"/>
          <w:sz w:val="24"/>
        </w:rPr>
        <w:t>A</w:t>
      </w:r>
      <w:r w:rsidRPr="00133249">
        <w:rPr>
          <w:rFonts w:ascii="Book Antiqua" w:hAnsi="Book Antiqua" w:cs="宋体"/>
          <w:kern w:val="0"/>
          <w:sz w:val="24"/>
        </w:rPr>
        <w:t xml:space="preserve"> 1993; </w:t>
      </w:r>
      <w:r w:rsidRPr="00133249">
        <w:rPr>
          <w:rFonts w:ascii="Book Antiqua" w:hAnsi="Book Antiqua" w:cs="宋体"/>
          <w:b/>
          <w:bCs/>
          <w:kern w:val="0"/>
          <w:sz w:val="24"/>
        </w:rPr>
        <w:t>90</w:t>
      </w:r>
      <w:r w:rsidRPr="00133249">
        <w:rPr>
          <w:rFonts w:ascii="Book Antiqua" w:hAnsi="Book Antiqua" w:cs="宋体"/>
          <w:kern w:val="0"/>
          <w:sz w:val="24"/>
        </w:rPr>
        <w:t>: 7789-7793 [PMID: 8356085]</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127 </w:t>
      </w:r>
      <w:proofErr w:type="gramStart"/>
      <w:r w:rsidRPr="00133249">
        <w:rPr>
          <w:rFonts w:ascii="Book Antiqua" w:hAnsi="Book Antiqua" w:cs="宋体"/>
          <w:b/>
          <w:bCs/>
          <w:kern w:val="0"/>
          <w:sz w:val="24"/>
        </w:rPr>
        <w:t>Hanger</w:t>
      </w:r>
      <w:proofErr w:type="gramEnd"/>
      <w:r w:rsidRPr="00133249">
        <w:rPr>
          <w:rFonts w:ascii="Book Antiqua" w:hAnsi="Book Antiqua" w:cs="宋体"/>
          <w:b/>
          <w:bCs/>
          <w:kern w:val="0"/>
          <w:sz w:val="24"/>
        </w:rPr>
        <w:t xml:space="preserve"> DP</w:t>
      </w:r>
      <w:r w:rsidRPr="00133249">
        <w:rPr>
          <w:rFonts w:ascii="Book Antiqua" w:hAnsi="Book Antiqua" w:cs="宋体"/>
          <w:kern w:val="0"/>
          <w:sz w:val="24"/>
        </w:rPr>
        <w:t xml:space="preserve">, Hughes K, Woodgett JR, Brion JP, Anderton BH. Glycogen synthase kinase-3 induces Alzheimer's disease-like phosphorylation of tau: generation of paired helical filament epitopes and neuronal localisation of the kinase. </w:t>
      </w:r>
      <w:r w:rsidRPr="00133249">
        <w:rPr>
          <w:rFonts w:ascii="Book Antiqua" w:hAnsi="Book Antiqua" w:cs="宋体"/>
          <w:i/>
          <w:iCs/>
          <w:kern w:val="0"/>
          <w:sz w:val="24"/>
        </w:rPr>
        <w:t>Neurosci Lett</w:t>
      </w:r>
      <w:r w:rsidRPr="00133249">
        <w:rPr>
          <w:rFonts w:ascii="Book Antiqua" w:hAnsi="Book Antiqua" w:cs="宋体"/>
          <w:kern w:val="0"/>
          <w:sz w:val="24"/>
        </w:rPr>
        <w:t xml:space="preserve"> 1992; </w:t>
      </w:r>
      <w:r w:rsidRPr="00133249">
        <w:rPr>
          <w:rFonts w:ascii="Book Antiqua" w:hAnsi="Book Antiqua" w:cs="宋体"/>
          <w:b/>
          <w:bCs/>
          <w:kern w:val="0"/>
          <w:sz w:val="24"/>
        </w:rPr>
        <w:t>147</w:t>
      </w:r>
      <w:r w:rsidRPr="00133249">
        <w:rPr>
          <w:rFonts w:ascii="Book Antiqua" w:hAnsi="Book Antiqua" w:cs="宋体"/>
          <w:kern w:val="0"/>
          <w:sz w:val="24"/>
        </w:rPr>
        <w:t>: 58-62 [PMID: 1336152]</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128 </w:t>
      </w:r>
      <w:r w:rsidRPr="00133249">
        <w:rPr>
          <w:rFonts w:ascii="Book Antiqua" w:hAnsi="Book Antiqua" w:cs="宋体"/>
          <w:b/>
          <w:bCs/>
          <w:kern w:val="0"/>
          <w:sz w:val="24"/>
        </w:rPr>
        <w:t>Ishiguro K</w:t>
      </w:r>
      <w:r w:rsidRPr="00133249">
        <w:rPr>
          <w:rFonts w:ascii="Book Antiqua" w:hAnsi="Book Antiqua" w:cs="宋体"/>
          <w:kern w:val="0"/>
          <w:sz w:val="24"/>
        </w:rPr>
        <w:t xml:space="preserve">, Omori A, Takamatsu M, Sato K, Arioka M, Uchida T, Imahori K. Phosphorylation sites on tau by tau protein kinase I, a bovine derived kinase generating an epitope of paired helical filaments. </w:t>
      </w:r>
      <w:r w:rsidRPr="00133249">
        <w:rPr>
          <w:rFonts w:ascii="Book Antiqua" w:hAnsi="Book Antiqua" w:cs="宋体"/>
          <w:i/>
          <w:iCs/>
          <w:kern w:val="0"/>
          <w:sz w:val="24"/>
        </w:rPr>
        <w:t>Neurosci Lett</w:t>
      </w:r>
      <w:r w:rsidRPr="00133249">
        <w:rPr>
          <w:rFonts w:ascii="Book Antiqua" w:hAnsi="Book Antiqua" w:cs="宋体"/>
          <w:kern w:val="0"/>
          <w:sz w:val="24"/>
        </w:rPr>
        <w:t xml:space="preserve"> 1992; </w:t>
      </w:r>
      <w:r w:rsidRPr="00133249">
        <w:rPr>
          <w:rFonts w:ascii="Book Antiqua" w:hAnsi="Book Antiqua" w:cs="宋体"/>
          <w:b/>
          <w:bCs/>
          <w:kern w:val="0"/>
          <w:sz w:val="24"/>
        </w:rPr>
        <w:t>148</w:t>
      </w:r>
      <w:r w:rsidRPr="00133249">
        <w:rPr>
          <w:rFonts w:ascii="Book Antiqua" w:hAnsi="Book Antiqua" w:cs="宋体"/>
          <w:kern w:val="0"/>
          <w:sz w:val="24"/>
        </w:rPr>
        <w:t>: 202-206 [PMID: 1284442]</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129 </w:t>
      </w:r>
      <w:r w:rsidRPr="00133249">
        <w:rPr>
          <w:rFonts w:ascii="Book Antiqua" w:hAnsi="Book Antiqua" w:cs="宋体"/>
          <w:b/>
          <w:bCs/>
          <w:kern w:val="0"/>
          <w:sz w:val="24"/>
        </w:rPr>
        <w:t>Lovestone S</w:t>
      </w:r>
      <w:r w:rsidRPr="00133249">
        <w:rPr>
          <w:rFonts w:ascii="Book Antiqua" w:hAnsi="Book Antiqua" w:cs="宋体"/>
          <w:kern w:val="0"/>
          <w:sz w:val="24"/>
        </w:rPr>
        <w:t xml:space="preserve">, Reynolds CH, Latimer D, Davis DR, Anderton BH, Gallo JM, Hanger D, Mulot S, Marquardt B, Stabel S. Alzheimer's disease-like phosphorylation of the microtubule-associated protein tau by glycogen synthase kinase-3 in transfected mammalian cells. </w:t>
      </w:r>
      <w:r w:rsidRPr="00133249">
        <w:rPr>
          <w:rFonts w:ascii="Book Antiqua" w:hAnsi="Book Antiqua" w:cs="宋体"/>
          <w:i/>
          <w:iCs/>
          <w:kern w:val="0"/>
          <w:sz w:val="24"/>
        </w:rPr>
        <w:t>Curr Biol</w:t>
      </w:r>
      <w:r w:rsidRPr="00133249">
        <w:rPr>
          <w:rFonts w:ascii="Book Antiqua" w:hAnsi="Book Antiqua" w:cs="宋体"/>
          <w:kern w:val="0"/>
          <w:sz w:val="24"/>
        </w:rPr>
        <w:t xml:space="preserve"> 1994; </w:t>
      </w:r>
      <w:r w:rsidRPr="00133249">
        <w:rPr>
          <w:rFonts w:ascii="Book Antiqua" w:hAnsi="Book Antiqua" w:cs="宋体"/>
          <w:b/>
          <w:bCs/>
          <w:kern w:val="0"/>
          <w:sz w:val="24"/>
        </w:rPr>
        <w:t>4</w:t>
      </w:r>
      <w:r w:rsidRPr="00133249">
        <w:rPr>
          <w:rFonts w:ascii="Book Antiqua" w:hAnsi="Book Antiqua" w:cs="宋体"/>
          <w:kern w:val="0"/>
          <w:sz w:val="24"/>
        </w:rPr>
        <w:t>: 1077-1086 [PMID: 7704571]</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lastRenderedPageBreak/>
        <w:t xml:space="preserve">130 </w:t>
      </w:r>
      <w:r w:rsidRPr="00133249">
        <w:rPr>
          <w:rFonts w:ascii="Book Antiqua" w:hAnsi="Book Antiqua" w:cs="宋体"/>
          <w:b/>
          <w:bCs/>
          <w:kern w:val="0"/>
          <w:sz w:val="24"/>
        </w:rPr>
        <w:t>Cho JH</w:t>
      </w:r>
      <w:r w:rsidRPr="00133249">
        <w:rPr>
          <w:rFonts w:ascii="Book Antiqua" w:hAnsi="Book Antiqua" w:cs="宋体"/>
          <w:kern w:val="0"/>
          <w:sz w:val="24"/>
        </w:rPr>
        <w:t xml:space="preserve">, Johnson GV. Glycogen synthase kinase 3beta phosphorylates tau at both primed and unprimed sites. </w:t>
      </w:r>
      <w:proofErr w:type="gramStart"/>
      <w:r w:rsidRPr="00133249">
        <w:rPr>
          <w:rFonts w:ascii="Book Antiqua" w:hAnsi="Book Antiqua" w:cs="宋体"/>
          <w:kern w:val="0"/>
          <w:sz w:val="24"/>
        </w:rPr>
        <w:t>Differential impact on microtubule binding.</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J Biol Chem</w:t>
      </w:r>
      <w:r w:rsidRPr="00133249">
        <w:rPr>
          <w:rFonts w:ascii="Book Antiqua" w:hAnsi="Book Antiqua" w:cs="宋体"/>
          <w:kern w:val="0"/>
          <w:sz w:val="24"/>
        </w:rPr>
        <w:t xml:space="preserve"> 2003; </w:t>
      </w:r>
      <w:r w:rsidRPr="00133249">
        <w:rPr>
          <w:rFonts w:ascii="Book Antiqua" w:hAnsi="Book Antiqua" w:cs="宋体"/>
          <w:b/>
          <w:bCs/>
          <w:kern w:val="0"/>
          <w:sz w:val="24"/>
        </w:rPr>
        <w:t>278</w:t>
      </w:r>
      <w:r w:rsidRPr="00133249">
        <w:rPr>
          <w:rFonts w:ascii="Book Antiqua" w:hAnsi="Book Antiqua" w:cs="宋体"/>
          <w:kern w:val="0"/>
          <w:sz w:val="24"/>
        </w:rPr>
        <w:t>: 187-193 [PMID: 12409305]</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131 </w:t>
      </w:r>
      <w:r w:rsidRPr="00133249">
        <w:rPr>
          <w:rFonts w:ascii="Book Antiqua" w:hAnsi="Book Antiqua" w:cs="宋体"/>
          <w:b/>
          <w:bCs/>
          <w:kern w:val="0"/>
          <w:sz w:val="24"/>
        </w:rPr>
        <w:t>Asuni AA</w:t>
      </w:r>
      <w:r w:rsidRPr="00133249">
        <w:rPr>
          <w:rFonts w:ascii="Book Antiqua" w:hAnsi="Book Antiqua" w:cs="宋体"/>
          <w:kern w:val="0"/>
          <w:sz w:val="24"/>
        </w:rPr>
        <w:t xml:space="preserve">, Hooper C, Reynolds CH, Lovestone S, Anderton BH, Killick R. GSK3alpha exhibits beta-catenin and tau directed kinase activities that are modulated by Wnt. </w:t>
      </w:r>
      <w:r w:rsidRPr="00133249">
        <w:rPr>
          <w:rFonts w:ascii="Book Antiqua" w:hAnsi="Book Antiqua" w:cs="宋体"/>
          <w:i/>
          <w:iCs/>
          <w:kern w:val="0"/>
          <w:sz w:val="24"/>
        </w:rPr>
        <w:t>Eur J Neurosci</w:t>
      </w:r>
      <w:r w:rsidRPr="00133249">
        <w:rPr>
          <w:rFonts w:ascii="Book Antiqua" w:hAnsi="Book Antiqua" w:cs="宋体"/>
          <w:kern w:val="0"/>
          <w:sz w:val="24"/>
        </w:rPr>
        <w:t xml:space="preserve"> 2006; </w:t>
      </w:r>
      <w:r w:rsidRPr="00133249">
        <w:rPr>
          <w:rFonts w:ascii="Book Antiqua" w:hAnsi="Book Antiqua" w:cs="宋体"/>
          <w:b/>
          <w:bCs/>
          <w:kern w:val="0"/>
          <w:sz w:val="24"/>
        </w:rPr>
        <w:t>24</w:t>
      </w:r>
      <w:r w:rsidRPr="00133249">
        <w:rPr>
          <w:rFonts w:ascii="Book Antiqua" w:hAnsi="Book Antiqua" w:cs="宋体"/>
          <w:kern w:val="0"/>
          <w:sz w:val="24"/>
        </w:rPr>
        <w:t>: 3387-3392 [PMID: 17229088]</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132 </w:t>
      </w:r>
      <w:r w:rsidRPr="00133249">
        <w:rPr>
          <w:rFonts w:ascii="Book Antiqua" w:hAnsi="Book Antiqua" w:cs="宋体"/>
          <w:b/>
          <w:bCs/>
          <w:kern w:val="0"/>
          <w:sz w:val="24"/>
        </w:rPr>
        <w:t>Llorens-Martín M</w:t>
      </w:r>
      <w:r w:rsidRPr="00133249">
        <w:rPr>
          <w:rFonts w:ascii="Book Antiqua" w:hAnsi="Book Antiqua" w:cs="宋体"/>
          <w:kern w:val="0"/>
          <w:sz w:val="24"/>
        </w:rPr>
        <w:t xml:space="preserve">, Fuster-Matanzo A, Teixeira CM, Jurado-Arjona J, Ulloa F, Defelipe J, Rábano A, Hernández F, Soriano E, Avila J. GSK-3β overexpression causes reversible alterations on postsynaptic densities and dendritic morphology of hippocampal granule neurons in vivo. </w:t>
      </w:r>
      <w:r w:rsidRPr="00133249">
        <w:rPr>
          <w:rFonts w:ascii="Book Antiqua" w:hAnsi="Book Antiqua" w:cs="宋体"/>
          <w:i/>
          <w:iCs/>
          <w:kern w:val="0"/>
          <w:sz w:val="24"/>
        </w:rPr>
        <w:t>Mol Psychiatry</w:t>
      </w:r>
      <w:r w:rsidRPr="00133249">
        <w:rPr>
          <w:rFonts w:ascii="Book Antiqua" w:hAnsi="Book Antiqua" w:cs="宋体"/>
          <w:kern w:val="0"/>
          <w:sz w:val="24"/>
        </w:rPr>
        <w:t xml:space="preserve"> 2013; </w:t>
      </w:r>
      <w:r w:rsidRPr="00133249">
        <w:rPr>
          <w:rFonts w:ascii="Book Antiqua" w:hAnsi="Book Antiqua" w:cs="宋体"/>
          <w:b/>
          <w:bCs/>
          <w:kern w:val="0"/>
          <w:sz w:val="24"/>
        </w:rPr>
        <w:t>18</w:t>
      </w:r>
      <w:r w:rsidRPr="00133249">
        <w:rPr>
          <w:rFonts w:ascii="Book Antiqua" w:hAnsi="Book Antiqua" w:cs="宋体"/>
          <w:kern w:val="0"/>
          <w:sz w:val="24"/>
        </w:rPr>
        <w:t>: 451-460 [PMID: 23399915 DOI: 10.1038/mp.2013.4]</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133 </w:t>
      </w:r>
      <w:r w:rsidRPr="00133249">
        <w:rPr>
          <w:rFonts w:ascii="Book Antiqua" w:hAnsi="Book Antiqua" w:cs="宋体"/>
          <w:b/>
          <w:bCs/>
          <w:kern w:val="0"/>
          <w:sz w:val="24"/>
        </w:rPr>
        <w:t>Abraham WC</w:t>
      </w:r>
      <w:r w:rsidRPr="00133249">
        <w:rPr>
          <w:rFonts w:ascii="Book Antiqua" w:hAnsi="Book Antiqua" w:cs="宋体"/>
          <w:kern w:val="0"/>
          <w:sz w:val="24"/>
        </w:rPr>
        <w:t xml:space="preserve">, Tate WP. Metaplasticity: a new vista across the field of synaptic plasticity. </w:t>
      </w:r>
      <w:r w:rsidRPr="00133249">
        <w:rPr>
          <w:rFonts w:ascii="Book Antiqua" w:hAnsi="Book Antiqua" w:cs="宋体"/>
          <w:i/>
          <w:iCs/>
          <w:kern w:val="0"/>
          <w:sz w:val="24"/>
        </w:rPr>
        <w:t>Prog Neurobiol</w:t>
      </w:r>
      <w:r w:rsidRPr="00133249">
        <w:rPr>
          <w:rFonts w:ascii="Book Antiqua" w:hAnsi="Book Antiqua" w:cs="宋体"/>
          <w:kern w:val="0"/>
          <w:sz w:val="24"/>
        </w:rPr>
        <w:t xml:space="preserve"> 1997; </w:t>
      </w:r>
      <w:r w:rsidRPr="00133249">
        <w:rPr>
          <w:rFonts w:ascii="Book Antiqua" w:hAnsi="Book Antiqua" w:cs="宋体"/>
          <w:b/>
          <w:bCs/>
          <w:kern w:val="0"/>
          <w:sz w:val="24"/>
        </w:rPr>
        <w:t>52</w:t>
      </w:r>
      <w:r w:rsidRPr="00133249">
        <w:rPr>
          <w:rFonts w:ascii="Book Antiqua" w:hAnsi="Book Antiqua" w:cs="宋体"/>
          <w:kern w:val="0"/>
          <w:sz w:val="24"/>
        </w:rPr>
        <w:t>: 303-323 [PMID: 9247968]</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134 </w:t>
      </w:r>
      <w:r w:rsidRPr="00133249">
        <w:rPr>
          <w:rFonts w:ascii="Book Antiqua" w:hAnsi="Book Antiqua" w:cs="宋体"/>
          <w:b/>
          <w:bCs/>
          <w:kern w:val="0"/>
          <w:sz w:val="24"/>
        </w:rPr>
        <w:t>Peineau S</w:t>
      </w:r>
      <w:r w:rsidRPr="00133249">
        <w:rPr>
          <w:rFonts w:ascii="Book Antiqua" w:hAnsi="Book Antiqua" w:cs="宋体"/>
          <w:kern w:val="0"/>
          <w:sz w:val="24"/>
        </w:rPr>
        <w:t xml:space="preserve">, Bradley C, Taghibiglou C, Doherty A, Bortolotto ZA, Wang YT, Collingridge GL. </w:t>
      </w:r>
      <w:proofErr w:type="gramStart"/>
      <w:r w:rsidRPr="00133249">
        <w:rPr>
          <w:rFonts w:ascii="Book Antiqua" w:hAnsi="Book Antiqua" w:cs="宋体"/>
          <w:kern w:val="0"/>
          <w:sz w:val="24"/>
        </w:rPr>
        <w:t>The role of GSK-3 in synaptic plasticity.</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Br J Pharmacol</w:t>
      </w:r>
      <w:r w:rsidRPr="00133249">
        <w:rPr>
          <w:rFonts w:ascii="Book Antiqua" w:hAnsi="Book Antiqua" w:cs="宋体"/>
          <w:kern w:val="0"/>
          <w:sz w:val="24"/>
        </w:rPr>
        <w:t xml:space="preserve"> 2008; </w:t>
      </w:r>
      <w:r w:rsidRPr="00133249">
        <w:rPr>
          <w:rFonts w:ascii="Book Antiqua" w:hAnsi="Book Antiqua" w:cs="宋体"/>
          <w:b/>
          <w:bCs/>
          <w:kern w:val="0"/>
          <w:sz w:val="24"/>
        </w:rPr>
        <w:t xml:space="preserve">153 </w:t>
      </w:r>
      <w:r w:rsidRPr="00694879">
        <w:rPr>
          <w:rFonts w:ascii="Book Antiqua" w:hAnsi="Book Antiqua" w:cs="宋体"/>
          <w:bCs/>
          <w:kern w:val="0"/>
          <w:sz w:val="24"/>
        </w:rPr>
        <w:t>Suppl 1</w:t>
      </w:r>
      <w:r w:rsidRPr="00694879">
        <w:rPr>
          <w:rFonts w:ascii="Book Antiqua" w:hAnsi="Book Antiqua" w:cs="宋体"/>
          <w:kern w:val="0"/>
          <w:sz w:val="24"/>
        </w:rPr>
        <w:t xml:space="preserve">: </w:t>
      </w:r>
      <w:r w:rsidRPr="00133249">
        <w:rPr>
          <w:rFonts w:ascii="Book Antiqua" w:hAnsi="Book Antiqua" w:cs="宋体"/>
          <w:kern w:val="0"/>
          <w:sz w:val="24"/>
        </w:rPr>
        <w:t>S428-S437 [PMID: 18311157 DOI: 10.1038/bjp.2008.2</w:t>
      </w:r>
      <w:r w:rsidR="007F309F">
        <w:rPr>
          <w:rFonts w:ascii="Book Antiqua" w:hAnsi="Book Antiqua" w:cs="宋体" w:hint="eastAsia"/>
          <w:kern w:val="0"/>
          <w:sz w:val="24"/>
        </w:rPr>
        <w:t>]</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t xml:space="preserve">135 </w:t>
      </w:r>
      <w:r w:rsidRPr="00133249">
        <w:rPr>
          <w:rFonts w:ascii="Book Antiqua" w:hAnsi="Book Antiqua" w:cs="宋体"/>
          <w:b/>
          <w:bCs/>
          <w:kern w:val="0"/>
          <w:sz w:val="24"/>
        </w:rPr>
        <w:t>Lucas FR</w:t>
      </w:r>
      <w:r w:rsidRPr="00133249">
        <w:rPr>
          <w:rFonts w:ascii="Book Antiqua" w:hAnsi="Book Antiqua" w:cs="宋体"/>
          <w:kern w:val="0"/>
          <w:sz w:val="24"/>
        </w:rPr>
        <w:t>, Goold RG, Gordon-Weeks PR, Salinas PC.</w:t>
      </w:r>
      <w:proofErr w:type="gramEnd"/>
      <w:r w:rsidRPr="00133249">
        <w:rPr>
          <w:rFonts w:ascii="Book Antiqua" w:hAnsi="Book Antiqua" w:cs="宋体"/>
          <w:kern w:val="0"/>
          <w:sz w:val="24"/>
        </w:rPr>
        <w:t xml:space="preserve"> Inhibition of GSK-3beta leading to the loss of phosphorylated MAP-1B is an early event in axonal remodelling induced by WNT-7a or lithium. </w:t>
      </w:r>
      <w:r w:rsidRPr="00133249">
        <w:rPr>
          <w:rFonts w:ascii="Book Antiqua" w:hAnsi="Book Antiqua" w:cs="宋体"/>
          <w:i/>
          <w:iCs/>
          <w:kern w:val="0"/>
          <w:sz w:val="24"/>
        </w:rPr>
        <w:t>J Cell Sci</w:t>
      </w:r>
      <w:r w:rsidRPr="00133249">
        <w:rPr>
          <w:rFonts w:ascii="Book Antiqua" w:hAnsi="Book Antiqua" w:cs="宋体"/>
          <w:kern w:val="0"/>
          <w:sz w:val="24"/>
        </w:rPr>
        <w:t xml:space="preserve"> 1998; </w:t>
      </w:r>
      <w:r w:rsidR="0085359A">
        <w:rPr>
          <w:rFonts w:ascii="Book Antiqua" w:hAnsi="Book Antiqua" w:cs="宋体"/>
          <w:b/>
          <w:bCs/>
          <w:kern w:val="0"/>
          <w:sz w:val="24"/>
        </w:rPr>
        <w:t xml:space="preserve">111 </w:t>
      </w:r>
      <w:r w:rsidR="0085359A" w:rsidRPr="0085359A">
        <w:rPr>
          <w:rFonts w:ascii="Book Antiqua" w:hAnsi="Book Antiqua" w:cs="宋体"/>
          <w:bCs/>
          <w:kern w:val="0"/>
          <w:sz w:val="24"/>
        </w:rPr>
        <w:t>(</w:t>
      </w:r>
      <w:r w:rsidRPr="0085359A">
        <w:rPr>
          <w:rFonts w:ascii="Book Antiqua" w:hAnsi="Book Antiqua" w:cs="宋体"/>
          <w:bCs/>
          <w:kern w:val="0"/>
          <w:sz w:val="24"/>
        </w:rPr>
        <w:t>Pt 10)</w:t>
      </w:r>
      <w:r w:rsidRPr="0085359A">
        <w:rPr>
          <w:rFonts w:ascii="Book Antiqua" w:hAnsi="Book Antiqua" w:cs="宋体"/>
          <w:kern w:val="0"/>
          <w:sz w:val="24"/>
        </w:rPr>
        <w:t>:</w:t>
      </w:r>
      <w:r w:rsidRPr="00133249">
        <w:rPr>
          <w:rFonts w:ascii="Book Antiqua" w:hAnsi="Book Antiqua" w:cs="宋体"/>
          <w:kern w:val="0"/>
          <w:sz w:val="24"/>
        </w:rPr>
        <w:t xml:space="preserve"> 1351-1361 [PMID: 9570753]</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t xml:space="preserve">136 </w:t>
      </w:r>
      <w:r w:rsidRPr="00133249">
        <w:rPr>
          <w:rFonts w:ascii="Book Antiqua" w:hAnsi="Book Antiqua" w:cs="宋体"/>
          <w:b/>
          <w:bCs/>
          <w:kern w:val="0"/>
          <w:sz w:val="24"/>
        </w:rPr>
        <w:t>Lin CH</w:t>
      </w:r>
      <w:r w:rsidRPr="00133249">
        <w:rPr>
          <w:rFonts w:ascii="Book Antiqua" w:hAnsi="Book Antiqua" w:cs="宋体"/>
          <w:kern w:val="0"/>
          <w:sz w:val="24"/>
        </w:rPr>
        <w:t>, Yeh SH, Lin CH, Lu KT, Leu TH, Chang WC, Gean PW.</w:t>
      </w:r>
      <w:proofErr w:type="gramEnd"/>
      <w:r w:rsidRPr="00133249">
        <w:rPr>
          <w:rFonts w:ascii="Book Antiqua" w:hAnsi="Book Antiqua" w:cs="宋体"/>
          <w:kern w:val="0"/>
          <w:sz w:val="24"/>
        </w:rPr>
        <w:t xml:space="preserve"> </w:t>
      </w:r>
      <w:proofErr w:type="gramStart"/>
      <w:r w:rsidRPr="00133249">
        <w:rPr>
          <w:rFonts w:ascii="Book Antiqua" w:hAnsi="Book Antiqua" w:cs="宋体"/>
          <w:kern w:val="0"/>
          <w:sz w:val="24"/>
        </w:rPr>
        <w:t>A role for the PI-3 kinase signaling pathway in fear conditioning and synaptic plasticity in the amygdala.</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Neuron</w:t>
      </w:r>
      <w:r w:rsidRPr="00133249">
        <w:rPr>
          <w:rFonts w:ascii="Book Antiqua" w:hAnsi="Book Antiqua" w:cs="宋体"/>
          <w:kern w:val="0"/>
          <w:sz w:val="24"/>
        </w:rPr>
        <w:t xml:space="preserve"> 2001; </w:t>
      </w:r>
      <w:r w:rsidRPr="00133249">
        <w:rPr>
          <w:rFonts w:ascii="Book Antiqua" w:hAnsi="Book Antiqua" w:cs="宋体"/>
          <w:b/>
          <w:bCs/>
          <w:kern w:val="0"/>
          <w:sz w:val="24"/>
        </w:rPr>
        <w:t>31</w:t>
      </w:r>
      <w:r w:rsidRPr="00133249">
        <w:rPr>
          <w:rFonts w:ascii="Book Antiqua" w:hAnsi="Book Antiqua" w:cs="宋体"/>
          <w:kern w:val="0"/>
          <w:sz w:val="24"/>
        </w:rPr>
        <w:t>: 841-851 [PMID: 11567621]</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137 </w:t>
      </w:r>
      <w:r w:rsidRPr="00133249">
        <w:rPr>
          <w:rFonts w:ascii="Book Antiqua" w:hAnsi="Book Antiqua" w:cs="宋体"/>
          <w:b/>
          <w:bCs/>
          <w:kern w:val="0"/>
          <w:sz w:val="24"/>
        </w:rPr>
        <w:t>Daw MI</w:t>
      </w:r>
      <w:r w:rsidRPr="00133249">
        <w:rPr>
          <w:rFonts w:ascii="Book Antiqua" w:hAnsi="Book Antiqua" w:cs="宋体"/>
          <w:kern w:val="0"/>
          <w:sz w:val="24"/>
        </w:rPr>
        <w:t xml:space="preserve">, Bortolotto ZA, Saulle E, Zaman S, Collingridge GL, Isaac JT. Phosphatidylinositol 3 kinase regulates synapse specificity of hippocampal long-term depression. </w:t>
      </w:r>
      <w:r w:rsidRPr="00133249">
        <w:rPr>
          <w:rFonts w:ascii="Book Antiqua" w:hAnsi="Book Antiqua" w:cs="宋体"/>
          <w:i/>
          <w:iCs/>
          <w:kern w:val="0"/>
          <w:sz w:val="24"/>
        </w:rPr>
        <w:t>Nat Neurosci</w:t>
      </w:r>
      <w:r w:rsidRPr="00133249">
        <w:rPr>
          <w:rFonts w:ascii="Book Antiqua" w:hAnsi="Book Antiqua" w:cs="宋体"/>
          <w:kern w:val="0"/>
          <w:sz w:val="24"/>
        </w:rPr>
        <w:t xml:space="preserve"> 2002; </w:t>
      </w:r>
      <w:r w:rsidRPr="00133249">
        <w:rPr>
          <w:rFonts w:ascii="Book Antiqua" w:hAnsi="Book Antiqua" w:cs="宋体"/>
          <w:b/>
          <w:bCs/>
          <w:kern w:val="0"/>
          <w:sz w:val="24"/>
        </w:rPr>
        <w:t>5</w:t>
      </w:r>
      <w:r w:rsidRPr="00133249">
        <w:rPr>
          <w:rFonts w:ascii="Book Antiqua" w:hAnsi="Book Antiqua" w:cs="宋体"/>
          <w:kern w:val="0"/>
          <w:sz w:val="24"/>
        </w:rPr>
        <w:t>: 835-836 [PMID: 12161757]</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138 </w:t>
      </w:r>
      <w:r w:rsidRPr="00133249">
        <w:rPr>
          <w:rFonts w:ascii="Book Antiqua" w:hAnsi="Book Antiqua" w:cs="宋体"/>
          <w:b/>
          <w:bCs/>
          <w:kern w:val="0"/>
          <w:sz w:val="24"/>
        </w:rPr>
        <w:t>Sanna PP</w:t>
      </w:r>
      <w:r w:rsidRPr="00133249">
        <w:rPr>
          <w:rFonts w:ascii="Book Antiqua" w:hAnsi="Book Antiqua" w:cs="宋体"/>
          <w:kern w:val="0"/>
          <w:sz w:val="24"/>
        </w:rPr>
        <w:t xml:space="preserve">, Cammalleri M, Berton F, Simpson C, Lutjens R, Bloom FE, Francesconi W. Phosphatidylinositol 3-kinase is required for the expression but not for the induction or the maintenance of long-term potentiation in the hippocampal CA1 region. </w:t>
      </w:r>
      <w:r w:rsidRPr="00133249">
        <w:rPr>
          <w:rFonts w:ascii="Book Antiqua" w:hAnsi="Book Antiqua" w:cs="宋体"/>
          <w:i/>
          <w:iCs/>
          <w:kern w:val="0"/>
          <w:sz w:val="24"/>
        </w:rPr>
        <w:t>J Neurosci</w:t>
      </w:r>
      <w:r w:rsidRPr="00133249">
        <w:rPr>
          <w:rFonts w:ascii="Book Antiqua" w:hAnsi="Book Antiqua" w:cs="宋体"/>
          <w:kern w:val="0"/>
          <w:sz w:val="24"/>
        </w:rPr>
        <w:t xml:space="preserve"> 2002; </w:t>
      </w:r>
      <w:r w:rsidRPr="00133249">
        <w:rPr>
          <w:rFonts w:ascii="Book Antiqua" w:hAnsi="Book Antiqua" w:cs="宋体"/>
          <w:b/>
          <w:bCs/>
          <w:kern w:val="0"/>
          <w:sz w:val="24"/>
        </w:rPr>
        <w:t>22</w:t>
      </w:r>
      <w:r w:rsidRPr="00133249">
        <w:rPr>
          <w:rFonts w:ascii="Book Antiqua" w:hAnsi="Book Antiqua" w:cs="宋体"/>
          <w:kern w:val="0"/>
          <w:sz w:val="24"/>
        </w:rPr>
        <w:t>: 3359-3365 [PMID: 11978812]</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lastRenderedPageBreak/>
        <w:t xml:space="preserve">139 </w:t>
      </w:r>
      <w:r w:rsidRPr="00133249">
        <w:rPr>
          <w:rFonts w:ascii="Book Antiqua" w:hAnsi="Book Antiqua" w:cs="宋体"/>
          <w:b/>
          <w:bCs/>
          <w:kern w:val="0"/>
          <w:sz w:val="24"/>
        </w:rPr>
        <w:t>Liu SJ</w:t>
      </w:r>
      <w:r w:rsidRPr="00133249">
        <w:rPr>
          <w:rFonts w:ascii="Book Antiqua" w:hAnsi="Book Antiqua" w:cs="宋体"/>
          <w:kern w:val="0"/>
          <w:sz w:val="24"/>
        </w:rPr>
        <w:t xml:space="preserve">, Zhang AH, Li HL, Wang Q, Deng HM, Netzer WJ, Xu H, Wang JZ. Overactivation of glycogen synthase kinase-3 by inhibition of phosphoinositol-3 kinase and protein kinase C leads to hyperphosphorylation of tau and impairment of spatial memory. </w:t>
      </w:r>
      <w:r w:rsidRPr="00133249">
        <w:rPr>
          <w:rFonts w:ascii="Book Antiqua" w:hAnsi="Book Antiqua" w:cs="宋体"/>
          <w:i/>
          <w:iCs/>
          <w:kern w:val="0"/>
          <w:sz w:val="24"/>
        </w:rPr>
        <w:t>J Neurochem</w:t>
      </w:r>
      <w:r w:rsidRPr="00133249">
        <w:rPr>
          <w:rFonts w:ascii="Book Antiqua" w:hAnsi="Book Antiqua" w:cs="宋体"/>
          <w:kern w:val="0"/>
          <w:sz w:val="24"/>
        </w:rPr>
        <w:t xml:space="preserve"> 2003; </w:t>
      </w:r>
      <w:r w:rsidRPr="00133249">
        <w:rPr>
          <w:rFonts w:ascii="Book Antiqua" w:hAnsi="Book Antiqua" w:cs="宋体"/>
          <w:b/>
          <w:bCs/>
          <w:kern w:val="0"/>
          <w:sz w:val="24"/>
        </w:rPr>
        <w:t>87</w:t>
      </w:r>
      <w:r w:rsidRPr="00133249">
        <w:rPr>
          <w:rFonts w:ascii="Book Antiqua" w:hAnsi="Book Antiqua" w:cs="宋体"/>
          <w:kern w:val="0"/>
          <w:sz w:val="24"/>
        </w:rPr>
        <w:t>: 1333-1344 [PMID: 14713290]</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140 </w:t>
      </w:r>
      <w:r w:rsidRPr="00133249">
        <w:rPr>
          <w:rFonts w:ascii="Book Antiqua" w:hAnsi="Book Antiqua" w:cs="宋体"/>
          <w:b/>
          <w:bCs/>
          <w:kern w:val="0"/>
          <w:sz w:val="24"/>
        </w:rPr>
        <w:t>Kimura T</w:t>
      </w:r>
      <w:r w:rsidRPr="00133249">
        <w:rPr>
          <w:rFonts w:ascii="Book Antiqua" w:hAnsi="Book Antiqua" w:cs="宋体"/>
          <w:kern w:val="0"/>
          <w:sz w:val="24"/>
        </w:rPr>
        <w:t xml:space="preserve">, Yamashita S, Nakao S, Park JM, Murayama M, Mizoroki T, Yoshiike Y, Sahara N, Takashima A. GSK-3beta is required for memory reconsolidation in adult brain. </w:t>
      </w:r>
      <w:r w:rsidRPr="00133249">
        <w:rPr>
          <w:rFonts w:ascii="Book Antiqua" w:hAnsi="Book Antiqua" w:cs="宋体"/>
          <w:i/>
          <w:iCs/>
          <w:kern w:val="0"/>
          <w:sz w:val="24"/>
        </w:rPr>
        <w:t>PLoS One</w:t>
      </w:r>
      <w:r w:rsidRPr="00133249">
        <w:rPr>
          <w:rFonts w:ascii="Book Antiqua" w:hAnsi="Book Antiqua" w:cs="宋体"/>
          <w:kern w:val="0"/>
          <w:sz w:val="24"/>
        </w:rPr>
        <w:t xml:space="preserve"> 2008; </w:t>
      </w:r>
      <w:r w:rsidRPr="00133249">
        <w:rPr>
          <w:rFonts w:ascii="Book Antiqua" w:hAnsi="Book Antiqua" w:cs="宋体"/>
          <w:b/>
          <w:bCs/>
          <w:kern w:val="0"/>
          <w:sz w:val="24"/>
        </w:rPr>
        <w:t>3</w:t>
      </w:r>
      <w:r w:rsidRPr="00133249">
        <w:rPr>
          <w:rFonts w:ascii="Book Antiqua" w:hAnsi="Book Antiqua" w:cs="宋体"/>
          <w:kern w:val="0"/>
          <w:sz w:val="24"/>
        </w:rPr>
        <w:t>: e3540 [PMID: 18958152 DOI: 10.1371/journal.pone.0003540]</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141 </w:t>
      </w:r>
      <w:r w:rsidRPr="00133249">
        <w:rPr>
          <w:rFonts w:ascii="Book Antiqua" w:hAnsi="Book Antiqua" w:cs="宋体"/>
          <w:b/>
          <w:bCs/>
          <w:kern w:val="0"/>
          <w:sz w:val="24"/>
        </w:rPr>
        <w:t>Chen P</w:t>
      </w:r>
      <w:r w:rsidRPr="00133249">
        <w:rPr>
          <w:rFonts w:ascii="Book Antiqua" w:hAnsi="Book Antiqua" w:cs="宋体"/>
          <w:kern w:val="0"/>
          <w:sz w:val="24"/>
        </w:rPr>
        <w:t xml:space="preserve">, Gu Z, Liu W, Yan Z. Glycogen synthase kinase 3 regulates N-methyl-D-aspartate receptor channel trafficking and function in cortical neurons. </w:t>
      </w:r>
      <w:r w:rsidRPr="00133249">
        <w:rPr>
          <w:rFonts w:ascii="Book Antiqua" w:hAnsi="Book Antiqua" w:cs="宋体"/>
          <w:i/>
          <w:iCs/>
          <w:kern w:val="0"/>
          <w:sz w:val="24"/>
        </w:rPr>
        <w:t>Mol Pharmacol</w:t>
      </w:r>
      <w:r w:rsidRPr="00133249">
        <w:rPr>
          <w:rFonts w:ascii="Book Antiqua" w:hAnsi="Book Antiqua" w:cs="宋体"/>
          <w:kern w:val="0"/>
          <w:sz w:val="24"/>
        </w:rPr>
        <w:t xml:space="preserve"> 2007; </w:t>
      </w:r>
      <w:r w:rsidRPr="00133249">
        <w:rPr>
          <w:rFonts w:ascii="Book Antiqua" w:hAnsi="Book Antiqua" w:cs="宋体"/>
          <w:b/>
          <w:bCs/>
          <w:kern w:val="0"/>
          <w:sz w:val="24"/>
        </w:rPr>
        <w:t>72</w:t>
      </w:r>
      <w:r w:rsidRPr="00133249">
        <w:rPr>
          <w:rFonts w:ascii="Book Antiqua" w:hAnsi="Book Antiqua" w:cs="宋体"/>
          <w:kern w:val="0"/>
          <w:sz w:val="24"/>
        </w:rPr>
        <w:t>: 40-51 [PMID: 17400762]</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142 </w:t>
      </w:r>
      <w:r w:rsidRPr="00133249">
        <w:rPr>
          <w:rFonts w:ascii="Book Antiqua" w:hAnsi="Book Antiqua" w:cs="宋体"/>
          <w:b/>
          <w:bCs/>
          <w:kern w:val="0"/>
          <w:sz w:val="24"/>
        </w:rPr>
        <w:t>Wei J</w:t>
      </w:r>
      <w:r w:rsidRPr="00133249">
        <w:rPr>
          <w:rFonts w:ascii="Book Antiqua" w:hAnsi="Book Antiqua" w:cs="宋体"/>
          <w:kern w:val="0"/>
          <w:sz w:val="24"/>
        </w:rPr>
        <w:t xml:space="preserve">, Liu W, Yan Z. Regulation of AMPA receptor trafficking and function by glycogen synthase kinase 3. </w:t>
      </w:r>
      <w:r w:rsidRPr="00133249">
        <w:rPr>
          <w:rFonts w:ascii="Book Antiqua" w:hAnsi="Book Antiqua" w:cs="宋体"/>
          <w:i/>
          <w:iCs/>
          <w:kern w:val="0"/>
          <w:sz w:val="24"/>
        </w:rPr>
        <w:t>J Biol Chem</w:t>
      </w:r>
      <w:r w:rsidRPr="00133249">
        <w:rPr>
          <w:rFonts w:ascii="Book Antiqua" w:hAnsi="Book Antiqua" w:cs="宋体"/>
          <w:kern w:val="0"/>
          <w:sz w:val="24"/>
        </w:rPr>
        <w:t xml:space="preserve"> 2010; </w:t>
      </w:r>
      <w:r w:rsidRPr="00133249">
        <w:rPr>
          <w:rFonts w:ascii="Book Antiqua" w:hAnsi="Book Antiqua" w:cs="宋体"/>
          <w:b/>
          <w:bCs/>
          <w:kern w:val="0"/>
          <w:sz w:val="24"/>
        </w:rPr>
        <w:t>285</w:t>
      </w:r>
      <w:r w:rsidRPr="00133249">
        <w:rPr>
          <w:rFonts w:ascii="Book Antiqua" w:hAnsi="Book Antiqua" w:cs="宋体"/>
          <w:kern w:val="0"/>
          <w:sz w:val="24"/>
        </w:rPr>
        <w:t>: 26369-26376 [PMID: 20584904 DOI: 10.1074/jbc.M110.121376]</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143 </w:t>
      </w:r>
      <w:r w:rsidRPr="00133249">
        <w:rPr>
          <w:rFonts w:ascii="Book Antiqua" w:hAnsi="Book Antiqua" w:cs="宋体"/>
          <w:b/>
          <w:bCs/>
          <w:kern w:val="0"/>
          <w:sz w:val="24"/>
        </w:rPr>
        <w:t>Koivisto L</w:t>
      </w:r>
      <w:r w:rsidRPr="00133249">
        <w:rPr>
          <w:rFonts w:ascii="Book Antiqua" w:hAnsi="Book Antiqua" w:cs="宋体"/>
          <w:kern w:val="0"/>
          <w:sz w:val="24"/>
        </w:rPr>
        <w:t xml:space="preserve">, Häkkinen L, Matsumoto K, McCulloch CA, Yamada KM, Larjava H. Glycogen synthase kinase-3 regulates cytoskeleton and translocation of Rac1 in long cellular extensions of human keratinocytes. </w:t>
      </w:r>
      <w:r w:rsidRPr="00133249">
        <w:rPr>
          <w:rFonts w:ascii="Book Antiqua" w:hAnsi="Book Antiqua" w:cs="宋体"/>
          <w:i/>
          <w:iCs/>
          <w:kern w:val="0"/>
          <w:sz w:val="24"/>
        </w:rPr>
        <w:t>Exp Cell Res</w:t>
      </w:r>
      <w:r w:rsidRPr="00133249">
        <w:rPr>
          <w:rFonts w:ascii="Book Antiqua" w:hAnsi="Book Antiqua" w:cs="宋体"/>
          <w:kern w:val="0"/>
          <w:sz w:val="24"/>
        </w:rPr>
        <w:t xml:space="preserve"> 2004; </w:t>
      </w:r>
      <w:r w:rsidRPr="00133249">
        <w:rPr>
          <w:rFonts w:ascii="Book Antiqua" w:hAnsi="Book Antiqua" w:cs="宋体"/>
          <w:b/>
          <w:bCs/>
          <w:kern w:val="0"/>
          <w:sz w:val="24"/>
        </w:rPr>
        <w:t>293</w:t>
      </w:r>
      <w:r w:rsidRPr="00133249">
        <w:rPr>
          <w:rFonts w:ascii="Book Antiqua" w:hAnsi="Book Antiqua" w:cs="宋体"/>
          <w:kern w:val="0"/>
          <w:sz w:val="24"/>
        </w:rPr>
        <w:t>: 68-80 [PMID: 14729058]</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144 </w:t>
      </w:r>
      <w:r w:rsidRPr="00133249">
        <w:rPr>
          <w:rFonts w:ascii="Book Antiqua" w:hAnsi="Book Antiqua" w:cs="宋体"/>
          <w:b/>
          <w:bCs/>
          <w:kern w:val="0"/>
          <w:sz w:val="24"/>
        </w:rPr>
        <w:t>Sirerol-Piquer M</w:t>
      </w:r>
      <w:r w:rsidRPr="00133249">
        <w:rPr>
          <w:rFonts w:ascii="Book Antiqua" w:hAnsi="Book Antiqua" w:cs="宋体"/>
          <w:kern w:val="0"/>
          <w:sz w:val="24"/>
        </w:rPr>
        <w:t xml:space="preserve">, Gomez-Ramos P, Hernández F, Perez M, Morán MA, Fuster-Matanzo A, Lucas JJ, Avila J, García-Verdugo JM. GSK3β overexpression induces neuronal death and a depletion of the neurogenic niches in the dentate gyrus. </w:t>
      </w:r>
      <w:r w:rsidRPr="00133249">
        <w:rPr>
          <w:rFonts w:ascii="Book Antiqua" w:hAnsi="Book Antiqua" w:cs="宋体"/>
          <w:i/>
          <w:iCs/>
          <w:kern w:val="0"/>
          <w:sz w:val="24"/>
        </w:rPr>
        <w:t>Hippocampus</w:t>
      </w:r>
      <w:r w:rsidRPr="00133249">
        <w:rPr>
          <w:rFonts w:ascii="Book Antiqua" w:hAnsi="Book Antiqua" w:cs="宋体"/>
          <w:kern w:val="0"/>
          <w:sz w:val="24"/>
        </w:rPr>
        <w:t xml:space="preserve"> 2011; </w:t>
      </w:r>
      <w:r w:rsidRPr="00133249">
        <w:rPr>
          <w:rFonts w:ascii="Book Antiqua" w:hAnsi="Book Antiqua" w:cs="宋体"/>
          <w:b/>
          <w:bCs/>
          <w:kern w:val="0"/>
          <w:sz w:val="24"/>
        </w:rPr>
        <w:t>21</w:t>
      </w:r>
      <w:r w:rsidRPr="00133249">
        <w:rPr>
          <w:rFonts w:ascii="Book Antiqua" w:hAnsi="Book Antiqua" w:cs="宋体"/>
          <w:kern w:val="0"/>
          <w:sz w:val="24"/>
        </w:rPr>
        <w:t>: 910-922 [PMID: 20575007 DOI: 10.1002/hipo.20805]</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145 </w:t>
      </w:r>
      <w:r w:rsidRPr="00133249">
        <w:rPr>
          <w:rFonts w:ascii="Book Antiqua" w:hAnsi="Book Antiqua" w:cs="宋体"/>
          <w:b/>
          <w:bCs/>
          <w:kern w:val="0"/>
          <w:sz w:val="24"/>
        </w:rPr>
        <w:t>Fuster-Matanzo A</w:t>
      </w:r>
      <w:r w:rsidRPr="00133249">
        <w:rPr>
          <w:rFonts w:ascii="Book Antiqua" w:hAnsi="Book Antiqua" w:cs="宋体"/>
          <w:kern w:val="0"/>
          <w:sz w:val="24"/>
        </w:rPr>
        <w:t xml:space="preserve">, Llorens-Martín M, Sirerol-Piquer MS, García-Verdugo JM, Avila J, Hernández F. Dual effects of increased glycogen synthase kinase-3β activity on adult neurogenesis. </w:t>
      </w:r>
      <w:r w:rsidRPr="00133249">
        <w:rPr>
          <w:rFonts w:ascii="Book Antiqua" w:hAnsi="Book Antiqua" w:cs="宋体"/>
          <w:i/>
          <w:iCs/>
          <w:kern w:val="0"/>
          <w:sz w:val="24"/>
        </w:rPr>
        <w:t>Hum Mol Genet</w:t>
      </w:r>
      <w:r w:rsidRPr="00133249">
        <w:rPr>
          <w:rFonts w:ascii="Book Antiqua" w:hAnsi="Book Antiqua" w:cs="宋体"/>
          <w:kern w:val="0"/>
          <w:sz w:val="24"/>
        </w:rPr>
        <w:t xml:space="preserve"> 2013; </w:t>
      </w:r>
      <w:r w:rsidRPr="00133249">
        <w:rPr>
          <w:rFonts w:ascii="Book Antiqua" w:hAnsi="Book Antiqua" w:cs="宋体"/>
          <w:b/>
          <w:bCs/>
          <w:kern w:val="0"/>
          <w:sz w:val="24"/>
        </w:rPr>
        <w:t>22</w:t>
      </w:r>
      <w:r w:rsidRPr="00133249">
        <w:rPr>
          <w:rFonts w:ascii="Book Antiqua" w:hAnsi="Book Antiqua" w:cs="宋体"/>
          <w:kern w:val="0"/>
          <w:sz w:val="24"/>
        </w:rPr>
        <w:t>: 1300-1315 [PMID: 23257288 DOI: 10.1093/hmg/dds533]</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146 </w:t>
      </w:r>
      <w:r w:rsidRPr="00133249">
        <w:rPr>
          <w:rFonts w:ascii="Book Antiqua" w:hAnsi="Book Antiqua" w:cs="宋体"/>
          <w:b/>
          <w:bCs/>
          <w:kern w:val="0"/>
          <w:sz w:val="24"/>
        </w:rPr>
        <w:t>Martin M</w:t>
      </w:r>
      <w:r w:rsidRPr="00133249">
        <w:rPr>
          <w:rFonts w:ascii="Book Antiqua" w:hAnsi="Book Antiqua" w:cs="宋体"/>
          <w:kern w:val="0"/>
          <w:sz w:val="24"/>
        </w:rPr>
        <w:t xml:space="preserve">, Rehani K, Jope RS, Michalek SM. Toll-like receptor-mediated cytokine production is differentially regulated by glycogen synthase kinase 3. </w:t>
      </w:r>
      <w:r w:rsidRPr="00133249">
        <w:rPr>
          <w:rFonts w:ascii="Book Antiqua" w:hAnsi="Book Antiqua" w:cs="宋体"/>
          <w:i/>
          <w:iCs/>
          <w:kern w:val="0"/>
          <w:sz w:val="24"/>
        </w:rPr>
        <w:t>Nat Immunol</w:t>
      </w:r>
      <w:r w:rsidRPr="00133249">
        <w:rPr>
          <w:rFonts w:ascii="Book Antiqua" w:hAnsi="Book Antiqua" w:cs="宋体"/>
          <w:kern w:val="0"/>
          <w:sz w:val="24"/>
        </w:rPr>
        <w:t xml:space="preserve"> 2005; </w:t>
      </w:r>
      <w:r w:rsidRPr="00133249">
        <w:rPr>
          <w:rFonts w:ascii="Book Antiqua" w:hAnsi="Book Antiqua" w:cs="宋体"/>
          <w:b/>
          <w:bCs/>
          <w:kern w:val="0"/>
          <w:sz w:val="24"/>
        </w:rPr>
        <w:t>6</w:t>
      </w:r>
      <w:r w:rsidRPr="00133249">
        <w:rPr>
          <w:rFonts w:ascii="Book Antiqua" w:hAnsi="Book Antiqua" w:cs="宋体"/>
          <w:kern w:val="0"/>
          <w:sz w:val="24"/>
        </w:rPr>
        <w:t>: 777-784 [PMID: 16007092]</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147 </w:t>
      </w:r>
      <w:r w:rsidRPr="00133249">
        <w:rPr>
          <w:rFonts w:ascii="Book Antiqua" w:hAnsi="Book Antiqua" w:cs="宋体"/>
          <w:b/>
          <w:bCs/>
          <w:kern w:val="0"/>
          <w:sz w:val="24"/>
        </w:rPr>
        <w:t>Jope RS</w:t>
      </w:r>
      <w:r w:rsidRPr="00133249">
        <w:rPr>
          <w:rFonts w:ascii="Book Antiqua" w:hAnsi="Book Antiqua" w:cs="宋体"/>
          <w:kern w:val="0"/>
          <w:sz w:val="24"/>
        </w:rPr>
        <w:t xml:space="preserve">, Yuskaitis CJ, Beurel E. Glycogen synthase kinase-3 (GSK3): inflammation, diseases, and therapeutics. </w:t>
      </w:r>
      <w:r w:rsidRPr="00133249">
        <w:rPr>
          <w:rFonts w:ascii="Book Antiqua" w:hAnsi="Book Antiqua" w:cs="宋体"/>
          <w:i/>
          <w:iCs/>
          <w:kern w:val="0"/>
          <w:sz w:val="24"/>
        </w:rPr>
        <w:t>Neurochem Res</w:t>
      </w:r>
      <w:r w:rsidRPr="00133249">
        <w:rPr>
          <w:rFonts w:ascii="Book Antiqua" w:hAnsi="Book Antiqua" w:cs="宋体"/>
          <w:kern w:val="0"/>
          <w:sz w:val="24"/>
        </w:rPr>
        <w:t xml:space="preserve"> </w:t>
      </w:r>
      <w:r w:rsidR="007F309F">
        <w:rPr>
          <w:rFonts w:ascii="Book Antiqua" w:hAnsi="Book Antiqua" w:cs="宋体" w:hint="eastAsia"/>
          <w:kern w:val="0"/>
          <w:sz w:val="24"/>
        </w:rPr>
        <w:t>2007</w:t>
      </w:r>
      <w:r w:rsidRPr="00133249">
        <w:rPr>
          <w:rFonts w:ascii="Book Antiqua" w:hAnsi="Book Antiqua" w:cs="宋体"/>
          <w:kern w:val="0"/>
          <w:sz w:val="24"/>
        </w:rPr>
        <w:t xml:space="preserve">; </w:t>
      </w:r>
      <w:r w:rsidRPr="00133249">
        <w:rPr>
          <w:rFonts w:ascii="Book Antiqua" w:hAnsi="Book Antiqua" w:cs="宋体"/>
          <w:b/>
          <w:bCs/>
          <w:kern w:val="0"/>
          <w:sz w:val="24"/>
        </w:rPr>
        <w:t>32</w:t>
      </w:r>
      <w:r w:rsidRPr="00133249">
        <w:rPr>
          <w:rFonts w:ascii="Book Antiqua" w:hAnsi="Book Antiqua" w:cs="宋体"/>
          <w:kern w:val="0"/>
          <w:sz w:val="24"/>
        </w:rPr>
        <w:t>: 577-595 [PMID: 16944320]</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lastRenderedPageBreak/>
        <w:t xml:space="preserve">148 </w:t>
      </w:r>
      <w:r w:rsidRPr="00133249">
        <w:rPr>
          <w:rFonts w:ascii="Book Antiqua" w:hAnsi="Book Antiqua" w:cs="宋体"/>
          <w:b/>
          <w:bCs/>
          <w:kern w:val="0"/>
          <w:sz w:val="24"/>
        </w:rPr>
        <w:t>Tao GZ</w:t>
      </w:r>
      <w:r w:rsidRPr="00133249">
        <w:rPr>
          <w:rFonts w:ascii="Book Antiqua" w:hAnsi="Book Antiqua" w:cs="宋体"/>
          <w:kern w:val="0"/>
          <w:sz w:val="24"/>
        </w:rPr>
        <w:t xml:space="preserve">, Lehwald N, Jang KY, Baek J, Xu B, Omary MB, Sylvester KG. Wnt/β-catenin signaling protects mouse liver against oxidative stress-induced apoptosis through the inhibition of forkhead transcription factor FoxO3. </w:t>
      </w:r>
      <w:r w:rsidRPr="00133249">
        <w:rPr>
          <w:rFonts w:ascii="Book Antiqua" w:hAnsi="Book Antiqua" w:cs="宋体"/>
          <w:i/>
          <w:iCs/>
          <w:kern w:val="0"/>
          <w:sz w:val="24"/>
        </w:rPr>
        <w:t>J Biol Chem</w:t>
      </w:r>
      <w:r w:rsidRPr="00133249">
        <w:rPr>
          <w:rFonts w:ascii="Book Antiqua" w:hAnsi="Book Antiqua" w:cs="宋体"/>
          <w:kern w:val="0"/>
          <w:sz w:val="24"/>
        </w:rPr>
        <w:t xml:space="preserve"> 2013; </w:t>
      </w:r>
      <w:r w:rsidRPr="00133249">
        <w:rPr>
          <w:rFonts w:ascii="Book Antiqua" w:hAnsi="Book Antiqua" w:cs="宋体"/>
          <w:b/>
          <w:bCs/>
          <w:kern w:val="0"/>
          <w:sz w:val="24"/>
        </w:rPr>
        <w:t>288</w:t>
      </w:r>
      <w:r w:rsidRPr="00133249">
        <w:rPr>
          <w:rFonts w:ascii="Book Antiqua" w:hAnsi="Book Antiqua" w:cs="宋体"/>
          <w:kern w:val="0"/>
          <w:sz w:val="24"/>
        </w:rPr>
        <w:t>: 17214-17224 [PMID: 23620592 DOI: 10.1074/jbc.M112.445965]</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149 </w:t>
      </w:r>
      <w:r w:rsidRPr="00133249">
        <w:rPr>
          <w:rFonts w:ascii="Book Antiqua" w:hAnsi="Book Antiqua" w:cs="宋体"/>
          <w:b/>
          <w:bCs/>
          <w:kern w:val="0"/>
          <w:sz w:val="24"/>
        </w:rPr>
        <w:t>Komiya Y</w:t>
      </w:r>
      <w:r w:rsidRPr="00133249">
        <w:rPr>
          <w:rFonts w:ascii="Book Antiqua" w:hAnsi="Book Antiqua" w:cs="宋体"/>
          <w:kern w:val="0"/>
          <w:sz w:val="24"/>
        </w:rPr>
        <w:t xml:space="preserve">, Habas R. Wnt signal transduction pathways. </w:t>
      </w:r>
      <w:r w:rsidRPr="00133249">
        <w:rPr>
          <w:rFonts w:ascii="Book Antiqua" w:hAnsi="Book Antiqua" w:cs="宋体"/>
          <w:i/>
          <w:iCs/>
          <w:kern w:val="0"/>
          <w:sz w:val="24"/>
        </w:rPr>
        <w:t>Organogenesis</w:t>
      </w:r>
      <w:r w:rsidRPr="00133249">
        <w:rPr>
          <w:rFonts w:ascii="Book Antiqua" w:hAnsi="Book Antiqua" w:cs="宋体"/>
          <w:kern w:val="0"/>
          <w:sz w:val="24"/>
        </w:rPr>
        <w:t xml:space="preserve"> 2008; </w:t>
      </w:r>
      <w:r w:rsidRPr="00133249">
        <w:rPr>
          <w:rFonts w:ascii="Book Antiqua" w:hAnsi="Book Antiqua" w:cs="宋体"/>
          <w:b/>
          <w:bCs/>
          <w:kern w:val="0"/>
          <w:sz w:val="24"/>
        </w:rPr>
        <w:t>4</w:t>
      </w:r>
      <w:r w:rsidRPr="00133249">
        <w:rPr>
          <w:rFonts w:ascii="Book Antiqua" w:hAnsi="Book Antiqua" w:cs="宋体"/>
          <w:kern w:val="0"/>
          <w:sz w:val="24"/>
        </w:rPr>
        <w:t>: 68-75 [PMID: 19279717]</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150 </w:t>
      </w:r>
      <w:r w:rsidRPr="00133249">
        <w:rPr>
          <w:rFonts w:ascii="Book Antiqua" w:hAnsi="Book Antiqua" w:cs="宋体"/>
          <w:b/>
          <w:bCs/>
          <w:kern w:val="0"/>
          <w:sz w:val="24"/>
        </w:rPr>
        <w:t>Parker JA</w:t>
      </w:r>
      <w:r w:rsidRPr="00133249">
        <w:rPr>
          <w:rFonts w:ascii="Book Antiqua" w:hAnsi="Book Antiqua" w:cs="宋体"/>
          <w:kern w:val="0"/>
          <w:sz w:val="24"/>
        </w:rPr>
        <w:t xml:space="preserve">, Vazquez-Manrique RP, Tourette C, Farina F, Offner N, Mukhopadhyay A, Orfila AM, Darbois A, Menet S, Tissenbaum HA, Neri C. Integration of β-catenin, sirtuin, and FOXO signaling protects from mutant huntingtin toxicity. </w:t>
      </w:r>
      <w:r w:rsidRPr="00133249">
        <w:rPr>
          <w:rFonts w:ascii="Book Antiqua" w:hAnsi="Book Antiqua" w:cs="宋体"/>
          <w:i/>
          <w:iCs/>
          <w:kern w:val="0"/>
          <w:sz w:val="24"/>
        </w:rPr>
        <w:t>J Neurosci</w:t>
      </w:r>
      <w:r w:rsidRPr="00133249">
        <w:rPr>
          <w:rFonts w:ascii="Book Antiqua" w:hAnsi="Book Antiqua" w:cs="宋体"/>
          <w:kern w:val="0"/>
          <w:sz w:val="24"/>
        </w:rPr>
        <w:t xml:space="preserve"> 2012; </w:t>
      </w:r>
      <w:r w:rsidRPr="00133249">
        <w:rPr>
          <w:rFonts w:ascii="Book Antiqua" w:hAnsi="Book Antiqua" w:cs="宋体"/>
          <w:b/>
          <w:bCs/>
          <w:kern w:val="0"/>
          <w:sz w:val="24"/>
        </w:rPr>
        <w:t>32</w:t>
      </w:r>
      <w:r w:rsidRPr="00133249">
        <w:rPr>
          <w:rFonts w:ascii="Book Antiqua" w:hAnsi="Book Antiqua" w:cs="宋体"/>
          <w:kern w:val="0"/>
          <w:sz w:val="24"/>
        </w:rPr>
        <w:t>: 12630-12640 [PMID: 22956852 DOI: 10.1523/JNEUROSCI.0277-12.2012]</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151 </w:t>
      </w:r>
      <w:r w:rsidRPr="00133249">
        <w:rPr>
          <w:rFonts w:ascii="Book Antiqua" w:hAnsi="Book Antiqua" w:cs="宋体"/>
          <w:b/>
          <w:bCs/>
          <w:kern w:val="0"/>
          <w:sz w:val="24"/>
        </w:rPr>
        <w:t>Ren H</w:t>
      </w:r>
      <w:r w:rsidRPr="00133249">
        <w:rPr>
          <w:rFonts w:ascii="Book Antiqua" w:hAnsi="Book Antiqua" w:cs="宋体"/>
          <w:kern w:val="0"/>
          <w:sz w:val="24"/>
        </w:rPr>
        <w:t xml:space="preserve">, Plum-Morschel L, Gutierrez-Juarez R, Lu TY, Kim-Muller JY, Heinrich G, Wardlaw SL, Silver R, Accili D. Blunted refeeding response and increased locomotor activity in mice lacking FoxO1 in synapsin-Cre-expressing neurons. </w:t>
      </w:r>
      <w:r w:rsidRPr="00133249">
        <w:rPr>
          <w:rFonts w:ascii="Book Antiqua" w:hAnsi="Book Antiqua" w:cs="宋体"/>
          <w:i/>
          <w:iCs/>
          <w:kern w:val="0"/>
          <w:sz w:val="24"/>
        </w:rPr>
        <w:t>Diabetes</w:t>
      </w:r>
      <w:r w:rsidRPr="00133249">
        <w:rPr>
          <w:rFonts w:ascii="Book Antiqua" w:hAnsi="Book Antiqua" w:cs="宋体"/>
          <w:kern w:val="0"/>
          <w:sz w:val="24"/>
        </w:rPr>
        <w:t xml:space="preserve"> 2013; </w:t>
      </w:r>
      <w:r w:rsidRPr="00133249">
        <w:rPr>
          <w:rFonts w:ascii="Book Antiqua" w:hAnsi="Book Antiqua" w:cs="宋体"/>
          <w:b/>
          <w:bCs/>
          <w:kern w:val="0"/>
          <w:sz w:val="24"/>
        </w:rPr>
        <w:t>62</w:t>
      </w:r>
      <w:r w:rsidRPr="00133249">
        <w:rPr>
          <w:rFonts w:ascii="Book Antiqua" w:hAnsi="Book Antiqua" w:cs="宋体"/>
          <w:kern w:val="0"/>
          <w:sz w:val="24"/>
        </w:rPr>
        <w:t>: 3373-3383 [PMID: 23835335 DOI: 10.2337/db13-0597]</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152 </w:t>
      </w:r>
      <w:r w:rsidRPr="00133249">
        <w:rPr>
          <w:rFonts w:ascii="Book Antiqua" w:hAnsi="Book Antiqua" w:cs="宋体"/>
          <w:b/>
          <w:bCs/>
          <w:kern w:val="0"/>
          <w:sz w:val="24"/>
        </w:rPr>
        <w:t>Kim KW</w:t>
      </w:r>
      <w:r w:rsidRPr="00133249">
        <w:rPr>
          <w:rFonts w:ascii="Book Antiqua" w:hAnsi="Book Antiqua" w:cs="宋体"/>
          <w:kern w:val="0"/>
          <w:sz w:val="24"/>
        </w:rPr>
        <w:t xml:space="preserve">, Donato J, Berglund ED, Choi YH, Kohno D, Elias CF, Depinho RA, Elmquist JK. FOXO1 in the ventromedial hypothalamus regulates energy balance. </w:t>
      </w:r>
      <w:r w:rsidRPr="00133249">
        <w:rPr>
          <w:rFonts w:ascii="Book Antiqua" w:hAnsi="Book Antiqua" w:cs="宋体"/>
          <w:i/>
          <w:iCs/>
          <w:kern w:val="0"/>
          <w:sz w:val="24"/>
        </w:rPr>
        <w:t>J Clin Invest</w:t>
      </w:r>
      <w:r w:rsidRPr="00133249">
        <w:rPr>
          <w:rFonts w:ascii="Book Antiqua" w:hAnsi="Book Antiqua" w:cs="宋体"/>
          <w:kern w:val="0"/>
          <w:sz w:val="24"/>
        </w:rPr>
        <w:t xml:space="preserve"> 2012; </w:t>
      </w:r>
      <w:r w:rsidRPr="00133249">
        <w:rPr>
          <w:rFonts w:ascii="Book Antiqua" w:hAnsi="Book Antiqua" w:cs="宋体"/>
          <w:b/>
          <w:bCs/>
          <w:kern w:val="0"/>
          <w:sz w:val="24"/>
        </w:rPr>
        <w:t>122</w:t>
      </w:r>
      <w:r w:rsidRPr="00133249">
        <w:rPr>
          <w:rFonts w:ascii="Book Antiqua" w:hAnsi="Book Antiqua" w:cs="宋体"/>
          <w:kern w:val="0"/>
          <w:sz w:val="24"/>
        </w:rPr>
        <w:t>: 2578-2589 [PMID: 22653058 DOI: 10.1172/JCI62848]</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t xml:space="preserve">153 </w:t>
      </w:r>
      <w:r w:rsidRPr="00133249">
        <w:rPr>
          <w:rFonts w:ascii="Book Antiqua" w:hAnsi="Book Antiqua" w:cs="宋体"/>
          <w:b/>
          <w:bCs/>
          <w:kern w:val="0"/>
          <w:sz w:val="24"/>
        </w:rPr>
        <w:t>Oddo S</w:t>
      </w:r>
      <w:r w:rsidRPr="00133249">
        <w:rPr>
          <w:rFonts w:ascii="Book Antiqua" w:hAnsi="Book Antiqua" w:cs="宋体"/>
          <w:kern w:val="0"/>
          <w:sz w:val="24"/>
        </w:rPr>
        <w:t>.</w:t>
      </w:r>
      <w:proofErr w:type="gramEnd"/>
      <w:r w:rsidRPr="00133249">
        <w:rPr>
          <w:rFonts w:ascii="Book Antiqua" w:hAnsi="Book Antiqua" w:cs="宋体"/>
          <w:kern w:val="0"/>
          <w:sz w:val="24"/>
        </w:rPr>
        <w:t xml:space="preserve"> </w:t>
      </w:r>
      <w:proofErr w:type="gramStart"/>
      <w:r w:rsidRPr="00133249">
        <w:rPr>
          <w:rFonts w:ascii="Book Antiqua" w:hAnsi="Book Antiqua" w:cs="宋体"/>
          <w:kern w:val="0"/>
          <w:sz w:val="24"/>
        </w:rPr>
        <w:t>The role of mTOR signaling in Alzheimer disease.</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 xml:space="preserve">Front Biosci </w:t>
      </w:r>
      <w:r w:rsidRPr="007F309F">
        <w:rPr>
          <w:rFonts w:ascii="Book Antiqua" w:hAnsi="Book Antiqua" w:cs="宋体"/>
          <w:iCs/>
          <w:kern w:val="0"/>
          <w:sz w:val="24"/>
        </w:rPr>
        <w:t>(Schol Ed)</w:t>
      </w:r>
      <w:r w:rsidRPr="007F309F">
        <w:rPr>
          <w:rFonts w:ascii="Book Antiqua" w:hAnsi="Book Antiqua" w:cs="宋体"/>
          <w:kern w:val="0"/>
          <w:sz w:val="24"/>
        </w:rPr>
        <w:t xml:space="preserve"> </w:t>
      </w:r>
      <w:r w:rsidRPr="00133249">
        <w:rPr>
          <w:rFonts w:ascii="Book Antiqua" w:hAnsi="Book Antiqua" w:cs="宋体"/>
          <w:kern w:val="0"/>
          <w:sz w:val="24"/>
        </w:rPr>
        <w:t xml:space="preserve">2012; </w:t>
      </w:r>
      <w:r w:rsidRPr="00133249">
        <w:rPr>
          <w:rFonts w:ascii="Book Antiqua" w:hAnsi="Book Antiqua" w:cs="宋体"/>
          <w:b/>
          <w:bCs/>
          <w:kern w:val="0"/>
          <w:sz w:val="24"/>
        </w:rPr>
        <w:t>4</w:t>
      </w:r>
      <w:r w:rsidRPr="00133249">
        <w:rPr>
          <w:rFonts w:ascii="Book Antiqua" w:hAnsi="Book Antiqua" w:cs="宋体"/>
          <w:kern w:val="0"/>
          <w:sz w:val="24"/>
        </w:rPr>
        <w:t>: 941-952 [PMID: 22202101]</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154 </w:t>
      </w:r>
      <w:r w:rsidRPr="00133249">
        <w:rPr>
          <w:rFonts w:ascii="Book Antiqua" w:hAnsi="Book Antiqua" w:cs="宋体"/>
          <w:b/>
          <w:bCs/>
          <w:kern w:val="0"/>
          <w:sz w:val="24"/>
        </w:rPr>
        <w:t>An WL</w:t>
      </w:r>
      <w:r w:rsidRPr="00133249">
        <w:rPr>
          <w:rFonts w:ascii="Book Antiqua" w:hAnsi="Book Antiqua" w:cs="宋体"/>
          <w:kern w:val="0"/>
          <w:sz w:val="24"/>
        </w:rPr>
        <w:t xml:space="preserve">, Cowburn RF, Li L, Braak H, Alafuzoff I, Iqbal K, Iqbal IG, Winblad B, Pei JJ. </w:t>
      </w:r>
      <w:proofErr w:type="gramStart"/>
      <w:r w:rsidRPr="00133249">
        <w:rPr>
          <w:rFonts w:ascii="Book Antiqua" w:hAnsi="Book Antiqua" w:cs="宋体"/>
          <w:kern w:val="0"/>
          <w:sz w:val="24"/>
        </w:rPr>
        <w:t>Up-regulation of phosphorylated/activated p70 S6 kinase and its relationship to neurofibrillary pathology in Alzheimer's disease.</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Am J Pathol</w:t>
      </w:r>
      <w:r w:rsidRPr="00133249">
        <w:rPr>
          <w:rFonts w:ascii="Book Antiqua" w:hAnsi="Book Antiqua" w:cs="宋体"/>
          <w:kern w:val="0"/>
          <w:sz w:val="24"/>
        </w:rPr>
        <w:t xml:space="preserve"> 2003; </w:t>
      </w:r>
      <w:r w:rsidRPr="00133249">
        <w:rPr>
          <w:rFonts w:ascii="Book Antiqua" w:hAnsi="Book Antiqua" w:cs="宋体"/>
          <w:b/>
          <w:bCs/>
          <w:kern w:val="0"/>
          <w:sz w:val="24"/>
        </w:rPr>
        <w:t>163</w:t>
      </w:r>
      <w:r w:rsidRPr="00133249">
        <w:rPr>
          <w:rFonts w:ascii="Book Antiqua" w:hAnsi="Book Antiqua" w:cs="宋体"/>
          <w:kern w:val="0"/>
          <w:sz w:val="24"/>
        </w:rPr>
        <w:t>: 591-607 [PMID: 12875979]</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155 </w:t>
      </w:r>
      <w:r w:rsidRPr="00133249">
        <w:rPr>
          <w:rFonts w:ascii="Book Antiqua" w:hAnsi="Book Antiqua" w:cs="宋体"/>
          <w:b/>
          <w:bCs/>
          <w:kern w:val="0"/>
          <w:sz w:val="24"/>
        </w:rPr>
        <w:t>Zhang F</w:t>
      </w:r>
      <w:r w:rsidRPr="00133249">
        <w:rPr>
          <w:rFonts w:ascii="Book Antiqua" w:hAnsi="Book Antiqua" w:cs="宋体"/>
          <w:kern w:val="0"/>
          <w:sz w:val="24"/>
        </w:rPr>
        <w:t xml:space="preserve">, Beharry ZM, Harris TE, Lilly MB, Smith CD, Mahajan S, Kraft AS. PIM1 protein kinase regulates PRAS40 phosphorylation and mTOR activity in FDCP1 cells. </w:t>
      </w:r>
      <w:r w:rsidRPr="00133249">
        <w:rPr>
          <w:rFonts w:ascii="Book Antiqua" w:hAnsi="Book Antiqua" w:cs="宋体"/>
          <w:i/>
          <w:iCs/>
          <w:kern w:val="0"/>
          <w:sz w:val="24"/>
        </w:rPr>
        <w:t>Cancer Biol Ther</w:t>
      </w:r>
      <w:r w:rsidRPr="00133249">
        <w:rPr>
          <w:rFonts w:ascii="Book Antiqua" w:hAnsi="Book Antiqua" w:cs="宋体"/>
          <w:kern w:val="0"/>
          <w:sz w:val="24"/>
        </w:rPr>
        <w:t xml:space="preserve"> 2009; </w:t>
      </w:r>
      <w:r w:rsidRPr="00133249">
        <w:rPr>
          <w:rFonts w:ascii="Book Antiqua" w:hAnsi="Book Antiqua" w:cs="宋体"/>
          <w:b/>
          <w:bCs/>
          <w:kern w:val="0"/>
          <w:sz w:val="24"/>
        </w:rPr>
        <w:t>8</w:t>
      </w:r>
      <w:r w:rsidRPr="00133249">
        <w:rPr>
          <w:rFonts w:ascii="Book Antiqua" w:hAnsi="Book Antiqua" w:cs="宋体"/>
          <w:kern w:val="0"/>
          <w:sz w:val="24"/>
        </w:rPr>
        <w:t>: 846-853 [PMID: 19276681]</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156 </w:t>
      </w:r>
      <w:r w:rsidRPr="00133249">
        <w:rPr>
          <w:rFonts w:ascii="Book Antiqua" w:hAnsi="Book Antiqua" w:cs="宋体"/>
          <w:b/>
          <w:bCs/>
          <w:kern w:val="0"/>
          <w:sz w:val="24"/>
        </w:rPr>
        <w:t>Caccamo A</w:t>
      </w:r>
      <w:r w:rsidRPr="00133249">
        <w:rPr>
          <w:rFonts w:ascii="Book Antiqua" w:hAnsi="Book Antiqua" w:cs="宋体"/>
          <w:kern w:val="0"/>
          <w:sz w:val="24"/>
        </w:rPr>
        <w:t xml:space="preserve">, Majumder S, Richardson A, Strong R, Oddo S. Molecular interplay between mammalian target of rapamycin (mTOR), amyloid-beta, and Tau: effects on cognitive impairments. </w:t>
      </w:r>
      <w:r w:rsidRPr="00133249">
        <w:rPr>
          <w:rFonts w:ascii="Book Antiqua" w:hAnsi="Book Antiqua" w:cs="宋体"/>
          <w:i/>
          <w:iCs/>
          <w:kern w:val="0"/>
          <w:sz w:val="24"/>
        </w:rPr>
        <w:t>J Biol Chem</w:t>
      </w:r>
      <w:r w:rsidRPr="00133249">
        <w:rPr>
          <w:rFonts w:ascii="Book Antiqua" w:hAnsi="Book Antiqua" w:cs="宋体"/>
          <w:kern w:val="0"/>
          <w:sz w:val="24"/>
        </w:rPr>
        <w:t xml:space="preserve"> 2010; </w:t>
      </w:r>
      <w:r w:rsidRPr="00133249">
        <w:rPr>
          <w:rFonts w:ascii="Book Antiqua" w:hAnsi="Book Antiqua" w:cs="宋体"/>
          <w:b/>
          <w:bCs/>
          <w:kern w:val="0"/>
          <w:sz w:val="24"/>
        </w:rPr>
        <w:t>285</w:t>
      </w:r>
      <w:r w:rsidRPr="00133249">
        <w:rPr>
          <w:rFonts w:ascii="Book Antiqua" w:hAnsi="Book Antiqua" w:cs="宋体"/>
          <w:kern w:val="0"/>
          <w:sz w:val="24"/>
        </w:rPr>
        <w:t>: 13107-13120 [PMID: 20178983 DOI: 10.1074/jbc.M110.100420]</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lastRenderedPageBreak/>
        <w:t xml:space="preserve">157 </w:t>
      </w:r>
      <w:r w:rsidRPr="00133249">
        <w:rPr>
          <w:rFonts w:ascii="Book Antiqua" w:hAnsi="Book Antiqua" w:cs="宋体"/>
          <w:b/>
          <w:bCs/>
          <w:kern w:val="0"/>
          <w:sz w:val="24"/>
        </w:rPr>
        <w:t>Caccamo A</w:t>
      </w:r>
      <w:r w:rsidRPr="00133249">
        <w:rPr>
          <w:rFonts w:ascii="Book Antiqua" w:hAnsi="Book Antiqua" w:cs="宋体"/>
          <w:kern w:val="0"/>
          <w:sz w:val="24"/>
        </w:rPr>
        <w:t xml:space="preserve">, Maldonado MA, Majumder S, Medina DX, Holbein W, Magrí A, Oddo S. Naturally secreted amyloid-beta increases mammalian target of rapamycin (mTOR) activity via a PRAS40-mediated mechanism. </w:t>
      </w:r>
      <w:r w:rsidRPr="00133249">
        <w:rPr>
          <w:rFonts w:ascii="Book Antiqua" w:hAnsi="Book Antiqua" w:cs="宋体"/>
          <w:i/>
          <w:iCs/>
          <w:kern w:val="0"/>
          <w:sz w:val="24"/>
        </w:rPr>
        <w:t>J Biol Chem</w:t>
      </w:r>
      <w:r w:rsidRPr="00133249">
        <w:rPr>
          <w:rFonts w:ascii="Book Antiqua" w:hAnsi="Book Antiqua" w:cs="宋体"/>
          <w:kern w:val="0"/>
          <w:sz w:val="24"/>
        </w:rPr>
        <w:t xml:space="preserve"> 2011; </w:t>
      </w:r>
      <w:r w:rsidRPr="00133249">
        <w:rPr>
          <w:rFonts w:ascii="Book Antiqua" w:hAnsi="Book Antiqua" w:cs="宋体"/>
          <w:b/>
          <w:bCs/>
          <w:kern w:val="0"/>
          <w:sz w:val="24"/>
        </w:rPr>
        <w:t>286</w:t>
      </w:r>
      <w:r w:rsidRPr="00133249">
        <w:rPr>
          <w:rFonts w:ascii="Book Antiqua" w:hAnsi="Book Antiqua" w:cs="宋体"/>
          <w:kern w:val="0"/>
          <w:sz w:val="24"/>
        </w:rPr>
        <w:t>: 8924-8932 [PMID: 21266573 DOI: 10.1074/jbc.M110.180638]</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t xml:space="preserve">158 </w:t>
      </w:r>
      <w:r w:rsidRPr="00133249">
        <w:rPr>
          <w:rFonts w:ascii="Book Antiqua" w:hAnsi="Book Antiqua" w:cs="宋体"/>
          <w:b/>
          <w:bCs/>
          <w:kern w:val="0"/>
          <w:sz w:val="24"/>
        </w:rPr>
        <w:t>Nixon RA</w:t>
      </w:r>
      <w:r w:rsidRPr="00133249">
        <w:rPr>
          <w:rFonts w:ascii="Book Antiqua" w:hAnsi="Book Antiqua" w:cs="宋体"/>
          <w:kern w:val="0"/>
          <w:sz w:val="24"/>
        </w:rPr>
        <w:t>.</w:t>
      </w:r>
      <w:proofErr w:type="gramEnd"/>
      <w:r w:rsidRPr="00133249">
        <w:rPr>
          <w:rFonts w:ascii="Book Antiqua" w:hAnsi="Book Antiqua" w:cs="宋体"/>
          <w:kern w:val="0"/>
          <w:sz w:val="24"/>
        </w:rPr>
        <w:t xml:space="preserve"> </w:t>
      </w:r>
      <w:proofErr w:type="gramStart"/>
      <w:r w:rsidRPr="00133249">
        <w:rPr>
          <w:rFonts w:ascii="Book Antiqua" w:hAnsi="Book Antiqua" w:cs="宋体"/>
          <w:kern w:val="0"/>
          <w:sz w:val="24"/>
        </w:rPr>
        <w:t>Autophagy, amyloidogenesis and Alzheimer disease.</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J Cell Sci</w:t>
      </w:r>
      <w:r w:rsidRPr="00133249">
        <w:rPr>
          <w:rFonts w:ascii="Book Antiqua" w:hAnsi="Book Antiqua" w:cs="宋体"/>
          <w:kern w:val="0"/>
          <w:sz w:val="24"/>
        </w:rPr>
        <w:t xml:space="preserve"> 2007; </w:t>
      </w:r>
      <w:r w:rsidRPr="00133249">
        <w:rPr>
          <w:rFonts w:ascii="Book Antiqua" w:hAnsi="Book Antiqua" w:cs="宋体"/>
          <w:b/>
          <w:bCs/>
          <w:kern w:val="0"/>
          <w:sz w:val="24"/>
        </w:rPr>
        <w:t>120</w:t>
      </w:r>
      <w:r w:rsidRPr="00133249">
        <w:rPr>
          <w:rFonts w:ascii="Book Antiqua" w:hAnsi="Book Antiqua" w:cs="宋体"/>
          <w:kern w:val="0"/>
          <w:sz w:val="24"/>
        </w:rPr>
        <w:t>: 4081-4091 [PMID: 18032783]</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159 </w:t>
      </w:r>
      <w:r w:rsidRPr="00133249">
        <w:rPr>
          <w:rFonts w:ascii="Book Antiqua" w:hAnsi="Book Antiqua" w:cs="宋体"/>
          <w:b/>
          <w:bCs/>
          <w:kern w:val="0"/>
          <w:sz w:val="24"/>
        </w:rPr>
        <w:t>Dobashi Y</w:t>
      </w:r>
      <w:r w:rsidRPr="00133249">
        <w:rPr>
          <w:rFonts w:ascii="Book Antiqua" w:hAnsi="Book Antiqua" w:cs="宋体"/>
          <w:kern w:val="0"/>
          <w:sz w:val="24"/>
        </w:rPr>
        <w:t xml:space="preserve">, Watanabe Y, Miwa C, Suzuki S, Koyama S. Mammalian target of rapamycin: a central node of complex signaling cascades. </w:t>
      </w:r>
      <w:r w:rsidRPr="00133249">
        <w:rPr>
          <w:rFonts w:ascii="Book Antiqua" w:hAnsi="Book Antiqua" w:cs="宋体"/>
          <w:i/>
          <w:iCs/>
          <w:kern w:val="0"/>
          <w:sz w:val="24"/>
        </w:rPr>
        <w:t>Int J Clin Exp Pathol</w:t>
      </w:r>
      <w:r w:rsidRPr="00133249">
        <w:rPr>
          <w:rFonts w:ascii="Book Antiqua" w:hAnsi="Book Antiqua" w:cs="宋体"/>
          <w:kern w:val="0"/>
          <w:sz w:val="24"/>
        </w:rPr>
        <w:t xml:space="preserve"> 2011; </w:t>
      </w:r>
      <w:r w:rsidRPr="00133249">
        <w:rPr>
          <w:rFonts w:ascii="Book Antiqua" w:hAnsi="Book Antiqua" w:cs="宋体"/>
          <w:b/>
          <w:bCs/>
          <w:kern w:val="0"/>
          <w:sz w:val="24"/>
        </w:rPr>
        <w:t>4</w:t>
      </w:r>
      <w:r w:rsidRPr="00133249">
        <w:rPr>
          <w:rFonts w:ascii="Book Antiqua" w:hAnsi="Book Antiqua" w:cs="宋体"/>
          <w:kern w:val="0"/>
          <w:sz w:val="24"/>
        </w:rPr>
        <w:t>: 476-495 [PMID: 21738819]</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160 </w:t>
      </w:r>
      <w:r w:rsidRPr="00133249">
        <w:rPr>
          <w:rFonts w:ascii="Book Antiqua" w:hAnsi="Book Antiqua" w:cs="宋体"/>
          <w:b/>
          <w:bCs/>
          <w:kern w:val="0"/>
          <w:sz w:val="24"/>
        </w:rPr>
        <w:t>Wullschleger S</w:t>
      </w:r>
      <w:r w:rsidRPr="00133249">
        <w:rPr>
          <w:rFonts w:ascii="Book Antiqua" w:hAnsi="Book Antiqua" w:cs="宋体"/>
          <w:kern w:val="0"/>
          <w:sz w:val="24"/>
        </w:rPr>
        <w:t xml:space="preserve">, Loewith R, Hall MN. </w:t>
      </w:r>
      <w:proofErr w:type="gramStart"/>
      <w:r w:rsidRPr="00133249">
        <w:rPr>
          <w:rFonts w:ascii="Book Antiqua" w:hAnsi="Book Antiqua" w:cs="宋体"/>
          <w:kern w:val="0"/>
          <w:sz w:val="24"/>
        </w:rPr>
        <w:t>TOR signaling in growth and metabolism.</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Cell</w:t>
      </w:r>
      <w:r w:rsidRPr="00133249">
        <w:rPr>
          <w:rFonts w:ascii="Book Antiqua" w:hAnsi="Book Antiqua" w:cs="宋体"/>
          <w:kern w:val="0"/>
          <w:sz w:val="24"/>
        </w:rPr>
        <w:t xml:space="preserve"> 2006; </w:t>
      </w:r>
      <w:r w:rsidRPr="00133249">
        <w:rPr>
          <w:rFonts w:ascii="Book Antiqua" w:hAnsi="Book Antiqua" w:cs="宋体"/>
          <w:b/>
          <w:bCs/>
          <w:kern w:val="0"/>
          <w:sz w:val="24"/>
        </w:rPr>
        <w:t>124</w:t>
      </w:r>
      <w:r w:rsidRPr="00133249">
        <w:rPr>
          <w:rFonts w:ascii="Book Antiqua" w:hAnsi="Book Antiqua" w:cs="宋体"/>
          <w:kern w:val="0"/>
          <w:sz w:val="24"/>
        </w:rPr>
        <w:t>: 471-484 [PMID: 16469695]</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161 </w:t>
      </w:r>
      <w:r w:rsidRPr="00133249">
        <w:rPr>
          <w:rFonts w:ascii="Book Antiqua" w:hAnsi="Book Antiqua" w:cs="宋体"/>
          <w:b/>
          <w:bCs/>
          <w:kern w:val="0"/>
          <w:sz w:val="24"/>
        </w:rPr>
        <w:t>Betz C</w:t>
      </w:r>
      <w:r w:rsidRPr="00133249">
        <w:rPr>
          <w:rFonts w:ascii="Book Antiqua" w:hAnsi="Book Antiqua" w:cs="宋体"/>
          <w:kern w:val="0"/>
          <w:sz w:val="24"/>
        </w:rPr>
        <w:t xml:space="preserve">, Hall MN. Where is mTOR and what is it doing there? </w:t>
      </w:r>
      <w:r w:rsidRPr="00133249">
        <w:rPr>
          <w:rFonts w:ascii="Book Antiqua" w:hAnsi="Book Antiqua" w:cs="宋体"/>
          <w:i/>
          <w:iCs/>
          <w:kern w:val="0"/>
          <w:sz w:val="24"/>
        </w:rPr>
        <w:t>J Cell Biol</w:t>
      </w:r>
      <w:r w:rsidRPr="00133249">
        <w:rPr>
          <w:rFonts w:ascii="Book Antiqua" w:hAnsi="Book Antiqua" w:cs="宋体"/>
          <w:kern w:val="0"/>
          <w:sz w:val="24"/>
        </w:rPr>
        <w:t xml:space="preserve"> 2013; </w:t>
      </w:r>
      <w:r w:rsidRPr="00133249">
        <w:rPr>
          <w:rFonts w:ascii="Book Antiqua" w:hAnsi="Book Antiqua" w:cs="宋体"/>
          <w:b/>
          <w:bCs/>
          <w:kern w:val="0"/>
          <w:sz w:val="24"/>
        </w:rPr>
        <w:t>203</w:t>
      </w:r>
      <w:r w:rsidRPr="00133249">
        <w:rPr>
          <w:rFonts w:ascii="Book Antiqua" w:hAnsi="Book Antiqua" w:cs="宋体"/>
          <w:kern w:val="0"/>
          <w:sz w:val="24"/>
        </w:rPr>
        <w:t>: 563-574 [PMID: 24385483 DOI: 10.1083/jcb.201306041]</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162 </w:t>
      </w:r>
      <w:r w:rsidRPr="00133249">
        <w:rPr>
          <w:rFonts w:ascii="Book Antiqua" w:hAnsi="Book Antiqua" w:cs="宋体"/>
          <w:b/>
          <w:bCs/>
          <w:kern w:val="0"/>
          <w:sz w:val="24"/>
        </w:rPr>
        <w:t>Kim DH</w:t>
      </w:r>
      <w:r w:rsidRPr="00133249">
        <w:rPr>
          <w:rFonts w:ascii="Book Antiqua" w:hAnsi="Book Antiqua" w:cs="宋体"/>
          <w:kern w:val="0"/>
          <w:sz w:val="24"/>
        </w:rPr>
        <w:t xml:space="preserve">, Sarbassov DD, Ali SM, King JE, Latek RR, Erdjument-Bromage H, Tempst P, Sabatini DM. mTOR interacts with raptor to form a nutrient-sensitive complex that signals to the cell growth machinery. </w:t>
      </w:r>
      <w:r w:rsidRPr="00133249">
        <w:rPr>
          <w:rFonts w:ascii="Book Antiqua" w:hAnsi="Book Antiqua" w:cs="宋体"/>
          <w:i/>
          <w:iCs/>
          <w:kern w:val="0"/>
          <w:sz w:val="24"/>
        </w:rPr>
        <w:t>Cell</w:t>
      </w:r>
      <w:r w:rsidRPr="00133249">
        <w:rPr>
          <w:rFonts w:ascii="Book Antiqua" w:hAnsi="Book Antiqua" w:cs="宋体"/>
          <w:kern w:val="0"/>
          <w:sz w:val="24"/>
        </w:rPr>
        <w:t xml:space="preserve"> 2002; </w:t>
      </w:r>
      <w:r w:rsidRPr="00133249">
        <w:rPr>
          <w:rFonts w:ascii="Book Antiqua" w:hAnsi="Book Antiqua" w:cs="宋体"/>
          <w:b/>
          <w:bCs/>
          <w:kern w:val="0"/>
          <w:sz w:val="24"/>
        </w:rPr>
        <w:t>110</w:t>
      </w:r>
      <w:r w:rsidRPr="00133249">
        <w:rPr>
          <w:rFonts w:ascii="Book Antiqua" w:hAnsi="Book Antiqua" w:cs="宋体"/>
          <w:kern w:val="0"/>
          <w:sz w:val="24"/>
        </w:rPr>
        <w:t>: 163-175 [PMID: 12150925]</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163 </w:t>
      </w:r>
      <w:r w:rsidRPr="00133249">
        <w:rPr>
          <w:rFonts w:ascii="Book Antiqua" w:hAnsi="Book Antiqua" w:cs="宋体"/>
          <w:b/>
          <w:bCs/>
          <w:kern w:val="0"/>
          <w:sz w:val="24"/>
        </w:rPr>
        <w:t>Kim DH</w:t>
      </w:r>
      <w:r w:rsidRPr="00133249">
        <w:rPr>
          <w:rFonts w:ascii="Book Antiqua" w:hAnsi="Book Antiqua" w:cs="宋体"/>
          <w:kern w:val="0"/>
          <w:sz w:val="24"/>
        </w:rPr>
        <w:t xml:space="preserve">, Sarbassov DD, Ali SM, Latek RR, Guntur KV, Erdjument-Bromage H, Tempst P, Sabatini DM. GbetaL, a positive regulator of the rapamycin-sensitive pathway required for the nutrient-sensitive interaction between raptor and mTOR. </w:t>
      </w:r>
      <w:r w:rsidRPr="00133249">
        <w:rPr>
          <w:rFonts w:ascii="Book Antiqua" w:hAnsi="Book Antiqua" w:cs="宋体"/>
          <w:i/>
          <w:iCs/>
          <w:kern w:val="0"/>
          <w:sz w:val="24"/>
        </w:rPr>
        <w:t>Mol Cell</w:t>
      </w:r>
      <w:r w:rsidRPr="00133249">
        <w:rPr>
          <w:rFonts w:ascii="Book Antiqua" w:hAnsi="Book Antiqua" w:cs="宋体"/>
          <w:kern w:val="0"/>
          <w:sz w:val="24"/>
        </w:rPr>
        <w:t xml:space="preserve"> 2003; </w:t>
      </w:r>
      <w:r w:rsidRPr="00133249">
        <w:rPr>
          <w:rFonts w:ascii="Book Antiqua" w:hAnsi="Book Antiqua" w:cs="宋体"/>
          <w:b/>
          <w:bCs/>
          <w:kern w:val="0"/>
          <w:sz w:val="24"/>
        </w:rPr>
        <w:t>11</w:t>
      </w:r>
      <w:r w:rsidRPr="00133249">
        <w:rPr>
          <w:rFonts w:ascii="Book Antiqua" w:hAnsi="Book Antiqua" w:cs="宋体"/>
          <w:kern w:val="0"/>
          <w:sz w:val="24"/>
        </w:rPr>
        <w:t>: 895-904 [PMID: 12718876]</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164 </w:t>
      </w:r>
      <w:r w:rsidRPr="00133249">
        <w:rPr>
          <w:rFonts w:ascii="Book Antiqua" w:hAnsi="Book Antiqua" w:cs="宋体"/>
          <w:b/>
          <w:bCs/>
          <w:kern w:val="0"/>
          <w:sz w:val="24"/>
        </w:rPr>
        <w:t>Stoica L</w:t>
      </w:r>
      <w:r w:rsidRPr="00133249">
        <w:rPr>
          <w:rFonts w:ascii="Book Antiqua" w:hAnsi="Book Antiqua" w:cs="宋体"/>
          <w:kern w:val="0"/>
          <w:sz w:val="24"/>
        </w:rPr>
        <w:t xml:space="preserve">, Zhu PJ, Huang W, Zhou H, Kozma SC, Costa-Mattioli M. Selective pharmacogenetic inhibition of mammalian target of Rapamycin complex I (mTORC1) blocks long-term synaptic plasticity and memory storage. </w:t>
      </w:r>
      <w:r w:rsidR="007F309F">
        <w:rPr>
          <w:rFonts w:ascii="Book Antiqua" w:hAnsi="Book Antiqua" w:cs="宋体"/>
          <w:i/>
          <w:iCs/>
          <w:kern w:val="0"/>
          <w:sz w:val="24"/>
        </w:rPr>
        <w:t>Proc Natl Acad Sci US</w:t>
      </w:r>
      <w:r w:rsidRPr="00133249">
        <w:rPr>
          <w:rFonts w:ascii="Book Antiqua" w:hAnsi="Book Antiqua" w:cs="宋体"/>
          <w:i/>
          <w:iCs/>
          <w:kern w:val="0"/>
          <w:sz w:val="24"/>
        </w:rPr>
        <w:t>A</w:t>
      </w:r>
      <w:r w:rsidRPr="00133249">
        <w:rPr>
          <w:rFonts w:ascii="Book Antiqua" w:hAnsi="Book Antiqua" w:cs="宋体"/>
          <w:kern w:val="0"/>
          <w:sz w:val="24"/>
        </w:rPr>
        <w:t xml:space="preserve"> 2011; </w:t>
      </w:r>
      <w:r w:rsidRPr="00133249">
        <w:rPr>
          <w:rFonts w:ascii="Book Antiqua" w:hAnsi="Book Antiqua" w:cs="宋体"/>
          <w:b/>
          <w:bCs/>
          <w:kern w:val="0"/>
          <w:sz w:val="24"/>
        </w:rPr>
        <w:t>108</w:t>
      </w:r>
      <w:r w:rsidRPr="00133249">
        <w:rPr>
          <w:rFonts w:ascii="Book Antiqua" w:hAnsi="Book Antiqua" w:cs="宋体"/>
          <w:kern w:val="0"/>
          <w:sz w:val="24"/>
        </w:rPr>
        <w:t>: 3791-3796 [PMID: 21307309 DOI: 10.1073/pnas.1014715108]</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165 </w:t>
      </w:r>
      <w:r w:rsidRPr="00133249">
        <w:rPr>
          <w:rFonts w:ascii="Book Antiqua" w:hAnsi="Book Antiqua" w:cs="宋体"/>
          <w:b/>
          <w:bCs/>
          <w:kern w:val="0"/>
          <w:sz w:val="24"/>
        </w:rPr>
        <w:t>Son JH</w:t>
      </w:r>
      <w:r w:rsidRPr="00133249">
        <w:rPr>
          <w:rFonts w:ascii="Book Antiqua" w:hAnsi="Book Antiqua" w:cs="宋体"/>
          <w:kern w:val="0"/>
          <w:sz w:val="24"/>
        </w:rPr>
        <w:t xml:space="preserve">, Shim JH, Kim KH, Ha JY, Han JY. </w:t>
      </w:r>
      <w:proofErr w:type="gramStart"/>
      <w:r w:rsidRPr="00133249">
        <w:rPr>
          <w:rFonts w:ascii="Book Antiqua" w:hAnsi="Book Antiqua" w:cs="宋体"/>
          <w:kern w:val="0"/>
          <w:sz w:val="24"/>
        </w:rPr>
        <w:t>Neuronal autophagy and neurodegenerative diseases.</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Exp Mol Med</w:t>
      </w:r>
      <w:r w:rsidRPr="00133249">
        <w:rPr>
          <w:rFonts w:ascii="Book Antiqua" w:hAnsi="Book Antiqua" w:cs="宋体"/>
          <w:kern w:val="0"/>
          <w:sz w:val="24"/>
        </w:rPr>
        <w:t xml:space="preserve"> 2012; </w:t>
      </w:r>
      <w:r w:rsidRPr="00133249">
        <w:rPr>
          <w:rFonts w:ascii="Book Antiqua" w:hAnsi="Book Antiqua" w:cs="宋体"/>
          <w:b/>
          <w:bCs/>
          <w:kern w:val="0"/>
          <w:sz w:val="24"/>
        </w:rPr>
        <w:t>44</w:t>
      </w:r>
      <w:r w:rsidRPr="00133249">
        <w:rPr>
          <w:rFonts w:ascii="Book Antiqua" w:hAnsi="Book Antiqua" w:cs="宋体"/>
          <w:kern w:val="0"/>
          <w:sz w:val="24"/>
        </w:rPr>
        <w:t>: 89-98 [PMID: 22257884 DOI: 10.3858/emm.2012.44.2.031]</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166 </w:t>
      </w:r>
      <w:r w:rsidRPr="00133249">
        <w:rPr>
          <w:rFonts w:ascii="Book Antiqua" w:hAnsi="Book Antiqua" w:cs="宋体"/>
          <w:b/>
          <w:bCs/>
          <w:kern w:val="0"/>
          <w:sz w:val="24"/>
        </w:rPr>
        <w:t>Ferreira ST</w:t>
      </w:r>
      <w:r w:rsidRPr="00133249">
        <w:rPr>
          <w:rFonts w:ascii="Book Antiqua" w:hAnsi="Book Antiqua" w:cs="宋体"/>
          <w:kern w:val="0"/>
          <w:sz w:val="24"/>
        </w:rPr>
        <w:t xml:space="preserve">, Clarke JR, Bomfim TR, De Felice FG. </w:t>
      </w:r>
      <w:proofErr w:type="gramStart"/>
      <w:r w:rsidRPr="00133249">
        <w:rPr>
          <w:rFonts w:ascii="Book Antiqua" w:hAnsi="Book Antiqua" w:cs="宋体"/>
          <w:kern w:val="0"/>
          <w:sz w:val="24"/>
        </w:rPr>
        <w:t>Inflammation, defective insulin signaling, and neuronal dysfunction in Alzheimer's disease.</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Alzheimers Dement</w:t>
      </w:r>
      <w:r w:rsidRPr="00133249">
        <w:rPr>
          <w:rFonts w:ascii="Book Antiqua" w:hAnsi="Book Antiqua" w:cs="宋体"/>
          <w:kern w:val="0"/>
          <w:sz w:val="24"/>
        </w:rPr>
        <w:t xml:space="preserve"> 2014; </w:t>
      </w:r>
      <w:r w:rsidRPr="00133249">
        <w:rPr>
          <w:rFonts w:ascii="Book Antiqua" w:hAnsi="Book Antiqua" w:cs="宋体"/>
          <w:b/>
          <w:bCs/>
          <w:kern w:val="0"/>
          <w:sz w:val="24"/>
        </w:rPr>
        <w:t>10</w:t>
      </w:r>
      <w:r w:rsidRPr="00133249">
        <w:rPr>
          <w:rFonts w:ascii="Book Antiqua" w:hAnsi="Book Antiqua" w:cs="宋体"/>
          <w:kern w:val="0"/>
          <w:sz w:val="24"/>
        </w:rPr>
        <w:t>: S76-S83 [PMID: 24529528 DOI: 10.1016/j.jalz.2013.12.010]</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lastRenderedPageBreak/>
        <w:t xml:space="preserve">167 </w:t>
      </w:r>
      <w:r w:rsidRPr="00133249">
        <w:rPr>
          <w:rFonts w:ascii="Book Antiqua" w:hAnsi="Book Antiqua" w:cs="宋体"/>
          <w:b/>
          <w:bCs/>
          <w:kern w:val="0"/>
          <w:sz w:val="24"/>
        </w:rPr>
        <w:t>De Felice FG</w:t>
      </w:r>
      <w:r w:rsidRPr="00133249">
        <w:rPr>
          <w:rFonts w:ascii="Book Antiqua" w:hAnsi="Book Antiqua" w:cs="宋体"/>
          <w:kern w:val="0"/>
          <w:sz w:val="24"/>
        </w:rPr>
        <w:t xml:space="preserve">, Ferreira ST. Inflammation, defective insulin signaling, and mitochondrial dysfunction as common molecular denominators connecting type 2 diabetes to Alzheimer disease. </w:t>
      </w:r>
      <w:r w:rsidRPr="00133249">
        <w:rPr>
          <w:rFonts w:ascii="Book Antiqua" w:hAnsi="Book Antiqua" w:cs="宋体"/>
          <w:i/>
          <w:iCs/>
          <w:kern w:val="0"/>
          <w:sz w:val="24"/>
        </w:rPr>
        <w:t>Diabetes</w:t>
      </w:r>
      <w:r w:rsidRPr="00133249">
        <w:rPr>
          <w:rFonts w:ascii="Book Antiqua" w:hAnsi="Book Antiqua" w:cs="宋体"/>
          <w:kern w:val="0"/>
          <w:sz w:val="24"/>
        </w:rPr>
        <w:t xml:space="preserve"> 2014; </w:t>
      </w:r>
      <w:r w:rsidRPr="00133249">
        <w:rPr>
          <w:rFonts w:ascii="Book Antiqua" w:hAnsi="Book Antiqua" w:cs="宋体"/>
          <w:b/>
          <w:bCs/>
          <w:kern w:val="0"/>
          <w:sz w:val="24"/>
        </w:rPr>
        <w:t>63</w:t>
      </w:r>
      <w:r w:rsidRPr="00133249">
        <w:rPr>
          <w:rFonts w:ascii="Book Antiqua" w:hAnsi="Book Antiqua" w:cs="宋体"/>
          <w:kern w:val="0"/>
          <w:sz w:val="24"/>
        </w:rPr>
        <w:t>: 2262-2272 [PMID: 24931033 DOI: 10.2337/db13-1954]</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168 </w:t>
      </w:r>
      <w:r w:rsidRPr="00133249">
        <w:rPr>
          <w:rFonts w:ascii="Book Antiqua" w:hAnsi="Book Antiqua" w:cs="宋体"/>
          <w:b/>
          <w:bCs/>
          <w:kern w:val="0"/>
          <w:sz w:val="24"/>
        </w:rPr>
        <w:t>Swardfager W</w:t>
      </w:r>
      <w:r w:rsidRPr="00133249">
        <w:rPr>
          <w:rFonts w:ascii="Book Antiqua" w:hAnsi="Book Antiqua" w:cs="宋体"/>
          <w:kern w:val="0"/>
          <w:sz w:val="24"/>
        </w:rPr>
        <w:t xml:space="preserve">, Lanctôt K, Rothenburg L, Wong A, Cappell J, Herrmann N. </w:t>
      </w:r>
      <w:proofErr w:type="gramStart"/>
      <w:r w:rsidRPr="00133249">
        <w:rPr>
          <w:rFonts w:ascii="Book Antiqua" w:hAnsi="Book Antiqua" w:cs="宋体"/>
          <w:kern w:val="0"/>
          <w:sz w:val="24"/>
        </w:rPr>
        <w:t>A meta-analysis of cytokines in Alzheimer's disease.</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Biol Psychiatry</w:t>
      </w:r>
      <w:r w:rsidRPr="00133249">
        <w:rPr>
          <w:rFonts w:ascii="Book Antiqua" w:hAnsi="Book Antiqua" w:cs="宋体"/>
          <w:kern w:val="0"/>
          <w:sz w:val="24"/>
        </w:rPr>
        <w:t xml:space="preserve"> 2010; </w:t>
      </w:r>
      <w:r w:rsidRPr="00133249">
        <w:rPr>
          <w:rFonts w:ascii="Book Antiqua" w:hAnsi="Book Antiqua" w:cs="宋体"/>
          <w:b/>
          <w:bCs/>
          <w:kern w:val="0"/>
          <w:sz w:val="24"/>
        </w:rPr>
        <w:t>68</w:t>
      </w:r>
      <w:r w:rsidRPr="00133249">
        <w:rPr>
          <w:rFonts w:ascii="Book Antiqua" w:hAnsi="Book Antiqua" w:cs="宋体"/>
          <w:kern w:val="0"/>
          <w:sz w:val="24"/>
        </w:rPr>
        <w:t>: 930-941 [PMID: 20692646 DOI: 10.1016/j.biopsych.2010.06.012]</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169 </w:t>
      </w:r>
      <w:r w:rsidRPr="00133249">
        <w:rPr>
          <w:rFonts w:ascii="Book Antiqua" w:hAnsi="Book Antiqua" w:cs="宋体"/>
          <w:b/>
          <w:bCs/>
          <w:kern w:val="0"/>
          <w:sz w:val="24"/>
        </w:rPr>
        <w:t>Kanety H</w:t>
      </w:r>
      <w:r w:rsidRPr="00133249">
        <w:rPr>
          <w:rFonts w:ascii="Book Antiqua" w:hAnsi="Book Antiqua" w:cs="宋体"/>
          <w:kern w:val="0"/>
          <w:sz w:val="24"/>
        </w:rPr>
        <w:t xml:space="preserve">, Feinstein R, Papa MZ, Hemi R, Karasik A. Tumor necrosis factor alpha-induced phosphorylation of insulin receptor substrate-1 (IRS-1). </w:t>
      </w:r>
      <w:proofErr w:type="gramStart"/>
      <w:r w:rsidRPr="00133249">
        <w:rPr>
          <w:rFonts w:ascii="Book Antiqua" w:hAnsi="Book Antiqua" w:cs="宋体"/>
          <w:kern w:val="0"/>
          <w:sz w:val="24"/>
        </w:rPr>
        <w:t>Possible mechanism for suppression of insulin-stimulated tyrosine phosphorylation of IRS-1.</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J Biol Chem</w:t>
      </w:r>
      <w:r w:rsidRPr="00133249">
        <w:rPr>
          <w:rFonts w:ascii="Book Antiqua" w:hAnsi="Book Antiqua" w:cs="宋体"/>
          <w:kern w:val="0"/>
          <w:sz w:val="24"/>
        </w:rPr>
        <w:t xml:space="preserve"> 1995; </w:t>
      </w:r>
      <w:r w:rsidRPr="00133249">
        <w:rPr>
          <w:rFonts w:ascii="Book Antiqua" w:hAnsi="Book Antiqua" w:cs="宋体"/>
          <w:b/>
          <w:bCs/>
          <w:kern w:val="0"/>
          <w:sz w:val="24"/>
        </w:rPr>
        <w:t>270</w:t>
      </w:r>
      <w:r w:rsidRPr="00133249">
        <w:rPr>
          <w:rFonts w:ascii="Book Antiqua" w:hAnsi="Book Antiqua" w:cs="宋体"/>
          <w:kern w:val="0"/>
          <w:sz w:val="24"/>
        </w:rPr>
        <w:t>: 23780-23784 [PMID: 7559552]</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170 </w:t>
      </w:r>
      <w:r w:rsidRPr="00133249">
        <w:rPr>
          <w:rFonts w:ascii="Book Antiqua" w:hAnsi="Book Antiqua" w:cs="宋体"/>
          <w:b/>
          <w:bCs/>
          <w:kern w:val="0"/>
          <w:sz w:val="24"/>
        </w:rPr>
        <w:t>Rui L</w:t>
      </w:r>
      <w:r w:rsidRPr="00133249">
        <w:rPr>
          <w:rFonts w:ascii="Book Antiqua" w:hAnsi="Book Antiqua" w:cs="宋体"/>
          <w:kern w:val="0"/>
          <w:sz w:val="24"/>
        </w:rPr>
        <w:t xml:space="preserve">, Aguirre V, Kim JK, Shulman GI, Lee A, Corbould A, Dunaif A, White MF. Insulin/IGF-1 and TNF-alpha stimulate phosphorylation of IRS-1 at inhibitory Ser307 via distinct pathways. </w:t>
      </w:r>
      <w:r w:rsidRPr="00133249">
        <w:rPr>
          <w:rFonts w:ascii="Book Antiqua" w:hAnsi="Book Antiqua" w:cs="宋体"/>
          <w:i/>
          <w:iCs/>
          <w:kern w:val="0"/>
          <w:sz w:val="24"/>
        </w:rPr>
        <w:t>J Clin Invest</w:t>
      </w:r>
      <w:r w:rsidRPr="00133249">
        <w:rPr>
          <w:rFonts w:ascii="Book Antiqua" w:hAnsi="Book Antiqua" w:cs="宋体"/>
          <w:kern w:val="0"/>
          <w:sz w:val="24"/>
        </w:rPr>
        <w:t xml:space="preserve"> 2001; </w:t>
      </w:r>
      <w:r w:rsidRPr="00133249">
        <w:rPr>
          <w:rFonts w:ascii="Book Antiqua" w:hAnsi="Book Antiqua" w:cs="宋体"/>
          <w:b/>
          <w:bCs/>
          <w:kern w:val="0"/>
          <w:sz w:val="24"/>
        </w:rPr>
        <w:t>107</w:t>
      </w:r>
      <w:r w:rsidRPr="00133249">
        <w:rPr>
          <w:rFonts w:ascii="Book Antiqua" w:hAnsi="Book Antiqua" w:cs="宋体"/>
          <w:kern w:val="0"/>
          <w:sz w:val="24"/>
        </w:rPr>
        <w:t>: 181-189 [PMID: 11160134]</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171 </w:t>
      </w:r>
      <w:r w:rsidRPr="00133249">
        <w:rPr>
          <w:rFonts w:ascii="Book Antiqua" w:hAnsi="Book Antiqua" w:cs="宋体"/>
          <w:b/>
          <w:bCs/>
          <w:kern w:val="0"/>
          <w:sz w:val="24"/>
        </w:rPr>
        <w:t>Hirosumi J</w:t>
      </w:r>
      <w:r w:rsidRPr="00133249">
        <w:rPr>
          <w:rFonts w:ascii="Book Antiqua" w:hAnsi="Book Antiqua" w:cs="宋体"/>
          <w:kern w:val="0"/>
          <w:sz w:val="24"/>
        </w:rPr>
        <w:t xml:space="preserve">, Tuncman G, Chang L, Görgün CZ, Uysal KT, Maeda K, Karin M, Hotamisligil GS. </w:t>
      </w:r>
      <w:proofErr w:type="gramStart"/>
      <w:r w:rsidRPr="00133249">
        <w:rPr>
          <w:rFonts w:ascii="Book Antiqua" w:hAnsi="Book Antiqua" w:cs="宋体"/>
          <w:kern w:val="0"/>
          <w:sz w:val="24"/>
        </w:rPr>
        <w:t>A central role for JNK in obesity and insulin resistance.</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Nature</w:t>
      </w:r>
      <w:r w:rsidRPr="00133249">
        <w:rPr>
          <w:rFonts w:ascii="Book Antiqua" w:hAnsi="Book Antiqua" w:cs="宋体"/>
          <w:kern w:val="0"/>
          <w:sz w:val="24"/>
        </w:rPr>
        <w:t xml:space="preserve"> 2002; </w:t>
      </w:r>
      <w:r w:rsidRPr="00133249">
        <w:rPr>
          <w:rFonts w:ascii="Book Antiqua" w:hAnsi="Book Antiqua" w:cs="宋体"/>
          <w:b/>
          <w:bCs/>
          <w:kern w:val="0"/>
          <w:sz w:val="24"/>
        </w:rPr>
        <w:t>420</w:t>
      </w:r>
      <w:r w:rsidRPr="00133249">
        <w:rPr>
          <w:rFonts w:ascii="Book Antiqua" w:hAnsi="Book Antiqua" w:cs="宋体"/>
          <w:kern w:val="0"/>
          <w:sz w:val="24"/>
        </w:rPr>
        <w:t>: 333-336 [PMID: 12447443]</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172 </w:t>
      </w:r>
      <w:r w:rsidRPr="00133249">
        <w:rPr>
          <w:rFonts w:ascii="Book Antiqua" w:hAnsi="Book Antiqua" w:cs="宋体"/>
          <w:b/>
          <w:bCs/>
          <w:kern w:val="0"/>
          <w:sz w:val="24"/>
        </w:rPr>
        <w:t>Hotamisligil GS</w:t>
      </w:r>
      <w:r w:rsidRPr="00133249">
        <w:rPr>
          <w:rFonts w:ascii="Book Antiqua" w:hAnsi="Book Antiqua" w:cs="宋体"/>
          <w:kern w:val="0"/>
          <w:sz w:val="24"/>
        </w:rPr>
        <w:t xml:space="preserve">, Arner P, Caro JF, Atkinson RL, Spiegelman BM. Increased adipose tissue expression of tumor necrosis factor-alpha in human obesity and insulin resistance. </w:t>
      </w:r>
      <w:r w:rsidRPr="00133249">
        <w:rPr>
          <w:rFonts w:ascii="Book Antiqua" w:hAnsi="Book Antiqua" w:cs="宋体"/>
          <w:i/>
          <w:iCs/>
          <w:kern w:val="0"/>
          <w:sz w:val="24"/>
        </w:rPr>
        <w:t>J Clin Invest</w:t>
      </w:r>
      <w:r w:rsidRPr="00133249">
        <w:rPr>
          <w:rFonts w:ascii="Book Antiqua" w:hAnsi="Book Antiqua" w:cs="宋体"/>
          <w:kern w:val="0"/>
          <w:sz w:val="24"/>
        </w:rPr>
        <w:t xml:space="preserve"> 1995; </w:t>
      </w:r>
      <w:r w:rsidRPr="00133249">
        <w:rPr>
          <w:rFonts w:ascii="Book Antiqua" w:hAnsi="Book Antiqua" w:cs="宋体"/>
          <w:b/>
          <w:bCs/>
          <w:kern w:val="0"/>
          <w:sz w:val="24"/>
        </w:rPr>
        <w:t>95</w:t>
      </w:r>
      <w:r w:rsidRPr="00133249">
        <w:rPr>
          <w:rFonts w:ascii="Book Antiqua" w:hAnsi="Book Antiqua" w:cs="宋体"/>
          <w:kern w:val="0"/>
          <w:sz w:val="24"/>
        </w:rPr>
        <w:t>: 2409-2415 [PMID: 7738205]</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t xml:space="preserve">173 </w:t>
      </w:r>
      <w:r w:rsidRPr="00133249">
        <w:rPr>
          <w:rFonts w:ascii="Book Antiqua" w:hAnsi="Book Antiqua" w:cs="宋体"/>
          <w:b/>
          <w:bCs/>
          <w:kern w:val="0"/>
          <w:sz w:val="24"/>
        </w:rPr>
        <w:t>Samad F</w:t>
      </w:r>
      <w:r w:rsidRPr="00133249">
        <w:rPr>
          <w:rFonts w:ascii="Book Antiqua" w:hAnsi="Book Antiqua" w:cs="宋体"/>
          <w:kern w:val="0"/>
          <w:sz w:val="24"/>
        </w:rPr>
        <w:t>, Uysal KT, Wiesbrock SM, Pandey M, Hotamisligil GS, Loskutoff DJ.</w:t>
      </w:r>
      <w:proofErr w:type="gramEnd"/>
      <w:r w:rsidRPr="00133249">
        <w:rPr>
          <w:rFonts w:ascii="Book Antiqua" w:hAnsi="Book Antiqua" w:cs="宋体"/>
          <w:kern w:val="0"/>
          <w:sz w:val="24"/>
        </w:rPr>
        <w:t xml:space="preserve"> Tumor necrosis factor alpha is a key component in the obesity-linked elevation of plasminogen activator inhibitor 1. </w:t>
      </w:r>
      <w:r w:rsidR="007F309F">
        <w:rPr>
          <w:rFonts w:ascii="Book Antiqua" w:hAnsi="Book Antiqua" w:cs="宋体"/>
          <w:i/>
          <w:iCs/>
          <w:kern w:val="0"/>
          <w:sz w:val="24"/>
        </w:rPr>
        <w:t>Proc Natl Acad Sci US</w:t>
      </w:r>
      <w:r w:rsidRPr="00133249">
        <w:rPr>
          <w:rFonts w:ascii="Book Antiqua" w:hAnsi="Book Antiqua" w:cs="宋体"/>
          <w:i/>
          <w:iCs/>
          <w:kern w:val="0"/>
          <w:sz w:val="24"/>
        </w:rPr>
        <w:t>A</w:t>
      </w:r>
      <w:r w:rsidRPr="00133249">
        <w:rPr>
          <w:rFonts w:ascii="Book Antiqua" w:hAnsi="Book Antiqua" w:cs="宋体"/>
          <w:kern w:val="0"/>
          <w:sz w:val="24"/>
        </w:rPr>
        <w:t xml:space="preserve"> 1999; </w:t>
      </w:r>
      <w:r w:rsidRPr="00133249">
        <w:rPr>
          <w:rFonts w:ascii="Book Antiqua" w:hAnsi="Book Antiqua" w:cs="宋体"/>
          <w:b/>
          <w:bCs/>
          <w:kern w:val="0"/>
          <w:sz w:val="24"/>
        </w:rPr>
        <w:t>96</w:t>
      </w:r>
      <w:r w:rsidRPr="00133249">
        <w:rPr>
          <w:rFonts w:ascii="Book Antiqua" w:hAnsi="Book Antiqua" w:cs="宋体"/>
          <w:kern w:val="0"/>
          <w:sz w:val="24"/>
        </w:rPr>
        <w:t>: 6902-6907 [PMID: 10359811]</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174 </w:t>
      </w:r>
      <w:r w:rsidRPr="00133249">
        <w:rPr>
          <w:rFonts w:ascii="Book Antiqua" w:hAnsi="Book Antiqua" w:cs="宋体"/>
          <w:b/>
          <w:bCs/>
          <w:kern w:val="0"/>
          <w:sz w:val="24"/>
        </w:rPr>
        <w:t>Bonnet MC</w:t>
      </w:r>
      <w:r w:rsidRPr="00133249">
        <w:rPr>
          <w:rFonts w:ascii="Book Antiqua" w:hAnsi="Book Antiqua" w:cs="宋体"/>
          <w:kern w:val="0"/>
          <w:sz w:val="24"/>
        </w:rPr>
        <w:t xml:space="preserve">, Weil R, Dam E, Hovanessian AG, Meurs EF. PKR stimulates NF-kappaB irrespective of its kinase function by interacting with the IkappaB kinase complex. </w:t>
      </w:r>
      <w:r w:rsidRPr="00133249">
        <w:rPr>
          <w:rFonts w:ascii="Book Antiqua" w:hAnsi="Book Antiqua" w:cs="宋体"/>
          <w:i/>
          <w:iCs/>
          <w:kern w:val="0"/>
          <w:sz w:val="24"/>
        </w:rPr>
        <w:t>Mol Cell Biol</w:t>
      </w:r>
      <w:r w:rsidRPr="00133249">
        <w:rPr>
          <w:rFonts w:ascii="Book Antiqua" w:hAnsi="Book Antiqua" w:cs="宋体"/>
          <w:kern w:val="0"/>
          <w:sz w:val="24"/>
        </w:rPr>
        <w:t xml:space="preserve"> 2000; </w:t>
      </w:r>
      <w:r w:rsidRPr="00133249">
        <w:rPr>
          <w:rFonts w:ascii="Book Antiqua" w:hAnsi="Book Antiqua" w:cs="宋体"/>
          <w:b/>
          <w:bCs/>
          <w:kern w:val="0"/>
          <w:sz w:val="24"/>
        </w:rPr>
        <w:t>20</w:t>
      </w:r>
      <w:r w:rsidRPr="00133249">
        <w:rPr>
          <w:rFonts w:ascii="Book Antiqua" w:hAnsi="Book Antiqua" w:cs="宋体"/>
          <w:kern w:val="0"/>
          <w:sz w:val="24"/>
        </w:rPr>
        <w:t>: 4532-4542 [PMID: 10848580]</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t xml:space="preserve">175 </w:t>
      </w:r>
      <w:r w:rsidRPr="00133249">
        <w:rPr>
          <w:rFonts w:ascii="Book Antiqua" w:hAnsi="Book Antiqua" w:cs="宋体"/>
          <w:b/>
          <w:bCs/>
          <w:kern w:val="0"/>
          <w:sz w:val="24"/>
        </w:rPr>
        <w:t>Takada Y</w:t>
      </w:r>
      <w:r w:rsidRPr="00133249">
        <w:rPr>
          <w:rFonts w:ascii="Book Antiqua" w:hAnsi="Book Antiqua" w:cs="宋体"/>
          <w:kern w:val="0"/>
          <w:sz w:val="24"/>
        </w:rPr>
        <w:t>, Ichikawa H, Pataer A, Swisher S, Aggarwal BB.</w:t>
      </w:r>
      <w:proofErr w:type="gramEnd"/>
      <w:r w:rsidRPr="00133249">
        <w:rPr>
          <w:rFonts w:ascii="Book Antiqua" w:hAnsi="Book Antiqua" w:cs="宋体"/>
          <w:kern w:val="0"/>
          <w:sz w:val="24"/>
        </w:rPr>
        <w:t xml:space="preserve"> Genetic deletion of PKR abrogates TNF-induced activation of IkappaBalpha kinase, JNK, Akt and cell </w:t>
      </w:r>
      <w:r w:rsidRPr="00133249">
        <w:rPr>
          <w:rFonts w:ascii="Book Antiqua" w:hAnsi="Book Antiqua" w:cs="宋体"/>
          <w:kern w:val="0"/>
          <w:sz w:val="24"/>
        </w:rPr>
        <w:lastRenderedPageBreak/>
        <w:t xml:space="preserve">proliferation but potentiates p44/p42 MAPK and p38 MAPK activation. </w:t>
      </w:r>
      <w:r w:rsidRPr="00133249">
        <w:rPr>
          <w:rFonts w:ascii="Book Antiqua" w:hAnsi="Book Antiqua" w:cs="宋体"/>
          <w:i/>
          <w:iCs/>
          <w:kern w:val="0"/>
          <w:sz w:val="24"/>
        </w:rPr>
        <w:t>Oncogene</w:t>
      </w:r>
      <w:r w:rsidRPr="00133249">
        <w:rPr>
          <w:rFonts w:ascii="Book Antiqua" w:hAnsi="Book Antiqua" w:cs="宋体"/>
          <w:kern w:val="0"/>
          <w:sz w:val="24"/>
        </w:rPr>
        <w:t xml:space="preserve"> 2007; </w:t>
      </w:r>
      <w:r w:rsidRPr="00133249">
        <w:rPr>
          <w:rFonts w:ascii="Book Antiqua" w:hAnsi="Book Antiqua" w:cs="宋体"/>
          <w:b/>
          <w:bCs/>
          <w:kern w:val="0"/>
          <w:sz w:val="24"/>
        </w:rPr>
        <w:t>26</w:t>
      </w:r>
      <w:r w:rsidRPr="00133249">
        <w:rPr>
          <w:rFonts w:ascii="Book Antiqua" w:hAnsi="Book Antiqua" w:cs="宋体"/>
          <w:kern w:val="0"/>
          <w:sz w:val="24"/>
        </w:rPr>
        <w:t>: 1201-1212 [PMID: 16924232]</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176 </w:t>
      </w:r>
      <w:r w:rsidRPr="00133249">
        <w:rPr>
          <w:rFonts w:ascii="Book Antiqua" w:hAnsi="Book Antiqua" w:cs="宋体"/>
          <w:b/>
          <w:bCs/>
          <w:kern w:val="0"/>
          <w:sz w:val="24"/>
        </w:rPr>
        <w:t>Costello DA</w:t>
      </w:r>
      <w:r w:rsidRPr="00133249">
        <w:rPr>
          <w:rFonts w:ascii="Book Antiqua" w:hAnsi="Book Antiqua" w:cs="宋体"/>
          <w:kern w:val="0"/>
          <w:sz w:val="24"/>
        </w:rPr>
        <w:t xml:space="preserve">, Claret M, Al-Qassab H, Plattner F, Irvine EE, Choudhury AI, Giese KP, Withers DJ, Pedarzani P. Brain deletion of insulin receptor substrate 2 disrupts hippocampal synaptic plasticity and metaplasticity. </w:t>
      </w:r>
      <w:r w:rsidRPr="00133249">
        <w:rPr>
          <w:rFonts w:ascii="Book Antiqua" w:hAnsi="Book Antiqua" w:cs="宋体"/>
          <w:i/>
          <w:iCs/>
          <w:kern w:val="0"/>
          <w:sz w:val="24"/>
        </w:rPr>
        <w:t>PLoS One</w:t>
      </w:r>
      <w:r w:rsidRPr="00133249">
        <w:rPr>
          <w:rFonts w:ascii="Book Antiqua" w:hAnsi="Book Antiqua" w:cs="宋体"/>
          <w:kern w:val="0"/>
          <w:sz w:val="24"/>
        </w:rPr>
        <w:t xml:space="preserve"> 2012; </w:t>
      </w:r>
      <w:r w:rsidRPr="00133249">
        <w:rPr>
          <w:rFonts w:ascii="Book Antiqua" w:hAnsi="Book Antiqua" w:cs="宋体"/>
          <w:b/>
          <w:bCs/>
          <w:kern w:val="0"/>
          <w:sz w:val="24"/>
        </w:rPr>
        <w:t>7</w:t>
      </w:r>
      <w:r w:rsidRPr="00133249">
        <w:rPr>
          <w:rFonts w:ascii="Book Antiqua" w:hAnsi="Book Antiqua" w:cs="宋体"/>
          <w:kern w:val="0"/>
          <w:sz w:val="24"/>
        </w:rPr>
        <w:t>: e31124 [PMID: 22383997 DOI: 10.1371/journal.pone.0031124]</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177 </w:t>
      </w:r>
      <w:r w:rsidRPr="00133249">
        <w:rPr>
          <w:rFonts w:ascii="Book Antiqua" w:hAnsi="Book Antiqua" w:cs="宋体"/>
          <w:b/>
          <w:bCs/>
          <w:kern w:val="0"/>
          <w:sz w:val="24"/>
        </w:rPr>
        <w:t>Zhao WQ</w:t>
      </w:r>
      <w:r w:rsidRPr="00133249">
        <w:rPr>
          <w:rFonts w:ascii="Book Antiqua" w:hAnsi="Book Antiqua" w:cs="宋体"/>
          <w:kern w:val="0"/>
          <w:sz w:val="24"/>
        </w:rPr>
        <w:t xml:space="preserve">, Chen H, Quon MJ, Alkon DL. </w:t>
      </w:r>
      <w:proofErr w:type="gramStart"/>
      <w:r w:rsidRPr="00133249">
        <w:rPr>
          <w:rFonts w:ascii="Book Antiqua" w:hAnsi="Book Antiqua" w:cs="宋体"/>
          <w:kern w:val="0"/>
          <w:sz w:val="24"/>
        </w:rPr>
        <w:t>Insulin and the insulin receptor in experimental models of learning and memory.</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Eur J Pharmacol</w:t>
      </w:r>
      <w:r w:rsidRPr="00133249">
        <w:rPr>
          <w:rFonts w:ascii="Book Antiqua" w:hAnsi="Book Antiqua" w:cs="宋体"/>
          <w:kern w:val="0"/>
          <w:sz w:val="24"/>
        </w:rPr>
        <w:t xml:space="preserve"> 2004; </w:t>
      </w:r>
      <w:r w:rsidRPr="00133249">
        <w:rPr>
          <w:rFonts w:ascii="Book Antiqua" w:hAnsi="Book Antiqua" w:cs="宋体"/>
          <w:b/>
          <w:bCs/>
          <w:kern w:val="0"/>
          <w:sz w:val="24"/>
        </w:rPr>
        <w:t>490</w:t>
      </w:r>
      <w:r w:rsidRPr="00133249">
        <w:rPr>
          <w:rFonts w:ascii="Book Antiqua" w:hAnsi="Book Antiqua" w:cs="宋体"/>
          <w:kern w:val="0"/>
          <w:sz w:val="24"/>
        </w:rPr>
        <w:t>: 71-81 [PMID: 15094074]</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178 </w:t>
      </w:r>
      <w:r w:rsidRPr="00133249">
        <w:rPr>
          <w:rFonts w:ascii="Book Antiqua" w:hAnsi="Book Antiqua" w:cs="宋体"/>
          <w:b/>
          <w:bCs/>
          <w:kern w:val="0"/>
          <w:sz w:val="24"/>
        </w:rPr>
        <w:t>Smith MA</w:t>
      </w:r>
      <w:r w:rsidRPr="00133249">
        <w:rPr>
          <w:rFonts w:ascii="Book Antiqua" w:hAnsi="Book Antiqua" w:cs="宋体"/>
          <w:kern w:val="0"/>
          <w:sz w:val="24"/>
        </w:rPr>
        <w:t xml:space="preserve">, Sayre LM, Monnier VM, Perry G. Radical AGEing in Alzheimer's disease. </w:t>
      </w:r>
      <w:r w:rsidRPr="00133249">
        <w:rPr>
          <w:rFonts w:ascii="Book Antiqua" w:hAnsi="Book Antiqua" w:cs="宋体"/>
          <w:i/>
          <w:iCs/>
          <w:kern w:val="0"/>
          <w:sz w:val="24"/>
        </w:rPr>
        <w:t>Trends Neurosci</w:t>
      </w:r>
      <w:r w:rsidRPr="00133249">
        <w:rPr>
          <w:rFonts w:ascii="Book Antiqua" w:hAnsi="Book Antiqua" w:cs="宋体"/>
          <w:kern w:val="0"/>
          <w:sz w:val="24"/>
        </w:rPr>
        <w:t xml:space="preserve"> 1995; </w:t>
      </w:r>
      <w:r w:rsidRPr="00133249">
        <w:rPr>
          <w:rFonts w:ascii="Book Antiqua" w:hAnsi="Book Antiqua" w:cs="宋体"/>
          <w:b/>
          <w:bCs/>
          <w:kern w:val="0"/>
          <w:sz w:val="24"/>
        </w:rPr>
        <w:t>18</w:t>
      </w:r>
      <w:r w:rsidRPr="00133249">
        <w:rPr>
          <w:rFonts w:ascii="Book Antiqua" w:hAnsi="Book Antiqua" w:cs="宋体"/>
          <w:kern w:val="0"/>
          <w:sz w:val="24"/>
        </w:rPr>
        <w:t>: 172-176 [PMID: 7778188]</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179 </w:t>
      </w:r>
      <w:r w:rsidRPr="00133249">
        <w:rPr>
          <w:rFonts w:ascii="Book Antiqua" w:hAnsi="Book Antiqua" w:cs="宋体"/>
          <w:b/>
          <w:bCs/>
          <w:kern w:val="0"/>
          <w:sz w:val="24"/>
        </w:rPr>
        <w:t>Li X</w:t>
      </w:r>
      <w:r w:rsidRPr="00133249">
        <w:rPr>
          <w:rFonts w:ascii="Book Antiqua" w:hAnsi="Book Antiqua" w:cs="宋体"/>
          <w:kern w:val="0"/>
          <w:sz w:val="24"/>
        </w:rPr>
        <w:t xml:space="preserve">, Fang P, Mai J, Choi ET, Wang H, Yang XF. Targeting mitochondrial reactive oxygen species as novel therapy for inflammatory diseases and cancers. </w:t>
      </w:r>
      <w:r w:rsidRPr="00133249">
        <w:rPr>
          <w:rFonts w:ascii="Book Antiqua" w:hAnsi="Book Antiqua" w:cs="宋体"/>
          <w:i/>
          <w:iCs/>
          <w:kern w:val="0"/>
          <w:sz w:val="24"/>
        </w:rPr>
        <w:t>J Hematol Oncol</w:t>
      </w:r>
      <w:r w:rsidRPr="00133249">
        <w:rPr>
          <w:rFonts w:ascii="Book Antiqua" w:hAnsi="Book Antiqua" w:cs="宋体"/>
          <w:kern w:val="0"/>
          <w:sz w:val="24"/>
        </w:rPr>
        <w:t xml:space="preserve"> 2013; </w:t>
      </w:r>
      <w:r w:rsidRPr="00133249">
        <w:rPr>
          <w:rFonts w:ascii="Book Antiqua" w:hAnsi="Book Antiqua" w:cs="宋体"/>
          <w:b/>
          <w:bCs/>
          <w:kern w:val="0"/>
          <w:sz w:val="24"/>
        </w:rPr>
        <w:t>6</w:t>
      </w:r>
      <w:r w:rsidRPr="00133249">
        <w:rPr>
          <w:rFonts w:ascii="Book Antiqua" w:hAnsi="Book Antiqua" w:cs="宋体"/>
          <w:kern w:val="0"/>
          <w:sz w:val="24"/>
        </w:rPr>
        <w:t>: 19 [PMID: 23442817 DOI: 10.1186/1756-8722-6-19]</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180 </w:t>
      </w:r>
      <w:r w:rsidRPr="00133249">
        <w:rPr>
          <w:rFonts w:ascii="Book Antiqua" w:hAnsi="Book Antiqua" w:cs="宋体"/>
          <w:b/>
          <w:bCs/>
          <w:kern w:val="0"/>
          <w:sz w:val="24"/>
        </w:rPr>
        <w:t>Moreira PI</w:t>
      </w:r>
      <w:r w:rsidRPr="00133249">
        <w:rPr>
          <w:rFonts w:ascii="Book Antiqua" w:hAnsi="Book Antiqua" w:cs="宋体"/>
          <w:kern w:val="0"/>
          <w:sz w:val="24"/>
        </w:rPr>
        <w:t xml:space="preserve">, Harris PL, Zhu X, Santos MS, Oliveira CR, Smith MA, Perry G. Lipoic acid and N-acetyl cysteine decrease mitochondrial-related oxidative stress in Alzheimer disease patient fibroblasts. </w:t>
      </w:r>
      <w:r w:rsidRPr="00133249">
        <w:rPr>
          <w:rFonts w:ascii="Book Antiqua" w:hAnsi="Book Antiqua" w:cs="宋体"/>
          <w:i/>
          <w:iCs/>
          <w:kern w:val="0"/>
          <w:sz w:val="24"/>
        </w:rPr>
        <w:t>J Alzheimers Dis</w:t>
      </w:r>
      <w:r w:rsidRPr="00133249">
        <w:rPr>
          <w:rFonts w:ascii="Book Antiqua" w:hAnsi="Book Antiqua" w:cs="宋体"/>
          <w:kern w:val="0"/>
          <w:sz w:val="24"/>
        </w:rPr>
        <w:t xml:space="preserve"> 2007; </w:t>
      </w:r>
      <w:r w:rsidRPr="00133249">
        <w:rPr>
          <w:rFonts w:ascii="Book Antiqua" w:hAnsi="Book Antiqua" w:cs="宋体"/>
          <w:b/>
          <w:bCs/>
          <w:kern w:val="0"/>
          <w:sz w:val="24"/>
        </w:rPr>
        <w:t>12</w:t>
      </w:r>
      <w:r w:rsidRPr="00133249">
        <w:rPr>
          <w:rFonts w:ascii="Book Antiqua" w:hAnsi="Book Antiqua" w:cs="宋体"/>
          <w:kern w:val="0"/>
          <w:sz w:val="24"/>
        </w:rPr>
        <w:t>: 195-206 [PMID: 17917164]</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181 </w:t>
      </w:r>
      <w:r w:rsidRPr="00133249">
        <w:rPr>
          <w:rFonts w:ascii="Book Antiqua" w:hAnsi="Book Antiqua" w:cs="宋体"/>
          <w:b/>
          <w:bCs/>
          <w:kern w:val="0"/>
          <w:sz w:val="24"/>
        </w:rPr>
        <w:t>Hauptmann S</w:t>
      </w:r>
      <w:r w:rsidRPr="00133249">
        <w:rPr>
          <w:rFonts w:ascii="Book Antiqua" w:hAnsi="Book Antiqua" w:cs="宋体"/>
          <w:kern w:val="0"/>
          <w:sz w:val="24"/>
        </w:rPr>
        <w:t xml:space="preserve">, Scherping I, Dröse S, Brandt U, Schulz KL, Jendrach M, Leuner K, Eckert A, Müller WE. Mitochondrial dysfunction: an early event in Alzheimer pathology accumulates with age in AD transgenic mice. </w:t>
      </w:r>
      <w:r w:rsidRPr="00133249">
        <w:rPr>
          <w:rFonts w:ascii="Book Antiqua" w:hAnsi="Book Antiqua" w:cs="宋体"/>
          <w:i/>
          <w:iCs/>
          <w:kern w:val="0"/>
          <w:sz w:val="24"/>
        </w:rPr>
        <w:t>Neurobiol Aging</w:t>
      </w:r>
      <w:r w:rsidRPr="00133249">
        <w:rPr>
          <w:rFonts w:ascii="Book Antiqua" w:hAnsi="Book Antiqua" w:cs="宋体"/>
          <w:kern w:val="0"/>
          <w:sz w:val="24"/>
        </w:rPr>
        <w:t xml:space="preserve"> 2009; </w:t>
      </w:r>
      <w:r w:rsidRPr="00133249">
        <w:rPr>
          <w:rFonts w:ascii="Book Antiqua" w:hAnsi="Book Antiqua" w:cs="宋体"/>
          <w:b/>
          <w:bCs/>
          <w:kern w:val="0"/>
          <w:sz w:val="24"/>
        </w:rPr>
        <w:t>30</w:t>
      </w:r>
      <w:r w:rsidRPr="00133249">
        <w:rPr>
          <w:rFonts w:ascii="Book Antiqua" w:hAnsi="Book Antiqua" w:cs="宋体"/>
          <w:kern w:val="0"/>
          <w:sz w:val="24"/>
        </w:rPr>
        <w:t>: 1574-1586 [PMID: 18295378 DOI: 10.1016/j.neurobiolaging.2007.12.005]</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t xml:space="preserve">182 </w:t>
      </w:r>
      <w:r w:rsidRPr="00133249">
        <w:rPr>
          <w:rFonts w:ascii="Book Antiqua" w:hAnsi="Book Antiqua" w:cs="宋体"/>
          <w:b/>
          <w:bCs/>
          <w:kern w:val="0"/>
          <w:sz w:val="24"/>
        </w:rPr>
        <w:t>Fu YJ</w:t>
      </w:r>
      <w:r w:rsidRPr="00133249">
        <w:rPr>
          <w:rFonts w:ascii="Book Antiqua" w:hAnsi="Book Antiqua" w:cs="宋体"/>
          <w:kern w:val="0"/>
          <w:sz w:val="24"/>
        </w:rPr>
        <w:t>, Xiong S, Lovell MA, Lynn BC.</w:t>
      </w:r>
      <w:proofErr w:type="gramEnd"/>
      <w:r w:rsidRPr="00133249">
        <w:rPr>
          <w:rFonts w:ascii="Book Antiqua" w:hAnsi="Book Antiqua" w:cs="宋体"/>
          <w:kern w:val="0"/>
          <w:sz w:val="24"/>
        </w:rPr>
        <w:t xml:space="preserve"> </w:t>
      </w:r>
      <w:proofErr w:type="gramStart"/>
      <w:r w:rsidRPr="00133249">
        <w:rPr>
          <w:rFonts w:ascii="Book Antiqua" w:hAnsi="Book Antiqua" w:cs="宋体"/>
          <w:kern w:val="0"/>
          <w:sz w:val="24"/>
        </w:rPr>
        <w:t>Quantitative proteomic analysis of mitochondria in aging PS-1 transgenic mice.</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Cell Mol Neurobiol</w:t>
      </w:r>
      <w:r w:rsidRPr="00133249">
        <w:rPr>
          <w:rFonts w:ascii="Book Antiqua" w:hAnsi="Book Antiqua" w:cs="宋体"/>
          <w:kern w:val="0"/>
          <w:sz w:val="24"/>
        </w:rPr>
        <w:t xml:space="preserve"> 2009; </w:t>
      </w:r>
      <w:r w:rsidRPr="00133249">
        <w:rPr>
          <w:rFonts w:ascii="Book Antiqua" w:hAnsi="Book Antiqua" w:cs="宋体"/>
          <w:b/>
          <w:bCs/>
          <w:kern w:val="0"/>
          <w:sz w:val="24"/>
        </w:rPr>
        <w:t>29</w:t>
      </w:r>
      <w:r w:rsidRPr="00133249">
        <w:rPr>
          <w:rFonts w:ascii="Book Antiqua" w:hAnsi="Book Antiqua" w:cs="宋体"/>
          <w:kern w:val="0"/>
          <w:sz w:val="24"/>
        </w:rPr>
        <w:t>: 649-664 [PMID: 19241155 DOI: 10.1007/s10571-009-9359-5]</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183 </w:t>
      </w:r>
      <w:r w:rsidRPr="00133249">
        <w:rPr>
          <w:rFonts w:ascii="Book Antiqua" w:hAnsi="Book Antiqua" w:cs="宋体"/>
          <w:b/>
          <w:bCs/>
          <w:kern w:val="0"/>
          <w:sz w:val="24"/>
        </w:rPr>
        <w:t>Nunomura A</w:t>
      </w:r>
      <w:r w:rsidRPr="00133249">
        <w:rPr>
          <w:rFonts w:ascii="Book Antiqua" w:hAnsi="Book Antiqua" w:cs="宋体"/>
          <w:kern w:val="0"/>
          <w:sz w:val="24"/>
        </w:rPr>
        <w:t xml:space="preserve">, Perry G, Aliev G, Hirai K, Takeda A, Balraj EK, Jones PK, Ghanbari H, Wataya T, Shimohama S, Chiba S, Atwood CS, Petersen RB, Smith MA. Oxidative damage is the earliest event in Alzheimer disease. </w:t>
      </w:r>
      <w:r w:rsidRPr="00133249">
        <w:rPr>
          <w:rFonts w:ascii="Book Antiqua" w:hAnsi="Book Antiqua" w:cs="宋体"/>
          <w:i/>
          <w:iCs/>
          <w:kern w:val="0"/>
          <w:sz w:val="24"/>
        </w:rPr>
        <w:t>J Neuropathol Exp Neurol</w:t>
      </w:r>
      <w:r w:rsidRPr="00133249">
        <w:rPr>
          <w:rFonts w:ascii="Book Antiqua" w:hAnsi="Book Antiqua" w:cs="宋体"/>
          <w:kern w:val="0"/>
          <w:sz w:val="24"/>
        </w:rPr>
        <w:t xml:space="preserve"> 2001; </w:t>
      </w:r>
      <w:r w:rsidRPr="00133249">
        <w:rPr>
          <w:rFonts w:ascii="Book Antiqua" w:hAnsi="Book Antiqua" w:cs="宋体"/>
          <w:b/>
          <w:bCs/>
          <w:kern w:val="0"/>
          <w:sz w:val="24"/>
        </w:rPr>
        <w:t>60</w:t>
      </w:r>
      <w:r w:rsidRPr="00133249">
        <w:rPr>
          <w:rFonts w:ascii="Book Antiqua" w:hAnsi="Book Antiqua" w:cs="宋体"/>
          <w:kern w:val="0"/>
          <w:sz w:val="24"/>
        </w:rPr>
        <w:t>: 759-767 [PMID: 11487050]</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184 </w:t>
      </w:r>
      <w:r w:rsidRPr="00133249">
        <w:rPr>
          <w:rFonts w:ascii="Book Antiqua" w:hAnsi="Book Antiqua" w:cs="宋体"/>
          <w:b/>
          <w:bCs/>
          <w:kern w:val="0"/>
          <w:sz w:val="24"/>
        </w:rPr>
        <w:t>Aliyev A</w:t>
      </w:r>
      <w:r w:rsidRPr="00133249">
        <w:rPr>
          <w:rFonts w:ascii="Book Antiqua" w:hAnsi="Book Antiqua" w:cs="宋体"/>
          <w:kern w:val="0"/>
          <w:sz w:val="24"/>
        </w:rPr>
        <w:t xml:space="preserve">, Chen SG, Seyidova D, Smith MA, Perry G, de la Torre J, Aliev G. Mitochondria DNA deletions in atherosclerotic hypoperfused brain microvessels as a </w:t>
      </w:r>
      <w:r w:rsidRPr="00133249">
        <w:rPr>
          <w:rFonts w:ascii="Book Antiqua" w:hAnsi="Book Antiqua" w:cs="宋体"/>
          <w:kern w:val="0"/>
          <w:sz w:val="24"/>
        </w:rPr>
        <w:lastRenderedPageBreak/>
        <w:t xml:space="preserve">primary target for the development of Alzheimer's disease. </w:t>
      </w:r>
      <w:r w:rsidRPr="00133249">
        <w:rPr>
          <w:rFonts w:ascii="Book Antiqua" w:hAnsi="Book Antiqua" w:cs="宋体"/>
          <w:i/>
          <w:iCs/>
          <w:kern w:val="0"/>
          <w:sz w:val="24"/>
        </w:rPr>
        <w:t>J Neurol Sci</w:t>
      </w:r>
      <w:r w:rsidRPr="00133249">
        <w:rPr>
          <w:rFonts w:ascii="Book Antiqua" w:hAnsi="Book Antiqua" w:cs="宋体"/>
          <w:kern w:val="0"/>
          <w:sz w:val="24"/>
        </w:rPr>
        <w:t xml:space="preserve"> 2005; </w:t>
      </w:r>
      <w:r w:rsidRPr="00133249">
        <w:rPr>
          <w:rFonts w:ascii="Book Antiqua" w:hAnsi="Book Antiqua" w:cs="宋体"/>
          <w:b/>
          <w:bCs/>
          <w:kern w:val="0"/>
          <w:sz w:val="24"/>
        </w:rPr>
        <w:t>229-230</w:t>
      </w:r>
      <w:r w:rsidRPr="00133249">
        <w:rPr>
          <w:rFonts w:ascii="Book Antiqua" w:hAnsi="Book Antiqua" w:cs="宋体"/>
          <w:kern w:val="0"/>
          <w:sz w:val="24"/>
        </w:rPr>
        <w:t>: 285-292 [PMID: 15760652]</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t xml:space="preserve">185 </w:t>
      </w:r>
      <w:r w:rsidRPr="00133249">
        <w:rPr>
          <w:rFonts w:ascii="Book Antiqua" w:hAnsi="Book Antiqua" w:cs="宋体"/>
          <w:b/>
          <w:bCs/>
          <w:kern w:val="0"/>
          <w:sz w:val="24"/>
        </w:rPr>
        <w:t>Devi L</w:t>
      </w:r>
      <w:r w:rsidRPr="00133249">
        <w:rPr>
          <w:rFonts w:ascii="Book Antiqua" w:hAnsi="Book Antiqua" w:cs="宋体"/>
          <w:kern w:val="0"/>
          <w:sz w:val="24"/>
        </w:rPr>
        <w:t>, Prabhu BM, Galati DF, Avadhani NG, Anandatheerthavarada HK.</w:t>
      </w:r>
      <w:proofErr w:type="gramEnd"/>
      <w:r w:rsidRPr="00133249">
        <w:rPr>
          <w:rFonts w:ascii="Book Antiqua" w:hAnsi="Book Antiqua" w:cs="宋体"/>
          <w:kern w:val="0"/>
          <w:sz w:val="24"/>
        </w:rPr>
        <w:t xml:space="preserve"> Accumulation of amyloid precursor protein in the mitochondrial import channels of human Alzheimer's disease brain is associated with mitochondrial dysfunction. </w:t>
      </w:r>
      <w:r w:rsidRPr="00133249">
        <w:rPr>
          <w:rFonts w:ascii="Book Antiqua" w:hAnsi="Book Antiqua" w:cs="宋体"/>
          <w:i/>
          <w:iCs/>
          <w:kern w:val="0"/>
          <w:sz w:val="24"/>
        </w:rPr>
        <w:t>J Neurosci</w:t>
      </w:r>
      <w:r w:rsidRPr="00133249">
        <w:rPr>
          <w:rFonts w:ascii="Book Antiqua" w:hAnsi="Book Antiqua" w:cs="宋体"/>
          <w:kern w:val="0"/>
          <w:sz w:val="24"/>
        </w:rPr>
        <w:t xml:space="preserve"> 2006; </w:t>
      </w:r>
      <w:r w:rsidRPr="00133249">
        <w:rPr>
          <w:rFonts w:ascii="Book Antiqua" w:hAnsi="Book Antiqua" w:cs="宋体"/>
          <w:b/>
          <w:bCs/>
          <w:kern w:val="0"/>
          <w:sz w:val="24"/>
        </w:rPr>
        <w:t>26</w:t>
      </w:r>
      <w:r w:rsidRPr="00133249">
        <w:rPr>
          <w:rFonts w:ascii="Book Antiqua" w:hAnsi="Book Antiqua" w:cs="宋体"/>
          <w:kern w:val="0"/>
          <w:sz w:val="24"/>
        </w:rPr>
        <w:t>: 9057-9068 [PMID: 16943564]</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186 </w:t>
      </w:r>
      <w:r w:rsidRPr="00133249">
        <w:rPr>
          <w:rFonts w:ascii="Book Antiqua" w:hAnsi="Book Antiqua" w:cs="宋体"/>
          <w:b/>
          <w:bCs/>
          <w:kern w:val="0"/>
          <w:sz w:val="24"/>
        </w:rPr>
        <w:t>Su B</w:t>
      </w:r>
      <w:r w:rsidRPr="00133249">
        <w:rPr>
          <w:rFonts w:ascii="Book Antiqua" w:hAnsi="Book Antiqua" w:cs="宋体"/>
          <w:kern w:val="0"/>
          <w:sz w:val="24"/>
        </w:rPr>
        <w:t xml:space="preserve">, Wang X, Nunomura A, Moreira PI, Lee HG, Perry G, Smith MA, Zhu X. Oxidative stress signaling in Alzheimer's disease. </w:t>
      </w:r>
      <w:r w:rsidRPr="00133249">
        <w:rPr>
          <w:rFonts w:ascii="Book Antiqua" w:hAnsi="Book Antiqua" w:cs="宋体"/>
          <w:i/>
          <w:iCs/>
          <w:kern w:val="0"/>
          <w:sz w:val="24"/>
        </w:rPr>
        <w:t>Curr Alzheimer Res</w:t>
      </w:r>
      <w:r w:rsidRPr="00133249">
        <w:rPr>
          <w:rFonts w:ascii="Book Antiqua" w:hAnsi="Book Antiqua" w:cs="宋体"/>
          <w:kern w:val="0"/>
          <w:sz w:val="24"/>
        </w:rPr>
        <w:t xml:space="preserve"> 2008; </w:t>
      </w:r>
      <w:r w:rsidRPr="00133249">
        <w:rPr>
          <w:rFonts w:ascii="Book Antiqua" w:hAnsi="Book Antiqua" w:cs="宋体"/>
          <w:b/>
          <w:bCs/>
          <w:kern w:val="0"/>
          <w:sz w:val="24"/>
        </w:rPr>
        <w:t>5</w:t>
      </w:r>
      <w:r w:rsidRPr="00133249">
        <w:rPr>
          <w:rFonts w:ascii="Book Antiqua" w:hAnsi="Book Antiqua" w:cs="宋体"/>
          <w:kern w:val="0"/>
          <w:sz w:val="24"/>
        </w:rPr>
        <w:t>: 525-532 [PMID: 19075578]</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187 </w:t>
      </w:r>
      <w:r w:rsidRPr="00133249">
        <w:rPr>
          <w:rFonts w:ascii="Book Antiqua" w:hAnsi="Book Antiqua" w:cs="宋体"/>
          <w:b/>
          <w:bCs/>
          <w:kern w:val="0"/>
          <w:sz w:val="24"/>
        </w:rPr>
        <w:t>Anandatheerthavarada HK</w:t>
      </w:r>
      <w:r w:rsidRPr="00133249">
        <w:rPr>
          <w:rFonts w:ascii="Book Antiqua" w:hAnsi="Book Antiqua" w:cs="宋体"/>
          <w:kern w:val="0"/>
          <w:sz w:val="24"/>
        </w:rPr>
        <w:t xml:space="preserve">, Biswas G, Robin MA, Avadhani NG. Mitochondrial targeting and a novel transmembrane arrest of Alzheimer's amyloid precursor protein impairs mitochondrial function in neuronal cells. </w:t>
      </w:r>
      <w:r w:rsidRPr="00133249">
        <w:rPr>
          <w:rFonts w:ascii="Book Antiqua" w:hAnsi="Book Antiqua" w:cs="宋体"/>
          <w:i/>
          <w:iCs/>
          <w:kern w:val="0"/>
          <w:sz w:val="24"/>
        </w:rPr>
        <w:t>J Cell Biol</w:t>
      </w:r>
      <w:r w:rsidRPr="00133249">
        <w:rPr>
          <w:rFonts w:ascii="Book Antiqua" w:hAnsi="Book Antiqua" w:cs="宋体"/>
          <w:kern w:val="0"/>
          <w:sz w:val="24"/>
        </w:rPr>
        <w:t xml:space="preserve"> 2003; </w:t>
      </w:r>
      <w:r w:rsidRPr="00133249">
        <w:rPr>
          <w:rFonts w:ascii="Book Antiqua" w:hAnsi="Book Antiqua" w:cs="宋体"/>
          <w:b/>
          <w:bCs/>
          <w:kern w:val="0"/>
          <w:sz w:val="24"/>
        </w:rPr>
        <w:t>161</w:t>
      </w:r>
      <w:r w:rsidRPr="00133249">
        <w:rPr>
          <w:rFonts w:ascii="Book Antiqua" w:hAnsi="Book Antiqua" w:cs="宋体"/>
          <w:kern w:val="0"/>
          <w:sz w:val="24"/>
        </w:rPr>
        <w:t>: 41-54 [PMID: 12695498]</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188 </w:t>
      </w:r>
      <w:r w:rsidRPr="00133249">
        <w:rPr>
          <w:rFonts w:ascii="Book Antiqua" w:hAnsi="Book Antiqua" w:cs="宋体"/>
          <w:b/>
          <w:bCs/>
          <w:kern w:val="0"/>
          <w:sz w:val="24"/>
        </w:rPr>
        <w:t>Marshall S</w:t>
      </w:r>
      <w:r w:rsidRPr="00133249">
        <w:rPr>
          <w:rFonts w:ascii="Book Antiqua" w:hAnsi="Book Antiqua" w:cs="宋体"/>
          <w:kern w:val="0"/>
          <w:sz w:val="24"/>
        </w:rPr>
        <w:t xml:space="preserve">, Garvey WT, Traxinger RR. New insights into the metabolic regulation of insulin action and insulin resistance: role of glucose and amino acids. </w:t>
      </w:r>
      <w:r w:rsidRPr="00133249">
        <w:rPr>
          <w:rFonts w:ascii="Book Antiqua" w:hAnsi="Book Antiqua" w:cs="宋体"/>
          <w:i/>
          <w:iCs/>
          <w:kern w:val="0"/>
          <w:sz w:val="24"/>
        </w:rPr>
        <w:t>FASEB J</w:t>
      </w:r>
      <w:r w:rsidRPr="00133249">
        <w:rPr>
          <w:rFonts w:ascii="Book Antiqua" w:hAnsi="Book Antiqua" w:cs="宋体"/>
          <w:kern w:val="0"/>
          <w:sz w:val="24"/>
        </w:rPr>
        <w:t xml:space="preserve"> 1991; </w:t>
      </w:r>
      <w:r w:rsidRPr="00133249">
        <w:rPr>
          <w:rFonts w:ascii="Book Antiqua" w:hAnsi="Book Antiqua" w:cs="宋体"/>
          <w:b/>
          <w:bCs/>
          <w:kern w:val="0"/>
          <w:sz w:val="24"/>
        </w:rPr>
        <w:t>5</w:t>
      </w:r>
      <w:r w:rsidRPr="00133249">
        <w:rPr>
          <w:rFonts w:ascii="Book Antiqua" w:hAnsi="Book Antiqua" w:cs="宋体"/>
          <w:kern w:val="0"/>
          <w:sz w:val="24"/>
        </w:rPr>
        <w:t>: 3031-3036 [PMID: 1743436]</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t xml:space="preserve">189 </w:t>
      </w:r>
      <w:r w:rsidRPr="00133249">
        <w:rPr>
          <w:rFonts w:ascii="Book Antiqua" w:hAnsi="Book Antiqua" w:cs="宋体"/>
          <w:b/>
          <w:bCs/>
          <w:kern w:val="0"/>
          <w:sz w:val="24"/>
        </w:rPr>
        <w:t>Schleicher ED</w:t>
      </w:r>
      <w:r w:rsidRPr="00133249">
        <w:rPr>
          <w:rFonts w:ascii="Book Antiqua" w:hAnsi="Book Antiqua" w:cs="宋体"/>
          <w:kern w:val="0"/>
          <w:sz w:val="24"/>
        </w:rPr>
        <w:t>, Weigert C. Role of the hexosamine biosynthetic pathway in diabetic nephropathy.</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Kidney Int Suppl</w:t>
      </w:r>
      <w:r w:rsidRPr="00133249">
        <w:rPr>
          <w:rFonts w:ascii="Book Antiqua" w:hAnsi="Book Antiqua" w:cs="宋体"/>
          <w:kern w:val="0"/>
          <w:sz w:val="24"/>
        </w:rPr>
        <w:t xml:space="preserve"> 2000; </w:t>
      </w:r>
      <w:r w:rsidRPr="00133249">
        <w:rPr>
          <w:rFonts w:ascii="Book Antiqua" w:hAnsi="Book Antiqua" w:cs="宋体"/>
          <w:b/>
          <w:bCs/>
          <w:kern w:val="0"/>
          <w:sz w:val="24"/>
        </w:rPr>
        <w:t>77</w:t>
      </w:r>
      <w:r w:rsidRPr="00133249">
        <w:rPr>
          <w:rFonts w:ascii="Book Antiqua" w:hAnsi="Book Antiqua" w:cs="宋体"/>
          <w:kern w:val="0"/>
          <w:sz w:val="24"/>
        </w:rPr>
        <w:t>: S13-S18 [PMID: 10997685]</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190 </w:t>
      </w:r>
      <w:r w:rsidRPr="00133249">
        <w:rPr>
          <w:rFonts w:ascii="Book Antiqua" w:hAnsi="Book Antiqua" w:cs="宋体"/>
          <w:b/>
          <w:bCs/>
          <w:kern w:val="0"/>
          <w:sz w:val="24"/>
        </w:rPr>
        <w:t>Wojtczak L</w:t>
      </w:r>
      <w:r w:rsidRPr="00133249">
        <w:rPr>
          <w:rFonts w:ascii="Book Antiqua" w:hAnsi="Book Antiqua" w:cs="宋体"/>
          <w:kern w:val="0"/>
          <w:sz w:val="24"/>
        </w:rPr>
        <w:t xml:space="preserve">, Schönfeld P. Effect of fatty acids on energy coupling processes in mitochondria. </w:t>
      </w:r>
      <w:r w:rsidRPr="00133249">
        <w:rPr>
          <w:rFonts w:ascii="Book Antiqua" w:hAnsi="Book Antiqua" w:cs="宋体"/>
          <w:i/>
          <w:iCs/>
          <w:kern w:val="0"/>
          <w:sz w:val="24"/>
        </w:rPr>
        <w:t>Biochim Biophys Acta</w:t>
      </w:r>
      <w:r w:rsidRPr="00133249">
        <w:rPr>
          <w:rFonts w:ascii="Book Antiqua" w:hAnsi="Book Antiqua" w:cs="宋体"/>
          <w:kern w:val="0"/>
          <w:sz w:val="24"/>
        </w:rPr>
        <w:t xml:space="preserve"> 1993; </w:t>
      </w:r>
      <w:r w:rsidRPr="00133249">
        <w:rPr>
          <w:rFonts w:ascii="Book Antiqua" w:hAnsi="Book Antiqua" w:cs="宋体"/>
          <w:b/>
          <w:bCs/>
          <w:kern w:val="0"/>
          <w:sz w:val="24"/>
        </w:rPr>
        <w:t>1183</w:t>
      </w:r>
      <w:r w:rsidRPr="00133249">
        <w:rPr>
          <w:rFonts w:ascii="Book Antiqua" w:hAnsi="Book Antiqua" w:cs="宋体"/>
          <w:kern w:val="0"/>
          <w:sz w:val="24"/>
        </w:rPr>
        <w:t>: 41-57 [PMID: 8399375]</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191 </w:t>
      </w:r>
      <w:r w:rsidRPr="00133249">
        <w:rPr>
          <w:rFonts w:ascii="Book Antiqua" w:hAnsi="Book Antiqua" w:cs="宋体"/>
          <w:b/>
          <w:bCs/>
          <w:kern w:val="0"/>
          <w:sz w:val="24"/>
        </w:rPr>
        <w:t>Bakker SJ</w:t>
      </w:r>
      <w:r w:rsidRPr="00133249">
        <w:rPr>
          <w:rFonts w:ascii="Book Antiqua" w:hAnsi="Book Antiqua" w:cs="宋体"/>
          <w:kern w:val="0"/>
          <w:sz w:val="24"/>
        </w:rPr>
        <w:t xml:space="preserve">, IJzerman RG, Teerlink T, Westerhoff HV, Gans RO, Heine RJ. Cytosolic triglycerides and oxidative stress in central obesity: the missing link between excessive atherosclerosis, endothelial dysfunction, and beta-cell failure? </w:t>
      </w:r>
      <w:r w:rsidRPr="00133249">
        <w:rPr>
          <w:rFonts w:ascii="Book Antiqua" w:hAnsi="Book Antiqua" w:cs="宋体"/>
          <w:i/>
          <w:iCs/>
          <w:kern w:val="0"/>
          <w:sz w:val="24"/>
        </w:rPr>
        <w:t>Atherosclerosis</w:t>
      </w:r>
      <w:r w:rsidRPr="00133249">
        <w:rPr>
          <w:rFonts w:ascii="Book Antiqua" w:hAnsi="Book Antiqua" w:cs="宋体"/>
          <w:kern w:val="0"/>
          <w:sz w:val="24"/>
        </w:rPr>
        <w:t xml:space="preserve"> 2000; </w:t>
      </w:r>
      <w:r w:rsidRPr="00133249">
        <w:rPr>
          <w:rFonts w:ascii="Book Antiqua" w:hAnsi="Book Antiqua" w:cs="宋体"/>
          <w:b/>
          <w:bCs/>
          <w:kern w:val="0"/>
          <w:sz w:val="24"/>
        </w:rPr>
        <w:t>148</w:t>
      </w:r>
      <w:r w:rsidRPr="00133249">
        <w:rPr>
          <w:rFonts w:ascii="Book Antiqua" w:hAnsi="Book Antiqua" w:cs="宋体"/>
          <w:kern w:val="0"/>
          <w:sz w:val="24"/>
        </w:rPr>
        <w:t>: 17-21 [PMID: 10580166]</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t xml:space="preserve">192 </w:t>
      </w:r>
      <w:r w:rsidRPr="00133249">
        <w:rPr>
          <w:rFonts w:ascii="Book Antiqua" w:hAnsi="Book Antiqua" w:cs="宋体"/>
          <w:b/>
          <w:bCs/>
          <w:kern w:val="0"/>
          <w:sz w:val="24"/>
        </w:rPr>
        <w:t>Hazel JR</w:t>
      </w:r>
      <w:r w:rsidRPr="00133249">
        <w:rPr>
          <w:rFonts w:ascii="Book Antiqua" w:hAnsi="Book Antiqua" w:cs="宋体"/>
          <w:kern w:val="0"/>
          <w:sz w:val="24"/>
        </w:rPr>
        <w:t>, Williams EE.</w:t>
      </w:r>
      <w:proofErr w:type="gramEnd"/>
      <w:r w:rsidRPr="00133249">
        <w:rPr>
          <w:rFonts w:ascii="Book Antiqua" w:hAnsi="Book Antiqua" w:cs="宋体"/>
          <w:kern w:val="0"/>
          <w:sz w:val="24"/>
        </w:rPr>
        <w:t xml:space="preserve"> </w:t>
      </w:r>
      <w:proofErr w:type="gramStart"/>
      <w:r w:rsidRPr="00133249">
        <w:rPr>
          <w:rFonts w:ascii="Book Antiqua" w:hAnsi="Book Antiqua" w:cs="宋体"/>
          <w:kern w:val="0"/>
          <w:sz w:val="24"/>
        </w:rPr>
        <w:t>The role of alterations in membrane lipid composition in enabling physiological adaptation of organisms to their physical environment.</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Prog Lipid Res</w:t>
      </w:r>
      <w:r w:rsidRPr="00133249">
        <w:rPr>
          <w:rFonts w:ascii="Book Antiqua" w:hAnsi="Book Antiqua" w:cs="宋体"/>
          <w:kern w:val="0"/>
          <w:sz w:val="24"/>
        </w:rPr>
        <w:t xml:space="preserve"> 1990; </w:t>
      </w:r>
      <w:r w:rsidRPr="00133249">
        <w:rPr>
          <w:rFonts w:ascii="Book Antiqua" w:hAnsi="Book Antiqua" w:cs="宋体"/>
          <w:b/>
          <w:bCs/>
          <w:kern w:val="0"/>
          <w:sz w:val="24"/>
        </w:rPr>
        <w:t>29</w:t>
      </w:r>
      <w:r w:rsidRPr="00133249">
        <w:rPr>
          <w:rFonts w:ascii="Book Antiqua" w:hAnsi="Book Antiqua" w:cs="宋体"/>
          <w:kern w:val="0"/>
          <w:sz w:val="24"/>
        </w:rPr>
        <w:t>: 167-227 [PMID: 2131463]</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t xml:space="preserve">193 </w:t>
      </w:r>
      <w:r w:rsidRPr="00133249">
        <w:rPr>
          <w:rFonts w:ascii="Book Antiqua" w:hAnsi="Book Antiqua" w:cs="宋体"/>
          <w:b/>
          <w:bCs/>
          <w:kern w:val="0"/>
          <w:sz w:val="24"/>
        </w:rPr>
        <w:t>Lovell MA</w:t>
      </w:r>
      <w:r w:rsidRPr="00133249">
        <w:rPr>
          <w:rFonts w:ascii="Book Antiqua" w:hAnsi="Book Antiqua" w:cs="宋体"/>
          <w:kern w:val="0"/>
          <w:sz w:val="24"/>
        </w:rPr>
        <w:t>, Ehmann WD, Butler SM, Markesbery WR.</w:t>
      </w:r>
      <w:proofErr w:type="gramEnd"/>
      <w:r w:rsidRPr="00133249">
        <w:rPr>
          <w:rFonts w:ascii="Book Antiqua" w:hAnsi="Book Antiqua" w:cs="宋体"/>
          <w:kern w:val="0"/>
          <w:sz w:val="24"/>
        </w:rPr>
        <w:t xml:space="preserve"> </w:t>
      </w:r>
      <w:proofErr w:type="gramStart"/>
      <w:r w:rsidRPr="00133249">
        <w:rPr>
          <w:rFonts w:ascii="Book Antiqua" w:hAnsi="Book Antiqua" w:cs="宋体"/>
          <w:kern w:val="0"/>
          <w:sz w:val="24"/>
        </w:rPr>
        <w:t>Elevated thiobarbituric acid-reactive substances and antioxidant enzyme activity in the brain in Alzheimer's disease.</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Neurology</w:t>
      </w:r>
      <w:r w:rsidRPr="00133249">
        <w:rPr>
          <w:rFonts w:ascii="Book Antiqua" w:hAnsi="Book Antiqua" w:cs="宋体"/>
          <w:kern w:val="0"/>
          <w:sz w:val="24"/>
        </w:rPr>
        <w:t xml:space="preserve"> 1995; </w:t>
      </w:r>
      <w:r w:rsidRPr="00133249">
        <w:rPr>
          <w:rFonts w:ascii="Book Antiqua" w:hAnsi="Book Antiqua" w:cs="宋体"/>
          <w:b/>
          <w:bCs/>
          <w:kern w:val="0"/>
          <w:sz w:val="24"/>
        </w:rPr>
        <w:t>45</w:t>
      </w:r>
      <w:r w:rsidRPr="00133249">
        <w:rPr>
          <w:rFonts w:ascii="Book Antiqua" w:hAnsi="Book Antiqua" w:cs="宋体"/>
          <w:kern w:val="0"/>
          <w:sz w:val="24"/>
        </w:rPr>
        <w:t>: 1594-1601 [PMID: 7644059]</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lastRenderedPageBreak/>
        <w:t xml:space="preserve">194 </w:t>
      </w:r>
      <w:r w:rsidRPr="00133249">
        <w:rPr>
          <w:rFonts w:ascii="Book Antiqua" w:hAnsi="Book Antiqua" w:cs="宋体"/>
          <w:b/>
          <w:bCs/>
          <w:kern w:val="0"/>
          <w:sz w:val="24"/>
        </w:rPr>
        <w:t>Palmer AM</w:t>
      </w:r>
      <w:r w:rsidRPr="00133249">
        <w:rPr>
          <w:rFonts w:ascii="Book Antiqua" w:hAnsi="Book Antiqua" w:cs="宋体"/>
          <w:kern w:val="0"/>
          <w:sz w:val="24"/>
        </w:rPr>
        <w:t>, Burns MA.</w:t>
      </w:r>
      <w:proofErr w:type="gramEnd"/>
      <w:r w:rsidRPr="00133249">
        <w:rPr>
          <w:rFonts w:ascii="Book Antiqua" w:hAnsi="Book Antiqua" w:cs="宋体"/>
          <w:kern w:val="0"/>
          <w:sz w:val="24"/>
        </w:rPr>
        <w:t xml:space="preserve"> </w:t>
      </w:r>
      <w:proofErr w:type="gramStart"/>
      <w:r w:rsidRPr="00133249">
        <w:rPr>
          <w:rFonts w:ascii="Book Antiqua" w:hAnsi="Book Antiqua" w:cs="宋体"/>
          <w:kern w:val="0"/>
          <w:sz w:val="24"/>
        </w:rPr>
        <w:t>Selective increase in lipid peroxidation in the inferior temporal cortex in Alzheimer's disease.</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Brain Res</w:t>
      </w:r>
      <w:r w:rsidRPr="00133249">
        <w:rPr>
          <w:rFonts w:ascii="Book Antiqua" w:hAnsi="Book Antiqua" w:cs="宋体"/>
          <w:kern w:val="0"/>
          <w:sz w:val="24"/>
        </w:rPr>
        <w:t xml:space="preserve"> 1994; </w:t>
      </w:r>
      <w:r w:rsidRPr="00133249">
        <w:rPr>
          <w:rFonts w:ascii="Book Antiqua" w:hAnsi="Book Antiqua" w:cs="宋体"/>
          <w:b/>
          <w:bCs/>
          <w:kern w:val="0"/>
          <w:sz w:val="24"/>
        </w:rPr>
        <w:t>645</w:t>
      </w:r>
      <w:r w:rsidRPr="00133249">
        <w:rPr>
          <w:rFonts w:ascii="Book Antiqua" w:hAnsi="Book Antiqua" w:cs="宋体"/>
          <w:kern w:val="0"/>
          <w:sz w:val="24"/>
        </w:rPr>
        <w:t>: 338-342 [PMID: 8062096]</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195 </w:t>
      </w:r>
      <w:r w:rsidRPr="00133249">
        <w:rPr>
          <w:rFonts w:ascii="Book Antiqua" w:hAnsi="Book Antiqua" w:cs="宋体"/>
          <w:b/>
          <w:bCs/>
          <w:kern w:val="0"/>
          <w:sz w:val="24"/>
        </w:rPr>
        <w:t>Marcus DL</w:t>
      </w:r>
      <w:r w:rsidRPr="00133249">
        <w:rPr>
          <w:rFonts w:ascii="Book Antiqua" w:hAnsi="Book Antiqua" w:cs="宋体"/>
          <w:kern w:val="0"/>
          <w:sz w:val="24"/>
        </w:rPr>
        <w:t xml:space="preserve">, Thomas C, Rodriguez C, Simberkoff K, Tsai JS, Strafaci JA, Freedman ML. Increased peroxidation and reduced antioxidant enzyme activity in Alzheimer's disease. </w:t>
      </w:r>
      <w:r w:rsidRPr="00133249">
        <w:rPr>
          <w:rFonts w:ascii="Book Antiqua" w:hAnsi="Book Antiqua" w:cs="宋体"/>
          <w:i/>
          <w:iCs/>
          <w:kern w:val="0"/>
          <w:sz w:val="24"/>
        </w:rPr>
        <w:t>Exp Neurol</w:t>
      </w:r>
      <w:r w:rsidRPr="00133249">
        <w:rPr>
          <w:rFonts w:ascii="Book Antiqua" w:hAnsi="Book Antiqua" w:cs="宋体"/>
          <w:kern w:val="0"/>
          <w:sz w:val="24"/>
        </w:rPr>
        <w:t xml:space="preserve"> 1998; </w:t>
      </w:r>
      <w:r w:rsidRPr="00133249">
        <w:rPr>
          <w:rFonts w:ascii="Book Antiqua" w:hAnsi="Book Antiqua" w:cs="宋体"/>
          <w:b/>
          <w:bCs/>
          <w:kern w:val="0"/>
          <w:sz w:val="24"/>
        </w:rPr>
        <w:t>150</w:t>
      </w:r>
      <w:r w:rsidRPr="00133249">
        <w:rPr>
          <w:rFonts w:ascii="Book Antiqua" w:hAnsi="Book Antiqua" w:cs="宋体"/>
          <w:kern w:val="0"/>
          <w:sz w:val="24"/>
        </w:rPr>
        <w:t>: 40-44 [PMID: 9514828]</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196 </w:t>
      </w:r>
      <w:r w:rsidRPr="00133249">
        <w:rPr>
          <w:rFonts w:ascii="Book Antiqua" w:hAnsi="Book Antiqua" w:cs="宋体"/>
          <w:b/>
          <w:bCs/>
          <w:kern w:val="0"/>
          <w:sz w:val="24"/>
        </w:rPr>
        <w:t>Dyrks T</w:t>
      </w:r>
      <w:r w:rsidRPr="00133249">
        <w:rPr>
          <w:rFonts w:ascii="Book Antiqua" w:hAnsi="Book Antiqua" w:cs="宋体"/>
          <w:kern w:val="0"/>
          <w:sz w:val="24"/>
        </w:rPr>
        <w:t xml:space="preserve">, Dyrks E, Hartmann T, Masters C, Beyreuther K. Amyloidogenicity of beta A4 and beta A4-bearing amyloid protein precursor fragments by metal-catalyzed oxidation. </w:t>
      </w:r>
      <w:r w:rsidRPr="00133249">
        <w:rPr>
          <w:rFonts w:ascii="Book Antiqua" w:hAnsi="Book Antiqua" w:cs="宋体"/>
          <w:i/>
          <w:iCs/>
          <w:kern w:val="0"/>
          <w:sz w:val="24"/>
        </w:rPr>
        <w:t>J Biol Chem</w:t>
      </w:r>
      <w:r w:rsidRPr="00133249">
        <w:rPr>
          <w:rFonts w:ascii="Book Antiqua" w:hAnsi="Book Antiqua" w:cs="宋体"/>
          <w:kern w:val="0"/>
          <w:sz w:val="24"/>
        </w:rPr>
        <w:t xml:space="preserve"> 1992; </w:t>
      </w:r>
      <w:r w:rsidRPr="00133249">
        <w:rPr>
          <w:rFonts w:ascii="Book Antiqua" w:hAnsi="Book Antiqua" w:cs="宋体"/>
          <w:b/>
          <w:bCs/>
          <w:kern w:val="0"/>
          <w:sz w:val="24"/>
        </w:rPr>
        <w:t>267</w:t>
      </w:r>
      <w:r w:rsidRPr="00133249">
        <w:rPr>
          <w:rFonts w:ascii="Book Antiqua" w:hAnsi="Book Antiqua" w:cs="宋体"/>
          <w:kern w:val="0"/>
          <w:sz w:val="24"/>
        </w:rPr>
        <w:t>: 18210-18217 [PMID: 1517249]</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197 </w:t>
      </w:r>
      <w:r w:rsidRPr="00133249">
        <w:rPr>
          <w:rFonts w:ascii="Book Antiqua" w:hAnsi="Book Antiqua" w:cs="宋体"/>
          <w:b/>
          <w:bCs/>
          <w:kern w:val="0"/>
          <w:sz w:val="24"/>
        </w:rPr>
        <w:t>Thomas T</w:t>
      </w:r>
      <w:r w:rsidRPr="00133249">
        <w:rPr>
          <w:rFonts w:ascii="Book Antiqua" w:hAnsi="Book Antiqua" w:cs="宋体"/>
          <w:kern w:val="0"/>
          <w:sz w:val="24"/>
        </w:rPr>
        <w:t xml:space="preserve">, Thomas G, McLendon C, Sutton T, Mullan M. beta-Amyloid-mediated vasoactivity and vascular endothelial damage. </w:t>
      </w:r>
      <w:r w:rsidRPr="00133249">
        <w:rPr>
          <w:rFonts w:ascii="Book Antiqua" w:hAnsi="Book Antiqua" w:cs="宋体"/>
          <w:i/>
          <w:iCs/>
          <w:kern w:val="0"/>
          <w:sz w:val="24"/>
        </w:rPr>
        <w:t>Nature</w:t>
      </w:r>
      <w:r w:rsidRPr="00133249">
        <w:rPr>
          <w:rFonts w:ascii="Book Antiqua" w:hAnsi="Book Antiqua" w:cs="宋体"/>
          <w:kern w:val="0"/>
          <w:sz w:val="24"/>
        </w:rPr>
        <w:t xml:space="preserve"> 1996; </w:t>
      </w:r>
      <w:r w:rsidRPr="00133249">
        <w:rPr>
          <w:rFonts w:ascii="Book Antiqua" w:hAnsi="Book Antiqua" w:cs="宋体"/>
          <w:b/>
          <w:bCs/>
          <w:kern w:val="0"/>
          <w:sz w:val="24"/>
        </w:rPr>
        <w:t>380</w:t>
      </w:r>
      <w:r w:rsidRPr="00133249">
        <w:rPr>
          <w:rFonts w:ascii="Book Antiqua" w:hAnsi="Book Antiqua" w:cs="宋体"/>
          <w:kern w:val="0"/>
          <w:sz w:val="24"/>
        </w:rPr>
        <w:t>: 168-171 [PMID: 8600393]</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198 </w:t>
      </w:r>
      <w:r w:rsidRPr="00133249">
        <w:rPr>
          <w:rFonts w:ascii="Book Antiqua" w:hAnsi="Book Antiqua" w:cs="宋体"/>
          <w:b/>
          <w:bCs/>
          <w:kern w:val="0"/>
          <w:sz w:val="24"/>
        </w:rPr>
        <w:t>Knott AB</w:t>
      </w:r>
      <w:r w:rsidRPr="00133249">
        <w:rPr>
          <w:rFonts w:ascii="Book Antiqua" w:hAnsi="Book Antiqua" w:cs="宋体"/>
          <w:kern w:val="0"/>
          <w:sz w:val="24"/>
        </w:rPr>
        <w:t xml:space="preserve">, Bossy-Wetzel E. Impairing the mitochondrial fission and fusion balance: a new mechanism of neurodegeneration. </w:t>
      </w:r>
      <w:r w:rsidRPr="00133249">
        <w:rPr>
          <w:rFonts w:ascii="Book Antiqua" w:hAnsi="Book Antiqua" w:cs="宋体"/>
          <w:i/>
          <w:iCs/>
          <w:kern w:val="0"/>
          <w:sz w:val="24"/>
        </w:rPr>
        <w:t>Ann N Y Acad Sci</w:t>
      </w:r>
      <w:r w:rsidRPr="00133249">
        <w:rPr>
          <w:rFonts w:ascii="Book Antiqua" w:hAnsi="Book Antiqua" w:cs="宋体"/>
          <w:kern w:val="0"/>
          <w:sz w:val="24"/>
        </w:rPr>
        <w:t xml:space="preserve"> 2008; </w:t>
      </w:r>
      <w:r w:rsidRPr="00133249">
        <w:rPr>
          <w:rFonts w:ascii="Book Antiqua" w:hAnsi="Book Antiqua" w:cs="宋体"/>
          <w:b/>
          <w:bCs/>
          <w:kern w:val="0"/>
          <w:sz w:val="24"/>
        </w:rPr>
        <w:t>1147</w:t>
      </w:r>
      <w:r w:rsidRPr="00133249">
        <w:rPr>
          <w:rFonts w:ascii="Book Antiqua" w:hAnsi="Book Antiqua" w:cs="宋体"/>
          <w:kern w:val="0"/>
          <w:sz w:val="24"/>
        </w:rPr>
        <w:t>: 283-292 [PMID: 19076450 DOI: 10.1196/annals.1427.030]</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199 </w:t>
      </w:r>
      <w:r w:rsidRPr="00133249">
        <w:rPr>
          <w:rFonts w:ascii="Book Antiqua" w:hAnsi="Book Antiqua" w:cs="宋体"/>
          <w:b/>
          <w:bCs/>
          <w:kern w:val="0"/>
          <w:sz w:val="24"/>
        </w:rPr>
        <w:t>Desco MC</w:t>
      </w:r>
      <w:r w:rsidRPr="00133249">
        <w:rPr>
          <w:rFonts w:ascii="Book Antiqua" w:hAnsi="Book Antiqua" w:cs="宋体"/>
          <w:kern w:val="0"/>
          <w:sz w:val="24"/>
        </w:rPr>
        <w:t xml:space="preserve">, Asensi M, Márquez R, Martínez-Valls J, Vento M, Pallardó FV, Sastre J, Viña J. Xanthine oxidase is involved in free radical production in type 1 diabetes: protection by allopurinol. </w:t>
      </w:r>
      <w:r w:rsidRPr="00133249">
        <w:rPr>
          <w:rFonts w:ascii="Book Antiqua" w:hAnsi="Book Antiqua" w:cs="宋体"/>
          <w:i/>
          <w:iCs/>
          <w:kern w:val="0"/>
          <w:sz w:val="24"/>
        </w:rPr>
        <w:t>Diabetes</w:t>
      </w:r>
      <w:r w:rsidRPr="00133249">
        <w:rPr>
          <w:rFonts w:ascii="Book Antiqua" w:hAnsi="Book Antiqua" w:cs="宋体"/>
          <w:kern w:val="0"/>
          <w:sz w:val="24"/>
        </w:rPr>
        <w:t xml:space="preserve"> 2002; </w:t>
      </w:r>
      <w:r w:rsidRPr="00133249">
        <w:rPr>
          <w:rFonts w:ascii="Book Antiqua" w:hAnsi="Book Antiqua" w:cs="宋体"/>
          <w:b/>
          <w:bCs/>
          <w:kern w:val="0"/>
          <w:sz w:val="24"/>
        </w:rPr>
        <w:t>51</w:t>
      </w:r>
      <w:r w:rsidRPr="00133249">
        <w:rPr>
          <w:rFonts w:ascii="Book Antiqua" w:hAnsi="Book Antiqua" w:cs="宋体"/>
          <w:kern w:val="0"/>
          <w:sz w:val="24"/>
        </w:rPr>
        <w:t>: 1118-1124 [PMID: 11916934]</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t xml:space="preserve">200 </w:t>
      </w:r>
      <w:r w:rsidRPr="00133249">
        <w:rPr>
          <w:rFonts w:ascii="Book Antiqua" w:hAnsi="Book Antiqua" w:cs="宋体"/>
          <w:b/>
          <w:bCs/>
          <w:kern w:val="0"/>
          <w:sz w:val="24"/>
        </w:rPr>
        <w:t>Baynes JW</w:t>
      </w:r>
      <w:r w:rsidRPr="00133249">
        <w:rPr>
          <w:rFonts w:ascii="Book Antiqua" w:hAnsi="Book Antiqua" w:cs="宋体"/>
          <w:kern w:val="0"/>
          <w:sz w:val="24"/>
        </w:rPr>
        <w:t>.</w:t>
      </w:r>
      <w:proofErr w:type="gramEnd"/>
      <w:r w:rsidRPr="00133249">
        <w:rPr>
          <w:rFonts w:ascii="Book Antiqua" w:hAnsi="Book Antiqua" w:cs="宋体"/>
          <w:kern w:val="0"/>
          <w:sz w:val="24"/>
        </w:rPr>
        <w:t xml:space="preserve"> </w:t>
      </w:r>
      <w:proofErr w:type="gramStart"/>
      <w:r w:rsidRPr="00133249">
        <w:rPr>
          <w:rFonts w:ascii="Book Antiqua" w:hAnsi="Book Antiqua" w:cs="宋体"/>
          <w:kern w:val="0"/>
          <w:sz w:val="24"/>
        </w:rPr>
        <w:t>Role of oxidative stress in development of complications in diabetes.</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Diabetes</w:t>
      </w:r>
      <w:r w:rsidRPr="00133249">
        <w:rPr>
          <w:rFonts w:ascii="Book Antiqua" w:hAnsi="Book Antiqua" w:cs="宋体"/>
          <w:kern w:val="0"/>
          <w:sz w:val="24"/>
        </w:rPr>
        <w:t xml:space="preserve"> 1991; </w:t>
      </w:r>
      <w:r w:rsidRPr="00133249">
        <w:rPr>
          <w:rFonts w:ascii="Book Antiqua" w:hAnsi="Book Antiqua" w:cs="宋体"/>
          <w:b/>
          <w:bCs/>
          <w:kern w:val="0"/>
          <w:sz w:val="24"/>
        </w:rPr>
        <w:t>40</w:t>
      </w:r>
      <w:r w:rsidRPr="00133249">
        <w:rPr>
          <w:rFonts w:ascii="Book Antiqua" w:hAnsi="Book Antiqua" w:cs="宋体"/>
          <w:kern w:val="0"/>
          <w:sz w:val="24"/>
        </w:rPr>
        <w:t>: 405-412 [PMID: 2010041]</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t xml:space="preserve">201 </w:t>
      </w:r>
      <w:r w:rsidRPr="00133249">
        <w:rPr>
          <w:rFonts w:ascii="Book Antiqua" w:hAnsi="Book Antiqua" w:cs="宋体"/>
          <w:b/>
          <w:bCs/>
          <w:kern w:val="0"/>
          <w:sz w:val="24"/>
        </w:rPr>
        <w:t>Reagan LP</w:t>
      </w:r>
      <w:r w:rsidRPr="00133249">
        <w:rPr>
          <w:rFonts w:ascii="Book Antiqua" w:hAnsi="Book Antiqua" w:cs="宋体"/>
          <w:kern w:val="0"/>
          <w:sz w:val="24"/>
        </w:rPr>
        <w:t>, Magariños AM, Yee DK, Swzeda LI, Van Bueren A, McCall AL, McEwen BS.</w:t>
      </w:r>
      <w:proofErr w:type="gramEnd"/>
      <w:r w:rsidRPr="00133249">
        <w:rPr>
          <w:rFonts w:ascii="Book Antiqua" w:hAnsi="Book Antiqua" w:cs="宋体"/>
          <w:kern w:val="0"/>
          <w:sz w:val="24"/>
        </w:rPr>
        <w:t xml:space="preserve"> Oxidative stress and HNE conjugation of GLUT3 are increased in the hippocampus of diabetic rats subjected to stress. </w:t>
      </w:r>
      <w:r w:rsidRPr="00133249">
        <w:rPr>
          <w:rFonts w:ascii="Book Antiqua" w:hAnsi="Book Antiqua" w:cs="宋体"/>
          <w:i/>
          <w:iCs/>
          <w:kern w:val="0"/>
          <w:sz w:val="24"/>
        </w:rPr>
        <w:t>Brain Res</w:t>
      </w:r>
      <w:r w:rsidRPr="00133249">
        <w:rPr>
          <w:rFonts w:ascii="Book Antiqua" w:hAnsi="Book Antiqua" w:cs="宋体"/>
          <w:kern w:val="0"/>
          <w:sz w:val="24"/>
        </w:rPr>
        <w:t xml:space="preserve"> 2000; </w:t>
      </w:r>
      <w:r w:rsidRPr="00133249">
        <w:rPr>
          <w:rFonts w:ascii="Book Antiqua" w:hAnsi="Book Antiqua" w:cs="宋体"/>
          <w:b/>
          <w:bCs/>
          <w:kern w:val="0"/>
          <w:sz w:val="24"/>
        </w:rPr>
        <w:t>862</w:t>
      </w:r>
      <w:r w:rsidRPr="00133249">
        <w:rPr>
          <w:rFonts w:ascii="Book Antiqua" w:hAnsi="Book Antiqua" w:cs="宋体"/>
          <w:kern w:val="0"/>
          <w:sz w:val="24"/>
        </w:rPr>
        <w:t>: 292-300 [PMID: 10799703]</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202 </w:t>
      </w:r>
      <w:r w:rsidRPr="00133249">
        <w:rPr>
          <w:rFonts w:ascii="Book Antiqua" w:hAnsi="Book Antiqua" w:cs="宋体"/>
          <w:b/>
          <w:bCs/>
          <w:kern w:val="0"/>
          <w:sz w:val="24"/>
        </w:rPr>
        <w:t>Evans JL</w:t>
      </w:r>
      <w:r w:rsidRPr="00133249">
        <w:rPr>
          <w:rFonts w:ascii="Book Antiqua" w:hAnsi="Book Antiqua" w:cs="宋体"/>
          <w:kern w:val="0"/>
          <w:sz w:val="24"/>
        </w:rPr>
        <w:t xml:space="preserve">, Goldfine ID, Maddux BA, Grodsky GM. Oxidative stress and stress-activated signaling pathways: a unifying hypothesis of type 2 diabetes. </w:t>
      </w:r>
      <w:r w:rsidRPr="00133249">
        <w:rPr>
          <w:rFonts w:ascii="Book Antiqua" w:hAnsi="Book Antiqua" w:cs="宋体"/>
          <w:i/>
          <w:iCs/>
          <w:kern w:val="0"/>
          <w:sz w:val="24"/>
        </w:rPr>
        <w:t>Endocr Rev</w:t>
      </w:r>
      <w:r w:rsidRPr="00133249">
        <w:rPr>
          <w:rFonts w:ascii="Book Antiqua" w:hAnsi="Book Antiqua" w:cs="宋体"/>
          <w:kern w:val="0"/>
          <w:sz w:val="24"/>
        </w:rPr>
        <w:t xml:space="preserve"> 2002; </w:t>
      </w:r>
      <w:r w:rsidRPr="00133249">
        <w:rPr>
          <w:rFonts w:ascii="Book Antiqua" w:hAnsi="Book Antiqua" w:cs="宋体"/>
          <w:b/>
          <w:bCs/>
          <w:kern w:val="0"/>
          <w:sz w:val="24"/>
        </w:rPr>
        <w:t>23</w:t>
      </w:r>
      <w:r w:rsidRPr="00133249">
        <w:rPr>
          <w:rFonts w:ascii="Book Antiqua" w:hAnsi="Book Antiqua" w:cs="宋体"/>
          <w:kern w:val="0"/>
          <w:sz w:val="24"/>
        </w:rPr>
        <w:t>: 599-622 [PMID: 12372842]</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203 </w:t>
      </w:r>
      <w:r w:rsidRPr="00133249">
        <w:rPr>
          <w:rFonts w:ascii="Book Antiqua" w:hAnsi="Book Antiqua" w:cs="宋体"/>
          <w:b/>
          <w:bCs/>
          <w:kern w:val="0"/>
          <w:sz w:val="24"/>
        </w:rPr>
        <w:t>Schmitt K</w:t>
      </w:r>
      <w:r w:rsidRPr="00133249">
        <w:rPr>
          <w:rFonts w:ascii="Book Antiqua" w:hAnsi="Book Antiqua" w:cs="宋体"/>
          <w:kern w:val="0"/>
          <w:sz w:val="24"/>
        </w:rPr>
        <w:t xml:space="preserve">, Grimm A, Kazmierczak A, Strosznajder JB, Götz J, Eckert A. Insights into mitochondrial dysfunction: aging, amyloid-β, and tau-A deleterious trio. </w:t>
      </w:r>
      <w:r w:rsidRPr="00133249">
        <w:rPr>
          <w:rFonts w:ascii="Book Antiqua" w:hAnsi="Book Antiqua" w:cs="宋体"/>
          <w:i/>
          <w:iCs/>
          <w:kern w:val="0"/>
          <w:sz w:val="24"/>
        </w:rPr>
        <w:t>Antioxid Redox Signal</w:t>
      </w:r>
      <w:r w:rsidRPr="00133249">
        <w:rPr>
          <w:rFonts w:ascii="Book Antiqua" w:hAnsi="Book Antiqua" w:cs="宋体"/>
          <w:kern w:val="0"/>
          <w:sz w:val="24"/>
        </w:rPr>
        <w:t xml:space="preserve"> 2012; </w:t>
      </w:r>
      <w:r w:rsidRPr="00133249">
        <w:rPr>
          <w:rFonts w:ascii="Book Antiqua" w:hAnsi="Book Antiqua" w:cs="宋体"/>
          <w:b/>
          <w:bCs/>
          <w:kern w:val="0"/>
          <w:sz w:val="24"/>
        </w:rPr>
        <w:t>16</w:t>
      </w:r>
      <w:r w:rsidRPr="00133249">
        <w:rPr>
          <w:rFonts w:ascii="Book Antiqua" w:hAnsi="Book Antiqua" w:cs="宋体"/>
          <w:kern w:val="0"/>
          <w:sz w:val="24"/>
        </w:rPr>
        <w:t>: 1456-1466 [PMID: 22117646 DOI: 10.1089/ars.2011.4400]]</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lastRenderedPageBreak/>
        <w:t xml:space="preserve">204 </w:t>
      </w:r>
      <w:r w:rsidRPr="00133249">
        <w:rPr>
          <w:rFonts w:ascii="Book Antiqua" w:hAnsi="Book Antiqua" w:cs="宋体"/>
          <w:b/>
          <w:bCs/>
          <w:kern w:val="0"/>
          <w:sz w:val="24"/>
        </w:rPr>
        <w:t>Moreira PI</w:t>
      </w:r>
      <w:r w:rsidRPr="00133249">
        <w:rPr>
          <w:rFonts w:ascii="Book Antiqua" w:hAnsi="Book Antiqua" w:cs="宋体"/>
          <w:kern w:val="0"/>
          <w:sz w:val="24"/>
        </w:rPr>
        <w:t xml:space="preserve">, Santos MS, Sena C, Nunes E, Seiça R, Oliveira CR. CoQ10 therapy attenuates amyloid beta-peptide toxicity in brain mitochondria isolated from aged diabetic rats. </w:t>
      </w:r>
      <w:r w:rsidRPr="00133249">
        <w:rPr>
          <w:rFonts w:ascii="Book Antiqua" w:hAnsi="Book Antiqua" w:cs="宋体"/>
          <w:i/>
          <w:iCs/>
          <w:kern w:val="0"/>
          <w:sz w:val="24"/>
        </w:rPr>
        <w:t>Exp Neurol</w:t>
      </w:r>
      <w:r w:rsidRPr="00133249">
        <w:rPr>
          <w:rFonts w:ascii="Book Antiqua" w:hAnsi="Book Antiqua" w:cs="宋体"/>
          <w:kern w:val="0"/>
          <w:sz w:val="24"/>
        </w:rPr>
        <w:t xml:space="preserve"> 2005; </w:t>
      </w:r>
      <w:r w:rsidRPr="00133249">
        <w:rPr>
          <w:rFonts w:ascii="Book Antiqua" w:hAnsi="Book Antiqua" w:cs="宋体"/>
          <w:b/>
          <w:bCs/>
          <w:kern w:val="0"/>
          <w:sz w:val="24"/>
        </w:rPr>
        <w:t>196</w:t>
      </w:r>
      <w:r w:rsidRPr="00133249">
        <w:rPr>
          <w:rFonts w:ascii="Book Antiqua" w:hAnsi="Book Antiqua" w:cs="宋体"/>
          <w:kern w:val="0"/>
          <w:sz w:val="24"/>
        </w:rPr>
        <w:t>: 112-119 [PMID: 16126199]</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205 </w:t>
      </w:r>
      <w:r w:rsidRPr="00133249">
        <w:rPr>
          <w:rFonts w:ascii="Book Antiqua" w:hAnsi="Book Antiqua" w:cs="宋体"/>
          <w:b/>
          <w:bCs/>
          <w:kern w:val="0"/>
          <w:sz w:val="24"/>
        </w:rPr>
        <w:t>Kristal BS</w:t>
      </w:r>
      <w:r w:rsidRPr="00133249">
        <w:rPr>
          <w:rFonts w:ascii="Book Antiqua" w:hAnsi="Book Antiqua" w:cs="宋体"/>
          <w:kern w:val="0"/>
          <w:sz w:val="24"/>
        </w:rPr>
        <w:t xml:space="preserve">, Jackson CT, Chung HY, Matsuda M, Nguyen HD, Yu BP. Defects at center P underlie diabetes-associated mitochondrial dysfunction. </w:t>
      </w:r>
      <w:r w:rsidRPr="00133249">
        <w:rPr>
          <w:rFonts w:ascii="Book Antiqua" w:hAnsi="Book Antiqua" w:cs="宋体"/>
          <w:i/>
          <w:iCs/>
          <w:kern w:val="0"/>
          <w:sz w:val="24"/>
        </w:rPr>
        <w:t>Free Radic Biol Med</w:t>
      </w:r>
      <w:r w:rsidRPr="00133249">
        <w:rPr>
          <w:rFonts w:ascii="Book Antiqua" w:hAnsi="Book Antiqua" w:cs="宋体"/>
          <w:kern w:val="0"/>
          <w:sz w:val="24"/>
        </w:rPr>
        <w:t xml:space="preserve"> 1997; </w:t>
      </w:r>
      <w:r w:rsidRPr="00133249">
        <w:rPr>
          <w:rFonts w:ascii="Book Antiqua" w:hAnsi="Book Antiqua" w:cs="宋体"/>
          <w:b/>
          <w:bCs/>
          <w:kern w:val="0"/>
          <w:sz w:val="24"/>
        </w:rPr>
        <w:t>22</w:t>
      </w:r>
      <w:r w:rsidRPr="00133249">
        <w:rPr>
          <w:rFonts w:ascii="Book Antiqua" w:hAnsi="Book Antiqua" w:cs="宋体"/>
          <w:kern w:val="0"/>
          <w:sz w:val="24"/>
        </w:rPr>
        <w:t>: 823-833 [PMID: 9119251]</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206 </w:t>
      </w:r>
      <w:r w:rsidRPr="00133249">
        <w:rPr>
          <w:rFonts w:ascii="Book Antiqua" w:hAnsi="Book Antiqua" w:cs="宋体"/>
          <w:b/>
          <w:bCs/>
          <w:kern w:val="0"/>
          <w:sz w:val="24"/>
        </w:rPr>
        <w:t>Calabrese V</w:t>
      </w:r>
      <w:r w:rsidRPr="00133249">
        <w:rPr>
          <w:rFonts w:ascii="Book Antiqua" w:hAnsi="Book Antiqua" w:cs="宋体"/>
          <w:kern w:val="0"/>
          <w:sz w:val="24"/>
        </w:rPr>
        <w:t xml:space="preserve">, Scapagnini G, Giuffrida Stella AM, Bates TE, Clark JB. Mitochondrial involvement in brain function and dysfunction: relevance to aging, neurodegenerative disorders and longevity. </w:t>
      </w:r>
      <w:r w:rsidRPr="00133249">
        <w:rPr>
          <w:rFonts w:ascii="Book Antiqua" w:hAnsi="Book Antiqua" w:cs="宋体"/>
          <w:i/>
          <w:iCs/>
          <w:kern w:val="0"/>
          <w:sz w:val="24"/>
        </w:rPr>
        <w:t>Neurochem Res</w:t>
      </w:r>
      <w:r w:rsidRPr="00133249">
        <w:rPr>
          <w:rFonts w:ascii="Book Antiqua" w:hAnsi="Book Antiqua" w:cs="宋体"/>
          <w:kern w:val="0"/>
          <w:sz w:val="24"/>
        </w:rPr>
        <w:t xml:space="preserve"> 2001; </w:t>
      </w:r>
      <w:r w:rsidRPr="00133249">
        <w:rPr>
          <w:rFonts w:ascii="Book Antiqua" w:hAnsi="Book Antiqua" w:cs="宋体"/>
          <w:b/>
          <w:bCs/>
          <w:kern w:val="0"/>
          <w:sz w:val="24"/>
        </w:rPr>
        <w:t>26</w:t>
      </w:r>
      <w:r w:rsidRPr="00133249">
        <w:rPr>
          <w:rFonts w:ascii="Book Antiqua" w:hAnsi="Book Antiqua" w:cs="宋体"/>
          <w:kern w:val="0"/>
          <w:sz w:val="24"/>
        </w:rPr>
        <w:t>: 739-764 [PMID: 11519733]</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t xml:space="preserve">207 </w:t>
      </w:r>
      <w:r w:rsidRPr="00133249">
        <w:rPr>
          <w:rFonts w:ascii="Book Antiqua" w:hAnsi="Book Antiqua" w:cs="宋体"/>
          <w:b/>
          <w:bCs/>
          <w:kern w:val="0"/>
          <w:sz w:val="24"/>
        </w:rPr>
        <w:t>Brownlee M</w:t>
      </w:r>
      <w:r w:rsidRPr="00133249">
        <w:rPr>
          <w:rFonts w:ascii="Book Antiqua" w:hAnsi="Book Antiqua" w:cs="宋体"/>
          <w:kern w:val="0"/>
          <w:sz w:val="24"/>
        </w:rPr>
        <w:t>.</w:t>
      </w:r>
      <w:proofErr w:type="gramEnd"/>
      <w:r w:rsidRPr="00133249">
        <w:rPr>
          <w:rFonts w:ascii="Book Antiqua" w:hAnsi="Book Antiqua" w:cs="宋体"/>
          <w:kern w:val="0"/>
          <w:sz w:val="24"/>
        </w:rPr>
        <w:t xml:space="preserve"> The pathobiology of diabetic complications: a unifying mechanism. </w:t>
      </w:r>
      <w:r w:rsidRPr="00133249">
        <w:rPr>
          <w:rFonts w:ascii="Book Antiqua" w:hAnsi="Book Antiqua" w:cs="宋体"/>
          <w:i/>
          <w:iCs/>
          <w:kern w:val="0"/>
          <w:sz w:val="24"/>
        </w:rPr>
        <w:t>Diabetes</w:t>
      </w:r>
      <w:r w:rsidRPr="00133249">
        <w:rPr>
          <w:rFonts w:ascii="Book Antiqua" w:hAnsi="Book Antiqua" w:cs="宋体"/>
          <w:kern w:val="0"/>
          <w:sz w:val="24"/>
        </w:rPr>
        <w:t xml:space="preserve"> 2005; </w:t>
      </w:r>
      <w:r w:rsidRPr="00133249">
        <w:rPr>
          <w:rFonts w:ascii="Book Antiqua" w:hAnsi="Book Antiqua" w:cs="宋体"/>
          <w:b/>
          <w:bCs/>
          <w:kern w:val="0"/>
          <w:sz w:val="24"/>
        </w:rPr>
        <w:t>54</w:t>
      </w:r>
      <w:r w:rsidRPr="00133249">
        <w:rPr>
          <w:rFonts w:ascii="Book Antiqua" w:hAnsi="Book Antiqua" w:cs="宋体"/>
          <w:kern w:val="0"/>
          <w:sz w:val="24"/>
        </w:rPr>
        <w:t>: 1615-1625 [PMID: 15919781]</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t xml:space="preserve">208 </w:t>
      </w:r>
      <w:r w:rsidRPr="00133249">
        <w:rPr>
          <w:rFonts w:ascii="Book Antiqua" w:hAnsi="Book Antiqua" w:cs="宋体"/>
          <w:b/>
          <w:bCs/>
          <w:kern w:val="0"/>
          <w:sz w:val="24"/>
        </w:rPr>
        <w:t>Gerbitz KD</w:t>
      </w:r>
      <w:r w:rsidRPr="00133249">
        <w:rPr>
          <w:rFonts w:ascii="Book Antiqua" w:hAnsi="Book Antiqua" w:cs="宋体"/>
          <w:kern w:val="0"/>
          <w:sz w:val="24"/>
        </w:rPr>
        <w:t>, Gempel K, Brdiczka D. Mitochondria and diabetes.</w:t>
      </w:r>
      <w:proofErr w:type="gramEnd"/>
      <w:r w:rsidRPr="00133249">
        <w:rPr>
          <w:rFonts w:ascii="Book Antiqua" w:hAnsi="Book Antiqua" w:cs="宋体"/>
          <w:kern w:val="0"/>
          <w:sz w:val="24"/>
        </w:rPr>
        <w:t xml:space="preserve"> </w:t>
      </w:r>
      <w:proofErr w:type="gramStart"/>
      <w:r w:rsidRPr="00133249">
        <w:rPr>
          <w:rFonts w:ascii="Book Antiqua" w:hAnsi="Book Antiqua" w:cs="宋体"/>
          <w:kern w:val="0"/>
          <w:sz w:val="24"/>
        </w:rPr>
        <w:t>Genetic, biochemical, and clinical implications of the cellular energy circuit.</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Diabetes</w:t>
      </w:r>
      <w:r w:rsidRPr="00133249">
        <w:rPr>
          <w:rFonts w:ascii="Book Antiqua" w:hAnsi="Book Antiqua" w:cs="宋体"/>
          <w:kern w:val="0"/>
          <w:sz w:val="24"/>
        </w:rPr>
        <w:t xml:space="preserve"> 1996; </w:t>
      </w:r>
      <w:r w:rsidRPr="00133249">
        <w:rPr>
          <w:rFonts w:ascii="Book Antiqua" w:hAnsi="Book Antiqua" w:cs="宋体"/>
          <w:b/>
          <w:bCs/>
          <w:kern w:val="0"/>
          <w:sz w:val="24"/>
        </w:rPr>
        <w:t>45</w:t>
      </w:r>
      <w:r w:rsidRPr="00133249">
        <w:rPr>
          <w:rFonts w:ascii="Book Antiqua" w:hAnsi="Book Antiqua" w:cs="宋体"/>
          <w:kern w:val="0"/>
          <w:sz w:val="24"/>
        </w:rPr>
        <w:t>: 113-126 [PMID: 8549853]</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209 </w:t>
      </w:r>
      <w:r w:rsidRPr="00133249">
        <w:rPr>
          <w:rFonts w:ascii="Book Antiqua" w:hAnsi="Book Antiqua" w:cs="宋体"/>
          <w:b/>
          <w:bCs/>
          <w:kern w:val="0"/>
          <w:sz w:val="24"/>
        </w:rPr>
        <w:t>Takuma K</w:t>
      </w:r>
      <w:r w:rsidRPr="00133249">
        <w:rPr>
          <w:rFonts w:ascii="Book Antiqua" w:hAnsi="Book Antiqua" w:cs="宋体"/>
          <w:kern w:val="0"/>
          <w:sz w:val="24"/>
        </w:rPr>
        <w:t xml:space="preserve">, Yao J, Huang J, Xu H, Chen X, Luddy J, Trillat AC, Stern DM, Arancio O, Yan SS. ABAD enhances Abeta-induced cell stress via mitochondrial dysfunction. </w:t>
      </w:r>
      <w:r w:rsidRPr="00133249">
        <w:rPr>
          <w:rFonts w:ascii="Book Antiqua" w:hAnsi="Book Antiqua" w:cs="宋体"/>
          <w:i/>
          <w:iCs/>
          <w:kern w:val="0"/>
          <w:sz w:val="24"/>
        </w:rPr>
        <w:t>FASEB J</w:t>
      </w:r>
      <w:r w:rsidRPr="00133249">
        <w:rPr>
          <w:rFonts w:ascii="Book Antiqua" w:hAnsi="Book Antiqua" w:cs="宋体"/>
          <w:kern w:val="0"/>
          <w:sz w:val="24"/>
        </w:rPr>
        <w:t xml:space="preserve"> 2005; </w:t>
      </w:r>
      <w:r w:rsidRPr="00133249">
        <w:rPr>
          <w:rFonts w:ascii="Book Antiqua" w:hAnsi="Book Antiqua" w:cs="宋体"/>
          <w:b/>
          <w:bCs/>
          <w:kern w:val="0"/>
          <w:sz w:val="24"/>
        </w:rPr>
        <w:t>19</w:t>
      </w:r>
      <w:r w:rsidRPr="00133249">
        <w:rPr>
          <w:rFonts w:ascii="Book Antiqua" w:hAnsi="Book Antiqua" w:cs="宋体"/>
          <w:kern w:val="0"/>
          <w:sz w:val="24"/>
        </w:rPr>
        <w:t>: 597-598 [PMID: 15665036]</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210 </w:t>
      </w:r>
      <w:r w:rsidRPr="00133249">
        <w:rPr>
          <w:rFonts w:ascii="Book Antiqua" w:hAnsi="Book Antiqua" w:cs="宋体"/>
          <w:b/>
          <w:bCs/>
          <w:kern w:val="0"/>
          <w:sz w:val="24"/>
        </w:rPr>
        <w:t>Moreira PI</w:t>
      </w:r>
      <w:r w:rsidRPr="00133249">
        <w:rPr>
          <w:rFonts w:ascii="Book Antiqua" w:hAnsi="Book Antiqua" w:cs="宋体"/>
          <w:kern w:val="0"/>
          <w:sz w:val="24"/>
        </w:rPr>
        <w:t xml:space="preserve">, Santos MS, Sena C, Seiça R, Oliveira CR. Insulin protects against amyloid beta-peptide toxicity in brain mitochondria of diabetic rats. </w:t>
      </w:r>
      <w:r w:rsidRPr="00133249">
        <w:rPr>
          <w:rFonts w:ascii="Book Antiqua" w:hAnsi="Book Antiqua" w:cs="宋体"/>
          <w:i/>
          <w:iCs/>
          <w:kern w:val="0"/>
          <w:sz w:val="24"/>
        </w:rPr>
        <w:t>Neurobiol Dis</w:t>
      </w:r>
      <w:r w:rsidRPr="00133249">
        <w:rPr>
          <w:rFonts w:ascii="Book Antiqua" w:hAnsi="Book Antiqua" w:cs="宋体"/>
          <w:kern w:val="0"/>
          <w:sz w:val="24"/>
        </w:rPr>
        <w:t xml:space="preserve"> 2005; </w:t>
      </w:r>
      <w:r w:rsidRPr="00133249">
        <w:rPr>
          <w:rFonts w:ascii="Book Antiqua" w:hAnsi="Book Antiqua" w:cs="宋体"/>
          <w:b/>
          <w:bCs/>
          <w:kern w:val="0"/>
          <w:sz w:val="24"/>
        </w:rPr>
        <w:t>18</w:t>
      </w:r>
      <w:r w:rsidRPr="00133249">
        <w:rPr>
          <w:rFonts w:ascii="Book Antiqua" w:hAnsi="Book Antiqua" w:cs="宋体"/>
          <w:kern w:val="0"/>
          <w:sz w:val="24"/>
        </w:rPr>
        <w:t>: 628-637 [PMID: 15755688]</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211 </w:t>
      </w:r>
      <w:r w:rsidRPr="00133249">
        <w:rPr>
          <w:rFonts w:ascii="Book Antiqua" w:hAnsi="Book Antiqua" w:cs="宋体"/>
          <w:b/>
          <w:bCs/>
          <w:kern w:val="0"/>
          <w:sz w:val="24"/>
        </w:rPr>
        <w:t>Moreira PI</w:t>
      </w:r>
      <w:r w:rsidRPr="00133249">
        <w:rPr>
          <w:rFonts w:ascii="Book Antiqua" w:hAnsi="Book Antiqua" w:cs="宋体"/>
          <w:kern w:val="0"/>
          <w:sz w:val="24"/>
        </w:rPr>
        <w:t xml:space="preserve">, Santos MS, Moreno AM, Seiça R, Oliveira CR. Increased vulnerability of brain mitochondria in diabetic (Goto-Kakizaki) rats with aging and amyloid-beta exposure. </w:t>
      </w:r>
      <w:r w:rsidRPr="00133249">
        <w:rPr>
          <w:rFonts w:ascii="Book Antiqua" w:hAnsi="Book Antiqua" w:cs="宋体"/>
          <w:i/>
          <w:iCs/>
          <w:kern w:val="0"/>
          <w:sz w:val="24"/>
        </w:rPr>
        <w:t>Diabetes</w:t>
      </w:r>
      <w:r w:rsidRPr="00133249">
        <w:rPr>
          <w:rFonts w:ascii="Book Antiqua" w:hAnsi="Book Antiqua" w:cs="宋体"/>
          <w:kern w:val="0"/>
          <w:sz w:val="24"/>
        </w:rPr>
        <w:t xml:space="preserve"> 2003; </w:t>
      </w:r>
      <w:r w:rsidRPr="00133249">
        <w:rPr>
          <w:rFonts w:ascii="Book Antiqua" w:hAnsi="Book Antiqua" w:cs="宋体"/>
          <w:b/>
          <w:bCs/>
          <w:kern w:val="0"/>
          <w:sz w:val="24"/>
        </w:rPr>
        <w:t>52</w:t>
      </w:r>
      <w:r w:rsidRPr="00133249">
        <w:rPr>
          <w:rFonts w:ascii="Book Antiqua" w:hAnsi="Book Antiqua" w:cs="宋体"/>
          <w:kern w:val="0"/>
          <w:sz w:val="24"/>
        </w:rPr>
        <w:t>: 1449-1456 [PMID: 12765956]</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212 </w:t>
      </w:r>
      <w:r w:rsidRPr="00133249">
        <w:rPr>
          <w:rFonts w:ascii="Book Antiqua" w:hAnsi="Book Antiqua" w:cs="宋体"/>
          <w:b/>
          <w:bCs/>
          <w:kern w:val="0"/>
          <w:sz w:val="24"/>
        </w:rPr>
        <w:t>Lustbader JW</w:t>
      </w:r>
      <w:r w:rsidRPr="00133249">
        <w:rPr>
          <w:rFonts w:ascii="Book Antiqua" w:hAnsi="Book Antiqua" w:cs="宋体"/>
          <w:kern w:val="0"/>
          <w:sz w:val="24"/>
        </w:rPr>
        <w:t xml:space="preserve">, Cirilli M, Lin C, Xu HW, Takuma K, Wang N, Caspersen C, Chen X, Pollak S, Chaney M, Trinchese F, Liu S, Gunn-Moore F, Lue LF, Walker DG, Kuppusamy P, Zewier ZL, Arancio O, Stern D, Yan SS, Wu H. ABAD directly links Abeta to mitochondrial toxicity in Alzheimer's disease. </w:t>
      </w:r>
      <w:r w:rsidRPr="00133249">
        <w:rPr>
          <w:rFonts w:ascii="Book Antiqua" w:hAnsi="Book Antiqua" w:cs="宋体"/>
          <w:i/>
          <w:iCs/>
          <w:kern w:val="0"/>
          <w:sz w:val="24"/>
        </w:rPr>
        <w:t>Science</w:t>
      </w:r>
      <w:r w:rsidRPr="00133249">
        <w:rPr>
          <w:rFonts w:ascii="Book Antiqua" w:hAnsi="Book Antiqua" w:cs="宋体"/>
          <w:kern w:val="0"/>
          <w:sz w:val="24"/>
        </w:rPr>
        <w:t xml:space="preserve"> 2004; </w:t>
      </w:r>
      <w:r w:rsidRPr="00133249">
        <w:rPr>
          <w:rFonts w:ascii="Book Antiqua" w:hAnsi="Book Antiqua" w:cs="宋体"/>
          <w:b/>
          <w:bCs/>
          <w:kern w:val="0"/>
          <w:sz w:val="24"/>
        </w:rPr>
        <w:t>304</w:t>
      </w:r>
      <w:r w:rsidRPr="00133249">
        <w:rPr>
          <w:rFonts w:ascii="Book Antiqua" w:hAnsi="Book Antiqua" w:cs="宋体"/>
          <w:kern w:val="0"/>
          <w:sz w:val="24"/>
        </w:rPr>
        <w:t>: 448-452 [PMID: 15087549]</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lastRenderedPageBreak/>
        <w:t xml:space="preserve">213 </w:t>
      </w:r>
      <w:r w:rsidRPr="00133249">
        <w:rPr>
          <w:rFonts w:ascii="Book Antiqua" w:hAnsi="Book Antiqua" w:cs="宋体"/>
          <w:b/>
          <w:bCs/>
          <w:kern w:val="0"/>
          <w:sz w:val="24"/>
        </w:rPr>
        <w:t>Leissring MA</w:t>
      </w:r>
      <w:r w:rsidRPr="00133249">
        <w:rPr>
          <w:rFonts w:ascii="Book Antiqua" w:hAnsi="Book Antiqua" w:cs="宋体"/>
          <w:kern w:val="0"/>
          <w:sz w:val="24"/>
        </w:rPr>
        <w:t xml:space="preserve">, Farris W, Wu X, Christodoulou DC, Haigis MC, Guarente L, Selkoe DJ. Alternative translation initiation generates a novel isoform of insulin-degrading enzyme targeted to mitochondria. </w:t>
      </w:r>
      <w:r w:rsidRPr="00133249">
        <w:rPr>
          <w:rFonts w:ascii="Book Antiqua" w:hAnsi="Book Antiqua" w:cs="宋体"/>
          <w:i/>
          <w:iCs/>
          <w:kern w:val="0"/>
          <w:sz w:val="24"/>
        </w:rPr>
        <w:t>Biochem J</w:t>
      </w:r>
      <w:r w:rsidRPr="00133249">
        <w:rPr>
          <w:rFonts w:ascii="Book Antiqua" w:hAnsi="Book Antiqua" w:cs="宋体"/>
          <w:kern w:val="0"/>
          <w:sz w:val="24"/>
        </w:rPr>
        <w:t xml:space="preserve"> 2004; </w:t>
      </w:r>
      <w:r w:rsidRPr="00133249">
        <w:rPr>
          <w:rFonts w:ascii="Book Antiqua" w:hAnsi="Book Antiqua" w:cs="宋体"/>
          <w:b/>
          <w:bCs/>
          <w:kern w:val="0"/>
          <w:sz w:val="24"/>
        </w:rPr>
        <w:t>383</w:t>
      </w:r>
      <w:r w:rsidRPr="00133249">
        <w:rPr>
          <w:rFonts w:ascii="Book Antiqua" w:hAnsi="Book Antiqua" w:cs="宋体"/>
          <w:kern w:val="0"/>
          <w:sz w:val="24"/>
        </w:rPr>
        <w:t>: 439-446 [PMID: 15285718]</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214 </w:t>
      </w:r>
      <w:r w:rsidRPr="00133249">
        <w:rPr>
          <w:rFonts w:ascii="Book Antiqua" w:hAnsi="Book Antiqua" w:cs="宋体"/>
          <w:b/>
          <w:bCs/>
          <w:kern w:val="0"/>
          <w:sz w:val="24"/>
        </w:rPr>
        <w:t>Pereira C</w:t>
      </w:r>
      <w:r w:rsidRPr="00133249">
        <w:rPr>
          <w:rFonts w:ascii="Book Antiqua" w:hAnsi="Book Antiqua" w:cs="宋体"/>
          <w:kern w:val="0"/>
          <w:sz w:val="24"/>
        </w:rPr>
        <w:t xml:space="preserve">, Santos MS, Oliveira C. Mitochondrial function impairment induced by amyloid beta-peptide on PC12 cells. </w:t>
      </w:r>
      <w:r w:rsidRPr="00133249">
        <w:rPr>
          <w:rFonts w:ascii="Book Antiqua" w:hAnsi="Book Antiqua" w:cs="宋体"/>
          <w:i/>
          <w:iCs/>
          <w:kern w:val="0"/>
          <w:sz w:val="24"/>
        </w:rPr>
        <w:t>Neuroreport</w:t>
      </w:r>
      <w:r w:rsidRPr="00133249">
        <w:rPr>
          <w:rFonts w:ascii="Book Antiqua" w:hAnsi="Book Antiqua" w:cs="宋体"/>
          <w:kern w:val="0"/>
          <w:sz w:val="24"/>
        </w:rPr>
        <w:t xml:space="preserve"> 1998; </w:t>
      </w:r>
      <w:r w:rsidRPr="00133249">
        <w:rPr>
          <w:rFonts w:ascii="Book Antiqua" w:hAnsi="Book Antiqua" w:cs="宋体"/>
          <w:b/>
          <w:bCs/>
          <w:kern w:val="0"/>
          <w:sz w:val="24"/>
        </w:rPr>
        <w:t>9</w:t>
      </w:r>
      <w:r w:rsidRPr="00133249">
        <w:rPr>
          <w:rFonts w:ascii="Book Antiqua" w:hAnsi="Book Antiqua" w:cs="宋体"/>
          <w:kern w:val="0"/>
          <w:sz w:val="24"/>
        </w:rPr>
        <w:t>: 1749-1755 [PMID: 9665595]</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215 </w:t>
      </w:r>
      <w:r w:rsidRPr="00133249">
        <w:rPr>
          <w:rFonts w:ascii="Book Antiqua" w:hAnsi="Book Antiqua" w:cs="宋体"/>
          <w:b/>
          <w:bCs/>
          <w:kern w:val="0"/>
          <w:sz w:val="24"/>
        </w:rPr>
        <w:t>Pereira C</w:t>
      </w:r>
      <w:r w:rsidRPr="00133249">
        <w:rPr>
          <w:rFonts w:ascii="Book Antiqua" w:hAnsi="Book Antiqua" w:cs="宋体"/>
          <w:kern w:val="0"/>
          <w:sz w:val="24"/>
        </w:rPr>
        <w:t xml:space="preserve">, Santos MS, Oliveira C. Involvement of oxidative stress on the impairment of energy metabolism induced by </w:t>
      </w:r>
      <w:proofErr w:type="gramStart"/>
      <w:r w:rsidRPr="00133249">
        <w:rPr>
          <w:rFonts w:ascii="Book Antiqua" w:hAnsi="Book Antiqua" w:cs="宋体"/>
          <w:kern w:val="0"/>
          <w:sz w:val="24"/>
        </w:rPr>
        <w:t>A</w:t>
      </w:r>
      <w:proofErr w:type="gramEnd"/>
      <w:r w:rsidRPr="00133249">
        <w:rPr>
          <w:rFonts w:ascii="Book Antiqua" w:hAnsi="Book Antiqua" w:cs="宋体"/>
          <w:kern w:val="0"/>
          <w:sz w:val="24"/>
        </w:rPr>
        <w:t xml:space="preserve"> beta peptides on PC12 cells: protection by antioxidants. </w:t>
      </w:r>
      <w:r w:rsidRPr="00133249">
        <w:rPr>
          <w:rFonts w:ascii="Book Antiqua" w:hAnsi="Book Antiqua" w:cs="宋体"/>
          <w:i/>
          <w:iCs/>
          <w:kern w:val="0"/>
          <w:sz w:val="24"/>
        </w:rPr>
        <w:t>Neurobiol Dis</w:t>
      </w:r>
      <w:r w:rsidRPr="00133249">
        <w:rPr>
          <w:rFonts w:ascii="Book Antiqua" w:hAnsi="Book Antiqua" w:cs="宋体"/>
          <w:kern w:val="0"/>
          <w:sz w:val="24"/>
        </w:rPr>
        <w:t xml:space="preserve"> 1999; </w:t>
      </w:r>
      <w:r w:rsidRPr="00133249">
        <w:rPr>
          <w:rFonts w:ascii="Book Antiqua" w:hAnsi="Book Antiqua" w:cs="宋体"/>
          <w:b/>
          <w:bCs/>
          <w:kern w:val="0"/>
          <w:sz w:val="24"/>
        </w:rPr>
        <w:t>6</w:t>
      </w:r>
      <w:r w:rsidRPr="00133249">
        <w:rPr>
          <w:rFonts w:ascii="Book Antiqua" w:hAnsi="Book Antiqua" w:cs="宋体"/>
          <w:kern w:val="0"/>
          <w:sz w:val="24"/>
        </w:rPr>
        <w:t>: 209-219 [PMID: 10408810]</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216 </w:t>
      </w:r>
      <w:r w:rsidRPr="00133249">
        <w:rPr>
          <w:rFonts w:ascii="Book Antiqua" w:hAnsi="Book Antiqua" w:cs="宋体"/>
          <w:b/>
          <w:bCs/>
          <w:kern w:val="0"/>
          <w:sz w:val="24"/>
        </w:rPr>
        <w:t>Dumont M</w:t>
      </w:r>
      <w:r w:rsidRPr="00133249">
        <w:rPr>
          <w:rFonts w:ascii="Book Antiqua" w:hAnsi="Book Antiqua" w:cs="宋体"/>
          <w:kern w:val="0"/>
          <w:sz w:val="24"/>
        </w:rPr>
        <w:t xml:space="preserve">, Kipiani K, Yu F, Wille E, Katz M, Calingasan NY, Gouras GK, Lin MT, Beal MF. Coenzyme Q10 decreases amyloid pathology and improves behavior in a transgenic mouse model of Alzheimer's disease. </w:t>
      </w:r>
      <w:r w:rsidRPr="00133249">
        <w:rPr>
          <w:rFonts w:ascii="Book Antiqua" w:hAnsi="Book Antiqua" w:cs="宋体"/>
          <w:i/>
          <w:iCs/>
          <w:kern w:val="0"/>
          <w:sz w:val="24"/>
        </w:rPr>
        <w:t>J Alzheimers Dis</w:t>
      </w:r>
      <w:r w:rsidRPr="00133249">
        <w:rPr>
          <w:rFonts w:ascii="Book Antiqua" w:hAnsi="Book Antiqua" w:cs="宋体"/>
          <w:kern w:val="0"/>
          <w:sz w:val="24"/>
        </w:rPr>
        <w:t xml:space="preserve"> 2011; </w:t>
      </w:r>
      <w:r w:rsidRPr="00133249">
        <w:rPr>
          <w:rFonts w:ascii="Book Antiqua" w:hAnsi="Book Antiqua" w:cs="宋体"/>
          <w:b/>
          <w:bCs/>
          <w:kern w:val="0"/>
          <w:sz w:val="24"/>
        </w:rPr>
        <w:t>27</w:t>
      </w:r>
      <w:r w:rsidRPr="00133249">
        <w:rPr>
          <w:rFonts w:ascii="Book Antiqua" w:hAnsi="Book Antiqua" w:cs="宋体"/>
          <w:kern w:val="0"/>
          <w:sz w:val="24"/>
        </w:rPr>
        <w:t>: 211-223 [PMID: 21799249 DOI: 10.3233/JAD-2011-110209]</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217 </w:t>
      </w:r>
      <w:r w:rsidRPr="00133249">
        <w:rPr>
          <w:rFonts w:ascii="Book Antiqua" w:hAnsi="Book Antiqua" w:cs="宋体"/>
          <w:b/>
          <w:bCs/>
          <w:kern w:val="0"/>
          <w:sz w:val="24"/>
        </w:rPr>
        <w:t>Perry EK</w:t>
      </w:r>
      <w:r w:rsidRPr="00133249">
        <w:rPr>
          <w:rFonts w:ascii="Book Antiqua" w:hAnsi="Book Antiqua" w:cs="宋体"/>
          <w:kern w:val="0"/>
          <w:sz w:val="24"/>
        </w:rPr>
        <w:t xml:space="preserve">, Perry RH, Tomlinson BE, Blessed G, Gibson PH. Coenzyme A-acetylating enzymes in Alzheimer's disease: possible cholinergic 'compartment' of pyruvate dehydrogenase. </w:t>
      </w:r>
      <w:r w:rsidRPr="00133249">
        <w:rPr>
          <w:rFonts w:ascii="Book Antiqua" w:hAnsi="Book Antiqua" w:cs="宋体"/>
          <w:i/>
          <w:iCs/>
          <w:kern w:val="0"/>
          <w:sz w:val="24"/>
        </w:rPr>
        <w:t>Neurosci Lett</w:t>
      </w:r>
      <w:r w:rsidRPr="00133249">
        <w:rPr>
          <w:rFonts w:ascii="Book Antiqua" w:hAnsi="Book Antiqua" w:cs="宋体"/>
          <w:kern w:val="0"/>
          <w:sz w:val="24"/>
        </w:rPr>
        <w:t xml:space="preserve"> 1980; </w:t>
      </w:r>
      <w:r w:rsidRPr="00133249">
        <w:rPr>
          <w:rFonts w:ascii="Book Antiqua" w:hAnsi="Book Antiqua" w:cs="宋体"/>
          <w:b/>
          <w:bCs/>
          <w:kern w:val="0"/>
          <w:sz w:val="24"/>
        </w:rPr>
        <w:t>18</w:t>
      </w:r>
      <w:r w:rsidRPr="00133249">
        <w:rPr>
          <w:rFonts w:ascii="Book Antiqua" w:hAnsi="Book Antiqua" w:cs="宋体"/>
          <w:kern w:val="0"/>
          <w:sz w:val="24"/>
        </w:rPr>
        <w:t>: 105-110 [PMID: 6133246]</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218 </w:t>
      </w:r>
      <w:r w:rsidRPr="00133249">
        <w:rPr>
          <w:rFonts w:ascii="Book Antiqua" w:hAnsi="Book Antiqua" w:cs="宋体"/>
          <w:b/>
          <w:bCs/>
          <w:kern w:val="0"/>
          <w:sz w:val="24"/>
        </w:rPr>
        <w:t>Wang X</w:t>
      </w:r>
      <w:r w:rsidRPr="00133249">
        <w:rPr>
          <w:rFonts w:ascii="Book Antiqua" w:hAnsi="Book Antiqua" w:cs="宋体"/>
          <w:kern w:val="0"/>
          <w:sz w:val="24"/>
        </w:rPr>
        <w:t xml:space="preserve">, Su B, Siedlak SL, Moreira PI, Fujioka H, Wang Y, Casadesus G, Zhu X. Amyloid-beta overproduction causes abnormal mitochondrial dynamics via differential modulation of mitochondrial fission/fusion proteins. </w:t>
      </w:r>
      <w:r w:rsidR="007F309F">
        <w:rPr>
          <w:rFonts w:ascii="Book Antiqua" w:hAnsi="Book Antiqua" w:cs="宋体"/>
          <w:i/>
          <w:iCs/>
          <w:kern w:val="0"/>
          <w:sz w:val="24"/>
        </w:rPr>
        <w:t>Proc Natl Acad Sci US</w:t>
      </w:r>
      <w:r w:rsidRPr="00133249">
        <w:rPr>
          <w:rFonts w:ascii="Book Antiqua" w:hAnsi="Book Antiqua" w:cs="宋体"/>
          <w:i/>
          <w:iCs/>
          <w:kern w:val="0"/>
          <w:sz w:val="24"/>
        </w:rPr>
        <w:t>A</w:t>
      </w:r>
      <w:r w:rsidRPr="00133249">
        <w:rPr>
          <w:rFonts w:ascii="Book Antiqua" w:hAnsi="Book Antiqua" w:cs="宋体"/>
          <w:kern w:val="0"/>
          <w:sz w:val="24"/>
        </w:rPr>
        <w:t xml:space="preserve"> 2008; </w:t>
      </w:r>
      <w:r w:rsidRPr="00133249">
        <w:rPr>
          <w:rFonts w:ascii="Book Antiqua" w:hAnsi="Book Antiqua" w:cs="宋体"/>
          <w:b/>
          <w:bCs/>
          <w:kern w:val="0"/>
          <w:sz w:val="24"/>
        </w:rPr>
        <w:t>105</w:t>
      </w:r>
      <w:r w:rsidRPr="00133249">
        <w:rPr>
          <w:rFonts w:ascii="Book Antiqua" w:hAnsi="Book Antiqua" w:cs="宋体"/>
          <w:kern w:val="0"/>
          <w:sz w:val="24"/>
        </w:rPr>
        <w:t>: 19318-19323 [PMID: 19050078 DOI: 10.1073/pnas.0804871105]</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219 </w:t>
      </w:r>
      <w:r w:rsidRPr="00133249">
        <w:rPr>
          <w:rFonts w:ascii="Book Antiqua" w:hAnsi="Book Antiqua" w:cs="宋体"/>
          <w:b/>
          <w:bCs/>
          <w:kern w:val="0"/>
          <w:sz w:val="24"/>
        </w:rPr>
        <w:t>Wang X</w:t>
      </w:r>
      <w:r w:rsidRPr="00133249">
        <w:rPr>
          <w:rFonts w:ascii="Book Antiqua" w:hAnsi="Book Antiqua" w:cs="宋体"/>
          <w:kern w:val="0"/>
          <w:sz w:val="24"/>
        </w:rPr>
        <w:t xml:space="preserve">, Su B, Fujioka H, Zhu X. Dynamin-like protein 1 reduction underlies mitochondrial morphology and distribution abnormalities in fibroblasts from sporadic Alzheimer's disease patients. </w:t>
      </w:r>
      <w:r w:rsidRPr="00133249">
        <w:rPr>
          <w:rFonts w:ascii="Book Antiqua" w:hAnsi="Book Antiqua" w:cs="宋体"/>
          <w:i/>
          <w:iCs/>
          <w:kern w:val="0"/>
          <w:sz w:val="24"/>
        </w:rPr>
        <w:t>Am J Pathol</w:t>
      </w:r>
      <w:r w:rsidRPr="00133249">
        <w:rPr>
          <w:rFonts w:ascii="Book Antiqua" w:hAnsi="Book Antiqua" w:cs="宋体"/>
          <w:kern w:val="0"/>
          <w:sz w:val="24"/>
        </w:rPr>
        <w:t xml:space="preserve"> 2008; </w:t>
      </w:r>
      <w:r w:rsidRPr="00133249">
        <w:rPr>
          <w:rFonts w:ascii="Book Antiqua" w:hAnsi="Book Antiqua" w:cs="宋体"/>
          <w:b/>
          <w:bCs/>
          <w:kern w:val="0"/>
          <w:sz w:val="24"/>
        </w:rPr>
        <w:t>173</w:t>
      </w:r>
      <w:r w:rsidRPr="00133249">
        <w:rPr>
          <w:rFonts w:ascii="Book Antiqua" w:hAnsi="Book Antiqua" w:cs="宋体"/>
          <w:kern w:val="0"/>
          <w:sz w:val="24"/>
        </w:rPr>
        <w:t>: 470-482 [PMID: 18599615 DOI: 10.2353/ajpath.2008.071208]</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220 </w:t>
      </w:r>
      <w:r w:rsidRPr="00133249">
        <w:rPr>
          <w:rFonts w:ascii="Book Antiqua" w:hAnsi="Book Antiqua" w:cs="宋体"/>
          <w:b/>
          <w:bCs/>
          <w:kern w:val="0"/>
          <w:sz w:val="24"/>
        </w:rPr>
        <w:t>Oettinghaus B</w:t>
      </w:r>
      <w:r w:rsidRPr="00133249">
        <w:rPr>
          <w:rFonts w:ascii="Book Antiqua" w:hAnsi="Book Antiqua" w:cs="宋体"/>
          <w:kern w:val="0"/>
          <w:sz w:val="24"/>
        </w:rPr>
        <w:t xml:space="preserve">, Licci M, Scorrano L, Frank S. Less than perfect divorces: dysregulated mitochondrial fission and neurodegeneration. </w:t>
      </w:r>
      <w:r w:rsidRPr="00133249">
        <w:rPr>
          <w:rFonts w:ascii="Book Antiqua" w:hAnsi="Book Antiqua" w:cs="宋体"/>
          <w:i/>
          <w:iCs/>
          <w:kern w:val="0"/>
          <w:sz w:val="24"/>
        </w:rPr>
        <w:t>Acta Neuropathol</w:t>
      </w:r>
      <w:r w:rsidRPr="00133249">
        <w:rPr>
          <w:rFonts w:ascii="Book Antiqua" w:hAnsi="Book Antiqua" w:cs="宋体"/>
          <w:kern w:val="0"/>
          <w:sz w:val="24"/>
        </w:rPr>
        <w:t xml:space="preserve"> 2012; </w:t>
      </w:r>
      <w:r w:rsidRPr="00133249">
        <w:rPr>
          <w:rFonts w:ascii="Book Antiqua" w:hAnsi="Book Antiqua" w:cs="宋体"/>
          <w:b/>
          <w:bCs/>
          <w:kern w:val="0"/>
          <w:sz w:val="24"/>
        </w:rPr>
        <w:t>123</w:t>
      </w:r>
      <w:r w:rsidRPr="00133249">
        <w:rPr>
          <w:rFonts w:ascii="Book Antiqua" w:hAnsi="Book Antiqua" w:cs="宋体"/>
          <w:kern w:val="0"/>
          <w:sz w:val="24"/>
        </w:rPr>
        <w:t>: 189-203 [PMID: 22179580 DOI: 10.1007/s00401-011-0930-z]</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t xml:space="preserve">221 </w:t>
      </w:r>
      <w:r w:rsidRPr="00133249">
        <w:rPr>
          <w:rFonts w:ascii="Book Antiqua" w:hAnsi="Book Antiqua" w:cs="宋体"/>
          <w:b/>
          <w:bCs/>
          <w:kern w:val="0"/>
          <w:sz w:val="24"/>
        </w:rPr>
        <w:t>Pagani L</w:t>
      </w:r>
      <w:r w:rsidRPr="00133249">
        <w:rPr>
          <w:rFonts w:ascii="Book Antiqua" w:hAnsi="Book Antiqua" w:cs="宋体"/>
          <w:kern w:val="0"/>
          <w:sz w:val="24"/>
        </w:rPr>
        <w:t>, Eckert A. Amyloid-Beta interaction with mitochondria.</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Int J Alzheimers Dis</w:t>
      </w:r>
      <w:r w:rsidRPr="00133249">
        <w:rPr>
          <w:rFonts w:ascii="Book Antiqua" w:hAnsi="Book Antiqua" w:cs="宋体"/>
          <w:kern w:val="0"/>
          <w:sz w:val="24"/>
        </w:rPr>
        <w:t xml:space="preserve"> 2011; </w:t>
      </w:r>
      <w:r w:rsidRPr="00133249">
        <w:rPr>
          <w:rFonts w:ascii="Book Antiqua" w:hAnsi="Book Antiqua" w:cs="宋体"/>
          <w:b/>
          <w:bCs/>
          <w:kern w:val="0"/>
          <w:sz w:val="24"/>
        </w:rPr>
        <w:t>2011</w:t>
      </w:r>
      <w:r w:rsidRPr="00133249">
        <w:rPr>
          <w:rFonts w:ascii="Book Antiqua" w:hAnsi="Book Antiqua" w:cs="宋体"/>
          <w:kern w:val="0"/>
          <w:sz w:val="24"/>
        </w:rPr>
        <w:t>: 925050 [PMID: 21461357 DOI: 10.4061/2011/925050]]</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222 </w:t>
      </w:r>
      <w:r w:rsidRPr="00133249">
        <w:rPr>
          <w:rFonts w:ascii="Book Antiqua" w:hAnsi="Book Antiqua" w:cs="宋体"/>
          <w:b/>
          <w:bCs/>
          <w:kern w:val="0"/>
          <w:sz w:val="24"/>
        </w:rPr>
        <w:t>Zhao WQ</w:t>
      </w:r>
      <w:r w:rsidRPr="00133249">
        <w:rPr>
          <w:rFonts w:ascii="Book Antiqua" w:hAnsi="Book Antiqua" w:cs="宋体"/>
          <w:kern w:val="0"/>
          <w:sz w:val="24"/>
        </w:rPr>
        <w:t xml:space="preserve">, Alkon DL. </w:t>
      </w:r>
      <w:proofErr w:type="gramStart"/>
      <w:r w:rsidRPr="00133249">
        <w:rPr>
          <w:rFonts w:ascii="Book Antiqua" w:hAnsi="Book Antiqua" w:cs="宋体"/>
          <w:kern w:val="0"/>
          <w:sz w:val="24"/>
        </w:rPr>
        <w:t>Role of insulin and insulin receptor in learning and memory.</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Mol Cell Endocrinol</w:t>
      </w:r>
      <w:r w:rsidRPr="00133249">
        <w:rPr>
          <w:rFonts w:ascii="Book Antiqua" w:hAnsi="Book Antiqua" w:cs="宋体"/>
          <w:kern w:val="0"/>
          <w:sz w:val="24"/>
        </w:rPr>
        <w:t xml:space="preserve"> 2001; </w:t>
      </w:r>
      <w:r w:rsidRPr="00133249">
        <w:rPr>
          <w:rFonts w:ascii="Book Antiqua" w:hAnsi="Book Antiqua" w:cs="宋体"/>
          <w:b/>
          <w:bCs/>
          <w:kern w:val="0"/>
          <w:sz w:val="24"/>
        </w:rPr>
        <w:t>177</w:t>
      </w:r>
      <w:r w:rsidRPr="00133249">
        <w:rPr>
          <w:rFonts w:ascii="Book Antiqua" w:hAnsi="Book Antiqua" w:cs="宋体"/>
          <w:kern w:val="0"/>
          <w:sz w:val="24"/>
        </w:rPr>
        <w:t>: 125-134 [PMID: 11377828]</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lastRenderedPageBreak/>
        <w:t xml:space="preserve">223 </w:t>
      </w:r>
      <w:r w:rsidRPr="00133249">
        <w:rPr>
          <w:rFonts w:ascii="Book Antiqua" w:hAnsi="Book Antiqua" w:cs="宋体"/>
          <w:b/>
          <w:bCs/>
          <w:kern w:val="0"/>
          <w:sz w:val="24"/>
        </w:rPr>
        <w:t>Erol A</w:t>
      </w:r>
      <w:r w:rsidRPr="00133249">
        <w:rPr>
          <w:rFonts w:ascii="Book Antiqua" w:hAnsi="Book Antiqua" w:cs="宋体"/>
          <w:kern w:val="0"/>
          <w:sz w:val="24"/>
        </w:rPr>
        <w:t>.</w:t>
      </w:r>
      <w:proofErr w:type="gramEnd"/>
      <w:r w:rsidRPr="00133249">
        <w:rPr>
          <w:rFonts w:ascii="Book Antiqua" w:hAnsi="Book Antiqua" w:cs="宋体"/>
          <w:kern w:val="0"/>
          <w:sz w:val="24"/>
        </w:rPr>
        <w:t xml:space="preserve"> </w:t>
      </w:r>
      <w:proofErr w:type="gramStart"/>
      <w:r w:rsidRPr="00133249">
        <w:rPr>
          <w:rFonts w:ascii="Book Antiqua" w:hAnsi="Book Antiqua" w:cs="宋体"/>
          <w:kern w:val="0"/>
          <w:sz w:val="24"/>
        </w:rPr>
        <w:t>An integrated and unifying hypothesis for the metabolic basis of sporadic Alzheimer's disease.</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J Alzheimers Dis</w:t>
      </w:r>
      <w:r w:rsidRPr="00133249">
        <w:rPr>
          <w:rFonts w:ascii="Book Antiqua" w:hAnsi="Book Antiqua" w:cs="宋体"/>
          <w:kern w:val="0"/>
          <w:sz w:val="24"/>
        </w:rPr>
        <w:t xml:space="preserve"> 2008; </w:t>
      </w:r>
      <w:r w:rsidRPr="00133249">
        <w:rPr>
          <w:rFonts w:ascii="Book Antiqua" w:hAnsi="Book Antiqua" w:cs="宋体"/>
          <w:b/>
          <w:bCs/>
          <w:kern w:val="0"/>
          <w:sz w:val="24"/>
        </w:rPr>
        <w:t>13</w:t>
      </w:r>
      <w:r w:rsidRPr="00133249">
        <w:rPr>
          <w:rFonts w:ascii="Book Antiqua" w:hAnsi="Book Antiqua" w:cs="宋体"/>
          <w:kern w:val="0"/>
          <w:sz w:val="24"/>
        </w:rPr>
        <w:t>: 241-253 [PMID: 18430992]</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224 </w:t>
      </w:r>
      <w:r w:rsidRPr="00133249">
        <w:rPr>
          <w:rFonts w:ascii="Book Antiqua" w:hAnsi="Book Antiqua" w:cs="宋体"/>
          <w:b/>
          <w:bCs/>
          <w:kern w:val="0"/>
          <w:sz w:val="24"/>
        </w:rPr>
        <w:t>Zang M</w:t>
      </w:r>
      <w:r w:rsidRPr="00133249">
        <w:rPr>
          <w:rFonts w:ascii="Book Antiqua" w:hAnsi="Book Antiqua" w:cs="宋体"/>
          <w:kern w:val="0"/>
          <w:sz w:val="24"/>
        </w:rPr>
        <w:t xml:space="preserve">, Zuccollo A, Hou X, Nagata D, Walsh K, Herscovitz H, Brecher P, Ruderman NB, Cohen RA. AMP-activated protein kinase is required for the lipid-lowering effect of metformin in insulin-resistant human HepG2 cells. </w:t>
      </w:r>
      <w:r w:rsidRPr="00133249">
        <w:rPr>
          <w:rFonts w:ascii="Book Antiqua" w:hAnsi="Book Antiqua" w:cs="宋体"/>
          <w:i/>
          <w:iCs/>
          <w:kern w:val="0"/>
          <w:sz w:val="24"/>
        </w:rPr>
        <w:t>J Biol Chem</w:t>
      </w:r>
      <w:r w:rsidRPr="00133249">
        <w:rPr>
          <w:rFonts w:ascii="Book Antiqua" w:hAnsi="Book Antiqua" w:cs="宋体"/>
          <w:kern w:val="0"/>
          <w:sz w:val="24"/>
        </w:rPr>
        <w:t xml:space="preserve"> 2004; </w:t>
      </w:r>
      <w:r w:rsidRPr="00133249">
        <w:rPr>
          <w:rFonts w:ascii="Book Antiqua" w:hAnsi="Book Antiqua" w:cs="宋体"/>
          <w:b/>
          <w:bCs/>
          <w:kern w:val="0"/>
          <w:sz w:val="24"/>
        </w:rPr>
        <w:t>279</w:t>
      </w:r>
      <w:r w:rsidRPr="00133249">
        <w:rPr>
          <w:rFonts w:ascii="Book Antiqua" w:hAnsi="Book Antiqua" w:cs="宋体"/>
          <w:kern w:val="0"/>
          <w:sz w:val="24"/>
        </w:rPr>
        <w:t>: 47898-47905 [PMID: 15371448]</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225 </w:t>
      </w:r>
      <w:r w:rsidRPr="00133249">
        <w:rPr>
          <w:rFonts w:ascii="Book Antiqua" w:hAnsi="Book Antiqua" w:cs="宋体"/>
          <w:b/>
          <w:bCs/>
          <w:kern w:val="0"/>
          <w:sz w:val="24"/>
        </w:rPr>
        <w:t>Hilder TL</w:t>
      </w:r>
      <w:r w:rsidRPr="00133249">
        <w:rPr>
          <w:rFonts w:ascii="Book Antiqua" w:hAnsi="Book Antiqua" w:cs="宋体"/>
          <w:kern w:val="0"/>
          <w:sz w:val="24"/>
        </w:rPr>
        <w:t xml:space="preserve">, Baer LA, Fuller PM, Fuller CA, Grindeland RE, Wade CE, Graves LM. </w:t>
      </w:r>
      <w:proofErr w:type="gramStart"/>
      <w:r w:rsidRPr="00133249">
        <w:rPr>
          <w:rFonts w:ascii="Book Antiqua" w:hAnsi="Book Antiqua" w:cs="宋体"/>
          <w:kern w:val="0"/>
          <w:sz w:val="24"/>
        </w:rPr>
        <w:t>Insulin-independent pathways mediating glucose uptake in hindlimb-suspended skeletal muscle.</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J Appl Physiol</w:t>
      </w:r>
      <w:r w:rsidRPr="007F309F">
        <w:rPr>
          <w:rFonts w:ascii="Book Antiqua" w:hAnsi="Book Antiqua" w:cs="宋体"/>
          <w:iCs/>
          <w:kern w:val="0"/>
          <w:sz w:val="24"/>
        </w:rPr>
        <w:t xml:space="preserve"> (1985)</w:t>
      </w:r>
      <w:r w:rsidRPr="007F309F">
        <w:rPr>
          <w:rFonts w:ascii="Book Antiqua" w:hAnsi="Book Antiqua" w:cs="宋体"/>
          <w:kern w:val="0"/>
          <w:sz w:val="24"/>
        </w:rPr>
        <w:t xml:space="preserve"> </w:t>
      </w:r>
      <w:r w:rsidRPr="00133249">
        <w:rPr>
          <w:rFonts w:ascii="Book Antiqua" w:hAnsi="Book Antiqua" w:cs="宋体"/>
          <w:kern w:val="0"/>
          <w:sz w:val="24"/>
        </w:rPr>
        <w:t xml:space="preserve">2005; </w:t>
      </w:r>
      <w:r w:rsidRPr="00133249">
        <w:rPr>
          <w:rFonts w:ascii="Book Antiqua" w:hAnsi="Book Antiqua" w:cs="宋体"/>
          <w:b/>
          <w:bCs/>
          <w:kern w:val="0"/>
          <w:sz w:val="24"/>
        </w:rPr>
        <w:t>99</w:t>
      </w:r>
      <w:r w:rsidRPr="00133249">
        <w:rPr>
          <w:rFonts w:ascii="Book Antiqua" w:hAnsi="Book Antiqua" w:cs="宋体"/>
          <w:kern w:val="0"/>
          <w:sz w:val="24"/>
        </w:rPr>
        <w:t>: 2181-2188 [PMID: 16099889]</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226 </w:t>
      </w:r>
      <w:r w:rsidRPr="00133249">
        <w:rPr>
          <w:rFonts w:ascii="Book Antiqua" w:hAnsi="Book Antiqua" w:cs="宋体"/>
          <w:b/>
          <w:bCs/>
          <w:kern w:val="0"/>
          <w:sz w:val="24"/>
        </w:rPr>
        <w:t>Kroemer G</w:t>
      </w:r>
      <w:r w:rsidRPr="00133249">
        <w:rPr>
          <w:rFonts w:ascii="Book Antiqua" w:hAnsi="Book Antiqua" w:cs="宋体"/>
          <w:kern w:val="0"/>
          <w:sz w:val="24"/>
        </w:rPr>
        <w:t xml:space="preserve">, Reed JC. </w:t>
      </w:r>
      <w:proofErr w:type="gramStart"/>
      <w:r w:rsidRPr="00133249">
        <w:rPr>
          <w:rFonts w:ascii="Book Antiqua" w:hAnsi="Book Antiqua" w:cs="宋体"/>
          <w:kern w:val="0"/>
          <w:sz w:val="24"/>
        </w:rPr>
        <w:t>Mitochondrial control of cell death.</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Nat Med</w:t>
      </w:r>
      <w:r w:rsidRPr="00133249">
        <w:rPr>
          <w:rFonts w:ascii="Book Antiqua" w:hAnsi="Book Antiqua" w:cs="宋体"/>
          <w:kern w:val="0"/>
          <w:sz w:val="24"/>
        </w:rPr>
        <w:t xml:space="preserve"> 2000; </w:t>
      </w:r>
      <w:r w:rsidRPr="00133249">
        <w:rPr>
          <w:rFonts w:ascii="Book Antiqua" w:hAnsi="Book Antiqua" w:cs="宋体"/>
          <w:b/>
          <w:bCs/>
          <w:kern w:val="0"/>
          <w:sz w:val="24"/>
        </w:rPr>
        <w:t>6</w:t>
      </w:r>
      <w:r w:rsidRPr="00133249">
        <w:rPr>
          <w:rFonts w:ascii="Book Antiqua" w:hAnsi="Book Antiqua" w:cs="宋体"/>
          <w:kern w:val="0"/>
          <w:sz w:val="24"/>
        </w:rPr>
        <w:t>: 513-519 [PMID: 10802706]</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227 </w:t>
      </w:r>
      <w:r w:rsidRPr="00133249">
        <w:rPr>
          <w:rFonts w:ascii="Book Antiqua" w:hAnsi="Book Antiqua" w:cs="宋体"/>
          <w:b/>
          <w:bCs/>
          <w:kern w:val="0"/>
          <w:sz w:val="24"/>
        </w:rPr>
        <w:t>Wang J</w:t>
      </w:r>
      <w:r w:rsidRPr="00133249">
        <w:rPr>
          <w:rFonts w:ascii="Book Antiqua" w:hAnsi="Book Antiqua" w:cs="宋体"/>
          <w:kern w:val="0"/>
          <w:sz w:val="24"/>
        </w:rPr>
        <w:t xml:space="preserve">, Gallagher D, DeVito LM, Cancino GI, Tsui D, He L, Keller GM, Frankland PW, Kaplan DR, Miller FD. Metformin activates an atypical PKC-CBP pathway to promote neurogenesis and enhance spatial memory formation. </w:t>
      </w:r>
      <w:r w:rsidRPr="00133249">
        <w:rPr>
          <w:rFonts w:ascii="Book Antiqua" w:hAnsi="Book Antiqua" w:cs="宋体"/>
          <w:i/>
          <w:iCs/>
          <w:kern w:val="0"/>
          <w:sz w:val="24"/>
        </w:rPr>
        <w:t>Cell Stem Cell</w:t>
      </w:r>
      <w:r w:rsidRPr="00133249">
        <w:rPr>
          <w:rFonts w:ascii="Book Antiqua" w:hAnsi="Book Antiqua" w:cs="宋体"/>
          <w:kern w:val="0"/>
          <w:sz w:val="24"/>
        </w:rPr>
        <w:t xml:space="preserve"> 2012; </w:t>
      </w:r>
      <w:r w:rsidRPr="00133249">
        <w:rPr>
          <w:rFonts w:ascii="Book Antiqua" w:hAnsi="Book Antiqua" w:cs="宋体"/>
          <w:b/>
          <w:bCs/>
          <w:kern w:val="0"/>
          <w:sz w:val="24"/>
        </w:rPr>
        <w:t>11</w:t>
      </w:r>
      <w:r w:rsidRPr="00133249">
        <w:rPr>
          <w:rFonts w:ascii="Book Antiqua" w:hAnsi="Book Antiqua" w:cs="宋体"/>
          <w:kern w:val="0"/>
          <w:sz w:val="24"/>
        </w:rPr>
        <w:t>: 23-35 [PMID: 22770240 DOI: 10.1016/j.stem.2012.03.016]</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t xml:space="preserve">228 </w:t>
      </w:r>
      <w:r w:rsidRPr="00133249">
        <w:rPr>
          <w:rFonts w:ascii="Book Antiqua" w:hAnsi="Book Antiqua" w:cs="宋体"/>
          <w:b/>
          <w:bCs/>
          <w:kern w:val="0"/>
          <w:sz w:val="24"/>
        </w:rPr>
        <w:t>Hsu CC</w:t>
      </w:r>
      <w:r w:rsidRPr="00133249">
        <w:rPr>
          <w:rFonts w:ascii="Book Antiqua" w:hAnsi="Book Antiqua" w:cs="宋体"/>
          <w:kern w:val="0"/>
          <w:sz w:val="24"/>
        </w:rPr>
        <w:t>, Wahlqvist ML, Lee MS, Tsai HN.</w:t>
      </w:r>
      <w:proofErr w:type="gramEnd"/>
      <w:r w:rsidRPr="00133249">
        <w:rPr>
          <w:rFonts w:ascii="Book Antiqua" w:hAnsi="Book Antiqua" w:cs="宋体"/>
          <w:kern w:val="0"/>
          <w:sz w:val="24"/>
        </w:rPr>
        <w:t xml:space="preserve"> Incidence of dementia is increased in type 2 diabetes and reduced by the use of sulfonylureas and metformin. </w:t>
      </w:r>
      <w:r w:rsidRPr="00133249">
        <w:rPr>
          <w:rFonts w:ascii="Book Antiqua" w:hAnsi="Book Antiqua" w:cs="宋体"/>
          <w:i/>
          <w:iCs/>
          <w:kern w:val="0"/>
          <w:sz w:val="24"/>
        </w:rPr>
        <w:t>J Alzheimers Dis</w:t>
      </w:r>
      <w:r w:rsidRPr="00133249">
        <w:rPr>
          <w:rFonts w:ascii="Book Antiqua" w:hAnsi="Book Antiqua" w:cs="宋体"/>
          <w:kern w:val="0"/>
          <w:sz w:val="24"/>
        </w:rPr>
        <w:t xml:space="preserve"> 2011; </w:t>
      </w:r>
      <w:r w:rsidRPr="00133249">
        <w:rPr>
          <w:rFonts w:ascii="Book Antiqua" w:hAnsi="Book Antiqua" w:cs="宋体"/>
          <w:b/>
          <w:bCs/>
          <w:kern w:val="0"/>
          <w:sz w:val="24"/>
        </w:rPr>
        <w:t>24</w:t>
      </w:r>
      <w:r w:rsidRPr="00133249">
        <w:rPr>
          <w:rFonts w:ascii="Book Antiqua" w:hAnsi="Book Antiqua" w:cs="宋体"/>
          <w:kern w:val="0"/>
          <w:sz w:val="24"/>
        </w:rPr>
        <w:t>: 485-493 [PMID: 21297276 DOI: 10.3233/JAD-2011-101524]</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229 </w:t>
      </w:r>
      <w:r w:rsidRPr="00133249">
        <w:rPr>
          <w:rFonts w:ascii="Book Antiqua" w:hAnsi="Book Antiqua" w:cs="宋体"/>
          <w:b/>
          <w:bCs/>
          <w:kern w:val="0"/>
          <w:sz w:val="24"/>
        </w:rPr>
        <w:t>Moore EM</w:t>
      </w:r>
      <w:r w:rsidRPr="00133249">
        <w:rPr>
          <w:rFonts w:ascii="Book Antiqua" w:hAnsi="Book Antiqua" w:cs="宋体"/>
          <w:kern w:val="0"/>
          <w:sz w:val="24"/>
        </w:rPr>
        <w:t xml:space="preserve">, Mander AG, Ames D, Kotowicz MA, Carne RP, Brodaty H, Woodward M, Boundy K, Ellis KA, Bush AI, Faux NG, Martins R, Szoeke C, Rowe C, Watters DA. Increased risk of cognitive impairment in patients with diabetes is associated with metformin. </w:t>
      </w:r>
      <w:r w:rsidRPr="00133249">
        <w:rPr>
          <w:rFonts w:ascii="Book Antiqua" w:hAnsi="Book Antiqua" w:cs="宋体"/>
          <w:i/>
          <w:iCs/>
          <w:kern w:val="0"/>
          <w:sz w:val="24"/>
        </w:rPr>
        <w:t>Diabetes Care</w:t>
      </w:r>
      <w:r w:rsidRPr="00133249">
        <w:rPr>
          <w:rFonts w:ascii="Book Antiqua" w:hAnsi="Book Antiqua" w:cs="宋体"/>
          <w:kern w:val="0"/>
          <w:sz w:val="24"/>
        </w:rPr>
        <w:t xml:space="preserve"> 2013; </w:t>
      </w:r>
      <w:r w:rsidRPr="00133249">
        <w:rPr>
          <w:rFonts w:ascii="Book Antiqua" w:hAnsi="Book Antiqua" w:cs="宋体"/>
          <w:b/>
          <w:bCs/>
          <w:kern w:val="0"/>
          <w:sz w:val="24"/>
        </w:rPr>
        <w:t>36</w:t>
      </w:r>
      <w:r w:rsidRPr="00133249">
        <w:rPr>
          <w:rFonts w:ascii="Book Antiqua" w:hAnsi="Book Antiqua" w:cs="宋体"/>
          <w:kern w:val="0"/>
          <w:sz w:val="24"/>
        </w:rPr>
        <w:t>: 2981-2987 [PMID: 24009301 DOI: 10.2337/dc13-0229]</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230 </w:t>
      </w:r>
      <w:r w:rsidRPr="00133249">
        <w:rPr>
          <w:rFonts w:ascii="Book Antiqua" w:hAnsi="Book Antiqua" w:cs="宋体"/>
          <w:b/>
          <w:bCs/>
          <w:kern w:val="0"/>
          <w:sz w:val="24"/>
        </w:rPr>
        <w:t>Exalto LG</w:t>
      </w:r>
      <w:r w:rsidRPr="00133249">
        <w:rPr>
          <w:rFonts w:ascii="Book Antiqua" w:hAnsi="Book Antiqua" w:cs="宋体"/>
          <w:kern w:val="0"/>
          <w:sz w:val="24"/>
        </w:rPr>
        <w:t xml:space="preserve">, Whitmer RA, Kappele LJ, Biessels GJ. An update on type 2 diabetes, vascular dementia and Alzheimer's disease. </w:t>
      </w:r>
      <w:r w:rsidRPr="00133249">
        <w:rPr>
          <w:rFonts w:ascii="Book Antiqua" w:hAnsi="Book Antiqua" w:cs="宋体"/>
          <w:i/>
          <w:iCs/>
          <w:kern w:val="0"/>
          <w:sz w:val="24"/>
        </w:rPr>
        <w:t>Exp Gerontol</w:t>
      </w:r>
      <w:r w:rsidRPr="00133249">
        <w:rPr>
          <w:rFonts w:ascii="Book Antiqua" w:hAnsi="Book Antiqua" w:cs="宋体"/>
          <w:kern w:val="0"/>
          <w:sz w:val="24"/>
        </w:rPr>
        <w:t xml:space="preserve"> 2012; </w:t>
      </w:r>
      <w:r w:rsidRPr="00133249">
        <w:rPr>
          <w:rFonts w:ascii="Book Antiqua" w:hAnsi="Book Antiqua" w:cs="宋体"/>
          <w:b/>
          <w:bCs/>
          <w:kern w:val="0"/>
          <w:sz w:val="24"/>
        </w:rPr>
        <w:t>47</w:t>
      </w:r>
      <w:r w:rsidRPr="00133249">
        <w:rPr>
          <w:rFonts w:ascii="Book Antiqua" w:hAnsi="Book Antiqua" w:cs="宋体"/>
          <w:kern w:val="0"/>
          <w:sz w:val="24"/>
        </w:rPr>
        <w:t>: 858-864 [PMID: 22884853 DOI: 10.1016/j.exger.2012.07.014]</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231 </w:t>
      </w:r>
      <w:r w:rsidRPr="00133249">
        <w:rPr>
          <w:rFonts w:ascii="Book Antiqua" w:hAnsi="Book Antiqua" w:cs="宋体"/>
          <w:b/>
          <w:bCs/>
          <w:kern w:val="0"/>
          <w:sz w:val="24"/>
        </w:rPr>
        <w:t>Khanfar MA</w:t>
      </w:r>
      <w:r w:rsidRPr="00133249">
        <w:rPr>
          <w:rFonts w:ascii="Book Antiqua" w:hAnsi="Book Antiqua" w:cs="宋体"/>
          <w:kern w:val="0"/>
          <w:sz w:val="24"/>
        </w:rPr>
        <w:t xml:space="preserve">, AbuKhader MM, Alqtaishat S, Taha MO. Pharmacophore modeling, homology modeling, and in silico screening reveal mammalian target of rapamycin inhibitory activities for sotalol, glyburide, metipranolol, sulfamethizole, glipizide, and pioglitazone. </w:t>
      </w:r>
      <w:r w:rsidRPr="00133249">
        <w:rPr>
          <w:rFonts w:ascii="Book Antiqua" w:hAnsi="Book Antiqua" w:cs="宋体"/>
          <w:i/>
          <w:iCs/>
          <w:kern w:val="0"/>
          <w:sz w:val="24"/>
        </w:rPr>
        <w:t>J Mol Graph Model</w:t>
      </w:r>
      <w:r w:rsidRPr="00133249">
        <w:rPr>
          <w:rFonts w:ascii="Book Antiqua" w:hAnsi="Book Antiqua" w:cs="宋体"/>
          <w:kern w:val="0"/>
          <w:sz w:val="24"/>
        </w:rPr>
        <w:t xml:space="preserve"> 2013; </w:t>
      </w:r>
      <w:r w:rsidRPr="00133249">
        <w:rPr>
          <w:rFonts w:ascii="Book Antiqua" w:hAnsi="Book Antiqua" w:cs="宋体"/>
          <w:b/>
          <w:bCs/>
          <w:kern w:val="0"/>
          <w:sz w:val="24"/>
        </w:rPr>
        <w:t>42</w:t>
      </w:r>
      <w:r w:rsidRPr="00133249">
        <w:rPr>
          <w:rFonts w:ascii="Book Antiqua" w:hAnsi="Book Antiqua" w:cs="宋体"/>
          <w:kern w:val="0"/>
          <w:sz w:val="24"/>
        </w:rPr>
        <w:t>: 39-49 [PMID: 23545333 DOI: 10.1016/j.jmgm.2013.02.009]</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lastRenderedPageBreak/>
        <w:t xml:space="preserve">232 </w:t>
      </w:r>
      <w:r w:rsidRPr="00133249">
        <w:rPr>
          <w:rFonts w:ascii="Book Antiqua" w:hAnsi="Book Antiqua" w:cs="宋体"/>
          <w:b/>
          <w:bCs/>
          <w:kern w:val="0"/>
          <w:sz w:val="24"/>
        </w:rPr>
        <w:t>Lamkanfi M</w:t>
      </w:r>
      <w:r w:rsidRPr="00133249">
        <w:rPr>
          <w:rFonts w:ascii="Book Antiqua" w:hAnsi="Book Antiqua" w:cs="宋体"/>
          <w:kern w:val="0"/>
          <w:sz w:val="24"/>
        </w:rPr>
        <w:t xml:space="preserve">, Mueller JL, Vitari AC, Misaghi S, Fedorova A, Deshayes K, Lee WP, Hoffman HM, Dixit VM. Glyburide inhibits the Cryopyrin/Nalp3 inflammasome. </w:t>
      </w:r>
      <w:r w:rsidRPr="00133249">
        <w:rPr>
          <w:rFonts w:ascii="Book Antiqua" w:hAnsi="Book Antiqua" w:cs="宋体"/>
          <w:i/>
          <w:iCs/>
          <w:kern w:val="0"/>
          <w:sz w:val="24"/>
        </w:rPr>
        <w:t>J Cell Biol</w:t>
      </w:r>
      <w:r w:rsidRPr="00133249">
        <w:rPr>
          <w:rFonts w:ascii="Book Antiqua" w:hAnsi="Book Antiqua" w:cs="宋体"/>
          <w:kern w:val="0"/>
          <w:sz w:val="24"/>
        </w:rPr>
        <w:t xml:space="preserve"> 2009; </w:t>
      </w:r>
      <w:r w:rsidRPr="00133249">
        <w:rPr>
          <w:rFonts w:ascii="Book Antiqua" w:hAnsi="Book Antiqua" w:cs="宋体"/>
          <w:b/>
          <w:bCs/>
          <w:kern w:val="0"/>
          <w:sz w:val="24"/>
        </w:rPr>
        <w:t>187</w:t>
      </w:r>
      <w:r w:rsidRPr="00133249">
        <w:rPr>
          <w:rFonts w:ascii="Book Antiqua" w:hAnsi="Book Antiqua" w:cs="宋体"/>
          <w:kern w:val="0"/>
          <w:sz w:val="24"/>
        </w:rPr>
        <w:t>: 61-70 [PMID: 19805629 DOI: 10.1083/jcb.200903124]</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233 </w:t>
      </w:r>
      <w:r w:rsidRPr="00133249">
        <w:rPr>
          <w:rFonts w:ascii="Book Antiqua" w:hAnsi="Book Antiqua" w:cs="宋体"/>
          <w:b/>
          <w:bCs/>
          <w:kern w:val="0"/>
          <w:sz w:val="24"/>
        </w:rPr>
        <w:t>Gradman TJ</w:t>
      </w:r>
      <w:r w:rsidRPr="00133249">
        <w:rPr>
          <w:rFonts w:ascii="Book Antiqua" w:hAnsi="Book Antiqua" w:cs="宋体"/>
          <w:kern w:val="0"/>
          <w:sz w:val="24"/>
        </w:rPr>
        <w:t xml:space="preserve">, Laws A, Thompson LW, Reaven GM. Verbal learning and/or memory improves with glycemic control in older subjects with non-insulin-dependent diabetes mellitus. </w:t>
      </w:r>
      <w:r w:rsidRPr="00133249">
        <w:rPr>
          <w:rFonts w:ascii="Book Antiqua" w:hAnsi="Book Antiqua" w:cs="宋体"/>
          <w:i/>
          <w:iCs/>
          <w:kern w:val="0"/>
          <w:sz w:val="24"/>
        </w:rPr>
        <w:t>J Am Geriatr Soc</w:t>
      </w:r>
      <w:r w:rsidRPr="00133249">
        <w:rPr>
          <w:rFonts w:ascii="Book Antiqua" w:hAnsi="Book Antiqua" w:cs="宋体"/>
          <w:kern w:val="0"/>
          <w:sz w:val="24"/>
        </w:rPr>
        <w:t xml:space="preserve"> 1993; </w:t>
      </w:r>
      <w:r w:rsidRPr="00133249">
        <w:rPr>
          <w:rFonts w:ascii="Book Antiqua" w:hAnsi="Book Antiqua" w:cs="宋体"/>
          <w:b/>
          <w:bCs/>
          <w:kern w:val="0"/>
          <w:sz w:val="24"/>
        </w:rPr>
        <w:t>41</w:t>
      </w:r>
      <w:r w:rsidRPr="00133249">
        <w:rPr>
          <w:rFonts w:ascii="Book Antiqua" w:hAnsi="Book Antiqua" w:cs="宋体"/>
          <w:kern w:val="0"/>
          <w:sz w:val="24"/>
        </w:rPr>
        <w:t>: 1305-1312 [PMID: 8227912]</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234 </w:t>
      </w:r>
      <w:r w:rsidRPr="00133249">
        <w:rPr>
          <w:rFonts w:ascii="Book Antiqua" w:hAnsi="Book Antiqua" w:cs="宋体"/>
          <w:b/>
          <w:bCs/>
          <w:kern w:val="0"/>
          <w:sz w:val="24"/>
        </w:rPr>
        <w:t>Imfeld P</w:t>
      </w:r>
      <w:r w:rsidRPr="00133249">
        <w:rPr>
          <w:rFonts w:ascii="Book Antiqua" w:hAnsi="Book Antiqua" w:cs="宋体"/>
          <w:kern w:val="0"/>
          <w:sz w:val="24"/>
        </w:rPr>
        <w:t xml:space="preserve">, Bodmer M, Jick SS, Meier CR. Metformin, other antidiabetic drugs, and risk of Alzheimer's disease: a population-based case-control study. </w:t>
      </w:r>
      <w:r w:rsidRPr="00133249">
        <w:rPr>
          <w:rFonts w:ascii="Book Antiqua" w:hAnsi="Book Antiqua" w:cs="宋体"/>
          <w:i/>
          <w:iCs/>
          <w:kern w:val="0"/>
          <w:sz w:val="24"/>
        </w:rPr>
        <w:t>J Am Geriatr Soc</w:t>
      </w:r>
      <w:r w:rsidRPr="00133249">
        <w:rPr>
          <w:rFonts w:ascii="Book Antiqua" w:hAnsi="Book Antiqua" w:cs="宋体"/>
          <w:kern w:val="0"/>
          <w:sz w:val="24"/>
        </w:rPr>
        <w:t xml:space="preserve"> 2012; </w:t>
      </w:r>
      <w:r w:rsidRPr="00133249">
        <w:rPr>
          <w:rFonts w:ascii="Book Antiqua" w:hAnsi="Book Antiqua" w:cs="宋体"/>
          <w:b/>
          <w:bCs/>
          <w:kern w:val="0"/>
          <w:sz w:val="24"/>
        </w:rPr>
        <w:t>60</w:t>
      </w:r>
      <w:r w:rsidRPr="00133249">
        <w:rPr>
          <w:rFonts w:ascii="Book Antiqua" w:hAnsi="Book Antiqua" w:cs="宋体"/>
          <w:kern w:val="0"/>
          <w:sz w:val="24"/>
        </w:rPr>
        <w:t>: 916-921 [PMID: 22458300 DOI: 10.1111/j.1532-5415.2012.03916.x]</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235 </w:t>
      </w:r>
      <w:r w:rsidRPr="00133249">
        <w:rPr>
          <w:rFonts w:ascii="Book Antiqua" w:hAnsi="Book Antiqua" w:cs="宋体"/>
          <w:b/>
          <w:bCs/>
          <w:kern w:val="0"/>
          <w:sz w:val="24"/>
        </w:rPr>
        <w:t>Hoyer S</w:t>
      </w:r>
      <w:r w:rsidRPr="00133249">
        <w:rPr>
          <w:rFonts w:ascii="Book Antiqua" w:hAnsi="Book Antiqua" w:cs="宋体"/>
          <w:kern w:val="0"/>
          <w:sz w:val="24"/>
        </w:rPr>
        <w:t xml:space="preserve">. Glucose metabolism and insulin receptor signal transduction in Alzheimer disease. </w:t>
      </w:r>
      <w:r w:rsidRPr="00133249">
        <w:rPr>
          <w:rFonts w:ascii="Book Antiqua" w:hAnsi="Book Antiqua" w:cs="宋体"/>
          <w:i/>
          <w:iCs/>
          <w:kern w:val="0"/>
          <w:sz w:val="24"/>
        </w:rPr>
        <w:t>Eur J Pharmacol</w:t>
      </w:r>
      <w:r w:rsidRPr="00133249">
        <w:rPr>
          <w:rFonts w:ascii="Book Antiqua" w:hAnsi="Book Antiqua" w:cs="宋体"/>
          <w:kern w:val="0"/>
          <w:sz w:val="24"/>
        </w:rPr>
        <w:t xml:space="preserve"> 2004; </w:t>
      </w:r>
      <w:r w:rsidRPr="00133249">
        <w:rPr>
          <w:rFonts w:ascii="Book Antiqua" w:hAnsi="Book Antiqua" w:cs="宋体"/>
          <w:b/>
          <w:bCs/>
          <w:kern w:val="0"/>
          <w:sz w:val="24"/>
        </w:rPr>
        <w:t>490</w:t>
      </w:r>
      <w:r w:rsidRPr="00133249">
        <w:rPr>
          <w:rFonts w:ascii="Book Antiqua" w:hAnsi="Book Antiqua" w:cs="宋体"/>
          <w:kern w:val="0"/>
          <w:sz w:val="24"/>
        </w:rPr>
        <w:t>: 115-125 [PMID: 15094078]</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236 </w:t>
      </w:r>
      <w:r w:rsidRPr="00133249">
        <w:rPr>
          <w:rFonts w:ascii="Book Antiqua" w:hAnsi="Book Antiqua" w:cs="宋体"/>
          <w:b/>
          <w:bCs/>
          <w:kern w:val="0"/>
          <w:sz w:val="24"/>
        </w:rPr>
        <w:t>Pandini G</w:t>
      </w:r>
      <w:r w:rsidRPr="00133249">
        <w:rPr>
          <w:rFonts w:ascii="Book Antiqua" w:hAnsi="Book Antiqua" w:cs="宋体"/>
          <w:kern w:val="0"/>
          <w:sz w:val="24"/>
        </w:rPr>
        <w:t xml:space="preserve">, Pace V, Copani A, Squatrito S, Milardi D, Vigneri R. Insulin has multiple antiamyloidogenic effects on human neuronal cells. </w:t>
      </w:r>
      <w:r w:rsidRPr="00133249">
        <w:rPr>
          <w:rFonts w:ascii="Book Antiqua" w:hAnsi="Book Antiqua" w:cs="宋体"/>
          <w:i/>
          <w:iCs/>
          <w:kern w:val="0"/>
          <w:sz w:val="24"/>
        </w:rPr>
        <w:t>Endocrinology</w:t>
      </w:r>
      <w:r w:rsidRPr="00133249">
        <w:rPr>
          <w:rFonts w:ascii="Book Antiqua" w:hAnsi="Book Antiqua" w:cs="宋体"/>
          <w:kern w:val="0"/>
          <w:sz w:val="24"/>
        </w:rPr>
        <w:t xml:space="preserve"> 2013; </w:t>
      </w:r>
      <w:r w:rsidRPr="00133249">
        <w:rPr>
          <w:rFonts w:ascii="Book Antiqua" w:hAnsi="Book Antiqua" w:cs="宋体"/>
          <w:b/>
          <w:bCs/>
          <w:kern w:val="0"/>
          <w:sz w:val="24"/>
        </w:rPr>
        <w:t>154</w:t>
      </w:r>
      <w:r w:rsidRPr="00133249">
        <w:rPr>
          <w:rFonts w:ascii="Book Antiqua" w:hAnsi="Book Antiqua" w:cs="宋体"/>
          <w:kern w:val="0"/>
          <w:sz w:val="24"/>
        </w:rPr>
        <w:t>: 375-387 [PMID: 23239816 DOI: 10.1210/en.2012-1661]</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237 </w:t>
      </w:r>
      <w:r w:rsidRPr="00133249">
        <w:rPr>
          <w:rFonts w:ascii="Book Antiqua" w:hAnsi="Book Antiqua" w:cs="宋体"/>
          <w:b/>
          <w:bCs/>
          <w:kern w:val="0"/>
          <w:sz w:val="24"/>
        </w:rPr>
        <w:t>De Felice FG</w:t>
      </w:r>
      <w:r w:rsidRPr="00133249">
        <w:rPr>
          <w:rFonts w:ascii="Book Antiqua" w:hAnsi="Book Antiqua" w:cs="宋体"/>
          <w:kern w:val="0"/>
          <w:sz w:val="24"/>
        </w:rPr>
        <w:t xml:space="preserve">, Vieira MN, Bomfim TR, Decker H, Velasco PT, Lambert MP, Viola KL, Zhao WQ, Ferreira ST, Klein WL. Protection of synapses against Alzheimer's-linked toxins: insulin signaling prevents the pathogenic binding of Abeta oligomers. </w:t>
      </w:r>
      <w:r w:rsidRPr="00133249">
        <w:rPr>
          <w:rFonts w:ascii="Book Antiqua" w:hAnsi="Book Antiqua" w:cs="宋体"/>
          <w:i/>
          <w:iCs/>
          <w:kern w:val="0"/>
          <w:sz w:val="24"/>
        </w:rPr>
        <w:t>Proc Natl Acad Sci U S A</w:t>
      </w:r>
      <w:r w:rsidRPr="00133249">
        <w:rPr>
          <w:rFonts w:ascii="Book Antiqua" w:hAnsi="Book Antiqua" w:cs="宋体"/>
          <w:kern w:val="0"/>
          <w:sz w:val="24"/>
        </w:rPr>
        <w:t xml:space="preserve"> 2009; </w:t>
      </w:r>
      <w:r w:rsidRPr="00133249">
        <w:rPr>
          <w:rFonts w:ascii="Book Antiqua" w:hAnsi="Book Antiqua" w:cs="宋体"/>
          <w:b/>
          <w:bCs/>
          <w:kern w:val="0"/>
          <w:sz w:val="24"/>
        </w:rPr>
        <w:t>106</w:t>
      </w:r>
      <w:r w:rsidRPr="00133249">
        <w:rPr>
          <w:rFonts w:ascii="Book Antiqua" w:hAnsi="Book Antiqua" w:cs="宋体"/>
          <w:kern w:val="0"/>
          <w:sz w:val="24"/>
        </w:rPr>
        <w:t>: 1971-1976 [PMID: 19188609 DOI: 10.1073/pnas.0809158106]</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238 </w:t>
      </w:r>
      <w:r w:rsidRPr="00133249">
        <w:rPr>
          <w:rFonts w:ascii="Book Antiqua" w:hAnsi="Book Antiqua" w:cs="宋体"/>
          <w:b/>
          <w:bCs/>
          <w:kern w:val="0"/>
          <w:sz w:val="24"/>
        </w:rPr>
        <w:t>Gavin JR</w:t>
      </w:r>
      <w:r w:rsidRPr="00133249">
        <w:rPr>
          <w:rFonts w:ascii="Book Antiqua" w:hAnsi="Book Antiqua" w:cs="宋体"/>
          <w:kern w:val="0"/>
          <w:sz w:val="24"/>
        </w:rPr>
        <w:t xml:space="preserve">, Stolar MW, Freeman JS, Spellman CW. Improving outcomes in patients with type 2 diabetes mellitus: practical solutions for clinical challenges. </w:t>
      </w:r>
      <w:r w:rsidRPr="00133249">
        <w:rPr>
          <w:rFonts w:ascii="Book Antiqua" w:hAnsi="Book Antiqua" w:cs="宋体"/>
          <w:i/>
          <w:iCs/>
          <w:kern w:val="0"/>
          <w:sz w:val="24"/>
        </w:rPr>
        <w:t>J Am Osteopath Assoc</w:t>
      </w:r>
      <w:r w:rsidRPr="00133249">
        <w:rPr>
          <w:rFonts w:ascii="Book Antiqua" w:hAnsi="Book Antiqua" w:cs="宋体"/>
          <w:kern w:val="0"/>
          <w:sz w:val="24"/>
        </w:rPr>
        <w:t xml:space="preserve"> 2010; </w:t>
      </w:r>
      <w:r w:rsidRPr="00133249">
        <w:rPr>
          <w:rFonts w:ascii="Book Antiqua" w:hAnsi="Book Antiqua" w:cs="宋体"/>
          <w:b/>
          <w:bCs/>
          <w:kern w:val="0"/>
          <w:sz w:val="24"/>
        </w:rPr>
        <w:t>110</w:t>
      </w:r>
      <w:r w:rsidRPr="00133249">
        <w:rPr>
          <w:rFonts w:ascii="Book Antiqua" w:hAnsi="Book Antiqua" w:cs="宋体"/>
          <w:kern w:val="0"/>
          <w:sz w:val="24"/>
        </w:rPr>
        <w:t>: S2-14; quiz S15-</w:t>
      </w:r>
      <w:r w:rsidR="007F309F">
        <w:rPr>
          <w:rFonts w:ascii="Book Antiqua" w:hAnsi="Book Antiqua" w:cs="宋体" w:hint="eastAsia"/>
          <w:kern w:val="0"/>
          <w:sz w:val="24"/>
        </w:rPr>
        <w:t>1</w:t>
      </w:r>
      <w:r w:rsidRPr="00133249">
        <w:rPr>
          <w:rFonts w:ascii="Book Antiqua" w:hAnsi="Book Antiqua" w:cs="宋体"/>
          <w:kern w:val="0"/>
          <w:sz w:val="24"/>
        </w:rPr>
        <w:t>6 [PMID: 20554501]</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239 </w:t>
      </w:r>
      <w:r w:rsidRPr="00133249">
        <w:rPr>
          <w:rFonts w:ascii="Book Antiqua" w:hAnsi="Book Antiqua" w:cs="宋体"/>
          <w:b/>
          <w:bCs/>
          <w:kern w:val="0"/>
          <w:sz w:val="24"/>
        </w:rPr>
        <w:t>Cignarelli A</w:t>
      </w:r>
      <w:r w:rsidRPr="00133249">
        <w:rPr>
          <w:rFonts w:ascii="Book Antiqua" w:hAnsi="Book Antiqua" w:cs="宋体"/>
          <w:kern w:val="0"/>
          <w:sz w:val="24"/>
        </w:rPr>
        <w:t xml:space="preserve">, Giorgino F, Vettor R. Pharmacologic agents for type 2 diabetes therapy and regulation of adipogenesis. </w:t>
      </w:r>
      <w:r w:rsidRPr="00133249">
        <w:rPr>
          <w:rFonts w:ascii="Book Antiqua" w:hAnsi="Book Antiqua" w:cs="宋体"/>
          <w:i/>
          <w:iCs/>
          <w:kern w:val="0"/>
          <w:sz w:val="24"/>
        </w:rPr>
        <w:t>Arch Physiol Biochem</w:t>
      </w:r>
      <w:r w:rsidRPr="00133249">
        <w:rPr>
          <w:rFonts w:ascii="Book Antiqua" w:hAnsi="Book Antiqua" w:cs="宋体"/>
          <w:kern w:val="0"/>
          <w:sz w:val="24"/>
        </w:rPr>
        <w:t xml:space="preserve"> 2013; </w:t>
      </w:r>
      <w:r w:rsidRPr="00133249">
        <w:rPr>
          <w:rFonts w:ascii="Book Antiqua" w:hAnsi="Book Antiqua" w:cs="宋体"/>
          <w:b/>
          <w:bCs/>
          <w:kern w:val="0"/>
          <w:sz w:val="24"/>
        </w:rPr>
        <w:t>119</w:t>
      </w:r>
      <w:r w:rsidRPr="00133249">
        <w:rPr>
          <w:rFonts w:ascii="Book Antiqua" w:hAnsi="Book Antiqua" w:cs="宋体"/>
          <w:kern w:val="0"/>
          <w:sz w:val="24"/>
        </w:rPr>
        <w:t>: 139-150 [PMID: 23724947 DOI: 10.3109/13813455.2013.796996]</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240 </w:t>
      </w:r>
      <w:r w:rsidRPr="00133249">
        <w:rPr>
          <w:rFonts w:ascii="Book Antiqua" w:hAnsi="Book Antiqua" w:cs="宋体"/>
          <w:b/>
          <w:bCs/>
          <w:kern w:val="0"/>
          <w:sz w:val="24"/>
        </w:rPr>
        <w:t>Heneka MT</w:t>
      </w:r>
      <w:r w:rsidRPr="00133249">
        <w:rPr>
          <w:rFonts w:ascii="Book Antiqua" w:hAnsi="Book Antiqua" w:cs="宋体"/>
          <w:kern w:val="0"/>
          <w:sz w:val="24"/>
        </w:rPr>
        <w:t xml:space="preserve">, Landreth GE, Feinstein DL. </w:t>
      </w:r>
      <w:proofErr w:type="gramStart"/>
      <w:r w:rsidRPr="00133249">
        <w:rPr>
          <w:rFonts w:ascii="Book Antiqua" w:hAnsi="Book Antiqua" w:cs="宋体"/>
          <w:kern w:val="0"/>
          <w:sz w:val="24"/>
        </w:rPr>
        <w:t>Role for peroxisome proliferator-activated receptor-gamma in Alzheimer's disease.</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Ann Neurol</w:t>
      </w:r>
      <w:r w:rsidRPr="00133249">
        <w:rPr>
          <w:rFonts w:ascii="Book Antiqua" w:hAnsi="Book Antiqua" w:cs="宋体"/>
          <w:kern w:val="0"/>
          <w:sz w:val="24"/>
        </w:rPr>
        <w:t xml:space="preserve"> 2001; </w:t>
      </w:r>
      <w:r w:rsidRPr="00133249">
        <w:rPr>
          <w:rFonts w:ascii="Book Antiqua" w:hAnsi="Book Antiqua" w:cs="宋体"/>
          <w:b/>
          <w:bCs/>
          <w:kern w:val="0"/>
          <w:sz w:val="24"/>
        </w:rPr>
        <w:t>49</w:t>
      </w:r>
      <w:r w:rsidRPr="00133249">
        <w:rPr>
          <w:rFonts w:ascii="Book Antiqua" w:hAnsi="Book Antiqua" w:cs="宋体"/>
          <w:kern w:val="0"/>
          <w:sz w:val="24"/>
        </w:rPr>
        <w:t>: 276 [PMID: 11220752]</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241 </w:t>
      </w:r>
      <w:r w:rsidRPr="00133249">
        <w:rPr>
          <w:rFonts w:ascii="Book Antiqua" w:hAnsi="Book Antiqua" w:cs="宋体"/>
          <w:b/>
          <w:bCs/>
          <w:kern w:val="0"/>
          <w:sz w:val="24"/>
        </w:rPr>
        <w:t>Watson GS</w:t>
      </w:r>
      <w:r w:rsidRPr="00133249">
        <w:rPr>
          <w:rFonts w:ascii="Book Antiqua" w:hAnsi="Book Antiqua" w:cs="宋体"/>
          <w:kern w:val="0"/>
          <w:sz w:val="24"/>
        </w:rPr>
        <w:t xml:space="preserve">, Cholerton BA, Reger MA, Baker LD, Plymate SR, Asthana S, Fishel MA, Kulstad JJ, Green PS, Cook DG, Kahn SE, Keeling ML, Craft S. Preserved cognition in patients with early Alzheimer disease and amnestic mild cognitive impairment during </w:t>
      </w:r>
      <w:r w:rsidRPr="00133249">
        <w:rPr>
          <w:rFonts w:ascii="Book Antiqua" w:hAnsi="Book Antiqua" w:cs="宋体"/>
          <w:kern w:val="0"/>
          <w:sz w:val="24"/>
        </w:rPr>
        <w:lastRenderedPageBreak/>
        <w:t xml:space="preserve">treatment with rosiglitazone: a preliminary study. </w:t>
      </w:r>
      <w:r w:rsidRPr="00133249">
        <w:rPr>
          <w:rFonts w:ascii="Book Antiqua" w:hAnsi="Book Antiqua" w:cs="宋体"/>
          <w:i/>
          <w:iCs/>
          <w:kern w:val="0"/>
          <w:sz w:val="24"/>
        </w:rPr>
        <w:t>Am J Geriatr Psychiatry</w:t>
      </w:r>
      <w:r w:rsidRPr="00133249">
        <w:rPr>
          <w:rFonts w:ascii="Book Antiqua" w:hAnsi="Book Antiqua" w:cs="宋体"/>
          <w:kern w:val="0"/>
          <w:sz w:val="24"/>
        </w:rPr>
        <w:t xml:space="preserve"> 2005; </w:t>
      </w:r>
      <w:r w:rsidRPr="00133249">
        <w:rPr>
          <w:rFonts w:ascii="Book Antiqua" w:hAnsi="Book Antiqua" w:cs="宋体"/>
          <w:b/>
          <w:bCs/>
          <w:kern w:val="0"/>
          <w:sz w:val="24"/>
        </w:rPr>
        <w:t>13</w:t>
      </w:r>
      <w:r w:rsidRPr="00133249">
        <w:rPr>
          <w:rFonts w:ascii="Book Antiqua" w:hAnsi="Book Antiqua" w:cs="宋体"/>
          <w:kern w:val="0"/>
          <w:sz w:val="24"/>
        </w:rPr>
        <w:t>: 950-958 [PMID: 16286438]</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242 </w:t>
      </w:r>
      <w:r w:rsidRPr="00133249">
        <w:rPr>
          <w:rFonts w:ascii="Book Antiqua" w:hAnsi="Book Antiqua" w:cs="宋体"/>
          <w:b/>
          <w:bCs/>
          <w:kern w:val="0"/>
          <w:sz w:val="24"/>
        </w:rPr>
        <w:t>Landreth G</w:t>
      </w:r>
      <w:r w:rsidRPr="00133249">
        <w:rPr>
          <w:rFonts w:ascii="Book Antiqua" w:hAnsi="Book Antiqua" w:cs="宋体"/>
          <w:kern w:val="0"/>
          <w:sz w:val="24"/>
        </w:rPr>
        <w:t xml:space="preserve">, Jiang Q, Mandrekar S, Heneka M. PPARgamma agonists as therapeutics for the treatment of Alzheimer's disease. </w:t>
      </w:r>
      <w:r w:rsidRPr="00133249">
        <w:rPr>
          <w:rFonts w:ascii="Book Antiqua" w:hAnsi="Book Antiqua" w:cs="宋体"/>
          <w:i/>
          <w:iCs/>
          <w:kern w:val="0"/>
          <w:sz w:val="24"/>
        </w:rPr>
        <w:t>Neurotherapeutics</w:t>
      </w:r>
      <w:r w:rsidRPr="00133249">
        <w:rPr>
          <w:rFonts w:ascii="Book Antiqua" w:hAnsi="Book Antiqua" w:cs="宋体"/>
          <w:kern w:val="0"/>
          <w:sz w:val="24"/>
        </w:rPr>
        <w:t xml:space="preserve"> 2008; </w:t>
      </w:r>
      <w:r w:rsidRPr="00133249">
        <w:rPr>
          <w:rFonts w:ascii="Book Antiqua" w:hAnsi="Book Antiqua" w:cs="宋体"/>
          <w:b/>
          <w:bCs/>
          <w:kern w:val="0"/>
          <w:sz w:val="24"/>
        </w:rPr>
        <w:t>5</w:t>
      </w:r>
      <w:r w:rsidRPr="00133249">
        <w:rPr>
          <w:rFonts w:ascii="Book Antiqua" w:hAnsi="Book Antiqua" w:cs="宋体"/>
          <w:kern w:val="0"/>
          <w:sz w:val="24"/>
        </w:rPr>
        <w:t>: 481-489 [PMID: 18625459 DOI: 10.1016/j.nurt.2008.05.003]</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243 </w:t>
      </w:r>
      <w:r w:rsidRPr="00133249">
        <w:rPr>
          <w:rFonts w:ascii="Book Antiqua" w:hAnsi="Book Antiqua" w:cs="宋体"/>
          <w:b/>
          <w:bCs/>
          <w:kern w:val="0"/>
          <w:sz w:val="24"/>
        </w:rPr>
        <w:t>Pathan AR</w:t>
      </w:r>
      <w:r w:rsidRPr="00133249">
        <w:rPr>
          <w:rFonts w:ascii="Book Antiqua" w:hAnsi="Book Antiqua" w:cs="宋体"/>
          <w:kern w:val="0"/>
          <w:sz w:val="24"/>
        </w:rPr>
        <w:t xml:space="preserve">, Viswanad B, Sonkusare SK, Ramarao P. Chronic administration of pioglitazone attenuates intracerebroventricular streptozotocin induced-memory impairment in rats. </w:t>
      </w:r>
      <w:r w:rsidRPr="00133249">
        <w:rPr>
          <w:rFonts w:ascii="Book Antiqua" w:hAnsi="Book Antiqua" w:cs="宋体"/>
          <w:i/>
          <w:iCs/>
          <w:kern w:val="0"/>
          <w:sz w:val="24"/>
        </w:rPr>
        <w:t>Life Sci</w:t>
      </w:r>
      <w:r w:rsidRPr="00133249">
        <w:rPr>
          <w:rFonts w:ascii="Book Antiqua" w:hAnsi="Book Antiqua" w:cs="宋体"/>
          <w:kern w:val="0"/>
          <w:sz w:val="24"/>
        </w:rPr>
        <w:t xml:space="preserve"> 2006; </w:t>
      </w:r>
      <w:r w:rsidRPr="00133249">
        <w:rPr>
          <w:rFonts w:ascii="Book Antiqua" w:hAnsi="Book Antiqua" w:cs="宋体"/>
          <w:b/>
          <w:bCs/>
          <w:kern w:val="0"/>
          <w:sz w:val="24"/>
        </w:rPr>
        <w:t>79</w:t>
      </w:r>
      <w:r w:rsidRPr="00133249">
        <w:rPr>
          <w:rFonts w:ascii="Book Antiqua" w:hAnsi="Book Antiqua" w:cs="宋体"/>
          <w:kern w:val="0"/>
          <w:sz w:val="24"/>
        </w:rPr>
        <w:t>: 2209-2216 [PMID: 16904700]</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244 </w:t>
      </w:r>
      <w:r w:rsidRPr="00133249">
        <w:rPr>
          <w:rFonts w:ascii="Book Antiqua" w:hAnsi="Book Antiqua" w:cs="宋体"/>
          <w:b/>
          <w:bCs/>
          <w:kern w:val="0"/>
          <w:sz w:val="24"/>
        </w:rPr>
        <w:t>Risner ME</w:t>
      </w:r>
      <w:r w:rsidRPr="00133249">
        <w:rPr>
          <w:rFonts w:ascii="Book Antiqua" w:hAnsi="Book Antiqua" w:cs="宋体"/>
          <w:kern w:val="0"/>
          <w:sz w:val="24"/>
        </w:rPr>
        <w:t xml:space="preserve">, Saunders AM, Altman JF, Ormandy GC, Craft S, Foley IM, Zvartau-Hind ME, Hosford DA, Roses AD. </w:t>
      </w:r>
      <w:proofErr w:type="gramStart"/>
      <w:r w:rsidRPr="00133249">
        <w:rPr>
          <w:rFonts w:ascii="Book Antiqua" w:hAnsi="Book Antiqua" w:cs="宋体"/>
          <w:kern w:val="0"/>
          <w:sz w:val="24"/>
        </w:rPr>
        <w:t>Efficacy of rosiglitazone in a genetically defined population with mild-to-moderate Alzheimer's disease.</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Pharmacogenomics J</w:t>
      </w:r>
      <w:r w:rsidRPr="00133249">
        <w:rPr>
          <w:rFonts w:ascii="Book Antiqua" w:hAnsi="Book Antiqua" w:cs="宋体"/>
          <w:kern w:val="0"/>
          <w:sz w:val="24"/>
        </w:rPr>
        <w:t xml:space="preserve"> </w:t>
      </w:r>
      <w:r w:rsidR="007F309F">
        <w:rPr>
          <w:rFonts w:ascii="Book Antiqua" w:hAnsi="Book Antiqua" w:cs="宋体" w:hint="eastAsia"/>
          <w:kern w:val="0"/>
          <w:sz w:val="24"/>
        </w:rPr>
        <w:t>2006</w:t>
      </w:r>
      <w:r w:rsidRPr="00133249">
        <w:rPr>
          <w:rFonts w:ascii="Book Antiqua" w:hAnsi="Book Antiqua" w:cs="宋体"/>
          <w:kern w:val="0"/>
          <w:sz w:val="24"/>
        </w:rPr>
        <w:t xml:space="preserve">; </w:t>
      </w:r>
      <w:r w:rsidRPr="00133249">
        <w:rPr>
          <w:rFonts w:ascii="Book Antiqua" w:hAnsi="Book Antiqua" w:cs="宋体"/>
          <w:b/>
          <w:bCs/>
          <w:kern w:val="0"/>
          <w:sz w:val="24"/>
        </w:rPr>
        <w:t>6</w:t>
      </w:r>
      <w:r w:rsidRPr="00133249">
        <w:rPr>
          <w:rFonts w:ascii="Book Antiqua" w:hAnsi="Book Antiqua" w:cs="宋体"/>
          <w:kern w:val="0"/>
          <w:sz w:val="24"/>
        </w:rPr>
        <w:t>: 246-254 [PMID: 16446752]</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245 </w:t>
      </w:r>
      <w:r w:rsidRPr="00133249">
        <w:rPr>
          <w:rFonts w:ascii="Book Antiqua" w:hAnsi="Book Antiqua" w:cs="宋体"/>
          <w:b/>
          <w:bCs/>
          <w:kern w:val="0"/>
          <w:sz w:val="24"/>
        </w:rPr>
        <w:t>Gold M</w:t>
      </w:r>
      <w:r w:rsidRPr="00133249">
        <w:rPr>
          <w:rFonts w:ascii="Book Antiqua" w:hAnsi="Book Antiqua" w:cs="宋体"/>
          <w:kern w:val="0"/>
          <w:sz w:val="24"/>
        </w:rPr>
        <w:t xml:space="preserve">, Alderton C, Zvartau-Hind M, Egginton S, Saunders AM, Irizarry M, Craft S, Landreth G, Linnamägi U, Sawchak S. Rosiglitazone monotherapy in mild-to-moderate Alzheimer's disease: results from a randomized, double-blind, placebo-controlled phase III study. </w:t>
      </w:r>
      <w:r w:rsidRPr="00133249">
        <w:rPr>
          <w:rFonts w:ascii="Book Antiqua" w:hAnsi="Book Antiqua" w:cs="宋体"/>
          <w:i/>
          <w:iCs/>
          <w:kern w:val="0"/>
          <w:sz w:val="24"/>
        </w:rPr>
        <w:t>Dement Geriatr Cogn Disord</w:t>
      </w:r>
      <w:r w:rsidRPr="00133249">
        <w:rPr>
          <w:rFonts w:ascii="Book Antiqua" w:hAnsi="Book Antiqua" w:cs="宋体"/>
          <w:kern w:val="0"/>
          <w:sz w:val="24"/>
        </w:rPr>
        <w:t xml:space="preserve"> 2010; </w:t>
      </w:r>
      <w:r w:rsidRPr="00133249">
        <w:rPr>
          <w:rFonts w:ascii="Book Antiqua" w:hAnsi="Book Antiqua" w:cs="宋体"/>
          <w:b/>
          <w:bCs/>
          <w:kern w:val="0"/>
          <w:sz w:val="24"/>
        </w:rPr>
        <w:t>30</w:t>
      </w:r>
      <w:r w:rsidRPr="00133249">
        <w:rPr>
          <w:rFonts w:ascii="Book Antiqua" w:hAnsi="Book Antiqua" w:cs="宋体"/>
          <w:kern w:val="0"/>
          <w:sz w:val="24"/>
        </w:rPr>
        <w:t>: 131-146 [PMID: 20733306 DOI: 10.1159/000318845]</w:t>
      </w:r>
    </w:p>
    <w:p w:rsidR="00133249" w:rsidRPr="00133249" w:rsidRDefault="00133249" w:rsidP="00133249">
      <w:pPr>
        <w:widowControl/>
        <w:spacing w:line="360" w:lineRule="auto"/>
        <w:rPr>
          <w:rFonts w:ascii="Book Antiqua" w:hAnsi="Book Antiqua" w:cs="宋体"/>
          <w:kern w:val="0"/>
          <w:sz w:val="24"/>
        </w:rPr>
      </w:pPr>
      <w:proofErr w:type="gramStart"/>
      <w:r w:rsidRPr="00133249">
        <w:rPr>
          <w:rFonts w:ascii="Book Antiqua" w:hAnsi="Book Antiqua" w:cs="宋体"/>
          <w:kern w:val="0"/>
          <w:sz w:val="24"/>
        </w:rPr>
        <w:t xml:space="preserve">246 </w:t>
      </w:r>
      <w:r w:rsidRPr="00133249">
        <w:rPr>
          <w:rFonts w:ascii="Book Antiqua" w:hAnsi="Book Antiqua" w:cs="宋体"/>
          <w:b/>
          <w:bCs/>
          <w:kern w:val="0"/>
          <w:sz w:val="24"/>
        </w:rPr>
        <w:t>Hölscher C</w:t>
      </w:r>
      <w:r w:rsidRPr="00133249">
        <w:rPr>
          <w:rFonts w:ascii="Book Antiqua" w:hAnsi="Book Antiqua" w:cs="宋体"/>
          <w:kern w:val="0"/>
          <w:sz w:val="24"/>
        </w:rPr>
        <w:t>.</w:t>
      </w:r>
      <w:proofErr w:type="gramEnd"/>
      <w:r w:rsidRPr="00133249">
        <w:rPr>
          <w:rFonts w:ascii="Book Antiqua" w:hAnsi="Book Antiqua" w:cs="宋体"/>
          <w:kern w:val="0"/>
          <w:sz w:val="24"/>
        </w:rPr>
        <w:t xml:space="preserve"> </w:t>
      </w:r>
      <w:proofErr w:type="gramStart"/>
      <w:r w:rsidRPr="00133249">
        <w:rPr>
          <w:rFonts w:ascii="Book Antiqua" w:hAnsi="Book Antiqua" w:cs="宋体"/>
          <w:kern w:val="0"/>
          <w:sz w:val="24"/>
        </w:rPr>
        <w:t>The role of GLP-1 in neuronal activity and neurodegeneration.</w:t>
      </w:r>
      <w:proofErr w:type="gramEnd"/>
      <w:r w:rsidRPr="00133249">
        <w:rPr>
          <w:rFonts w:ascii="Book Antiqua" w:hAnsi="Book Antiqua" w:cs="宋体"/>
          <w:kern w:val="0"/>
          <w:sz w:val="24"/>
        </w:rPr>
        <w:t xml:space="preserve"> </w:t>
      </w:r>
      <w:r w:rsidRPr="00133249">
        <w:rPr>
          <w:rFonts w:ascii="Book Antiqua" w:hAnsi="Book Antiqua" w:cs="宋体"/>
          <w:i/>
          <w:iCs/>
          <w:kern w:val="0"/>
          <w:sz w:val="24"/>
        </w:rPr>
        <w:t>Vitam Horm</w:t>
      </w:r>
      <w:r w:rsidRPr="00133249">
        <w:rPr>
          <w:rFonts w:ascii="Book Antiqua" w:hAnsi="Book Antiqua" w:cs="宋体"/>
          <w:kern w:val="0"/>
          <w:sz w:val="24"/>
        </w:rPr>
        <w:t xml:space="preserve"> 2010; </w:t>
      </w:r>
      <w:r w:rsidRPr="00133249">
        <w:rPr>
          <w:rFonts w:ascii="Book Antiqua" w:hAnsi="Book Antiqua" w:cs="宋体"/>
          <w:b/>
          <w:bCs/>
          <w:kern w:val="0"/>
          <w:sz w:val="24"/>
        </w:rPr>
        <w:t>84</w:t>
      </w:r>
      <w:r w:rsidRPr="00133249">
        <w:rPr>
          <w:rFonts w:ascii="Book Antiqua" w:hAnsi="Book Antiqua" w:cs="宋体"/>
          <w:kern w:val="0"/>
          <w:sz w:val="24"/>
        </w:rPr>
        <w:t>: 331-354 [PMID: 21094907 DOI: 10.1016/B978-0-12-381517-0.00013-8]</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247 </w:t>
      </w:r>
      <w:r w:rsidRPr="00133249">
        <w:rPr>
          <w:rFonts w:ascii="Book Antiqua" w:hAnsi="Book Antiqua" w:cs="宋体"/>
          <w:b/>
          <w:bCs/>
          <w:kern w:val="0"/>
          <w:sz w:val="24"/>
        </w:rPr>
        <w:t>Bomfim TR</w:t>
      </w:r>
      <w:r w:rsidRPr="00133249">
        <w:rPr>
          <w:rFonts w:ascii="Book Antiqua" w:hAnsi="Book Antiqua" w:cs="宋体"/>
          <w:kern w:val="0"/>
          <w:sz w:val="24"/>
        </w:rPr>
        <w:t xml:space="preserve">, Forny-Germano L, Sathler LB, Brito-Moreira J, Houzel JC, Decker H, Silverman MA, Kazi H, Melo HM, McClean PL, Holscher C, Arnold SE, Talbot K, Klein WL, Munoz DP, Ferreira ST, De Felice FG. An anti-diabetes agent protects the mouse brain from defective insulin signaling caused by Alzheimer's disease- associated Aβ oligomers. </w:t>
      </w:r>
      <w:r w:rsidRPr="00133249">
        <w:rPr>
          <w:rFonts w:ascii="Book Antiqua" w:hAnsi="Book Antiqua" w:cs="宋体"/>
          <w:i/>
          <w:iCs/>
          <w:kern w:val="0"/>
          <w:sz w:val="24"/>
        </w:rPr>
        <w:t>J Clin Invest</w:t>
      </w:r>
      <w:r w:rsidRPr="00133249">
        <w:rPr>
          <w:rFonts w:ascii="Book Antiqua" w:hAnsi="Book Antiqua" w:cs="宋体"/>
          <w:kern w:val="0"/>
          <w:sz w:val="24"/>
        </w:rPr>
        <w:t xml:space="preserve"> 2012; </w:t>
      </w:r>
      <w:r w:rsidRPr="00133249">
        <w:rPr>
          <w:rFonts w:ascii="Book Antiqua" w:hAnsi="Book Antiqua" w:cs="宋体"/>
          <w:b/>
          <w:bCs/>
          <w:kern w:val="0"/>
          <w:sz w:val="24"/>
        </w:rPr>
        <w:t>122</w:t>
      </w:r>
      <w:r w:rsidRPr="00133249">
        <w:rPr>
          <w:rFonts w:ascii="Book Antiqua" w:hAnsi="Book Antiqua" w:cs="宋体"/>
          <w:kern w:val="0"/>
          <w:sz w:val="24"/>
        </w:rPr>
        <w:t>: 1339-1353 [PMID: 22476196 DOI: 10.1172/JCI57256]</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248 </w:t>
      </w:r>
      <w:r w:rsidRPr="00133249">
        <w:rPr>
          <w:rFonts w:ascii="Book Antiqua" w:hAnsi="Book Antiqua" w:cs="宋体"/>
          <w:b/>
          <w:bCs/>
          <w:kern w:val="0"/>
          <w:sz w:val="24"/>
        </w:rPr>
        <w:t>Hunter K</w:t>
      </w:r>
      <w:r w:rsidRPr="00133249">
        <w:rPr>
          <w:rFonts w:ascii="Book Antiqua" w:hAnsi="Book Antiqua" w:cs="宋体"/>
          <w:kern w:val="0"/>
          <w:sz w:val="24"/>
        </w:rPr>
        <w:t xml:space="preserve">, Hölscher C. Drugs developed to treat diabetes, liraglutide and lixisenatide, cross the blood brain barrier and enhance neurogenesis. </w:t>
      </w:r>
      <w:r w:rsidRPr="00133249">
        <w:rPr>
          <w:rFonts w:ascii="Book Antiqua" w:hAnsi="Book Antiqua" w:cs="宋体"/>
          <w:i/>
          <w:iCs/>
          <w:kern w:val="0"/>
          <w:sz w:val="24"/>
        </w:rPr>
        <w:t>BMC Neurosci</w:t>
      </w:r>
      <w:r w:rsidRPr="00133249">
        <w:rPr>
          <w:rFonts w:ascii="Book Antiqua" w:hAnsi="Book Antiqua" w:cs="宋体"/>
          <w:kern w:val="0"/>
          <w:sz w:val="24"/>
        </w:rPr>
        <w:t xml:space="preserve"> 2012; </w:t>
      </w:r>
      <w:r w:rsidRPr="00133249">
        <w:rPr>
          <w:rFonts w:ascii="Book Antiqua" w:hAnsi="Book Antiqua" w:cs="宋体"/>
          <w:b/>
          <w:bCs/>
          <w:kern w:val="0"/>
          <w:sz w:val="24"/>
        </w:rPr>
        <w:t>13</w:t>
      </w:r>
      <w:r w:rsidRPr="00133249">
        <w:rPr>
          <w:rFonts w:ascii="Book Antiqua" w:hAnsi="Book Antiqua" w:cs="宋体"/>
          <w:kern w:val="0"/>
          <w:sz w:val="24"/>
        </w:rPr>
        <w:t>: 33 [PMID: 22443187 DOI: 10.1186/1471-2202-13-33]</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249 </w:t>
      </w:r>
      <w:r w:rsidRPr="00133249">
        <w:rPr>
          <w:rFonts w:ascii="Book Antiqua" w:hAnsi="Book Antiqua" w:cs="宋体"/>
          <w:b/>
          <w:bCs/>
          <w:kern w:val="0"/>
          <w:sz w:val="24"/>
        </w:rPr>
        <w:t>McClean PL</w:t>
      </w:r>
      <w:r w:rsidRPr="00133249">
        <w:rPr>
          <w:rFonts w:ascii="Book Antiqua" w:hAnsi="Book Antiqua" w:cs="宋体"/>
          <w:kern w:val="0"/>
          <w:sz w:val="24"/>
        </w:rPr>
        <w:t xml:space="preserve">, Parthsarathy V, Faivre E, Hölscher C. The diabetes drug liraglutide prevents degenerative processes in a mouse model of Alzheimer's disease. </w:t>
      </w:r>
      <w:r w:rsidRPr="00133249">
        <w:rPr>
          <w:rFonts w:ascii="Book Antiqua" w:hAnsi="Book Antiqua" w:cs="宋体"/>
          <w:i/>
          <w:iCs/>
          <w:kern w:val="0"/>
          <w:sz w:val="24"/>
        </w:rPr>
        <w:t>J Neurosci</w:t>
      </w:r>
      <w:r w:rsidRPr="00133249">
        <w:rPr>
          <w:rFonts w:ascii="Book Antiqua" w:hAnsi="Book Antiqua" w:cs="宋体"/>
          <w:kern w:val="0"/>
          <w:sz w:val="24"/>
        </w:rPr>
        <w:t xml:space="preserve"> 2011; </w:t>
      </w:r>
      <w:r w:rsidRPr="00133249">
        <w:rPr>
          <w:rFonts w:ascii="Book Antiqua" w:hAnsi="Book Antiqua" w:cs="宋体"/>
          <w:b/>
          <w:bCs/>
          <w:kern w:val="0"/>
          <w:sz w:val="24"/>
        </w:rPr>
        <w:t>31</w:t>
      </w:r>
      <w:r w:rsidRPr="00133249">
        <w:rPr>
          <w:rFonts w:ascii="Book Antiqua" w:hAnsi="Book Antiqua" w:cs="宋体"/>
          <w:kern w:val="0"/>
          <w:sz w:val="24"/>
        </w:rPr>
        <w:t>: 6587-6594 [PMID: 21525299 DOI: 10.1523/JNEUROSCI.0529-11.2011]</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lastRenderedPageBreak/>
        <w:t xml:space="preserve">250 </w:t>
      </w:r>
      <w:r w:rsidRPr="00133249">
        <w:rPr>
          <w:rFonts w:ascii="Book Antiqua" w:hAnsi="Book Antiqua" w:cs="宋体"/>
          <w:b/>
          <w:bCs/>
          <w:kern w:val="0"/>
          <w:sz w:val="24"/>
        </w:rPr>
        <w:t>Yang Y</w:t>
      </w:r>
      <w:r w:rsidRPr="00133249">
        <w:rPr>
          <w:rFonts w:ascii="Book Antiqua" w:hAnsi="Book Antiqua" w:cs="宋体"/>
          <w:kern w:val="0"/>
          <w:sz w:val="24"/>
        </w:rPr>
        <w:t xml:space="preserve">, Zhang J, Ma D, Zhang M, Hu S, Shao S, Gong CX. Subcutaneous administration of liraglutide ameliorates Alzheimer-associated tau hyperphosphorylation in rats with type 2 diabetes. </w:t>
      </w:r>
      <w:r w:rsidRPr="00133249">
        <w:rPr>
          <w:rFonts w:ascii="Book Antiqua" w:hAnsi="Book Antiqua" w:cs="宋体"/>
          <w:i/>
          <w:iCs/>
          <w:kern w:val="0"/>
          <w:sz w:val="24"/>
        </w:rPr>
        <w:t>J Alzheimers Dis</w:t>
      </w:r>
      <w:r w:rsidRPr="00133249">
        <w:rPr>
          <w:rFonts w:ascii="Book Antiqua" w:hAnsi="Book Antiqua" w:cs="宋体"/>
          <w:kern w:val="0"/>
          <w:sz w:val="24"/>
        </w:rPr>
        <w:t xml:space="preserve"> 2013; </w:t>
      </w:r>
      <w:r w:rsidRPr="00133249">
        <w:rPr>
          <w:rFonts w:ascii="Book Antiqua" w:hAnsi="Book Antiqua" w:cs="宋体"/>
          <w:b/>
          <w:bCs/>
          <w:kern w:val="0"/>
          <w:sz w:val="24"/>
        </w:rPr>
        <w:t>37</w:t>
      </w:r>
      <w:r w:rsidRPr="00133249">
        <w:rPr>
          <w:rFonts w:ascii="Book Antiqua" w:hAnsi="Book Antiqua" w:cs="宋体"/>
          <w:kern w:val="0"/>
          <w:sz w:val="24"/>
        </w:rPr>
        <w:t>: 637-648 [PMID: 23948890 DOI: 10.3233/JAD-130491]</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251 </w:t>
      </w:r>
      <w:r w:rsidRPr="00133249">
        <w:rPr>
          <w:rFonts w:ascii="Book Antiqua" w:hAnsi="Book Antiqua" w:cs="宋体"/>
          <w:b/>
          <w:bCs/>
          <w:kern w:val="0"/>
          <w:sz w:val="24"/>
        </w:rPr>
        <w:t>Egefjord L</w:t>
      </w:r>
      <w:r w:rsidRPr="00133249">
        <w:rPr>
          <w:rFonts w:ascii="Book Antiqua" w:hAnsi="Book Antiqua" w:cs="宋体"/>
          <w:kern w:val="0"/>
          <w:sz w:val="24"/>
        </w:rPr>
        <w:t xml:space="preserve">, Gejl M, Møller A, Brændgaard H, Gottrup H, Antropova O, Møller N, Poulsen HE, Gjedde A, Brock B, Rungby J. Effects of liraglutide on neurodegeneration, blood flow and cognition in Alzheimer´s disease - protocol for a controlled, randomized double-blinded trial. </w:t>
      </w:r>
      <w:r w:rsidRPr="00133249">
        <w:rPr>
          <w:rFonts w:ascii="Book Antiqua" w:hAnsi="Book Antiqua" w:cs="宋体"/>
          <w:i/>
          <w:iCs/>
          <w:kern w:val="0"/>
          <w:sz w:val="24"/>
        </w:rPr>
        <w:t>Dan Med J</w:t>
      </w:r>
      <w:r w:rsidRPr="00133249">
        <w:rPr>
          <w:rFonts w:ascii="Book Antiqua" w:hAnsi="Book Antiqua" w:cs="宋体"/>
          <w:kern w:val="0"/>
          <w:sz w:val="24"/>
        </w:rPr>
        <w:t xml:space="preserve"> 2012; </w:t>
      </w:r>
      <w:r w:rsidRPr="00133249">
        <w:rPr>
          <w:rFonts w:ascii="Book Antiqua" w:hAnsi="Book Antiqua" w:cs="宋体"/>
          <w:b/>
          <w:bCs/>
          <w:kern w:val="0"/>
          <w:sz w:val="24"/>
        </w:rPr>
        <w:t>59</w:t>
      </w:r>
      <w:r w:rsidRPr="00133249">
        <w:rPr>
          <w:rFonts w:ascii="Book Antiqua" w:hAnsi="Book Antiqua" w:cs="宋体"/>
          <w:kern w:val="0"/>
          <w:sz w:val="24"/>
        </w:rPr>
        <w:t>: A4519 [PMID: 23158895]</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252 </w:t>
      </w:r>
      <w:r w:rsidRPr="00133249">
        <w:rPr>
          <w:rFonts w:ascii="Book Antiqua" w:hAnsi="Book Antiqua" w:cs="宋体"/>
          <w:b/>
          <w:bCs/>
          <w:kern w:val="0"/>
          <w:sz w:val="24"/>
        </w:rPr>
        <w:t>D'Amico M</w:t>
      </w:r>
      <w:r w:rsidRPr="00133249">
        <w:rPr>
          <w:rFonts w:ascii="Book Antiqua" w:hAnsi="Book Antiqua" w:cs="宋体"/>
          <w:kern w:val="0"/>
          <w:sz w:val="24"/>
        </w:rPr>
        <w:t xml:space="preserve">, Di Filippo C, Marfella R, Abbatecola AM, Ferraraccio F, Rossi F, Paolisso G. Long-term inhibition of dipeptidyl peptidase-4 in Alzheimer's prone mice. </w:t>
      </w:r>
      <w:r w:rsidRPr="00133249">
        <w:rPr>
          <w:rFonts w:ascii="Book Antiqua" w:hAnsi="Book Antiqua" w:cs="宋体"/>
          <w:i/>
          <w:iCs/>
          <w:kern w:val="0"/>
          <w:sz w:val="24"/>
        </w:rPr>
        <w:t>Exp Gerontol</w:t>
      </w:r>
      <w:r w:rsidRPr="00133249">
        <w:rPr>
          <w:rFonts w:ascii="Book Antiqua" w:hAnsi="Book Antiqua" w:cs="宋体"/>
          <w:kern w:val="0"/>
          <w:sz w:val="24"/>
        </w:rPr>
        <w:t xml:space="preserve"> 2010; </w:t>
      </w:r>
      <w:r w:rsidRPr="00133249">
        <w:rPr>
          <w:rFonts w:ascii="Book Antiqua" w:hAnsi="Book Antiqua" w:cs="宋体"/>
          <w:b/>
          <w:bCs/>
          <w:kern w:val="0"/>
          <w:sz w:val="24"/>
        </w:rPr>
        <w:t>45</w:t>
      </w:r>
      <w:r w:rsidRPr="00133249">
        <w:rPr>
          <w:rFonts w:ascii="Book Antiqua" w:hAnsi="Book Antiqua" w:cs="宋体"/>
          <w:kern w:val="0"/>
          <w:sz w:val="24"/>
        </w:rPr>
        <w:t>: 202-207 [PMID: 20005285]</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253 </w:t>
      </w:r>
      <w:r w:rsidRPr="00133249">
        <w:rPr>
          <w:rFonts w:ascii="Book Antiqua" w:hAnsi="Book Antiqua" w:cs="宋体"/>
          <w:b/>
          <w:bCs/>
          <w:kern w:val="0"/>
          <w:sz w:val="24"/>
        </w:rPr>
        <w:t>Beeri MS</w:t>
      </w:r>
      <w:r w:rsidRPr="00133249">
        <w:rPr>
          <w:rFonts w:ascii="Book Antiqua" w:hAnsi="Book Antiqua" w:cs="宋体"/>
          <w:kern w:val="0"/>
          <w:sz w:val="24"/>
        </w:rPr>
        <w:t xml:space="preserve">, Schmeidler J, Silverman JM, Gandy S, Wysocki M, Hannigan CM, Purohit DP, Lesser G, Grossman HT, Haroutunian V. Insulin in combination with other diabetes medication is associated with less Alzheimer neuropathology. </w:t>
      </w:r>
      <w:r w:rsidRPr="00133249">
        <w:rPr>
          <w:rFonts w:ascii="Book Antiqua" w:hAnsi="Book Antiqua" w:cs="宋体"/>
          <w:i/>
          <w:iCs/>
          <w:kern w:val="0"/>
          <w:sz w:val="24"/>
        </w:rPr>
        <w:t>Neurology</w:t>
      </w:r>
      <w:r w:rsidRPr="00133249">
        <w:rPr>
          <w:rFonts w:ascii="Book Antiqua" w:hAnsi="Book Antiqua" w:cs="宋体"/>
          <w:kern w:val="0"/>
          <w:sz w:val="24"/>
        </w:rPr>
        <w:t xml:space="preserve"> 2008; </w:t>
      </w:r>
      <w:r w:rsidRPr="00133249">
        <w:rPr>
          <w:rFonts w:ascii="Book Antiqua" w:hAnsi="Book Antiqua" w:cs="宋体"/>
          <w:b/>
          <w:bCs/>
          <w:kern w:val="0"/>
          <w:sz w:val="24"/>
        </w:rPr>
        <w:t>71</w:t>
      </w:r>
      <w:r w:rsidRPr="00133249">
        <w:rPr>
          <w:rFonts w:ascii="Book Antiqua" w:hAnsi="Book Antiqua" w:cs="宋体"/>
          <w:kern w:val="0"/>
          <w:sz w:val="24"/>
        </w:rPr>
        <w:t>: 750-757 [PMID: 18765651]</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254 </w:t>
      </w:r>
      <w:r w:rsidRPr="00133249">
        <w:rPr>
          <w:rFonts w:ascii="Book Antiqua" w:hAnsi="Book Antiqua" w:cs="宋体"/>
          <w:b/>
          <w:bCs/>
          <w:kern w:val="0"/>
          <w:sz w:val="24"/>
        </w:rPr>
        <w:t>McIntosh CH</w:t>
      </w:r>
      <w:r w:rsidRPr="00133249">
        <w:rPr>
          <w:rFonts w:ascii="Book Antiqua" w:hAnsi="Book Antiqua" w:cs="宋体"/>
          <w:kern w:val="0"/>
          <w:sz w:val="24"/>
        </w:rPr>
        <w:t xml:space="preserve">, Demuth HU, Pospisilik JA, Pederson R. Dipeptidyl peptidase IV inhibitors: how do they work as new antidiabetic agents? </w:t>
      </w:r>
      <w:r w:rsidRPr="00133249">
        <w:rPr>
          <w:rFonts w:ascii="Book Antiqua" w:hAnsi="Book Antiqua" w:cs="宋体"/>
          <w:i/>
          <w:iCs/>
          <w:kern w:val="0"/>
          <w:sz w:val="24"/>
        </w:rPr>
        <w:t>Regul Pept</w:t>
      </w:r>
      <w:r w:rsidRPr="00133249">
        <w:rPr>
          <w:rFonts w:ascii="Book Antiqua" w:hAnsi="Book Antiqua" w:cs="宋体"/>
          <w:kern w:val="0"/>
          <w:sz w:val="24"/>
        </w:rPr>
        <w:t xml:space="preserve"> 2005; </w:t>
      </w:r>
      <w:r w:rsidRPr="00133249">
        <w:rPr>
          <w:rFonts w:ascii="Book Antiqua" w:hAnsi="Book Antiqua" w:cs="宋体"/>
          <w:b/>
          <w:bCs/>
          <w:kern w:val="0"/>
          <w:sz w:val="24"/>
        </w:rPr>
        <w:t>128</w:t>
      </w:r>
      <w:r w:rsidRPr="00133249">
        <w:rPr>
          <w:rFonts w:ascii="Book Antiqua" w:hAnsi="Book Antiqua" w:cs="宋体"/>
          <w:kern w:val="0"/>
          <w:sz w:val="24"/>
        </w:rPr>
        <w:t>: 159-165 [PMID: 15780435]</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255 </w:t>
      </w:r>
      <w:r w:rsidRPr="00133249">
        <w:rPr>
          <w:rFonts w:ascii="Book Antiqua" w:hAnsi="Book Antiqua" w:cs="宋体"/>
          <w:b/>
          <w:bCs/>
          <w:kern w:val="0"/>
          <w:sz w:val="24"/>
        </w:rPr>
        <w:t>Ryan CM</w:t>
      </w:r>
      <w:r w:rsidRPr="00133249">
        <w:rPr>
          <w:rFonts w:ascii="Book Antiqua" w:hAnsi="Book Antiqua" w:cs="宋体"/>
          <w:kern w:val="0"/>
          <w:sz w:val="24"/>
        </w:rPr>
        <w:t xml:space="preserve">, Freed MI, Rood JA, Cobitz AR, Waterhouse BR, Strachan MW. Improving metabolic control leads to better working memory in adults with type 2 diabetes. </w:t>
      </w:r>
      <w:r w:rsidRPr="00133249">
        <w:rPr>
          <w:rFonts w:ascii="Book Antiqua" w:hAnsi="Book Antiqua" w:cs="宋体"/>
          <w:i/>
          <w:iCs/>
          <w:kern w:val="0"/>
          <w:sz w:val="24"/>
        </w:rPr>
        <w:t>Diabetes Care</w:t>
      </w:r>
      <w:r w:rsidRPr="00133249">
        <w:rPr>
          <w:rFonts w:ascii="Book Antiqua" w:hAnsi="Book Antiqua" w:cs="宋体"/>
          <w:kern w:val="0"/>
          <w:sz w:val="24"/>
        </w:rPr>
        <w:t xml:space="preserve"> 2006; </w:t>
      </w:r>
      <w:r w:rsidRPr="00133249">
        <w:rPr>
          <w:rFonts w:ascii="Book Antiqua" w:hAnsi="Book Antiqua" w:cs="宋体"/>
          <w:b/>
          <w:bCs/>
          <w:kern w:val="0"/>
          <w:sz w:val="24"/>
        </w:rPr>
        <w:t>29</w:t>
      </w:r>
      <w:r w:rsidRPr="00133249">
        <w:rPr>
          <w:rFonts w:ascii="Book Antiqua" w:hAnsi="Book Antiqua" w:cs="宋体"/>
          <w:kern w:val="0"/>
          <w:sz w:val="24"/>
        </w:rPr>
        <w:t>: 345-351 [PMID: 16443885]</w:t>
      </w:r>
    </w:p>
    <w:p w:rsidR="00133249" w:rsidRPr="00133249" w:rsidRDefault="00133249" w:rsidP="00133249">
      <w:pPr>
        <w:widowControl/>
        <w:spacing w:line="360" w:lineRule="auto"/>
        <w:rPr>
          <w:rFonts w:ascii="Book Antiqua" w:hAnsi="Book Antiqua" w:cs="宋体"/>
          <w:kern w:val="0"/>
          <w:sz w:val="24"/>
        </w:rPr>
      </w:pPr>
      <w:r w:rsidRPr="00133249">
        <w:rPr>
          <w:rFonts w:ascii="Book Antiqua" w:hAnsi="Book Antiqua" w:cs="宋体"/>
          <w:kern w:val="0"/>
          <w:sz w:val="24"/>
        </w:rPr>
        <w:t xml:space="preserve">256 </w:t>
      </w:r>
      <w:r w:rsidRPr="00133249">
        <w:rPr>
          <w:rFonts w:ascii="Book Antiqua" w:hAnsi="Book Antiqua" w:cs="宋体"/>
          <w:b/>
          <w:bCs/>
          <w:kern w:val="0"/>
          <w:sz w:val="24"/>
        </w:rPr>
        <w:t>Hewer W</w:t>
      </w:r>
      <w:r w:rsidRPr="00133249">
        <w:rPr>
          <w:rFonts w:ascii="Book Antiqua" w:hAnsi="Book Antiqua" w:cs="宋体"/>
          <w:kern w:val="0"/>
          <w:sz w:val="24"/>
        </w:rPr>
        <w:t xml:space="preserve">, Mussell M, Rist F, Kulzer B, Bergis K. Short-term effects of improved glycemic control on cognitive function in patients with type 2 diabetes. </w:t>
      </w:r>
      <w:r w:rsidRPr="00133249">
        <w:rPr>
          <w:rFonts w:ascii="Book Antiqua" w:hAnsi="Book Antiqua" w:cs="宋体"/>
          <w:i/>
          <w:iCs/>
          <w:kern w:val="0"/>
          <w:sz w:val="24"/>
        </w:rPr>
        <w:t>Gerontology</w:t>
      </w:r>
      <w:r w:rsidRPr="00133249">
        <w:rPr>
          <w:rFonts w:ascii="Book Antiqua" w:hAnsi="Book Antiqua" w:cs="宋体"/>
          <w:kern w:val="0"/>
          <w:sz w:val="24"/>
        </w:rPr>
        <w:t xml:space="preserve"> </w:t>
      </w:r>
      <w:r w:rsidR="007F309F">
        <w:rPr>
          <w:rFonts w:ascii="Book Antiqua" w:hAnsi="Book Antiqua" w:cs="宋体" w:hint="eastAsia"/>
          <w:kern w:val="0"/>
          <w:sz w:val="24"/>
        </w:rPr>
        <w:t>2003</w:t>
      </w:r>
      <w:r w:rsidRPr="00133249">
        <w:rPr>
          <w:rFonts w:ascii="Book Antiqua" w:hAnsi="Book Antiqua" w:cs="宋体"/>
          <w:kern w:val="0"/>
          <w:sz w:val="24"/>
        </w:rPr>
        <w:t xml:space="preserve">; </w:t>
      </w:r>
      <w:r w:rsidRPr="00133249">
        <w:rPr>
          <w:rFonts w:ascii="Book Antiqua" w:hAnsi="Book Antiqua" w:cs="宋体"/>
          <w:b/>
          <w:bCs/>
          <w:kern w:val="0"/>
          <w:sz w:val="24"/>
        </w:rPr>
        <w:t>49</w:t>
      </w:r>
      <w:r w:rsidRPr="00133249">
        <w:rPr>
          <w:rFonts w:ascii="Book Antiqua" w:hAnsi="Book Antiqua" w:cs="宋体"/>
          <w:kern w:val="0"/>
          <w:sz w:val="24"/>
        </w:rPr>
        <w:t>: 86-92 [PMID: 12574669]</w:t>
      </w:r>
    </w:p>
    <w:p w:rsidR="00FA235F" w:rsidRPr="00133249" w:rsidRDefault="00FA235F" w:rsidP="00133249">
      <w:pPr>
        <w:spacing w:line="360" w:lineRule="auto"/>
        <w:rPr>
          <w:rFonts w:ascii="Book Antiqua" w:hAnsi="Book Antiqua"/>
          <w:noProof/>
          <w:sz w:val="24"/>
        </w:rPr>
      </w:pPr>
    </w:p>
    <w:p w:rsidR="000A5F6A" w:rsidRPr="007F309F" w:rsidRDefault="000A5F6A" w:rsidP="007F309F">
      <w:pPr>
        <w:spacing w:line="360" w:lineRule="auto"/>
        <w:jc w:val="right"/>
        <w:rPr>
          <w:rFonts w:ascii="Book Antiqua" w:hAnsi="Book Antiqua"/>
          <w:b/>
          <w:sz w:val="24"/>
        </w:rPr>
      </w:pPr>
      <w:r w:rsidRPr="007F309F">
        <w:rPr>
          <w:rFonts w:ascii="Book Antiqua" w:hAnsi="Book Antiqua"/>
          <w:b/>
          <w:sz w:val="24"/>
        </w:rPr>
        <w:t>P-Reviewer:</w:t>
      </w:r>
      <w:r w:rsidR="00355DF0" w:rsidRPr="007F309F">
        <w:rPr>
          <w:rFonts w:ascii="Book Antiqua" w:hAnsi="Book Antiqua" w:cs="Tahoma"/>
          <w:color w:val="000000"/>
          <w:sz w:val="24"/>
        </w:rPr>
        <w:t xml:space="preserve"> Charoenphandhu N, Das UN, Takebayashi K</w:t>
      </w:r>
      <w:r w:rsidRPr="007F309F">
        <w:rPr>
          <w:rFonts w:ascii="Book Antiqua" w:hAnsi="Book Antiqua"/>
          <w:b/>
          <w:sz w:val="24"/>
        </w:rPr>
        <w:t xml:space="preserve"> S-Editor: </w:t>
      </w:r>
      <w:r w:rsidRPr="007F309F">
        <w:rPr>
          <w:rFonts w:ascii="Book Antiqua" w:hAnsi="Book Antiqua"/>
          <w:sz w:val="24"/>
        </w:rPr>
        <w:t>Ji FF</w:t>
      </w:r>
      <w:r w:rsidRPr="007F309F">
        <w:rPr>
          <w:rFonts w:ascii="Book Antiqua" w:hAnsi="Book Antiqua"/>
          <w:b/>
          <w:sz w:val="24"/>
        </w:rPr>
        <w:t xml:space="preserve"> L-Editor: E-Editor:</w:t>
      </w:r>
    </w:p>
    <w:p w:rsidR="00C821A4" w:rsidRDefault="00C821A4">
      <w:pPr>
        <w:widowControl/>
        <w:spacing w:after="200" w:line="276" w:lineRule="auto"/>
        <w:jc w:val="left"/>
        <w:rPr>
          <w:rFonts w:ascii="Book Antiqua" w:hAnsi="Book Antiqua"/>
          <w:b/>
          <w:sz w:val="24"/>
        </w:rPr>
      </w:pPr>
      <w:r>
        <w:rPr>
          <w:rFonts w:ascii="Book Antiqua" w:hAnsi="Book Antiqua"/>
          <w:b/>
          <w:sz w:val="24"/>
        </w:rPr>
        <w:br w:type="page"/>
      </w:r>
    </w:p>
    <w:p w:rsidR="00C821A4" w:rsidRPr="007417D2" w:rsidRDefault="00C821A4" w:rsidP="00C821A4">
      <w:pPr>
        <w:spacing w:line="360" w:lineRule="auto"/>
        <w:rPr>
          <w:rFonts w:ascii="Book Antiqua" w:hAnsi="Book Antiqua"/>
          <w:b/>
          <w:sz w:val="24"/>
        </w:rPr>
      </w:pPr>
      <w:r w:rsidRPr="00BD15CD">
        <w:rPr>
          <w:rFonts w:ascii="Book Antiqua" w:hAnsi="Book Antiqua"/>
          <w:b/>
          <w:sz w:val="24"/>
        </w:rPr>
        <w:lastRenderedPageBreak/>
        <w:t>Table 1 Relevant reports bridging Alzheimer’s disease and diabetes mellitus</w:t>
      </w:r>
    </w:p>
    <w:tbl>
      <w:tblPr>
        <w:tblStyle w:val="TableGrid"/>
        <w:tblW w:w="9648" w:type="dxa"/>
        <w:tblLook w:val="04A0" w:firstRow="1" w:lastRow="0" w:firstColumn="1" w:lastColumn="0" w:noHBand="0" w:noVBand="1"/>
      </w:tblPr>
      <w:tblGrid>
        <w:gridCol w:w="2088"/>
        <w:gridCol w:w="7560"/>
      </w:tblGrid>
      <w:tr w:rsidR="00C821A4" w:rsidRPr="007417D2" w:rsidTr="00E57732">
        <w:tc>
          <w:tcPr>
            <w:tcW w:w="2088" w:type="dxa"/>
          </w:tcPr>
          <w:p w:rsidR="00C821A4" w:rsidRPr="007417D2" w:rsidRDefault="00C821A4" w:rsidP="00E57732">
            <w:pPr>
              <w:spacing w:line="360" w:lineRule="auto"/>
              <w:rPr>
                <w:rFonts w:ascii="Book Antiqua" w:hAnsi="Book Antiqua"/>
                <w:b/>
                <w:sz w:val="24"/>
              </w:rPr>
            </w:pPr>
            <w:r>
              <w:rPr>
                <w:rFonts w:ascii="Book Antiqua" w:hAnsi="Book Antiqua"/>
                <w:b/>
                <w:sz w:val="24"/>
              </w:rPr>
              <w:t>Ref</w:t>
            </w:r>
            <w:r>
              <w:rPr>
                <w:rFonts w:ascii="Book Antiqua" w:hAnsi="Book Antiqua" w:hint="eastAsia"/>
                <w:b/>
                <w:sz w:val="24"/>
              </w:rPr>
              <w:t>.</w:t>
            </w:r>
          </w:p>
        </w:tc>
        <w:tc>
          <w:tcPr>
            <w:tcW w:w="7560" w:type="dxa"/>
          </w:tcPr>
          <w:p w:rsidR="00C821A4" w:rsidRPr="007417D2" w:rsidRDefault="00C821A4" w:rsidP="00E57732">
            <w:pPr>
              <w:spacing w:line="360" w:lineRule="auto"/>
              <w:rPr>
                <w:rFonts w:ascii="Book Antiqua" w:eastAsia="Times New Roman" w:hAnsi="Book Antiqua"/>
                <w:b/>
                <w:sz w:val="24"/>
              </w:rPr>
            </w:pPr>
            <w:r w:rsidRPr="007417D2">
              <w:rPr>
                <w:rFonts w:ascii="Book Antiqua" w:eastAsia="Times New Roman" w:hAnsi="Book Antiqua"/>
                <w:b/>
                <w:sz w:val="24"/>
              </w:rPr>
              <w:t>Publications</w:t>
            </w:r>
          </w:p>
        </w:tc>
      </w:tr>
      <w:tr w:rsidR="00C821A4" w:rsidRPr="007417D2" w:rsidTr="00E57732">
        <w:tc>
          <w:tcPr>
            <w:tcW w:w="2088" w:type="dxa"/>
          </w:tcPr>
          <w:p w:rsidR="00C821A4" w:rsidRPr="007417D2" w:rsidRDefault="00C821A4" w:rsidP="00E57732">
            <w:pPr>
              <w:spacing w:line="360" w:lineRule="auto"/>
              <w:rPr>
                <w:rFonts w:ascii="Book Antiqua" w:hAnsi="Book Antiqua"/>
                <w:sz w:val="24"/>
              </w:rPr>
            </w:pPr>
            <w:r w:rsidRPr="007417D2">
              <w:rPr>
                <w:rFonts w:ascii="Book Antiqua" w:hAnsi="Book Antiqua"/>
                <w:sz w:val="24"/>
              </w:rPr>
              <w:t xml:space="preserve">Adolfsson </w:t>
            </w:r>
            <w:r w:rsidRPr="007417D2">
              <w:rPr>
                <w:rFonts w:ascii="Book Antiqua" w:hAnsi="Book Antiqua"/>
                <w:i/>
                <w:sz w:val="24"/>
              </w:rPr>
              <w:t>et al</w:t>
            </w:r>
            <w:r w:rsidRPr="007417D2">
              <w:rPr>
                <w:rFonts w:ascii="Book Antiqua" w:hAnsi="Book Antiqua"/>
                <w:sz w:val="24"/>
                <w:vertAlign w:val="superscript"/>
              </w:rPr>
              <w:t>[47]</w:t>
            </w:r>
            <w:r w:rsidRPr="007417D2">
              <w:rPr>
                <w:rFonts w:ascii="Book Antiqua" w:hAnsi="Book Antiqua"/>
                <w:sz w:val="24"/>
              </w:rPr>
              <w:t>, 1980</w:t>
            </w:r>
          </w:p>
        </w:tc>
        <w:tc>
          <w:tcPr>
            <w:tcW w:w="7560" w:type="dxa"/>
          </w:tcPr>
          <w:p w:rsidR="00C821A4" w:rsidRPr="007417D2" w:rsidRDefault="00C821A4" w:rsidP="00E57732">
            <w:pPr>
              <w:spacing w:line="360" w:lineRule="auto"/>
              <w:rPr>
                <w:rFonts w:ascii="Book Antiqua" w:hAnsi="Book Antiqua"/>
                <w:sz w:val="24"/>
                <w:vertAlign w:val="superscript"/>
              </w:rPr>
            </w:pPr>
            <w:r w:rsidRPr="007417D2">
              <w:rPr>
                <w:rFonts w:ascii="Book Antiqua" w:eastAsia="Times New Roman" w:hAnsi="Book Antiqua"/>
                <w:sz w:val="24"/>
              </w:rPr>
              <w:t>Hypoglycemic condition can ameliorate brain status in AD</w:t>
            </w:r>
          </w:p>
        </w:tc>
      </w:tr>
      <w:tr w:rsidR="00C821A4" w:rsidRPr="007417D2" w:rsidTr="00E57732">
        <w:tc>
          <w:tcPr>
            <w:tcW w:w="2088" w:type="dxa"/>
          </w:tcPr>
          <w:p w:rsidR="00C821A4" w:rsidRPr="007417D2" w:rsidRDefault="00C821A4" w:rsidP="00E57732">
            <w:pPr>
              <w:spacing w:line="360" w:lineRule="auto"/>
              <w:rPr>
                <w:rFonts w:ascii="Book Antiqua" w:hAnsi="Book Antiqua"/>
                <w:sz w:val="24"/>
              </w:rPr>
            </w:pPr>
            <w:r w:rsidRPr="007417D2">
              <w:rPr>
                <w:rFonts w:ascii="Book Antiqua" w:hAnsi="Book Antiqua"/>
                <w:sz w:val="24"/>
              </w:rPr>
              <w:t xml:space="preserve">Razay </w:t>
            </w:r>
            <w:r w:rsidRPr="007417D2">
              <w:rPr>
                <w:rFonts w:ascii="Book Antiqua" w:hAnsi="Book Antiqua"/>
                <w:i/>
                <w:sz w:val="24"/>
              </w:rPr>
              <w:t>et al</w:t>
            </w:r>
            <w:r w:rsidRPr="007417D2">
              <w:rPr>
                <w:rFonts w:ascii="Book Antiqua" w:hAnsi="Book Antiqua"/>
                <w:sz w:val="24"/>
                <w:vertAlign w:val="superscript"/>
              </w:rPr>
              <w:t>[48]</w:t>
            </w:r>
            <w:r w:rsidRPr="007417D2">
              <w:rPr>
                <w:rFonts w:ascii="Book Antiqua" w:hAnsi="Book Antiqua"/>
                <w:i/>
                <w:sz w:val="24"/>
              </w:rPr>
              <w:t>,</w:t>
            </w:r>
            <w:r w:rsidRPr="007417D2">
              <w:rPr>
                <w:rFonts w:ascii="Book Antiqua" w:hAnsi="Book Antiqua"/>
                <w:sz w:val="24"/>
              </w:rPr>
              <w:t xml:space="preserve"> 1994</w:t>
            </w:r>
          </w:p>
        </w:tc>
        <w:tc>
          <w:tcPr>
            <w:tcW w:w="7560" w:type="dxa"/>
          </w:tcPr>
          <w:p w:rsidR="00C821A4" w:rsidRPr="007417D2" w:rsidRDefault="00C821A4" w:rsidP="00E57732">
            <w:pPr>
              <w:spacing w:line="360" w:lineRule="auto"/>
              <w:rPr>
                <w:rFonts w:ascii="Book Antiqua" w:hAnsi="Book Antiqua"/>
                <w:sz w:val="24"/>
                <w:vertAlign w:val="superscript"/>
              </w:rPr>
            </w:pPr>
            <w:r w:rsidRPr="007417D2">
              <w:rPr>
                <w:rFonts w:ascii="Book Antiqua" w:hAnsi="Book Antiqua"/>
                <w:noProof/>
                <w:sz w:val="24"/>
              </w:rPr>
              <w:t>Disturbances in glucose metabolism and hyper-insulinemia in female AD patients are responsible for cognitive decline</w:t>
            </w:r>
          </w:p>
        </w:tc>
      </w:tr>
      <w:tr w:rsidR="00C821A4" w:rsidRPr="007417D2" w:rsidTr="00E57732">
        <w:tc>
          <w:tcPr>
            <w:tcW w:w="2088" w:type="dxa"/>
          </w:tcPr>
          <w:p w:rsidR="00C821A4" w:rsidRPr="007417D2" w:rsidRDefault="00C821A4" w:rsidP="00E57732">
            <w:pPr>
              <w:spacing w:line="360" w:lineRule="auto"/>
              <w:rPr>
                <w:rFonts w:ascii="Book Antiqua" w:hAnsi="Book Antiqua"/>
                <w:sz w:val="24"/>
              </w:rPr>
            </w:pPr>
            <w:r w:rsidRPr="007417D2">
              <w:rPr>
                <w:rFonts w:ascii="Book Antiqua" w:hAnsi="Book Antiqua"/>
                <w:sz w:val="24"/>
              </w:rPr>
              <w:t xml:space="preserve">Ruigómez </w:t>
            </w:r>
            <w:r>
              <w:rPr>
                <w:rFonts w:ascii="Book Antiqua" w:hAnsi="Book Antiqua"/>
                <w:i/>
                <w:sz w:val="24"/>
              </w:rPr>
              <w:t>et al</w:t>
            </w:r>
            <w:r w:rsidRPr="007417D2">
              <w:rPr>
                <w:rFonts w:ascii="Book Antiqua" w:hAnsi="Book Antiqua"/>
                <w:sz w:val="24"/>
                <w:vertAlign w:val="superscript"/>
              </w:rPr>
              <w:t>[58]</w:t>
            </w:r>
            <w:r w:rsidRPr="007417D2">
              <w:rPr>
                <w:rFonts w:ascii="Book Antiqua" w:hAnsi="Book Antiqua"/>
                <w:i/>
                <w:sz w:val="24"/>
              </w:rPr>
              <w:t>,</w:t>
            </w:r>
            <w:r w:rsidRPr="007417D2">
              <w:rPr>
                <w:rFonts w:ascii="Book Antiqua" w:hAnsi="Book Antiqua"/>
                <w:sz w:val="24"/>
              </w:rPr>
              <w:t xml:space="preserve"> 1998</w:t>
            </w:r>
          </w:p>
        </w:tc>
        <w:tc>
          <w:tcPr>
            <w:tcW w:w="7560" w:type="dxa"/>
          </w:tcPr>
          <w:p w:rsidR="00C821A4" w:rsidRPr="007417D2" w:rsidRDefault="00C821A4" w:rsidP="00E57732">
            <w:pPr>
              <w:spacing w:line="360" w:lineRule="auto"/>
              <w:rPr>
                <w:rFonts w:ascii="Book Antiqua" w:hAnsi="Book Antiqua"/>
                <w:sz w:val="24"/>
                <w:vertAlign w:val="superscript"/>
              </w:rPr>
            </w:pPr>
            <w:r w:rsidRPr="007417D2">
              <w:rPr>
                <w:rFonts w:ascii="Book Antiqua" w:hAnsi="Book Antiqua"/>
                <w:noProof/>
                <w:sz w:val="24"/>
              </w:rPr>
              <w:t>Documented a relationship between non-insulin dependent diabetes and neuropathy</w:t>
            </w:r>
          </w:p>
        </w:tc>
      </w:tr>
      <w:tr w:rsidR="00C821A4" w:rsidRPr="007417D2" w:rsidTr="00E57732">
        <w:tc>
          <w:tcPr>
            <w:tcW w:w="2088" w:type="dxa"/>
          </w:tcPr>
          <w:p w:rsidR="00C821A4" w:rsidRPr="007417D2" w:rsidRDefault="00C821A4" w:rsidP="00E57732">
            <w:pPr>
              <w:spacing w:line="360" w:lineRule="auto"/>
              <w:rPr>
                <w:rFonts w:ascii="Book Antiqua" w:hAnsi="Book Antiqua"/>
                <w:sz w:val="24"/>
              </w:rPr>
            </w:pPr>
            <w:r w:rsidRPr="007417D2">
              <w:rPr>
                <w:rFonts w:ascii="Book Antiqua" w:hAnsi="Book Antiqua"/>
                <w:sz w:val="24"/>
              </w:rPr>
              <w:t xml:space="preserve">Li </w:t>
            </w:r>
            <w:r w:rsidRPr="007417D2">
              <w:rPr>
                <w:rFonts w:ascii="Book Antiqua" w:hAnsi="Book Antiqua"/>
                <w:i/>
                <w:sz w:val="24"/>
              </w:rPr>
              <w:t>et al</w:t>
            </w:r>
            <w:r w:rsidRPr="007417D2">
              <w:rPr>
                <w:rFonts w:ascii="Book Antiqua" w:hAnsi="Book Antiqua"/>
                <w:sz w:val="24"/>
                <w:vertAlign w:val="superscript"/>
              </w:rPr>
              <w:t>[50]</w:t>
            </w:r>
            <w:r w:rsidRPr="007417D2">
              <w:rPr>
                <w:rFonts w:ascii="Book Antiqua" w:hAnsi="Book Antiqua"/>
                <w:i/>
                <w:sz w:val="24"/>
              </w:rPr>
              <w:t xml:space="preserve">, </w:t>
            </w:r>
            <w:r w:rsidRPr="007417D2">
              <w:rPr>
                <w:rFonts w:ascii="Book Antiqua" w:hAnsi="Book Antiqua"/>
                <w:sz w:val="24"/>
              </w:rPr>
              <w:t>2007</w:t>
            </w:r>
          </w:p>
        </w:tc>
        <w:tc>
          <w:tcPr>
            <w:tcW w:w="7560" w:type="dxa"/>
          </w:tcPr>
          <w:p w:rsidR="00C821A4" w:rsidRPr="007417D2" w:rsidRDefault="00C821A4" w:rsidP="00E57732">
            <w:pPr>
              <w:spacing w:line="360" w:lineRule="auto"/>
              <w:rPr>
                <w:rFonts w:ascii="Book Antiqua" w:hAnsi="Book Antiqua"/>
                <w:sz w:val="24"/>
              </w:rPr>
            </w:pPr>
            <w:r w:rsidRPr="007417D2">
              <w:rPr>
                <w:rFonts w:ascii="Book Antiqua" w:hAnsi="Book Antiqua"/>
                <w:sz w:val="24"/>
              </w:rPr>
              <w:t>Defective insulin signaling is a shared degenerative cascade in disease pathology of both AD and DM</w:t>
            </w:r>
          </w:p>
        </w:tc>
      </w:tr>
      <w:tr w:rsidR="00C821A4" w:rsidRPr="007417D2" w:rsidTr="00E57732">
        <w:tc>
          <w:tcPr>
            <w:tcW w:w="2088" w:type="dxa"/>
          </w:tcPr>
          <w:p w:rsidR="00C821A4" w:rsidRPr="007417D2" w:rsidRDefault="00C821A4" w:rsidP="00E57732">
            <w:pPr>
              <w:spacing w:line="360" w:lineRule="auto"/>
              <w:rPr>
                <w:rFonts w:ascii="Book Antiqua" w:hAnsi="Book Antiqua"/>
                <w:sz w:val="24"/>
              </w:rPr>
            </w:pPr>
            <w:r w:rsidRPr="007417D2">
              <w:rPr>
                <w:rFonts w:ascii="Book Antiqua" w:hAnsi="Book Antiqua"/>
                <w:sz w:val="24"/>
              </w:rPr>
              <w:t xml:space="preserve">Ke </w:t>
            </w:r>
            <w:r w:rsidRPr="007417D2">
              <w:rPr>
                <w:rFonts w:ascii="Book Antiqua" w:hAnsi="Book Antiqua"/>
                <w:i/>
                <w:sz w:val="24"/>
              </w:rPr>
              <w:t>et al</w:t>
            </w:r>
            <w:r w:rsidRPr="007417D2">
              <w:rPr>
                <w:rFonts w:ascii="Book Antiqua" w:hAnsi="Book Antiqua"/>
                <w:sz w:val="24"/>
                <w:vertAlign w:val="superscript"/>
              </w:rPr>
              <w:t>[59]</w:t>
            </w:r>
            <w:r w:rsidRPr="007417D2">
              <w:rPr>
                <w:rFonts w:ascii="Book Antiqua" w:hAnsi="Book Antiqua"/>
                <w:i/>
                <w:sz w:val="24"/>
              </w:rPr>
              <w:t>,</w:t>
            </w:r>
            <w:r w:rsidRPr="007417D2">
              <w:rPr>
                <w:rFonts w:ascii="Book Antiqua" w:hAnsi="Book Antiqua"/>
                <w:sz w:val="24"/>
              </w:rPr>
              <w:t xml:space="preserve"> 2009</w:t>
            </w:r>
          </w:p>
        </w:tc>
        <w:tc>
          <w:tcPr>
            <w:tcW w:w="7560" w:type="dxa"/>
          </w:tcPr>
          <w:p w:rsidR="00C821A4" w:rsidRPr="007417D2" w:rsidRDefault="00C821A4" w:rsidP="00E57732">
            <w:pPr>
              <w:spacing w:line="360" w:lineRule="auto"/>
              <w:rPr>
                <w:rFonts w:ascii="Book Antiqua" w:hAnsi="Book Antiqua"/>
                <w:sz w:val="24"/>
              </w:rPr>
            </w:pPr>
            <w:r w:rsidRPr="007417D2">
              <w:rPr>
                <w:rFonts w:ascii="Book Antiqua" w:hAnsi="Book Antiqua"/>
                <w:sz w:val="24"/>
              </w:rPr>
              <w:t>Amylin deposition in pancreatic islets of T2D patients whereas, Aβ and NFTs deposition in AD brain are common hallmarks feature of diabetes and Alzheimer’s in terms of protein deposition</w:t>
            </w:r>
          </w:p>
        </w:tc>
      </w:tr>
      <w:tr w:rsidR="00C821A4" w:rsidRPr="007417D2" w:rsidTr="00E57732">
        <w:tc>
          <w:tcPr>
            <w:tcW w:w="2088" w:type="dxa"/>
          </w:tcPr>
          <w:p w:rsidR="00C821A4" w:rsidRPr="007417D2" w:rsidRDefault="00C821A4" w:rsidP="00E57732">
            <w:pPr>
              <w:spacing w:line="360" w:lineRule="auto"/>
              <w:rPr>
                <w:rFonts w:ascii="Book Antiqua" w:hAnsi="Book Antiqua"/>
                <w:sz w:val="24"/>
              </w:rPr>
            </w:pPr>
            <w:r w:rsidRPr="007417D2">
              <w:rPr>
                <w:rFonts w:ascii="Book Antiqua" w:hAnsi="Book Antiqua"/>
                <w:sz w:val="24"/>
              </w:rPr>
              <w:t xml:space="preserve">Saini </w:t>
            </w:r>
            <w:r>
              <w:rPr>
                <w:rFonts w:ascii="Book Antiqua" w:hAnsi="Book Antiqua"/>
                <w:i/>
                <w:sz w:val="24"/>
              </w:rPr>
              <w:t>et al</w:t>
            </w:r>
            <w:r w:rsidRPr="007417D2">
              <w:rPr>
                <w:rFonts w:ascii="Book Antiqua" w:hAnsi="Book Antiqua"/>
                <w:sz w:val="24"/>
                <w:vertAlign w:val="superscript"/>
              </w:rPr>
              <w:t>[53]</w:t>
            </w:r>
            <w:r w:rsidRPr="007417D2">
              <w:rPr>
                <w:rFonts w:ascii="Book Antiqua" w:hAnsi="Book Antiqua"/>
                <w:sz w:val="24"/>
              </w:rPr>
              <w:t>, 2010</w:t>
            </w:r>
          </w:p>
        </w:tc>
        <w:tc>
          <w:tcPr>
            <w:tcW w:w="7560" w:type="dxa"/>
          </w:tcPr>
          <w:p w:rsidR="00C821A4" w:rsidRPr="007417D2" w:rsidRDefault="00C821A4" w:rsidP="00E57732">
            <w:pPr>
              <w:spacing w:line="360" w:lineRule="auto"/>
              <w:rPr>
                <w:rFonts w:ascii="Book Antiqua" w:hAnsi="Book Antiqua"/>
                <w:sz w:val="24"/>
              </w:rPr>
            </w:pPr>
            <w:r w:rsidRPr="007417D2">
              <w:rPr>
                <w:rFonts w:ascii="Book Antiqua" w:hAnsi="Book Antiqua"/>
                <w:sz w:val="24"/>
              </w:rPr>
              <w:t>Elucidated cellular and molecular mechanisms of insulin resistance and provided understanding for the molecular therapeutic targets</w:t>
            </w:r>
          </w:p>
        </w:tc>
      </w:tr>
      <w:tr w:rsidR="00C821A4" w:rsidRPr="007417D2" w:rsidTr="00E57732">
        <w:tc>
          <w:tcPr>
            <w:tcW w:w="2088" w:type="dxa"/>
          </w:tcPr>
          <w:p w:rsidR="00C821A4" w:rsidRPr="007417D2" w:rsidRDefault="00C821A4" w:rsidP="00E57732">
            <w:pPr>
              <w:spacing w:line="360" w:lineRule="auto"/>
              <w:rPr>
                <w:rFonts w:ascii="Book Antiqua" w:hAnsi="Book Antiqua"/>
                <w:sz w:val="24"/>
              </w:rPr>
            </w:pPr>
            <w:r w:rsidRPr="007417D2">
              <w:rPr>
                <w:rFonts w:ascii="Book Antiqua" w:hAnsi="Book Antiqua"/>
                <w:sz w:val="24"/>
              </w:rPr>
              <w:t xml:space="preserve">Park </w:t>
            </w:r>
            <w:r w:rsidRPr="007417D2">
              <w:rPr>
                <w:rFonts w:ascii="Book Antiqua" w:hAnsi="Book Antiqua"/>
                <w:i/>
                <w:sz w:val="24"/>
              </w:rPr>
              <w:t>et al</w:t>
            </w:r>
            <w:r w:rsidRPr="00BC1D9D">
              <w:rPr>
                <w:rFonts w:ascii="Book Antiqua" w:hAnsi="Book Antiqua"/>
                <w:sz w:val="24"/>
                <w:vertAlign w:val="superscript"/>
              </w:rPr>
              <w:t>[54]</w:t>
            </w:r>
            <w:r w:rsidRPr="007417D2">
              <w:rPr>
                <w:rFonts w:ascii="Book Antiqua" w:hAnsi="Book Antiqua"/>
                <w:i/>
                <w:sz w:val="24"/>
              </w:rPr>
              <w:t>,</w:t>
            </w:r>
            <w:r w:rsidRPr="007417D2">
              <w:rPr>
                <w:rFonts w:ascii="Book Antiqua" w:hAnsi="Book Antiqua"/>
                <w:sz w:val="24"/>
              </w:rPr>
              <w:t xml:space="preserve"> 2011</w:t>
            </w:r>
          </w:p>
        </w:tc>
        <w:tc>
          <w:tcPr>
            <w:tcW w:w="7560" w:type="dxa"/>
          </w:tcPr>
          <w:p w:rsidR="00C821A4" w:rsidRPr="007417D2" w:rsidRDefault="00C821A4" w:rsidP="00E57732">
            <w:pPr>
              <w:spacing w:line="360" w:lineRule="auto"/>
              <w:rPr>
                <w:rFonts w:ascii="Book Antiqua" w:hAnsi="Book Antiqua"/>
                <w:sz w:val="24"/>
              </w:rPr>
            </w:pPr>
            <w:r w:rsidRPr="007417D2">
              <w:rPr>
                <w:rFonts w:ascii="Book Antiqua" w:hAnsi="Book Antiqua"/>
                <w:sz w:val="24"/>
              </w:rPr>
              <w:t>T2D and AD have some common pathogenic alterations like defects in insulin signaling, Aβ clearance, glucose metabolism, O-GlcNAcylation, Aβ aggregation by AGEs, inflammation, oxidative stress and circulating cortisol levels</w:t>
            </w:r>
          </w:p>
        </w:tc>
      </w:tr>
      <w:tr w:rsidR="00C821A4" w:rsidRPr="007417D2" w:rsidTr="00E57732">
        <w:tc>
          <w:tcPr>
            <w:tcW w:w="2088" w:type="dxa"/>
          </w:tcPr>
          <w:p w:rsidR="00C821A4" w:rsidRPr="007417D2" w:rsidRDefault="00C821A4" w:rsidP="00E57732">
            <w:pPr>
              <w:spacing w:line="360" w:lineRule="auto"/>
              <w:rPr>
                <w:rFonts w:ascii="Book Antiqua" w:hAnsi="Book Antiqua"/>
                <w:sz w:val="24"/>
              </w:rPr>
            </w:pPr>
            <w:r w:rsidRPr="007417D2">
              <w:rPr>
                <w:rFonts w:ascii="Book Antiqua" w:hAnsi="Book Antiqua"/>
                <w:sz w:val="24"/>
              </w:rPr>
              <w:t xml:space="preserve">Correia </w:t>
            </w:r>
            <w:r w:rsidRPr="007417D2">
              <w:rPr>
                <w:rFonts w:ascii="Book Antiqua" w:hAnsi="Book Antiqua"/>
                <w:i/>
                <w:sz w:val="24"/>
              </w:rPr>
              <w:t>et al</w:t>
            </w:r>
            <w:r w:rsidRPr="00BC1D9D">
              <w:rPr>
                <w:rFonts w:ascii="Book Antiqua" w:hAnsi="Book Antiqua"/>
                <w:sz w:val="24"/>
                <w:vertAlign w:val="superscript"/>
              </w:rPr>
              <w:t>[55]</w:t>
            </w:r>
            <w:r w:rsidRPr="007417D2">
              <w:rPr>
                <w:rFonts w:ascii="Book Antiqua" w:hAnsi="Book Antiqua"/>
                <w:i/>
                <w:sz w:val="24"/>
              </w:rPr>
              <w:t>,</w:t>
            </w:r>
            <w:r w:rsidRPr="007417D2">
              <w:rPr>
                <w:rFonts w:ascii="Book Antiqua" w:hAnsi="Book Antiqua"/>
                <w:sz w:val="24"/>
              </w:rPr>
              <w:t xml:space="preserve"> 2012</w:t>
            </w:r>
          </w:p>
        </w:tc>
        <w:tc>
          <w:tcPr>
            <w:tcW w:w="7560" w:type="dxa"/>
          </w:tcPr>
          <w:p w:rsidR="00C821A4" w:rsidRPr="007417D2" w:rsidRDefault="00C821A4" w:rsidP="00E57732">
            <w:pPr>
              <w:spacing w:line="360" w:lineRule="auto"/>
              <w:rPr>
                <w:rFonts w:ascii="Book Antiqua" w:hAnsi="Book Antiqua"/>
                <w:sz w:val="24"/>
              </w:rPr>
            </w:pPr>
            <w:r w:rsidRPr="007417D2">
              <w:rPr>
                <w:rFonts w:ascii="Book Antiqua" w:hAnsi="Book Antiqua"/>
                <w:sz w:val="24"/>
              </w:rPr>
              <w:t>Amyloidogenesis and mitochondrial dysfunction are common denominators potentiating brain dysfunctions</w:t>
            </w:r>
          </w:p>
        </w:tc>
      </w:tr>
      <w:tr w:rsidR="00C821A4" w:rsidRPr="007417D2" w:rsidTr="00E57732">
        <w:tc>
          <w:tcPr>
            <w:tcW w:w="2088" w:type="dxa"/>
          </w:tcPr>
          <w:p w:rsidR="00C821A4" w:rsidRPr="007417D2" w:rsidRDefault="00C821A4" w:rsidP="00E57732">
            <w:pPr>
              <w:spacing w:line="360" w:lineRule="auto"/>
              <w:rPr>
                <w:rFonts w:ascii="Book Antiqua" w:hAnsi="Book Antiqua"/>
                <w:sz w:val="24"/>
              </w:rPr>
            </w:pPr>
            <w:r w:rsidRPr="007417D2">
              <w:rPr>
                <w:rFonts w:ascii="Book Antiqua" w:hAnsi="Book Antiqua"/>
                <w:sz w:val="24"/>
              </w:rPr>
              <w:t xml:space="preserve">Talbot </w:t>
            </w:r>
            <w:r w:rsidRPr="007417D2">
              <w:rPr>
                <w:rFonts w:ascii="Book Antiqua" w:hAnsi="Book Antiqua"/>
                <w:i/>
                <w:sz w:val="24"/>
              </w:rPr>
              <w:t>et al</w:t>
            </w:r>
            <w:r w:rsidRPr="007417D2">
              <w:rPr>
                <w:rFonts w:ascii="Book Antiqua" w:hAnsi="Book Antiqua"/>
                <w:sz w:val="24"/>
                <w:vertAlign w:val="superscript"/>
              </w:rPr>
              <w:t>[57]</w:t>
            </w:r>
            <w:r w:rsidRPr="007417D2">
              <w:rPr>
                <w:rFonts w:ascii="Book Antiqua" w:hAnsi="Book Antiqua"/>
                <w:sz w:val="24"/>
              </w:rPr>
              <w:t>, 2012</w:t>
            </w:r>
          </w:p>
        </w:tc>
        <w:tc>
          <w:tcPr>
            <w:tcW w:w="7560" w:type="dxa"/>
          </w:tcPr>
          <w:p w:rsidR="00C821A4" w:rsidRPr="007417D2" w:rsidRDefault="00C821A4" w:rsidP="00E57732">
            <w:pPr>
              <w:spacing w:line="360" w:lineRule="auto"/>
              <w:rPr>
                <w:rFonts w:ascii="Book Antiqua" w:hAnsi="Book Antiqua"/>
                <w:sz w:val="24"/>
              </w:rPr>
            </w:pPr>
            <w:r w:rsidRPr="007417D2">
              <w:rPr>
                <w:rFonts w:ascii="Book Antiqua" w:hAnsi="Book Antiqua"/>
                <w:sz w:val="24"/>
              </w:rPr>
              <w:t>Brain insulin signaling pathway including IGF-1R→IRs-2→PI3K signaling is directly involved in AD and thus one of a causal factor for disease pathogenesis</w:t>
            </w:r>
          </w:p>
        </w:tc>
      </w:tr>
    </w:tbl>
    <w:p w:rsidR="00C821A4" w:rsidRDefault="00C821A4" w:rsidP="00C821A4">
      <w:pPr>
        <w:spacing w:line="360" w:lineRule="auto"/>
        <w:rPr>
          <w:rFonts w:ascii="Book Antiqua" w:hAnsi="Book Antiqua"/>
          <w:sz w:val="24"/>
        </w:rPr>
      </w:pPr>
    </w:p>
    <w:p w:rsidR="00C821A4" w:rsidRPr="00AE1001" w:rsidRDefault="00C821A4" w:rsidP="00C821A4">
      <w:pPr>
        <w:spacing w:line="360" w:lineRule="auto"/>
        <w:rPr>
          <w:rFonts w:ascii="Book Antiqua" w:hAnsi="Book Antiqua"/>
          <w:sz w:val="24"/>
        </w:rPr>
      </w:pPr>
      <w:r w:rsidRPr="00AE1001">
        <w:rPr>
          <w:rFonts w:ascii="Book Antiqua" w:hAnsi="Book Antiqua" w:hint="eastAsia"/>
          <w:sz w:val="24"/>
        </w:rPr>
        <w:t xml:space="preserve">AD: </w:t>
      </w:r>
      <w:r w:rsidRPr="00AE1001">
        <w:rPr>
          <w:rFonts w:ascii="Book Antiqua" w:hAnsi="Book Antiqua"/>
          <w:sz w:val="24"/>
        </w:rPr>
        <w:t>Alzheimer’s disease</w:t>
      </w:r>
      <w:r w:rsidRPr="00AE1001">
        <w:rPr>
          <w:rFonts w:ascii="Book Antiqua" w:hAnsi="Book Antiqua" w:hint="eastAsia"/>
          <w:sz w:val="24"/>
        </w:rPr>
        <w:t xml:space="preserve">; </w:t>
      </w:r>
      <w:r w:rsidRPr="00AE1001">
        <w:rPr>
          <w:rFonts w:ascii="Book Antiqua" w:hAnsi="Book Antiqua"/>
          <w:sz w:val="24"/>
        </w:rPr>
        <w:t>DM</w:t>
      </w:r>
      <w:r w:rsidRPr="00AE1001">
        <w:rPr>
          <w:rFonts w:ascii="Book Antiqua" w:hAnsi="Book Antiqua" w:hint="eastAsia"/>
          <w:sz w:val="24"/>
        </w:rPr>
        <w:t xml:space="preserve">: </w:t>
      </w:r>
      <w:r w:rsidRPr="00AE1001">
        <w:rPr>
          <w:rFonts w:ascii="Book Antiqua" w:hAnsi="Book Antiqua"/>
          <w:sz w:val="24"/>
        </w:rPr>
        <w:t>Diabetes mellitus</w:t>
      </w:r>
      <w:r w:rsidRPr="00AE1001">
        <w:rPr>
          <w:rFonts w:ascii="Book Antiqua" w:hAnsi="Book Antiqua" w:hint="eastAsia"/>
          <w:sz w:val="24"/>
        </w:rPr>
        <w:t xml:space="preserve">; </w:t>
      </w:r>
      <w:r w:rsidRPr="00AE1001">
        <w:rPr>
          <w:rFonts w:ascii="Book Antiqua" w:hAnsi="Book Antiqua"/>
          <w:sz w:val="24"/>
        </w:rPr>
        <w:t>T2D</w:t>
      </w:r>
      <w:r w:rsidRPr="00AE1001">
        <w:rPr>
          <w:rFonts w:ascii="Book Antiqua" w:hAnsi="Book Antiqua" w:hint="eastAsia"/>
          <w:sz w:val="24"/>
        </w:rPr>
        <w:t>:</w:t>
      </w:r>
      <w:r w:rsidRPr="00AE1001">
        <w:rPr>
          <w:rFonts w:ascii="Book Antiqua" w:hAnsi="Book Antiqua"/>
          <w:sz w:val="24"/>
        </w:rPr>
        <w:t xml:space="preserve"> Type 2 diabetes</w:t>
      </w:r>
      <w:r w:rsidRPr="00AE1001">
        <w:rPr>
          <w:rFonts w:ascii="Book Antiqua" w:hAnsi="Book Antiqua" w:hint="eastAsia"/>
          <w:sz w:val="24"/>
        </w:rPr>
        <w:t>;</w:t>
      </w:r>
      <w:r w:rsidRPr="00AE1001">
        <w:rPr>
          <w:rFonts w:ascii="Book Antiqua" w:hAnsi="Book Antiqua"/>
          <w:sz w:val="24"/>
        </w:rPr>
        <w:t xml:space="preserve"> NFTs</w:t>
      </w:r>
      <w:r w:rsidRPr="00AE1001">
        <w:rPr>
          <w:rFonts w:ascii="Book Antiqua" w:hAnsi="Book Antiqua" w:hint="eastAsia"/>
          <w:sz w:val="24"/>
        </w:rPr>
        <w:t xml:space="preserve">: </w:t>
      </w:r>
      <w:r w:rsidRPr="00AE1001">
        <w:rPr>
          <w:rFonts w:ascii="Book Antiqua" w:hAnsi="Book Antiqua"/>
          <w:sz w:val="24"/>
        </w:rPr>
        <w:t>Neurofibrillary tangles</w:t>
      </w:r>
      <w:r w:rsidRPr="00AE1001">
        <w:rPr>
          <w:rFonts w:ascii="Book Antiqua" w:hAnsi="Book Antiqua" w:hint="eastAsia"/>
          <w:sz w:val="24"/>
        </w:rPr>
        <w:t xml:space="preserve">; </w:t>
      </w:r>
      <w:r w:rsidRPr="00AE1001">
        <w:rPr>
          <w:rFonts w:ascii="Book Antiqua" w:hAnsi="Book Antiqua"/>
          <w:sz w:val="24"/>
        </w:rPr>
        <w:t>Aβ</w:t>
      </w:r>
      <w:r w:rsidRPr="00AE1001">
        <w:rPr>
          <w:rFonts w:ascii="Book Antiqua" w:hAnsi="Book Antiqua" w:hint="eastAsia"/>
          <w:sz w:val="24"/>
        </w:rPr>
        <w:t xml:space="preserve">: </w:t>
      </w:r>
      <w:r w:rsidRPr="00AE1001">
        <w:rPr>
          <w:rFonts w:ascii="Book Antiqua" w:hAnsi="Book Antiqua"/>
          <w:sz w:val="24"/>
        </w:rPr>
        <w:t>Amyloid beta</w:t>
      </w:r>
      <w:r w:rsidRPr="00AE1001">
        <w:rPr>
          <w:rFonts w:ascii="Book Antiqua" w:hAnsi="Book Antiqua" w:hint="eastAsia"/>
          <w:sz w:val="24"/>
        </w:rPr>
        <w:t xml:space="preserve">; </w:t>
      </w:r>
      <w:r w:rsidRPr="00AE1001">
        <w:rPr>
          <w:rFonts w:ascii="Book Antiqua" w:hAnsi="Book Antiqua"/>
          <w:sz w:val="24"/>
        </w:rPr>
        <w:t>AGEs</w:t>
      </w:r>
      <w:r w:rsidRPr="00AE1001">
        <w:rPr>
          <w:rFonts w:ascii="Book Antiqua" w:hAnsi="Book Antiqua" w:hint="eastAsia"/>
          <w:sz w:val="24"/>
        </w:rPr>
        <w:t xml:space="preserve">: </w:t>
      </w:r>
      <w:r w:rsidRPr="00AE1001">
        <w:rPr>
          <w:rFonts w:ascii="Book Antiqua" w:hAnsi="Book Antiqua"/>
          <w:sz w:val="24"/>
        </w:rPr>
        <w:t>Advanced glycation end products</w:t>
      </w:r>
      <w:r w:rsidRPr="00AE1001">
        <w:rPr>
          <w:rFonts w:ascii="Book Antiqua" w:hAnsi="Book Antiqua" w:hint="eastAsia"/>
          <w:sz w:val="24"/>
        </w:rPr>
        <w:t>;</w:t>
      </w:r>
      <w:r w:rsidRPr="00AE1001">
        <w:rPr>
          <w:rFonts w:ascii="Book Antiqua" w:hAnsi="Book Antiqua"/>
          <w:sz w:val="24"/>
        </w:rPr>
        <w:t xml:space="preserve"> IGF-1</w:t>
      </w:r>
      <w:r w:rsidRPr="00AE1001">
        <w:rPr>
          <w:rFonts w:ascii="Book Antiqua" w:hAnsi="Book Antiqua" w:hint="eastAsia"/>
          <w:sz w:val="24"/>
        </w:rPr>
        <w:t xml:space="preserve">: </w:t>
      </w:r>
      <w:r w:rsidRPr="00AE1001">
        <w:rPr>
          <w:rFonts w:ascii="Book Antiqua" w:hAnsi="Book Antiqua"/>
          <w:sz w:val="24"/>
        </w:rPr>
        <w:t>Insulin like growth factor-1</w:t>
      </w:r>
      <w:r w:rsidRPr="00AE1001">
        <w:rPr>
          <w:rFonts w:ascii="Book Antiqua" w:hAnsi="Book Antiqua" w:hint="eastAsia"/>
          <w:sz w:val="24"/>
        </w:rPr>
        <w:t xml:space="preserve">; </w:t>
      </w:r>
      <w:r w:rsidRPr="00AE1001">
        <w:rPr>
          <w:rFonts w:ascii="Book Antiqua" w:hAnsi="Book Antiqua"/>
          <w:sz w:val="24"/>
        </w:rPr>
        <w:t>IRs</w:t>
      </w:r>
      <w:r w:rsidRPr="00AE1001">
        <w:rPr>
          <w:rFonts w:ascii="Book Antiqua" w:hAnsi="Book Antiqua" w:hint="eastAsia"/>
          <w:sz w:val="24"/>
        </w:rPr>
        <w:t xml:space="preserve">: </w:t>
      </w:r>
      <w:r w:rsidRPr="00AE1001">
        <w:rPr>
          <w:rFonts w:ascii="Book Antiqua" w:hAnsi="Book Antiqua"/>
          <w:sz w:val="24"/>
        </w:rPr>
        <w:t>Insulin receptors</w:t>
      </w:r>
      <w:r w:rsidRPr="00AE1001">
        <w:rPr>
          <w:rFonts w:ascii="Book Antiqua" w:hAnsi="Book Antiqua" w:hint="eastAsia"/>
          <w:sz w:val="24"/>
        </w:rPr>
        <w:t xml:space="preserve">; </w:t>
      </w:r>
      <w:r w:rsidRPr="00AE1001">
        <w:rPr>
          <w:rFonts w:ascii="Book Antiqua" w:hAnsi="Book Antiqua"/>
          <w:sz w:val="24"/>
        </w:rPr>
        <w:t>PI3K</w:t>
      </w:r>
      <w:r w:rsidRPr="00AE1001">
        <w:rPr>
          <w:rFonts w:ascii="Book Antiqua" w:hAnsi="Book Antiqua" w:hint="eastAsia"/>
          <w:sz w:val="24"/>
        </w:rPr>
        <w:t>:</w:t>
      </w:r>
      <w:r w:rsidRPr="00AE1001">
        <w:rPr>
          <w:rFonts w:ascii="Book Antiqua" w:hAnsi="Book Antiqua"/>
          <w:sz w:val="24"/>
        </w:rPr>
        <w:t xml:space="preserve"> Phosphatidylinositide 3-kinases</w:t>
      </w:r>
      <w:r w:rsidRPr="00AE1001">
        <w:rPr>
          <w:rFonts w:ascii="Book Antiqua" w:hAnsi="Book Antiqua" w:hint="eastAsia"/>
          <w:sz w:val="24"/>
        </w:rPr>
        <w:t>.</w:t>
      </w:r>
    </w:p>
    <w:p w:rsidR="00C821A4" w:rsidRPr="00AE1001" w:rsidRDefault="00C821A4" w:rsidP="00C821A4">
      <w:pPr>
        <w:spacing w:line="360" w:lineRule="auto"/>
        <w:rPr>
          <w:rFonts w:ascii="Book Antiqua" w:hAnsi="Book Antiqua"/>
          <w:b/>
          <w:sz w:val="24"/>
        </w:rPr>
      </w:pPr>
    </w:p>
    <w:p w:rsidR="00C821A4" w:rsidRPr="00AE1001" w:rsidRDefault="00C821A4" w:rsidP="00C821A4">
      <w:pPr>
        <w:spacing w:line="360" w:lineRule="auto"/>
        <w:rPr>
          <w:rFonts w:ascii="Book Antiqua" w:hAnsi="Book Antiqua"/>
          <w:sz w:val="24"/>
        </w:rPr>
      </w:pPr>
    </w:p>
    <w:p w:rsidR="00C821A4" w:rsidRDefault="00C821A4">
      <w:pPr>
        <w:widowControl/>
        <w:spacing w:after="200" w:line="276" w:lineRule="auto"/>
        <w:jc w:val="left"/>
        <w:rPr>
          <w:rFonts w:ascii="Book Antiqua" w:eastAsia="Calibri" w:hAnsi="Book Antiqua"/>
          <w:b/>
          <w:kern w:val="0"/>
          <w:sz w:val="24"/>
          <w:lang w:eastAsia="en-US"/>
        </w:rPr>
      </w:pPr>
      <w:r>
        <w:rPr>
          <w:rFonts w:ascii="Book Antiqua" w:hAnsi="Book Antiqua"/>
          <w:b/>
          <w:sz w:val="24"/>
        </w:rPr>
        <w:br w:type="page"/>
      </w:r>
    </w:p>
    <w:p w:rsidR="00C821A4" w:rsidRPr="00BD15CD" w:rsidRDefault="00C821A4" w:rsidP="00C821A4">
      <w:pPr>
        <w:pStyle w:val="ListParagraph"/>
        <w:spacing w:after="0" w:line="360" w:lineRule="auto"/>
        <w:ind w:left="0"/>
        <w:jc w:val="both"/>
        <w:rPr>
          <w:rFonts w:ascii="Book Antiqua" w:hAnsi="Book Antiqua"/>
          <w:b/>
          <w:sz w:val="24"/>
          <w:szCs w:val="24"/>
        </w:rPr>
      </w:pPr>
      <w:r w:rsidRPr="00BD15CD">
        <w:rPr>
          <w:rFonts w:ascii="Book Antiqua" w:hAnsi="Book Antiqua"/>
          <w:b/>
          <w:sz w:val="24"/>
          <w:szCs w:val="24"/>
        </w:rPr>
        <w:lastRenderedPageBreak/>
        <w:t xml:space="preserve">Table 2 Evidences of </w:t>
      </w:r>
      <w:r w:rsidRPr="00BD15CD">
        <w:rPr>
          <w:rFonts w:ascii="Book Antiqua" w:hAnsi="Book Antiqua"/>
          <w:b/>
          <w:sz w:val="24"/>
        </w:rPr>
        <w:t>Alzheimer’s disease</w:t>
      </w:r>
      <w:r w:rsidRPr="00BD15CD">
        <w:rPr>
          <w:rFonts w:ascii="Book Antiqua" w:hAnsi="Book Antiqua"/>
          <w:b/>
          <w:sz w:val="24"/>
          <w:szCs w:val="24"/>
        </w:rPr>
        <w:t xml:space="preserve"> symptoms in </w:t>
      </w:r>
      <w:r w:rsidRPr="00BD15CD">
        <w:rPr>
          <w:rFonts w:ascii="Book Antiqua" w:hAnsi="Book Antiqua"/>
          <w:b/>
          <w:sz w:val="24"/>
        </w:rPr>
        <w:t>diabetes mellitus</w:t>
      </w:r>
      <w:r w:rsidRPr="00BD15CD">
        <w:rPr>
          <w:rFonts w:ascii="Book Antiqua" w:hAnsi="Book Antiqua"/>
          <w:b/>
          <w:sz w:val="24"/>
          <w:szCs w:val="24"/>
        </w:rPr>
        <w:t xml:space="preserve"> patients </w:t>
      </w:r>
      <w:r w:rsidRPr="00BD15CD">
        <w:rPr>
          <w:rFonts w:ascii="Book Antiqua" w:eastAsiaTheme="minorEastAsia" w:hAnsi="Book Antiqua" w:hint="eastAsia"/>
          <w:b/>
          <w:sz w:val="24"/>
          <w:szCs w:val="24"/>
          <w:lang w:eastAsia="zh-CN"/>
        </w:rPr>
        <w:t>and</w:t>
      </w:r>
      <w:r w:rsidRPr="00BD15CD">
        <w:rPr>
          <w:rFonts w:ascii="Book Antiqua" w:hAnsi="Book Antiqua"/>
          <w:b/>
          <w:sz w:val="24"/>
          <w:szCs w:val="24"/>
        </w:rPr>
        <w:t xml:space="preserve"> </w:t>
      </w:r>
      <w:r w:rsidRPr="00BD15CD">
        <w:rPr>
          <w:rFonts w:ascii="Book Antiqua" w:hAnsi="Book Antiqua"/>
          <w:b/>
          <w:sz w:val="24"/>
        </w:rPr>
        <w:t>diabetes mellitus</w:t>
      </w:r>
      <w:r w:rsidRPr="00BD15CD">
        <w:rPr>
          <w:rFonts w:ascii="Book Antiqua" w:hAnsi="Book Antiqua"/>
          <w:b/>
          <w:sz w:val="24"/>
          <w:szCs w:val="24"/>
        </w:rPr>
        <w:t xml:space="preserve"> sympotoms in </w:t>
      </w:r>
      <w:r w:rsidRPr="00BD15CD">
        <w:rPr>
          <w:rFonts w:ascii="Book Antiqua" w:hAnsi="Book Antiqua"/>
          <w:b/>
          <w:sz w:val="24"/>
        </w:rPr>
        <w:t>Alzheimer’s disease</w:t>
      </w:r>
      <w:r w:rsidRPr="00BD15CD">
        <w:rPr>
          <w:rFonts w:ascii="Book Antiqua" w:hAnsi="Book Antiqua"/>
          <w:b/>
          <w:sz w:val="24"/>
          <w:szCs w:val="24"/>
        </w:rPr>
        <w:t xml:space="preserve"> patients</w:t>
      </w:r>
    </w:p>
    <w:tbl>
      <w:tblPr>
        <w:tblStyle w:val="TableGrid"/>
        <w:tblW w:w="9648" w:type="dxa"/>
        <w:tblLook w:val="04A0" w:firstRow="1" w:lastRow="0" w:firstColumn="1" w:lastColumn="0" w:noHBand="0" w:noVBand="1"/>
      </w:tblPr>
      <w:tblGrid>
        <w:gridCol w:w="1998"/>
        <w:gridCol w:w="7650"/>
      </w:tblGrid>
      <w:tr w:rsidR="00C821A4" w:rsidRPr="007417D2" w:rsidTr="00E57732">
        <w:tc>
          <w:tcPr>
            <w:tcW w:w="1998" w:type="dxa"/>
          </w:tcPr>
          <w:p w:rsidR="00C821A4" w:rsidRPr="007417D2" w:rsidRDefault="00C821A4" w:rsidP="00E57732">
            <w:pPr>
              <w:spacing w:line="360" w:lineRule="auto"/>
              <w:rPr>
                <w:rFonts w:ascii="Book Antiqua" w:hAnsi="Book Antiqua"/>
                <w:b/>
                <w:sz w:val="24"/>
              </w:rPr>
            </w:pPr>
            <w:r>
              <w:rPr>
                <w:rFonts w:ascii="Book Antiqua" w:hAnsi="Book Antiqua"/>
                <w:b/>
                <w:sz w:val="24"/>
              </w:rPr>
              <w:t>R</w:t>
            </w:r>
            <w:r>
              <w:rPr>
                <w:rFonts w:ascii="Book Antiqua" w:hAnsi="Book Antiqua" w:hint="eastAsia"/>
                <w:b/>
                <w:sz w:val="24"/>
              </w:rPr>
              <w:t>ef.</w:t>
            </w:r>
          </w:p>
        </w:tc>
        <w:tc>
          <w:tcPr>
            <w:tcW w:w="7650" w:type="dxa"/>
          </w:tcPr>
          <w:p w:rsidR="00C821A4" w:rsidRPr="007417D2" w:rsidRDefault="00C821A4" w:rsidP="00E57732">
            <w:pPr>
              <w:spacing w:line="360" w:lineRule="auto"/>
              <w:rPr>
                <w:rFonts w:ascii="Book Antiqua" w:hAnsi="Book Antiqua"/>
                <w:b/>
                <w:sz w:val="24"/>
              </w:rPr>
            </w:pPr>
            <w:r w:rsidRPr="007417D2">
              <w:rPr>
                <w:rFonts w:ascii="Book Antiqua" w:hAnsi="Book Antiqua"/>
                <w:b/>
                <w:sz w:val="24"/>
              </w:rPr>
              <w:t>Publications</w:t>
            </w:r>
          </w:p>
        </w:tc>
      </w:tr>
      <w:tr w:rsidR="00C821A4" w:rsidRPr="007417D2" w:rsidTr="00E57732">
        <w:tc>
          <w:tcPr>
            <w:tcW w:w="1998" w:type="dxa"/>
          </w:tcPr>
          <w:p w:rsidR="00C821A4" w:rsidRPr="007417D2" w:rsidRDefault="00C821A4" w:rsidP="00E57732">
            <w:pPr>
              <w:spacing w:line="360" w:lineRule="auto"/>
              <w:rPr>
                <w:rFonts w:ascii="Book Antiqua" w:hAnsi="Book Antiqua"/>
                <w:sz w:val="24"/>
              </w:rPr>
            </w:pPr>
            <w:r w:rsidRPr="007417D2">
              <w:rPr>
                <w:rFonts w:ascii="Book Antiqua" w:hAnsi="Book Antiqua"/>
                <w:sz w:val="24"/>
              </w:rPr>
              <w:t xml:space="preserve">Gasparini </w:t>
            </w:r>
            <w:r>
              <w:rPr>
                <w:rFonts w:ascii="Book Antiqua" w:hAnsi="Book Antiqua"/>
                <w:i/>
                <w:sz w:val="24"/>
              </w:rPr>
              <w:t>et al</w:t>
            </w:r>
            <w:r w:rsidRPr="007417D2">
              <w:rPr>
                <w:rFonts w:ascii="Book Antiqua" w:hAnsi="Book Antiqua"/>
                <w:sz w:val="24"/>
                <w:vertAlign w:val="superscript"/>
              </w:rPr>
              <w:t>[75]</w:t>
            </w:r>
            <w:r w:rsidRPr="007417D2">
              <w:rPr>
                <w:rFonts w:ascii="Book Antiqua" w:hAnsi="Book Antiqua"/>
                <w:i/>
                <w:sz w:val="24"/>
              </w:rPr>
              <w:t>,</w:t>
            </w:r>
            <w:r w:rsidRPr="007417D2">
              <w:rPr>
                <w:rFonts w:ascii="Book Antiqua" w:hAnsi="Book Antiqua"/>
                <w:sz w:val="24"/>
              </w:rPr>
              <w:t xml:space="preserve"> 2001</w:t>
            </w:r>
          </w:p>
        </w:tc>
        <w:tc>
          <w:tcPr>
            <w:tcW w:w="7650" w:type="dxa"/>
          </w:tcPr>
          <w:p w:rsidR="00C821A4" w:rsidRPr="007417D2" w:rsidRDefault="00C821A4" w:rsidP="00E57732">
            <w:pPr>
              <w:spacing w:line="360" w:lineRule="auto"/>
              <w:rPr>
                <w:rFonts w:ascii="Book Antiqua" w:hAnsi="Book Antiqua"/>
                <w:sz w:val="24"/>
              </w:rPr>
            </w:pPr>
            <w:r w:rsidRPr="007417D2">
              <w:rPr>
                <w:rFonts w:ascii="Book Antiqua" w:hAnsi="Book Antiqua"/>
                <w:sz w:val="24"/>
              </w:rPr>
              <w:t>In T2D patients insulin metabolism dysfunction accelerates AβPP/Aβ trafficking from trans-Golgi network, a major site for a Aβ generation and alters dynamicity of Aβ synthesis</w:t>
            </w:r>
          </w:p>
        </w:tc>
      </w:tr>
      <w:tr w:rsidR="00C821A4" w:rsidRPr="007417D2" w:rsidTr="00E57732">
        <w:tc>
          <w:tcPr>
            <w:tcW w:w="1998" w:type="dxa"/>
          </w:tcPr>
          <w:p w:rsidR="00C821A4" w:rsidRPr="007417D2" w:rsidRDefault="00C821A4" w:rsidP="00E57732">
            <w:pPr>
              <w:spacing w:line="360" w:lineRule="auto"/>
              <w:rPr>
                <w:rFonts w:ascii="Book Antiqua" w:hAnsi="Book Antiqua"/>
                <w:sz w:val="24"/>
              </w:rPr>
            </w:pPr>
            <w:r w:rsidRPr="007417D2">
              <w:rPr>
                <w:rFonts w:ascii="Book Antiqua" w:hAnsi="Book Antiqua"/>
                <w:sz w:val="24"/>
              </w:rPr>
              <w:t xml:space="preserve">Phiel </w:t>
            </w:r>
            <w:r w:rsidRPr="007417D2">
              <w:rPr>
                <w:rFonts w:ascii="Book Antiqua" w:hAnsi="Book Antiqua"/>
                <w:i/>
                <w:sz w:val="24"/>
              </w:rPr>
              <w:t>et al</w:t>
            </w:r>
            <w:r w:rsidRPr="007417D2">
              <w:rPr>
                <w:rFonts w:ascii="Book Antiqua" w:hAnsi="Book Antiqua"/>
                <w:sz w:val="24"/>
                <w:vertAlign w:val="superscript"/>
              </w:rPr>
              <w:t>[76]</w:t>
            </w:r>
            <w:r w:rsidRPr="007417D2">
              <w:rPr>
                <w:rFonts w:ascii="Book Antiqua" w:hAnsi="Book Antiqua"/>
                <w:i/>
                <w:sz w:val="24"/>
              </w:rPr>
              <w:t>,</w:t>
            </w:r>
            <w:r w:rsidRPr="007417D2">
              <w:rPr>
                <w:rFonts w:ascii="Book Antiqua" w:hAnsi="Book Antiqua"/>
                <w:sz w:val="24"/>
              </w:rPr>
              <w:t xml:space="preserve"> 2003</w:t>
            </w:r>
          </w:p>
        </w:tc>
        <w:tc>
          <w:tcPr>
            <w:tcW w:w="7650" w:type="dxa"/>
          </w:tcPr>
          <w:p w:rsidR="00C821A4" w:rsidRPr="007417D2" w:rsidRDefault="00C821A4" w:rsidP="00E57732">
            <w:pPr>
              <w:spacing w:line="360" w:lineRule="auto"/>
              <w:rPr>
                <w:rFonts w:ascii="Book Antiqua" w:hAnsi="Book Antiqua"/>
                <w:sz w:val="24"/>
              </w:rPr>
            </w:pPr>
            <w:r w:rsidRPr="007417D2">
              <w:rPr>
                <w:rFonts w:ascii="Book Antiqua" w:hAnsi="Book Antiqua"/>
                <w:sz w:val="24"/>
              </w:rPr>
              <w:t>Some studies claim for the presence of some downstream regulators of insulin signaling pathway which are involved in cleavage of AβPP at gamma-secretase site, a determining site for Aβ amyloidogenicity</w:t>
            </w:r>
          </w:p>
        </w:tc>
      </w:tr>
      <w:tr w:rsidR="00C821A4" w:rsidRPr="007417D2" w:rsidTr="00E57732">
        <w:tc>
          <w:tcPr>
            <w:tcW w:w="1998" w:type="dxa"/>
          </w:tcPr>
          <w:p w:rsidR="00C821A4" w:rsidRPr="007417D2" w:rsidRDefault="00C821A4" w:rsidP="00E57732">
            <w:pPr>
              <w:spacing w:line="360" w:lineRule="auto"/>
              <w:rPr>
                <w:rFonts w:ascii="Book Antiqua" w:hAnsi="Book Antiqua"/>
                <w:sz w:val="24"/>
              </w:rPr>
            </w:pPr>
            <w:r w:rsidRPr="007417D2">
              <w:rPr>
                <w:rFonts w:ascii="Book Antiqua" w:hAnsi="Book Antiqua"/>
                <w:sz w:val="24"/>
              </w:rPr>
              <w:t xml:space="preserve">Steen </w:t>
            </w:r>
            <w:r>
              <w:rPr>
                <w:rFonts w:ascii="Book Antiqua" w:hAnsi="Book Antiqua"/>
                <w:i/>
                <w:sz w:val="24"/>
              </w:rPr>
              <w:t>et al</w:t>
            </w:r>
            <w:r w:rsidRPr="007417D2">
              <w:rPr>
                <w:rFonts w:ascii="Book Antiqua" w:hAnsi="Book Antiqua"/>
                <w:sz w:val="24"/>
                <w:vertAlign w:val="superscript"/>
              </w:rPr>
              <w:t>[24]</w:t>
            </w:r>
            <w:r w:rsidRPr="007417D2">
              <w:rPr>
                <w:rFonts w:ascii="Book Antiqua" w:hAnsi="Book Antiqua"/>
                <w:i/>
                <w:sz w:val="24"/>
              </w:rPr>
              <w:t>,</w:t>
            </w:r>
            <w:r w:rsidRPr="007417D2">
              <w:rPr>
                <w:rFonts w:ascii="Book Antiqua" w:hAnsi="Book Antiqua"/>
                <w:sz w:val="24"/>
              </w:rPr>
              <w:t xml:space="preserve"> 2005</w:t>
            </w:r>
          </w:p>
        </w:tc>
        <w:tc>
          <w:tcPr>
            <w:tcW w:w="7650" w:type="dxa"/>
          </w:tcPr>
          <w:p w:rsidR="00C821A4" w:rsidRPr="007417D2" w:rsidRDefault="00C821A4" w:rsidP="00E57732">
            <w:pPr>
              <w:spacing w:line="360" w:lineRule="auto"/>
              <w:rPr>
                <w:rFonts w:ascii="Book Antiqua" w:hAnsi="Book Antiqua"/>
                <w:sz w:val="24"/>
              </w:rPr>
            </w:pPr>
            <w:r w:rsidRPr="007417D2">
              <w:rPr>
                <w:rFonts w:ascii="Book Antiqua" w:hAnsi="Book Antiqua"/>
                <w:sz w:val="24"/>
              </w:rPr>
              <w:t>Extensive dysfunction of IGF-I and IGF II signaling mechanism were reported in AD brain</w:t>
            </w:r>
          </w:p>
        </w:tc>
      </w:tr>
      <w:tr w:rsidR="00C821A4" w:rsidRPr="007417D2" w:rsidTr="00E57732">
        <w:tc>
          <w:tcPr>
            <w:tcW w:w="1998" w:type="dxa"/>
          </w:tcPr>
          <w:p w:rsidR="00C821A4" w:rsidRPr="007417D2" w:rsidRDefault="00C821A4" w:rsidP="00E57732">
            <w:pPr>
              <w:spacing w:line="360" w:lineRule="auto"/>
              <w:rPr>
                <w:rFonts w:ascii="Book Antiqua" w:hAnsi="Book Antiqua"/>
                <w:sz w:val="24"/>
              </w:rPr>
            </w:pPr>
            <w:r w:rsidRPr="007417D2">
              <w:rPr>
                <w:rFonts w:ascii="Book Antiqua" w:hAnsi="Book Antiqua"/>
                <w:sz w:val="24"/>
              </w:rPr>
              <w:t xml:space="preserve">Rivera </w:t>
            </w:r>
            <w:r>
              <w:rPr>
                <w:rFonts w:ascii="Book Antiqua" w:hAnsi="Book Antiqua"/>
                <w:i/>
                <w:sz w:val="24"/>
              </w:rPr>
              <w:t>et al</w:t>
            </w:r>
            <w:r w:rsidRPr="007417D2">
              <w:rPr>
                <w:rFonts w:ascii="Book Antiqua" w:hAnsi="Book Antiqua"/>
                <w:sz w:val="24"/>
                <w:vertAlign w:val="superscript"/>
              </w:rPr>
              <w:t>[66]</w:t>
            </w:r>
            <w:r w:rsidRPr="007417D2">
              <w:rPr>
                <w:rFonts w:ascii="Book Antiqua" w:hAnsi="Book Antiqua"/>
                <w:i/>
                <w:sz w:val="24"/>
              </w:rPr>
              <w:t>,</w:t>
            </w:r>
            <w:r w:rsidRPr="007417D2">
              <w:rPr>
                <w:rFonts w:ascii="Book Antiqua" w:hAnsi="Book Antiqua"/>
                <w:sz w:val="24"/>
              </w:rPr>
              <w:t xml:space="preserve"> 2005</w:t>
            </w:r>
          </w:p>
        </w:tc>
        <w:tc>
          <w:tcPr>
            <w:tcW w:w="7650" w:type="dxa"/>
          </w:tcPr>
          <w:p w:rsidR="00C821A4" w:rsidRPr="007417D2" w:rsidRDefault="00C821A4" w:rsidP="00E57732">
            <w:pPr>
              <w:spacing w:line="360" w:lineRule="auto"/>
              <w:rPr>
                <w:rFonts w:ascii="Book Antiqua" w:hAnsi="Book Antiqua"/>
                <w:sz w:val="24"/>
              </w:rPr>
            </w:pPr>
            <w:r w:rsidRPr="007417D2">
              <w:rPr>
                <w:rFonts w:ascii="Book Antiqua" w:hAnsi="Book Antiqua"/>
                <w:sz w:val="24"/>
              </w:rPr>
              <w:t>Insulin and IGF gene expression was altered with abnormal receptor binding in AD brain</w:t>
            </w:r>
          </w:p>
        </w:tc>
      </w:tr>
    </w:tbl>
    <w:p w:rsidR="00C821A4" w:rsidRPr="00AE1001" w:rsidRDefault="00C821A4" w:rsidP="00C821A4">
      <w:pPr>
        <w:spacing w:line="360" w:lineRule="auto"/>
        <w:rPr>
          <w:rFonts w:ascii="Book Antiqua" w:hAnsi="Book Antiqua"/>
          <w:sz w:val="24"/>
        </w:rPr>
      </w:pPr>
      <w:r w:rsidRPr="00AE1001">
        <w:rPr>
          <w:rFonts w:ascii="Book Antiqua" w:hAnsi="Book Antiqua" w:hint="eastAsia"/>
          <w:sz w:val="24"/>
        </w:rPr>
        <w:t xml:space="preserve">AD: </w:t>
      </w:r>
      <w:r w:rsidRPr="00AE1001">
        <w:rPr>
          <w:rFonts w:ascii="Book Antiqua" w:hAnsi="Book Antiqua"/>
          <w:sz w:val="24"/>
        </w:rPr>
        <w:t>Alzheimer’s disease</w:t>
      </w:r>
      <w:r w:rsidRPr="00AE1001">
        <w:rPr>
          <w:rFonts w:ascii="Book Antiqua" w:hAnsi="Book Antiqua" w:hint="eastAsia"/>
          <w:sz w:val="24"/>
        </w:rPr>
        <w:t xml:space="preserve">; </w:t>
      </w:r>
      <w:r w:rsidRPr="00AE1001">
        <w:rPr>
          <w:rFonts w:ascii="Book Antiqua" w:hAnsi="Book Antiqua"/>
          <w:sz w:val="24"/>
        </w:rPr>
        <w:t>T2D</w:t>
      </w:r>
      <w:r w:rsidRPr="00AE1001">
        <w:rPr>
          <w:rFonts w:ascii="Book Antiqua" w:hAnsi="Book Antiqua" w:hint="eastAsia"/>
          <w:sz w:val="24"/>
        </w:rPr>
        <w:t>:</w:t>
      </w:r>
      <w:r w:rsidRPr="00AE1001">
        <w:rPr>
          <w:rFonts w:ascii="Book Antiqua" w:hAnsi="Book Antiqua"/>
          <w:sz w:val="24"/>
        </w:rPr>
        <w:t xml:space="preserve"> Type 2 diabetes</w:t>
      </w:r>
      <w:r w:rsidRPr="00AE1001">
        <w:rPr>
          <w:rFonts w:ascii="Book Antiqua" w:hAnsi="Book Antiqua" w:hint="eastAsia"/>
          <w:sz w:val="24"/>
        </w:rPr>
        <w:t>;</w:t>
      </w:r>
      <w:r w:rsidRPr="00AE1001">
        <w:rPr>
          <w:rFonts w:ascii="Book Antiqua" w:hAnsi="Book Antiqua"/>
          <w:sz w:val="24"/>
        </w:rPr>
        <w:t xml:space="preserve"> Aβ</w:t>
      </w:r>
      <w:r w:rsidRPr="00AE1001">
        <w:rPr>
          <w:rFonts w:ascii="Book Antiqua" w:hAnsi="Book Antiqua" w:hint="eastAsia"/>
          <w:sz w:val="24"/>
        </w:rPr>
        <w:t xml:space="preserve">: </w:t>
      </w:r>
      <w:r w:rsidRPr="00AE1001">
        <w:rPr>
          <w:rFonts w:ascii="Book Antiqua" w:hAnsi="Book Antiqua"/>
          <w:sz w:val="24"/>
        </w:rPr>
        <w:t>Amyloid beta</w:t>
      </w:r>
      <w:r w:rsidRPr="00AE1001">
        <w:rPr>
          <w:rFonts w:ascii="Book Antiqua" w:hAnsi="Book Antiqua" w:hint="eastAsia"/>
          <w:sz w:val="24"/>
        </w:rPr>
        <w:t xml:space="preserve">; </w:t>
      </w:r>
      <w:r>
        <w:rPr>
          <w:rFonts w:ascii="Book Antiqua" w:hAnsi="Book Antiqua"/>
          <w:sz w:val="24"/>
        </w:rPr>
        <w:t>IGF</w:t>
      </w:r>
      <w:r w:rsidRPr="00AE1001">
        <w:rPr>
          <w:rFonts w:ascii="Book Antiqua" w:hAnsi="Book Antiqua" w:hint="eastAsia"/>
          <w:sz w:val="24"/>
        </w:rPr>
        <w:t xml:space="preserve">: </w:t>
      </w:r>
      <w:r>
        <w:rPr>
          <w:rFonts w:ascii="Book Antiqua" w:hAnsi="Book Antiqua"/>
          <w:sz w:val="24"/>
        </w:rPr>
        <w:t>Insulin like growth factor</w:t>
      </w:r>
      <w:r>
        <w:rPr>
          <w:rFonts w:ascii="Book Antiqua" w:hAnsi="Book Antiqua" w:hint="eastAsia"/>
          <w:sz w:val="24"/>
        </w:rPr>
        <w:t>.</w:t>
      </w:r>
    </w:p>
    <w:p w:rsidR="00C821A4" w:rsidRPr="00437E1D" w:rsidRDefault="00C821A4" w:rsidP="00C821A4">
      <w:pPr>
        <w:spacing w:line="360" w:lineRule="auto"/>
        <w:rPr>
          <w:rFonts w:ascii="Book Antiqua" w:hAnsi="Book Antiqua"/>
          <w:sz w:val="24"/>
        </w:rPr>
      </w:pPr>
    </w:p>
    <w:p w:rsidR="00C821A4" w:rsidRPr="007417D2" w:rsidRDefault="00C821A4" w:rsidP="00C821A4">
      <w:pPr>
        <w:pStyle w:val="ListParagraph"/>
        <w:spacing w:after="0" w:line="360" w:lineRule="auto"/>
        <w:ind w:left="0"/>
        <w:jc w:val="both"/>
        <w:rPr>
          <w:rFonts w:ascii="Book Antiqua" w:hAnsi="Book Antiqua"/>
          <w:b/>
          <w:bCs/>
          <w:noProof/>
          <w:sz w:val="24"/>
          <w:szCs w:val="24"/>
        </w:rPr>
      </w:pPr>
      <w:r w:rsidRPr="007417D2">
        <w:rPr>
          <w:rFonts w:ascii="Book Antiqua" w:hAnsi="Book Antiqua"/>
          <w:b/>
          <w:bCs/>
          <w:noProof/>
          <w:sz w:val="24"/>
          <w:szCs w:val="24"/>
        </w:rPr>
        <w:lastRenderedPageBreak/>
        <w:drawing>
          <wp:inline distT="0" distB="0" distL="0" distR="0" wp14:anchorId="11B699DD" wp14:editId="25397A78">
            <wp:extent cx="5943600" cy="4391025"/>
            <wp:effectExtent l="19050" t="0" r="0" b="0"/>
            <wp:docPr id="4"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9" cstate="print"/>
                    <a:srcRect r="-7135" b="-7368"/>
                    <a:stretch>
                      <a:fillRect/>
                    </a:stretch>
                  </pic:blipFill>
                  <pic:spPr bwMode="auto">
                    <a:xfrm>
                      <a:off x="0" y="0"/>
                      <a:ext cx="5943600" cy="4391025"/>
                    </a:xfrm>
                    <a:prstGeom prst="rect">
                      <a:avLst/>
                    </a:prstGeom>
                    <a:noFill/>
                    <a:ln w="9525">
                      <a:noFill/>
                      <a:miter lim="800000"/>
                      <a:headEnd/>
                      <a:tailEnd/>
                    </a:ln>
                  </pic:spPr>
                </pic:pic>
              </a:graphicData>
            </a:graphic>
          </wp:inline>
        </w:drawing>
      </w:r>
    </w:p>
    <w:p w:rsidR="00C821A4" w:rsidRPr="0007325F" w:rsidRDefault="00C821A4" w:rsidP="00C821A4">
      <w:pPr>
        <w:spacing w:line="360" w:lineRule="auto"/>
        <w:rPr>
          <w:rFonts w:ascii="Book Antiqua" w:hAnsi="Book Antiqua"/>
          <w:sz w:val="24"/>
        </w:rPr>
      </w:pPr>
      <w:r w:rsidRPr="007417D2">
        <w:rPr>
          <w:rFonts w:ascii="Book Antiqua" w:hAnsi="Book Antiqua"/>
          <w:b/>
          <w:bCs/>
          <w:noProof/>
          <w:sz w:val="24"/>
        </w:rPr>
        <w:t xml:space="preserve">Figure 1 Schematic representation of commonalities between diabetes and Alzheimer’s disease. </w:t>
      </w:r>
      <w:r w:rsidRPr="007417D2">
        <w:rPr>
          <w:rFonts w:ascii="Book Antiqua" w:hAnsi="Book Antiqua"/>
          <w:bCs/>
          <w:noProof/>
          <w:sz w:val="24"/>
        </w:rPr>
        <w:t xml:space="preserve">Hyperglycemia and hyperinsulinemia are hallmark features of diabetes which leads to advanced glycation end product, reduced insulin supply to brain as well as mitochondrial dysfunction, which further leads to vicious cycle of oxidative stress. On the other side, any defect in glucose metabolism and insulin signaling in brain is one metabolic status of </w:t>
      </w:r>
      <w:r w:rsidRPr="00437E1D">
        <w:rPr>
          <w:rFonts w:ascii="Book Antiqua" w:hAnsi="Book Antiqua"/>
          <w:bCs/>
          <w:noProof/>
          <w:sz w:val="24"/>
        </w:rPr>
        <w:t>Alzheimer’S disease</w:t>
      </w:r>
      <w:r w:rsidRPr="007417D2">
        <w:rPr>
          <w:rFonts w:ascii="Book Antiqua" w:hAnsi="Book Antiqua"/>
          <w:bCs/>
          <w:noProof/>
          <w:sz w:val="24"/>
        </w:rPr>
        <w:t xml:space="preserve"> brain which translates into insulin resistant brain status and converges to all common interfaces of mitochondrial dysfunction, oxidative stress and neurodegenrtaion.</w:t>
      </w:r>
      <w:r w:rsidRPr="007417D2">
        <w:rPr>
          <w:rFonts w:ascii="Book Antiqua" w:hAnsi="Book Antiqua"/>
          <w:b/>
          <w:bCs/>
          <w:noProof/>
          <w:sz w:val="24"/>
        </w:rPr>
        <w:t xml:space="preserve"> </w:t>
      </w:r>
      <w:r w:rsidRPr="0007325F">
        <w:rPr>
          <w:rFonts w:ascii="Book Antiqua" w:hAnsi="Book Antiqua"/>
          <w:sz w:val="24"/>
        </w:rPr>
        <w:t>IDE</w:t>
      </w:r>
      <w:r>
        <w:rPr>
          <w:rFonts w:ascii="Book Antiqua" w:hAnsi="Book Antiqua" w:hint="eastAsia"/>
          <w:sz w:val="24"/>
        </w:rPr>
        <w:t>:</w:t>
      </w:r>
      <w:r w:rsidRPr="0007325F">
        <w:rPr>
          <w:rFonts w:ascii="Book Antiqua" w:hAnsi="Book Antiqua"/>
          <w:sz w:val="24"/>
        </w:rPr>
        <w:t xml:space="preserve"> Insulin degrading enzyme</w:t>
      </w:r>
      <w:r>
        <w:rPr>
          <w:rFonts w:ascii="Book Antiqua" w:hAnsi="Book Antiqua" w:hint="eastAsia"/>
          <w:sz w:val="24"/>
        </w:rPr>
        <w:t xml:space="preserve">; </w:t>
      </w:r>
      <w:r w:rsidRPr="00AE1001">
        <w:rPr>
          <w:rFonts w:ascii="Book Antiqua" w:hAnsi="Book Antiqua"/>
          <w:sz w:val="24"/>
        </w:rPr>
        <w:t>Aβ</w:t>
      </w:r>
      <w:r w:rsidRPr="00AE1001">
        <w:rPr>
          <w:rFonts w:ascii="Book Antiqua" w:hAnsi="Book Antiqua" w:hint="eastAsia"/>
          <w:sz w:val="24"/>
        </w:rPr>
        <w:t xml:space="preserve">: </w:t>
      </w:r>
      <w:r w:rsidRPr="00AE1001">
        <w:rPr>
          <w:rFonts w:ascii="Book Antiqua" w:hAnsi="Book Antiqua"/>
          <w:sz w:val="24"/>
        </w:rPr>
        <w:t>Amyloid beta</w:t>
      </w:r>
      <w:r w:rsidRPr="00AE1001">
        <w:rPr>
          <w:rFonts w:ascii="Book Antiqua" w:hAnsi="Book Antiqua" w:hint="eastAsia"/>
          <w:sz w:val="24"/>
        </w:rPr>
        <w:t xml:space="preserve">; </w:t>
      </w:r>
      <w:r w:rsidRPr="00AE1001">
        <w:rPr>
          <w:rFonts w:ascii="Book Antiqua" w:hAnsi="Book Antiqua"/>
          <w:sz w:val="24"/>
        </w:rPr>
        <w:t>AGEs</w:t>
      </w:r>
      <w:r w:rsidRPr="00AE1001">
        <w:rPr>
          <w:rFonts w:ascii="Book Antiqua" w:hAnsi="Book Antiqua" w:hint="eastAsia"/>
          <w:sz w:val="24"/>
        </w:rPr>
        <w:t xml:space="preserve">: </w:t>
      </w:r>
      <w:r w:rsidRPr="00AE1001">
        <w:rPr>
          <w:rFonts w:ascii="Book Antiqua" w:hAnsi="Book Antiqua"/>
          <w:sz w:val="24"/>
        </w:rPr>
        <w:t>Advanced glycation end products</w:t>
      </w:r>
      <w:r w:rsidRPr="00AE1001">
        <w:rPr>
          <w:rFonts w:ascii="Book Antiqua" w:hAnsi="Book Antiqua" w:hint="eastAsia"/>
          <w:sz w:val="24"/>
        </w:rPr>
        <w:t>;</w:t>
      </w:r>
      <w:r>
        <w:rPr>
          <w:rFonts w:ascii="Book Antiqua" w:hAnsi="Book Antiqua" w:hint="eastAsia"/>
          <w:sz w:val="24"/>
        </w:rPr>
        <w:t xml:space="preserve"> ROS:</w:t>
      </w:r>
      <w:r w:rsidRPr="00437E1D">
        <w:rPr>
          <w:rFonts w:ascii="Book Antiqua" w:hAnsi="Book Antiqua"/>
          <w:sz w:val="24"/>
        </w:rPr>
        <w:t xml:space="preserve"> </w:t>
      </w:r>
      <w:r w:rsidRPr="0007325F">
        <w:rPr>
          <w:rFonts w:ascii="Book Antiqua" w:hAnsi="Book Antiqua"/>
          <w:sz w:val="24"/>
        </w:rPr>
        <w:t>Reactive oxygen species</w:t>
      </w:r>
      <w:r>
        <w:rPr>
          <w:rFonts w:ascii="Book Antiqua" w:hAnsi="Book Antiqua" w:hint="eastAsia"/>
          <w:sz w:val="24"/>
        </w:rPr>
        <w:t>.</w:t>
      </w:r>
    </w:p>
    <w:p w:rsidR="00C821A4" w:rsidRPr="007417D2" w:rsidRDefault="00C821A4" w:rsidP="00C821A4">
      <w:pPr>
        <w:pStyle w:val="ListParagraph"/>
        <w:spacing w:after="0" w:line="360" w:lineRule="auto"/>
        <w:ind w:left="0"/>
        <w:jc w:val="both"/>
        <w:rPr>
          <w:rFonts w:ascii="Book Antiqua" w:hAnsi="Book Antiqua"/>
          <w:b/>
          <w:bCs/>
          <w:noProof/>
          <w:sz w:val="24"/>
          <w:szCs w:val="24"/>
        </w:rPr>
      </w:pPr>
    </w:p>
    <w:p w:rsidR="00C821A4" w:rsidRPr="007417D2" w:rsidRDefault="00C821A4" w:rsidP="00C821A4">
      <w:pPr>
        <w:spacing w:line="360" w:lineRule="auto"/>
        <w:rPr>
          <w:rFonts w:ascii="Book Antiqua" w:hAnsi="Book Antiqua"/>
          <w:b/>
          <w:bCs/>
          <w:sz w:val="24"/>
        </w:rPr>
      </w:pPr>
      <w:r w:rsidRPr="007417D2">
        <w:rPr>
          <w:rFonts w:ascii="Book Antiqua" w:hAnsi="Book Antiqua"/>
          <w:b/>
          <w:bCs/>
          <w:noProof/>
          <w:sz w:val="24"/>
          <w:lang w:eastAsia="en-US"/>
        </w:rPr>
        <w:lastRenderedPageBreak/>
        <w:drawing>
          <wp:inline distT="0" distB="0" distL="0" distR="0" wp14:anchorId="291C1680" wp14:editId="3597FC3A">
            <wp:extent cx="5943600" cy="4419600"/>
            <wp:effectExtent l="19050" t="0" r="0" b="0"/>
            <wp:docPr id="7" name="Objec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
                    <pic:cNvPicPr>
                      <a:picLocks noChangeArrowheads="1"/>
                    </pic:cNvPicPr>
                  </pic:nvPicPr>
                  <pic:blipFill>
                    <a:blip r:embed="rId10" cstate="print"/>
                    <a:srcRect l="-108" t="-282" r="-928" b="-3288"/>
                    <a:stretch>
                      <a:fillRect/>
                    </a:stretch>
                  </pic:blipFill>
                  <pic:spPr bwMode="auto">
                    <a:xfrm>
                      <a:off x="0" y="0"/>
                      <a:ext cx="5943600" cy="4419600"/>
                    </a:xfrm>
                    <a:prstGeom prst="rect">
                      <a:avLst/>
                    </a:prstGeom>
                    <a:noFill/>
                    <a:ln w="9525">
                      <a:noFill/>
                      <a:miter lim="800000"/>
                      <a:headEnd/>
                      <a:tailEnd/>
                    </a:ln>
                  </pic:spPr>
                </pic:pic>
              </a:graphicData>
            </a:graphic>
          </wp:inline>
        </w:drawing>
      </w:r>
    </w:p>
    <w:p w:rsidR="00C821A4" w:rsidRPr="006F7FEF" w:rsidRDefault="00C821A4" w:rsidP="00C821A4">
      <w:pPr>
        <w:spacing w:line="360" w:lineRule="auto"/>
        <w:rPr>
          <w:rFonts w:ascii="Book Antiqua" w:hAnsi="Book Antiqua"/>
          <w:bCs/>
          <w:sz w:val="24"/>
        </w:rPr>
      </w:pPr>
      <w:r w:rsidRPr="00437E1D">
        <w:rPr>
          <w:rFonts w:ascii="Book Antiqua" w:hAnsi="Book Antiqua"/>
          <w:b/>
          <w:bCs/>
          <w:sz w:val="24"/>
        </w:rPr>
        <w:t xml:space="preserve">Figure 2 Diagrammatic </w:t>
      </w:r>
      <w:proofErr w:type="gramStart"/>
      <w:r w:rsidRPr="00437E1D">
        <w:rPr>
          <w:rFonts w:ascii="Book Antiqua" w:hAnsi="Book Antiqua"/>
          <w:b/>
          <w:bCs/>
          <w:sz w:val="24"/>
        </w:rPr>
        <w:t>representation</w:t>
      </w:r>
      <w:proofErr w:type="gramEnd"/>
      <w:r w:rsidRPr="00437E1D">
        <w:rPr>
          <w:rFonts w:ascii="Book Antiqua" w:hAnsi="Book Antiqua"/>
          <w:b/>
          <w:bCs/>
          <w:sz w:val="24"/>
        </w:rPr>
        <w:t xml:space="preserve"> of peripheral and neuronal complications of insulin resistance in case of </w:t>
      </w:r>
      <w:r w:rsidRPr="00437E1D">
        <w:rPr>
          <w:rFonts w:ascii="Book Antiqua" w:hAnsi="Book Antiqua"/>
          <w:b/>
          <w:sz w:val="24"/>
        </w:rPr>
        <w:t>type 2 diabetes</w:t>
      </w:r>
      <w:r w:rsidRPr="00437E1D">
        <w:rPr>
          <w:rFonts w:ascii="Book Antiqua" w:hAnsi="Book Antiqua"/>
          <w:b/>
          <w:bCs/>
          <w:sz w:val="24"/>
        </w:rPr>
        <w:t>.</w:t>
      </w:r>
      <w:r w:rsidRPr="007417D2">
        <w:rPr>
          <w:rFonts w:ascii="Book Antiqua" w:hAnsi="Book Antiqua"/>
          <w:b/>
          <w:bCs/>
          <w:sz w:val="24"/>
        </w:rPr>
        <w:t xml:space="preserve"> </w:t>
      </w:r>
      <w:r w:rsidRPr="007417D2">
        <w:rPr>
          <w:rFonts w:ascii="Book Antiqua" w:hAnsi="Book Antiqua"/>
          <w:bCs/>
          <w:sz w:val="24"/>
        </w:rPr>
        <w:t xml:space="preserve">Insulin signaling dysfunction in peripheral system affect muscle, adipose tissue and liver by decreasing glucose uptake, increasing free fatty acids) and by increasing glucose production respectively. When this dysfunction appears in CNS as a diabetes complication (by limited insulin supply to brain), it leads to deposition of Aβ plaques and NFTs in extracellular and intracellular milieu of neurons respectively and represents AD type brain status. </w:t>
      </w:r>
      <w:r w:rsidRPr="00AE1001">
        <w:rPr>
          <w:rFonts w:ascii="Book Antiqua" w:hAnsi="Book Antiqua" w:hint="eastAsia"/>
          <w:sz w:val="24"/>
        </w:rPr>
        <w:t xml:space="preserve">AD: </w:t>
      </w:r>
      <w:r w:rsidRPr="00AE1001">
        <w:rPr>
          <w:rFonts w:ascii="Book Antiqua" w:hAnsi="Book Antiqua"/>
          <w:sz w:val="24"/>
        </w:rPr>
        <w:t>Alzheimer’s disease</w:t>
      </w:r>
      <w:r w:rsidRPr="00AE1001">
        <w:rPr>
          <w:rFonts w:ascii="Book Antiqua" w:hAnsi="Book Antiqua" w:hint="eastAsia"/>
          <w:sz w:val="24"/>
        </w:rPr>
        <w:t xml:space="preserve">; </w:t>
      </w:r>
      <w:r w:rsidRPr="00AE1001">
        <w:rPr>
          <w:rFonts w:ascii="Book Antiqua" w:hAnsi="Book Antiqua"/>
          <w:sz w:val="24"/>
        </w:rPr>
        <w:t>T2D</w:t>
      </w:r>
      <w:r w:rsidRPr="00AE1001">
        <w:rPr>
          <w:rFonts w:ascii="Book Antiqua" w:hAnsi="Book Antiqua" w:hint="eastAsia"/>
          <w:sz w:val="24"/>
        </w:rPr>
        <w:t>:</w:t>
      </w:r>
      <w:r w:rsidRPr="00AE1001">
        <w:rPr>
          <w:rFonts w:ascii="Book Antiqua" w:hAnsi="Book Antiqua"/>
          <w:sz w:val="24"/>
        </w:rPr>
        <w:t xml:space="preserve"> Type 2 diabetes</w:t>
      </w:r>
      <w:r w:rsidRPr="00AE1001">
        <w:rPr>
          <w:rFonts w:ascii="Book Antiqua" w:hAnsi="Book Antiqua" w:hint="eastAsia"/>
          <w:sz w:val="24"/>
        </w:rPr>
        <w:t>;</w:t>
      </w:r>
      <w:r w:rsidRPr="00AE1001">
        <w:rPr>
          <w:rFonts w:ascii="Book Antiqua" w:hAnsi="Book Antiqua"/>
          <w:sz w:val="24"/>
        </w:rPr>
        <w:t xml:space="preserve"> </w:t>
      </w:r>
      <w:r w:rsidRPr="0007325F">
        <w:rPr>
          <w:rFonts w:ascii="Book Antiqua" w:hAnsi="Book Antiqua"/>
          <w:sz w:val="24"/>
        </w:rPr>
        <w:t>IDE</w:t>
      </w:r>
      <w:r>
        <w:rPr>
          <w:rFonts w:ascii="Book Antiqua" w:hAnsi="Book Antiqua" w:hint="eastAsia"/>
          <w:sz w:val="24"/>
        </w:rPr>
        <w:t>:</w:t>
      </w:r>
      <w:r w:rsidRPr="0007325F">
        <w:rPr>
          <w:rFonts w:ascii="Book Antiqua" w:hAnsi="Book Antiqua"/>
          <w:sz w:val="24"/>
        </w:rPr>
        <w:t xml:space="preserve"> Insulin degrading enzyme</w:t>
      </w:r>
      <w:r>
        <w:rPr>
          <w:rFonts w:ascii="Book Antiqua" w:hAnsi="Book Antiqua" w:hint="eastAsia"/>
          <w:sz w:val="24"/>
        </w:rPr>
        <w:t>;</w:t>
      </w:r>
      <w:r w:rsidRPr="00437E1D">
        <w:rPr>
          <w:rFonts w:ascii="Book Antiqua" w:hAnsi="Book Antiqua"/>
          <w:sz w:val="24"/>
        </w:rPr>
        <w:t xml:space="preserve"> </w:t>
      </w:r>
      <w:r w:rsidRPr="00AE1001">
        <w:rPr>
          <w:rFonts w:ascii="Book Antiqua" w:hAnsi="Book Antiqua"/>
          <w:sz w:val="24"/>
        </w:rPr>
        <w:t>PI3K</w:t>
      </w:r>
      <w:r w:rsidRPr="00AE1001">
        <w:rPr>
          <w:rFonts w:ascii="Book Antiqua" w:hAnsi="Book Antiqua" w:hint="eastAsia"/>
          <w:sz w:val="24"/>
        </w:rPr>
        <w:t>:</w:t>
      </w:r>
      <w:r w:rsidRPr="00AE1001">
        <w:rPr>
          <w:rFonts w:ascii="Book Antiqua" w:hAnsi="Book Antiqua"/>
          <w:sz w:val="24"/>
        </w:rPr>
        <w:t xml:space="preserve"> Phosphatidylinositide 3-kinases</w:t>
      </w:r>
      <w:r>
        <w:rPr>
          <w:rFonts w:ascii="Book Antiqua" w:hAnsi="Book Antiqua" w:hint="eastAsia"/>
          <w:sz w:val="24"/>
        </w:rPr>
        <w:t>;</w:t>
      </w:r>
      <w:r w:rsidRPr="00437E1D">
        <w:rPr>
          <w:rFonts w:ascii="Book Antiqua" w:hAnsi="Book Antiqua"/>
          <w:sz w:val="24"/>
        </w:rPr>
        <w:t xml:space="preserve"> </w:t>
      </w:r>
      <w:r w:rsidRPr="00AE1001">
        <w:rPr>
          <w:rFonts w:ascii="Book Antiqua" w:hAnsi="Book Antiqua"/>
          <w:sz w:val="24"/>
        </w:rPr>
        <w:t>Aβ</w:t>
      </w:r>
      <w:r w:rsidRPr="00AE1001">
        <w:rPr>
          <w:rFonts w:ascii="Book Antiqua" w:hAnsi="Book Antiqua" w:hint="eastAsia"/>
          <w:sz w:val="24"/>
        </w:rPr>
        <w:t xml:space="preserve">: </w:t>
      </w:r>
      <w:r w:rsidRPr="00AE1001">
        <w:rPr>
          <w:rFonts w:ascii="Book Antiqua" w:hAnsi="Book Antiqua"/>
          <w:sz w:val="24"/>
        </w:rPr>
        <w:t>Amyloid beta</w:t>
      </w:r>
      <w:r w:rsidRPr="00AE1001">
        <w:rPr>
          <w:rFonts w:ascii="Book Antiqua" w:hAnsi="Book Antiqua" w:hint="eastAsia"/>
          <w:sz w:val="24"/>
        </w:rPr>
        <w:t>;</w:t>
      </w:r>
      <w:r w:rsidRPr="00437E1D">
        <w:rPr>
          <w:rFonts w:ascii="Book Antiqua" w:hAnsi="Book Antiqua" w:hint="eastAsia"/>
          <w:sz w:val="24"/>
        </w:rPr>
        <w:t xml:space="preserve"> </w:t>
      </w:r>
      <w:r w:rsidRPr="00AE1001">
        <w:rPr>
          <w:rFonts w:ascii="Book Antiqua" w:hAnsi="Book Antiqua"/>
          <w:sz w:val="24"/>
        </w:rPr>
        <w:t>NFTs</w:t>
      </w:r>
      <w:r w:rsidRPr="00AE1001">
        <w:rPr>
          <w:rFonts w:ascii="Book Antiqua" w:hAnsi="Book Antiqua" w:hint="eastAsia"/>
          <w:sz w:val="24"/>
        </w:rPr>
        <w:t xml:space="preserve">: </w:t>
      </w:r>
      <w:r w:rsidRPr="00AE1001">
        <w:rPr>
          <w:rFonts w:ascii="Book Antiqua" w:hAnsi="Book Antiqua"/>
          <w:sz w:val="24"/>
        </w:rPr>
        <w:t>Neurofibrillary tangles</w:t>
      </w:r>
      <w:r w:rsidRPr="00AE1001">
        <w:rPr>
          <w:rFonts w:ascii="Book Antiqua" w:hAnsi="Book Antiqua" w:hint="eastAsia"/>
          <w:sz w:val="24"/>
        </w:rPr>
        <w:t>;</w:t>
      </w:r>
      <w:r w:rsidRPr="00437E1D">
        <w:rPr>
          <w:rFonts w:ascii="Book Antiqua" w:hAnsi="Book Antiqua"/>
          <w:sz w:val="24"/>
        </w:rPr>
        <w:t xml:space="preserve"> </w:t>
      </w:r>
      <w:r w:rsidRPr="0007325F">
        <w:rPr>
          <w:rFonts w:ascii="Book Antiqua" w:hAnsi="Book Antiqua"/>
          <w:sz w:val="24"/>
        </w:rPr>
        <w:t>GSK3β</w:t>
      </w:r>
      <w:r>
        <w:rPr>
          <w:rFonts w:ascii="Book Antiqua" w:hAnsi="Book Antiqua" w:hint="eastAsia"/>
          <w:sz w:val="24"/>
        </w:rPr>
        <w:t xml:space="preserve">: </w:t>
      </w:r>
      <w:r w:rsidRPr="0007325F">
        <w:rPr>
          <w:rFonts w:ascii="Book Antiqua" w:hAnsi="Book Antiqua"/>
          <w:sz w:val="24"/>
        </w:rPr>
        <w:t>Glycogen synthase kinase 3 beta</w:t>
      </w:r>
      <w:r>
        <w:rPr>
          <w:rFonts w:ascii="Book Antiqua" w:hAnsi="Book Antiqua" w:hint="eastAsia"/>
          <w:sz w:val="24"/>
        </w:rPr>
        <w:t xml:space="preserve">; </w:t>
      </w:r>
      <w:r w:rsidRPr="0007325F">
        <w:rPr>
          <w:rFonts w:ascii="Book Antiqua" w:hAnsi="Book Antiqua"/>
          <w:sz w:val="24"/>
        </w:rPr>
        <w:t>FFA</w:t>
      </w:r>
      <w:r>
        <w:rPr>
          <w:rFonts w:ascii="Book Antiqua" w:hAnsi="Book Antiqua" w:hint="eastAsia"/>
          <w:sz w:val="24"/>
        </w:rPr>
        <w:t xml:space="preserve">: </w:t>
      </w:r>
      <w:r w:rsidRPr="0007325F">
        <w:rPr>
          <w:rFonts w:ascii="Book Antiqua" w:hAnsi="Book Antiqua"/>
          <w:sz w:val="24"/>
        </w:rPr>
        <w:t>Free fatty acids</w:t>
      </w:r>
      <w:r>
        <w:rPr>
          <w:rFonts w:ascii="Book Antiqua" w:hAnsi="Book Antiqua" w:hint="eastAsia"/>
          <w:sz w:val="24"/>
        </w:rPr>
        <w:t xml:space="preserve">; </w:t>
      </w:r>
      <w:r>
        <w:rPr>
          <w:rFonts w:ascii="Book Antiqua" w:hAnsi="Book Antiqua"/>
          <w:sz w:val="24"/>
        </w:rPr>
        <w:t>BBB</w:t>
      </w:r>
      <w:r>
        <w:rPr>
          <w:rFonts w:ascii="Book Antiqua" w:hAnsi="Book Antiqua" w:hint="eastAsia"/>
          <w:sz w:val="24"/>
        </w:rPr>
        <w:t xml:space="preserve">: </w:t>
      </w:r>
      <w:r w:rsidRPr="0007325F">
        <w:rPr>
          <w:rFonts w:ascii="Book Antiqua" w:hAnsi="Book Antiqua"/>
          <w:sz w:val="24"/>
        </w:rPr>
        <w:t>Blood brain barrier</w:t>
      </w:r>
      <w:r>
        <w:rPr>
          <w:rFonts w:ascii="Book Antiqua" w:hAnsi="Book Antiqua" w:hint="eastAsia"/>
          <w:sz w:val="24"/>
        </w:rPr>
        <w:t>.</w:t>
      </w:r>
    </w:p>
    <w:p w:rsidR="00C821A4" w:rsidRPr="006F7FEF" w:rsidRDefault="00C821A4" w:rsidP="00C821A4">
      <w:pPr>
        <w:spacing w:line="360" w:lineRule="auto"/>
        <w:rPr>
          <w:rFonts w:ascii="Book Antiqua" w:hAnsi="Book Antiqua"/>
          <w:sz w:val="24"/>
        </w:rPr>
      </w:pPr>
    </w:p>
    <w:p w:rsidR="00C821A4" w:rsidRPr="00437E1D" w:rsidRDefault="00C821A4" w:rsidP="00C821A4">
      <w:pPr>
        <w:spacing w:line="360" w:lineRule="auto"/>
        <w:rPr>
          <w:rFonts w:ascii="Book Antiqua" w:hAnsi="Book Antiqua"/>
          <w:sz w:val="24"/>
        </w:rPr>
      </w:pPr>
    </w:p>
    <w:p w:rsidR="00C821A4" w:rsidRPr="00437E1D" w:rsidRDefault="00C821A4" w:rsidP="00C821A4">
      <w:pPr>
        <w:spacing w:line="360" w:lineRule="auto"/>
        <w:rPr>
          <w:rFonts w:ascii="Book Antiqua" w:hAnsi="Book Antiqua"/>
          <w:sz w:val="24"/>
        </w:rPr>
      </w:pPr>
    </w:p>
    <w:p w:rsidR="00C821A4" w:rsidRPr="007417D2" w:rsidRDefault="00C821A4" w:rsidP="00C821A4">
      <w:pPr>
        <w:spacing w:line="360" w:lineRule="auto"/>
        <w:rPr>
          <w:rFonts w:ascii="Book Antiqua" w:hAnsi="Book Antiqua"/>
          <w:b/>
          <w:bCs/>
          <w:sz w:val="24"/>
        </w:rPr>
      </w:pPr>
      <w:r w:rsidRPr="007417D2">
        <w:rPr>
          <w:rFonts w:ascii="Book Antiqua" w:hAnsi="Book Antiqua"/>
          <w:b/>
          <w:bCs/>
          <w:noProof/>
          <w:sz w:val="24"/>
          <w:lang w:eastAsia="en-US"/>
        </w:rPr>
        <w:lastRenderedPageBreak/>
        <w:drawing>
          <wp:inline distT="0" distB="0" distL="0" distR="0" wp14:anchorId="22B3FABD" wp14:editId="6DA6EAF1">
            <wp:extent cx="5943600" cy="4505325"/>
            <wp:effectExtent l="19050" t="0" r="0" b="0"/>
            <wp:docPr id="8" name="Objec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5"/>
                    <pic:cNvPicPr>
                      <a:picLocks noChangeArrowheads="1"/>
                    </pic:cNvPicPr>
                  </pic:nvPicPr>
                  <pic:blipFill>
                    <a:blip r:embed="rId11" cstate="print"/>
                    <a:srcRect l="-107" b="-453"/>
                    <a:stretch>
                      <a:fillRect/>
                    </a:stretch>
                  </pic:blipFill>
                  <pic:spPr bwMode="auto">
                    <a:xfrm>
                      <a:off x="0" y="0"/>
                      <a:ext cx="5943600" cy="4505325"/>
                    </a:xfrm>
                    <a:prstGeom prst="rect">
                      <a:avLst/>
                    </a:prstGeom>
                    <a:noFill/>
                    <a:ln w="9525">
                      <a:noFill/>
                      <a:miter lim="800000"/>
                      <a:headEnd/>
                      <a:tailEnd/>
                    </a:ln>
                  </pic:spPr>
                </pic:pic>
              </a:graphicData>
            </a:graphic>
          </wp:inline>
        </w:drawing>
      </w:r>
    </w:p>
    <w:p w:rsidR="00C821A4" w:rsidRPr="007417D2" w:rsidRDefault="00C821A4" w:rsidP="00C821A4">
      <w:pPr>
        <w:spacing w:line="360" w:lineRule="auto"/>
        <w:rPr>
          <w:rFonts w:ascii="Book Antiqua" w:hAnsi="Book Antiqua"/>
          <w:b/>
          <w:bCs/>
          <w:sz w:val="24"/>
        </w:rPr>
      </w:pPr>
    </w:p>
    <w:p w:rsidR="00C821A4" w:rsidRPr="009F58C2" w:rsidRDefault="00C821A4" w:rsidP="00C821A4">
      <w:pPr>
        <w:spacing w:line="360" w:lineRule="auto"/>
        <w:rPr>
          <w:rFonts w:ascii="Book Antiqua" w:hAnsi="Book Antiqua"/>
          <w:bCs/>
          <w:sz w:val="24"/>
        </w:rPr>
      </w:pPr>
      <w:r w:rsidRPr="007417D2">
        <w:rPr>
          <w:rFonts w:ascii="Book Antiqua" w:hAnsi="Book Antiqua"/>
          <w:b/>
          <w:bCs/>
          <w:sz w:val="24"/>
        </w:rPr>
        <w:t xml:space="preserve">Figure 3 Diagrammatic representation of molecular orchestra downstream of insulin receptor. </w:t>
      </w:r>
      <w:r w:rsidRPr="007417D2">
        <w:rPr>
          <w:rFonts w:ascii="Book Antiqua" w:hAnsi="Book Antiqua"/>
          <w:bCs/>
          <w:sz w:val="24"/>
        </w:rPr>
        <w:t>IRs activation leads to downstream PI3K signaling pathway with Akt as a central hub which diverges into three main branches including FOXO, GSK3β and mTOR. Akt inhibition leads to activated FOXO and GSK3β response while inactivated mTOR response. FOXO activation leads to cellular stress response, mTOR dysfunction leads to loss of translational control and altered cognition while GSK3 β activation leads to Aβ and tau production.</w:t>
      </w:r>
      <w:r>
        <w:rPr>
          <w:rFonts w:ascii="Book Antiqua" w:hAnsi="Book Antiqua" w:hint="eastAsia"/>
          <w:bCs/>
          <w:sz w:val="24"/>
        </w:rPr>
        <w:t xml:space="preserve"> </w:t>
      </w:r>
      <w:r w:rsidRPr="00AE1001">
        <w:rPr>
          <w:rFonts w:ascii="Book Antiqua" w:hAnsi="Book Antiqua"/>
          <w:sz w:val="24"/>
        </w:rPr>
        <w:t>T2D</w:t>
      </w:r>
      <w:r w:rsidRPr="00AE1001">
        <w:rPr>
          <w:rFonts w:ascii="Book Antiqua" w:hAnsi="Book Antiqua" w:hint="eastAsia"/>
          <w:sz w:val="24"/>
        </w:rPr>
        <w:t>:</w:t>
      </w:r>
      <w:r w:rsidRPr="00AE1001">
        <w:rPr>
          <w:rFonts w:ascii="Book Antiqua" w:hAnsi="Book Antiqua"/>
          <w:sz w:val="24"/>
        </w:rPr>
        <w:t xml:space="preserve"> Type 2 diabetes</w:t>
      </w:r>
      <w:r w:rsidRPr="00AE1001">
        <w:rPr>
          <w:rFonts w:ascii="Book Antiqua" w:hAnsi="Book Antiqua" w:hint="eastAsia"/>
          <w:sz w:val="24"/>
        </w:rPr>
        <w:t>;</w:t>
      </w:r>
      <w:r w:rsidRPr="00AE1001">
        <w:rPr>
          <w:rFonts w:ascii="Book Antiqua" w:hAnsi="Book Antiqua"/>
          <w:sz w:val="24"/>
        </w:rPr>
        <w:t xml:space="preserve"> PI3K</w:t>
      </w:r>
      <w:r w:rsidRPr="00AE1001">
        <w:rPr>
          <w:rFonts w:ascii="Book Antiqua" w:hAnsi="Book Antiqua" w:hint="eastAsia"/>
          <w:sz w:val="24"/>
        </w:rPr>
        <w:t>:</w:t>
      </w:r>
      <w:r w:rsidRPr="00AE1001">
        <w:rPr>
          <w:rFonts w:ascii="Book Antiqua" w:hAnsi="Book Antiqua"/>
          <w:sz w:val="24"/>
        </w:rPr>
        <w:t xml:space="preserve"> Phosphatidylinositide 3-kinases</w:t>
      </w:r>
      <w:r>
        <w:rPr>
          <w:rFonts w:ascii="Book Antiqua" w:hAnsi="Book Antiqua" w:hint="eastAsia"/>
          <w:sz w:val="24"/>
        </w:rPr>
        <w:t>;</w:t>
      </w:r>
      <w:r w:rsidRPr="00437E1D">
        <w:rPr>
          <w:rFonts w:ascii="Book Antiqua" w:hAnsi="Book Antiqua"/>
          <w:sz w:val="24"/>
        </w:rPr>
        <w:t xml:space="preserve"> </w:t>
      </w:r>
      <w:r w:rsidRPr="00AE1001">
        <w:rPr>
          <w:rFonts w:ascii="Book Antiqua" w:hAnsi="Book Antiqua"/>
          <w:sz w:val="24"/>
        </w:rPr>
        <w:t>Aβ</w:t>
      </w:r>
      <w:r w:rsidRPr="00AE1001">
        <w:rPr>
          <w:rFonts w:ascii="Book Antiqua" w:hAnsi="Book Antiqua" w:hint="eastAsia"/>
          <w:sz w:val="24"/>
        </w:rPr>
        <w:t xml:space="preserve">: </w:t>
      </w:r>
      <w:r w:rsidRPr="00AE1001">
        <w:rPr>
          <w:rFonts w:ascii="Book Antiqua" w:hAnsi="Book Antiqua"/>
          <w:sz w:val="24"/>
        </w:rPr>
        <w:t>Amyloid beta</w:t>
      </w:r>
      <w:r w:rsidRPr="00AE1001">
        <w:rPr>
          <w:rFonts w:ascii="Book Antiqua" w:hAnsi="Book Antiqua" w:hint="eastAsia"/>
          <w:sz w:val="24"/>
        </w:rPr>
        <w:t>;</w:t>
      </w:r>
      <w:r w:rsidRPr="009F58C2">
        <w:rPr>
          <w:rFonts w:ascii="Book Antiqua" w:hAnsi="Book Antiqua"/>
          <w:sz w:val="24"/>
        </w:rPr>
        <w:t xml:space="preserve"> </w:t>
      </w:r>
      <w:r w:rsidRPr="0007325F">
        <w:rPr>
          <w:rFonts w:ascii="Book Antiqua" w:hAnsi="Book Antiqua"/>
          <w:sz w:val="24"/>
        </w:rPr>
        <w:t>GSK3β</w:t>
      </w:r>
      <w:r>
        <w:rPr>
          <w:rFonts w:ascii="Book Antiqua" w:hAnsi="Book Antiqua" w:hint="eastAsia"/>
          <w:sz w:val="24"/>
        </w:rPr>
        <w:t xml:space="preserve">: </w:t>
      </w:r>
      <w:r w:rsidRPr="0007325F">
        <w:rPr>
          <w:rFonts w:ascii="Book Antiqua" w:hAnsi="Book Antiqua"/>
          <w:sz w:val="24"/>
        </w:rPr>
        <w:t>Glycogen synthase kinase 3 beta</w:t>
      </w:r>
      <w:r>
        <w:rPr>
          <w:rFonts w:ascii="Book Antiqua" w:hAnsi="Book Antiqua" w:hint="eastAsia"/>
          <w:sz w:val="24"/>
        </w:rPr>
        <w:t>;</w:t>
      </w:r>
      <w:r w:rsidRPr="009F58C2">
        <w:rPr>
          <w:rFonts w:ascii="Book Antiqua" w:hAnsi="Book Antiqua"/>
          <w:sz w:val="24"/>
        </w:rPr>
        <w:t xml:space="preserve"> </w:t>
      </w:r>
      <w:r w:rsidRPr="0007325F">
        <w:rPr>
          <w:rFonts w:ascii="Book Antiqua" w:hAnsi="Book Antiqua"/>
          <w:sz w:val="24"/>
        </w:rPr>
        <w:t>FOXO</w:t>
      </w:r>
      <w:r>
        <w:rPr>
          <w:rFonts w:ascii="Book Antiqua" w:hAnsi="Book Antiqua" w:hint="eastAsia"/>
          <w:sz w:val="24"/>
        </w:rPr>
        <w:t xml:space="preserve">: </w:t>
      </w:r>
      <w:r w:rsidRPr="0007325F">
        <w:rPr>
          <w:rFonts w:ascii="Book Antiqua" w:hAnsi="Book Antiqua"/>
          <w:sz w:val="24"/>
        </w:rPr>
        <w:t>Forkhead box O</w:t>
      </w:r>
      <w:r>
        <w:rPr>
          <w:rFonts w:ascii="Book Antiqua" w:hAnsi="Book Antiqua" w:hint="eastAsia"/>
          <w:sz w:val="24"/>
        </w:rPr>
        <w:t xml:space="preserve">; </w:t>
      </w:r>
      <w:r w:rsidRPr="007417D2">
        <w:rPr>
          <w:rFonts w:ascii="Book Antiqua" w:hAnsi="Book Antiqua"/>
          <w:bCs/>
          <w:sz w:val="24"/>
        </w:rPr>
        <w:t>mTOR</w:t>
      </w:r>
      <w:r>
        <w:rPr>
          <w:rFonts w:ascii="Book Antiqua" w:hAnsi="Book Antiqua" w:hint="eastAsia"/>
          <w:bCs/>
          <w:sz w:val="24"/>
        </w:rPr>
        <w:t xml:space="preserve">: </w:t>
      </w:r>
      <w:r w:rsidRPr="0007325F">
        <w:rPr>
          <w:rFonts w:ascii="Book Antiqua" w:hAnsi="Book Antiqua"/>
          <w:sz w:val="24"/>
        </w:rPr>
        <w:t>Mammalian target of rapamycin</w:t>
      </w:r>
      <w:r>
        <w:rPr>
          <w:rFonts w:ascii="Book Antiqua" w:hAnsi="Book Antiqua" w:hint="eastAsia"/>
          <w:sz w:val="24"/>
        </w:rPr>
        <w:t>;</w:t>
      </w:r>
      <w:r>
        <w:rPr>
          <w:rFonts w:ascii="Book Antiqua" w:hAnsi="Book Antiqua"/>
          <w:sz w:val="24"/>
        </w:rPr>
        <w:t xml:space="preserve"> LTD</w:t>
      </w:r>
      <w:r>
        <w:rPr>
          <w:rFonts w:ascii="Book Antiqua" w:hAnsi="Book Antiqua" w:hint="eastAsia"/>
          <w:sz w:val="24"/>
        </w:rPr>
        <w:t xml:space="preserve">: </w:t>
      </w:r>
      <w:r w:rsidRPr="0007325F">
        <w:rPr>
          <w:rFonts w:ascii="Book Antiqua" w:hAnsi="Book Antiqua"/>
          <w:sz w:val="24"/>
        </w:rPr>
        <w:t>Long term depression</w:t>
      </w:r>
      <w:r>
        <w:rPr>
          <w:rFonts w:ascii="Book Antiqua" w:hAnsi="Book Antiqua" w:hint="eastAsia"/>
          <w:sz w:val="24"/>
        </w:rPr>
        <w:t>.</w:t>
      </w:r>
    </w:p>
    <w:p w:rsidR="00C821A4" w:rsidRPr="009F58C2" w:rsidRDefault="00C821A4" w:rsidP="00C821A4">
      <w:pPr>
        <w:spacing w:line="360" w:lineRule="auto"/>
        <w:rPr>
          <w:rFonts w:ascii="Book Antiqua" w:hAnsi="Book Antiqua"/>
          <w:sz w:val="24"/>
        </w:rPr>
      </w:pPr>
    </w:p>
    <w:p w:rsidR="00C821A4" w:rsidRPr="007417D2" w:rsidRDefault="00C821A4" w:rsidP="00C821A4">
      <w:pPr>
        <w:spacing w:line="360" w:lineRule="auto"/>
        <w:rPr>
          <w:rFonts w:ascii="Book Antiqua" w:hAnsi="Book Antiqua"/>
          <w:sz w:val="24"/>
        </w:rPr>
      </w:pPr>
      <w:r>
        <w:rPr>
          <w:rFonts w:ascii="Book Antiqua" w:hAnsi="Book Antiqua"/>
          <w:noProof/>
          <w:sz w:val="24"/>
          <w:lang w:eastAsia="en-US"/>
        </w:rPr>
        <w:lastRenderedPageBreak/>
        <mc:AlternateContent>
          <mc:Choice Requires="wpg">
            <w:drawing>
              <wp:inline distT="0" distB="0" distL="0" distR="0">
                <wp:extent cx="5947410" cy="4258945"/>
                <wp:effectExtent l="0" t="76200" r="3272790" b="2319655"/>
                <wp:docPr id="65"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9144000" cy="6553200"/>
                          <a:chOff x="0" y="304800"/>
                          <a:chExt cx="9144000" cy="6553200"/>
                        </a:xfrm>
                      </wpg:grpSpPr>
                      <wpg:grpSp>
                        <wpg:cNvPr id="10" name="Group 10"/>
                        <wpg:cNvGrpSpPr/>
                        <wpg:grpSpPr>
                          <a:xfrm>
                            <a:off x="0" y="304800"/>
                            <a:ext cx="9144000" cy="6553200"/>
                            <a:chOff x="0" y="304800"/>
                            <a:chExt cx="9144000" cy="6553200"/>
                          </a:xfrm>
                        </wpg:grpSpPr>
                        <wps:wsp>
                          <wps:cNvPr id="14" name="Rectangle 14"/>
                          <wps:cNvSpPr/>
                          <wps:spPr>
                            <a:xfrm>
                              <a:off x="0" y="304800"/>
                              <a:ext cx="1065356" cy="369332"/>
                            </a:xfrm>
                            <a:prstGeom prst="rect">
                              <a:avLst/>
                            </a:prstGeom>
                          </wps:spPr>
                          <wps:txbx>
                            <w:txbxContent>
                              <w:p w:rsidR="00591AF8" w:rsidRDefault="00591AF8" w:rsidP="00591AF8">
                                <w:pPr>
                                  <w:pStyle w:val="NormalWeb"/>
                                  <w:spacing w:before="0" w:beforeAutospacing="0" w:after="0" w:afterAutospacing="0"/>
                                </w:pPr>
                                <w:r>
                                  <w:rPr>
                                    <w:rFonts w:ascii="Times New Roman" w:hAnsi="Times New Roman"/>
                                    <w:b/>
                                    <w:bCs/>
                                    <w:color w:val="000000" w:themeColor="text1"/>
                                    <w:kern w:val="24"/>
                                    <w:sz w:val="36"/>
                                    <w:szCs w:val="36"/>
                                  </w:rPr>
                                  <w:t>Figure 4.</w:t>
                                </w:r>
                              </w:p>
                            </w:txbxContent>
                          </wps:txbx>
                          <wps:bodyPr wrap="none">
                            <a:spAutoFit/>
                          </wps:bodyPr>
                        </wps:wsp>
                        <wps:wsp>
                          <wps:cNvPr id="15" name="Flowchart: Process 5"/>
                          <wps:cNvSpPr/>
                          <wps:spPr>
                            <a:xfrm>
                              <a:off x="0" y="304800"/>
                              <a:ext cx="9144000" cy="6553200"/>
                            </a:xfrm>
                            <a:prstGeom prst="flowChartProcess">
                              <a:avLst/>
                            </a:prstGeom>
                            <a:gradFill flip="none" rotWithShape="1">
                              <a:gsLst>
                                <a:gs pos="0">
                                  <a:schemeClr val="accent6">
                                    <a:lumMod val="60000"/>
                                    <a:lumOff val="40000"/>
                                    <a:tint val="66000"/>
                                    <a:satMod val="160000"/>
                                  </a:schemeClr>
                                </a:gs>
                                <a:gs pos="50000">
                                  <a:schemeClr val="accent6">
                                    <a:lumMod val="60000"/>
                                    <a:lumOff val="40000"/>
                                    <a:tint val="44500"/>
                                    <a:satMod val="160000"/>
                                  </a:schemeClr>
                                </a:gs>
                                <a:gs pos="100000">
                                  <a:schemeClr val="accent6">
                                    <a:lumMod val="60000"/>
                                    <a:lumOff val="40000"/>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591AF8" w:rsidRDefault="00591AF8" w:rsidP="00591AF8">
                                <w:pPr>
                                  <w:rPr>
                                    <w:rFonts w:eastAsia="Times New Roman"/>
                                  </w:rPr>
                                </w:pPr>
                              </w:p>
                            </w:txbxContent>
                          </wps:txbx>
                          <wps:bodyPr rtlCol="0" anchor="ctr"/>
                        </wps:wsp>
                        <wpg:grpSp>
                          <wpg:cNvPr id="16" name="Group 16"/>
                          <wpg:cNvGrpSpPr/>
                          <wpg:grpSpPr>
                            <a:xfrm>
                              <a:off x="180474" y="914400"/>
                              <a:ext cx="8963526" cy="5791200"/>
                              <a:chOff x="180474" y="914400"/>
                              <a:chExt cx="8963526" cy="5791200"/>
                            </a:xfrm>
                          </wpg:grpSpPr>
                          <wpg:grpSp>
                            <wpg:cNvPr id="18" name="Group 18"/>
                            <wpg:cNvGrpSpPr/>
                            <wpg:grpSpPr>
                              <a:xfrm>
                                <a:off x="180474" y="1447801"/>
                                <a:ext cx="4924928" cy="5115924"/>
                                <a:chOff x="180474" y="1447801"/>
                                <a:chExt cx="4924928" cy="5115924"/>
                              </a:xfrm>
                            </wpg:grpSpPr>
                            <wpg:grpSp>
                              <wpg:cNvPr id="48" name="Group 48"/>
                              <wpg:cNvGrpSpPr/>
                              <wpg:grpSpPr>
                                <a:xfrm>
                                  <a:off x="180474" y="1447801"/>
                                  <a:ext cx="4924928" cy="5115924"/>
                                  <a:chOff x="180474" y="1447800"/>
                                  <a:chExt cx="5504328" cy="5593404"/>
                                </a:xfrm>
                              </wpg:grpSpPr>
                              <wps:wsp>
                                <wps:cNvPr id="50" name="Down Arrow 50"/>
                                <wps:cNvSpPr/>
                                <wps:spPr>
                                  <a:xfrm rot="10800000">
                                    <a:off x="4541803" y="4482590"/>
                                    <a:ext cx="152400" cy="381000"/>
                                  </a:xfrm>
                                  <a:prstGeom prst="downArrow">
                                    <a:avLst/>
                                  </a:prstGeom>
                                  <a:solidFill>
                                    <a:schemeClr val="accent6">
                                      <a:lumMod val="7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1AF8" w:rsidRDefault="00591AF8" w:rsidP="00591AF8">
                                      <w:pPr>
                                        <w:rPr>
                                          <w:rFonts w:eastAsia="Times New Roman"/>
                                        </w:rPr>
                                      </w:pPr>
                                    </w:p>
                                  </w:txbxContent>
                                </wps:txbx>
                                <wps:bodyPr rtlCol="0" anchor="ctr"/>
                              </wps:wsp>
                              <wpg:grpSp>
                                <wpg:cNvPr id="51" name="Group 51"/>
                                <wpg:cNvGrpSpPr/>
                                <wpg:grpSpPr>
                                  <a:xfrm>
                                    <a:off x="180474" y="1447800"/>
                                    <a:ext cx="5504328" cy="5593404"/>
                                    <a:chOff x="180474" y="1447800"/>
                                    <a:chExt cx="5504328" cy="5593404"/>
                                  </a:xfrm>
                                </wpg:grpSpPr>
                                <wps:wsp>
                                  <wps:cNvPr id="52" name="Text Box 52"/>
                                  <wps:cNvSpPr txBox="1"/>
                                  <wps:spPr>
                                    <a:xfrm>
                                      <a:off x="180474" y="1447800"/>
                                      <a:ext cx="609600" cy="307777"/>
                                    </a:xfrm>
                                    <a:prstGeom prst="rect">
                                      <a:avLst/>
                                    </a:prstGeom>
                                    <a:solidFill>
                                      <a:schemeClr val="accent6">
                                        <a:lumMod val="60000"/>
                                        <a:lumOff val="40000"/>
                                      </a:schemeClr>
                                    </a:solidFill>
                                    <a:ln>
                                      <a:solidFill>
                                        <a:schemeClr val="accent6">
                                          <a:lumMod val="75000"/>
                                        </a:schemeClr>
                                      </a:solidFill>
                                    </a:ln>
                                    <a:scene3d>
                                      <a:camera prst="orthographicFront"/>
                                      <a:lightRig rig="threePt" dir="t"/>
                                    </a:scene3d>
                                    <a:sp3d>
                                      <a:bevelT/>
                                    </a:sp3d>
                                  </wps:spPr>
                                  <wps:txbx>
                                    <w:txbxContent>
                                      <w:p w:rsidR="00591AF8" w:rsidRDefault="00591AF8" w:rsidP="00591AF8">
                                        <w:pPr>
                                          <w:pStyle w:val="NormalWeb"/>
                                          <w:spacing w:before="0" w:beforeAutospacing="0" w:after="0" w:afterAutospacing="0"/>
                                        </w:pPr>
                                        <w:r>
                                          <w:rPr>
                                            <w:rFonts w:ascii="Times New Roman" w:hAnsi="Times New Roman"/>
                                            <w:color w:val="000000" w:themeColor="text1"/>
                                            <w:kern w:val="24"/>
                                            <w:sz w:val="28"/>
                                            <w:szCs w:val="28"/>
                                          </w:rPr>
                                          <w:t>T2D</w:t>
                                        </w:r>
                                      </w:p>
                                    </w:txbxContent>
                                  </wps:txbx>
                                  <wps:bodyPr wrap="square" rtlCol="0">
                                    <a:spAutoFit/>
                                  </wps:bodyPr>
                                </wps:wsp>
                                <wps:wsp>
                                  <wps:cNvPr id="53" name="Text Box 53"/>
                                  <wps:cNvSpPr txBox="1"/>
                                  <wps:spPr>
                                    <a:xfrm>
                                      <a:off x="1032121" y="2780792"/>
                                      <a:ext cx="2043953" cy="706655"/>
                                    </a:xfrm>
                                    <a:prstGeom prst="rect">
                                      <a:avLst/>
                                    </a:prstGeom>
                                    <a:solidFill>
                                      <a:schemeClr val="accent6">
                                        <a:lumMod val="60000"/>
                                        <a:lumOff val="40000"/>
                                      </a:schemeClr>
                                    </a:solidFill>
                                    <a:ln>
                                      <a:solidFill>
                                        <a:schemeClr val="accent6">
                                          <a:lumMod val="75000"/>
                                        </a:schemeClr>
                                      </a:solidFill>
                                    </a:ln>
                                    <a:scene3d>
                                      <a:camera prst="orthographicFront"/>
                                      <a:lightRig rig="threePt" dir="t"/>
                                    </a:scene3d>
                                    <a:sp3d>
                                      <a:bevelT/>
                                    </a:sp3d>
                                  </wps:spPr>
                                  <wps:txbx>
                                    <w:txbxContent>
                                      <w:p w:rsidR="00591AF8" w:rsidRDefault="00591AF8" w:rsidP="00591AF8">
                                        <w:pPr>
                                          <w:pStyle w:val="NormalWeb"/>
                                          <w:spacing w:before="0" w:beforeAutospacing="0" w:after="0" w:afterAutospacing="0"/>
                                        </w:pPr>
                                        <w:r>
                                          <w:rPr>
                                            <w:rFonts w:ascii="Times New Roman" w:hAnsi="Times New Roman"/>
                                            <w:color w:val="000000" w:themeColor="text1"/>
                                            <w:kern w:val="24"/>
                                            <w:sz w:val="36"/>
                                            <w:szCs w:val="36"/>
                                          </w:rPr>
                                          <w:t>Hyperinsulinemia</w:t>
                                        </w:r>
                                      </w:p>
                                      <w:p w:rsidR="00591AF8" w:rsidRDefault="00591AF8" w:rsidP="00591AF8">
                                        <w:pPr>
                                          <w:pStyle w:val="NormalWeb"/>
                                          <w:spacing w:before="0" w:beforeAutospacing="0" w:after="0" w:afterAutospacing="0"/>
                                        </w:pPr>
                                        <w:r>
                                          <w:rPr>
                                            <w:rFonts w:ascii="Times New Roman" w:hAnsi="Times New Roman"/>
                                            <w:color w:val="000000" w:themeColor="text1"/>
                                            <w:kern w:val="24"/>
                                            <w:sz w:val="36"/>
                                            <w:szCs w:val="36"/>
                                          </w:rPr>
                                          <w:t>Hyperglycemia</w:t>
                                        </w:r>
                                      </w:p>
                                    </w:txbxContent>
                                  </wps:txbx>
                                  <wps:bodyPr wrap="square" rtlCol="0">
                                    <a:spAutoFit/>
                                  </wps:bodyPr>
                                </wps:wsp>
                                <wps:wsp>
                                  <wps:cNvPr id="54" name="Text Box 54"/>
                                  <wps:cNvSpPr txBox="1"/>
                                  <wps:spPr>
                                    <a:xfrm>
                                      <a:off x="3533274" y="1459468"/>
                                      <a:ext cx="1371600" cy="307777"/>
                                    </a:xfrm>
                                    <a:prstGeom prst="rect">
                                      <a:avLst/>
                                    </a:prstGeom>
                                    <a:solidFill>
                                      <a:schemeClr val="accent6">
                                        <a:lumMod val="60000"/>
                                        <a:lumOff val="40000"/>
                                      </a:schemeClr>
                                    </a:solidFill>
                                    <a:ln>
                                      <a:solidFill>
                                        <a:schemeClr val="accent6">
                                          <a:lumMod val="75000"/>
                                        </a:schemeClr>
                                      </a:solidFill>
                                    </a:ln>
                                    <a:scene3d>
                                      <a:camera prst="orthographicFront"/>
                                      <a:lightRig rig="threePt" dir="t"/>
                                    </a:scene3d>
                                    <a:sp3d>
                                      <a:bevelT/>
                                    </a:sp3d>
                                  </wps:spPr>
                                  <wps:txbx>
                                    <w:txbxContent>
                                      <w:p w:rsidR="00591AF8" w:rsidRDefault="00591AF8" w:rsidP="00591AF8">
                                        <w:pPr>
                                          <w:pStyle w:val="NormalWeb"/>
                                          <w:spacing w:before="0" w:beforeAutospacing="0" w:after="0" w:afterAutospacing="0"/>
                                        </w:pPr>
                                        <w:r>
                                          <w:rPr>
                                            <w:rFonts w:ascii="Times New Roman" w:hAnsi="Times New Roman"/>
                                            <w:color w:val="000000" w:themeColor="text1"/>
                                            <w:kern w:val="24"/>
                                            <w:sz w:val="28"/>
                                            <w:szCs w:val="28"/>
                                          </w:rPr>
                                          <w:t>Alzheimer’s</w:t>
                                        </w:r>
                                      </w:p>
                                    </w:txbxContent>
                                  </wps:txbx>
                                  <wps:bodyPr wrap="square" rtlCol="0">
                                    <a:spAutoFit/>
                                  </wps:bodyPr>
                                </wps:wsp>
                                <wps:wsp>
                                  <wps:cNvPr id="55" name="Text Box 55"/>
                                  <wps:cNvSpPr txBox="1"/>
                                  <wps:spPr>
                                    <a:xfrm>
                                      <a:off x="1220380" y="3821668"/>
                                      <a:ext cx="1600200" cy="307777"/>
                                    </a:xfrm>
                                    <a:prstGeom prst="rect">
                                      <a:avLst/>
                                    </a:prstGeom>
                                    <a:solidFill>
                                      <a:schemeClr val="accent6">
                                        <a:lumMod val="60000"/>
                                        <a:lumOff val="40000"/>
                                      </a:schemeClr>
                                    </a:solidFill>
                                    <a:ln>
                                      <a:solidFill>
                                        <a:schemeClr val="accent6">
                                          <a:lumMod val="75000"/>
                                        </a:schemeClr>
                                      </a:solidFill>
                                    </a:ln>
                                    <a:scene3d>
                                      <a:camera prst="orthographicFront"/>
                                      <a:lightRig rig="threePt" dir="t"/>
                                    </a:scene3d>
                                    <a:sp3d>
                                      <a:bevelT/>
                                    </a:sp3d>
                                  </wps:spPr>
                                  <wps:txbx>
                                    <w:txbxContent>
                                      <w:p w:rsidR="00591AF8" w:rsidRDefault="00591AF8" w:rsidP="00591AF8">
                                        <w:pPr>
                                          <w:pStyle w:val="NormalWeb"/>
                                          <w:spacing w:before="0" w:beforeAutospacing="0" w:after="0" w:afterAutospacing="0"/>
                                        </w:pPr>
                                        <w:r>
                                          <w:rPr>
                                            <w:rFonts w:ascii="Times New Roman" w:hAnsi="Times New Roman"/>
                                            <w:color w:val="000000" w:themeColor="text1"/>
                                            <w:kern w:val="24"/>
                                            <w:sz w:val="28"/>
                                            <w:szCs w:val="28"/>
                                          </w:rPr>
                                          <w:t>Free fatty acids</w:t>
                                        </w:r>
                                      </w:p>
                                    </w:txbxContent>
                                  </wps:txbx>
                                  <wps:bodyPr wrap="square" rtlCol="0">
                                    <a:spAutoFit/>
                                  </wps:bodyPr>
                                </wps:wsp>
                                <wps:wsp>
                                  <wps:cNvPr id="56" name="Plus 56"/>
                                  <wps:cNvSpPr/>
                                  <wps:spPr>
                                    <a:xfrm>
                                      <a:off x="1825497" y="3530600"/>
                                      <a:ext cx="228600" cy="228600"/>
                                    </a:xfrm>
                                    <a:prstGeom prst="mathPlus">
                                      <a:avLst/>
                                    </a:prstGeom>
                                    <a:solidFill>
                                      <a:schemeClr val="accent6">
                                        <a:lumMod val="5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1AF8" w:rsidRDefault="00591AF8" w:rsidP="00591AF8">
                                        <w:pPr>
                                          <w:rPr>
                                            <w:rFonts w:eastAsia="Times New Roman"/>
                                          </w:rPr>
                                        </w:pPr>
                                      </w:p>
                                    </w:txbxContent>
                                  </wps:txbx>
                                  <wps:bodyPr rtlCol="0" anchor="ctr"/>
                                </wps:wsp>
                                <wps:wsp>
                                  <wps:cNvPr id="57" name="Text Box 57"/>
                                  <wps:cNvSpPr txBox="1"/>
                                  <wps:spPr>
                                    <a:xfrm>
                                      <a:off x="1032121" y="4648200"/>
                                      <a:ext cx="1981200" cy="307777"/>
                                    </a:xfrm>
                                    <a:prstGeom prst="rect">
                                      <a:avLst/>
                                    </a:prstGeom>
                                    <a:solidFill>
                                      <a:schemeClr val="accent6">
                                        <a:lumMod val="60000"/>
                                        <a:lumOff val="40000"/>
                                      </a:schemeClr>
                                    </a:solidFill>
                                    <a:ln w="25400">
                                      <a:solidFill>
                                        <a:schemeClr val="accent6">
                                          <a:lumMod val="50000"/>
                                        </a:schemeClr>
                                      </a:solidFill>
                                    </a:ln>
                                    <a:scene3d>
                                      <a:camera prst="orthographicFront"/>
                                      <a:lightRig rig="threePt" dir="t"/>
                                    </a:scene3d>
                                    <a:sp3d>
                                      <a:bevelT/>
                                    </a:sp3d>
                                  </wps:spPr>
                                  <wps:txbx>
                                    <w:txbxContent>
                                      <w:p w:rsidR="00591AF8" w:rsidRDefault="00591AF8" w:rsidP="00591AF8">
                                        <w:pPr>
                                          <w:pStyle w:val="NormalWeb"/>
                                          <w:spacing w:before="0" w:beforeAutospacing="0" w:after="0" w:afterAutospacing="0"/>
                                        </w:pPr>
                                        <w:r>
                                          <w:rPr>
                                            <w:rFonts w:ascii="Times New Roman" w:hAnsi="Times New Roman"/>
                                            <w:b/>
                                            <w:bCs/>
                                            <w:color w:val="000000" w:themeColor="text1"/>
                                            <w:kern w:val="24"/>
                                            <w:sz w:val="28"/>
                                            <w:szCs w:val="28"/>
                                          </w:rPr>
                                          <w:t>Insulin Resistance</w:t>
                                        </w:r>
                                      </w:p>
                                    </w:txbxContent>
                                  </wps:txbx>
                                  <wps:bodyPr wrap="square" rtlCol="0">
                                    <a:spAutoFit/>
                                  </wps:bodyPr>
                                </wps:wsp>
                                <wps:wsp>
                                  <wps:cNvPr id="58" name="Up-Down Arrow 58"/>
                                  <wps:cNvSpPr/>
                                  <wps:spPr>
                                    <a:xfrm>
                                      <a:off x="1883768" y="5113528"/>
                                      <a:ext cx="228600" cy="457200"/>
                                    </a:xfrm>
                                    <a:prstGeom prst="upDownArrow">
                                      <a:avLst/>
                                    </a:prstGeom>
                                    <a:solidFill>
                                      <a:schemeClr val="accent6">
                                        <a:lumMod val="7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1AF8" w:rsidRDefault="00591AF8" w:rsidP="00591AF8">
                                        <w:pPr>
                                          <w:rPr>
                                            <w:rFonts w:eastAsia="Times New Roman"/>
                                          </w:rPr>
                                        </w:pPr>
                                      </w:p>
                                    </w:txbxContent>
                                  </wps:txbx>
                                  <wps:bodyPr rtlCol="0" anchor="ctr"/>
                                </wps:wsp>
                                <wps:wsp>
                                  <wps:cNvPr id="59" name="Explosion 1 59"/>
                                  <wps:cNvSpPr/>
                                  <wps:spPr>
                                    <a:xfrm>
                                      <a:off x="1475874" y="5562600"/>
                                      <a:ext cx="1371600" cy="685800"/>
                                    </a:xfrm>
                                    <a:prstGeom prst="irregularSeal1">
                                      <a:avLst/>
                                    </a:prstGeom>
                                    <a:solidFill>
                                      <a:schemeClr val="accent6">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1AF8" w:rsidRDefault="00591AF8" w:rsidP="00591AF8">
                                        <w:pPr>
                                          <w:pStyle w:val="NormalWeb"/>
                                          <w:spacing w:before="0" w:beforeAutospacing="0" w:after="0" w:afterAutospacing="0"/>
                                          <w:jc w:val="center"/>
                                        </w:pPr>
                                        <w:r>
                                          <w:rPr>
                                            <w:rFonts w:ascii="Times New Roman" w:hAnsi="Times New Roman"/>
                                            <w:b/>
                                            <w:bCs/>
                                            <w:color w:val="000000" w:themeColor="text1"/>
                                            <w:kern w:val="24"/>
                                            <w:sz w:val="28"/>
                                            <w:szCs w:val="28"/>
                                          </w:rPr>
                                          <w:t>ROS</w:t>
                                        </w:r>
                                      </w:p>
                                    </w:txbxContent>
                                  </wps:txbx>
                                  <wps:bodyPr rtlCol="0" anchor="ctr"/>
                                </wps:wsp>
                                <wps:wsp>
                                  <wps:cNvPr id="60" name="Down Arrow 60"/>
                                  <wps:cNvSpPr/>
                                  <wps:spPr>
                                    <a:xfrm>
                                      <a:off x="1883768" y="6279896"/>
                                      <a:ext cx="228600" cy="380999"/>
                                    </a:xfrm>
                                    <a:prstGeom prst="downArrow">
                                      <a:avLst/>
                                    </a:prstGeom>
                                    <a:solidFill>
                                      <a:schemeClr val="accent6">
                                        <a:lumMod val="7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1AF8" w:rsidRDefault="00591AF8" w:rsidP="00591AF8">
                                        <w:pPr>
                                          <w:rPr>
                                            <w:rFonts w:eastAsia="Times New Roman"/>
                                          </w:rPr>
                                        </w:pPr>
                                      </w:p>
                                    </w:txbxContent>
                                  </wps:txbx>
                                  <wps:bodyPr rtlCol="0" anchor="ctr"/>
                                </wps:wsp>
                                <wps:wsp>
                                  <wps:cNvPr id="61" name="Curved Down Arrow 61"/>
                                  <wps:cNvSpPr/>
                                  <wps:spPr>
                                    <a:xfrm rot="16782884">
                                      <a:off x="304379" y="5974527"/>
                                      <a:ext cx="1356448" cy="776906"/>
                                    </a:xfrm>
                                    <a:prstGeom prst="curvedDownArrow">
                                      <a:avLst>
                                        <a:gd name="adj1" fmla="val 7889"/>
                                        <a:gd name="adj2" fmla="val 31224"/>
                                        <a:gd name="adj3" fmla="val 36682"/>
                                      </a:avLst>
                                    </a:prstGeom>
                                    <a:solidFill>
                                      <a:schemeClr val="accent6">
                                        <a:lumMod val="7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1AF8" w:rsidRDefault="00591AF8" w:rsidP="00591AF8">
                                        <w:pPr>
                                          <w:rPr>
                                            <w:rFonts w:eastAsia="Times New Roman"/>
                                          </w:rPr>
                                        </w:pPr>
                                      </w:p>
                                    </w:txbxContent>
                                  </wps:txbx>
                                  <wps:bodyPr rtlCol="0" anchor="ctr"/>
                                </wps:wsp>
                                <wps:wsp>
                                  <wps:cNvPr id="62" name="Straight Arrow Connector 62"/>
                                  <wps:cNvCnPr/>
                                  <wps:spPr>
                                    <a:xfrm>
                                      <a:off x="521133" y="1781048"/>
                                      <a:ext cx="609600" cy="914399"/>
                                    </a:xfrm>
                                    <a:prstGeom prst="straightConnector1">
                                      <a:avLst/>
                                    </a:prstGeom>
                                    <a:ln w="4445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63" name="Straight Arrow Connector 63"/>
                                  <wps:cNvCnPr/>
                                  <wps:spPr>
                                    <a:xfrm flipV="1">
                                      <a:off x="2999874" y="1781048"/>
                                      <a:ext cx="761999" cy="1066800"/>
                                    </a:xfrm>
                                    <a:prstGeom prst="straightConnector1">
                                      <a:avLst/>
                                    </a:prstGeom>
                                    <a:ln w="4445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64" name="Rectangle 64"/>
                                  <wps:cNvSpPr/>
                                  <wps:spPr>
                                    <a:xfrm>
                                      <a:off x="2735415" y="2194353"/>
                                      <a:ext cx="1770530" cy="336503"/>
                                    </a:xfrm>
                                    <a:prstGeom prst="rect">
                                      <a:avLst/>
                                    </a:prstGeom>
                                    <a:solidFill>
                                      <a:schemeClr val="accent6">
                                        <a:lumMod val="60000"/>
                                        <a:lumOff val="40000"/>
                                      </a:schemeClr>
                                    </a:solidFill>
                                    <a:ln>
                                      <a:solidFill>
                                        <a:schemeClr val="accent6">
                                          <a:lumMod val="75000"/>
                                        </a:schemeClr>
                                      </a:solidFill>
                                    </a:ln>
                                    <a:scene3d>
                                      <a:camera prst="orthographicFront"/>
                                      <a:lightRig rig="threePt" dir="t"/>
                                    </a:scene3d>
                                    <a:sp3d>
                                      <a:bevelT/>
                                    </a:sp3d>
                                  </wps:spPr>
                                  <wps:txbx>
                                    <w:txbxContent>
                                      <w:p w:rsidR="00591AF8" w:rsidRDefault="00591AF8" w:rsidP="00591AF8">
                                        <w:pPr>
                                          <w:pStyle w:val="NormalWeb"/>
                                          <w:spacing w:before="0" w:beforeAutospacing="0" w:after="0" w:afterAutospacing="0"/>
                                        </w:pPr>
                                        <w:r>
                                          <w:rPr>
                                            <w:rFonts w:ascii="Times New Roman" w:hAnsi="Times New Roman"/>
                                            <w:color w:val="000000" w:themeColor="text1"/>
                                            <w:kern w:val="24"/>
                                            <w:sz w:val="28"/>
                                            <w:szCs w:val="28"/>
                                          </w:rPr>
                                          <w:t>A</w:t>
                                        </w:r>
                                        <w:r>
                                          <w:rPr>
                                            <w:rFonts w:ascii="Times New Roman" w:hAnsi="Times New Roman"/>
                                            <w:color w:val="000000" w:themeColor="text1"/>
                                            <w:kern w:val="24"/>
                                            <w:sz w:val="28"/>
                                            <w:szCs w:val="28"/>
                                            <w:lang w:val="el-GR"/>
                                          </w:rPr>
                                          <w:t>β</w:t>
                                        </w:r>
                                        <w:r>
                                          <w:rPr>
                                            <w:rFonts w:ascii="Times New Roman" w:hAnsi="Times New Roman"/>
                                            <w:color w:val="000000" w:themeColor="text1"/>
                                            <w:kern w:val="24"/>
                                            <w:sz w:val="28"/>
                                            <w:szCs w:val="28"/>
                                          </w:rPr>
                                          <w:t xml:space="preserve"> Plaques, NFTs</w:t>
                                        </w:r>
                                      </w:p>
                                    </w:txbxContent>
                                  </wps:txbx>
                                  <wps:bodyPr wrap="square">
                                    <a:spAutoFit/>
                                  </wps:bodyPr>
                                </wps:wsp>
                                <wps:wsp>
                                  <wps:cNvPr id="66" name="Text Box 66"/>
                                  <wps:cNvSpPr txBox="1"/>
                                  <wps:spPr>
                                    <a:xfrm>
                                      <a:off x="4098050" y="4886979"/>
                                      <a:ext cx="1071283" cy="572054"/>
                                    </a:xfrm>
                                    <a:prstGeom prst="rect">
                                      <a:avLst/>
                                    </a:prstGeom>
                                    <a:solidFill>
                                      <a:schemeClr val="accent6">
                                        <a:lumMod val="60000"/>
                                        <a:lumOff val="40000"/>
                                      </a:schemeClr>
                                    </a:solidFill>
                                    <a:ln>
                                      <a:solidFill>
                                        <a:schemeClr val="accent6">
                                          <a:lumMod val="50000"/>
                                        </a:schemeClr>
                                      </a:solidFill>
                                    </a:ln>
                                    <a:scene3d>
                                      <a:camera prst="orthographicFront"/>
                                      <a:lightRig rig="threePt" dir="t"/>
                                    </a:scene3d>
                                    <a:sp3d>
                                      <a:bevelT/>
                                    </a:sp3d>
                                  </wps:spPr>
                                  <wps:txbx>
                                    <w:txbxContent>
                                      <w:p w:rsidR="00591AF8" w:rsidRDefault="00591AF8" w:rsidP="00591AF8">
                                        <w:pPr>
                                          <w:pStyle w:val="NormalWeb"/>
                                          <w:spacing w:before="0" w:beforeAutospacing="0" w:after="0" w:afterAutospacing="0"/>
                                        </w:pPr>
                                        <w:r>
                                          <w:rPr>
                                            <w:rFonts w:ascii="Times New Roman" w:hAnsi="Times New Roman"/>
                                            <w:color w:val="000000" w:themeColor="text1"/>
                                            <w:kern w:val="24"/>
                                            <w:sz w:val="28"/>
                                            <w:szCs w:val="28"/>
                                          </w:rPr>
                                          <w:t>FOXO Signaling</w:t>
                                        </w:r>
                                      </w:p>
                                    </w:txbxContent>
                                  </wps:txbx>
                                  <wps:bodyPr wrap="square" rtlCol="0">
                                    <a:spAutoFit/>
                                  </wps:bodyPr>
                                </wps:wsp>
                                <wps:wsp>
                                  <wps:cNvPr id="67" name="Bent-Up Arrow 67"/>
                                  <wps:cNvSpPr/>
                                  <wps:spPr>
                                    <a:xfrm>
                                      <a:off x="2999874" y="5496560"/>
                                      <a:ext cx="1828800" cy="533400"/>
                                    </a:xfrm>
                                    <a:prstGeom prst="bentUpArrow">
                                      <a:avLst>
                                        <a:gd name="adj1" fmla="val 14451"/>
                                        <a:gd name="adj2" fmla="val 35494"/>
                                        <a:gd name="adj3" fmla="val 40824"/>
                                      </a:avLst>
                                    </a:prstGeom>
                                    <a:solidFill>
                                      <a:schemeClr val="accent6">
                                        <a:lumMod val="75000"/>
                                      </a:schemeClr>
                                    </a:solidFill>
                                    <a:ln w="2222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1AF8" w:rsidRDefault="00591AF8" w:rsidP="00591AF8">
                                        <w:pPr>
                                          <w:rPr>
                                            <w:rFonts w:eastAsia="Times New Roman"/>
                                          </w:rPr>
                                        </w:pPr>
                                      </w:p>
                                    </w:txbxContent>
                                  </wps:txbx>
                                  <wps:bodyPr rtlCol="0" anchor="ctr"/>
                                </wps:wsp>
                                <wps:wsp>
                                  <wps:cNvPr id="68" name="Text Box 68"/>
                                  <wps:cNvSpPr txBox="1"/>
                                  <wps:spPr>
                                    <a:xfrm>
                                      <a:off x="3246403" y="4007124"/>
                                      <a:ext cx="2438399" cy="523220"/>
                                    </a:xfrm>
                                    <a:prstGeom prst="rect">
                                      <a:avLst/>
                                    </a:prstGeom>
                                    <a:solidFill>
                                      <a:schemeClr val="accent6">
                                        <a:lumMod val="60000"/>
                                        <a:lumOff val="40000"/>
                                      </a:schemeClr>
                                    </a:solidFill>
                                    <a:ln>
                                      <a:solidFill>
                                        <a:schemeClr val="accent6">
                                          <a:lumMod val="75000"/>
                                        </a:schemeClr>
                                      </a:solidFill>
                                    </a:ln>
                                    <a:scene3d>
                                      <a:camera prst="orthographicFront"/>
                                      <a:lightRig rig="threePt" dir="t"/>
                                    </a:scene3d>
                                    <a:sp3d>
                                      <a:bevelT/>
                                    </a:sp3d>
                                  </wps:spPr>
                                  <wps:txbx>
                                    <w:txbxContent>
                                      <w:p w:rsidR="00591AF8" w:rsidRDefault="00591AF8" w:rsidP="00591AF8">
                                        <w:pPr>
                                          <w:pStyle w:val="NormalWeb"/>
                                          <w:spacing w:before="0" w:beforeAutospacing="0" w:after="0" w:afterAutospacing="0"/>
                                        </w:pPr>
                                        <w:r>
                                          <w:rPr>
                                            <w:rFonts w:asciiTheme="minorHAnsi" w:hAnsi="Calibri" w:cstheme="minorBidi"/>
                                            <w:color w:val="000000" w:themeColor="text1"/>
                                            <w:kern w:val="24"/>
                                            <w:sz w:val="28"/>
                                            <w:szCs w:val="28"/>
                                          </w:rPr>
                                          <w:t>Gluconeogenesis Genes</w:t>
                                        </w:r>
                                      </w:p>
                                      <w:p w:rsidR="00591AF8" w:rsidRDefault="00591AF8" w:rsidP="00591AF8">
                                        <w:pPr>
                                          <w:pStyle w:val="NormalWeb"/>
                                          <w:spacing w:before="0" w:beforeAutospacing="0" w:after="0" w:afterAutospacing="0"/>
                                        </w:pPr>
                                        <w:r>
                                          <w:rPr>
                                            <w:rFonts w:asciiTheme="minorHAnsi" w:hAnsi="Calibri" w:cstheme="minorBidi"/>
                                            <w:color w:val="000000" w:themeColor="text1"/>
                                            <w:kern w:val="24"/>
                                            <w:sz w:val="28"/>
                                            <w:szCs w:val="28"/>
                                          </w:rPr>
                                          <w:t>Transcription ON</w:t>
                                        </w:r>
                                      </w:p>
                                    </w:txbxContent>
                                  </wps:txbx>
                                  <wps:bodyPr wrap="square" rtlCol="0">
                                    <a:spAutoFit/>
                                  </wps:bodyPr>
                                </wps:wsp>
                                <wps:wsp>
                                  <wps:cNvPr id="69" name="Bent-Up Arrow 69"/>
                                  <wps:cNvSpPr/>
                                  <wps:spPr>
                                    <a:xfrm rot="16200000">
                                      <a:off x="3384938" y="2739135"/>
                                      <a:ext cx="1058671" cy="1524000"/>
                                    </a:xfrm>
                                    <a:prstGeom prst="bentUpArrow">
                                      <a:avLst>
                                        <a:gd name="adj1" fmla="val 4734"/>
                                        <a:gd name="adj2" fmla="val 22032"/>
                                        <a:gd name="adj3" fmla="val 23131"/>
                                      </a:avLst>
                                    </a:prstGeom>
                                    <a:solidFill>
                                      <a:schemeClr val="accent6">
                                        <a:lumMod val="75000"/>
                                      </a:schemeClr>
                                    </a:solidFill>
                                    <a:ln w="2222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1AF8" w:rsidRDefault="00591AF8" w:rsidP="00591AF8">
                                        <w:pPr>
                                          <w:rPr>
                                            <w:rFonts w:eastAsia="Times New Roman"/>
                                          </w:rPr>
                                        </w:pPr>
                                      </w:p>
                                    </w:txbxContent>
                                  </wps:txbx>
                                  <wps:bodyPr rtlCol="0" anchor="ctr"/>
                                </wps:wsp>
                              </wpg:grpSp>
                            </wpg:grpSp>
                            <wps:wsp>
                              <wps:cNvPr id="49" name="Down Arrow 49"/>
                              <wps:cNvSpPr/>
                              <wps:spPr>
                                <a:xfrm>
                                  <a:off x="1704474" y="3962400"/>
                                  <a:ext cx="152400" cy="304800"/>
                                </a:xfrm>
                                <a:prstGeom prst="downArrow">
                                  <a:avLst/>
                                </a:prstGeom>
                                <a:solidFill>
                                  <a:schemeClr val="accent6">
                                    <a:lumMod val="7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1AF8" w:rsidRDefault="00591AF8" w:rsidP="00591AF8">
                                    <w:pPr>
                                      <w:rPr>
                                        <w:rFonts w:eastAsia="Times New Roman"/>
                                      </w:rPr>
                                    </w:pPr>
                                  </w:p>
                                </w:txbxContent>
                              </wps:txbx>
                              <wps:bodyPr rtlCol="0" anchor="ctr"/>
                            </wps:wsp>
                          </wpg:grpSp>
                          <wpg:grpSp>
                            <wpg:cNvPr id="19" name="Group 19"/>
                            <wpg:cNvGrpSpPr/>
                            <wpg:grpSpPr>
                              <a:xfrm>
                                <a:off x="5257800" y="914400"/>
                                <a:ext cx="1371600" cy="1219200"/>
                                <a:chOff x="5257800" y="914400"/>
                                <a:chExt cx="1371600" cy="1219200"/>
                              </a:xfrm>
                            </wpg:grpSpPr>
                            <wps:wsp>
                              <wps:cNvPr id="44" name="Text Box 44"/>
                              <wps:cNvSpPr txBox="1"/>
                              <wps:spPr>
                                <a:xfrm>
                                  <a:off x="5257800" y="914400"/>
                                  <a:ext cx="1371600" cy="304800"/>
                                </a:xfrm>
                                <a:prstGeom prst="rect">
                                  <a:avLst/>
                                </a:prstGeom>
                                <a:solidFill>
                                  <a:schemeClr val="accent6">
                                    <a:lumMod val="60000"/>
                                    <a:lumOff val="40000"/>
                                  </a:schemeClr>
                                </a:solidFill>
                                <a:ln>
                                  <a:solidFill>
                                    <a:schemeClr val="accent6">
                                      <a:lumMod val="50000"/>
                                    </a:schemeClr>
                                  </a:solidFill>
                                </a:ln>
                                <a:scene3d>
                                  <a:camera prst="orthographicFront"/>
                                  <a:lightRig rig="threePt" dir="t"/>
                                </a:scene3d>
                                <a:sp3d>
                                  <a:bevelT/>
                                </a:sp3d>
                              </wps:spPr>
                              <wps:txbx>
                                <w:txbxContent>
                                  <w:p w:rsidR="00591AF8" w:rsidRDefault="00591AF8" w:rsidP="00591AF8">
                                    <w:pPr>
                                      <w:pStyle w:val="NormalWeb"/>
                                      <w:spacing w:before="0" w:beforeAutospacing="0" w:after="0" w:afterAutospacing="0"/>
                                    </w:pPr>
                                    <w:r>
                                      <w:rPr>
                                        <w:rFonts w:asciiTheme="minorHAnsi" w:hAnsi="Calibri" w:cstheme="minorBidi"/>
                                        <w:color w:val="000000" w:themeColor="text1"/>
                                        <w:kern w:val="24"/>
                                        <w:sz w:val="28"/>
                                        <w:szCs w:val="28"/>
                                      </w:rPr>
                                      <w:t>Oxidative Stress</w:t>
                                    </w:r>
                                  </w:p>
                                </w:txbxContent>
                              </wps:txbx>
                              <wps:bodyPr wrap="square" rtlCol="0">
                                <a:spAutoFit/>
                              </wps:bodyPr>
                            </wps:wsp>
                            <wps:wsp>
                              <wps:cNvPr id="45" name="Straight Connector 45"/>
                              <wps:cNvCnPr/>
                              <wps:spPr>
                                <a:xfrm>
                                  <a:off x="5943600" y="1219200"/>
                                  <a:ext cx="0" cy="457200"/>
                                </a:xfrm>
                                <a:prstGeom prst="line">
                                  <a:avLst/>
                                </a:prstGeom>
                                <a:ln w="2857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wps:spPr>
                                <a:xfrm>
                                  <a:off x="5791200" y="1676400"/>
                                  <a:ext cx="304800" cy="0"/>
                                </a:xfrm>
                                <a:prstGeom prst="line">
                                  <a:avLst/>
                                </a:prstGeom>
                                <a:ln w="317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7" name="Oval 47"/>
                              <wps:cNvSpPr/>
                              <wps:spPr>
                                <a:xfrm>
                                  <a:off x="5562600" y="1752600"/>
                                  <a:ext cx="838200" cy="381000"/>
                                </a:xfrm>
                                <a:prstGeom prst="ellipse">
                                  <a:avLst/>
                                </a:prstGeom>
                                <a:solidFill>
                                  <a:schemeClr val="accent6">
                                    <a:lumMod val="40000"/>
                                    <a:lumOff val="60000"/>
                                  </a:schemeClr>
                                </a:solidFill>
                                <a:ln w="31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1AF8" w:rsidRDefault="00591AF8" w:rsidP="00591AF8">
                                    <w:pPr>
                                      <w:pStyle w:val="NormalWeb"/>
                                      <w:spacing w:before="0" w:beforeAutospacing="0" w:after="0" w:afterAutospacing="0"/>
                                      <w:jc w:val="center"/>
                                    </w:pPr>
                                    <w:r>
                                      <w:rPr>
                                        <w:rFonts w:ascii="Times New Roman" w:hAnsi="Times New Roman"/>
                                        <w:color w:val="000000" w:themeColor="text1"/>
                                        <w:kern w:val="24"/>
                                        <w:sz w:val="36"/>
                                        <w:szCs w:val="36"/>
                                      </w:rPr>
                                      <w:t>Wnt</w:t>
                                    </w:r>
                                  </w:p>
                                </w:txbxContent>
                              </wps:txbx>
                              <wps:bodyPr rtlCol="0" anchor="ctr"/>
                            </wps:wsp>
                          </wpg:grpSp>
                          <wpg:grpSp>
                            <wpg:cNvPr id="20" name="Group 20"/>
                            <wpg:cNvGrpSpPr/>
                            <wpg:grpSpPr>
                              <a:xfrm>
                                <a:off x="4800600" y="2286000"/>
                                <a:ext cx="2133600" cy="914400"/>
                                <a:chOff x="4800600" y="2286000"/>
                                <a:chExt cx="2133600" cy="914400"/>
                              </a:xfrm>
                            </wpg:grpSpPr>
                            <wpg:grpSp>
                              <wpg:cNvPr id="38" name="Group 38"/>
                              <wpg:cNvGrpSpPr/>
                              <wpg:grpSpPr>
                                <a:xfrm>
                                  <a:off x="5029200" y="2590800"/>
                                  <a:ext cx="1600200" cy="609600"/>
                                  <a:chOff x="5029200" y="2590800"/>
                                  <a:chExt cx="1600200" cy="609600"/>
                                </a:xfrm>
                              </wpg:grpSpPr>
                              <wps:wsp>
                                <wps:cNvPr id="41" name="Isosceles Triangle 41"/>
                                <wps:cNvSpPr/>
                                <wps:spPr>
                                  <a:xfrm>
                                    <a:off x="6019800" y="2819400"/>
                                    <a:ext cx="228600" cy="381000"/>
                                  </a:xfrm>
                                  <a:prstGeom prst="triangle">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1AF8" w:rsidRDefault="00591AF8" w:rsidP="00591AF8">
                                      <w:pPr>
                                        <w:rPr>
                                          <w:rFonts w:eastAsia="Times New Roman"/>
                                        </w:rPr>
                                      </w:pPr>
                                    </w:p>
                                  </w:txbxContent>
                                </wps:txbx>
                                <wps:bodyPr rtlCol="0" anchor="ctr"/>
                              </wps:wsp>
                              <wps:wsp>
                                <wps:cNvPr id="42" name="Straight Connector 42"/>
                                <wps:cNvCnPr/>
                                <wps:spPr>
                                  <a:xfrm flipV="1">
                                    <a:off x="5410200" y="2667000"/>
                                    <a:ext cx="1219200" cy="381000"/>
                                  </a:xfrm>
                                  <a:prstGeom prst="line">
                                    <a:avLst/>
                                  </a:prstGeom>
                                  <a:ln w="2857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3" name="Oval 43"/>
                                <wps:cNvSpPr/>
                                <wps:spPr>
                                  <a:xfrm>
                                    <a:off x="5029200" y="2590800"/>
                                    <a:ext cx="838200" cy="381000"/>
                                  </a:xfrm>
                                  <a:prstGeom prst="ellipse">
                                    <a:avLst/>
                                  </a:prstGeom>
                                  <a:solidFill>
                                    <a:schemeClr val="accent6">
                                      <a:lumMod val="60000"/>
                                      <a:lumOff val="40000"/>
                                    </a:schemeClr>
                                  </a:solidFill>
                                  <a:ln w="127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1AF8" w:rsidRDefault="00591AF8" w:rsidP="00591AF8">
                                      <w:pPr>
                                        <w:pStyle w:val="NormalWeb"/>
                                        <w:spacing w:before="0" w:beforeAutospacing="0" w:after="0" w:afterAutospacing="0"/>
                                        <w:jc w:val="center"/>
                                      </w:pPr>
                                      <w:r>
                                        <w:rPr>
                                          <w:rFonts w:ascii="Times New Roman" w:hAnsi="Times New Roman"/>
                                          <w:color w:val="000000" w:themeColor="text1"/>
                                          <w:kern w:val="24"/>
                                          <w:sz w:val="22"/>
                                          <w:szCs w:val="22"/>
                                        </w:rPr>
                                        <w:t>FOXO</w:t>
                                      </w:r>
                                    </w:p>
                                  </w:txbxContent>
                                </wps:txbx>
                                <wps:bodyPr rtlCol="0" anchor="ctr"/>
                              </wps:wsp>
                            </wpg:grpSp>
                            <wps:wsp>
                              <wps:cNvPr id="39" name="Oval 39"/>
                              <wps:cNvSpPr/>
                              <wps:spPr>
                                <a:xfrm>
                                  <a:off x="4800600" y="2286000"/>
                                  <a:ext cx="1219200" cy="304800"/>
                                </a:xfrm>
                                <a:prstGeom prst="ellipse">
                                  <a:avLst/>
                                </a:prstGeom>
                                <a:ln/>
                              </wps:spPr>
                              <wps:style>
                                <a:lnRef idx="1">
                                  <a:schemeClr val="accent3"/>
                                </a:lnRef>
                                <a:fillRef idx="2">
                                  <a:schemeClr val="accent3"/>
                                </a:fillRef>
                                <a:effectRef idx="1">
                                  <a:schemeClr val="accent3"/>
                                </a:effectRef>
                                <a:fontRef idx="minor">
                                  <a:schemeClr val="dk1"/>
                                </a:fontRef>
                              </wps:style>
                              <wps:txbx>
                                <w:txbxContent>
                                  <w:p w:rsidR="00591AF8" w:rsidRDefault="00591AF8" w:rsidP="00591AF8">
                                    <w:pPr>
                                      <w:pStyle w:val="NormalWeb"/>
                                      <w:spacing w:before="0" w:beforeAutospacing="0" w:after="0" w:afterAutospacing="0"/>
                                      <w:jc w:val="center"/>
                                    </w:pPr>
                                    <w:r>
                                      <w:rPr>
                                        <w:rFonts w:ascii="Times New Roman" w:hAnsi="Times New Roman"/>
                                        <w:color w:val="000000" w:themeColor="text1"/>
                                        <w:kern w:val="24"/>
                                        <w:sz w:val="24"/>
                                        <w:szCs w:val="24"/>
                                        <w:lang w:val="el-GR"/>
                                      </w:rPr>
                                      <w:t>β</w:t>
                                    </w:r>
                                    <w:r>
                                      <w:rPr>
                                        <w:rFonts w:ascii="Times New Roman" w:hAnsi="Times New Roman"/>
                                        <w:color w:val="000000" w:themeColor="text1"/>
                                        <w:kern w:val="24"/>
                                        <w:sz w:val="24"/>
                                        <w:szCs w:val="24"/>
                                      </w:rPr>
                                      <w:t>-catenin</w:t>
                                    </w:r>
                                  </w:p>
                                </w:txbxContent>
                              </wps:txbx>
                              <wps:bodyPr rtlCol="0" anchor="ctr"/>
                            </wps:wsp>
                            <wps:wsp>
                              <wps:cNvPr id="40" name="Oval 40"/>
                              <wps:cNvSpPr/>
                              <wps:spPr>
                                <a:xfrm>
                                  <a:off x="6248400" y="2286000"/>
                                  <a:ext cx="685800" cy="381000"/>
                                </a:xfrm>
                                <a:prstGeom prst="ellipse">
                                  <a:avLst/>
                                </a:prstGeom>
                                <a:solidFill>
                                  <a:schemeClr val="accent6">
                                    <a:lumMod val="60000"/>
                                    <a:lumOff val="40000"/>
                                  </a:schemeClr>
                                </a:solidFill>
                                <a:ln w="127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1AF8" w:rsidRDefault="00591AF8" w:rsidP="00591AF8">
                                    <w:pPr>
                                      <w:pStyle w:val="NormalWeb"/>
                                      <w:spacing w:before="0" w:beforeAutospacing="0" w:after="0" w:afterAutospacing="0"/>
                                      <w:jc w:val="center"/>
                                    </w:pPr>
                                    <w:r>
                                      <w:rPr>
                                        <w:rFonts w:ascii="Times New Roman" w:hAnsi="Times New Roman"/>
                                        <w:color w:val="000000" w:themeColor="text1"/>
                                        <w:kern w:val="24"/>
                                        <w:sz w:val="24"/>
                                        <w:szCs w:val="24"/>
                                      </w:rPr>
                                      <w:t>TCF</w:t>
                                    </w:r>
                                  </w:p>
                                </w:txbxContent>
                              </wps:txbx>
                              <wps:bodyPr rtlCol="0" anchor="ctr"/>
                            </wps:wsp>
                          </wpg:grpSp>
                          <wpg:grpSp>
                            <wpg:cNvPr id="21" name="Group 21"/>
                            <wpg:cNvGrpSpPr/>
                            <wpg:grpSpPr>
                              <a:xfrm>
                                <a:off x="7086600" y="914400"/>
                                <a:ext cx="2057400" cy="2285999"/>
                                <a:chOff x="7086600" y="914400"/>
                                <a:chExt cx="2057400" cy="2285999"/>
                              </a:xfrm>
                            </wpg:grpSpPr>
                            <wpg:grpSp>
                              <wpg:cNvPr id="26" name="Group 26"/>
                              <wpg:cNvGrpSpPr/>
                              <wpg:grpSpPr>
                                <a:xfrm>
                                  <a:off x="7086600" y="2209799"/>
                                  <a:ext cx="2057400" cy="990600"/>
                                  <a:chOff x="7086600" y="2209799"/>
                                  <a:chExt cx="2057400" cy="990600"/>
                                </a:xfrm>
                              </wpg:grpSpPr>
                              <wpg:grpSp>
                                <wpg:cNvPr id="32" name="Group 32"/>
                                <wpg:cNvGrpSpPr/>
                                <wpg:grpSpPr>
                                  <a:xfrm>
                                    <a:off x="7315200" y="2514599"/>
                                    <a:ext cx="1600200" cy="685800"/>
                                    <a:chOff x="7315200" y="2514599"/>
                                    <a:chExt cx="1600200" cy="685800"/>
                                  </a:xfrm>
                                </wpg:grpSpPr>
                                <wps:wsp>
                                  <wps:cNvPr id="35" name="Oval 35"/>
                                  <wps:cNvSpPr/>
                                  <wps:spPr>
                                    <a:xfrm>
                                      <a:off x="8229600" y="2514599"/>
                                      <a:ext cx="685800" cy="381000"/>
                                    </a:xfrm>
                                    <a:prstGeom prst="ellipse">
                                      <a:avLst/>
                                    </a:prstGeom>
                                    <a:solidFill>
                                      <a:schemeClr val="accent6">
                                        <a:lumMod val="60000"/>
                                        <a:lumOff val="40000"/>
                                      </a:schemeClr>
                                    </a:solidFill>
                                    <a:ln w="127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1AF8" w:rsidRDefault="00591AF8" w:rsidP="00591AF8">
                                        <w:pPr>
                                          <w:pStyle w:val="NormalWeb"/>
                                          <w:spacing w:before="0" w:beforeAutospacing="0" w:after="0" w:afterAutospacing="0"/>
                                          <w:jc w:val="center"/>
                                        </w:pPr>
                                        <w:r>
                                          <w:rPr>
                                            <w:rFonts w:ascii="Times New Roman" w:hAnsi="Times New Roman"/>
                                            <w:color w:val="000000" w:themeColor="text1"/>
                                            <w:kern w:val="24"/>
                                            <w:sz w:val="24"/>
                                            <w:szCs w:val="24"/>
                                          </w:rPr>
                                          <w:t>TCF</w:t>
                                        </w:r>
                                      </w:p>
                                    </w:txbxContent>
                                  </wps:txbx>
                                  <wps:bodyPr rtlCol="0" anchor="ctr"/>
                                </wps:wsp>
                                <wps:wsp>
                                  <wps:cNvPr id="36" name="Straight Connector 36"/>
                                  <wps:cNvCnPr/>
                                  <wps:spPr>
                                    <a:xfrm>
                                      <a:off x="7315200" y="2666999"/>
                                      <a:ext cx="1371600" cy="304800"/>
                                    </a:xfrm>
                                    <a:prstGeom prst="line">
                                      <a:avLst/>
                                    </a:prstGeom>
                                    <a:ln w="2857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7" name="Isosceles Triangle 37"/>
                                  <wps:cNvSpPr/>
                                  <wps:spPr>
                                    <a:xfrm>
                                      <a:off x="7772400" y="2819399"/>
                                      <a:ext cx="228600" cy="381000"/>
                                    </a:xfrm>
                                    <a:prstGeom prst="triangle">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1AF8" w:rsidRDefault="00591AF8" w:rsidP="00591AF8">
                                        <w:pPr>
                                          <w:rPr>
                                            <w:rFonts w:eastAsia="Times New Roman"/>
                                          </w:rPr>
                                        </w:pPr>
                                      </w:p>
                                    </w:txbxContent>
                                  </wps:txbx>
                                  <wps:bodyPr rtlCol="0" anchor="ctr"/>
                                </wps:wsp>
                              </wpg:grpSp>
                              <wps:wsp>
                                <wps:cNvPr id="33" name="Oval 33"/>
                                <wps:cNvSpPr/>
                                <wps:spPr>
                                  <a:xfrm>
                                    <a:off x="7086600" y="2285999"/>
                                    <a:ext cx="838200" cy="381000"/>
                                  </a:xfrm>
                                  <a:prstGeom prst="ellipse">
                                    <a:avLst/>
                                  </a:prstGeom>
                                  <a:solidFill>
                                    <a:schemeClr val="accent6">
                                      <a:lumMod val="60000"/>
                                      <a:lumOff val="40000"/>
                                    </a:schemeClr>
                                  </a:solidFill>
                                  <a:ln w="127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1AF8" w:rsidRDefault="00591AF8" w:rsidP="00591AF8">
                                      <w:pPr>
                                        <w:pStyle w:val="NormalWeb"/>
                                        <w:spacing w:before="0" w:beforeAutospacing="0" w:after="0" w:afterAutospacing="0"/>
                                        <w:jc w:val="center"/>
                                      </w:pPr>
                                      <w:r>
                                        <w:rPr>
                                          <w:rFonts w:ascii="Times New Roman" w:hAnsi="Times New Roman"/>
                                          <w:color w:val="000000" w:themeColor="text1"/>
                                          <w:kern w:val="24"/>
                                          <w:sz w:val="22"/>
                                          <w:szCs w:val="22"/>
                                        </w:rPr>
                                        <w:t>FOXO</w:t>
                                      </w:r>
                                    </w:p>
                                  </w:txbxContent>
                                </wps:txbx>
                                <wps:bodyPr rtlCol="0" anchor="ctr"/>
                              </wps:wsp>
                              <wps:wsp>
                                <wps:cNvPr id="34" name="Oval 34"/>
                                <wps:cNvSpPr/>
                                <wps:spPr>
                                  <a:xfrm>
                                    <a:off x="7924800" y="2209799"/>
                                    <a:ext cx="1219200" cy="304800"/>
                                  </a:xfrm>
                                  <a:prstGeom prst="ellipse">
                                    <a:avLst/>
                                  </a:prstGeom>
                                  <a:ln/>
                                </wps:spPr>
                                <wps:style>
                                  <a:lnRef idx="1">
                                    <a:schemeClr val="accent3"/>
                                  </a:lnRef>
                                  <a:fillRef idx="2">
                                    <a:schemeClr val="accent3"/>
                                  </a:fillRef>
                                  <a:effectRef idx="1">
                                    <a:schemeClr val="accent3"/>
                                  </a:effectRef>
                                  <a:fontRef idx="minor">
                                    <a:schemeClr val="dk1"/>
                                  </a:fontRef>
                                </wps:style>
                                <wps:txbx>
                                  <w:txbxContent>
                                    <w:p w:rsidR="00591AF8" w:rsidRDefault="00591AF8" w:rsidP="00591AF8">
                                      <w:pPr>
                                        <w:pStyle w:val="NormalWeb"/>
                                        <w:spacing w:before="0" w:beforeAutospacing="0" w:after="0" w:afterAutospacing="0"/>
                                        <w:jc w:val="center"/>
                                      </w:pPr>
                                      <w:r>
                                        <w:rPr>
                                          <w:rFonts w:ascii="Times New Roman" w:hAnsi="Times New Roman"/>
                                          <w:color w:val="000000" w:themeColor="text1"/>
                                          <w:kern w:val="24"/>
                                          <w:sz w:val="24"/>
                                          <w:szCs w:val="24"/>
                                          <w:lang w:val="el-GR"/>
                                        </w:rPr>
                                        <w:t>β</w:t>
                                      </w:r>
                                      <w:r>
                                        <w:rPr>
                                          <w:rFonts w:ascii="Times New Roman" w:hAnsi="Times New Roman"/>
                                          <w:color w:val="000000" w:themeColor="text1"/>
                                          <w:kern w:val="24"/>
                                          <w:sz w:val="24"/>
                                          <w:szCs w:val="24"/>
                                        </w:rPr>
                                        <w:t>-catenin</w:t>
                                      </w:r>
                                    </w:p>
                                  </w:txbxContent>
                                </wps:txbx>
                                <wps:bodyPr rtlCol="0" anchor="ctr"/>
                              </wps:wsp>
                            </wpg:grpSp>
                            <wpg:grpSp>
                              <wpg:cNvPr id="27" name="Group 27"/>
                              <wpg:cNvGrpSpPr/>
                              <wpg:grpSpPr>
                                <a:xfrm>
                                  <a:off x="7467600" y="914400"/>
                                  <a:ext cx="1066800" cy="1219199"/>
                                  <a:chOff x="7467600" y="914400"/>
                                  <a:chExt cx="1066800" cy="1219199"/>
                                </a:xfrm>
                              </wpg:grpSpPr>
                              <wps:wsp>
                                <wps:cNvPr id="28" name="Text Box 28"/>
                                <wps:cNvSpPr txBox="1"/>
                                <wps:spPr>
                                  <a:xfrm>
                                    <a:off x="7467600" y="914400"/>
                                    <a:ext cx="762000" cy="304800"/>
                                  </a:xfrm>
                                  <a:prstGeom prst="rect">
                                    <a:avLst/>
                                  </a:prstGeom>
                                  <a:solidFill>
                                    <a:schemeClr val="accent6">
                                      <a:lumMod val="60000"/>
                                      <a:lumOff val="40000"/>
                                    </a:schemeClr>
                                  </a:solidFill>
                                  <a:ln>
                                    <a:solidFill>
                                      <a:schemeClr val="accent6">
                                        <a:lumMod val="50000"/>
                                      </a:schemeClr>
                                    </a:solidFill>
                                  </a:ln>
                                  <a:scene3d>
                                    <a:camera prst="orthographicFront"/>
                                    <a:lightRig rig="threePt" dir="t"/>
                                  </a:scene3d>
                                  <a:sp3d>
                                    <a:bevelT/>
                                  </a:sp3d>
                                </wps:spPr>
                                <wps:txbx>
                                  <w:txbxContent>
                                    <w:p w:rsidR="00591AF8" w:rsidRDefault="00591AF8" w:rsidP="00591AF8">
                                      <w:pPr>
                                        <w:pStyle w:val="NormalWeb"/>
                                        <w:spacing w:before="0" w:beforeAutospacing="0" w:after="0" w:afterAutospacing="0"/>
                                      </w:pPr>
                                      <w:r>
                                        <w:rPr>
                                          <w:rFonts w:asciiTheme="minorHAnsi" w:hAnsi="Calibri" w:cstheme="minorBidi"/>
                                          <w:color w:val="000000" w:themeColor="text1"/>
                                          <w:kern w:val="24"/>
                                          <w:sz w:val="28"/>
                                          <w:szCs w:val="28"/>
                                        </w:rPr>
                                        <w:t>Normal</w:t>
                                      </w:r>
                                    </w:p>
                                  </w:txbxContent>
                                </wps:txbx>
                                <wps:bodyPr wrap="square" rtlCol="0">
                                  <a:spAutoFit/>
                                </wps:bodyPr>
                              </wps:wsp>
                              <wps:wsp>
                                <wps:cNvPr id="29" name="Oval 29"/>
                                <wps:cNvSpPr/>
                                <wps:spPr>
                                  <a:xfrm>
                                    <a:off x="7467600" y="1676400"/>
                                    <a:ext cx="838200" cy="381000"/>
                                  </a:xfrm>
                                  <a:prstGeom prst="ellipse">
                                    <a:avLst/>
                                  </a:prstGeom>
                                  <a:solidFill>
                                    <a:schemeClr val="accent6">
                                      <a:lumMod val="40000"/>
                                      <a:lumOff val="60000"/>
                                    </a:schemeClr>
                                  </a:solidFill>
                                  <a:ln w="31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1AF8" w:rsidRDefault="00591AF8" w:rsidP="00591AF8">
                                      <w:pPr>
                                        <w:pStyle w:val="NormalWeb"/>
                                        <w:spacing w:before="0" w:beforeAutospacing="0" w:after="0" w:afterAutospacing="0"/>
                                        <w:jc w:val="center"/>
                                      </w:pPr>
                                      <w:r>
                                        <w:rPr>
                                          <w:rFonts w:ascii="Times New Roman" w:hAnsi="Times New Roman"/>
                                          <w:color w:val="000000" w:themeColor="text1"/>
                                          <w:kern w:val="24"/>
                                          <w:sz w:val="36"/>
                                          <w:szCs w:val="36"/>
                                        </w:rPr>
                                        <w:t>Wnt</w:t>
                                      </w:r>
                                    </w:p>
                                  </w:txbxContent>
                                </wps:txbx>
                                <wps:bodyPr rtlCol="0" anchor="ctr"/>
                              </wps:wsp>
                              <wps:wsp>
                                <wps:cNvPr id="30" name="Straight Arrow Connector 30"/>
                                <wps:cNvCnPr/>
                                <wps:spPr>
                                  <a:xfrm>
                                    <a:off x="7848600" y="1219200"/>
                                    <a:ext cx="0" cy="381000"/>
                                  </a:xfrm>
                                  <a:prstGeom prst="straightConnector1">
                                    <a:avLst/>
                                  </a:prstGeom>
                                  <a:ln w="4445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a:stCxn id="29" idx="5"/>
                                </wps:cNvCnPr>
                                <wps:spPr>
                                  <a:xfrm>
                                    <a:off x="8183048" y="2001604"/>
                                    <a:ext cx="351352" cy="131995"/>
                                  </a:xfrm>
                                  <a:prstGeom prst="straightConnector1">
                                    <a:avLst/>
                                  </a:prstGeom>
                                  <a:ln w="4445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22" name="Bent-Up Arrow 22"/>
                            <wps:cNvSpPr/>
                            <wps:spPr>
                              <a:xfrm rot="16200000" flipH="1">
                                <a:off x="5257802" y="3276602"/>
                                <a:ext cx="838199" cy="990600"/>
                              </a:xfrm>
                              <a:prstGeom prst="bentUpArrow">
                                <a:avLst>
                                  <a:gd name="adj1" fmla="val 4423"/>
                                  <a:gd name="adj2" fmla="val 16646"/>
                                  <a:gd name="adj3" fmla="val 16574"/>
                                </a:avLst>
                              </a:prstGeom>
                              <a:solidFill>
                                <a:schemeClr val="accent6">
                                  <a:lumMod val="75000"/>
                                </a:schemeClr>
                              </a:solidFill>
                              <a:ln w="2222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1AF8" w:rsidRDefault="00591AF8" w:rsidP="00591AF8">
                                  <w:pPr>
                                    <w:rPr>
                                      <w:rFonts w:eastAsia="Times New Roman"/>
                                    </w:rPr>
                                  </w:pPr>
                                </w:p>
                              </w:txbxContent>
                            </wps:txbx>
                            <wps:bodyPr rtlCol="0" anchor="ctr"/>
                          </wps:wsp>
                          <wps:wsp>
                            <wps:cNvPr id="23" name="Text Box 23"/>
                            <wps:cNvSpPr txBox="1"/>
                            <wps:spPr>
                              <a:xfrm>
                                <a:off x="5257800" y="4712939"/>
                                <a:ext cx="3429000" cy="1992661"/>
                              </a:xfrm>
                              <a:prstGeom prst="rect">
                                <a:avLst/>
                              </a:prstGeom>
                              <a:solidFill>
                                <a:schemeClr val="accent6">
                                  <a:lumMod val="40000"/>
                                  <a:lumOff val="60000"/>
                                </a:schemeClr>
                              </a:solidFill>
                              <a:ln>
                                <a:solidFill>
                                  <a:schemeClr val="accent5">
                                    <a:lumMod val="50000"/>
                                  </a:schemeClr>
                                </a:solidFill>
                              </a:ln>
                              <a:effectLst>
                                <a:outerShdw blurRad="50800" dist="38100" dir="5400000" algn="t" rotWithShape="0">
                                  <a:prstClr val="black">
                                    <a:alpha val="40000"/>
                                  </a:prstClr>
                                </a:outerShdw>
                              </a:effectLst>
                              <a:scene3d>
                                <a:camera prst="orthographicFront"/>
                                <a:lightRig rig="threePt" dir="t"/>
                              </a:scene3d>
                              <a:sp3d>
                                <a:bevelT w="165100" prst="coolSlant"/>
                              </a:sp3d>
                            </wps:spPr>
                            <wps:txbx>
                              <w:txbxContent>
                                <w:p w:rsidR="00591AF8" w:rsidRDefault="00591AF8" w:rsidP="00591AF8">
                                  <w:pPr>
                                    <w:pStyle w:val="NormalWeb"/>
                                    <w:spacing w:before="0" w:beforeAutospacing="0" w:after="0" w:afterAutospacing="0" w:line="360" w:lineRule="auto"/>
                                  </w:pPr>
                                  <w:r>
                                    <w:rPr>
                                      <w:rFonts w:ascii="Times New Roman" w:hAnsi="Times New Roman"/>
                                      <w:b/>
                                      <w:bCs/>
                                      <w:i/>
                                      <w:iCs/>
                                      <w:color w:val="000000" w:themeColor="text1"/>
                                      <w:kern w:val="24"/>
                                      <w:sz w:val="28"/>
                                      <w:szCs w:val="28"/>
                                    </w:rPr>
                                    <w:t xml:space="preserve">Cell Death- </w:t>
                                  </w:r>
                                  <w:r>
                                    <w:rPr>
                                      <w:rFonts w:ascii="Times New Roman" w:hAnsi="Times New Roman"/>
                                      <w:i/>
                                      <w:iCs/>
                                      <w:color w:val="000000" w:themeColor="text1"/>
                                      <w:kern w:val="24"/>
                                      <w:sz w:val="22"/>
                                      <w:szCs w:val="22"/>
                                    </w:rPr>
                                    <w:t>Bim1, Fasl</w:t>
                                  </w:r>
                                </w:p>
                                <w:p w:rsidR="00591AF8" w:rsidRDefault="00591AF8" w:rsidP="00591AF8">
                                  <w:pPr>
                                    <w:pStyle w:val="NormalWeb"/>
                                    <w:spacing w:before="0" w:beforeAutospacing="0" w:after="0" w:afterAutospacing="0" w:line="360" w:lineRule="auto"/>
                                  </w:pPr>
                                  <w:r>
                                    <w:rPr>
                                      <w:rFonts w:ascii="Times New Roman" w:hAnsi="Times New Roman"/>
                                      <w:b/>
                                      <w:bCs/>
                                      <w:i/>
                                      <w:iCs/>
                                      <w:color w:val="000000" w:themeColor="text1"/>
                                      <w:kern w:val="24"/>
                                      <w:sz w:val="28"/>
                                      <w:szCs w:val="28"/>
                                    </w:rPr>
                                    <w:t xml:space="preserve">ROS detoxification- </w:t>
                                  </w:r>
                                  <w:r>
                                    <w:rPr>
                                      <w:rFonts w:ascii="Times New Roman" w:hAnsi="Times New Roman"/>
                                      <w:i/>
                                      <w:iCs/>
                                      <w:color w:val="000000" w:themeColor="text1"/>
                                      <w:kern w:val="24"/>
                                      <w:sz w:val="22"/>
                                      <w:szCs w:val="22"/>
                                    </w:rPr>
                                    <w:t>Catalase, MnSOD</w:t>
                                  </w:r>
                                </w:p>
                                <w:p w:rsidR="00591AF8" w:rsidRDefault="00591AF8" w:rsidP="00591AF8">
                                  <w:pPr>
                                    <w:pStyle w:val="NormalWeb"/>
                                    <w:spacing w:before="0" w:beforeAutospacing="0" w:after="0" w:afterAutospacing="0" w:line="360" w:lineRule="auto"/>
                                  </w:pPr>
                                  <w:r>
                                    <w:rPr>
                                      <w:rFonts w:ascii="Times New Roman" w:hAnsi="Times New Roman"/>
                                      <w:b/>
                                      <w:bCs/>
                                      <w:i/>
                                      <w:iCs/>
                                      <w:color w:val="000000" w:themeColor="text1"/>
                                      <w:kern w:val="24"/>
                                      <w:sz w:val="28"/>
                                      <w:szCs w:val="28"/>
                                    </w:rPr>
                                    <w:t xml:space="preserve">DNA Repair- </w:t>
                                  </w:r>
                                  <w:r>
                                    <w:rPr>
                                      <w:rFonts w:ascii="Times New Roman" w:hAnsi="Times New Roman"/>
                                      <w:i/>
                                      <w:iCs/>
                                      <w:color w:val="000000" w:themeColor="text1"/>
                                      <w:kern w:val="24"/>
                                      <w:sz w:val="22"/>
                                      <w:szCs w:val="22"/>
                                    </w:rPr>
                                    <w:t>GADD45, DDB1</w:t>
                                  </w:r>
                                </w:p>
                                <w:p w:rsidR="00591AF8" w:rsidRDefault="00591AF8" w:rsidP="00591AF8">
                                  <w:pPr>
                                    <w:pStyle w:val="NormalWeb"/>
                                    <w:spacing w:before="0" w:beforeAutospacing="0" w:after="0" w:afterAutospacing="0" w:line="360" w:lineRule="auto"/>
                                  </w:pPr>
                                  <w:r>
                                    <w:rPr>
                                      <w:rFonts w:ascii="Times New Roman" w:hAnsi="Times New Roman"/>
                                      <w:b/>
                                      <w:bCs/>
                                      <w:i/>
                                      <w:iCs/>
                                      <w:color w:val="000000" w:themeColor="text1"/>
                                      <w:kern w:val="24"/>
                                      <w:sz w:val="28"/>
                                      <w:szCs w:val="28"/>
                                    </w:rPr>
                                    <w:t>Cell Cycle Arrest-</w:t>
                                  </w:r>
                                  <w:r>
                                    <w:rPr>
                                      <w:rFonts w:ascii="Times New Roman" w:hAnsi="Times New Roman"/>
                                      <w:b/>
                                      <w:bCs/>
                                      <w:i/>
                                      <w:iCs/>
                                      <w:color w:val="000000" w:themeColor="text1"/>
                                      <w:kern w:val="24"/>
                                      <w:sz w:val="22"/>
                                      <w:szCs w:val="22"/>
                                    </w:rPr>
                                    <w:t xml:space="preserve"> </w:t>
                                  </w:r>
                                  <w:r>
                                    <w:rPr>
                                      <w:rFonts w:ascii="Times New Roman" w:hAnsi="Times New Roman"/>
                                      <w:i/>
                                      <w:iCs/>
                                      <w:color w:val="000000" w:themeColor="text1"/>
                                      <w:kern w:val="24"/>
                                      <w:sz w:val="22"/>
                                      <w:szCs w:val="22"/>
                                    </w:rPr>
                                    <w:t>p27, p130, GADD45, Cyclin G2</w:t>
                                  </w:r>
                                </w:p>
                                <w:p w:rsidR="00591AF8" w:rsidRDefault="00591AF8" w:rsidP="00591AF8">
                                  <w:pPr>
                                    <w:pStyle w:val="NormalWeb"/>
                                    <w:spacing w:before="0" w:beforeAutospacing="0" w:after="0" w:afterAutospacing="0" w:line="360" w:lineRule="auto"/>
                                  </w:pPr>
                                  <w:r>
                                    <w:rPr>
                                      <w:rFonts w:ascii="Times New Roman" w:hAnsi="Times New Roman"/>
                                      <w:b/>
                                      <w:bCs/>
                                      <w:i/>
                                      <w:iCs/>
                                      <w:color w:val="000000" w:themeColor="text1"/>
                                      <w:kern w:val="24"/>
                                      <w:sz w:val="28"/>
                                      <w:szCs w:val="28"/>
                                    </w:rPr>
                                    <w:t xml:space="preserve">Glucose metabolism- </w:t>
                                  </w:r>
                                  <w:r>
                                    <w:rPr>
                                      <w:rFonts w:ascii="Times New Roman" w:hAnsi="Times New Roman"/>
                                      <w:i/>
                                      <w:iCs/>
                                      <w:color w:val="000000" w:themeColor="text1"/>
                                      <w:kern w:val="24"/>
                                      <w:sz w:val="22"/>
                                      <w:szCs w:val="22"/>
                                    </w:rPr>
                                    <w:t>G6Pase, PEPCK</w:t>
                                  </w:r>
                                </w:p>
                                <w:p w:rsidR="00591AF8" w:rsidRDefault="00591AF8" w:rsidP="00591AF8">
                                  <w:pPr>
                                    <w:pStyle w:val="NormalWeb"/>
                                    <w:spacing w:before="0" w:beforeAutospacing="0" w:after="0" w:afterAutospacing="0" w:line="360" w:lineRule="auto"/>
                                  </w:pPr>
                                  <w:r>
                                    <w:rPr>
                                      <w:rFonts w:ascii="Times New Roman" w:hAnsi="Times New Roman"/>
                                      <w:b/>
                                      <w:bCs/>
                                      <w:i/>
                                      <w:iCs/>
                                      <w:color w:val="000000" w:themeColor="text1"/>
                                      <w:kern w:val="24"/>
                                      <w:sz w:val="28"/>
                                      <w:szCs w:val="28"/>
                                    </w:rPr>
                                    <w:t xml:space="preserve">Energy Homeostasis- </w:t>
                                  </w:r>
                                  <w:r>
                                    <w:rPr>
                                      <w:rFonts w:ascii="Times New Roman" w:hAnsi="Times New Roman"/>
                                      <w:i/>
                                      <w:iCs/>
                                      <w:color w:val="000000" w:themeColor="text1"/>
                                      <w:kern w:val="24"/>
                                      <w:sz w:val="22"/>
                                      <w:szCs w:val="22"/>
                                    </w:rPr>
                                    <w:t>AgRP, NPY</w:t>
                                  </w:r>
                                </w:p>
                              </w:txbxContent>
                            </wps:txbx>
                            <wps:bodyPr wrap="square" rtlCol="0">
                              <a:spAutoFit/>
                            </wps:bodyPr>
                          </wps:wsp>
                          <wps:wsp>
                            <wps:cNvPr id="24" name="Text Box 24"/>
                            <wps:cNvSpPr txBox="1"/>
                            <wps:spPr>
                              <a:xfrm>
                                <a:off x="6019800" y="3962400"/>
                                <a:ext cx="1219200" cy="584775"/>
                              </a:xfrm>
                              <a:prstGeom prst="rect">
                                <a:avLst/>
                              </a:prstGeom>
                              <a:solidFill>
                                <a:schemeClr val="accent6">
                                  <a:lumMod val="60000"/>
                                  <a:lumOff val="40000"/>
                                </a:schemeClr>
                              </a:solidFill>
                              <a:ln>
                                <a:solidFill>
                                  <a:schemeClr val="accent4">
                                    <a:lumMod val="50000"/>
                                  </a:schemeClr>
                                </a:solidFill>
                              </a:ln>
                              <a:scene3d>
                                <a:camera prst="orthographicFront"/>
                                <a:lightRig rig="threePt" dir="t"/>
                              </a:scene3d>
                              <a:sp3d>
                                <a:bevelT/>
                              </a:sp3d>
                            </wps:spPr>
                            <wps:txbx>
                              <w:txbxContent>
                                <w:p w:rsidR="00591AF8" w:rsidRDefault="00591AF8" w:rsidP="00591AF8">
                                  <w:pPr>
                                    <w:pStyle w:val="NormalWeb"/>
                                    <w:spacing w:before="0" w:beforeAutospacing="0" w:after="0" w:afterAutospacing="0"/>
                                    <w:jc w:val="center"/>
                                  </w:pPr>
                                  <w:r>
                                    <w:rPr>
                                      <w:rFonts w:ascii="Times New Roman" w:hAnsi="Times New Roman"/>
                                      <w:color w:val="000000" w:themeColor="text1"/>
                                      <w:kern w:val="24"/>
                                      <w:sz w:val="32"/>
                                      <w:szCs w:val="32"/>
                                    </w:rPr>
                                    <w:t>Foxo signal regulates</w:t>
                                  </w:r>
                                </w:p>
                              </w:txbxContent>
                            </wps:txbx>
                            <wps:bodyPr wrap="square" rtlCol="0">
                              <a:spAutoFit/>
                            </wps:bodyPr>
                          </wps:wsp>
                          <wps:wsp>
                            <wps:cNvPr id="25" name="Bent-Up Arrow 25"/>
                            <wps:cNvSpPr/>
                            <wps:spPr>
                              <a:xfrm rot="16200000" flipV="1">
                                <a:off x="2590800" y="76200"/>
                                <a:ext cx="1676400" cy="3505200"/>
                              </a:xfrm>
                              <a:prstGeom prst="bentUpArrow">
                                <a:avLst>
                                  <a:gd name="adj1" fmla="val 3418"/>
                                  <a:gd name="adj2" fmla="val 5162"/>
                                  <a:gd name="adj3" fmla="val 5306"/>
                                </a:avLst>
                              </a:prstGeom>
                              <a:solidFill>
                                <a:schemeClr val="accent6">
                                  <a:lumMod val="75000"/>
                                </a:schemeClr>
                              </a:solidFill>
                              <a:ln w="2222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1AF8" w:rsidRDefault="00591AF8" w:rsidP="00591AF8">
                                  <w:pPr>
                                    <w:rPr>
                                      <w:rFonts w:eastAsia="Times New Roman"/>
                                    </w:rPr>
                                  </w:pPr>
                                </w:p>
                              </w:txbxContent>
                            </wps:txbx>
                            <wps:bodyPr rtlCol="0" anchor="ctr"/>
                          </wps:wsp>
                        </wpg:grpSp>
                        <wps:wsp>
                          <wps:cNvPr id="17" name="Text Box 17"/>
                          <wps:cNvSpPr txBox="1"/>
                          <wps:spPr>
                            <a:xfrm>
                              <a:off x="1233464" y="304800"/>
                              <a:ext cx="7605736" cy="369332"/>
                            </a:xfrm>
                            <a:prstGeom prst="rect">
                              <a:avLst/>
                            </a:prstGeom>
                            <a:solidFill>
                              <a:schemeClr val="accent6">
                                <a:lumMod val="60000"/>
                                <a:lumOff val="40000"/>
                              </a:schemeClr>
                            </a:solidFill>
                            <a:ln>
                              <a:solidFill>
                                <a:schemeClr val="accent6">
                                  <a:lumMod val="50000"/>
                                </a:schemeClr>
                              </a:solidFill>
                            </a:ln>
                            <a:scene3d>
                              <a:camera prst="orthographicFront"/>
                              <a:lightRig rig="threePt" dir="t"/>
                            </a:scene3d>
                            <a:sp3d>
                              <a:bevelT/>
                            </a:sp3d>
                          </wps:spPr>
                          <wps:txbx>
                            <w:txbxContent>
                              <w:p w:rsidR="00591AF8" w:rsidRDefault="00591AF8" w:rsidP="00591AF8">
                                <w:pPr>
                                  <w:pStyle w:val="NormalWeb"/>
                                  <w:spacing w:before="0" w:beforeAutospacing="0" w:after="0" w:afterAutospacing="0"/>
                                </w:pPr>
                                <w:r>
                                  <w:rPr>
                                    <w:rFonts w:ascii="Times New Roman" w:hAnsi="Times New Roman"/>
                                    <w:b/>
                                    <w:bCs/>
                                    <w:color w:val="000000" w:themeColor="text1"/>
                                    <w:kern w:val="24"/>
                                    <w:sz w:val="36"/>
                                    <w:szCs w:val="36"/>
                                  </w:rPr>
                                  <w:t xml:space="preserve"> Vicious cycle of Insulin Resistance &amp; Aβ upregulation via FOXO signaling:</w:t>
                                </w:r>
                              </w:p>
                            </w:txbxContent>
                          </wps:txbx>
                          <wps:bodyPr wrap="none" rtlCol="0">
                            <a:spAutoFit/>
                          </wps:bodyPr>
                        </wps:wsp>
                      </wpg:grpSp>
                      <wps:wsp>
                        <wps:cNvPr id="13" name="Oval 13"/>
                        <wps:cNvSpPr/>
                        <wps:spPr>
                          <a:xfrm>
                            <a:off x="1219200" y="6324600"/>
                            <a:ext cx="1524000" cy="457200"/>
                          </a:xfrm>
                          <a:prstGeom prst="ellipse">
                            <a:avLst/>
                          </a:prstGeom>
                        </wps:spPr>
                        <wps:style>
                          <a:lnRef idx="1">
                            <a:schemeClr val="accent6"/>
                          </a:lnRef>
                          <a:fillRef idx="2">
                            <a:schemeClr val="accent6"/>
                          </a:fillRef>
                          <a:effectRef idx="1">
                            <a:schemeClr val="accent6"/>
                          </a:effectRef>
                          <a:fontRef idx="minor">
                            <a:schemeClr val="dk1"/>
                          </a:fontRef>
                        </wps:style>
                        <wps:txbx>
                          <w:txbxContent>
                            <w:p w:rsidR="00591AF8" w:rsidRDefault="00591AF8" w:rsidP="00591AF8">
                              <w:pPr>
                                <w:pStyle w:val="NormalWeb"/>
                                <w:spacing w:before="0" w:beforeAutospacing="0" w:after="0" w:afterAutospacing="0"/>
                                <w:jc w:val="center"/>
                              </w:pPr>
                              <w:r>
                                <w:rPr>
                                  <w:rFonts w:ascii="Times New Roman" w:hAnsi="Times New Roman"/>
                                  <w:b/>
                                  <w:bCs/>
                                  <w:color w:val="000000" w:themeColor="dark1"/>
                                  <w:kern w:val="24"/>
                                  <w:sz w:val="22"/>
                                  <w:szCs w:val="22"/>
                                </w:rPr>
                                <w:t>mitochondria</w:t>
                              </w:r>
                            </w:p>
                          </w:txbxContent>
                        </wps:txbx>
                        <wps:bodyPr rtlCol="0" anchor="ctr"/>
                      </wps:wsp>
                    </wpg:wgp>
                  </a:graphicData>
                </a:graphic>
              </wp:inline>
            </w:drawing>
          </mc:Choice>
          <mc:Fallback>
            <w:pict>
              <v:group id="Group 64" o:spid="_x0000_s1026" style="width:468.3pt;height:335.35pt;mso-position-horizontal-relative:char;mso-position-vertical-relative:line" coordorigin=",304800" coordsize="9144000,655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">
                <v:group id="Group 10" o:spid="_x0000_s1027" style="position:absolute;top:304800;width:9144000;height:6553200" coordorigin=",304800" coordsize="9144000,6553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rect id="Rectangle 14" o:spid="_x0000_s1028" style="position:absolute;top:304800;width:1065356;height:36933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N6lXvwAA&#10;ANsAAAAPAAAAZHJzL2Rvd25yZXYueG1sRE/NagIxEL4XfIcwgpeiiSKlrEYRUVv0VPUBhs24G9xM&#10;liSu27dvCoXe5uP7neW6d43oKETrWcN0okAQl95YrjRcL/vxO4iYkA02nknDN0VYrwYvSyyMf/IX&#10;dedUiRzCsUANdUptIWUsa3IYJ74lztzNB4cpw1BJE/CZw10jZ0q9SYeWc0ONLW1rKu/nh9MwP8yO&#10;O/uqTtZ1D7weZVAffNJ6NOw3CxCJ+vQv/nN/mjx/Dr+/5APk6g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M3qVe/AAAA2wAAAA8AAAAAAAAAAAAAAAAAlwIAAGRycy9kb3ducmV2&#10;LnhtbFBLBQYAAAAABAAEAPUAAACDAwAAAAA=&#10;" filled="f" stroked="f">
                    <v:textbox style="mso-fit-shape-to-text:t">
                      <w:txbxContent>
                        <w:p w:rsidR="00591AF8" w:rsidRDefault="00591AF8" w:rsidP="00591AF8">
                          <w:pPr>
                            <w:pStyle w:val="NormalWeb"/>
                            <w:spacing w:before="0" w:beforeAutospacing="0" w:after="0" w:afterAutospacing="0"/>
                          </w:pPr>
                          <w:r>
                            <w:rPr>
                              <w:rFonts w:ascii="Times New Roman" w:hAnsi="Times New Roman"/>
                              <w:b/>
                              <w:bCs/>
                              <w:color w:val="000000" w:themeColor="text1"/>
                              <w:kern w:val="24"/>
                              <w:sz w:val="36"/>
                              <w:szCs w:val="36"/>
                            </w:rPr>
                            <w:t>Figure 4.</w:t>
                          </w:r>
                        </w:p>
                      </w:txbxContent>
                    </v:textbox>
                  </v:rect>
                  <v:shapetype id="_x0000_t109" coordsize="21600,21600" o:spt="109" path="m0,0l0,21600,21600,21600,21600,0xe">
                    <v:stroke joinstyle="miter"/>
                    <v:path gradientshapeok="t" o:connecttype="rect"/>
                  </v:shapetype>
                  <v:shape id="Flowchart: Process 5" o:spid="_x0000_s1029" type="#_x0000_t109" style="position:absolute;top:304800;width:9144000;height:6553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PjgfwwAA&#10;ANsAAAAPAAAAZHJzL2Rvd25yZXYueG1sRE/basJAEH0X/IdlhL6UZmOLIqmbIIqlSCk0yQcM2WkS&#10;m50N2dWkf+8WCr7N4Vxnm02mE1caXGtZwTKKQRBXVrdcKyiL49MGhPPIGjvLpOCXHGTpfLbFRNuR&#10;v+ia+1qEEHYJKmi87xMpXdWQQRfZnjhw33Yw6AMcaqkHHEO46eRzHK+lwZZDQ4M97RuqfvKLUVAc&#10;XFGe5fnx7eNTm7wfT5vVy1qph8W0ewXhafJ38b/7XYf5K/j7JRwg0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PjgfwwAAANsAAAAPAAAAAAAAAAAAAAAAAJcCAABkcnMvZG93&#10;bnJldi54bWxQSwUGAAAAAAQABAD1AAAAhwMAAAAA&#10;" fillcolor="#fabf8f [1945]" strokecolor="#243f60 [1604]" strokeweight="2pt">
                    <v:fill color2="#fabf8f [1945]" rotate="t" focusposition=".5,.5" focussize="" colors="0 #ffd5ad;.5 #ffe3cc;1 #fff1e5" focus="100%" type="gradientRadial"/>
                    <v:textbox>
                      <w:txbxContent>
                        <w:p w:rsidR="00591AF8" w:rsidRDefault="00591AF8" w:rsidP="00591AF8">
                          <w:pPr>
                            <w:rPr>
                              <w:rFonts w:eastAsia="Times New Roman"/>
                            </w:rPr>
                          </w:pPr>
                        </w:p>
                      </w:txbxContent>
                    </v:textbox>
                  </v:shape>
                  <v:group id="Group 16" o:spid="_x0000_s1030" style="position:absolute;left:180474;top:914400;width:8963526;height:5791200" coordorigin="180474,914400" coordsize="8963526,5791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2Y//XDAAAA2wAAAA8A&#10;AAAAAAAAAAAAAAAAqQIAAGRycy9kb3ducmV2LnhtbFBLBQYAAAAABAAEAPoAAACZAwAAAAA=&#10;">
                    <v:group id="Group 18" o:spid="_x0000_s1031" style="position:absolute;left:180474;top:1447801;width:4924928;height:5115924" coordorigin="180474,1447801" coordsize="4924928,51159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S84cxQAAANsAAAAPAAAAZHJzL2Rvd25yZXYueG1sRI9Pa8JAEMXvQr/DMoXe&#10;dBNLS0ndiEiVHqRQLYi3ITv5g9nZkF2T+O07h0JvM7w37/1mtZ5cqwbqQ+PZQLpIQBEX3jZcGfg5&#10;7eZvoEJEtth6JgN3CrDOH2YrzKwf+ZuGY6yUhHDI0EAdY5dpHYqaHIaF74hFK33vMMraV9r2OEq4&#10;a/UySV61w4alocaOtjUV1+PNGdiPOG6e04/hcC2398vp5et8SMmYp8dp8w4q0hT/zX/Xn1bwBVZ+&#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0vOHMUAAADbAAAA&#10;DwAAAAAAAAAAAAAAAACpAgAAZHJzL2Rvd25yZXYueG1sUEsFBgAAAAAEAAQA+gAAAJsDAAAAAA==&#10;">
                      <v:group id="Group 48" o:spid="_x0000_s1032" style="position:absolute;left:180474;top:1447801;width:4924928;height:5115924" coordorigin="180474,1447800" coordsize="5504328,55934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OEBwwAAANsAAAAPAAAAZHJzL2Rvd25yZXYueG1sRE/LasJAFN0L/YfhFroz&#10;k7RaSnQUCW3pQgSTQnF3yVyTYOZOyEzz+HtnUejycN7b/WRaMVDvGssKkigGQVxa3XCl4Lv4WL6B&#10;cB5ZY2uZFMzkYL97WGwx1XbkMw25r0QIYZeigtr7LpXSlTUZdJHtiAN3tb1BH2BfSd3jGMJNK5/j&#10;+FUabDg01NhRVlN5y3+Ngs8Rx8NL8j4cb9dsvhTr088xIaWeHqfDBoSnyf+L/9xfWsEq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D44QHDAAAA2wAAAA8A&#10;AAAAAAAAAAAAAAAAqQIAAGRycy9kb3ducmV2LnhtbFBLBQYAAAAABAAEAPoAAACZA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0" o:spid="_x0000_s1033" type="#_x0000_t67" style="position:absolute;left:4541803;top:4482590;width:152400;height:381000;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pUkOwQAA&#10;ANsAAAAPAAAAZHJzL2Rvd25yZXYueG1sRE/daoMwFL4f9B3CKexujZN1FNtUxkbBi8nQ9gEOyZm6&#10;mhMxsbq3by4Gu/z4/g/5Yntxo9F3jhU8bxIQxNqZjhsFl/PpaQfCB2SDvWNS8Ese8uPq4YCZcTNX&#10;dKtDI2II+wwVtCEMmZRet2TRb9xAHLlvN1oMEY6NNCPOMdz2Mk2SV2mx49jQ4kDvLelrPVkF106n&#10;A5fTR92fvjgtX/RPVXwq9bhe3vYgAi3hX/znLoyCbVwfv8QfII9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6VJDsEAAADbAAAADwAAAAAAAAAAAAAAAACXAgAAZHJzL2Rvd25y&#10;ZXYueG1sUEsFBgAAAAAEAAQA9QAAAIUDAAAAAA==&#10;" adj="17280" fillcolor="#e36c0a [2409]" strokecolor="#974706 [1609]" strokeweight="2pt">
                          <v:textbox>
                            <w:txbxContent>
                              <w:p w:rsidR="00591AF8" w:rsidRDefault="00591AF8" w:rsidP="00591AF8">
                                <w:pPr>
                                  <w:rPr>
                                    <w:rFonts w:eastAsia="Times New Roman"/>
                                  </w:rPr>
                                </w:pPr>
                              </w:p>
                            </w:txbxContent>
                          </v:textbox>
                        </v:shape>
                        <v:group id="Group 51" o:spid="_x0000_s1034" style="position:absolute;left:180474;top:1447800;width:5504328;height:5593404" coordorigin="180474,1447800" coordsize="5504328,55934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G95BwwAAANsAAAAPAAAAZHJzL2Rvd25yZXYueG1sRI9Bi8IwFITvC/6H8ARv&#10;a1rFZalGEVHxIMLqgnh7NM+22LyUJrb13xtB8DjMzDfMbNGZUjRUu8KygngYgSBOrS44U/B/2nz/&#10;gnAeWWNpmRQ8yMFi3vuaYaJty3/UHH0mAoRdggpy76tESpfmZNANbUUcvKutDfog60zqGtsAN6Uc&#10;RdGPNFhwWMixolVO6e14Nwq2LbbLcbxu9rfr6nE5TQ7nfUxKDfrdcgrCU+c/4Xd7pxV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Qb3kHDAAAA2wAAAA8A&#10;AAAAAAAAAAAAAAAAqQIAAGRycy9kb3ducmV2LnhtbFBLBQYAAAAABAAEAPoAAACZAwAAAAA=&#10;">
                          <v:shapetype id="_x0000_t202" coordsize="21600,21600" o:spt="202" path="m0,0l0,21600,21600,21600,21600,0xe">
                            <v:stroke joinstyle="miter"/>
                            <v:path gradientshapeok="t" o:connecttype="rect"/>
                          </v:shapetype>
                          <v:shape id="Text Box 52" o:spid="_x0000_s1035" type="#_x0000_t202" style="position:absolute;left:180474;top:1447800;width:609600;height:3077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" fillcolor="#fabf8f [1945]" strokecolor="#e36c0a [2409]">
                            <v:textbox style="mso-fit-shape-to-text:t">
                              <w:txbxContent>
                                <w:p w:rsidR="00591AF8" w:rsidRDefault="00591AF8" w:rsidP="00591AF8">
                                  <w:pPr>
                                    <w:pStyle w:val="NormalWeb"/>
                                    <w:spacing w:before="0" w:beforeAutospacing="0" w:after="0" w:afterAutospacing="0"/>
                                  </w:pPr>
                                  <w:r>
                                    <w:rPr>
                                      <w:rFonts w:ascii="Times New Roman" w:hAnsi="Times New Roman"/>
                                      <w:color w:val="000000" w:themeColor="text1"/>
                                      <w:kern w:val="24"/>
                                      <w:sz w:val="28"/>
                                      <w:szCs w:val="28"/>
                                    </w:rPr>
                                    <w:t>T2D</w:t>
                                  </w:r>
                                </w:p>
                              </w:txbxContent>
                            </v:textbox>
                          </v:shape>
                          <v:shape id="Text Box 53" o:spid="_x0000_s1036" type="#_x0000_t202" style="position:absolute;left:1032121;top:2780792;width:2043953;height:7066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KYjcvwAA&#10;ANsAAAAPAAAAZHJzL2Rvd25yZXYueG1sRI9Bi8IwFITvgv8hPGFvmuqiSDWKCAt7tSpeH82zLTYv&#10;IYm1/nsjCB6HmfmGWW9704qOfGgsK5hOMhDEpdUNVwpOx7/xEkSIyBpby6TgSQG2m+Fgjbm2Dz5Q&#10;V8RKJAiHHBXUMbpcylDWZDBMrCNO3tV6gzFJX0nt8ZHgppWzLFtIgw2nhRod7Wsqb8XdKPBH2V3J&#10;FTtybnF5nmfnbH6ZKvUz6ncrEJH6+A1/2v9awfwX3l/SD5Cb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kpiNy/AAAA2wAAAA8AAAAAAAAAAAAAAAAAlwIAAGRycy9kb3ducmV2&#10;LnhtbFBLBQYAAAAABAAEAPUAAACDAwAAAAA=&#10;" fillcolor="#fabf8f [1945]" strokecolor="#e36c0a [2409]">
                            <v:textbox style="mso-fit-shape-to-text:t">
                              <w:txbxContent>
                                <w:p w:rsidR="00591AF8" w:rsidRDefault="00591AF8" w:rsidP="00591AF8">
                                  <w:pPr>
                                    <w:pStyle w:val="NormalWeb"/>
                                    <w:spacing w:before="0" w:beforeAutospacing="0" w:after="0" w:afterAutospacing="0"/>
                                  </w:pPr>
                                  <w:r>
                                    <w:rPr>
                                      <w:rFonts w:ascii="Times New Roman" w:hAnsi="Times New Roman"/>
                                      <w:color w:val="000000" w:themeColor="text1"/>
                                      <w:kern w:val="24"/>
                                      <w:sz w:val="36"/>
                                      <w:szCs w:val="36"/>
                                    </w:rPr>
                                    <w:t>Hyperinsulinemia</w:t>
                                  </w:r>
                                </w:p>
                                <w:p w:rsidR="00591AF8" w:rsidRDefault="00591AF8" w:rsidP="00591AF8">
                                  <w:pPr>
                                    <w:pStyle w:val="NormalWeb"/>
                                    <w:spacing w:before="0" w:beforeAutospacing="0" w:after="0" w:afterAutospacing="0"/>
                                  </w:pPr>
                                  <w:r>
                                    <w:rPr>
                                      <w:rFonts w:ascii="Times New Roman" w:hAnsi="Times New Roman"/>
                                      <w:color w:val="000000" w:themeColor="text1"/>
                                      <w:kern w:val="24"/>
                                      <w:sz w:val="36"/>
                                      <w:szCs w:val="36"/>
                                    </w:rPr>
                                    <w:t>Hyperglycemia</w:t>
                                  </w:r>
                                </w:p>
                              </w:txbxContent>
                            </v:textbox>
                          </v:shape>
                          <v:shape id="Text Box 54" o:spid="_x0000_s1037" type="#_x0000_t202" style="position:absolute;left:3533274;top:1459468;width:1371600;height:3077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wBCovwAA&#10;ANsAAAAPAAAAZHJzL2Rvd25yZXYueG1sRI9Bi8IwFITvgv8hPGFvmiqrSDWKCAt7tSpeH82zLTYv&#10;IYm1/nsjCB6HmfmGWW9704qOfGgsK5hOMhDEpdUNVwpOx7/xEkSIyBpby6TgSQG2m+Fgjbm2Dz5Q&#10;V8RKJAiHHBXUMbpcylDWZDBMrCNO3tV6gzFJX0nt8ZHgppWzLFtIgw2nhRod7Wsqb8XdKPBH2V3J&#10;FTtybnF5nmfnbH6ZKvUz6ncrEJH6+A1/2v9awfwX3l/SD5Cb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bAEKi/AAAA2wAAAA8AAAAAAAAAAAAAAAAAlwIAAGRycy9kb3ducmV2&#10;LnhtbFBLBQYAAAAABAAEAPUAAACDAwAAAAA=&#10;" fillcolor="#fabf8f [1945]" strokecolor="#e36c0a [2409]">
                            <v:textbox style="mso-fit-shape-to-text:t">
                              <w:txbxContent>
                                <w:p w:rsidR="00591AF8" w:rsidRDefault="00591AF8" w:rsidP="00591AF8">
                                  <w:pPr>
                                    <w:pStyle w:val="NormalWeb"/>
                                    <w:spacing w:before="0" w:beforeAutospacing="0" w:after="0" w:afterAutospacing="0"/>
                                  </w:pPr>
                                  <w:r>
                                    <w:rPr>
                                      <w:rFonts w:ascii="Times New Roman" w:hAnsi="Times New Roman"/>
                                      <w:color w:val="000000" w:themeColor="text1"/>
                                      <w:kern w:val="24"/>
                                      <w:sz w:val="28"/>
                                      <w:szCs w:val="28"/>
                                    </w:rPr>
                                    <w:t>Alzheimer’s</w:t>
                                  </w:r>
                                </w:p>
                              </w:txbxContent>
                            </v:textbox>
                          </v:shape>
                          <v:shape id="Text Box 55" o:spid="_x0000_s1038" type="#_x0000_t202" style="position:absolute;left:1220380;top:3821668;width:1600200;height:3077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jLUzwAAA&#10;ANsAAAAPAAAAZHJzL2Rvd25yZXYueG1sRI9Bi8IwFITvgv8hPGFvmipUlq6xFEHwal3x+miebdnm&#10;JSSx1n9vFhb2OMzMN8yunMwgRvKht6xgvcpAEDdW99wq+L4cl58gQkTWOFgmBS8KUO7nsx0W2j75&#10;TGMdW5EgHApU0MXoCilD05HBsLKOOHl36w3GJH0rtcdngptBbrJsKw32nBY6dHToqPmpH0aBv8jx&#10;Tq6uyLnt7XXdXLP8tlbqYzFVXyAiTfE//Nc+aQV5Dr9f0g+Q+z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JjLUzwAAAANsAAAAPAAAAAAAAAAAAAAAAAJcCAABkcnMvZG93bnJl&#10;di54bWxQSwUGAAAAAAQABAD1AAAAhAMAAAAA&#10;" fillcolor="#fabf8f [1945]" strokecolor="#e36c0a [2409]">
                            <v:textbox style="mso-fit-shape-to-text:t">
                              <w:txbxContent>
                                <w:p w:rsidR="00591AF8" w:rsidRDefault="00591AF8" w:rsidP="00591AF8">
                                  <w:pPr>
                                    <w:pStyle w:val="NormalWeb"/>
                                    <w:spacing w:before="0" w:beforeAutospacing="0" w:after="0" w:afterAutospacing="0"/>
                                  </w:pPr>
                                  <w:r>
                                    <w:rPr>
                                      <w:rFonts w:ascii="Times New Roman" w:hAnsi="Times New Roman"/>
                                      <w:color w:val="000000" w:themeColor="text1"/>
                                      <w:kern w:val="24"/>
                                      <w:sz w:val="28"/>
                                      <w:szCs w:val="28"/>
                                    </w:rPr>
                                    <w:t>Free fatty acids</w:t>
                                  </w:r>
                                </w:p>
                              </w:txbxContent>
                            </v:textbox>
                          </v:shape>
                          <v:shape id="Plus 56" o:spid="_x0000_s1039" style="position:absolute;left:1825497;top:3530600;width:228600;height:228600;visibility:visible;mso-wrap-style:square;v-text-anchor:middle" coordsize="228600,228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adhexQAA&#10;ANsAAAAPAAAAZHJzL2Rvd25yZXYueG1sRI9Ba8JAFITvQv/D8gq91U1DtRJdQ1NIsQiCVhBvj+wz&#10;G5p9G7Jbjf++KxQ8DjPzDbPIB9uKM/W+cazgZZyAIK6cbrhWsP8un2cgfEDW2DomBVfykC8fRgvM&#10;tLvwls67UIsIYZ+hAhNCl0npK0MW/dh1xNE7ud5iiLKvpe7xEuG2lWmSTKXFhuOCwY4+DFU/u1+r&#10;4MsUr5PN8bMsDvsUZ+vU6DcslHp6HN7nIAIN4R7+b6+0gskUbl/iD5D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5p2F7FAAAA2wAAAA8AAAAAAAAAAAAAAAAAlwIAAGRycy9k&#10;b3ducmV2LnhtbFBLBQYAAAAABAAEAPUAAACJAwAAAAA=&#10;" adj="-11796480,,5400" path="m30301,87417l87417,87417,87417,30301,141183,30301,141183,87417,198299,87417,198299,141183,141183,141183,141183,198299,87417,198299,87417,141183,30301,141183,30301,87417xe" fillcolor="#974706 [1609]" strokecolor="#e36c0a [2409]" strokeweight="2pt">
                            <v:stroke joinstyle="miter"/>
                            <v:formulas/>
                            <v:path arrowok="t" o:connecttype="custom" o:connectlocs="30301,87417;87417,87417;87417,30301;141183,30301;141183,87417;198299,87417;198299,141183;141183,141183;141183,198299;87417,198299;87417,141183;30301,141183;30301,87417" o:connectangles="0,0,0,0,0,0,0,0,0,0,0,0,0" textboxrect="0,0,228600,228600"/>
                            <v:textbox>
                              <w:txbxContent>
                                <w:p w:rsidR="00591AF8" w:rsidRDefault="00591AF8" w:rsidP="00591AF8">
                                  <w:pPr>
                                    <w:rPr>
                                      <w:rFonts w:eastAsia="Times New Roman"/>
                                    </w:rPr>
                                  </w:pPr>
                                </w:p>
                              </w:txbxContent>
                            </v:textbox>
                          </v:shape>
                          <v:shape id="Text Box 57" o:spid="_x0000_s1040" type="#_x0000_t202" style="position:absolute;left:1032121;top:4648200;width:1981200;height:3077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kcyyAAA&#10;ANsAAAAPAAAAZHJzL2Rvd25yZXYueG1sRI9Pa8JAEMXvBb/DMoVeim4qWCV1FStIg1TEPxdvQ3aa&#10;pMnOxuw2Rj99t1Dw+Hjzfm/edN6ZSrTUuMKygpdBBII4tbrgTMHxsOpPQDiPrLGyTAqu5GA+6z1M&#10;Mdb2wjtq9z4TAcIuRgW593UspUtzMugGtiYO3pdtDPogm0zqBi8Bbio5jKJXabDg0JBjTcuc0nL/&#10;Y8Ibm4/vcnu8jc7J+yRbPxfR5+1UKvX02C3eQHjq/P34P51oBaMx/G0JAJCz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3+RzLIAAAA2wAAAA8AAAAAAAAAAAAAAAAAlwIAAGRy&#10;cy9kb3ducmV2LnhtbFBLBQYAAAAABAAEAPUAAACMAwAAAAA=&#10;" fillcolor="#fabf8f [1945]" strokecolor="#974706 [1609]" strokeweight="2pt">
                            <v:textbox style="mso-fit-shape-to-text:t">
                              <w:txbxContent>
                                <w:p w:rsidR="00591AF8" w:rsidRDefault="00591AF8" w:rsidP="00591AF8">
                                  <w:pPr>
                                    <w:pStyle w:val="NormalWeb"/>
                                    <w:spacing w:before="0" w:beforeAutospacing="0" w:after="0" w:afterAutospacing="0"/>
                                  </w:pPr>
                                  <w:r>
                                    <w:rPr>
                                      <w:rFonts w:ascii="Times New Roman" w:hAnsi="Times New Roman"/>
                                      <w:b/>
                                      <w:bCs/>
                                      <w:color w:val="000000" w:themeColor="text1"/>
                                      <w:kern w:val="24"/>
                                      <w:sz w:val="28"/>
                                      <w:szCs w:val="28"/>
                                    </w:rPr>
                                    <w:t>Insulin Resistance</w:t>
                                  </w:r>
                                </w:p>
                              </w:txbxContent>
                            </v:textbox>
                          </v:shape>
                          <v:shapetype id="_x0000_t70" coordsize="21600,21600" o:spt="70" adj="5400,4320" path="m1080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58" o:spid="_x0000_s1041" type="#_x0000_t70" style="position:absolute;left:1883768;top:5113528;width:2286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xid5wAAA&#10;ANsAAAAPAAAAZHJzL2Rvd25yZXYueG1sRE/Pa8IwFL4P/B/CG+w2U8cU7YyliMIOvVRFr4/mrS1r&#10;XkqStd3++uUgePz4fm+zyXRiIOdbywoW8wQEcWV1y7WCy/n4ugbhA7LGzjIp+CUP2W72tMVU25FL&#10;Gk6hFjGEfYoKmhD6VEpfNWTQz21PHLkv6wyGCF0ttcMxhptOviXJShpsOTY02NO+oer79GMU3OQY&#10;Cl8tNm5N8v3wR2VeXEulXp6n/ANEoCk8xHf3p1awjGPjl/gD5O4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Oxid5wAAAANsAAAAPAAAAAAAAAAAAAAAAAJcCAABkcnMvZG93bnJl&#10;di54bWxQSwUGAAAAAAQABAD1AAAAhAMAAAAA&#10;" adj=",5400" fillcolor="#e36c0a [2409]" strokecolor="#974706 [1609]" strokeweight="2pt">
                            <v:textbox>
                              <w:txbxContent>
                                <w:p w:rsidR="00591AF8" w:rsidRDefault="00591AF8" w:rsidP="00591AF8">
                                  <w:pPr>
                                    <w:rPr>
                                      <w:rFonts w:eastAsia="Times New Roman"/>
                                    </w:rPr>
                                  </w:pPr>
                                </w:p>
                              </w:txbxContent>
                            </v:textbox>
                          </v:shape>
                          <v:shapetype id="_x0000_t71" coordsize="21600,21600" o:spt="71" path="m10800,5800l8352,2295,7312,6320,370,2295,4627,7617,,8615,3722,11775,135,14587,5667,13937,4762,17617,7715,15627,8485,21600,10532,14935,13247,19737,14020,14457,18145,18095,16837,12942,21600,13290,17607,10475,21097,8137,16702,7315,18380,4457,14155,5325,14522,0xe">
                            <v:stroke joinstyle="miter"/>
                            <v:path gradientshapeok="t" o:connecttype="custom" o:connectlocs="14522,0;0,8615;8485,21600;21600,13290" o:connectangles="270,180,90,0" textboxrect="4627,6320,16702,13937"/>
                          </v:shapetype>
                          <v:shape id="Explosion 1 59" o:spid="_x0000_s1042" type="#_x0000_t71" style="position:absolute;left:1475874;top:5562600;width:13716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qGbPxQAA&#10;ANsAAAAPAAAAZHJzL2Rvd25yZXYueG1sRI9Ba8JAFITvBf/D8oReim4aqqapayhtBU9CVfT6yL4m&#10;abNvQ3YT4793BaHHYWa+YZbZYGrRU+sqywqepxEI4tzqigsFh/16koBwHlljbZkUXMhBtho9LDHV&#10;9szf1O98IQKEXYoKSu+bVEqXl2TQTW1DHLwf2xr0QbaF1C2eA9zUMo6iuTRYcVgosaGPkvK/XWcU&#10;7HnYviTd/NMcFsnp6+n3KO0sVupxPLy/gfA0+P/wvb3RCmavcPsSfoBcX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yoZs/FAAAA2wAAAA8AAAAAAAAAAAAAAAAAlwIAAGRycy9k&#10;b3ducmV2LnhtbFBLBQYAAAAABAAEAPUAAACJAwAAAAA=&#10;" fillcolor="#fabf8f [1945]" strokecolor="#974706 [1609]" strokeweight="2pt">
                            <v:textbox>
                              <w:txbxContent>
                                <w:p w:rsidR="00591AF8" w:rsidRDefault="00591AF8" w:rsidP="00591AF8">
                                  <w:pPr>
                                    <w:pStyle w:val="NormalWeb"/>
                                    <w:spacing w:before="0" w:beforeAutospacing="0" w:after="0" w:afterAutospacing="0"/>
                                    <w:jc w:val="center"/>
                                  </w:pPr>
                                  <w:r>
                                    <w:rPr>
                                      <w:rFonts w:ascii="Times New Roman" w:hAnsi="Times New Roman"/>
                                      <w:b/>
                                      <w:bCs/>
                                      <w:color w:val="000000" w:themeColor="text1"/>
                                      <w:kern w:val="24"/>
                                      <w:sz w:val="28"/>
                                      <w:szCs w:val="28"/>
                                    </w:rPr>
                                    <w:t>ROS</w:t>
                                  </w:r>
                                </w:p>
                              </w:txbxContent>
                            </v:textbox>
                          </v:shape>
                          <v:shape id="Down Arrow 60" o:spid="_x0000_s1043" type="#_x0000_t67" style="position:absolute;left:1883768;top:6279896;width:228600;height:38099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ccSAvAAA&#10;ANsAAAAPAAAAZHJzL2Rvd25yZXYueG1sRE+7CsIwFN0F/yFcwaVoqkMp1SgiVHT0MThemmtbbG5K&#10;E7X69WYQHA/nvVz3phFP6lxtWcFsGoMgLqyuuVRwOeeTFITzyBoby6TgTQ7Wq+FgiZm2Lz7S8+RL&#10;EULYZaig8r7NpHRFRQbd1LbEgbvZzqAPsCul7vAVwk0j53GcSIM1h4YKW9pWVNxPD6MgPaafq/nk&#10;0YGaJL9Gu0jXREqNR/1mAcJT7//in3uvFSRhffgSfoBcfQE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NtxxIC8AAAA2wAAAA8AAAAAAAAAAAAAAAAAlwIAAGRycy9kb3ducmV2Lnht&#10;bFBLBQYAAAAABAAEAPUAAACAAwAAAAA=&#10;" adj="15120" fillcolor="#e36c0a [2409]" strokecolor="#974706 [1609]" strokeweight="2pt">
                            <v:textbox>
                              <w:txbxContent>
                                <w:p w:rsidR="00591AF8" w:rsidRDefault="00591AF8" w:rsidP="00591AF8">
                                  <w:pPr>
                                    <w:rPr>
                                      <w:rFonts w:eastAsia="Times New Roman"/>
                                    </w:rPr>
                                  </w:pPr>
                                </w:p>
                              </w:txbxContent>
                            </v:textbox>
                          </v:shape>
                          <v:shapetype id="_x0000_t105" coordsize="21600,21600" o:spt="105" adj="12960,19440,14400" path="wr0,0@3@23,0@22@4,0@15,0@1@23@7,0@13@2l@14@2@8@22@12@2at0,0@3@23@11@2@17@26@15,0@1@23@17@26@15@22xewr0,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61" o:spid="_x0000_s1044" type="#_x0000_t105" style="position:absolute;left:304379;top:5974527;width:1356448;height:776906;rotation:-5261575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QLH2wQAA&#10;ANsAAAAPAAAAZHJzL2Rvd25yZXYueG1sRI9Bi8IwFITvC/6H8ARva1oPZalGUUHwqusuHh/Ns2lt&#10;XkqTavXXbxYEj8PMfMMsVoNtxI06XzlWkE4TEMSF0xWXCk7fu88vED4ga2wck4IHeVgtRx8LzLW7&#10;84Fux1CKCGGfowITQptL6QtDFv3UtcTRu7jOYoiyK6Xu8B7htpGzJMmkxYrjgsGWtoaK67G3CvYZ&#10;p+dTsvn9qaXpe3zUdlc/lZqMh/UcRKAhvMOv9l4ryFL4/xJ/gFz+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UCx9sEAAADbAAAADwAAAAAAAAAAAAAAAACXAgAAZHJzL2Rvd25y&#10;ZXYueG1sUEsFBgAAAAAEAAQA9QAAAIUDAAAAAA==&#10;" adj="17737,20156,13677" fillcolor="#e36c0a [2409]" strokecolor="#974706 [1609]" strokeweight="2pt">
                            <v:textbox>
                              <w:txbxContent>
                                <w:p w:rsidR="00591AF8" w:rsidRDefault="00591AF8" w:rsidP="00591AF8">
                                  <w:pPr>
                                    <w:rPr>
                                      <w:rFonts w:eastAsia="Times New Roman"/>
                                    </w:rPr>
                                  </w:pPr>
                                </w:p>
                              </w:txbxContent>
                            </v:textbox>
                          </v:shape>
                          <v:shapetype id="_x0000_t32" coordsize="21600,21600" o:spt="32" o:oned="t" path="m0,0l21600,21600e" filled="f">
                            <v:path arrowok="t" fillok="f" o:connecttype="none"/>
                            <o:lock v:ext="edit" shapetype="t"/>
                          </v:shapetype>
                          <v:shape id="Straight Arrow Connector 62" o:spid="_x0000_s1045" type="#_x0000_t32" style="position:absolute;left:521133;top:1781048;width:609600;height:91439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g3YPL4AAADbAAAADwAAAGRycy9kb3ducmV2LnhtbESPzQrCMBCE74LvEFbwpqm/SDWKCIIH&#10;L1bxvDRrW2w2tUm1vr0RBI/DzHzDrDatKcWTaldYVjAaRiCIU6sLzhRczvvBAoTzyBpLy6TgTQ42&#10;625nhbG2Lz7RM/GZCBB2MSrIva9iKV2ak0E3tBVx8G62NuiDrDOpa3wFuCnlOIrm0mDBYSHHinY5&#10;pfekMQoezR4XzdQk29PueJ1Imnk7nSnV77XbJQhPrf+Hf+2DVjAfw/dL+AFy/QE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CaDdg8vgAAANsAAAAPAAAAAAAAAAAAAAAAAKEC&#10;AABkcnMvZG93bnJldi54bWxQSwUGAAAAAAQABAD5AAAAjAMAAAAA&#10;" strokecolor="#e36c0a [2409]" strokeweight="3.5pt">
                            <v:stroke endarrow="open"/>
                          </v:shape>
                          <v:shape id="Straight Arrow Connector 63" o:spid="_x0000_s1046" type="#_x0000_t32" style="position:absolute;left:2999874;top:1781048;width:761999;height:10668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P+ivsUAAADbAAAADwAAAGRycy9kb3ducmV2LnhtbESPQWsCMRSE70L/Q3gFL0WzrVbbrVFU&#10;EPRicRW8PjbPzdLNy7KJuv57IxQ8DjPzDTOZtbYSF2p86VjBez8BQZw7XXKh4LBf9b5A+ICssXJM&#10;Cm7kYTZ96Uww1e7KO7pkoRARwj5FBSaEOpXS54Ys+r6riaN3co3FEGVTSN3gNcJtJT+SZCQtlhwX&#10;DNa0NJT/ZWerYPMdbsPx2+dxPNzK7LyYn46m/FWq+9rOf0AEasMz/N9eawWjATy+xB8gp3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P+ivsUAAADbAAAADwAAAAAAAAAA&#10;AAAAAAChAgAAZHJzL2Rvd25yZXYueG1sUEsFBgAAAAAEAAQA+QAAAJMDAAAAAA==&#10;" strokecolor="#e36c0a [2409]" strokeweight="3.5pt">
                            <v:stroke endarrow="open"/>
                          </v:shape>
                          <v:rect id="Rectangle 64" o:spid="_x0000_s1047" style="position:absolute;left:2735415;top:2194353;width:1770530;height:3365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FWLSwgAA&#10;ANsAAAAPAAAAZHJzL2Rvd25yZXYueG1sRI9Pi8IwFMTvwn6H8Ba8aaosItUoIuyyZU9WL94ezesf&#10;bV5KE9u6n94IgsdhZn7DrLeDqUVHrassK5hNIxDEmdUVFwpOx+/JEoTzyBpry6TgTg62m4/RGmNt&#10;ez5Ql/pCBAi7GBWU3jexlC4ryaCb2oY4eLltDfog20LqFvsAN7WcR9FCGqw4LJTY0L6k7JrejIIk&#10;G9JT8pec84v/X7Lmrup/cqXGn8NuBcLT4N/hV/tXK1h8wfNL+AFy8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cVYtLCAAAA2wAAAA8AAAAAAAAAAAAAAAAAlwIAAGRycy9kb3du&#10;cmV2LnhtbFBLBQYAAAAABAAEAPUAAACGAwAAAAA=&#10;" fillcolor="#fabf8f [1945]" strokecolor="#e36c0a [2409]">
                            <v:textbox style="mso-fit-shape-to-text:t">
                              <w:txbxContent>
                                <w:p w:rsidR="00591AF8" w:rsidRDefault="00591AF8" w:rsidP="00591AF8">
                                  <w:pPr>
                                    <w:pStyle w:val="NormalWeb"/>
                                    <w:spacing w:before="0" w:beforeAutospacing="0" w:after="0" w:afterAutospacing="0"/>
                                  </w:pPr>
                                  <w:r>
                                    <w:rPr>
                                      <w:rFonts w:ascii="Times New Roman" w:hAnsi="Times New Roman"/>
                                      <w:color w:val="000000" w:themeColor="text1"/>
                                      <w:kern w:val="24"/>
                                      <w:sz w:val="28"/>
                                      <w:szCs w:val="28"/>
                                    </w:rPr>
                                    <w:t>A</w:t>
                                  </w:r>
                                  <w:r>
                                    <w:rPr>
                                      <w:rFonts w:ascii="Times New Roman" w:hAnsi="Times New Roman"/>
                                      <w:color w:val="000000" w:themeColor="text1"/>
                                      <w:kern w:val="24"/>
                                      <w:sz w:val="28"/>
                                      <w:szCs w:val="28"/>
                                      <w:lang w:val="el-GR"/>
                                    </w:rPr>
                                    <w:t>β</w:t>
                                  </w:r>
                                  <w:r>
                                    <w:rPr>
                                      <w:rFonts w:ascii="Times New Roman" w:hAnsi="Times New Roman"/>
                                      <w:color w:val="000000" w:themeColor="text1"/>
                                      <w:kern w:val="24"/>
                                      <w:sz w:val="28"/>
                                      <w:szCs w:val="28"/>
                                    </w:rPr>
                                    <w:t xml:space="preserve"> Plaques, NFTs</w:t>
                                  </w:r>
                                </w:p>
                              </w:txbxContent>
                            </v:textbox>
                          </v:rect>
                          <v:shape id="Text Box 66" o:spid="_x0000_s1048" type="#_x0000_t202" style="position:absolute;left:4098050;top:4886979;width:1071283;height:5720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lFLswwAA&#10;ANsAAAAPAAAAZHJzL2Rvd25yZXYueG1sRI/BasMwEETvhf6D2EIuJZETigluZBMSAj2lqZMPWKyt&#10;JWytjKUmbr8+KhR6HGbmDbOpJteLK43BelawXGQgiBuvLbcKLufDfA0iRGSNvWdS8E0BqvLxYYOF&#10;9jf+oGsdW5EgHApUYGIcCilDY8hhWPiBOHmffnQYkxxbqUe8Jbjr5SrLcunQclowONDOUNPVX06B&#10;7XY8uO3h1JmXd7un+Hz6yY5KzZ6m7SuISFP8D/+137SCPIffL+kHy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lFLswwAAANsAAAAPAAAAAAAAAAAAAAAAAJcCAABkcnMvZG93&#10;bnJldi54bWxQSwUGAAAAAAQABAD1AAAAhwMAAAAA&#10;" fillcolor="#fabf8f [1945]" strokecolor="#974706 [1609]">
                            <v:textbox style="mso-fit-shape-to-text:t">
                              <w:txbxContent>
                                <w:p w:rsidR="00591AF8" w:rsidRDefault="00591AF8" w:rsidP="00591AF8">
                                  <w:pPr>
                                    <w:pStyle w:val="NormalWeb"/>
                                    <w:spacing w:before="0" w:beforeAutospacing="0" w:after="0" w:afterAutospacing="0"/>
                                  </w:pPr>
                                  <w:r>
                                    <w:rPr>
                                      <w:rFonts w:ascii="Times New Roman" w:hAnsi="Times New Roman"/>
                                      <w:color w:val="000000" w:themeColor="text1"/>
                                      <w:kern w:val="24"/>
                                      <w:sz w:val="28"/>
                                      <w:szCs w:val="28"/>
                                    </w:rPr>
                                    <w:t>FOXO Signaling</w:t>
                                  </w:r>
                                </w:p>
                              </w:txbxContent>
                            </v:textbox>
                          </v:shape>
                          <v:shape id="Bent-Up Arrow 67" o:spid="_x0000_s1049" style="position:absolute;left:2999874;top:5496560;width:1828800;height:533400;visibility:visible;mso-wrap-style:square;v-text-anchor:middle" coordsize="1828800,5334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zA89xgAA&#10;ANsAAAAPAAAAZHJzL2Rvd25yZXYueG1sRI9BS8NAFITvgv9heYI3uzEtVWK3RWwLPVTQtge9PbLP&#10;JJh9G3afadpf3xUEj8PMfMPMFoNrVU8hNp4N3I8yUMSltw1XBg779d0jqCjIFlvPZOBEERbz66sZ&#10;FtYf+Z36nVQqQTgWaKAW6QqtY1mTwzjyHXHyvnxwKEmGStuAxwR3rc6zbKodNpwWauzopabye/fj&#10;DLxuPyfLlZy7/Vt2CL3km+U4/zDm9mZ4fgIlNMh/+K+9sQamD/D7Jf0APb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jzA89xgAAANsAAAAPAAAAAAAAAAAAAAAAAJcCAABkcnMv&#10;ZG93bnJldi54bWxQSwUGAAAAAAQABAD1AAAAigMAAAAA&#10;" adj="-11796480,,5400" path="m0,456318l1600934,456318,1600934,217755,1450150,217755,1639475,,1828800,217755,1678016,217755,1678016,533400,,533400,,456318xe" fillcolor="#e36c0a [2409]" strokecolor="#974706 [1609]" strokeweight="1.75pt">
                            <v:stroke joinstyle="miter"/>
                            <v:formulas/>
                            <v:path arrowok="t" o:connecttype="custom" o:connectlocs="0,456318;1600934,456318;1600934,217755;1450150,217755;1639475,0;1828800,217755;1678016,217755;1678016,533400;0,533400;0,456318" o:connectangles="0,0,0,0,0,0,0,0,0,0" textboxrect="0,0,1828800,533400"/>
                            <v:textbox>
                              <w:txbxContent>
                                <w:p w:rsidR="00591AF8" w:rsidRDefault="00591AF8" w:rsidP="00591AF8">
                                  <w:pPr>
                                    <w:rPr>
                                      <w:rFonts w:eastAsia="Times New Roman"/>
                                    </w:rPr>
                                  </w:pPr>
                                </w:p>
                              </w:txbxContent>
                            </v:textbox>
                          </v:shape>
                          <v:shape id="Text Box 68" o:spid="_x0000_s1050" type="#_x0000_t202" style="position:absolute;left:3246403;top:4007124;width:2438399;height:523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4dAQvQAA&#10;ANsAAAAPAAAAZHJzL2Rvd25yZXYueG1sRE/Pa4MwFL4X9j+EN9itjRYmwzWKDAa7zk68PsyrysxL&#10;SDJr//vlUOjx4/t9qjeziJV8mC0ryA8ZCOLB6plHBT/nz/0biBCRNS6WScGNAtTV0+6EpbZX/qa1&#10;jaNIIRxKVDDF6EopwzCRwXCwjjhxF+sNxgT9KLXHawo3izxmWSENzpwaJnT0MdHw2/4ZBf4s1wu5&#10;tiHniv7WHbvstc+VennemncQkbb4EN/dX1pBkcamL+kHyOof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p4dAQvQAAANsAAAAPAAAAAAAAAAAAAAAAAJcCAABkcnMvZG93bnJldi54&#10;bWxQSwUGAAAAAAQABAD1AAAAgQMAAAAA&#10;" fillcolor="#fabf8f [1945]" strokecolor="#e36c0a [2409]">
                            <v:textbox style="mso-fit-shape-to-text:t">
                              <w:txbxContent>
                                <w:p w:rsidR="00591AF8" w:rsidRDefault="00591AF8" w:rsidP="00591AF8">
                                  <w:pPr>
                                    <w:pStyle w:val="NormalWeb"/>
                                    <w:spacing w:before="0" w:beforeAutospacing="0" w:after="0" w:afterAutospacing="0"/>
                                  </w:pPr>
                                  <w:r>
                                    <w:rPr>
                                      <w:rFonts w:asciiTheme="minorHAnsi" w:hAnsi="Calibri" w:cstheme="minorBidi"/>
                                      <w:color w:val="000000" w:themeColor="text1"/>
                                      <w:kern w:val="24"/>
                                      <w:sz w:val="28"/>
                                      <w:szCs w:val="28"/>
                                    </w:rPr>
                                    <w:t>Gluconeogenesis Genes</w:t>
                                  </w:r>
                                </w:p>
                                <w:p w:rsidR="00591AF8" w:rsidRDefault="00591AF8" w:rsidP="00591AF8">
                                  <w:pPr>
                                    <w:pStyle w:val="NormalWeb"/>
                                    <w:spacing w:before="0" w:beforeAutospacing="0" w:after="0" w:afterAutospacing="0"/>
                                  </w:pPr>
                                  <w:r>
                                    <w:rPr>
                                      <w:rFonts w:asciiTheme="minorHAnsi" w:hAnsi="Calibri" w:cstheme="minorBidi"/>
                                      <w:color w:val="000000" w:themeColor="text1"/>
                                      <w:kern w:val="24"/>
                                      <w:sz w:val="28"/>
                                      <w:szCs w:val="28"/>
                                    </w:rPr>
                                    <w:t>Transcription ON</w:t>
                                  </w:r>
                                </w:p>
                              </w:txbxContent>
                            </v:textbox>
                          </v:shape>
                          <v:shape id="Bent-Up Arrow 69" o:spid="_x0000_s1051" style="position:absolute;left:3384938;top:2739135;width:1058671;height:1524000;rotation:-90;visibility:visible;mso-wrap-style:square;v-text-anchor:middle" coordsize="1058671,1524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LDBBxQAA&#10;ANsAAAAPAAAAZHJzL2Rvd25yZXYueG1sRI9BS8NAFITvBf/D8gQvxW60EjR2G6JY60EPreL5kX0m&#10;wd23YXdNYn99tyB4HGbmG2ZVTtaIgXzoHCu4WmQgiGunO24UfLxvLm9BhIis0TgmBb8UoFyfzVZY&#10;aDfyjoZ9bESCcChQQRtjX0gZ6pYshoXriZP35bzFmKRvpPY4Jrg18jrLcmmx47TQYk+PLdXf+x+r&#10;oP6sjD+8zh+en25oZ6YhLrf0ptTF+VTdg4g0xf/wX/tFK8jv4PQl/QC5P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sMEHFAAAA2wAAAA8AAAAAAAAAAAAAAAAAlwIAAGRycy9k&#10;b3ducmV2LnhtbFBLBQYAAAAABAAEAPUAAACJAwAAAAA=&#10;" adj="-11796480,,5400" path="m0,1473883l800366,1473883,800366,244881,592178,244881,825425,,1058671,244881,850483,244881,850483,1524000,,1524000,,1473883xe" fillcolor="#e36c0a [2409]" strokecolor="#974706 [1609]" strokeweight="1.75pt">
                            <v:stroke joinstyle="miter"/>
                            <v:formulas/>
                            <v:path arrowok="t" o:connecttype="custom" o:connectlocs="0,1473883;800366,1473883;800366,244881;592178,244881;825425,0;1058671,244881;850483,244881;850483,1524000;0,1524000;0,1473883" o:connectangles="0,0,0,0,0,0,0,0,0,0" textboxrect="0,0,1058671,1524000"/>
                            <v:textbox>
                              <w:txbxContent>
                                <w:p w:rsidR="00591AF8" w:rsidRDefault="00591AF8" w:rsidP="00591AF8">
                                  <w:pPr>
                                    <w:rPr>
                                      <w:rFonts w:eastAsia="Times New Roman"/>
                                    </w:rPr>
                                  </w:pPr>
                                </w:p>
                              </w:txbxContent>
                            </v:textbox>
                          </v:shape>
                        </v:group>
                      </v:group>
                      <v:shape id="Down Arrow 49" o:spid="_x0000_s1052" type="#_x0000_t67" style="position:absolute;left:1704474;top:3962400;width:152400;height:304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E8VcxQAA&#10;ANsAAAAPAAAAZHJzL2Rvd25yZXYueG1sRI9Pa8JAFMTvBb/D8gremk21/ouuIqJQL4WmCj0+sq9J&#10;MPs27K4m7afvFoQeh5n5DbPa9KYRN3K+tqzgOUlBEBdW11wqOH0cnuYgfEDW2FgmBd/kYbMePKww&#10;07bjd7rloRQRwj5DBVUIbSalLyoy6BPbEkfvyzqDIUpXSu2wi3DTyFGaTqXBmuNChS3tKiou+dUo&#10;+HSLurX76fiHZvnk3O0n8g2PSg0f++0SRKA+/Ifv7Vet4GUBf1/iD5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UTxVzFAAAA2wAAAA8AAAAAAAAAAAAAAAAAlwIAAGRycy9k&#10;b3ducmV2LnhtbFBLBQYAAAAABAAEAPUAAACJAwAAAAA=&#10;" fillcolor="#e36c0a [2409]" strokecolor="#974706 [1609]" strokeweight="2pt">
                        <v:textbox>
                          <w:txbxContent>
                            <w:p w:rsidR="00591AF8" w:rsidRDefault="00591AF8" w:rsidP="00591AF8">
                              <w:pPr>
                                <w:rPr>
                                  <w:rFonts w:eastAsia="Times New Roman"/>
                                </w:rPr>
                              </w:pPr>
                            </w:p>
                          </w:txbxContent>
                        </v:textbox>
                      </v:shape>
                    </v:group>
                    <v:group id="Group 19" o:spid="_x0000_s1053" style="position:absolute;left:5257800;top:914400;width:1371600;height:1219200" coordorigin="5257800,914400" coordsize="1371600,1219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B2uHwQAAANsAAAAPAAAAZHJzL2Rvd25yZXYueG1sRE9Ni8IwEL0L+x/CLHjT&#10;tLsobtcoIq54EEFdEG9DM7bFZlKa2NZ/bwTB2zze50znnSlFQ7UrLCuIhxEI4tTqgjMF/8e/wQSE&#10;88gaS8uk4E4O5rOP3hQTbVveU3PwmQgh7BJUkHtfJVK6NCeDbmgr4sBdbG3QB1hnUtfYhnBTyq8o&#10;GkuDBYeGHCta5pReDzejYN1iu/iOV832elnez8fR7rSNSan+Z7f4BeGp82/xy73RYf4P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8B2uHwQAAANsAAAAPAAAA&#10;AAAAAAAAAAAAAKkCAABkcnMvZG93bnJldi54bWxQSwUGAAAAAAQABAD6AAAAlwMAAAAA&#10;">
                      <v:shape id="Text Box 44" o:spid="_x0000_s1054" type="#_x0000_t202" style="position:absolute;left:5257800;top:914400;width:1371600;height:304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vzVgwwAA&#10;ANsAAAAPAAAAZHJzL2Rvd25yZXYueG1sRI/BasMwEETvhfyD2EAvpZFbTCluZBNSAj0lqdsPWKyt&#10;JWytjKUmTr4+CgRyHGbmDbOsJteLA43BelbwsshAEDdeW24V/P5snt9BhIissfdMCk4UoCpnD0ss&#10;tD/yNx3q2IoE4VCgAhPjUEgZGkMOw8IPxMn786PDmOTYSj3iMcFdL1+z7E06tJwWDA60NtR09b9T&#10;YLs1D2612Xcm39lPik/7c7ZV6nE+rT5ARJriPXxrf2kFeQ7XL+kHyPI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vzVgwwAAANsAAAAPAAAAAAAAAAAAAAAAAJcCAABkcnMvZG93&#10;bnJldi54bWxQSwUGAAAAAAQABAD1AAAAhwMAAAAA&#10;" fillcolor="#fabf8f [1945]" strokecolor="#974706 [1609]">
                        <v:textbox style="mso-fit-shape-to-text:t">
                          <w:txbxContent>
                            <w:p w:rsidR="00591AF8" w:rsidRDefault="00591AF8" w:rsidP="00591AF8">
                              <w:pPr>
                                <w:pStyle w:val="NormalWeb"/>
                                <w:spacing w:before="0" w:beforeAutospacing="0" w:after="0" w:afterAutospacing="0"/>
                              </w:pPr>
                              <w:r>
                                <w:rPr>
                                  <w:rFonts w:asciiTheme="minorHAnsi" w:hAnsi="Calibri" w:cstheme="minorBidi"/>
                                  <w:color w:val="000000" w:themeColor="text1"/>
                                  <w:kern w:val="24"/>
                                  <w:sz w:val="28"/>
                                  <w:szCs w:val="28"/>
                                </w:rPr>
                                <w:t>Oxidative Stress</w:t>
                              </w:r>
                            </w:p>
                          </w:txbxContent>
                        </v:textbox>
                      </v:shape>
                      <v:line id="Straight Connector 45" o:spid="_x0000_s1055" style="position:absolute;visibility:visible;mso-wrap-style:square" from="5943600,1219200" to="5943600,1676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ec0UMIAAADbAAAADwAAAGRycy9kb3ducmV2LnhtbESPQWsCMRSE7wX/Q3iCt5pVbNHVKLJU&#10;7LHdVs+PzXN3MXlZktRd/70pFHocZuYbZrMbrBE38qF1rGA2zUAQV063XCv4/jo8L0GEiKzROCYF&#10;dwqw246eNphr1/Mn3cpYiwThkKOCJsYulzJUDVkMU9cRJ+/ivMWYpK+l9tgnuDVynmWv0mLLaaHB&#10;joqGqmv5YxUsTXE/2rdjF7EvPszq7E/lzCs1GQ/7NYhIQ/wP/7XftYLFC/x+ST9Abh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ec0UMIAAADbAAAADwAAAAAAAAAAAAAA&#10;AAChAgAAZHJzL2Rvd25yZXYueG1sUEsFBgAAAAAEAAQA+QAAAJADAAAAAA==&#10;" strokecolor="#974706 [1609]" strokeweight="2.25pt"/>
                      <v:line id="Straight Connector 46" o:spid="_x0000_s1056" style="position:absolute;visibility:visible;mso-wrap-style:square" from="5791200,1676400" to="6096000,1676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0lGfsUAAADbAAAADwAAAGRycy9kb3ducmV2LnhtbESP3UoDMRSE74W+QziCdzZbkaVsmxYt&#10;ioKg/UUvD5vjZtnkZNnEdtunb4RCL4eZ+YaZzntnxZ66UHtWMBpmIIhLr2uuFGw3r/djECEia7Se&#10;ScGRAsxng5spFtofeEX7daxEgnAoUIGJsS2kDKUhh2HoW+Lk/frOYUyyq6Tu8JDgzsqHLMulw5rT&#10;gsGWFobKZv3nFLztXvTpOW8+qFl68/VpR8fvH6vU3W3/NAERqY/X8KX9rhU85vD/Jf0AOTs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0lGfsUAAADbAAAADwAAAAAAAAAA&#10;AAAAAAChAgAAZHJzL2Rvd25yZXYueG1sUEsFBgAAAAAEAAQA+QAAAJMDAAAAAA==&#10;" strokecolor="#974706 [1609]" strokeweight="2.5pt"/>
                      <v:oval id="Oval 47" o:spid="_x0000_s1057" style="position:absolute;left:5562600;top:1752600;width:838200;height:381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x90yxAAA&#10;ANsAAAAPAAAAZHJzL2Rvd25yZXYueG1sRI9BawIxFITvBf9DeEJv3axSWtkapQiCh1LUFUtvj83r&#10;JnTzsm7iuv77Rih4HGbmG2a+HFwjeuqC9axgkuUgiCuvLdcKDuX6aQYiRGSNjWdScKUAy8XoYY6F&#10;9hfeUb+PtUgQDgUqMDG2hZShMuQwZL4lTt6P7xzGJLta6g4vCe4aOc3zF+nQclow2NLKUPW7PzsF&#10;H33U5dGepqft98Cl/frMjT8r9Tge3t9ARBriPfzf3mgFz69w+5J+gF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MfdMsQAAADbAAAADwAAAAAAAAAAAAAAAACXAgAAZHJzL2Rv&#10;d25yZXYueG1sUEsFBgAAAAAEAAQA9QAAAIgDAAAAAA==&#10;" fillcolor="#fbd4b4 [1305]" strokecolor="#974706 [1609]" strokeweight=".25pt">
                        <v:textbox>
                          <w:txbxContent>
                            <w:p w:rsidR="00591AF8" w:rsidRDefault="00591AF8" w:rsidP="00591AF8">
                              <w:pPr>
                                <w:pStyle w:val="NormalWeb"/>
                                <w:spacing w:before="0" w:beforeAutospacing="0" w:after="0" w:afterAutospacing="0"/>
                                <w:jc w:val="center"/>
                              </w:pPr>
                              <w:r>
                                <w:rPr>
                                  <w:rFonts w:ascii="Times New Roman" w:hAnsi="Times New Roman"/>
                                  <w:color w:val="000000" w:themeColor="text1"/>
                                  <w:kern w:val="24"/>
                                  <w:sz w:val="36"/>
                                  <w:szCs w:val="36"/>
                                </w:rPr>
                                <w:t>Wnt</w:t>
                              </w:r>
                            </w:p>
                          </w:txbxContent>
                        </v:textbox>
                      </v:oval>
                    </v:group>
                    <v:group id="Group 20" o:spid="_x0000_s1058" style="position:absolute;left:4800600;top:2286000;width:2133600;height:914400" coordorigin="4800600,2286000" coordsize="2133600,914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UQinwgAAANsAAAAPAAAAZHJzL2Rvd25yZXYueG1sRE/LSsNAFN0L/YfhFrqz&#10;k7QoJXYSSlHpoggmgri7ZG4eJHMnZMYk/fvOQnB5OO9jtpheTDS61rKCeBuBIC6tbrlW8FW8PR5A&#10;OI+ssbdMCm7kIEtXD0dMtJ35k6bc1yKEsEtQQeP9kEjpyoYMuq0diANX2dGgD3CspR5xDuGml7so&#10;epYGWw4NDQ50bqjs8l+j4H3G+bSPX6drV51vP8XTx/c1JqU26+X0AsLT4v/Ff+6LVrAL6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1EIp8IAAADbAAAADwAA&#10;AAAAAAAAAAAAAACpAgAAZHJzL2Rvd25yZXYueG1sUEsFBgAAAAAEAAQA+gAAAJgDAAAAAA==&#10;">
                      <v:group id="Group 38" o:spid="_x0000_s1059" style="position:absolute;left:5029200;top:2590800;width:1600200;height:609600" coordorigin="5029200,2590800" coordsize="1600200,609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pJ8wgAAANsAAAAPAAAAZHJzL2Rvd25yZXYueG1sRE9Na8JAEL0X/A/LCN7q&#10;JkqLRNcgYqUHKTQRxNuQHZOQ7GzIbpP477uHQo+P971LJ9OKgXpXW1YQLyMQxIXVNZcKrvnH6waE&#10;88gaW8uk4EkO0v3sZYeJtiN/05D5UoQQdgkqqLzvEildUZFBt7QdceAetjfoA+xLqXscQ7hp5SqK&#10;3qXBmkNDhR0dKyqa7McoOI84Htbxabg0j+Pznr993S4xKbWYT4ctCE+T/xf/uT+1gnUYG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WP6SfMIAAADbAAAADwAA&#10;AAAAAAAAAAAAAACpAgAAZHJzL2Rvd25yZXYueG1sUEsFBgAAAAAEAAQA+gAAAJgDAAAAAA==&#10;">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1" o:spid="_x0000_s1060" type="#_x0000_t5" style="position:absolute;left:6019800;top:2819400;width:228600;height:381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e5exAAA&#10;ANsAAAAPAAAAZHJzL2Rvd25yZXYueG1sRI9BawIxFITvBf9DeAUvpWbVImVrFF0qaD1p6/2xed0N&#10;3bxsk+iu/94IhR6HmfmGmS9724gL+WAcKxiPMhDEpdOGKwVfn5vnVxAhImtsHJOCKwVYLgYPc8y1&#10;6/hAl2OsRIJwyFFBHWObSxnKmiyGkWuJk/ftvMWYpK+k9tgluG3kJMtm0qLhtFBjS0VN5c/xbBWc&#10;+p1Z29+ymO7N6en88b4q/LRTavjYr95AROrjf/ivvdUKXsZw/5J+gF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PnuXsQAAADbAAAADwAAAAAAAAAAAAAAAACXAgAAZHJzL2Rv&#10;d25yZXYueG1sUEsFBgAAAAAEAAQA9QAAAIgDAAAAAA==&#10;" fillcolor="#974706 [1609]" strokecolor="#974706 [1609]" strokeweight="2pt">
                          <v:textbox>
                            <w:txbxContent>
                              <w:p w:rsidR="00591AF8" w:rsidRDefault="00591AF8" w:rsidP="00591AF8">
                                <w:pPr>
                                  <w:rPr>
                                    <w:rFonts w:eastAsia="Times New Roman"/>
                                  </w:rPr>
                                </w:pPr>
                              </w:p>
                            </w:txbxContent>
                          </v:textbox>
                        </v:shape>
                        <v:line id="Straight Connector 42" o:spid="_x0000_s1061" style="position:absolute;flip:y;visibility:visible;mso-wrap-style:square" from="5410200,2667000" to="6629400,3048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92+m8QAAADbAAAADwAAAGRycy9kb3ducmV2LnhtbESPzW7CMBCE75V4B2uReisOtOInYBBC&#10;UFXqqYEDxyVekkC8DrYJ6dvXlSr1OJqdb3YWq87UoiXnK8sKhoMEBHFudcWFgsN+9zIF4QOyxtoy&#10;KfgmD6tl72mBqbYP/qI2C4WIEPYpKihDaFIpfV6SQT+wDXH0ztYZDFG6QmqHjwg3tRwlyVgarDg2&#10;lNjQpqT8mt1NfOM0aT+72e39cLGvDo+Z3o73WqnnfreegwjUhf/jv/SHVvA2gt8tEQBy+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b3b6bxAAAANsAAAAPAAAAAAAAAAAA&#10;AAAAAKECAABkcnMvZG93bnJldi54bWxQSwUGAAAAAAQABAD5AAAAkgMAAAAA&#10;" strokecolor="#974706 [1609]" strokeweight="2.25pt"/>
                        <v:oval id="Oval 43" o:spid="_x0000_s1062" style="position:absolute;left:5029200;top:2590800;width:838200;height:381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xcHUwwAA&#10;ANsAAAAPAAAAZHJzL2Rvd25yZXYueG1sRI9Ba8JAFITvgv9heUJvuqktItFVoiB4amts8fqafSYh&#10;2bcxu03Sf98tCB6HmfmGWW8HU4uOWldaVvA8i0AQZ1aXnCv4PB+mSxDOI2usLZOCX3Kw3YxHa4y1&#10;7flEXepzESDsYlRQeN/EUrqsIINuZhvi4F1ta9AH2eZSt9gHuKnlPIoW0mDJYaHAhvYFZVX6YxTM&#10;v6vsK7kuLuz5iP3t7WPYvfdKPU2GZAXC0+Af4Xv7qBW8vsD/l/AD5O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xcHUwwAAANsAAAAPAAAAAAAAAAAAAAAAAJcCAABkcnMvZG93&#10;bnJldi54bWxQSwUGAAAAAAQABAD1AAAAhwMAAAAA&#10;" fillcolor="#fabf8f [1945]" strokecolor="#974706 [1609]" strokeweight="1pt">
                          <v:textbox>
                            <w:txbxContent>
                              <w:p w:rsidR="00591AF8" w:rsidRDefault="00591AF8" w:rsidP="00591AF8">
                                <w:pPr>
                                  <w:pStyle w:val="NormalWeb"/>
                                  <w:spacing w:before="0" w:beforeAutospacing="0" w:after="0" w:afterAutospacing="0"/>
                                  <w:jc w:val="center"/>
                                </w:pPr>
                                <w:r>
                                  <w:rPr>
                                    <w:rFonts w:ascii="Times New Roman" w:hAnsi="Times New Roman"/>
                                    <w:color w:val="000000" w:themeColor="text1"/>
                                    <w:kern w:val="24"/>
                                    <w:sz w:val="22"/>
                                    <w:szCs w:val="22"/>
                                  </w:rPr>
                                  <w:t>FOXO</w:t>
                                </w:r>
                              </w:p>
                            </w:txbxContent>
                          </v:textbox>
                        </v:oval>
                      </v:group>
                      <v:oval id="Oval 39" o:spid="_x0000_s1063" style="position:absolute;left:4800600;top:2286000;width:1219200;height:304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EL/twwAA&#10;ANsAAAAPAAAAZHJzL2Rvd25yZXYueG1sRI9Bi8IwFITvgv8hPMGbpirIbjWKCKIHwd3Wg8dn82yr&#10;zUttotZ/v1lY2OMwM98w82VrKvGkxpWWFYyGEQjizOqScwXHdDP4AOE8ssbKMil4k4PlotuZY6zt&#10;i7/pmfhcBAi7GBUU3texlC4ryKAb2po4eBfbGPRBNrnUDb4C3FRyHEVTabDksFBgTeuCslvyMAqq&#10;LNVnf31ctrvkvmL3td4fTm+l+r12NQPhqfX/4b/2TiuYfMLvl/AD5OI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EL/twwAAANsAAAAPAAAAAAAAAAAAAAAAAJcCAABkcnMvZG93&#10;bnJldi54bWxQSwUGAAAAAAQABAD1AAAAhwMAAAAA&#10;" fillcolor="#cdddac [1622]" strokecolor="#94b64e [3046]">
                        <v:fill color2="#f0f4e6 [502]" rotate="t" colors="0 #dafda7;22938f #e4fdc2;1 #f5ffe6" type="gradient"/>
                        <v:shadow on="t" opacity="24903f" mv:blur="40000f" origin=",.5" offset="0,20000emu"/>
                        <v:textbox>
                          <w:txbxContent>
                            <w:p w:rsidR="00591AF8" w:rsidRDefault="00591AF8" w:rsidP="00591AF8">
                              <w:pPr>
                                <w:pStyle w:val="NormalWeb"/>
                                <w:spacing w:before="0" w:beforeAutospacing="0" w:after="0" w:afterAutospacing="0"/>
                                <w:jc w:val="center"/>
                              </w:pPr>
                              <w:r>
                                <w:rPr>
                                  <w:rFonts w:ascii="Times New Roman" w:hAnsi="Times New Roman"/>
                                  <w:color w:val="000000" w:themeColor="text1"/>
                                  <w:kern w:val="24"/>
                                  <w:sz w:val="24"/>
                                  <w:szCs w:val="24"/>
                                  <w:lang w:val="el-GR"/>
                                </w:rPr>
                                <w:t>β</w:t>
                              </w:r>
                              <w:r>
                                <w:rPr>
                                  <w:rFonts w:ascii="Times New Roman" w:hAnsi="Times New Roman"/>
                                  <w:color w:val="000000" w:themeColor="text1"/>
                                  <w:kern w:val="24"/>
                                  <w:sz w:val="24"/>
                                  <w:szCs w:val="24"/>
                                </w:rPr>
                                <w:t>-catenin</w:t>
                              </w:r>
                            </w:p>
                          </w:txbxContent>
                        </v:textbox>
                      </v:oval>
                      <v:oval id="Oval 40" o:spid="_x0000_s1064" style="position:absolute;left:6248400;top:2286000;width:685800;height:381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F1+jwQAA&#10;ANsAAAAPAAAAZHJzL2Rvd25yZXYueG1sRE/JasMwEL0X+g9iAr3VckwJxbVskkLApzZLS68Ta7wQ&#10;a+RYauz+fXQI9Ph4e1bMphdXGl1nWcEyikEQV1Z33Cj4Om6fX0E4j6yxt0wK/shBkT8+ZJhqO/Ge&#10;rgffiBDCLkUFrfdDKqWrWjLoIjsQB662o0Ef4NhIPeIUwk0vkzheSYMdh4YWB3pvqToffo2C5HSu&#10;vtf16oc9lzhdPnbz5nNS6mkxr99AeJr9v/juLrWCl7A+fAk/QOY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Rdfo8EAAADbAAAADwAAAAAAAAAAAAAAAACXAgAAZHJzL2Rvd25y&#10;ZXYueG1sUEsFBgAAAAAEAAQA9QAAAIUDAAAAAA==&#10;" fillcolor="#fabf8f [1945]" strokecolor="#974706 [1609]" strokeweight="1pt">
                        <v:textbox>
                          <w:txbxContent>
                            <w:p w:rsidR="00591AF8" w:rsidRDefault="00591AF8" w:rsidP="00591AF8">
                              <w:pPr>
                                <w:pStyle w:val="NormalWeb"/>
                                <w:spacing w:before="0" w:beforeAutospacing="0" w:after="0" w:afterAutospacing="0"/>
                                <w:jc w:val="center"/>
                              </w:pPr>
                              <w:r>
                                <w:rPr>
                                  <w:rFonts w:ascii="Times New Roman" w:hAnsi="Times New Roman"/>
                                  <w:color w:val="000000" w:themeColor="text1"/>
                                  <w:kern w:val="24"/>
                                  <w:sz w:val="24"/>
                                  <w:szCs w:val="24"/>
                                </w:rPr>
                                <w:t>TCF</w:t>
                              </w:r>
                            </w:p>
                          </w:txbxContent>
                        </v:textbox>
                      </v:oval>
                    </v:group>
                    <v:group id="Group 21" o:spid="_x0000_s1065" style="position:absolute;left:7086600;top:914400;width:2057400;height:2285999" coordorigin="7086600,914400" coordsize="2057400,22859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Ha08wwAAANsAAAAPAAAAZHJzL2Rvd25yZXYueG1sRI9Bi8IwFITvC/6H8ARv&#10;a1rFZalGEVHxIMLqgnh7NM+22LyUJrb13xtB8DjMzDfMbNGZUjRUu8KygngYgSBOrS44U/B/2nz/&#10;gnAeWWNpmRQ8yMFi3vuaYaJty3/UHH0mAoRdggpy76tESpfmZNANbUUcvKutDfog60zqGtsAN6Uc&#10;RdGPNFhwWMixolVO6e14Nwq2LbbLcbxu9rfr6nE5TQ7nfUxKDfrdcgrCU+c/4Xd7pxW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wdrTzDAAAA2wAAAA8A&#10;AAAAAAAAAAAAAAAAqQIAAGRycy9kb3ducmV2LnhtbFBLBQYAAAAABAAEAPoAAACZAwAAAAA=&#10;">
                      <v:group id="Group 26" o:spid="_x0000_s1066" style="position:absolute;left:7086600;top:2209799;width:2057400;height:990600" coordorigin="7086600,2209799" coordsize="2057400,990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9DVIxAAAANsAAAAPAAAAZHJzL2Rvd25yZXYueG1sRI9Bi8IwFITvgv8hPMGb&#10;plUUqUYR2V32IIJ1YfH2aJ5tsXkpTbat/34jCB6HmfmG2ex6U4mWGldaVhBPIxDEmdUl5wp+Lp+T&#10;FQjnkTVWlknBgxzstsPBBhNtOz5Tm/pcBAi7BBUU3teJlC4ryKCb2po4eDfbGPRBNrnUDXYBbio5&#10;i6KlNFhyWCiwpkNB2T39Mwq+Ouz28/ijPd5vh8f1sjj9HmNSajzq92sQnnr/Dr/a31rBbAn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D9DVIxAAAANsAAAAP&#10;AAAAAAAAAAAAAAAAAKkCAABkcnMvZG93bnJldi54bWxQSwUGAAAAAAQABAD6AAAAmgMAAAAA&#10;">
                        <v:group id="Group 32" o:spid="_x0000_s1067" style="position:absolute;left:7315200;top:2514599;width:1600200;height:685800" coordorigin="7315200,2514599" coordsize="1600200,685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FqWWxAAAANsAAAAPAAAAZHJzL2Rvd25yZXYueG1sRI9Bi8IwFITvgv8hPMGb&#10;plUU6RpFZFc8yIJ1Ydnbo3m2xealNLGt/94sCB6HmfmGWW97U4mWGldaVhBPIxDEmdUl5wp+Ll+T&#10;FQjnkTVWlknBgxxsN8PBGhNtOz5Tm/pcBAi7BBUU3teJlC4ryKCb2po4eFfbGPRBNrnUDXYBbio5&#10;i6KlNFhyWCiwpn1B2S29GwWHDrvdPP5sT7fr/vF3WXz/nmJSajzqdx8gPPX+HX61j1rBfAb/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5FqWWxAAAANsAAAAP&#10;AAAAAAAAAAAAAAAAAKkCAABkcnMvZG93bnJldi54bWxQSwUGAAAAAAQABAD6AAAAmgMAAAAA&#10;">
                          <v:oval id="Oval 35" o:spid="_x0000_s1068" style="position:absolute;left:8229600;top:2514599;width:685800;height:381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Zo9GwwAA&#10;ANsAAAAPAAAAZHJzL2Rvd25yZXYueG1sRI9Ba8JAFITvgv9heUJvuqmlItFVoiB4amts8fqafSYh&#10;2bcxu03Sf98tCB6HmfmGWW8HU4uOWldaVvA8i0AQZ1aXnCv4PB+mSxDOI2usLZOCX3Kw3YxHa4y1&#10;7flEXepzESDsYlRQeN/EUrqsIINuZhvi4F1ta9AH2eZSt9gHuKnlPIoW0mDJYaHAhvYFZVX6YxTM&#10;v6vsK7kuLuz5iP3t7WPYvfdKPU2GZAXC0+Af4Xv7qBW8vML/l/AD5O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Zo9GwwAAANsAAAAPAAAAAAAAAAAAAAAAAJcCAABkcnMvZG93&#10;bnJldi54bWxQSwUGAAAAAAQABAD1AAAAhwMAAAAA&#10;" fillcolor="#fabf8f [1945]" strokecolor="#974706 [1609]" strokeweight="1pt">
                            <v:textbox>
                              <w:txbxContent>
                                <w:p w:rsidR="00591AF8" w:rsidRDefault="00591AF8" w:rsidP="00591AF8">
                                  <w:pPr>
                                    <w:pStyle w:val="NormalWeb"/>
                                    <w:spacing w:before="0" w:beforeAutospacing="0" w:after="0" w:afterAutospacing="0"/>
                                    <w:jc w:val="center"/>
                                  </w:pPr>
                                  <w:r>
                                    <w:rPr>
                                      <w:rFonts w:ascii="Times New Roman" w:hAnsi="Times New Roman"/>
                                      <w:color w:val="000000" w:themeColor="text1"/>
                                      <w:kern w:val="24"/>
                                      <w:sz w:val="24"/>
                                      <w:szCs w:val="24"/>
                                    </w:rPr>
                                    <w:t>TCF</w:t>
                                  </w:r>
                                </w:p>
                              </w:txbxContent>
                            </v:textbox>
                          </v:oval>
                          <v:line id="Straight Connector 36" o:spid="_x0000_s1069" style="position:absolute;visibility:visible;mso-wrap-style:square" from="7315200,2666999" to="8686800,29717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TPZWsEAAADbAAAADwAAAGRycy9kb3ducmV2LnhtbESPT4vCMBTE7wt+h/AWvK2pCuJ2jbIU&#10;RY9r98/50TzbYvJSkmjrt98IgsdhZn7DrDaDNeJKPrSOFUwnGQjiyumWawU/37u3JYgQkTUax6Tg&#10;RgE269HLCnPtej7StYy1SBAOOSpoYuxyKUPVkMUwcR1x8k7OW4xJ+lpqj32CWyNnWbaQFltOCw12&#10;VDRUncuLVbA0xW1vt/suYl98mfc//1tOvVLj1+HzA0SkIT7Dj/ZBK5gv4P4l/QC5/g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JM9lawQAAANsAAAAPAAAAAAAAAAAAAAAA&#10;AKECAABkcnMvZG93bnJldi54bWxQSwUGAAAAAAQABAD5AAAAjwMAAAAA&#10;" strokecolor="#974706 [1609]" strokeweight="2.25pt"/>
                          <v:shape id="Isosceles Triangle 37" o:spid="_x0000_s1070" type="#_x0000_t5" style="position:absolute;left:7772400;top:2819399;width:228600;height:381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WqDMxAAA&#10;ANsAAAAPAAAAZHJzL2Rvd25yZXYueG1sRI9BawIxFITvBf9DeEIvotl2oZXVKHZpobanWr0/Nq+7&#10;oZuXbRLd9d8bQehxmJlvmOV6sK04kQ/GsYKHWQaCuHLacK1g//02nYMIEVlj65gUnCnAejW6W2Kh&#10;Xc9fdNrFWiQIhwIVNDF2hZShashimLmOOHk/zluMSfpaao99gttWPmbZk7RoOC002FHZUPW7O1oF&#10;h2FrXuxfVeaf5jA5frxuSp/3St2Ph80CRKQh/odv7XetIH+G65f0A+Tq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hFqgzMQAAADbAAAADwAAAAAAAAAAAAAAAACXAgAAZHJzL2Rv&#10;d25yZXYueG1sUEsFBgAAAAAEAAQA9QAAAIgDAAAAAA==&#10;" fillcolor="#974706 [1609]" strokecolor="#974706 [1609]" strokeweight="2pt">
                            <v:textbox>
                              <w:txbxContent>
                                <w:p w:rsidR="00591AF8" w:rsidRDefault="00591AF8" w:rsidP="00591AF8">
                                  <w:pPr>
                                    <w:rPr>
                                      <w:rFonts w:eastAsia="Times New Roman"/>
                                    </w:rPr>
                                  </w:pPr>
                                </w:p>
                              </w:txbxContent>
                            </v:textbox>
                          </v:shape>
                        </v:group>
                        <v:oval id="Oval 33" o:spid="_x0000_s1071" style="position:absolute;left:7086600;top:2285999;width:838200;height:381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w7KpxAAA&#10;ANsAAAAPAAAAZHJzL2Rvd25yZXYueG1sRI9Pa8JAFMTvgt9heYXezKYKImk2QYWCp9ZqS6/P7Msf&#10;kn2bZrcmfvtuoeBxmJnfMGk+mU5caXCNZQVPUQyCuLC64UrBx/llsQHhPLLGzjIpuJGDPJvPUky0&#10;HfmdridfiQBhl6CC2vs+kdIVNRl0ke2Jg1fawaAPcqikHnAMcNPJZRyvpcGGw0KNPe1rKtrTj1Gw&#10;vLTF57Zcf7HnA47fr8dp9zYq9fgwbZ9BeJr8PfzfPmgFqxX8fQk/QGa/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cOyqcQAAADbAAAADwAAAAAAAAAAAAAAAACXAgAAZHJzL2Rv&#10;d25yZXYueG1sUEsFBgAAAAAEAAQA9QAAAIgDAAAAAA==&#10;" fillcolor="#fabf8f [1945]" strokecolor="#974706 [1609]" strokeweight="1pt">
                          <v:textbox>
                            <w:txbxContent>
                              <w:p w:rsidR="00591AF8" w:rsidRDefault="00591AF8" w:rsidP="00591AF8">
                                <w:pPr>
                                  <w:pStyle w:val="NormalWeb"/>
                                  <w:spacing w:before="0" w:beforeAutospacing="0" w:after="0" w:afterAutospacing="0"/>
                                  <w:jc w:val="center"/>
                                </w:pPr>
                                <w:r>
                                  <w:rPr>
                                    <w:rFonts w:ascii="Times New Roman" w:hAnsi="Times New Roman"/>
                                    <w:color w:val="000000" w:themeColor="text1"/>
                                    <w:kern w:val="24"/>
                                    <w:sz w:val="22"/>
                                    <w:szCs w:val="22"/>
                                  </w:rPr>
                                  <w:t>FOXO</w:t>
                                </w:r>
                              </w:p>
                            </w:txbxContent>
                          </v:textbox>
                        </v:oval>
                        <v:oval id="Oval 34" o:spid="_x0000_s1072" style="position:absolute;left:7924800;top:2209799;width:1219200;height:304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ERBzxAAA&#10;ANsAAAAPAAAAZHJzL2Rvd25yZXYueG1sRI9Pi8IwFMTvgt8hPMGbpv5hWapRRBA9CO62Hjw+m2db&#10;bV5qE7V++83Cwh6HmfkNM1+2phJPalxpWcFoGIEgzqwuOVdwTDeDTxDOI2usLJOCNzlYLrqdOcba&#10;vvibnonPRYCwi1FB4X0dS+myggy6oa2Jg3exjUEfZJNL3eArwE0lx1H0IQ2WHBYKrGldUHZLHkZB&#10;laX67K+Py3aX3Ffsvtb7w+mtVL/XrmYgPLX+P/zX3mkFkyn8fgk/QC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BEQc8QAAADbAAAADwAAAAAAAAAAAAAAAACXAgAAZHJzL2Rv&#10;d25yZXYueG1sUEsFBgAAAAAEAAQA9QAAAIgDAAAAAA==&#10;" fillcolor="#cdddac [1622]" strokecolor="#94b64e [3046]">
                          <v:fill color2="#f0f4e6 [502]" rotate="t" colors="0 #dafda7;22938f #e4fdc2;1 #f5ffe6" type="gradient"/>
                          <v:shadow on="t" opacity="24903f" mv:blur="40000f" origin=",.5" offset="0,20000emu"/>
                          <v:textbox>
                            <w:txbxContent>
                              <w:p w:rsidR="00591AF8" w:rsidRDefault="00591AF8" w:rsidP="00591AF8">
                                <w:pPr>
                                  <w:pStyle w:val="NormalWeb"/>
                                  <w:spacing w:before="0" w:beforeAutospacing="0" w:after="0" w:afterAutospacing="0"/>
                                  <w:jc w:val="center"/>
                                </w:pPr>
                                <w:r>
                                  <w:rPr>
                                    <w:rFonts w:ascii="Times New Roman" w:hAnsi="Times New Roman"/>
                                    <w:color w:val="000000" w:themeColor="text1"/>
                                    <w:kern w:val="24"/>
                                    <w:sz w:val="24"/>
                                    <w:szCs w:val="24"/>
                                    <w:lang w:val="el-GR"/>
                                  </w:rPr>
                                  <w:t>β</w:t>
                                </w:r>
                                <w:r>
                                  <w:rPr>
                                    <w:rFonts w:ascii="Times New Roman" w:hAnsi="Times New Roman"/>
                                    <w:color w:val="000000" w:themeColor="text1"/>
                                    <w:kern w:val="24"/>
                                    <w:sz w:val="24"/>
                                    <w:szCs w:val="24"/>
                                  </w:rPr>
                                  <w:t>-catenin</w:t>
                                </w:r>
                              </w:p>
                            </w:txbxContent>
                          </v:textbox>
                        </v:oval>
                      </v:group>
                      <v:group id="Group 27" o:spid="_x0000_s1073" style="position:absolute;left:7467600;top:914400;width:1066800;height:1219199" coordorigin="7467600,914400" coordsize="1066800,12191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JDTxAAAANsAAAAPAAAAZHJzL2Rvd25yZXYueG1sRI9Bi8IwFITvwv6H8Ba8&#10;aVoXXalGEdkVDyKoC+Lt0TzbYvNSmmxb/70RBI/DzHzDzJedKUVDtSssK4iHEQji1OqCMwV/p9/B&#10;FITzyBpLy6TgTg6Wi4/eHBNtWz5Qc/SZCBB2CSrIva8SKV2ak0E3tBVx8K62NuiDrDOpa2wD3JRy&#10;FEUTabDgsJBjReuc0tvx3yjYtNiuvuKfZne7ru+X03h/3sWkVP+zW81AeOr8O/xqb7WC0Tc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suJDTxAAAANsAAAAP&#10;AAAAAAAAAAAAAAAAAKkCAABkcnMvZG93bnJldi54bWxQSwUGAAAAAAQABAD6AAAAmgMAAAAA&#10;">
                        <v:shape id="Text Box 28" o:spid="_x0000_s1074" type="#_x0000_t202" style="position:absolute;left:7467600;top:914400;width:762000;height:304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LdrFwAAA&#10;ANsAAAAPAAAAZHJzL2Rvd25yZXYueG1sRE/dasIwFL4f+A7hCN4MTSdjSG0UqRS82pz6AIfm2IQ2&#10;J6XJarenXy4Gu/z4/ov95Dox0hCsZwUvqwwEce215UbB7VotNyBCRNbYeSYF3xRgv5s9FZhr/+BP&#10;Gi+xESmEQ44KTIx9LmWoDTkMK98TJ+7uB4cxwaGResBHCnedXGfZm3RoOTUY7Kk0VLeXL6fAtiX3&#10;7lCdW/P6YY8Un88/2btSi/l02IKINMV/8Z/7pBWs09j0Jf0Aufs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XLdrFwAAAANsAAAAPAAAAAAAAAAAAAAAAAJcCAABkcnMvZG93bnJl&#10;di54bWxQSwUGAAAAAAQABAD1AAAAhAMAAAAA&#10;" fillcolor="#fabf8f [1945]" strokecolor="#974706 [1609]">
                          <v:textbox style="mso-fit-shape-to-text:t">
                            <w:txbxContent>
                              <w:p w:rsidR="00591AF8" w:rsidRDefault="00591AF8" w:rsidP="00591AF8">
                                <w:pPr>
                                  <w:pStyle w:val="NormalWeb"/>
                                  <w:spacing w:before="0" w:beforeAutospacing="0" w:after="0" w:afterAutospacing="0"/>
                                </w:pPr>
                                <w:r>
                                  <w:rPr>
                                    <w:rFonts w:asciiTheme="minorHAnsi" w:hAnsi="Calibri" w:cstheme="minorBidi"/>
                                    <w:color w:val="000000" w:themeColor="text1"/>
                                    <w:kern w:val="24"/>
                                    <w:sz w:val="28"/>
                                    <w:szCs w:val="28"/>
                                  </w:rPr>
                                  <w:t>Normal</w:t>
                                </w:r>
                              </w:p>
                            </w:txbxContent>
                          </v:textbox>
                        </v:shape>
                        <v:oval id="Oval 29" o:spid="_x0000_s1075" style="position:absolute;left:7467600;top:1676400;width:838200;height:381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ywl7xAAA&#10;ANsAAAAPAAAAZHJzL2Rvd25yZXYueG1sRI9BawIxFITvgv8hvII3zXYPpd0apRQED1KsK0pvj81z&#10;E9y8rJu4rv/eFAo9DjPzDTNfDq4RPXXBelbwPMtAEFdeW64V7MvV9BVEiMgaG8+k4E4BlovxaI6F&#10;9jf+pn4Xa5EgHApUYGJsCylDZchhmPmWOHkn3zmMSXa11B3eEtw1Ms+yF+nQclow2NKnoeq8uzoF&#10;mz7q8mAv+WX7M3Bpj1+Z8VelJk/DxzuISEP8D/+111pB/ga/X9IPkI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8sJe8QAAADbAAAADwAAAAAAAAAAAAAAAACXAgAAZHJzL2Rv&#10;d25yZXYueG1sUEsFBgAAAAAEAAQA9QAAAIgDAAAAAA==&#10;" fillcolor="#fbd4b4 [1305]" strokecolor="#974706 [1609]" strokeweight=".25pt">
                          <v:textbox>
                            <w:txbxContent>
                              <w:p w:rsidR="00591AF8" w:rsidRDefault="00591AF8" w:rsidP="00591AF8">
                                <w:pPr>
                                  <w:pStyle w:val="NormalWeb"/>
                                  <w:spacing w:before="0" w:beforeAutospacing="0" w:after="0" w:afterAutospacing="0"/>
                                  <w:jc w:val="center"/>
                                </w:pPr>
                                <w:r>
                                  <w:rPr>
                                    <w:rFonts w:ascii="Times New Roman" w:hAnsi="Times New Roman"/>
                                    <w:color w:val="000000" w:themeColor="text1"/>
                                    <w:kern w:val="24"/>
                                    <w:sz w:val="36"/>
                                    <w:szCs w:val="36"/>
                                  </w:rPr>
                                  <w:t>Wnt</w:t>
                                </w:r>
                              </w:p>
                            </w:txbxContent>
                          </v:textbox>
                        </v:oval>
                        <v:shape id="Straight Arrow Connector 30" o:spid="_x0000_s1076" type="#_x0000_t32" style="position:absolute;left:7848600;top:1219200;width:0;height:3810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" strokecolor="#e36c0a [2409]" strokeweight="3.5pt">
                          <v:stroke endarrow="open"/>
                        </v:shape>
                        <v:shape id="Straight Arrow Connector 31" o:spid="_x0000_s1077" type="#_x0000_t32" style="position:absolute;left:8183048;top:2001604;width:351352;height:13199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WxpVr4AAADbAAAADwAAAGRycy9kb3ducmV2LnhtbESPzQrCMBCE74LvEFbwpqm/SDWKCIIH&#10;L1bxvDRrW2w2tUm1vr0RBI/DzHzDrDatKcWTaldYVjAaRiCIU6sLzhRczvvBAoTzyBpLy6TgTQ42&#10;625nhbG2Lz7RM/GZCBB2MSrIva9iKV2ak0E3tBVx8G62NuiDrDOpa3wFuCnlOIrm0mDBYSHHinY5&#10;pfekMQoezR4XzdQk29PueJ1Imnk7nSnV77XbJQhPrf+Hf+2DVjAZwfdL+AFy/QE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B5bGlWvgAAANsAAAAPAAAAAAAAAAAAAAAAAKEC&#10;AABkcnMvZG93bnJldi54bWxQSwUGAAAAAAQABAD5AAAAjAMAAAAA&#10;" strokecolor="#e36c0a [2409]" strokeweight="3.5pt">
                          <v:stroke endarrow="open"/>
                        </v:shape>
                      </v:group>
                    </v:group>
                    <v:shape id="Bent-Up Arrow 22" o:spid="_x0000_s1078" style="position:absolute;left:5257802;top:3276602;width:838199;height:990600;rotation:90;flip:x;visibility:visible;mso-wrap-style:square;v-text-anchor:middle" coordsize="838199,990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HYkMvQAA&#10;ANsAAAAPAAAAZHJzL2Rvd25yZXYueG1sRI/NCsIwEITvgu8QVvCmqVVEqlFEVLyJPw+wNGtbbDYl&#10;iVrf3giCx2FmvmEWq9bU4knOV5YVjIYJCOLc6ooLBdfLbjAD4QOyxtoyKXiTh9Wy21lgpu2LT/Q8&#10;h0JECPsMFZQhNJmUPi/JoB/ahjh6N+sMhihdIbXDV4SbWqZJMpUGK44LJTa0KSm/nx9GQX6YTQwd&#10;93VDYztO3Dv1281eqX6vXc9BBGrDP/xrH7SCNIXvl/gD5PID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0HYkMvQAAANsAAAAPAAAAAAAAAAAAAAAAAJcCAABkcnMvZG93bnJldi54&#10;bWxQSwUGAAAAAAQABAD1AAAAgQMAAAAA&#10;" adj="-11796480,,5400" path="m0,953526l680136,953526,680136,138923,559146,138923,698672,,838199,138923,717209,138923,717209,990600,,990600,,953526xe" fillcolor="#e36c0a [2409]" strokecolor="#974706 [1609]" strokeweight="1.75pt">
                      <v:stroke joinstyle="miter"/>
                      <v:formulas/>
                      <v:path arrowok="t" o:connecttype="custom" o:connectlocs="0,953526;680136,953526;680136,138923;559146,138923;698672,0;838199,138923;717209,138923;717209,990600;0,990600;0,953526" o:connectangles="0,0,0,0,0,0,0,0,0,0" textboxrect="0,0,838199,990600"/>
                      <v:textbox>
                        <w:txbxContent>
                          <w:p w:rsidR="00591AF8" w:rsidRDefault="00591AF8" w:rsidP="00591AF8">
                            <w:pPr>
                              <w:rPr>
                                <w:rFonts w:eastAsia="Times New Roman"/>
                              </w:rPr>
                            </w:pPr>
                          </w:p>
                        </w:txbxContent>
                      </v:textbox>
                    </v:shape>
                    <v:shape id="Text Box 23" o:spid="_x0000_s1079" type="#_x0000_t202" style="position:absolute;left:5257800;top:4712939;width:3429000;height:19926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C+rBvwAA&#10;ANsAAAAPAAAAZHJzL2Rvd25yZXYueG1sRI/BCsIwEETvgv8QVvAimqogUo0iguBJtOp9bda22mxK&#10;E7X+vREEj8PMvGHmy8aU4km1KywrGA4iEMSp1QVnCk7HTX8KwnlkjaVlUvAmB8tFuzXHWNsXH+iZ&#10;+EwECLsYFeTeV7GULs3JoBvYijh4V1sb9EHWmdQ1vgLclHIURRNpsOCwkGNF65zSe/IwCm7347q5&#10;mJPG/fkRTV3Sk+/JTqlup1nNQHhq/D/8a2+1gtEYvl/CD5CL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YL6sG/AAAA2wAAAA8AAAAAAAAAAAAAAAAAlwIAAGRycy9kb3ducmV2&#10;LnhtbFBLBQYAAAAABAAEAPUAAACDAwAAAAA=&#10;" fillcolor="#fbd4b4 [1305]" strokecolor="#205867 [1608]">
                      <v:shadow on="t" opacity="26214f" mv:blur="50800f" origin=",-.5" offset="0,3pt"/>
                      <v:textbox style="mso-fit-shape-to-text:t">
                        <w:txbxContent>
                          <w:p w:rsidR="00591AF8" w:rsidRDefault="00591AF8" w:rsidP="00591AF8">
                            <w:pPr>
                              <w:pStyle w:val="NormalWeb"/>
                              <w:spacing w:before="0" w:beforeAutospacing="0" w:after="0" w:afterAutospacing="0" w:line="360" w:lineRule="auto"/>
                            </w:pPr>
                            <w:r>
                              <w:rPr>
                                <w:rFonts w:ascii="Times New Roman" w:hAnsi="Times New Roman"/>
                                <w:b/>
                                <w:bCs/>
                                <w:i/>
                                <w:iCs/>
                                <w:color w:val="000000" w:themeColor="text1"/>
                                <w:kern w:val="24"/>
                                <w:sz w:val="28"/>
                                <w:szCs w:val="28"/>
                              </w:rPr>
                              <w:t xml:space="preserve">Cell Death- </w:t>
                            </w:r>
                            <w:r>
                              <w:rPr>
                                <w:rFonts w:ascii="Times New Roman" w:hAnsi="Times New Roman"/>
                                <w:i/>
                                <w:iCs/>
                                <w:color w:val="000000" w:themeColor="text1"/>
                                <w:kern w:val="24"/>
                                <w:sz w:val="22"/>
                                <w:szCs w:val="22"/>
                              </w:rPr>
                              <w:t>Bim1, Fasl</w:t>
                            </w:r>
                          </w:p>
                          <w:p w:rsidR="00591AF8" w:rsidRDefault="00591AF8" w:rsidP="00591AF8">
                            <w:pPr>
                              <w:pStyle w:val="NormalWeb"/>
                              <w:spacing w:before="0" w:beforeAutospacing="0" w:after="0" w:afterAutospacing="0" w:line="360" w:lineRule="auto"/>
                            </w:pPr>
                            <w:r>
                              <w:rPr>
                                <w:rFonts w:ascii="Times New Roman" w:hAnsi="Times New Roman"/>
                                <w:b/>
                                <w:bCs/>
                                <w:i/>
                                <w:iCs/>
                                <w:color w:val="000000" w:themeColor="text1"/>
                                <w:kern w:val="24"/>
                                <w:sz w:val="28"/>
                                <w:szCs w:val="28"/>
                              </w:rPr>
                              <w:t xml:space="preserve">ROS detoxification- </w:t>
                            </w:r>
                            <w:r>
                              <w:rPr>
                                <w:rFonts w:ascii="Times New Roman" w:hAnsi="Times New Roman"/>
                                <w:i/>
                                <w:iCs/>
                                <w:color w:val="000000" w:themeColor="text1"/>
                                <w:kern w:val="24"/>
                                <w:sz w:val="22"/>
                                <w:szCs w:val="22"/>
                              </w:rPr>
                              <w:t>Catalase, MnSOD</w:t>
                            </w:r>
                          </w:p>
                          <w:p w:rsidR="00591AF8" w:rsidRDefault="00591AF8" w:rsidP="00591AF8">
                            <w:pPr>
                              <w:pStyle w:val="NormalWeb"/>
                              <w:spacing w:before="0" w:beforeAutospacing="0" w:after="0" w:afterAutospacing="0" w:line="360" w:lineRule="auto"/>
                            </w:pPr>
                            <w:r>
                              <w:rPr>
                                <w:rFonts w:ascii="Times New Roman" w:hAnsi="Times New Roman"/>
                                <w:b/>
                                <w:bCs/>
                                <w:i/>
                                <w:iCs/>
                                <w:color w:val="000000" w:themeColor="text1"/>
                                <w:kern w:val="24"/>
                                <w:sz w:val="28"/>
                                <w:szCs w:val="28"/>
                              </w:rPr>
                              <w:t xml:space="preserve">DNA Repair- </w:t>
                            </w:r>
                            <w:r>
                              <w:rPr>
                                <w:rFonts w:ascii="Times New Roman" w:hAnsi="Times New Roman"/>
                                <w:i/>
                                <w:iCs/>
                                <w:color w:val="000000" w:themeColor="text1"/>
                                <w:kern w:val="24"/>
                                <w:sz w:val="22"/>
                                <w:szCs w:val="22"/>
                              </w:rPr>
                              <w:t>GADD45, DDB1</w:t>
                            </w:r>
                          </w:p>
                          <w:p w:rsidR="00591AF8" w:rsidRDefault="00591AF8" w:rsidP="00591AF8">
                            <w:pPr>
                              <w:pStyle w:val="NormalWeb"/>
                              <w:spacing w:before="0" w:beforeAutospacing="0" w:after="0" w:afterAutospacing="0" w:line="360" w:lineRule="auto"/>
                            </w:pPr>
                            <w:r>
                              <w:rPr>
                                <w:rFonts w:ascii="Times New Roman" w:hAnsi="Times New Roman"/>
                                <w:b/>
                                <w:bCs/>
                                <w:i/>
                                <w:iCs/>
                                <w:color w:val="000000" w:themeColor="text1"/>
                                <w:kern w:val="24"/>
                                <w:sz w:val="28"/>
                                <w:szCs w:val="28"/>
                              </w:rPr>
                              <w:t>Cell Cycle Arrest-</w:t>
                            </w:r>
                            <w:r>
                              <w:rPr>
                                <w:rFonts w:ascii="Times New Roman" w:hAnsi="Times New Roman"/>
                                <w:b/>
                                <w:bCs/>
                                <w:i/>
                                <w:iCs/>
                                <w:color w:val="000000" w:themeColor="text1"/>
                                <w:kern w:val="24"/>
                                <w:sz w:val="22"/>
                                <w:szCs w:val="22"/>
                              </w:rPr>
                              <w:t xml:space="preserve"> </w:t>
                            </w:r>
                            <w:r>
                              <w:rPr>
                                <w:rFonts w:ascii="Times New Roman" w:hAnsi="Times New Roman"/>
                                <w:i/>
                                <w:iCs/>
                                <w:color w:val="000000" w:themeColor="text1"/>
                                <w:kern w:val="24"/>
                                <w:sz w:val="22"/>
                                <w:szCs w:val="22"/>
                              </w:rPr>
                              <w:t>p27, p130, GADD45, Cyclin G2</w:t>
                            </w:r>
                          </w:p>
                          <w:p w:rsidR="00591AF8" w:rsidRDefault="00591AF8" w:rsidP="00591AF8">
                            <w:pPr>
                              <w:pStyle w:val="NormalWeb"/>
                              <w:spacing w:before="0" w:beforeAutospacing="0" w:after="0" w:afterAutospacing="0" w:line="360" w:lineRule="auto"/>
                            </w:pPr>
                            <w:r>
                              <w:rPr>
                                <w:rFonts w:ascii="Times New Roman" w:hAnsi="Times New Roman"/>
                                <w:b/>
                                <w:bCs/>
                                <w:i/>
                                <w:iCs/>
                                <w:color w:val="000000" w:themeColor="text1"/>
                                <w:kern w:val="24"/>
                                <w:sz w:val="28"/>
                                <w:szCs w:val="28"/>
                              </w:rPr>
                              <w:t xml:space="preserve">Glucose metabolism- </w:t>
                            </w:r>
                            <w:r>
                              <w:rPr>
                                <w:rFonts w:ascii="Times New Roman" w:hAnsi="Times New Roman"/>
                                <w:i/>
                                <w:iCs/>
                                <w:color w:val="000000" w:themeColor="text1"/>
                                <w:kern w:val="24"/>
                                <w:sz w:val="22"/>
                                <w:szCs w:val="22"/>
                              </w:rPr>
                              <w:t>G6Pase, PEPCK</w:t>
                            </w:r>
                          </w:p>
                          <w:p w:rsidR="00591AF8" w:rsidRDefault="00591AF8" w:rsidP="00591AF8">
                            <w:pPr>
                              <w:pStyle w:val="NormalWeb"/>
                              <w:spacing w:before="0" w:beforeAutospacing="0" w:after="0" w:afterAutospacing="0" w:line="360" w:lineRule="auto"/>
                            </w:pPr>
                            <w:r>
                              <w:rPr>
                                <w:rFonts w:ascii="Times New Roman" w:hAnsi="Times New Roman"/>
                                <w:b/>
                                <w:bCs/>
                                <w:i/>
                                <w:iCs/>
                                <w:color w:val="000000" w:themeColor="text1"/>
                                <w:kern w:val="24"/>
                                <w:sz w:val="28"/>
                                <w:szCs w:val="28"/>
                              </w:rPr>
                              <w:t xml:space="preserve">Energy Homeostasis- </w:t>
                            </w:r>
                            <w:r>
                              <w:rPr>
                                <w:rFonts w:ascii="Times New Roman" w:hAnsi="Times New Roman"/>
                                <w:i/>
                                <w:iCs/>
                                <w:color w:val="000000" w:themeColor="text1"/>
                                <w:kern w:val="24"/>
                                <w:sz w:val="22"/>
                                <w:szCs w:val="22"/>
                              </w:rPr>
                              <w:t>AgRP, NPY</w:t>
                            </w:r>
                          </w:p>
                        </w:txbxContent>
                      </v:textbox>
                    </v:shape>
                    <v:shape id="Text Box 24" o:spid="_x0000_s1080" type="#_x0000_t202" style="position:absolute;left:6019800;top:3962400;width:1219200;height:5847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uQpNxAAA&#10;ANsAAAAPAAAAZHJzL2Rvd25yZXYueG1sRI9Ba8JAFITvBf/D8oTedKO0KtFVRCgtPWm09PrMPpO0&#10;2bcx+6rx33cLQo/DzHzDLFadq9WF2lB5NjAaJqCIc28rLgwc9i+DGaggyBZrz2TgRgFWy97DAlPr&#10;r7yjSyaFihAOKRooRZpU65CX5DAMfUMcvZNvHUqUbaFti9cId7UeJ8lEO6w4LpTY0Kak/Dv7cQY+&#10;R7OPr+fjefsufn3YvmbH20Smxjz2u/UclFAn/+F7+80aGD/B35f4A/Ty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rkKTcQAAADbAAAADwAAAAAAAAAAAAAAAACXAgAAZHJzL2Rv&#10;d25yZXYueG1sUEsFBgAAAAAEAAQA9QAAAIgDAAAAAA==&#10;" fillcolor="#fabf8f [1945]" strokecolor="#3f3151 [1607]">
                      <v:textbox style="mso-fit-shape-to-text:t">
                        <w:txbxContent>
                          <w:p w:rsidR="00591AF8" w:rsidRDefault="00591AF8" w:rsidP="00591AF8">
                            <w:pPr>
                              <w:pStyle w:val="NormalWeb"/>
                              <w:spacing w:before="0" w:beforeAutospacing="0" w:after="0" w:afterAutospacing="0"/>
                              <w:jc w:val="center"/>
                            </w:pPr>
                            <w:r>
                              <w:rPr>
                                <w:rFonts w:ascii="Times New Roman" w:hAnsi="Times New Roman"/>
                                <w:color w:val="000000" w:themeColor="text1"/>
                                <w:kern w:val="24"/>
                                <w:sz w:val="32"/>
                                <w:szCs w:val="32"/>
                              </w:rPr>
                              <w:t>Foxo signal regulates</w:t>
                            </w:r>
                          </w:p>
                        </w:txbxContent>
                      </v:textbox>
                    </v:shape>
                    <v:shape id="Bent-Up Arrow 25" o:spid="_x0000_s1081" style="position:absolute;left:2590800;top:76200;width:1676400;height:3505200;rotation:90;flip:y;visibility:visible;mso-wrap-style:square;v-text-anchor:middle" coordsize="1676400,35052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vX+OxAAA&#10;ANsAAAAPAAAAZHJzL2Rvd25yZXYueG1sRI9Ba8JAFITvhf6H5Qm9FN0otGh0lbJi6dHa9uDtkX0m&#10;Idm3Mfuq6b93C4Ueh5n5hlltBt+qC/WxDmxgOslAERfB1Vwa+PzYjeegoiA7bAOTgR+KsFnf360w&#10;d+HK73Q5SKkShGOOBiqRLtc6FhV5jJPQESfvFHqPkmRfatfjNcF9q2dZ9qw91pwWKuzIVlQ0h29v&#10;QLiUxXHeFGfb7Levu639so/WmIfR8LIEJTTIf/iv/eYMzJ7g90v6AXp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L1/jsQAAADbAAAADwAAAAAAAAAAAAAAAACXAgAAZHJzL2Rv&#10;d25yZXYueG1sUEsFBgAAAAAEAAQA9QAAAIgDAAAAAA==&#10;" adj="-11796480,,5400" path="m0,3447901l1561215,3447901,1561215,88950,1503328,88950,1589864,,1676400,88950,1618514,88950,1618514,3505200,,3505200,,3447901xe" fillcolor="#e36c0a [2409]" strokecolor="#974706 [1609]" strokeweight="1.75pt">
                      <v:stroke joinstyle="miter"/>
                      <v:formulas/>
                      <v:path arrowok="t" o:connecttype="custom" o:connectlocs="0,3447901;1561215,3447901;1561215,88950;1503328,88950;1589864,0;1676400,88950;1618514,88950;1618514,3505200;0,3505200;0,3447901" o:connectangles="0,0,0,0,0,0,0,0,0,0" textboxrect="0,0,1676400,3505200"/>
                      <v:textbox>
                        <w:txbxContent>
                          <w:p w:rsidR="00591AF8" w:rsidRDefault="00591AF8" w:rsidP="00591AF8">
                            <w:pPr>
                              <w:rPr>
                                <w:rFonts w:eastAsia="Times New Roman"/>
                              </w:rPr>
                            </w:pPr>
                          </w:p>
                        </w:txbxContent>
                      </v:textbox>
                    </v:shape>
                  </v:group>
                  <v:shape id="Text Box 17" o:spid="_x0000_s1082" type="#_x0000_t202" style="position:absolute;left:1233464;top:304800;width:7605736;height:36933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mLEKwQAA&#10;ANsAAAAPAAAAZHJzL2Rvd25yZXYueG1sRE/bagIxEH0v+A9hhL5IzarULqtRVCgUqeDtA4Zkurt0&#10;M1mSqNu/N4LQtzmc68yXnW3ElXyoHSsYDTMQxNqZmksF59PnWw4iRGSDjWNS8EcBloveyxwL4258&#10;oOsxliKFcChQQRVjW0gZdEUWw9C1xIn7cd5iTNCX0ni8pXDbyHGWTaXFmlNDhS1tKtK/x4tVkK9x&#10;v9/S92Xnt/l5HAd68D7RSr32u9UMRKQu/ouf7i+T5n/A45d0gFzc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CJixCsEAAADbAAAADwAAAAAAAAAAAAAAAACXAgAAZHJzL2Rvd25y&#10;ZXYueG1sUEsFBgAAAAAEAAQA9QAAAIUDAAAAAA==&#10;" fillcolor="#fabf8f [1945]" strokecolor="#974706 [1609]">
                    <v:textbox style="mso-fit-shape-to-text:t">
                      <w:txbxContent>
                        <w:p w:rsidR="00591AF8" w:rsidRDefault="00591AF8" w:rsidP="00591AF8">
                          <w:pPr>
                            <w:pStyle w:val="NormalWeb"/>
                            <w:spacing w:before="0" w:beforeAutospacing="0" w:after="0" w:afterAutospacing="0"/>
                          </w:pPr>
                          <w:r>
                            <w:rPr>
                              <w:rFonts w:ascii="Times New Roman" w:hAnsi="Times New Roman"/>
                              <w:b/>
                              <w:bCs/>
                              <w:color w:val="000000" w:themeColor="text1"/>
                              <w:kern w:val="24"/>
                              <w:sz w:val="36"/>
                              <w:szCs w:val="36"/>
                            </w:rPr>
                            <w:t xml:space="preserve"> Vicious cycle of Insulin Resistance &amp; Aβ upregulation via FOXO signaling:</w:t>
                          </w:r>
                        </w:p>
                      </w:txbxContent>
                    </v:textbox>
                  </v:shape>
                </v:group>
                <v:oval id="Oval 13" o:spid="_x0000_s1083" style="position:absolute;left:1219200;top:6324600;width:15240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TWAuwQAA&#10;ANsAAAAPAAAAZHJzL2Rvd25yZXYueG1sRE9Na8JAEL0X/A/LCL01m7YQSnQNttDSm2hVPA7ZMYlm&#10;Z8PuNon+elco9DaP9znzYjSt6Mn5xrKC5yQFQVxa3XClYPvz+fQGwgdkja1lUnAhD8Vi8jDHXNuB&#10;19RvQiViCPscFdQhdLmUvqzJoE9sRxy5o3UGQ4SuktrhEMNNK1/SNJMGG44NNXb0UVN53vwaBdfD&#10;8OVp955VpRtO+2sm16tGKvU4HZczEIHG8C/+c3/rOP8V7r/EA+Ti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Xk1gLsEAAADbAAAADwAAAAAAAAAAAAAAAACXAgAAZHJzL2Rvd25y&#10;ZXYueG1sUEsFBgAAAAAEAAQA9QAAAIUDAAAAAA==&#10;" fillcolor="#fbcaa2 [1625]" strokecolor="#f68c36 [3049]">
                  <v:fill color2="#fdefe3 [505]" rotate="t" colors="0 #ffbe86;22938f #ffd0aa;1 #ffebdb" type="gradient"/>
                  <v:shadow on="t" opacity="24903f" mv:blur="40000f" origin=",.5" offset="0,20000emu"/>
                  <v:textbox>
                    <w:txbxContent>
                      <w:p w:rsidR="00591AF8" w:rsidRDefault="00591AF8" w:rsidP="00591AF8">
                        <w:pPr>
                          <w:pStyle w:val="NormalWeb"/>
                          <w:spacing w:before="0" w:beforeAutospacing="0" w:after="0" w:afterAutospacing="0"/>
                          <w:jc w:val="center"/>
                        </w:pPr>
                        <w:r>
                          <w:rPr>
                            <w:rFonts w:ascii="Times New Roman" w:hAnsi="Times New Roman"/>
                            <w:b/>
                            <w:bCs/>
                            <w:color w:val="000000" w:themeColor="dark1"/>
                            <w:kern w:val="24"/>
                            <w:sz w:val="22"/>
                            <w:szCs w:val="22"/>
                          </w:rPr>
                          <w:t>mitochondria</w:t>
                        </w:r>
                      </w:p>
                    </w:txbxContent>
                  </v:textbox>
                </v:oval>
                <w10:anchorlock/>
              </v:group>
            </w:pict>
          </mc:Fallback>
        </mc:AlternateContent>
      </w:r>
    </w:p>
    <w:p w:rsidR="00C821A4" w:rsidRPr="009F58C2" w:rsidRDefault="00C821A4" w:rsidP="00C821A4">
      <w:pPr>
        <w:spacing w:line="360" w:lineRule="auto"/>
        <w:rPr>
          <w:rFonts w:ascii="Book Antiqua" w:hAnsi="Book Antiqua"/>
          <w:bCs/>
          <w:sz w:val="24"/>
        </w:rPr>
      </w:pPr>
      <w:r w:rsidRPr="009F58C2">
        <w:rPr>
          <w:rFonts w:ascii="Book Antiqua" w:hAnsi="Book Antiqua"/>
          <w:b/>
          <w:bCs/>
          <w:sz w:val="24"/>
        </w:rPr>
        <w:t xml:space="preserve">Figure 4 Diagrammatic representation of vicious cycle of insulin resistance and </w:t>
      </w:r>
      <w:r w:rsidRPr="009F58C2">
        <w:rPr>
          <w:rFonts w:ascii="Book Antiqua" w:hAnsi="Book Antiqua"/>
          <w:b/>
          <w:sz w:val="24"/>
        </w:rPr>
        <w:t>amyloid beta</w:t>
      </w:r>
      <w:r w:rsidRPr="009F58C2">
        <w:rPr>
          <w:rFonts w:ascii="Book Antiqua" w:hAnsi="Book Antiqua"/>
          <w:b/>
          <w:bCs/>
          <w:sz w:val="24"/>
        </w:rPr>
        <w:t xml:space="preserve"> up regulation </w:t>
      </w:r>
      <w:r w:rsidRPr="009F58C2">
        <w:rPr>
          <w:rFonts w:ascii="Book Antiqua" w:hAnsi="Book Antiqua"/>
          <w:b/>
          <w:bCs/>
          <w:i/>
          <w:sz w:val="24"/>
        </w:rPr>
        <w:t>via</w:t>
      </w:r>
      <w:r w:rsidRPr="009F58C2">
        <w:rPr>
          <w:rFonts w:ascii="Book Antiqua" w:hAnsi="Book Antiqua"/>
          <w:b/>
          <w:sz w:val="24"/>
        </w:rPr>
        <w:t xml:space="preserve"> forkhead box O</w:t>
      </w:r>
      <w:r w:rsidRPr="009F58C2">
        <w:rPr>
          <w:rFonts w:ascii="Book Antiqua" w:hAnsi="Book Antiqua"/>
          <w:b/>
          <w:bCs/>
          <w:sz w:val="24"/>
        </w:rPr>
        <w:t xml:space="preserve"> signaling.</w:t>
      </w:r>
      <w:r w:rsidRPr="007417D2">
        <w:rPr>
          <w:rFonts w:ascii="Book Antiqua" w:hAnsi="Book Antiqua"/>
          <w:b/>
          <w:bCs/>
          <w:sz w:val="24"/>
        </w:rPr>
        <w:t xml:space="preserve"> </w:t>
      </w:r>
      <w:r w:rsidRPr="007417D2">
        <w:rPr>
          <w:rFonts w:ascii="Book Antiqua" w:hAnsi="Book Antiqua"/>
          <w:bCs/>
          <w:sz w:val="24"/>
        </w:rPr>
        <w:t>FOXO signaling is a protective mechanism adopted by body to cope up with any cellular stress by ROS detoxification. In case of DM whenever there is any metabolic disturbance like hyperinsulinemia and hyperglycemia, it leads to further oxidative stress and ROS generation which promotes further trigger for FOXO signaling and promotes a vicious cycle of ROS leading the cell towards apoptosis.</w:t>
      </w:r>
      <w:r>
        <w:rPr>
          <w:rFonts w:ascii="Book Antiqua" w:hAnsi="Book Antiqua" w:hint="eastAsia"/>
          <w:bCs/>
          <w:sz w:val="24"/>
        </w:rPr>
        <w:t xml:space="preserve"> </w:t>
      </w:r>
      <w:r w:rsidRPr="00AE1001">
        <w:rPr>
          <w:rFonts w:ascii="Book Antiqua" w:hAnsi="Book Antiqua"/>
          <w:sz w:val="24"/>
        </w:rPr>
        <w:t>T2D</w:t>
      </w:r>
      <w:r w:rsidRPr="00AE1001">
        <w:rPr>
          <w:rFonts w:ascii="Book Antiqua" w:hAnsi="Book Antiqua" w:hint="eastAsia"/>
          <w:sz w:val="24"/>
        </w:rPr>
        <w:t>:</w:t>
      </w:r>
      <w:r w:rsidRPr="00AE1001">
        <w:rPr>
          <w:rFonts w:ascii="Book Antiqua" w:hAnsi="Book Antiqua"/>
          <w:sz w:val="24"/>
        </w:rPr>
        <w:t xml:space="preserve"> Type 2 diabetes</w:t>
      </w:r>
      <w:r w:rsidRPr="00AE1001">
        <w:rPr>
          <w:rFonts w:ascii="Book Antiqua" w:hAnsi="Book Antiqua" w:hint="eastAsia"/>
          <w:sz w:val="24"/>
        </w:rPr>
        <w:t>;</w:t>
      </w:r>
      <w:r w:rsidRPr="00AE1001">
        <w:rPr>
          <w:rFonts w:ascii="Book Antiqua" w:hAnsi="Book Antiqua"/>
          <w:sz w:val="24"/>
        </w:rPr>
        <w:t xml:space="preserve"> Aβ</w:t>
      </w:r>
      <w:r w:rsidRPr="00AE1001">
        <w:rPr>
          <w:rFonts w:ascii="Book Antiqua" w:hAnsi="Book Antiqua" w:hint="eastAsia"/>
          <w:sz w:val="24"/>
        </w:rPr>
        <w:t xml:space="preserve">: </w:t>
      </w:r>
      <w:r w:rsidRPr="00AE1001">
        <w:rPr>
          <w:rFonts w:ascii="Book Antiqua" w:hAnsi="Book Antiqua"/>
          <w:sz w:val="24"/>
        </w:rPr>
        <w:t>Amyloid beta</w:t>
      </w:r>
      <w:r w:rsidRPr="00AE1001">
        <w:rPr>
          <w:rFonts w:ascii="Book Antiqua" w:hAnsi="Book Antiqua" w:hint="eastAsia"/>
          <w:sz w:val="24"/>
        </w:rPr>
        <w:t>;</w:t>
      </w:r>
      <w:r w:rsidRPr="009F58C2">
        <w:rPr>
          <w:rFonts w:ascii="Book Antiqua" w:hAnsi="Book Antiqua"/>
          <w:sz w:val="24"/>
        </w:rPr>
        <w:t xml:space="preserve"> </w:t>
      </w:r>
      <w:r w:rsidRPr="0007325F">
        <w:rPr>
          <w:rFonts w:ascii="Book Antiqua" w:hAnsi="Book Antiqua"/>
          <w:sz w:val="24"/>
        </w:rPr>
        <w:t>FOXO</w:t>
      </w:r>
      <w:r>
        <w:rPr>
          <w:rFonts w:ascii="Book Antiqua" w:hAnsi="Book Antiqua" w:hint="eastAsia"/>
          <w:sz w:val="24"/>
        </w:rPr>
        <w:t xml:space="preserve">: </w:t>
      </w:r>
      <w:r w:rsidRPr="0007325F">
        <w:rPr>
          <w:rFonts w:ascii="Book Antiqua" w:hAnsi="Book Antiqua"/>
          <w:sz w:val="24"/>
        </w:rPr>
        <w:t>Forkhead box O</w:t>
      </w:r>
      <w:r>
        <w:rPr>
          <w:rFonts w:ascii="Book Antiqua" w:hAnsi="Book Antiqua" w:hint="eastAsia"/>
          <w:sz w:val="24"/>
        </w:rPr>
        <w:t>;</w:t>
      </w:r>
      <w:r w:rsidRPr="009F58C2">
        <w:rPr>
          <w:rFonts w:ascii="Book Antiqua" w:hAnsi="Book Antiqua"/>
          <w:sz w:val="24"/>
        </w:rPr>
        <w:t xml:space="preserve"> </w:t>
      </w:r>
      <w:r w:rsidRPr="0007325F">
        <w:rPr>
          <w:rFonts w:ascii="Book Antiqua" w:hAnsi="Book Antiqua"/>
          <w:sz w:val="24"/>
        </w:rPr>
        <w:t>ROS</w:t>
      </w:r>
      <w:r>
        <w:rPr>
          <w:rFonts w:ascii="Book Antiqua" w:hAnsi="Book Antiqua" w:hint="eastAsia"/>
          <w:sz w:val="24"/>
        </w:rPr>
        <w:t xml:space="preserve">: </w:t>
      </w:r>
      <w:r w:rsidRPr="0007325F">
        <w:rPr>
          <w:rFonts w:ascii="Book Antiqua" w:hAnsi="Book Antiqua"/>
          <w:sz w:val="24"/>
        </w:rPr>
        <w:t>Reactive oxygen species</w:t>
      </w:r>
      <w:r>
        <w:rPr>
          <w:rFonts w:ascii="Book Antiqua" w:hAnsi="Book Antiqua" w:hint="eastAsia"/>
          <w:sz w:val="24"/>
        </w:rPr>
        <w:t xml:space="preserve">; </w:t>
      </w:r>
      <w:r w:rsidRPr="0007325F">
        <w:rPr>
          <w:rFonts w:ascii="Book Antiqua" w:hAnsi="Book Antiqua"/>
          <w:sz w:val="24"/>
        </w:rPr>
        <w:t>TCF</w:t>
      </w:r>
      <w:r>
        <w:rPr>
          <w:rFonts w:ascii="Book Antiqua" w:hAnsi="Book Antiqua" w:hint="eastAsia"/>
          <w:sz w:val="24"/>
        </w:rPr>
        <w:t xml:space="preserve">: </w:t>
      </w:r>
      <w:r w:rsidRPr="0007325F">
        <w:rPr>
          <w:rFonts w:ascii="Book Antiqua" w:hAnsi="Book Antiqua"/>
          <w:sz w:val="24"/>
        </w:rPr>
        <w:t>T cell factor</w:t>
      </w:r>
      <w:r>
        <w:rPr>
          <w:rFonts w:ascii="Book Antiqua" w:hAnsi="Book Antiqua" w:hint="eastAsia"/>
          <w:sz w:val="24"/>
        </w:rPr>
        <w:t xml:space="preserve">; </w:t>
      </w:r>
      <w:r w:rsidRPr="0007325F">
        <w:rPr>
          <w:rFonts w:ascii="Book Antiqua" w:hAnsi="Book Antiqua"/>
          <w:sz w:val="24"/>
        </w:rPr>
        <w:t>DM</w:t>
      </w:r>
      <w:r>
        <w:rPr>
          <w:rFonts w:ascii="Book Antiqua" w:hAnsi="Book Antiqua" w:hint="eastAsia"/>
          <w:sz w:val="24"/>
        </w:rPr>
        <w:t xml:space="preserve">: </w:t>
      </w:r>
      <w:r w:rsidRPr="0007325F">
        <w:rPr>
          <w:rFonts w:ascii="Book Antiqua" w:hAnsi="Book Antiqua"/>
          <w:sz w:val="24"/>
        </w:rPr>
        <w:t>Diabetes mellitus</w:t>
      </w:r>
      <w:r>
        <w:rPr>
          <w:rFonts w:ascii="Book Antiqua" w:hAnsi="Book Antiqua" w:hint="eastAsia"/>
          <w:sz w:val="24"/>
        </w:rPr>
        <w:t>.</w:t>
      </w:r>
    </w:p>
    <w:p w:rsidR="00C821A4" w:rsidRPr="009F58C2" w:rsidRDefault="00C821A4" w:rsidP="00C821A4">
      <w:pPr>
        <w:spacing w:line="360" w:lineRule="auto"/>
        <w:rPr>
          <w:rFonts w:ascii="Book Antiqua" w:hAnsi="Book Antiqua"/>
          <w:sz w:val="24"/>
        </w:rPr>
      </w:pPr>
    </w:p>
    <w:p w:rsidR="00C821A4" w:rsidRPr="009F58C2" w:rsidRDefault="00C821A4" w:rsidP="00C821A4">
      <w:pPr>
        <w:spacing w:line="360" w:lineRule="auto"/>
        <w:rPr>
          <w:rFonts w:ascii="Book Antiqua" w:hAnsi="Book Antiqua"/>
          <w:sz w:val="24"/>
        </w:rPr>
      </w:pPr>
    </w:p>
    <w:p w:rsidR="00C821A4" w:rsidRPr="009F58C2" w:rsidRDefault="00C821A4" w:rsidP="00C821A4">
      <w:pPr>
        <w:spacing w:line="360" w:lineRule="auto"/>
        <w:rPr>
          <w:rFonts w:ascii="Book Antiqua" w:hAnsi="Book Antiqua"/>
          <w:sz w:val="24"/>
        </w:rPr>
      </w:pPr>
    </w:p>
    <w:p w:rsidR="00C821A4" w:rsidRPr="007417D2" w:rsidRDefault="00C821A4" w:rsidP="00C821A4">
      <w:pPr>
        <w:spacing w:line="360" w:lineRule="auto"/>
        <w:rPr>
          <w:rFonts w:ascii="Book Antiqua" w:hAnsi="Book Antiqua"/>
          <w:sz w:val="24"/>
        </w:rPr>
      </w:pPr>
    </w:p>
    <w:p w:rsidR="00C821A4" w:rsidRPr="007417D2" w:rsidRDefault="00C821A4" w:rsidP="00C821A4">
      <w:pPr>
        <w:spacing w:line="360" w:lineRule="auto"/>
        <w:rPr>
          <w:rFonts w:ascii="Book Antiqua" w:hAnsi="Book Antiqua"/>
          <w:b/>
          <w:sz w:val="24"/>
        </w:rPr>
      </w:pPr>
      <w:r w:rsidRPr="007417D2">
        <w:rPr>
          <w:rFonts w:ascii="Book Antiqua" w:hAnsi="Book Antiqua"/>
          <w:b/>
          <w:noProof/>
          <w:sz w:val="24"/>
          <w:lang w:eastAsia="en-US"/>
        </w:rPr>
        <w:lastRenderedPageBreak/>
        <w:drawing>
          <wp:inline distT="0" distB="0" distL="0" distR="0" wp14:anchorId="7DDC633A" wp14:editId="0AD7AA60">
            <wp:extent cx="5943600" cy="4457700"/>
            <wp:effectExtent l="19050" t="0" r="0" b="0"/>
            <wp:docPr id="11" name="Object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7"/>
                    <pic:cNvPicPr>
                      <a:picLocks noChangeArrowheads="1"/>
                    </pic:cNvPicPr>
                  </pic:nvPicPr>
                  <pic:blipFill>
                    <a:blip r:embed="rId12" cstate="print"/>
                    <a:srcRect l="-311" t="-417" r="-204" b="-172"/>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C821A4" w:rsidRPr="00D860B3" w:rsidRDefault="00C821A4" w:rsidP="00C821A4">
      <w:pPr>
        <w:spacing w:line="360" w:lineRule="auto"/>
        <w:rPr>
          <w:rFonts w:ascii="Book Antiqua" w:hAnsi="Book Antiqua"/>
          <w:bCs/>
          <w:sz w:val="24"/>
        </w:rPr>
      </w:pPr>
      <w:r w:rsidRPr="00C0678B">
        <w:rPr>
          <w:rFonts w:ascii="Book Antiqua" w:hAnsi="Book Antiqua"/>
          <w:b/>
          <w:bCs/>
          <w:sz w:val="24"/>
        </w:rPr>
        <w:t xml:space="preserve">Figure 5 Diagrammatic representation of </w:t>
      </w:r>
      <w:r w:rsidRPr="00C0678B">
        <w:rPr>
          <w:rFonts w:ascii="Book Antiqua" w:hAnsi="Book Antiqua"/>
          <w:b/>
          <w:sz w:val="24"/>
        </w:rPr>
        <w:t>mammalian target of rapamycin</w:t>
      </w:r>
      <w:r w:rsidRPr="00C0678B">
        <w:rPr>
          <w:rFonts w:ascii="Book Antiqua" w:hAnsi="Book Antiqua"/>
          <w:b/>
          <w:bCs/>
          <w:sz w:val="24"/>
        </w:rPr>
        <w:t xml:space="preserve"> pathway: A crucial intersection of </w:t>
      </w:r>
      <w:r w:rsidRPr="00C0678B">
        <w:rPr>
          <w:rFonts w:ascii="Book Antiqua" w:hAnsi="Book Antiqua"/>
          <w:b/>
          <w:sz w:val="24"/>
        </w:rPr>
        <w:t>type 2 diabetes</w:t>
      </w:r>
      <w:r w:rsidRPr="00C0678B">
        <w:rPr>
          <w:rFonts w:ascii="Book Antiqua" w:hAnsi="Book Antiqua"/>
          <w:b/>
          <w:bCs/>
          <w:sz w:val="24"/>
        </w:rPr>
        <w:t xml:space="preserve"> </w:t>
      </w:r>
      <w:r w:rsidRPr="00C0678B">
        <w:rPr>
          <w:rFonts w:ascii="Book Antiqua" w:hAnsi="Book Antiqua" w:hint="eastAsia"/>
          <w:b/>
          <w:bCs/>
          <w:sz w:val="24"/>
        </w:rPr>
        <w:t>and</w:t>
      </w:r>
      <w:r w:rsidRPr="00C0678B">
        <w:rPr>
          <w:rFonts w:ascii="Book Antiqua" w:hAnsi="Book Antiqua"/>
          <w:b/>
          <w:bCs/>
          <w:sz w:val="24"/>
        </w:rPr>
        <w:t xml:space="preserve"> </w:t>
      </w:r>
      <w:r w:rsidRPr="00C0678B">
        <w:rPr>
          <w:rFonts w:ascii="Book Antiqua" w:hAnsi="Book Antiqua"/>
          <w:b/>
          <w:sz w:val="24"/>
        </w:rPr>
        <w:t>Alzheimer’s disease</w:t>
      </w:r>
      <w:r w:rsidRPr="00C0678B">
        <w:rPr>
          <w:rFonts w:ascii="Book Antiqua" w:hAnsi="Book Antiqua"/>
          <w:b/>
          <w:bCs/>
          <w:sz w:val="24"/>
        </w:rPr>
        <w:t>.</w:t>
      </w:r>
      <w:r w:rsidRPr="007417D2">
        <w:rPr>
          <w:rFonts w:ascii="Book Antiqua" w:hAnsi="Book Antiqua"/>
          <w:b/>
          <w:bCs/>
          <w:sz w:val="24"/>
        </w:rPr>
        <w:t xml:space="preserve"> </w:t>
      </w:r>
      <w:r w:rsidRPr="007417D2">
        <w:rPr>
          <w:rFonts w:ascii="Book Antiqua" w:hAnsi="Book Antiqua"/>
          <w:bCs/>
          <w:sz w:val="24"/>
        </w:rPr>
        <w:t>Diabetes results in dysfunctional insulin signaling which brings mTOR pathway down and ultimately results in autophagy failure to accumulate Aβ, inhibit re-entry of post mitotic neurons in cell cycle, stimulate aberrant growth pathways, lose of translational control and impaired neurogenesis</w:t>
      </w:r>
      <w:r>
        <w:rPr>
          <w:rFonts w:ascii="Book Antiqua" w:hAnsi="Book Antiqua" w:hint="eastAsia"/>
          <w:bCs/>
          <w:sz w:val="24"/>
        </w:rPr>
        <w:t>,</w:t>
      </w:r>
      <w:r w:rsidRPr="007417D2">
        <w:rPr>
          <w:rFonts w:ascii="Book Antiqua" w:hAnsi="Book Antiqua"/>
          <w:bCs/>
          <w:sz w:val="24"/>
        </w:rPr>
        <w:t xml:space="preserve"> </w:t>
      </w:r>
      <w:r w:rsidRPr="00C0678B">
        <w:rPr>
          <w:rFonts w:ascii="Book Antiqua" w:hAnsi="Book Antiqua"/>
          <w:bCs/>
          <w:i/>
          <w:sz w:val="24"/>
        </w:rPr>
        <w:t>etc</w:t>
      </w:r>
      <w:r w:rsidRPr="007417D2">
        <w:rPr>
          <w:rFonts w:ascii="Book Antiqua" w:hAnsi="Book Antiqua"/>
          <w:bCs/>
          <w:sz w:val="24"/>
        </w:rPr>
        <w:t>.</w:t>
      </w:r>
      <w:r>
        <w:rPr>
          <w:rFonts w:ascii="Book Antiqua" w:hAnsi="Book Antiqua" w:hint="eastAsia"/>
          <w:bCs/>
          <w:sz w:val="24"/>
        </w:rPr>
        <w:t xml:space="preserve"> </w:t>
      </w:r>
      <w:r w:rsidRPr="00AE1001">
        <w:rPr>
          <w:rFonts w:ascii="Book Antiqua" w:hAnsi="Book Antiqua"/>
          <w:sz w:val="24"/>
        </w:rPr>
        <w:t>T2D</w:t>
      </w:r>
      <w:r w:rsidRPr="00AE1001">
        <w:rPr>
          <w:rFonts w:ascii="Book Antiqua" w:hAnsi="Book Antiqua" w:hint="eastAsia"/>
          <w:sz w:val="24"/>
        </w:rPr>
        <w:t>:</w:t>
      </w:r>
      <w:r w:rsidRPr="00AE1001">
        <w:rPr>
          <w:rFonts w:ascii="Book Antiqua" w:hAnsi="Book Antiqua"/>
          <w:sz w:val="24"/>
        </w:rPr>
        <w:t xml:space="preserve"> Type 2 diabetes</w:t>
      </w:r>
      <w:r w:rsidRPr="00AE1001">
        <w:rPr>
          <w:rFonts w:ascii="Book Antiqua" w:hAnsi="Book Antiqua" w:hint="eastAsia"/>
          <w:sz w:val="24"/>
        </w:rPr>
        <w:t>;</w:t>
      </w:r>
      <w:r w:rsidRPr="00AE1001">
        <w:rPr>
          <w:rFonts w:ascii="Book Antiqua" w:hAnsi="Book Antiqua"/>
          <w:sz w:val="24"/>
        </w:rPr>
        <w:t xml:space="preserve"> </w:t>
      </w:r>
      <w:r w:rsidRPr="0007325F">
        <w:rPr>
          <w:rFonts w:ascii="Book Antiqua" w:hAnsi="Book Antiqua"/>
          <w:sz w:val="24"/>
        </w:rPr>
        <w:t>IGF</w:t>
      </w:r>
      <w:r>
        <w:rPr>
          <w:rFonts w:ascii="Book Antiqua" w:hAnsi="Book Antiqua" w:hint="eastAsia"/>
          <w:sz w:val="24"/>
        </w:rPr>
        <w:t xml:space="preserve">: </w:t>
      </w:r>
      <w:r w:rsidRPr="0007325F">
        <w:rPr>
          <w:rFonts w:ascii="Book Antiqua" w:hAnsi="Book Antiqua"/>
          <w:sz w:val="24"/>
        </w:rPr>
        <w:t>Insulin like growth factor</w:t>
      </w:r>
      <w:r>
        <w:rPr>
          <w:rFonts w:ascii="Book Antiqua" w:hAnsi="Book Antiqua" w:hint="eastAsia"/>
          <w:sz w:val="24"/>
        </w:rPr>
        <w:t>;</w:t>
      </w:r>
      <w:r w:rsidRPr="00D860B3">
        <w:rPr>
          <w:rFonts w:ascii="Book Antiqua" w:hAnsi="Book Antiqua"/>
          <w:bCs/>
          <w:sz w:val="24"/>
        </w:rPr>
        <w:t xml:space="preserve"> </w:t>
      </w:r>
      <w:r w:rsidRPr="007417D2">
        <w:rPr>
          <w:rFonts w:ascii="Book Antiqua" w:hAnsi="Book Antiqua"/>
          <w:bCs/>
          <w:sz w:val="24"/>
        </w:rPr>
        <w:t>mTOR</w:t>
      </w:r>
      <w:r>
        <w:rPr>
          <w:rFonts w:ascii="Book Antiqua" w:hAnsi="Book Antiqua" w:hint="eastAsia"/>
          <w:bCs/>
          <w:sz w:val="24"/>
        </w:rPr>
        <w:t xml:space="preserve">: </w:t>
      </w:r>
      <w:r w:rsidRPr="0007325F">
        <w:rPr>
          <w:rFonts w:ascii="Book Antiqua" w:hAnsi="Book Antiqua"/>
          <w:sz w:val="24"/>
        </w:rPr>
        <w:t>Mammalian target of rapamycin</w:t>
      </w:r>
      <w:r>
        <w:rPr>
          <w:rFonts w:ascii="Book Antiqua" w:hAnsi="Book Antiqua" w:hint="eastAsia"/>
          <w:sz w:val="24"/>
        </w:rPr>
        <w:t xml:space="preserve">; </w:t>
      </w:r>
      <w:r w:rsidRPr="00AE1001">
        <w:rPr>
          <w:rFonts w:ascii="Book Antiqua" w:hAnsi="Book Antiqua"/>
          <w:sz w:val="24"/>
        </w:rPr>
        <w:t>Aβ</w:t>
      </w:r>
      <w:r w:rsidRPr="00AE1001">
        <w:rPr>
          <w:rFonts w:ascii="Book Antiqua" w:hAnsi="Book Antiqua" w:hint="eastAsia"/>
          <w:sz w:val="24"/>
        </w:rPr>
        <w:t xml:space="preserve">: </w:t>
      </w:r>
      <w:r w:rsidRPr="00AE1001">
        <w:rPr>
          <w:rFonts w:ascii="Book Antiqua" w:hAnsi="Book Antiqua"/>
          <w:sz w:val="24"/>
        </w:rPr>
        <w:t>Amyloid beta</w:t>
      </w:r>
      <w:r w:rsidRPr="00AE1001">
        <w:rPr>
          <w:rFonts w:ascii="Book Antiqua" w:hAnsi="Book Antiqua" w:hint="eastAsia"/>
          <w:sz w:val="24"/>
        </w:rPr>
        <w:t>;</w:t>
      </w:r>
      <w:r w:rsidRPr="00D860B3">
        <w:rPr>
          <w:rFonts w:ascii="Book Antiqua" w:hAnsi="Book Antiqua"/>
          <w:sz w:val="24"/>
        </w:rPr>
        <w:t xml:space="preserve"> </w:t>
      </w:r>
      <w:r w:rsidRPr="0007325F">
        <w:rPr>
          <w:rFonts w:ascii="Book Antiqua" w:hAnsi="Book Antiqua"/>
          <w:sz w:val="24"/>
        </w:rPr>
        <w:t>ROS</w:t>
      </w:r>
      <w:r>
        <w:rPr>
          <w:rFonts w:ascii="Book Antiqua" w:hAnsi="Book Antiqua" w:hint="eastAsia"/>
          <w:sz w:val="24"/>
        </w:rPr>
        <w:t xml:space="preserve">: </w:t>
      </w:r>
      <w:r w:rsidRPr="0007325F">
        <w:rPr>
          <w:rFonts w:ascii="Book Antiqua" w:hAnsi="Book Antiqua"/>
          <w:sz w:val="24"/>
        </w:rPr>
        <w:t>Reactive oxygen species</w:t>
      </w:r>
      <w:r>
        <w:rPr>
          <w:rFonts w:ascii="Book Antiqua" w:hAnsi="Book Antiqua" w:hint="eastAsia"/>
          <w:sz w:val="24"/>
        </w:rPr>
        <w:t>.</w:t>
      </w:r>
    </w:p>
    <w:p w:rsidR="00C821A4" w:rsidRPr="00D860B3" w:rsidRDefault="00C821A4" w:rsidP="00C821A4">
      <w:pPr>
        <w:spacing w:line="360" w:lineRule="auto"/>
        <w:rPr>
          <w:rFonts w:ascii="Book Antiqua" w:hAnsi="Book Antiqua"/>
          <w:sz w:val="24"/>
        </w:rPr>
      </w:pPr>
    </w:p>
    <w:p w:rsidR="00C821A4" w:rsidRPr="007417D2" w:rsidRDefault="00C821A4" w:rsidP="00C821A4">
      <w:pPr>
        <w:spacing w:line="360" w:lineRule="auto"/>
        <w:rPr>
          <w:rFonts w:ascii="Book Antiqua" w:hAnsi="Book Antiqua"/>
          <w:sz w:val="24"/>
        </w:rPr>
      </w:pPr>
      <w:r w:rsidRPr="007417D2">
        <w:rPr>
          <w:rFonts w:ascii="Book Antiqua" w:hAnsi="Book Antiqua"/>
          <w:noProof/>
          <w:sz w:val="24"/>
          <w:lang w:eastAsia="en-US"/>
        </w:rPr>
        <w:lastRenderedPageBreak/>
        <w:drawing>
          <wp:inline distT="0" distB="0" distL="0" distR="0" wp14:anchorId="0EAFD38F" wp14:editId="0A53CEA6">
            <wp:extent cx="5943600" cy="4391025"/>
            <wp:effectExtent l="19050" t="0" r="0" b="0"/>
            <wp:docPr id="12" name="Object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8"/>
                    <pic:cNvPicPr>
                      <a:picLocks noChangeArrowheads="1"/>
                    </pic:cNvPicPr>
                  </pic:nvPicPr>
                  <pic:blipFill>
                    <a:blip r:embed="rId13" cstate="print"/>
                    <a:srcRect l="-414" t="-557" r="-1360" b="-615"/>
                    <a:stretch>
                      <a:fillRect/>
                    </a:stretch>
                  </pic:blipFill>
                  <pic:spPr bwMode="auto">
                    <a:xfrm>
                      <a:off x="0" y="0"/>
                      <a:ext cx="5943600" cy="4391025"/>
                    </a:xfrm>
                    <a:prstGeom prst="rect">
                      <a:avLst/>
                    </a:prstGeom>
                    <a:noFill/>
                    <a:ln w="9525">
                      <a:noFill/>
                      <a:miter lim="800000"/>
                      <a:headEnd/>
                      <a:tailEnd/>
                    </a:ln>
                  </pic:spPr>
                </pic:pic>
              </a:graphicData>
            </a:graphic>
          </wp:inline>
        </w:drawing>
      </w:r>
    </w:p>
    <w:p w:rsidR="00C821A4" w:rsidRPr="0007325F" w:rsidRDefault="00C821A4" w:rsidP="00C821A4">
      <w:pPr>
        <w:spacing w:line="360" w:lineRule="auto"/>
        <w:rPr>
          <w:rFonts w:ascii="Book Antiqua" w:hAnsi="Book Antiqua"/>
          <w:sz w:val="24"/>
        </w:rPr>
      </w:pPr>
      <w:r w:rsidRPr="00D860B3">
        <w:rPr>
          <w:rFonts w:ascii="Book Antiqua" w:hAnsi="Book Antiqua"/>
          <w:b/>
          <w:sz w:val="24"/>
        </w:rPr>
        <w:t xml:space="preserve">Figure 6 Diagrammatic representation of insulin signal dysfunction in Alzheimer’s disease </w:t>
      </w:r>
      <w:r w:rsidRPr="00D860B3">
        <w:rPr>
          <w:rFonts w:ascii="Book Antiqua" w:hAnsi="Book Antiqua" w:hint="eastAsia"/>
          <w:b/>
          <w:sz w:val="24"/>
        </w:rPr>
        <w:t>and</w:t>
      </w:r>
      <w:r w:rsidRPr="00D860B3">
        <w:rPr>
          <w:rFonts w:ascii="Book Antiqua" w:hAnsi="Book Antiqua"/>
          <w:b/>
          <w:sz w:val="24"/>
        </w:rPr>
        <w:t xml:space="preserve"> diabetes mellitus</w:t>
      </w:r>
      <w:r w:rsidRPr="00D860B3">
        <w:rPr>
          <w:rFonts w:ascii="Book Antiqua" w:hAnsi="Book Antiqua"/>
          <w:b/>
          <w:i/>
          <w:sz w:val="24"/>
        </w:rPr>
        <w:t xml:space="preserve"> via</w:t>
      </w:r>
      <w:r w:rsidRPr="00D860B3">
        <w:rPr>
          <w:rFonts w:ascii="Book Antiqua" w:hAnsi="Book Antiqua"/>
          <w:b/>
          <w:sz w:val="24"/>
        </w:rPr>
        <w:t xml:space="preserve"> common inflammatory cascade. </w:t>
      </w:r>
      <w:r w:rsidRPr="007417D2">
        <w:rPr>
          <w:rFonts w:ascii="Book Antiqua" w:hAnsi="Book Antiqua"/>
          <w:sz w:val="24"/>
        </w:rPr>
        <w:t>Diabetes and AD lead to production of pro-inflammatory cytokines in inflammatory response. These stress kinases inhibit IRs1, an adaptor protein for insulin receptor signaling and result into defective insulin signaling in brain.</w:t>
      </w:r>
      <w:r w:rsidRPr="00052481">
        <w:rPr>
          <w:rFonts w:ascii="Book Antiqua" w:hAnsi="Book Antiqua"/>
          <w:sz w:val="24"/>
        </w:rPr>
        <w:t xml:space="preserve"> </w:t>
      </w:r>
      <w:r w:rsidRPr="00AE1001">
        <w:rPr>
          <w:rFonts w:ascii="Book Antiqua" w:hAnsi="Book Antiqua"/>
          <w:sz w:val="24"/>
        </w:rPr>
        <w:t>Aβ</w:t>
      </w:r>
      <w:r w:rsidRPr="00AE1001">
        <w:rPr>
          <w:rFonts w:ascii="Book Antiqua" w:hAnsi="Book Antiqua" w:hint="eastAsia"/>
          <w:sz w:val="24"/>
        </w:rPr>
        <w:t xml:space="preserve">: </w:t>
      </w:r>
      <w:r w:rsidRPr="00AE1001">
        <w:rPr>
          <w:rFonts w:ascii="Book Antiqua" w:hAnsi="Book Antiqua"/>
          <w:sz w:val="24"/>
        </w:rPr>
        <w:t>Amyloid beta</w:t>
      </w:r>
      <w:r w:rsidRPr="00AE1001">
        <w:rPr>
          <w:rFonts w:ascii="Book Antiqua" w:hAnsi="Book Antiqua" w:hint="eastAsia"/>
          <w:sz w:val="24"/>
        </w:rPr>
        <w:t>;</w:t>
      </w:r>
      <w:r w:rsidRPr="00052481">
        <w:rPr>
          <w:rFonts w:ascii="Book Antiqua" w:hAnsi="Book Antiqua"/>
          <w:sz w:val="24"/>
        </w:rPr>
        <w:t xml:space="preserve"> </w:t>
      </w:r>
      <w:r w:rsidRPr="0007325F">
        <w:rPr>
          <w:rFonts w:ascii="Book Antiqua" w:hAnsi="Book Antiqua"/>
          <w:sz w:val="24"/>
        </w:rPr>
        <w:t>IRs</w:t>
      </w:r>
      <w:r>
        <w:rPr>
          <w:rFonts w:ascii="Book Antiqua" w:hAnsi="Book Antiqua" w:hint="eastAsia"/>
          <w:sz w:val="24"/>
        </w:rPr>
        <w:t xml:space="preserve">: </w:t>
      </w:r>
      <w:r w:rsidRPr="0007325F">
        <w:rPr>
          <w:rFonts w:ascii="Book Antiqua" w:hAnsi="Book Antiqua"/>
          <w:sz w:val="24"/>
        </w:rPr>
        <w:t>Insulin receptors</w:t>
      </w:r>
      <w:r>
        <w:rPr>
          <w:rFonts w:ascii="Book Antiqua" w:hAnsi="Book Antiqua" w:hint="eastAsia"/>
          <w:sz w:val="24"/>
        </w:rPr>
        <w:t xml:space="preserve">; </w:t>
      </w:r>
      <w:r w:rsidRPr="0007325F">
        <w:rPr>
          <w:rFonts w:ascii="Book Antiqua" w:hAnsi="Book Antiqua"/>
          <w:sz w:val="24"/>
        </w:rPr>
        <w:t>JNK</w:t>
      </w:r>
      <w:r>
        <w:rPr>
          <w:rFonts w:ascii="Book Antiqua" w:hAnsi="Book Antiqua" w:hint="eastAsia"/>
          <w:sz w:val="24"/>
        </w:rPr>
        <w:t xml:space="preserve">: </w:t>
      </w:r>
      <w:r w:rsidRPr="0007325F">
        <w:rPr>
          <w:rFonts w:ascii="Book Antiqua" w:hAnsi="Book Antiqua"/>
          <w:sz w:val="24"/>
        </w:rPr>
        <w:t>c-Jun N-terminal kinases</w:t>
      </w:r>
      <w:r>
        <w:rPr>
          <w:rFonts w:ascii="Book Antiqua" w:hAnsi="Book Antiqua" w:hint="eastAsia"/>
          <w:sz w:val="24"/>
        </w:rPr>
        <w:t>.</w:t>
      </w:r>
    </w:p>
    <w:p w:rsidR="00C821A4" w:rsidRPr="00C821A4" w:rsidRDefault="00C821A4" w:rsidP="007417D2">
      <w:pPr>
        <w:spacing w:line="360" w:lineRule="auto"/>
        <w:rPr>
          <w:rFonts w:ascii="Book Antiqua" w:hAnsi="Book Antiqua"/>
          <w:sz w:val="24"/>
        </w:rPr>
      </w:pPr>
    </w:p>
    <w:sectPr w:rsidR="00C821A4" w:rsidRPr="00C821A4" w:rsidSect="00280431">
      <w:footerReference w:type="even"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3A3C" w:rsidRDefault="00513A3C" w:rsidP="0066682A">
      <w:r>
        <w:separator/>
      </w:r>
    </w:p>
  </w:endnote>
  <w:endnote w:type="continuationSeparator" w:id="0">
    <w:p w:rsidR="00513A3C" w:rsidRDefault="00513A3C" w:rsidP="00666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imes">
    <w:panose1 w:val="02000500000000000000"/>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幼圆">
    <w:altName w:val="Arial Unicode MS"/>
    <w:charset w:val="86"/>
    <w:family w:val="modern"/>
    <w:pitch w:val="fixed"/>
    <w:sig w:usb0="00000001" w:usb1="080E0000" w:usb2="00000010" w:usb3="00000000" w:csb0="00040000" w:csb1="00000000"/>
  </w:font>
  <w:font w:name="TimesNewRomanPS-BoldItalicMT">
    <w:altName w:val="Times New Roman Bold Italic"/>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732" w:rsidRDefault="00E57732" w:rsidP="002804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39</w:t>
    </w:r>
    <w:r>
      <w:rPr>
        <w:rStyle w:val="PageNumber"/>
      </w:rPr>
      <w:fldChar w:fldCharType="end"/>
    </w:r>
  </w:p>
  <w:p w:rsidR="00E57732" w:rsidRDefault="00E57732" w:rsidP="0028043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732" w:rsidRDefault="00E57732" w:rsidP="002804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91AF8">
      <w:rPr>
        <w:rStyle w:val="PageNumber"/>
        <w:noProof/>
      </w:rPr>
      <w:t>61</w:t>
    </w:r>
    <w:r>
      <w:rPr>
        <w:rStyle w:val="PageNumber"/>
      </w:rPr>
      <w:fldChar w:fldCharType="end"/>
    </w:r>
  </w:p>
  <w:p w:rsidR="00E57732" w:rsidRDefault="00E57732" w:rsidP="0028043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3A3C" w:rsidRDefault="00513A3C" w:rsidP="0066682A">
      <w:r>
        <w:separator/>
      </w:r>
    </w:p>
  </w:footnote>
  <w:footnote w:type="continuationSeparator" w:id="0">
    <w:p w:rsidR="00513A3C" w:rsidRDefault="00513A3C" w:rsidP="0066682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15B18"/>
    <w:multiLevelType w:val="hybridMultilevel"/>
    <w:tmpl w:val="D17C37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981679"/>
    <w:multiLevelType w:val="hybridMultilevel"/>
    <w:tmpl w:val="A894A1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937719"/>
    <w:multiLevelType w:val="hybridMultilevel"/>
    <w:tmpl w:val="F0F6A62A"/>
    <w:lvl w:ilvl="0" w:tplc="DBE476F6">
      <w:start w:val="1"/>
      <w:numFmt w:val="decimal"/>
      <w:lvlText w:val="%1."/>
      <w:lvlJc w:val="left"/>
      <w:pPr>
        <w:ind w:left="81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FE05CC"/>
    <w:multiLevelType w:val="hybridMultilevel"/>
    <w:tmpl w:val="398293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9B240F"/>
    <w:multiLevelType w:val="hybridMultilevel"/>
    <w:tmpl w:val="0CD258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2D1107"/>
    <w:multiLevelType w:val="hybridMultilevel"/>
    <w:tmpl w:val="E9DC42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60738C"/>
    <w:multiLevelType w:val="hybridMultilevel"/>
    <w:tmpl w:val="05886A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BB0D44"/>
    <w:multiLevelType w:val="hybridMultilevel"/>
    <w:tmpl w:val="57E084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0A09AC"/>
    <w:multiLevelType w:val="hybridMultilevel"/>
    <w:tmpl w:val="6A2CB7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D96BBE"/>
    <w:multiLevelType w:val="hybridMultilevel"/>
    <w:tmpl w:val="5B24E8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611729"/>
    <w:multiLevelType w:val="hybridMultilevel"/>
    <w:tmpl w:val="54E65D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DE3283A"/>
    <w:multiLevelType w:val="hybridMultilevel"/>
    <w:tmpl w:val="C4AA3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E231FD8"/>
    <w:multiLevelType w:val="hybridMultilevel"/>
    <w:tmpl w:val="7DC67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5CD79FC"/>
    <w:multiLevelType w:val="hybridMultilevel"/>
    <w:tmpl w:val="209430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6D6471F"/>
    <w:multiLevelType w:val="hybridMultilevel"/>
    <w:tmpl w:val="7DDA8550"/>
    <w:lvl w:ilvl="0" w:tplc="0409000B">
      <w:start w:val="1"/>
      <w:numFmt w:val="bullet"/>
      <w:lvlText w:val=""/>
      <w:lvlJc w:val="left"/>
      <w:pPr>
        <w:ind w:left="783" w:hanging="360"/>
      </w:pPr>
      <w:rPr>
        <w:rFonts w:ascii="Wingdings" w:hAnsi="Wingding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5">
    <w:nsid w:val="77E26679"/>
    <w:multiLevelType w:val="hybridMultilevel"/>
    <w:tmpl w:val="F2D8D5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F01BA2"/>
    <w:multiLevelType w:val="hybridMultilevel"/>
    <w:tmpl w:val="A86812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2"/>
  </w:num>
  <w:num w:numId="4">
    <w:abstractNumId w:val="11"/>
  </w:num>
  <w:num w:numId="5">
    <w:abstractNumId w:val="13"/>
  </w:num>
  <w:num w:numId="6">
    <w:abstractNumId w:val="1"/>
  </w:num>
  <w:num w:numId="7">
    <w:abstractNumId w:val="16"/>
  </w:num>
  <w:num w:numId="8">
    <w:abstractNumId w:val="10"/>
  </w:num>
  <w:num w:numId="9">
    <w:abstractNumId w:val="4"/>
  </w:num>
  <w:num w:numId="10">
    <w:abstractNumId w:val="0"/>
  </w:num>
  <w:num w:numId="11">
    <w:abstractNumId w:val="6"/>
  </w:num>
  <w:num w:numId="12">
    <w:abstractNumId w:val="3"/>
  </w:num>
  <w:num w:numId="13">
    <w:abstractNumId w:val="7"/>
  </w:num>
  <w:num w:numId="14">
    <w:abstractNumId w:val="14"/>
  </w:num>
  <w:num w:numId="15">
    <w:abstractNumId w:val="5"/>
  </w:num>
  <w:num w:numId="16">
    <w:abstractNumId w:val="9"/>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bordersDoNotSurroundHeader/>
  <w:bordersDoNotSurroundFooter/>
  <w:proofState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s>
  <w:rsids>
    <w:rsidRoot w:val="00FA235F"/>
    <w:rsid w:val="0005622E"/>
    <w:rsid w:val="00065317"/>
    <w:rsid w:val="0007325F"/>
    <w:rsid w:val="0008207A"/>
    <w:rsid w:val="000857D8"/>
    <w:rsid w:val="000942EA"/>
    <w:rsid w:val="000A3CB5"/>
    <w:rsid w:val="000A5F6A"/>
    <w:rsid w:val="000A72F9"/>
    <w:rsid w:val="00133249"/>
    <w:rsid w:val="00172699"/>
    <w:rsid w:val="001932D0"/>
    <w:rsid w:val="001B6E3B"/>
    <w:rsid w:val="001B73A3"/>
    <w:rsid w:val="001D45F0"/>
    <w:rsid w:val="001E2ACC"/>
    <w:rsid w:val="0023162B"/>
    <w:rsid w:val="0027560D"/>
    <w:rsid w:val="00280431"/>
    <w:rsid w:val="00281EA4"/>
    <w:rsid w:val="00282955"/>
    <w:rsid w:val="00294712"/>
    <w:rsid w:val="002C13CA"/>
    <w:rsid w:val="002D4597"/>
    <w:rsid w:val="00325182"/>
    <w:rsid w:val="00355DF0"/>
    <w:rsid w:val="00364925"/>
    <w:rsid w:val="003A7907"/>
    <w:rsid w:val="003E64DA"/>
    <w:rsid w:val="003F1C9A"/>
    <w:rsid w:val="00475A3D"/>
    <w:rsid w:val="004779B1"/>
    <w:rsid w:val="00480424"/>
    <w:rsid w:val="004963FA"/>
    <w:rsid w:val="00513A3C"/>
    <w:rsid w:val="00524D69"/>
    <w:rsid w:val="00543938"/>
    <w:rsid w:val="00545F02"/>
    <w:rsid w:val="00591AF8"/>
    <w:rsid w:val="00592535"/>
    <w:rsid w:val="005E439B"/>
    <w:rsid w:val="0066682A"/>
    <w:rsid w:val="006774AC"/>
    <w:rsid w:val="00694879"/>
    <w:rsid w:val="006A79A5"/>
    <w:rsid w:val="006E2642"/>
    <w:rsid w:val="006F38D8"/>
    <w:rsid w:val="00740117"/>
    <w:rsid w:val="007417D2"/>
    <w:rsid w:val="00764F02"/>
    <w:rsid w:val="007737C4"/>
    <w:rsid w:val="007F309F"/>
    <w:rsid w:val="008063D5"/>
    <w:rsid w:val="0085359A"/>
    <w:rsid w:val="008B2868"/>
    <w:rsid w:val="008D3A8D"/>
    <w:rsid w:val="009325BB"/>
    <w:rsid w:val="00947F0A"/>
    <w:rsid w:val="00957A51"/>
    <w:rsid w:val="009F1E60"/>
    <w:rsid w:val="00A161EE"/>
    <w:rsid w:val="00A6797B"/>
    <w:rsid w:val="00AD5CE0"/>
    <w:rsid w:val="00B5219F"/>
    <w:rsid w:val="00BB09EC"/>
    <w:rsid w:val="00C241F8"/>
    <w:rsid w:val="00C635B4"/>
    <w:rsid w:val="00C821A4"/>
    <w:rsid w:val="00C97A5C"/>
    <w:rsid w:val="00CA575B"/>
    <w:rsid w:val="00D03B9B"/>
    <w:rsid w:val="00D3592B"/>
    <w:rsid w:val="00E57732"/>
    <w:rsid w:val="00E72C71"/>
    <w:rsid w:val="00F2476A"/>
    <w:rsid w:val="00F70713"/>
    <w:rsid w:val="00FA235F"/>
    <w:rsid w:val="00FE79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3D effects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35F"/>
    <w:pPr>
      <w:widowControl w:val="0"/>
      <w:spacing w:after="0" w:line="240" w:lineRule="auto"/>
      <w:jc w:val="both"/>
    </w:pPr>
    <w:rPr>
      <w:rFonts w:ascii="Times New Roman" w:eastAsia="宋体" w:hAnsi="Times New Roman" w:cs="Times New Roman"/>
      <w:kern w:val="2"/>
      <w:sz w:val="21"/>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A235F"/>
    <w:rPr>
      <w:color w:val="0000FF"/>
      <w:u w:val="single"/>
    </w:rPr>
  </w:style>
  <w:style w:type="character" w:styleId="Strong">
    <w:name w:val="Strong"/>
    <w:qFormat/>
    <w:rsid w:val="00FA235F"/>
    <w:rPr>
      <w:b/>
      <w:bCs/>
    </w:rPr>
  </w:style>
  <w:style w:type="paragraph" w:styleId="Footer">
    <w:name w:val="footer"/>
    <w:basedOn w:val="Normal"/>
    <w:link w:val="FooterChar"/>
    <w:rsid w:val="00FA235F"/>
    <w:pPr>
      <w:tabs>
        <w:tab w:val="center" w:pos="4153"/>
        <w:tab w:val="right" w:pos="8306"/>
      </w:tabs>
      <w:snapToGrid w:val="0"/>
      <w:jc w:val="left"/>
    </w:pPr>
    <w:rPr>
      <w:sz w:val="18"/>
      <w:szCs w:val="18"/>
    </w:rPr>
  </w:style>
  <w:style w:type="character" w:customStyle="1" w:styleId="FooterChar">
    <w:name w:val="Footer Char"/>
    <w:basedOn w:val="DefaultParagraphFont"/>
    <w:link w:val="Footer"/>
    <w:rsid w:val="00FA235F"/>
    <w:rPr>
      <w:rFonts w:ascii="Times New Roman" w:eastAsia="宋体" w:hAnsi="Times New Roman" w:cs="Times New Roman"/>
      <w:kern w:val="2"/>
      <w:sz w:val="18"/>
      <w:szCs w:val="18"/>
      <w:lang w:eastAsia="zh-CN"/>
    </w:rPr>
  </w:style>
  <w:style w:type="character" w:styleId="PageNumber">
    <w:name w:val="page number"/>
    <w:basedOn w:val="DefaultParagraphFont"/>
    <w:rsid w:val="00FA235F"/>
  </w:style>
  <w:style w:type="paragraph" w:styleId="Header">
    <w:name w:val="header"/>
    <w:basedOn w:val="Normal"/>
    <w:link w:val="HeaderChar"/>
    <w:rsid w:val="00FA235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rsid w:val="00FA235F"/>
    <w:rPr>
      <w:rFonts w:ascii="Times New Roman" w:eastAsia="宋体" w:hAnsi="Times New Roman" w:cs="Times New Roman"/>
      <w:kern w:val="2"/>
      <w:sz w:val="18"/>
      <w:szCs w:val="18"/>
      <w:lang w:eastAsia="zh-CN"/>
    </w:rPr>
  </w:style>
  <w:style w:type="paragraph" w:styleId="CommentText">
    <w:name w:val="annotation text"/>
    <w:basedOn w:val="Normal"/>
    <w:link w:val="CommentTextChar"/>
    <w:uiPriority w:val="99"/>
    <w:unhideWhenUsed/>
    <w:rsid w:val="00FA235F"/>
    <w:pPr>
      <w:widowControl/>
      <w:jc w:val="left"/>
    </w:pPr>
    <w:rPr>
      <w:kern w:val="0"/>
      <w:sz w:val="20"/>
      <w:szCs w:val="20"/>
      <w:lang w:val="fr-FR" w:eastAsia="fr-FR"/>
    </w:rPr>
  </w:style>
  <w:style w:type="character" w:customStyle="1" w:styleId="CommentTextChar">
    <w:name w:val="Comment Text Char"/>
    <w:link w:val="CommentText"/>
    <w:uiPriority w:val="99"/>
    <w:rsid w:val="00FA235F"/>
    <w:rPr>
      <w:rFonts w:ascii="Times New Roman" w:eastAsia="宋体" w:hAnsi="Times New Roman" w:cs="Times New Roman"/>
      <w:sz w:val="20"/>
      <w:szCs w:val="20"/>
      <w:lang w:val="fr-FR" w:eastAsia="fr-FR"/>
    </w:rPr>
  </w:style>
  <w:style w:type="paragraph" w:styleId="BalloonText">
    <w:name w:val="Balloon Text"/>
    <w:basedOn w:val="Normal"/>
    <w:link w:val="BalloonTextChar"/>
    <w:uiPriority w:val="99"/>
    <w:rsid w:val="00FA235F"/>
    <w:rPr>
      <w:rFonts w:ascii="宋体"/>
      <w:sz w:val="18"/>
      <w:szCs w:val="18"/>
    </w:rPr>
  </w:style>
  <w:style w:type="character" w:customStyle="1" w:styleId="BalloonTextChar">
    <w:name w:val="Balloon Text Char"/>
    <w:link w:val="BalloonText"/>
    <w:uiPriority w:val="99"/>
    <w:rsid w:val="00FA235F"/>
    <w:rPr>
      <w:rFonts w:ascii="宋体" w:eastAsia="宋体" w:hAnsi="Times New Roman" w:cs="Times New Roman"/>
      <w:kern w:val="2"/>
      <w:sz w:val="18"/>
      <w:szCs w:val="18"/>
      <w:lang w:eastAsia="zh-CN"/>
    </w:rPr>
  </w:style>
  <w:style w:type="paragraph" w:styleId="ListParagraph">
    <w:name w:val="List Paragraph"/>
    <w:basedOn w:val="Normal"/>
    <w:uiPriority w:val="34"/>
    <w:qFormat/>
    <w:rsid w:val="00FA235F"/>
    <w:pPr>
      <w:widowControl/>
      <w:spacing w:after="200" w:line="276" w:lineRule="auto"/>
      <w:ind w:left="720"/>
      <w:contextualSpacing/>
      <w:jc w:val="left"/>
    </w:pPr>
    <w:rPr>
      <w:rFonts w:ascii="Calibri" w:eastAsia="Calibri" w:hAnsi="Calibri"/>
      <w:kern w:val="0"/>
      <w:sz w:val="22"/>
      <w:szCs w:val="22"/>
      <w:lang w:eastAsia="en-US"/>
    </w:rPr>
  </w:style>
  <w:style w:type="character" w:customStyle="1" w:styleId="apple-converted-space">
    <w:name w:val="apple-converted-space"/>
    <w:basedOn w:val="DefaultParagraphFont"/>
    <w:rsid w:val="00FA235F"/>
  </w:style>
  <w:style w:type="table" w:styleId="TableGrid">
    <w:name w:val="Table Grid"/>
    <w:basedOn w:val="TableNormal"/>
    <w:uiPriority w:val="59"/>
    <w:rsid w:val="00FA235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3Deffects3">
    <w:name w:val="Table 3D effects 3"/>
    <w:basedOn w:val="TableNormal"/>
    <w:rsid w:val="00FA235F"/>
    <w:pPr>
      <w:widowControl w:val="0"/>
      <w:spacing w:after="0" w:line="240" w:lineRule="auto"/>
      <w:jc w:val="both"/>
    </w:pPr>
    <w:rPr>
      <w:rFonts w:ascii="Times New Roman" w:eastAsia="宋体"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efault">
    <w:name w:val="Default"/>
    <w:rsid w:val="00FA235F"/>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FA235F"/>
    <w:rPr>
      <w:sz w:val="21"/>
      <w:szCs w:val="21"/>
    </w:rPr>
  </w:style>
  <w:style w:type="paragraph" w:styleId="CommentSubject">
    <w:name w:val="annotation subject"/>
    <w:basedOn w:val="CommentText"/>
    <w:next w:val="CommentText"/>
    <w:link w:val="CommentSubjectChar"/>
    <w:uiPriority w:val="99"/>
    <w:semiHidden/>
    <w:unhideWhenUsed/>
    <w:rsid w:val="00FA235F"/>
    <w:pPr>
      <w:widowControl w:val="0"/>
    </w:pPr>
    <w:rPr>
      <w:b/>
      <w:bCs/>
      <w:kern w:val="2"/>
      <w:sz w:val="21"/>
      <w:szCs w:val="24"/>
      <w:lang w:val="en-US" w:eastAsia="zh-CN"/>
    </w:rPr>
  </w:style>
  <w:style w:type="character" w:customStyle="1" w:styleId="CommentSubjectChar">
    <w:name w:val="Comment Subject Char"/>
    <w:basedOn w:val="CommentTextChar"/>
    <w:link w:val="CommentSubject"/>
    <w:uiPriority w:val="99"/>
    <w:semiHidden/>
    <w:rsid w:val="00FA235F"/>
    <w:rPr>
      <w:rFonts w:ascii="Times New Roman" w:eastAsia="宋体" w:hAnsi="Times New Roman" w:cs="Times New Roman"/>
      <w:b/>
      <w:bCs/>
      <w:kern w:val="2"/>
      <w:sz w:val="21"/>
      <w:szCs w:val="24"/>
      <w:lang w:val="fr-FR" w:eastAsia="zh-CN"/>
    </w:rPr>
  </w:style>
  <w:style w:type="character" w:customStyle="1" w:styleId="slug-doi">
    <w:name w:val="slug-doi"/>
    <w:basedOn w:val="DefaultParagraphFont"/>
    <w:rsid w:val="00FA235F"/>
  </w:style>
  <w:style w:type="character" w:customStyle="1" w:styleId="fm-citation-ids-label">
    <w:name w:val="fm-citation-ids-label"/>
    <w:basedOn w:val="DefaultParagraphFont"/>
    <w:rsid w:val="00FA235F"/>
  </w:style>
  <w:style w:type="paragraph" w:styleId="NormalWeb">
    <w:name w:val="Normal (Web)"/>
    <w:basedOn w:val="Normal"/>
    <w:uiPriority w:val="99"/>
    <w:semiHidden/>
    <w:unhideWhenUsed/>
    <w:rsid w:val="00591AF8"/>
    <w:pPr>
      <w:widowControl/>
      <w:spacing w:before="100" w:beforeAutospacing="1" w:after="100" w:afterAutospacing="1"/>
      <w:jc w:val="left"/>
    </w:pPr>
    <w:rPr>
      <w:rFonts w:ascii="Times" w:eastAsiaTheme="minorEastAsia" w:hAnsi="Times"/>
      <w:kern w:val="0"/>
      <w:sz w:val="20"/>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3D effects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35F"/>
    <w:pPr>
      <w:widowControl w:val="0"/>
      <w:spacing w:after="0" w:line="240" w:lineRule="auto"/>
      <w:jc w:val="both"/>
    </w:pPr>
    <w:rPr>
      <w:rFonts w:ascii="Times New Roman" w:eastAsia="宋体" w:hAnsi="Times New Roman" w:cs="Times New Roman"/>
      <w:kern w:val="2"/>
      <w:sz w:val="21"/>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A235F"/>
    <w:rPr>
      <w:color w:val="0000FF"/>
      <w:u w:val="single"/>
    </w:rPr>
  </w:style>
  <w:style w:type="character" w:styleId="Strong">
    <w:name w:val="Strong"/>
    <w:qFormat/>
    <w:rsid w:val="00FA235F"/>
    <w:rPr>
      <w:b/>
      <w:bCs/>
    </w:rPr>
  </w:style>
  <w:style w:type="paragraph" w:styleId="Footer">
    <w:name w:val="footer"/>
    <w:basedOn w:val="Normal"/>
    <w:link w:val="FooterChar"/>
    <w:rsid w:val="00FA235F"/>
    <w:pPr>
      <w:tabs>
        <w:tab w:val="center" w:pos="4153"/>
        <w:tab w:val="right" w:pos="8306"/>
      </w:tabs>
      <w:snapToGrid w:val="0"/>
      <w:jc w:val="left"/>
    </w:pPr>
    <w:rPr>
      <w:sz w:val="18"/>
      <w:szCs w:val="18"/>
    </w:rPr>
  </w:style>
  <w:style w:type="character" w:customStyle="1" w:styleId="FooterChar">
    <w:name w:val="Footer Char"/>
    <w:basedOn w:val="DefaultParagraphFont"/>
    <w:link w:val="Footer"/>
    <w:rsid w:val="00FA235F"/>
    <w:rPr>
      <w:rFonts w:ascii="Times New Roman" w:eastAsia="宋体" w:hAnsi="Times New Roman" w:cs="Times New Roman"/>
      <w:kern w:val="2"/>
      <w:sz w:val="18"/>
      <w:szCs w:val="18"/>
      <w:lang w:eastAsia="zh-CN"/>
    </w:rPr>
  </w:style>
  <w:style w:type="character" w:styleId="PageNumber">
    <w:name w:val="page number"/>
    <w:basedOn w:val="DefaultParagraphFont"/>
    <w:rsid w:val="00FA235F"/>
  </w:style>
  <w:style w:type="paragraph" w:styleId="Header">
    <w:name w:val="header"/>
    <w:basedOn w:val="Normal"/>
    <w:link w:val="HeaderChar"/>
    <w:rsid w:val="00FA235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rsid w:val="00FA235F"/>
    <w:rPr>
      <w:rFonts w:ascii="Times New Roman" w:eastAsia="宋体" w:hAnsi="Times New Roman" w:cs="Times New Roman"/>
      <w:kern w:val="2"/>
      <w:sz w:val="18"/>
      <w:szCs w:val="18"/>
      <w:lang w:eastAsia="zh-CN"/>
    </w:rPr>
  </w:style>
  <w:style w:type="paragraph" w:styleId="CommentText">
    <w:name w:val="annotation text"/>
    <w:basedOn w:val="Normal"/>
    <w:link w:val="CommentTextChar"/>
    <w:uiPriority w:val="99"/>
    <w:unhideWhenUsed/>
    <w:rsid w:val="00FA235F"/>
    <w:pPr>
      <w:widowControl/>
      <w:jc w:val="left"/>
    </w:pPr>
    <w:rPr>
      <w:kern w:val="0"/>
      <w:sz w:val="20"/>
      <w:szCs w:val="20"/>
      <w:lang w:val="fr-FR" w:eastAsia="fr-FR"/>
    </w:rPr>
  </w:style>
  <w:style w:type="character" w:customStyle="1" w:styleId="CommentTextChar">
    <w:name w:val="Comment Text Char"/>
    <w:link w:val="CommentText"/>
    <w:uiPriority w:val="99"/>
    <w:rsid w:val="00FA235F"/>
    <w:rPr>
      <w:rFonts w:ascii="Times New Roman" w:eastAsia="宋体" w:hAnsi="Times New Roman" w:cs="Times New Roman"/>
      <w:sz w:val="20"/>
      <w:szCs w:val="20"/>
      <w:lang w:val="fr-FR" w:eastAsia="fr-FR"/>
    </w:rPr>
  </w:style>
  <w:style w:type="paragraph" w:styleId="BalloonText">
    <w:name w:val="Balloon Text"/>
    <w:basedOn w:val="Normal"/>
    <w:link w:val="BalloonTextChar"/>
    <w:uiPriority w:val="99"/>
    <w:rsid w:val="00FA235F"/>
    <w:rPr>
      <w:rFonts w:ascii="宋体"/>
      <w:sz w:val="18"/>
      <w:szCs w:val="18"/>
    </w:rPr>
  </w:style>
  <w:style w:type="character" w:customStyle="1" w:styleId="BalloonTextChar">
    <w:name w:val="Balloon Text Char"/>
    <w:link w:val="BalloonText"/>
    <w:uiPriority w:val="99"/>
    <w:rsid w:val="00FA235F"/>
    <w:rPr>
      <w:rFonts w:ascii="宋体" w:eastAsia="宋体" w:hAnsi="Times New Roman" w:cs="Times New Roman"/>
      <w:kern w:val="2"/>
      <w:sz w:val="18"/>
      <w:szCs w:val="18"/>
      <w:lang w:eastAsia="zh-CN"/>
    </w:rPr>
  </w:style>
  <w:style w:type="paragraph" w:styleId="ListParagraph">
    <w:name w:val="List Paragraph"/>
    <w:basedOn w:val="Normal"/>
    <w:uiPriority w:val="34"/>
    <w:qFormat/>
    <w:rsid w:val="00FA235F"/>
    <w:pPr>
      <w:widowControl/>
      <w:spacing w:after="200" w:line="276" w:lineRule="auto"/>
      <w:ind w:left="720"/>
      <w:contextualSpacing/>
      <w:jc w:val="left"/>
    </w:pPr>
    <w:rPr>
      <w:rFonts w:ascii="Calibri" w:eastAsia="Calibri" w:hAnsi="Calibri"/>
      <w:kern w:val="0"/>
      <w:sz w:val="22"/>
      <w:szCs w:val="22"/>
      <w:lang w:eastAsia="en-US"/>
    </w:rPr>
  </w:style>
  <w:style w:type="character" w:customStyle="1" w:styleId="apple-converted-space">
    <w:name w:val="apple-converted-space"/>
    <w:basedOn w:val="DefaultParagraphFont"/>
    <w:rsid w:val="00FA235F"/>
  </w:style>
  <w:style w:type="table" w:styleId="TableGrid">
    <w:name w:val="Table Grid"/>
    <w:basedOn w:val="TableNormal"/>
    <w:uiPriority w:val="59"/>
    <w:rsid w:val="00FA235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3Deffects3">
    <w:name w:val="Table 3D effects 3"/>
    <w:basedOn w:val="TableNormal"/>
    <w:rsid w:val="00FA235F"/>
    <w:pPr>
      <w:widowControl w:val="0"/>
      <w:spacing w:after="0" w:line="240" w:lineRule="auto"/>
      <w:jc w:val="both"/>
    </w:pPr>
    <w:rPr>
      <w:rFonts w:ascii="Times New Roman" w:eastAsia="宋体"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efault">
    <w:name w:val="Default"/>
    <w:rsid w:val="00FA235F"/>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FA235F"/>
    <w:rPr>
      <w:sz w:val="21"/>
      <w:szCs w:val="21"/>
    </w:rPr>
  </w:style>
  <w:style w:type="paragraph" w:styleId="CommentSubject">
    <w:name w:val="annotation subject"/>
    <w:basedOn w:val="CommentText"/>
    <w:next w:val="CommentText"/>
    <w:link w:val="CommentSubjectChar"/>
    <w:uiPriority w:val="99"/>
    <w:semiHidden/>
    <w:unhideWhenUsed/>
    <w:rsid w:val="00FA235F"/>
    <w:pPr>
      <w:widowControl w:val="0"/>
    </w:pPr>
    <w:rPr>
      <w:b/>
      <w:bCs/>
      <w:kern w:val="2"/>
      <w:sz w:val="21"/>
      <w:szCs w:val="24"/>
      <w:lang w:val="en-US" w:eastAsia="zh-CN"/>
    </w:rPr>
  </w:style>
  <w:style w:type="character" w:customStyle="1" w:styleId="CommentSubjectChar">
    <w:name w:val="Comment Subject Char"/>
    <w:basedOn w:val="CommentTextChar"/>
    <w:link w:val="CommentSubject"/>
    <w:uiPriority w:val="99"/>
    <w:semiHidden/>
    <w:rsid w:val="00FA235F"/>
    <w:rPr>
      <w:rFonts w:ascii="Times New Roman" w:eastAsia="宋体" w:hAnsi="Times New Roman" w:cs="Times New Roman"/>
      <w:b/>
      <w:bCs/>
      <w:kern w:val="2"/>
      <w:sz w:val="21"/>
      <w:szCs w:val="24"/>
      <w:lang w:val="fr-FR" w:eastAsia="zh-CN"/>
    </w:rPr>
  </w:style>
  <w:style w:type="character" w:customStyle="1" w:styleId="slug-doi">
    <w:name w:val="slug-doi"/>
    <w:basedOn w:val="DefaultParagraphFont"/>
    <w:rsid w:val="00FA235F"/>
  </w:style>
  <w:style w:type="character" w:customStyle="1" w:styleId="fm-citation-ids-label">
    <w:name w:val="fm-citation-ids-label"/>
    <w:basedOn w:val="DefaultParagraphFont"/>
    <w:rsid w:val="00FA235F"/>
  </w:style>
  <w:style w:type="paragraph" w:styleId="NormalWeb">
    <w:name w:val="Normal (Web)"/>
    <w:basedOn w:val="Normal"/>
    <w:uiPriority w:val="99"/>
    <w:semiHidden/>
    <w:unhideWhenUsed/>
    <w:rsid w:val="00591AF8"/>
    <w:pPr>
      <w:widowControl/>
      <w:spacing w:before="100" w:beforeAutospacing="1" w:after="100" w:afterAutospacing="1"/>
      <w:jc w:val="left"/>
    </w:pPr>
    <w:rPr>
      <w:rFonts w:ascii="Times" w:eastAsiaTheme="minorEastAsia" w:hAnsi="Times"/>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958819">
      <w:bodyDiv w:val="1"/>
      <w:marLeft w:val="0"/>
      <w:marRight w:val="0"/>
      <w:marTop w:val="0"/>
      <w:marBottom w:val="0"/>
      <w:divBdr>
        <w:top w:val="none" w:sz="0" w:space="0" w:color="auto"/>
        <w:left w:val="none" w:sz="0" w:space="0" w:color="auto"/>
        <w:bottom w:val="none" w:sz="0" w:space="0" w:color="auto"/>
        <w:right w:val="none" w:sz="0" w:space="0" w:color="auto"/>
      </w:divBdr>
      <w:divsChild>
        <w:div w:id="841167626">
          <w:marLeft w:val="0"/>
          <w:marRight w:val="0"/>
          <w:marTop w:val="0"/>
          <w:marBottom w:val="0"/>
          <w:divBdr>
            <w:top w:val="none" w:sz="0" w:space="0" w:color="auto"/>
            <w:left w:val="none" w:sz="0" w:space="0" w:color="auto"/>
            <w:bottom w:val="none" w:sz="0" w:space="0" w:color="auto"/>
            <w:right w:val="none" w:sz="0" w:space="0" w:color="auto"/>
          </w:divBdr>
          <w:divsChild>
            <w:div w:id="648245213">
              <w:marLeft w:val="0"/>
              <w:marRight w:val="0"/>
              <w:marTop w:val="0"/>
              <w:marBottom w:val="0"/>
              <w:divBdr>
                <w:top w:val="none" w:sz="0" w:space="0" w:color="auto"/>
                <w:left w:val="none" w:sz="0" w:space="0" w:color="auto"/>
                <w:bottom w:val="none" w:sz="0" w:space="0" w:color="auto"/>
                <w:right w:val="none" w:sz="0" w:space="0" w:color="auto"/>
              </w:divBdr>
            </w:div>
            <w:div w:id="637878586">
              <w:marLeft w:val="0"/>
              <w:marRight w:val="0"/>
              <w:marTop w:val="0"/>
              <w:marBottom w:val="0"/>
              <w:divBdr>
                <w:top w:val="none" w:sz="0" w:space="0" w:color="auto"/>
                <w:left w:val="none" w:sz="0" w:space="0" w:color="auto"/>
                <w:bottom w:val="none" w:sz="0" w:space="0" w:color="auto"/>
                <w:right w:val="none" w:sz="0" w:space="0" w:color="auto"/>
              </w:divBdr>
            </w:div>
            <w:div w:id="1665812564">
              <w:marLeft w:val="0"/>
              <w:marRight w:val="0"/>
              <w:marTop w:val="0"/>
              <w:marBottom w:val="0"/>
              <w:divBdr>
                <w:top w:val="none" w:sz="0" w:space="0" w:color="auto"/>
                <w:left w:val="none" w:sz="0" w:space="0" w:color="auto"/>
                <w:bottom w:val="none" w:sz="0" w:space="0" w:color="auto"/>
                <w:right w:val="none" w:sz="0" w:space="0" w:color="auto"/>
              </w:divBdr>
            </w:div>
            <w:div w:id="1493906738">
              <w:marLeft w:val="0"/>
              <w:marRight w:val="0"/>
              <w:marTop w:val="0"/>
              <w:marBottom w:val="0"/>
              <w:divBdr>
                <w:top w:val="none" w:sz="0" w:space="0" w:color="auto"/>
                <w:left w:val="none" w:sz="0" w:space="0" w:color="auto"/>
                <w:bottom w:val="none" w:sz="0" w:space="0" w:color="auto"/>
                <w:right w:val="none" w:sz="0" w:space="0" w:color="auto"/>
              </w:divBdr>
            </w:div>
            <w:div w:id="1590652742">
              <w:marLeft w:val="0"/>
              <w:marRight w:val="0"/>
              <w:marTop w:val="0"/>
              <w:marBottom w:val="0"/>
              <w:divBdr>
                <w:top w:val="none" w:sz="0" w:space="0" w:color="auto"/>
                <w:left w:val="none" w:sz="0" w:space="0" w:color="auto"/>
                <w:bottom w:val="none" w:sz="0" w:space="0" w:color="auto"/>
                <w:right w:val="none" w:sz="0" w:space="0" w:color="auto"/>
              </w:divBdr>
            </w:div>
            <w:div w:id="2042389847">
              <w:marLeft w:val="0"/>
              <w:marRight w:val="0"/>
              <w:marTop w:val="0"/>
              <w:marBottom w:val="0"/>
              <w:divBdr>
                <w:top w:val="none" w:sz="0" w:space="0" w:color="auto"/>
                <w:left w:val="none" w:sz="0" w:space="0" w:color="auto"/>
                <w:bottom w:val="none" w:sz="0" w:space="0" w:color="auto"/>
                <w:right w:val="none" w:sz="0" w:space="0" w:color="auto"/>
              </w:divBdr>
            </w:div>
            <w:div w:id="1911109874">
              <w:marLeft w:val="0"/>
              <w:marRight w:val="0"/>
              <w:marTop w:val="0"/>
              <w:marBottom w:val="0"/>
              <w:divBdr>
                <w:top w:val="none" w:sz="0" w:space="0" w:color="auto"/>
                <w:left w:val="none" w:sz="0" w:space="0" w:color="auto"/>
                <w:bottom w:val="none" w:sz="0" w:space="0" w:color="auto"/>
                <w:right w:val="none" w:sz="0" w:space="0" w:color="auto"/>
              </w:divBdr>
            </w:div>
            <w:div w:id="611863594">
              <w:marLeft w:val="0"/>
              <w:marRight w:val="0"/>
              <w:marTop w:val="0"/>
              <w:marBottom w:val="0"/>
              <w:divBdr>
                <w:top w:val="none" w:sz="0" w:space="0" w:color="auto"/>
                <w:left w:val="none" w:sz="0" w:space="0" w:color="auto"/>
                <w:bottom w:val="none" w:sz="0" w:space="0" w:color="auto"/>
                <w:right w:val="none" w:sz="0" w:space="0" w:color="auto"/>
              </w:divBdr>
            </w:div>
            <w:div w:id="162669889">
              <w:marLeft w:val="0"/>
              <w:marRight w:val="0"/>
              <w:marTop w:val="0"/>
              <w:marBottom w:val="0"/>
              <w:divBdr>
                <w:top w:val="none" w:sz="0" w:space="0" w:color="auto"/>
                <w:left w:val="none" w:sz="0" w:space="0" w:color="auto"/>
                <w:bottom w:val="none" w:sz="0" w:space="0" w:color="auto"/>
                <w:right w:val="none" w:sz="0" w:space="0" w:color="auto"/>
              </w:divBdr>
            </w:div>
            <w:div w:id="1172601731">
              <w:marLeft w:val="0"/>
              <w:marRight w:val="0"/>
              <w:marTop w:val="0"/>
              <w:marBottom w:val="0"/>
              <w:divBdr>
                <w:top w:val="none" w:sz="0" w:space="0" w:color="auto"/>
                <w:left w:val="none" w:sz="0" w:space="0" w:color="auto"/>
                <w:bottom w:val="none" w:sz="0" w:space="0" w:color="auto"/>
                <w:right w:val="none" w:sz="0" w:space="0" w:color="auto"/>
              </w:divBdr>
            </w:div>
            <w:div w:id="1983579473">
              <w:marLeft w:val="0"/>
              <w:marRight w:val="0"/>
              <w:marTop w:val="0"/>
              <w:marBottom w:val="0"/>
              <w:divBdr>
                <w:top w:val="none" w:sz="0" w:space="0" w:color="auto"/>
                <w:left w:val="none" w:sz="0" w:space="0" w:color="auto"/>
                <w:bottom w:val="none" w:sz="0" w:space="0" w:color="auto"/>
                <w:right w:val="none" w:sz="0" w:space="0" w:color="auto"/>
              </w:divBdr>
            </w:div>
            <w:div w:id="139268310">
              <w:marLeft w:val="0"/>
              <w:marRight w:val="0"/>
              <w:marTop w:val="0"/>
              <w:marBottom w:val="0"/>
              <w:divBdr>
                <w:top w:val="none" w:sz="0" w:space="0" w:color="auto"/>
                <w:left w:val="none" w:sz="0" w:space="0" w:color="auto"/>
                <w:bottom w:val="none" w:sz="0" w:space="0" w:color="auto"/>
                <w:right w:val="none" w:sz="0" w:space="0" w:color="auto"/>
              </w:divBdr>
            </w:div>
            <w:div w:id="1993680140">
              <w:marLeft w:val="0"/>
              <w:marRight w:val="0"/>
              <w:marTop w:val="0"/>
              <w:marBottom w:val="0"/>
              <w:divBdr>
                <w:top w:val="none" w:sz="0" w:space="0" w:color="auto"/>
                <w:left w:val="none" w:sz="0" w:space="0" w:color="auto"/>
                <w:bottom w:val="none" w:sz="0" w:space="0" w:color="auto"/>
                <w:right w:val="none" w:sz="0" w:space="0" w:color="auto"/>
              </w:divBdr>
            </w:div>
            <w:div w:id="1531185303">
              <w:marLeft w:val="0"/>
              <w:marRight w:val="0"/>
              <w:marTop w:val="0"/>
              <w:marBottom w:val="0"/>
              <w:divBdr>
                <w:top w:val="none" w:sz="0" w:space="0" w:color="auto"/>
                <w:left w:val="none" w:sz="0" w:space="0" w:color="auto"/>
                <w:bottom w:val="none" w:sz="0" w:space="0" w:color="auto"/>
                <w:right w:val="none" w:sz="0" w:space="0" w:color="auto"/>
              </w:divBdr>
            </w:div>
            <w:div w:id="22052190">
              <w:marLeft w:val="0"/>
              <w:marRight w:val="0"/>
              <w:marTop w:val="0"/>
              <w:marBottom w:val="0"/>
              <w:divBdr>
                <w:top w:val="none" w:sz="0" w:space="0" w:color="auto"/>
                <w:left w:val="none" w:sz="0" w:space="0" w:color="auto"/>
                <w:bottom w:val="none" w:sz="0" w:space="0" w:color="auto"/>
                <w:right w:val="none" w:sz="0" w:space="0" w:color="auto"/>
              </w:divBdr>
            </w:div>
            <w:div w:id="861672657">
              <w:marLeft w:val="0"/>
              <w:marRight w:val="0"/>
              <w:marTop w:val="0"/>
              <w:marBottom w:val="0"/>
              <w:divBdr>
                <w:top w:val="none" w:sz="0" w:space="0" w:color="auto"/>
                <w:left w:val="none" w:sz="0" w:space="0" w:color="auto"/>
                <w:bottom w:val="none" w:sz="0" w:space="0" w:color="auto"/>
                <w:right w:val="none" w:sz="0" w:space="0" w:color="auto"/>
              </w:divBdr>
            </w:div>
            <w:div w:id="443116901">
              <w:marLeft w:val="0"/>
              <w:marRight w:val="0"/>
              <w:marTop w:val="0"/>
              <w:marBottom w:val="0"/>
              <w:divBdr>
                <w:top w:val="none" w:sz="0" w:space="0" w:color="auto"/>
                <w:left w:val="none" w:sz="0" w:space="0" w:color="auto"/>
                <w:bottom w:val="none" w:sz="0" w:space="0" w:color="auto"/>
                <w:right w:val="none" w:sz="0" w:space="0" w:color="auto"/>
              </w:divBdr>
            </w:div>
            <w:div w:id="1412890785">
              <w:marLeft w:val="0"/>
              <w:marRight w:val="0"/>
              <w:marTop w:val="0"/>
              <w:marBottom w:val="0"/>
              <w:divBdr>
                <w:top w:val="none" w:sz="0" w:space="0" w:color="auto"/>
                <w:left w:val="none" w:sz="0" w:space="0" w:color="auto"/>
                <w:bottom w:val="none" w:sz="0" w:space="0" w:color="auto"/>
                <w:right w:val="none" w:sz="0" w:space="0" w:color="auto"/>
              </w:divBdr>
            </w:div>
            <w:div w:id="583994540">
              <w:marLeft w:val="0"/>
              <w:marRight w:val="0"/>
              <w:marTop w:val="0"/>
              <w:marBottom w:val="0"/>
              <w:divBdr>
                <w:top w:val="none" w:sz="0" w:space="0" w:color="auto"/>
                <w:left w:val="none" w:sz="0" w:space="0" w:color="auto"/>
                <w:bottom w:val="none" w:sz="0" w:space="0" w:color="auto"/>
                <w:right w:val="none" w:sz="0" w:space="0" w:color="auto"/>
              </w:divBdr>
            </w:div>
            <w:div w:id="669059780">
              <w:marLeft w:val="0"/>
              <w:marRight w:val="0"/>
              <w:marTop w:val="0"/>
              <w:marBottom w:val="0"/>
              <w:divBdr>
                <w:top w:val="none" w:sz="0" w:space="0" w:color="auto"/>
                <w:left w:val="none" w:sz="0" w:space="0" w:color="auto"/>
                <w:bottom w:val="none" w:sz="0" w:space="0" w:color="auto"/>
                <w:right w:val="none" w:sz="0" w:space="0" w:color="auto"/>
              </w:divBdr>
            </w:div>
            <w:div w:id="78018615">
              <w:marLeft w:val="0"/>
              <w:marRight w:val="0"/>
              <w:marTop w:val="0"/>
              <w:marBottom w:val="0"/>
              <w:divBdr>
                <w:top w:val="none" w:sz="0" w:space="0" w:color="auto"/>
                <w:left w:val="none" w:sz="0" w:space="0" w:color="auto"/>
                <w:bottom w:val="none" w:sz="0" w:space="0" w:color="auto"/>
                <w:right w:val="none" w:sz="0" w:space="0" w:color="auto"/>
              </w:divBdr>
            </w:div>
            <w:div w:id="1955167957">
              <w:marLeft w:val="0"/>
              <w:marRight w:val="0"/>
              <w:marTop w:val="0"/>
              <w:marBottom w:val="0"/>
              <w:divBdr>
                <w:top w:val="none" w:sz="0" w:space="0" w:color="auto"/>
                <w:left w:val="none" w:sz="0" w:space="0" w:color="auto"/>
                <w:bottom w:val="none" w:sz="0" w:space="0" w:color="auto"/>
                <w:right w:val="none" w:sz="0" w:space="0" w:color="auto"/>
              </w:divBdr>
            </w:div>
            <w:div w:id="1805196767">
              <w:marLeft w:val="0"/>
              <w:marRight w:val="0"/>
              <w:marTop w:val="0"/>
              <w:marBottom w:val="0"/>
              <w:divBdr>
                <w:top w:val="none" w:sz="0" w:space="0" w:color="auto"/>
                <w:left w:val="none" w:sz="0" w:space="0" w:color="auto"/>
                <w:bottom w:val="none" w:sz="0" w:space="0" w:color="auto"/>
                <w:right w:val="none" w:sz="0" w:space="0" w:color="auto"/>
              </w:divBdr>
            </w:div>
            <w:div w:id="385421890">
              <w:marLeft w:val="0"/>
              <w:marRight w:val="0"/>
              <w:marTop w:val="0"/>
              <w:marBottom w:val="0"/>
              <w:divBdr>
                <w:top w:val="none" w:sz="0" w:space="0" w:color="auto"/>
                <w:left w:val="none" w:sz="0" w:space="0" w:color="auto"/>
                <w:bottom w:val="none" w:sz="0" w:space="0" w:color="auto"/>
                <w:right w:val="none" w:sz="0" w:space="0" w:color="auto"/>
              </w:divBdr>
            </w:div>
            <w:div w:id="1905678981">
              <w:marLeft w:val="0"/>
              <w:marRight w:val="0"/>
              <w:marTop w:val="0"/>
              <w:marBottom w:val="0"/>
              <w:divBdr>
                <w:top w:val="none" w:sz="0" w:space="0" w:color="auto"/>
                <w:left w:val="none" w:sz="0" w:space="0" w:color="auto"/>
                <w:bottom w:val="none" w:sz="0" w:space="0" w:color="auto"/>
                <w:right w:val="none" w:sz="0" w:space="0" w:color="auto"/>
              </w:divBdr>
            </w:div>
            <w:div w:id="1184125557">
              <w:marLeft w:val="0"/>
              <w:marRight w:val="0"/>
              <w:marTop w:val="0"/>
              <w:marBottom w:val="0"/>
              <w:divBdr>
                <w:top w:val="none" w:sz="0" w:space="0" w:color="auto"/>
                <w:left w:val="none" w:sz="0" w:space="0" w:color="auto"/>
                <w:bottom w:val="none" w:sz="0" w:space="0" w:color="auto"/>
                <w:right w:val="none" w:sz="0" w:space="0" w:color="auto"/>
              </w:divBdr>
            </w:div>
            <w:div w:id="1846166384">
              <w:marLeft w:val="0"/>
              <w:marRight w:val="0"/>
              <w:marTop w:val="0"/>
              <w:marBottom w:val="0"/>
              <w:divBdr>
                <w:top w:val="none" w:sz="0" w:space="0" w:color="auto"/>
                <w:left w:val="none" w:sz="0" w:space="0" w:color="auto"/>
                <w:bottom w:val="none" w:sz="0" w:space="0" w:color="auto"/>
                <w:right w:val="none" w:sz="0" w:space="0" w:color="auto"/>
              </w:divBdr>
            </w:div>
            <w:div w:id="1182354360">
              <w:marLeft w:val="0"/>
              <w:marRight w:val="0"/>
              <w:marTop w:val="0"/>
              <w:marBottom w:val="0"/>
              <w:divBdr>
                <w:top w:val="none" w:sz="0" w:space="0" w:color="auto"/>
                <w:left w:val="none" w:sz="0" w:space="0" w:color="auto"/>
                <w:bottom w:val="none" w:sz="0" w:space="0" w:color="auto"/>
                <w:right w:val="none" w:sz="0" w:space="0" w:color="auto"/>
              </w:divBdr>
            </w:div>
            <w:div w:id="1827669970">
              <w:marLeft w:val="0"/>
              <w:marRight w:val="0"/>
              <w:marTop w:val="0"/>
              <w:marBottom w:val="0"/>
              <w:divBdr>
                <w:top w:val="none" w:sz="0" w:space="0" w:color="auto"/>
                <w:left w:val="none" w:sz="0" w:space="0" w:color="auto"/>
                <w:bottom w:val="none" w:sz="0" w:space="0" w:color="auto"/>
                <w:right w:val="none" w:sz="0" w:space="0" w:color="auto"/>
              </w:divBdr>
            </w:div>
            <w:div w:id="210579679">
              <w:marLeft w:val="0"/>
              <w:marRight w:val="0"/>
              <w:marTop w:val="0"/>
              <w:marBottom w:val="0"/>
              <w:divBdr>
                <w:top w:val="none" w:sz="0" w:space="0" w:color="auto"/>
                <w:left w:val="none" w:sz="0" w:space="0" w:color="auto"/>
                <w:bottom w:val="none" w:sz="0" w:space="0" w:color="auto"/>
                <w:right w:val="none" w:sz="0" w:space="0" w:color="auto"/>
              </w:divBdr>
            </w:div>
            <w:div w:id="1941402861">
              <w:marLeft w:val="0"/>
              <w:marRight w:val="0"/>
              <w:marTop w:val="0"/>
              <w:marBottom w:val="0"/>
              <w:divBdr>
                <w:top w:val="none" w:sz="0" w:space="0" w:color="auto"/>
                <w:left w:val="none" w:sz="0" w:space="0" w:color="auto"/>
                <w:bottom w:val="none" w:sz="0" w:space="0" w:color="auto"/>
                <w:right w:val="none" w:sz="0" w:space="0" w:color="auto"/>
              </w:divBdr>
            </w:div>
            <w:div w:id="1260795110">
              <w:marLeft w:val="0"/>
              <w:marRight w:val="0"/>
              <w:marTop w:val="0"/>
              <w:marBottom w:val="0"/>
              <w:divBdr>
                <w:top w:val="none" w:sz="0" w:space="0" w:color="auto"/>
                <w:left w:val="none" w:sz="0" w:space="0" w:color="auto"/>
                <w:bottom w:val="none" w:sz="0" w:space="0" w:color="auto"/>
                <w:right w:val="none" w:sz="0" w:space="0" w:color="auto"/>
              </w:divBdr>
            </w:div>
            <w:div w:id="1782724141">
              <w:marLeft w:val="0"/>
              <w:marRight w:val="0"/>
              <w:marTop w:val="0"/>
              <w:marBottom w:val="0"/>
              <w:divBdr>
                <w:top w:val="none" w:sz="0" w:space="0" w:color="auto"/>
                <w:left w:val="none" w:sz="0" w:space="0" w:color="auto"/>
                <w:bottom w:val="none" w:sz="0" w:space="0" w:color="auto"/>
                <w:right w:val="none" w:sz="0" w:space="0" w:color="auto"/>
              </w:divBdr>
            </w:div>
            <w:div w:id="1982423572">
              <w:marLeft w:val="0"/>
              <w:marRight w:val="0"/>
              <w:marTop w:val="0"/>
              <w:marBottom w:val="0"/>
              <w:divBdr>
                <w:top w:val="none" w:sz="0" w:space="0" w:color="auto"/>
                <w:left w:val="none" w:sz="0" w:space="0" w:color="auto"/>
                <w:bottom w:val="none" w:sz="0" w:space="0" w:color="auto"/>
                <w:right w:val="none" w:sz="0" w:space="0" w:color="auto"/>
              </w:divBdr>
            </w:div>
            <w:div w:id="1079135152">
              <w:marLeft w:val="0"/>
              <w:marRight w:val="0"/>
              <w:marTop w:val="0"/>
              <w:marBottom w:val="0"/>
              <w:divBdr>
                <w:top w:val="none" w:sz="0" w:space="0" w:color="auto"/>
                <w:left w:val="none" w:sz="0" w:space="0" w:color="auto"/>
                <w:bottom w:val="none" w:sz="0" w:space="0" w:color="auto"/>
                <w:right w:val="none" w:sz="0" w:space="0" w:color="auto"/>
              </w:divBdr>
            </w:div>
            <w:div w:id="1057438226">
              <w:marLeft w:val="0"/>
              <w:marRight w:val="0"/>
              <w:marTop w:val="0"/>
              <w:marBottom w:val="0"/>
              <w:divBdr>
                <w:top w:val="none" w:sz="0" w:space="0" w:color="auto"/>
                <w:left w:val="none" w:sz="0" w:space="0" w:color="auto"/>
                <w:bottom w:val="none" w:sz="0" w:space="0" w:color="auto"/>
                <w:right w:val="none" w:sz="0" w:space="0" w:color="auto"/>
              </w:divBdr>
            </w:div>
            <w:div w:id="1566917559">
              <w:marLeft w:val="0"/>
              <w:marRight w:val="0"/>
              <w:marTop w:val="0"/>
              <w:marBottom w:val="0"/>
              <w:divBdr>
                <w:top w:val="none" w:sz="0" w:space="0" w:color="auto"/>
                <w:left w:val="none" w:sz="0" w:space="0" w:color="auto"/>
                <w:bottom w:val="none" w:sz="0" w:space="0" w:color="auto"/>
                <w:right w:val="none" w:sz="0" w:space="0" w:color="auto"/>
              </w:divBdr>
            </w:div>
            <w:div w:id="1347177160">
              <w:marLeft w:val="0"/>
              <w:marRight w:val="0"/>
              <w:marTop w:val="0"/>
              <w:marBottom w:val="0"/>
              <w:divBdr>
                <w:top w:val="none" w:sz="0" w:space="0" w:color="auto"/>
                <w:left w:val="none" w:sz="0" w:space="0" w:color="auto"/>
                <w:bottom w:val="none" w:sz="0" w:space="0" w:color="auto"/>
                <w:right w:val="none" w:sz="0" w:space="0" w:color="auto"/>
              </w:divBdr>
            </w:div>
            <w:div w:id="1932884947">
              <w:marLeft w:val="0"/>
              <w:marRight w:val="0"/>
              <w:marTop w:val="0"/>
              <w:marBottom w:val="0"/>
              <w:divBdr>
                <w:top w:val="none" w:sz="0" w:space="0" w:color="auto"/>
                <w:left w:val="none" w:sz="0" w:space="0" w:color="auto"/>
                <w:bottom w:val="none" w:sz="0" w:space="0" w:color="auto"/>
                <w:right w:val="none" w:sz="0" w:space="0" w:color="auto"/>
              </w:divBdr>
            </w:div>
            <w:div w:id="44721328">
              <w:marLeft w:val="0"/>
              <w:marRight w:val="0"/>
              <w:marTop w:val="0"/>
              <w:marBottom w:val="0"/>
              <w:divBdr>
                <w:top w:val="none" w:sz="0" w:space="0" w:color="auto"/>
                <w:left w:val="none" w:sz="0" w:space="0" w:color="auto"/>
                <w:bottom w:val="none" w:sz="0" w:space="0" w:color="auto"/>
                <w:right w:val="none" w:sz="0" w:space="0" w:color="auto"/>
              </w:divBdr>
            </w:div>
            <w:div w:id="1752391371">
              <w:marLeft w:val="0"/>
              <w:marRight w:val="0"/>
              <w:marTop w:val="0"/>
              <w:marBottom w:val="0"/>
              <w:divBdr>
                <w:top w:val="none" w:sz="0" w:space="0" w:color="auto"/>
                <w:left w:val="none" w:sz="0" w:space="0" w:color="auto"/>
                <w:bottom w:val="none" w:sz="0" w:space="0" w:color="auto"/>
                <w:right w:val="none" w:sz="0" w:space="0" w:color="auto"/>
              </w:divBdr>
            </w:div>
            <w:div w:id="695229082">
              <w:marLeft w:val="0"/>
              <w:marRight w:val="0"/>
              <w:marTop w:val="0"/>
              <w:marBottom w:val="0"/>
              <w:divBdr>
                <w:top w:val="none" w:sz="0" w:space="0" w:color="auto"/>
                <w:left w:val="none" w:sz="0" w:space="0" w:color="auto"/>
                <w:bottom w:val="none" w:sz="0" w:space="0" w:color="auto"/>
                <w:right w:val="none" w:sz="0" w:space="0" w:color="auto"/>
              </w:divBdr>
            </w:div>
            <w:div w:id="1733575173">
              <w:marLeft w:val="0"/>
              <w:marRight w:val="0"/>
              <w:marTop w:val="0"/>
              <w:marBottom w:val="0"/>
              <w:divBdr>
                <w:top w:val="none" w:sz="0" w:space="0" w:color="auto"/>
                <w:left w:val="none" w:sz="0" w:space="0" w:color="auto"/>
                <w:bottom w:val="none" w:sz="0" w:space="0" w:color="auto"/>
                <w:right w:val="none" w:sz="0" w:space="0" w:color="auto"/>
              </w:divBdr>
            </w:div>
            <w:div w:id="1320427774">
              <w:marLeft w:val="0"/>
              <w:marRight w:val="0"/>
              <w:marTop w:val="0"/>
              <w:marBottom w:val="0"/>
              <w:divBdr>
                <w:top w:val="none" w:sz="0" w:space="0" w:color="auto"/>
                <w:left w:val="none" w:sz="0" w:space="0" w:color="auto"/>
                <w:bottom w:val="none" w:sz="0" w:space="0" w:color="auto"/>
                <w:right w:val="none" w:sz="0" w:space="0" w:color="auto"/>
              </w:divBdr>
            </w:div>
            <w:div w:id="799878256">
              <w:marLeft w:val="0"/>
              <w:marRight w:val="0"/>
              <w:marTop w:val="0"/>
              <w:marBottom w:val="0"/>
              <w:divBdr>
                <w:top w:val="none" w:sz="0" w:space="0" w:color="auto"/>
                <w:left w:val="none" w:sz="0" w:space="0" w:color="auto"/>
                <w:bottom w:val="none" w:sz="0" w:space="0" w:color="auto"/>
                <w:right w:val="none" w:sz="0" w:space="0" w:color="auto"/>
              </w:divBdr>
            </w:div>
            <w:div w:id="1392925610">
              <w:marLeft w:val="0"/>
              <w:marRight w:val="0"/>
              <w:marTop w:val="0"/>
              <w:marBottom w:val="0"/>
              <w:divBdr>
                <w:top w:val="none" w:sz="0" w:space="0" w:color="auto"/>
                <w:left w:val="none" w:sz="0" w:space="0" w:color="auto"/>
                <w:bottom w:val="none" w:sz="0" w:space="0" w:color="auto"/>
                <w:right w:val="none" w:sz="0" w:space="0" w:color="auto"/>
              </w:divBdr>
            </w:div>
            <w:div w:id="866874809">
              <w:marLeft w:val="0"/>
              <w:marRight w:val="0"/>
              <w:marTop w:val="0"/>
              <w:marBottom w:val="0"/>
              <w:divBdr>
                <w:top w:val="none" w:sz="0" w:space="0" w:color="auto"/>
                <w:left w:val="none" w:sz="0" w:space="0" w:color="auto"/>
                <w:bottom w:val="none" w:sz="0" w:space="0" w:color="auto"/>
                <w:right w:val="none" w:sz="0" w:space="0" w:color="auto"/>
              </w:divBdr>
            </w:div>
            <w:div w:id="1753772281">
              <w:marLeft w:val="0"/>
              <w:marRight w:val="0"/>
              <w:marTop w:val="0"/>
              <w:marBottom w:val="0"/>
              <w:divBdr>
                <w:top w:val="none" w:sz="0" w:space="0" w:color="auto"/>
                <w:left w:val="none" w:sz="0" w:space="0" w:color="auto"/>
                <w:bottom w:val="none" w:sz="0" w:space="0" w:color="auto"/>
                <w:right w:val="none" w:sz="0" w:space="0" w:color="auto"/>
              </w:divBdr>
            </w:div>
            <w:div w:id="493305110">
              <w:marLeft w:val="0"/>
              <w:marRight w:val="0"/>
              <w:marTop w:val="0"/>
              <w:marBottom w:val="0"/>
              <w:divBdr>
                <w:top w:val="none" w:sz="0" w:space="0" w:color="auto"/>
                <w:left w:val="none" w:sz="0" w:space="0" w:color="auto"/>
                <w:bottom w:val="none" w:sz="0" w:space="0" w:color="auto"/>
                <w:right w:val="none" w:sz="0" w:space="0" w:color="auto"/>
              </w:divBdr>
            </w:div>
            <w:div w:id="434987213">
              <w:marLeft w:val="0"/>
              <w:marRight w:val="0"/>
              <w:marTop w:val="0"/>
              <w:marBottom w:val="0"/>
              <w:divBdr>
                <w:top w:val="none" w:sz="0" w:space="0" w:color="auto"/>
                <w:left w:val="none" w:sz="0" w:space="0" w:color="auto"/>
                <w:bottom w:val="none" w:sz="0" w:space="0" w:color="auto"/>
                <w:right w:val="none" w:sz="0" w:space="0" w:color="auto"/>
              </w:divBdr>
            </w:div>
            <w:div w:id="1000040130">
              <w:marLeft w:val="0"/>
              <w:marRight w:val="0"/>
              <w:marTop w:val="0"/>
              <w:marBottom w:val="0"/>
              <w:divBdr>
                <w:top w:val="none" w:sz="0" w:space="0" w:color="auto"/>
                <w:left w:val="none" w:sz="0" w:space="0" w:color="auto"/>
                <w:bottom w:val="none" w:sz="0" w:space="0" w:color="auto"/>
                <w:right w:val="none" w:sz="0" w:space="0" w:color="auto"/>
              </w:divBdr>
            </w:div>
            <w:div w:id="1066874008">
              <w:marLeft w:val="0"/>
              <w:marRight w:val="0"/>
              <w:marTop w:val="0"/>
              <w:marBottom w:val="0"/>
              <w:divBdr>
                <w:top w:val="none" w:sz="0" w:space="0" w:color="auto"/>
                <w:left w:val="none" w:sz="0" w:space="0" w:color="auto"/>
                <w:bottom w:val="none" w:sz="0" w:space="0" w:color="auto"/>
                <w:right w:val="none" w:sz="0" w:space="0" w:color="auto"/>
              </w:divBdr>
            </w:div>
            <w:div w:id="842355862">
              <w:marLeft w:val="0"/>
              <w:marRight w:val="0"/>
              <w:marTop w:val="0"/>
              <w:marBottom w:val="0"/>
              <w:divBdr>
                <w:top w:val="none" w:sz="0" w:space="0" w:color="auto"/>
                <w:left w:val="none" w:sz="0" w:space="0" w:color="auto"/>
                <w:bottom w:val="none" w:sz="0" w:space="0" w:color="auto"/>
                <w:right w:val="none" w:sz="0" w:space="0" w:color="auto"/>
              </w:divBdr>
            </w:div>
            <w:div w:id="806581396">
              <w:marLeft w:val="0"/>
              <w:marRight w:val="0"/>
              <w:marTop w:val="0"/>
              <w:marBottom w:val="0"/>
              <w:divBdr>
                <w:top w:val="none" w:sz="0" w:space="0" w:color="auto"/>
                <w:left w:val="none" w:sz="0" w:space="0" w:color="auto"/>
                <w:bottom w:val="none" w:sz="0" w:space="0" w:color="auto"/>
                <w:right w:val="none" w:sz="0" w:space="0" w:color="auto"/>
              </w:divBdr>
            </w:div>
            <w:div w:id="127935203">
              <w:marLeft w:val="0"/>
              <w:marRight w:val="0"/>
              <w:marTop w:val="0"/>
              <w:marBottom w:val="0"/>
              <w:divBdr>
                <w:top w:val="none" w:sz="0" w:space="0" w:color="auto"/>
                <w:left w:val="none" w:sz="0" w:space="0" w:color="auto"/>
                <w:bottom w:val="none" w:sz="0" w:space="0" w:color="auto"/>
                <w:right w:val="none" w:sz="0" w:space="0" w:color="auto"/>
              </w:divBdr>
            </w:div>
            <w:div w:id="2109427782">
              <w:marLeft w:val="0"/>
              <w:marRight w:val="0"/>
              <w:marTop w:val="0"/>
              <w:marBottom w:val="0"/>
              <w:divBdr>
                <w:top w:val="none" w:sz="0" w:space="0" w:color="auto"/>
                <w:left w:val="none" w:sz="0" w:space="0" w:color="auto"/>
                <w:bottom w:val="none" w:sz="0" w:space="0" w:color="auto"/>
                <w:right w:val="none" w:sz="0" w:space="0" w:color="auto"/>
              </w:divBdr>
            </w:div>
            <w:div w:id="664018376">
              <w:marLeft w:val="0"/>
              <w:marRight w:val="0"/>
              <w:marTop w:val="0"/>
              <w:marBottom w:val="0"/>
              <w:divBdr>
                <w:top w:val="none" w:sz="0" w:space="0" w:color="auto"/>
                <w:left w:val="none" w:sz="0" w:space="0" w:color="auto"/>
                <w:bottom w:val="none" w:sz="0" w:space="0" w:color="auto"/>
                <w:right w:val="none" w:sz="0" w:space="0" w:color="auto"/>
              </w:divBdr>
            </w:div>
            <w:div w:id="436409086">
              <w:marLeft w:val="0"/>
              <w:marRight w:val="0"/>
              <w:marTop w:val="0"/>
              <w:marBottom w:val="0"/>
              <w:divBdr>
                <w:top w:val="none" w:sz="0" w:space="0" w:color="auto"/>
                <w:left w:val="none" w:sz="0" w:space="0" w:color="auto"/>
                <w:bottom w:val="none" w:sz="0" w:space="0" w:color="auto"/>
                <w:right w:val="none" w:sz="0" w:space="0" w:color="auto"/>
              </w:divBdr>
            </w:div>
            <w:div w:id="863400996">
              <w:marLeft w:val="0"/>
              <w:marRight w:val="0"/>
              <w:marTop w:val="0"/>
              <w:marBottom w:val="0"/>
              <w:divBdr>
                <w:top w:val="none" w:sz="0" w:space="0" w:color="auto"/>
                <w:left w:val="none" w:sz="0" w:space="0" w:color="auto"/>
                <w:bottom w:val="none" w:sz="0" w:space="0" w:color="auto"/>
                <w:right w:val="none" w:sz="0" w:space="0" w:color="auto"/>
              </w:divBdr>
            </w:div>
            <w:div w:id="817117461">
              <w:marLeft w:val="0"/>
              <w:marRight w:val="0"/>
              <w:marTop w:val="0"/>
              <w:marBottom w:val="0"/>
              <w:divBdr>
                <w:top w:val="none" w:sz="0" w:space="0" w:color="auto"/>
                <w:left w:val="none" w:sz="0" w:space="0" w:color="auto"/>
                <w:bottom w:val="none" w:sz="0" w:space="0" w:color="auto"/>
                <w:right w:val="none" w:sz="0" w:space="0" w:color="auto"/>
              </w:divBdr>
            </w:div>
            <w:div w:id="1984502863">
              <w:marLeft w:val="0"/>
              <w:marRight w:val="0"/>
              <w:marTop w:val="0"/>
              <w:marBottom w:val="0"/>
              <w:divBdr>
                <w:top w:val="none" w:sz="0" w:space="0" w:color="auto"/>
                <w:left w:val="none" w:sz="0" w:space="0" w:color="auto"/>
                <w:bottom w:val="none" w:sz="0" w:space="0" w:color="auto"/>
                <w:right w:val="none" w:sz="0" w:space="0" w:color="auto"/>
              </w:divBdr>
            </w:div>
            <w:div w:id="290550756">
              <w:marLeft w:val="0"/>
              <w:marRight w:val="0"/>
              <w:marTop w:val="0"/>
              <w:marBottom w:val="0"/>
              <w:divBdr>
                <w:top w:val="none" w:sz="0" w:space="0" w:color="auto"/>
                <w:left w:val="none" w:sz="0" w:space="0" w:color="auto"/>
                <w:bottom w:val="none" w:sz="0" w:space="0" w:color="auto"/>
                <w:right w:val="none" w:sz="0" w:space="0" w:color="auto"/>
              </w:divBdr>
            </w:div>
            <w:div w:id="587619476">
              <w:marLeft w:val="0"/>
              <w:marRight w:val="0"/>
              <w:marTop w:val="0"/>
              <w:marBottom w:val="0"/>
              <w:divBdr>
                <w:top w:val="none" w:sz="0" w:space="0" w:color="auto"/>
                <w:left w:val="none" w:sz="0" w:space="0" w:color="auto"/>
                <w:bottom w:val="none" w:sz="0" w:space="0" w:color="auto"/>
                <w:right w:val="none" w:sz="0" w:space="0" w:color="auto"/>
              </w:divBdr>
            </w:div>
            <w:div w:id="1246722680">
              <w:marLeft w:val="0"/>
              <w:marRight w:val="0"/>
              <w:marTop w:val="0"/>
              <w:marBottom w:val="0"/>
              <w:divBdr>
                <w:top w:val="none" w:sz="0" w:space="0" w:color="auto"/>
                <w:left w:val="none" w:sz="0" w:space="0" w:color="auto"/>
                <w:bottom w:val="none" w:sz="0" w:space="0" w:color="auto"/>
                <w:right w:val="none" w:sz="0" w:space="0" w:color="auto"/>
              </w:divBdr>
            </w:div>
            <w:div w:id="135610613">
              <w:marLeft w:val="0"/>
              <w:marRight w:val="0"/>
              <w:marTop w:val="0"/>
              <w:marBottom w:val="0"/>
              <w:divBdr>
                <w:top w:val="none" w:sz="0" w:space="0" w:color="auto"/>
                <w:left w:val="none" w:sz="0" w:space="0" w:color="auto"/>
                <w:bottom w:val="none" w:sz="0" w:space="0" w:color="auto"/>
                <w:right w:val="none" w:sz="0" w:space="0" w:color="auto"/>
              </w:divBdr>
            </w:div>
            <w:div w:id="196898820">
              <w:marLeft w:val="0"/>
              <w:marRight w:val="0"/>
              <w:marTop w:val="0"/>
              <w:marBottom w:val="0"/>
              <w:divBdr>
                <w:top w:val="none" w:sz="0" w:space="0" w:color="auto"/>
                <w:left w:val="none" w:sz="0" w:space="0" w:color="auto"/>
                <w:bottom w:val="none" w:sz="0" w:space="0" w:color="auto"/>
                <w:right w:val="none" w:sz="0" w:space="0" w:color="auto"/>
              </w:divBdr>
            </w:div>
            <w:div w:id="1862233108">
              <w:marLeft w:val="0"/>
              <w:marRight w:val="0"/>
              <w:marTop w:val="0"/>
              <w:marBottom w:val="0"/>
              <w:divBdr>
                <w:top w:val="none" w:sz="0" w:space="0" w:color="auto"/>
                <w:left w:val="none" w:sz="0" w:space="0" w:color="auto"/>
                <w:bottom w:val="none" w:sz="0" w:space="0" w:color="auto"/>
                <w:right w:val="none" w:sz="0" w:space="0" w:color="auto"/>
              </w:divBdr>
            </w:div>
            <w:div w:id="1819565914">
              <w:marLeft w:val="0"/>
              <w:marRight w:val="0"/>
              <w:marTop w:val="0"/>
              <w:marBottom w:val="0"/>
              <w:divBdr>
                <w:top w:val="none" w:sz="0" w:space="0" w:color="auto"/>
                <w:left w:val="none" w:sz="0" w:space="0" w:color="auto"/>
                <w:bottom w:val="none" w:sz="0" w:space="0" w:color="auto"/>
                <w:right w:val="none" w:sz="0" w:space="0" w:color="auto"/>
              </w:divBdr>
            </w:div>
            <w:div w:id="404255937">
              <w:marLeft w:val="0"/>
              <w:marRight w:val="0"/>
              <w:marTop w:val="0"/>
              <w:marBottom w:val="0"/>
              <w:divBdr>
                <w:top w:val="none" w:sz="0" w:space="0" w:color="auto"/>
                <w:left w:val="none" w:sz="0" w:space="0" w:color="auto"/>
                <w:bottom w:val="none" w:sz="0" w:space="0" w:color="auto"/>
                <w:right w:val="none" w:sz="0" w:space="0" w:color="auto"/>
              </w:divBdr>
            </w:div>
            <w:div w:id="987633602">
              <w:marLeft w:val="0"/>
              <w:marRight w:val="0"/>
              <w:marTop w:val="0"/>
              <w:marBottom w:val="0"/>
              <w:divBdr>
                <w:top w:val="none" w:sz="0" w:space="0" w:color="auto"/>
                <w:left w:val="none" w:sz="0" w:space="0" w:color="auto"/>
                <w:bottom w:val="none" w:sz="0" w:space="0" w:color="auto"/>
                <w:right w:val="none" w:sz="0" w:space="0" w:color="auto"/>
              </w:divBdr>
            </w:div>
            <w:div w:id="1904178262">
              <w:marLeft w:val="0"/>
              <w:marRight w:val="0"/>
              <w:marTop w:val="0"/>
              <w:marBottom w:val="0"/>
              <w:divBdr>
                <w:top w:val="none" w:sz="0" w:space="0" w:color="auto"/>
                <w:left w:val="none" w:sz="0" w:space="0" w:color="auto"/>
                <w:bottom w:val="none" w:sz="0" w:space="0" w:color="auto"/>
                <w:right w:val="none" w:sz="0" w:space="0" w:color="auto"/>
              </w:divBdr>
            </w:div>
            <w:div w:id="665520375">
              <w:marLeft w:val="0"/>
              <w:marRight w:val="0"/>
              <w:marTop w:val="0"/>
              <w:marBottom w:val="0"/>
              <w:divBdr>
                <w:top w:val="none" w:sz="0" w:space="0" w:color="auto"/>
                <w:left w:val="none" w:sz="0" w:space="0" w:color="auto"/>
                <w:bottom w:val="none" w:sz="0" w:space="0" w:color="auto"/>
                <w:right w:val="none" w:sz="0" w:space="0" w:color="auto"/>
              </w:divBdr>
            </w:div>
            <w:div w:id="3214959">
              <w:marLeft w:val="0"/>
              <w:marRight w:val="0"/>
              <w:marTop w:val="0"/>
              <w:marBottom w:val="0"/>
              <w:divBdr>
                <w:top w:val="none" w:sz="0" w:space="0" w:color="auto"/>
                <w:left w:val="none" w:sz="0" w:space="0" w:color="auto"/>
                <w:bottom w:val="none" w:sz="0" w:space="0" w:color="auto"/>
                <w:right w:val="none" w:sz="0" w:space="0" w:color="auto"/>
              </w:divBdr>
            </w:div>
            <w:div w:id="1399403085">
              <w:marLeft w:val="0"/>
              <w:marRight w:val="0"/>
              <w:marTop w:val="0"/>
              <w:marBottom w:val="0"/>
              <w:divBdr>
                <w:top w:val="none" w:sz="0" w:space="0" w:color="auto"/>
                <w:left w:val="none" w:sz="0" w:space="0" w:color="auto"/>
                <w:bottom w:val="none" w:sz="0" w:space="0" w:color="auto"/>
                <w:right w:val="none" w:sz="0" w:space="0" w:color="auto"/>
              </w:divBdr>
            </w:div>
            <w:div w:id="949817635">
              <w:marLeft w:val="0"/>
              <w:marRight w:val="0"/>
              <w:marTop w:val="0"/>
              <w:marBottom w:val="0"/>
              <w:divBdr>
                <w:top w:val="none" w:sz="0" w:space="0" w:color="auto"/>
                <w:left w:val="none" w:sz="0" w:space="0" w:color="auto"/>
                <w:bottom w:val="none" w:sz="0" w:space="0" w:color="auto"/>
                <w:right w:val="none" w:sz="0" w:space="0" w:color="auto"/>
              </w:divBdr>
            </w:div>
            <w:div w:id="23989290">
              <w:marLeft w:val="0"/>
              <w:marRight w:val="0"/>
              <w:marTop w:val="0"/>
              <w:marBottom w:val="0"/>
              <w:divBdr>
                <w:top w:val="none" w:sz="0" w:space="0" w:color="auto"/>
                <w:left w:val="none" w:sz="0" w:space="0" w:color="auto"/>
                <w:bottom w:val="none" w:sz="0" w:space="0" w:color="auto"/>
                <w:right w:val="none" w:sz="0" w:space="0" w:color="auto"/>
              </w:divBdr>
            </w:div>
            <w:div w:id="620691866">
              <w:marLeft w:val="0"/>
              <w:marRight w:val="0"/>
              <w:marTop w:val="0"/>
              <w:marBottom w:val="0"/>
              <w:divBdr>
                <w:top w:val="none" w:sz="0" w:space="0" w:color="auto"/>
                <w:left w:val="none" w:sz="0" w:space="0" w:color="auto"/>
                <w:bottom w:val="none" w:sz="0" w:space="0" w:color="auto"/>
                <w:right w:val="none" w:sz="0" w:space="0" w:color="auto"/>
              </w:divBdr>
            </w:div>
            <w:div w:id="1718579916">
              <w:marLeft w:val="0"/>
              <w:marRight w:val="0"/>
              <w:marTop w:val="0"/>
              <w:marBottom w:val="0"/>
              <w:divBdr>
                <w:top w:val="none" w:sz="0" w:space="0" w:color="auto"/>
                <w:left w:val="none" w:sz="0" w:space="0" w:color="auto"/>
                <w:bottom w:val="none" w:sz="0" w:space="0" w:color="auto"/>
                <w:right w:val="none" w:sz="0" w:space="0" w:color="auto"/>
              </w:divBdr>
            </w:div>
            <w:div w:id="757096641">
              <w:marLeft w:val="0"/>
              <w:marRight w:val="0"/>
              <w:marTop w:val="0"/>
              <w:marBottom w:val="0"/>
              <w:divBdr>
                <w:top w:val="none" w:sz="0" w:space="0" w:color="auto"/>
                <w:left w:val="none" w:sz="0" w:space="0" w:color="auto"/>
                <w:bottom w:val="none" w:sz="0" w:space="0" w:color="auto"/>
                <w:right w:val="none" w:sz="0" w:space="0" w:color="auto"/>
              </w:divBdr>
            </w:div>
            <w:div w:id="1716615541">
              <w:marLeft w:val="0"/>
              <w:marRight w:val="0"/>
              <w:marTop w:val="0"/>
              <w:marBottom w:val="0"/>
              <w:divBdr>
                <w:top w:val="none" w:sz="0" w:space="0" w:color="auto"/>
                <w:left w:val="none" w:sz="0" w:space="0" w:color="auto"/>
                <w:bottom w:val="none" w:sz="0" w:space="0" w:color="auto"/>
                <w:right w:val="none" w:sz="0" w:space="0" w:color="auto"/>
              </w:divBdr>
            </w:div>
            <w:div w:id="415249987">
              <w:marLeft w:val="0"/>
              <w:marRight w:val="0"/>
              <w:marTop w:val="0"/>
              <w:marBottom w:val="0"/>
              <w:divBdr>
                <w:top w:val="none" w:sz="0" w:space="0" w:color="auto"/>
                <w:left w:val="none" w:sz="0" w:space="0" w:color="auto"/>
                <w:bottom w:val="none" w:sz="0" w:space="0" w:color="auto"/>
                <w:right w:val="none" w:sz="0" w:space="0" w:color="auto"/>
              </w:divBdr>
            </w:div>
            <w:div w:id="881358464">
              <w:marLeft w:val="0"/>
              <w:marRight w:val="0"/>
              <w:marTop w:val="0"/>
              <w:marBottom w:val="0"/>
              <w:divBdr>
                <w:top w:val="none" w:sz="0" w:space="0" w:color="auto"/>
                <w:left w:val="none" w:sz="0" w:space="0" w:color="auto"/>
                <w:bottom w:val="none" w:sz="0" w:space="0" w:color="auto"/>
                <w:right w:val="none" w:sz="0" w:space="0" w:color="auto"/>
              </w:divBdr>
            </w:div>
            <w:div w:id="1102608070">
              <w:marLeft w:val="0"/>
              <w:marRight w:val="0"/>
              <w:marTop w:val="0"/>
              <w:marBottom w:val="0"/>
              <w:divBdr>
                <w:top w:val="none" w:sz="0" w:space="0" w:color="auto"/>
                <w:left w:val="none" w:sz="0" w:space="0" w:color="auto"/>
                <w:bottom w:val="none" w:sz="0" w:space="0" w:color="auto"/>
                <w:right w:val="none" w:sz="0" w:space="0" w:color="auto"/>
              </w:divBdr>
            </w:div>
            <w:div w:id="827020150">
              <w:marLeft w:val="0"/>
              <w:marRight w:val="0"/>
              <w:marTop w:val="0"/>
              <w:marBottom w:val="0"/>
              <w:divBdr>
                <w:top w:val="none" w:sz="0" w:space="0" w:color="auto"/>
                <w:left w:val="none" w:sz="0" w:space="0" w:color="auto"/>
                <w:bottom w:val="none" w:sz="0" w:space="0" w:color="auto"/>
                <w:right w:val="none" w:sz="0" w:space="0" w:color="auto"/>
              </w:divBdr>
            </w:div>
            <w:div w:id="1941796069">
              <w:marLeft w:val="0"/>
              <w:marRight w:val="0"/>
              <w:marTop w:val="0"/>
              <w:marBottom w:val="0"/>
              <w:divBdr>
                <w:top w:val="none" w:sz="0" w:space="0" w:color="auto"/>
                <w:left w:val="none" w:sz="0" w:space="0" w:color="auto"/>
                <w:bottom w:val="none" w:sz="0" w:space="0" w:color="auto"/>
                <w:right w:val="none" w:sz="0" w:space="0" w:color="auto"/>
              </w:divBdr>
            </w:div>
            <w:div w:id="389377990">
              <w:marLeft w:val="0"/>
              <w:marRight w:val="0"/>
              <w:marTop w:val="0"/>
              <w:marBottom w:val="0"/>
              <w:divBdr>
                <w:top w:val="none" w:sz="0" w:space="0" w:color="auto"/>
                <w:left w:val="none" w:sz="0" w:space="0" w:color="auto"/>
                <w:bottom w:val="none" w:sz="0" w:space="0" w:color="auto"/>
                <w:right w:val="none" w:sz="0" w:space="0" w:color="auto"/>
              </w:divBdr>
            </w:div>
            <w:div w:id="456796290">
              <w:marLeft w:val="0"/>
              <w:marRight w:val="0"/>
              <w:marTop w:val="0"/>
              <w:marBottom w:val="0"/>
              <w:divBdr>
                <w:top w:val="none" w:sz="0" w:space="0" w:color="auto"/>
                <w:left w:val="none" w:sz="0" w:space="0" w:color="auto"/>
                <w:bottom w:val="none" w:sz="0" w:space="0" w:color="auto"/>
                <w:right w:val="none" w:sz="0" w:space="0" w:color="auto"/>
              </w:divBdr>
            </w:div>
            <w:div w:id="374814009">
              <w:marLeft w:val="0"/>
              <w:marRight w:val="0"/>
              <w:marTop w:val="0"/>
              <w:marBottom w:val="0"/>
              <w:divBdr>
                <w:top w:val="none" w:sz="0" w:space="0" w:color="auto"/>
                <w:left w:val="none" w:sz="0" w:space="0" w:color="auto"/>
                <w:bottom w:val="none" w:sz="0" w:space="0" w:color="auto"/>
                <w:right w:val="none" w:sz="0" w:space="0" w:color="auto"/>
              </w:divBdr>
            </w:div>
            <w:div w:id="1804419406">
              <w:marLeft w:val="0"/>
              <w:marRight w:val="0"/>
              <w:marTop w:val="0"/>
              <w:marBottom w:val="0"/>
              <w:divBdr>
                <w:top w:val="none" w:sz="0" w:space="0" w:color="auto"/>
                <w:left w:val="none" w:sz="0" w:space="0" w:color="auto"/>
                <w:bottom w:val="none" w:sz="0" w:space="0" w:color="auto"/>
                <w:right w:val="none" w:sz="0" w:space="0" w:color="auto"/>
              </w:divBdr>
            </w:div>
            <w:div w:id="1738745676">
              <w:marLeft w:val="0"/>
              <w:marRight w:val="0"/>
              <w:marTop w:val="0"/>
              <w:marBottom w:val="0"/>
              <w:divBdr>
                <w:top w:val="none" w:sz="0" w:space="0" w:color="auto"/>
                <w:left w:val="none" w:sz="0" w:space="0" w:color="auto"/>
                <w:bottom w:val="none" w:sz="0" w:space="0" w:color="auto"/>
                <w:right w:val="none" w:sz="0" w:space="0" w:color="auto"/>
              </w:divBdr>
            </w:div>
            <w:div w:id="803817136">
              <w:marLeft w:val="0"/>
              <w:marRight w:val="0"/>
              <w:marTop w:val="0"/>
              <w:marBottom w:val="0"/>
              <w:divBdr>
                <w:top w:val="none" w:sz="0" w:space="0" w:color="auto"/>
                <w:left w:val="none" w:sz="0" w:space="0" w:color="auto"/>
                <w:bottom w:val="none" w:sz="0" w:space="0" w:color="auto"/>
                <w:right w:val="none" w:sz="0" w:space="0" w:color="auto"/>
              </w:divBdr>
            </w:div>
            <w:div w:id="1890799327">
              <w:marLeft w:val="0"/>
              <w:marRight w:val="0"/>
              <w:marTop w:val="0"/>
              <w:marBottom w:val="0"/>
              <w:divBdr>
                <w:top w:val="none" w:sz="0" w:space="0" w:color="auto"/>
                <w:left w:val="none" w:sz="0" w:space="0" w:color="auto"/>
                <w:bottom w:val="none" w:sz="0" w:space="0" w:color="auto"/>
                <w:right w:val="none" w:sz="0" w:space="0" w:color="auto"/>
              </w:divBdr>
            </w:div>
            <w:div w:id="1739400465">
              <w:marLeft w:val="0"/>
              <w:marRight w:val="0"/>
              <w:marTop w:val="0"/>
              <w:marBottom w:val="0"/>
              <w:divBdr>
                <w:top w:val="none" w:sz="0" w:space="0" w:color="auto"/>
                <w:left w:val="none" w:sz="0" w:space="0" w:color="auto"/>
                <w:bottom w:val="none" w:sz="0" w:space="0" w:color="auto"/>
                <w:right w:val="none" w:sz="0" w:space="0" w:color="auto"/>
              </w:divBdr>
            </w:div>
            <w:div w:id="227346650">
              <w:marLeft w:val="0"/>
              <w:marRight w:val="0"/>
              <w:marTop w:val="0"/>
              <w:marBottom w:val="0"/>
              <w:divBdr>
                <w:top w:val="none" w:sz="0" w:space="0" w:color="auto"/>
                <w:left w:val="none" w:sz="0" w:space="0" w:color="auto"/>
                <w:bottom w:val="none" w:sz="0" w:space="0" w:color="auto"/>
                <w:right w:val="none" w:sz="0" w:space="0" w:color="auto"/>
              </w:divBdr>
            </w:div>
            <w:div w:id="375088955">
              <w:marLeft w:val="0"/>
              <w:marRight w:val="0"/>
              <w:marTop w:val="0"/>
              <w:marBottom w:val="0"/>
              <w:divBdr>
                <w:top w:val="none" w:sz="0" w:space="0" w:color="auto"/>
                <w:left w:val="none" w:sz="0" w:space="0" w:color="auto"/>
                <w:bottom w:val="none" w:sz="0" w:space="0" w:color="auto"/>
                <w:right w:val="none" w:sz="0" w:space="0" w:color="auto"/>
              </w:divBdr>
            </w:div>
            <w:div w:id="1639260039">
              <w:marLeft w:val="0"/>
              <w:marRight w:val="0"/>
              <w:marTop w:val="0"/>
              <w:marBottom w:val="0"/>
              <w:divBdr>
                <w:top w:val="none" w:sz="0" w:space="0" w:color="auto"/>
                <w:left w:val="none" w:sz="0" w:space="0" w:color="auto"/>
                <w:bottom w:val="none" w:sz="0" w:space="0" w:color="auto"/>
                <w:right w:val="none" w:sz="0" w:space="0" w:color="auto"/>
              </w:divBdr>
            </w:div>
            <w:div w:id="436946969">
              <w:marLeft w:val="0"/>
              <w:marRight w:val="0"/>
              <w:marTop w:val="0"/>
              <w:marBottom w:val="0"/>
              <w:divBdr>
                <w:top w:val="none" w:sz="0" w:space="0" w:color="auto"/>
                <w:left w:val="none" w:sz="0" w:space="0" w:color="auto"/>
                <w:bottom w:val="none" w:sz="0" w:space="0" w:color="auto"/>
                <w:right w:val="none" w:sz="0" w:space="0" w:color="auto"/>
              </w:divBdr>
            </w:div>
            <w:div w:id="35085942">
              <w:marLeft w:val="0"/>
              <w:marRight w:val="0"/>
              <w:marTop w:val="0"/>
              <w:marBottom w:val="0"/>
              <w:divBdr>
                <w:top w:val="none" w:sz="0" w:space="0" w:color="auto"/>
                <w:left w:val="none" w:sz="0" w:space="0" w:color="auto"/>
                <w:bottom w:val="none" w:sz="0" w:space="0" w:color="auto"/>
                <w:right w:val="none" w:sz="0" w:space="0" w:color="auto"/>
              </w:divBdr>
            </w:div>
            <w:div w:id="1917208528">
              <w:marLeft w:val="0"/>
              <w:marRight w:val="0"/>
              <w:marTop w:val="0"/>
              <w:marBottom w:val="0"/>
              <w:divBdr>
                <w:top w:val="none" w:sz="0" w:space="0" w:color="auto"/>
                <w:left w:val="none" w:sz="0" w:space="0" w:color="auto"/>
                <w:bottom w:val="none" w:sz="0" w:space="0" w:color="auto"/>
                <w:right w:val="none" w:sz="0" w:space="0" w:color="auto"/>
              </w:divBdr>
            </w:div>
            <w:div w:id="332993338">
              <w:marLeft w:val="0"/>
              <w:marRight w:val="0"/>
              <w:marTop w:val="0"/>
              <w:marBottom w:val="0"/>
              <w:divBdr>
                <w:top w:val="none" w:sz="0" w:space="0" w:color="auto"/>
                <w:left w:val="none" w:sz="0" w:space="0" w:color="auto"/>
                <w:bottom w:val="none" w:sz="0" w:space="0" w:color="auto"/>
                <w:right w:val="none" w:sz="0" w:space="0" w:color="auto"/>
              </w:divBdr>
            </w:div>
            <w:div w:id="721364292">
              <w:marLeft w:val="0"/>
              <w:marRight w:val="0"/>
              <w:marTop w:val="0"/>
              <w:marBottom w:val="0"/>
              <w:divBdr>
                <w:top w:val="none" w:sz="0" w:space="0" w:color="auto"/>
                <w:left w:val="none" w:sz="0" w:space="0" w:color="auto"/>
                <w:bottom w:val="none" w:sz="0" w:space="0" w:color="auto"/>
                <w:right w:val="none" w:sz="0" w:space="0" w:color="auto"/>
              </w:divBdr>
            </w:div>
            <w:div w:id="789084411">
              <w:marLeft w:val="0"/>
              <w:marRight w:val="0"/>
              <w:marTop w:val="0"/>
              <w:marBottom w:val="0"/>
              <w:divBdr>
                <w:top w:val="none" w:sz="0" w:space="0" w:color="auto"/>
                <w:left w:val="none" w:sz="0" w:space="0" w:color="auto"/>
                <w:bottom w:val="none" w:sz="0" w:space="0" w:color="auto"/>
                <w:right w:val="none" w:sz="0" w:space="0" w:color="auto"/>
              </w:divBdr>
            </w:div>
            <w:div w:id="1637949983">
              <w:marLeft w:val="0"/>
              <w:marRight w:val="0"/>
              <w:marTop w:val="0"/>
              <w:marBottom w:val="0"/>
              <w:divBdr>
                <w:top w:val="none" w:sz="0" w:space="0" w:color="auto"/>
                <w:left w:val="none" w:sz="0" w:space="0" w:color="auto"/>
                <w:bottom w:val="none" w:sz="0" w:space="0" w:color="auto"/>
                <w:right w:val="none" w:sz="0" w:space="0" w:color="auto"/>
              </w:divBdr>
            </w:div>
            <w:div w:id="528419091">
              <w:marLeft w:val="0"/>
              <w:marRight w:val="0"/>
              <w:marTop w:val="0"/>
              <w:marBottom w:val="0"/>
              <w:divBdr>
                <w:top w:val="none" w:sz="0" w:space="0" w:color="auto"/>
                <w:left w:val="none" w:sz="0" w:space="0" w:color="auto"/>
                <w:bottom w:val="none" w:sz="0" w:space="0" w:color="auto"/>
                <w:right w:val="none" w:sz="0" w:space="0" w:color="auto"/>
              </w:divBdr>
            </w:div>
            <w:div w:id="969943559">
              <w:marLeft w:val="0"/>
              <w:marRight w:val="0"/>
              <w:marTop w:val="0"/>
              <w:marBottom w:val="0"/>
              <w:divBdr>
                <w:top w:val="none" w:sz="0" w:space="0" w:color="auto"/>
                <w:left w:val="none" w:sz="0" w:space="0" w:color="auto"/>
                <w:bottom w:val="none" w:sz="0" w:space="0" w:color="auto"/>
                <w:right w:val="none" w:sz="0" w:space="0" w:color="auto"/>
              </w:divBdr>
            </w:div>
            <w:div w:id="1726878967">
              <w:marLeft w:val="0"/>
              <w:marRight w:val="0"/>
              <w:marTop w:val="0"/>
              <w:marBottom w:val="0"/>
              <w:divBdr>
                <w:top w:val="none" w:sz="0" w:space="0" w:color="auto"/>
                <w:left w:val="none" w:sz="0" w:space="0" w:color="auto"/>
                <w:bottom w:val="none" w:sz="0" w:space="0" w:color="auto"/>
                <w:right w:val="none" w:sz="0" w:space="0" w:color="auto"/>
              </w:divBdr>
            </w:div>
            <w:div w:id="1446078110">
              <w:marLeft w:val="0"/>
              <w:marRight w:val="0"/>
              <w:marTop w:val="0"/>
              <w:marBottom w:val="0"/>
              <w:divBdr>
                <w:top w:val="none" w:sz="0" w:space="0" w:color="auto"/>
                <w:left w:val="none" w:sz="0" w:space="0" w:color="auto"/>
                <w:bottom w:val="none" w:sz="0" w:space="0" w:color="auto"/>
                <w:right w:val="none" w:sz="0" w:space="0" w:color="auto"/>
              </w:divBdr>
            </w:div>
            <w:div w:id="1901941602">
              <w:marLeft w:val="0"/>
              <w:marRight w:val="0"/>
              <w:marTop w:val="0"/>
              <w:marBottom w:val="0"/>
              <w:divBdr>
                <w:top w:val="none" w:sz="0" w:space="0" w:color="auto"/>
                <w:left w:val="none" w:sz="0" w:space="0" w:color="auto"/>
                <w:bottom w:val="none" w:sz="0" w:space="0" w:color="auto"/>
                <w:right w:val="none" w:sz="0" w:space="0" w:color="auto"/>
              </w:divBdr>
            </w:div>
            <w:div w:id="2036079218">
              <w:marLeft w:val="0"/>
              <w:marRight w:val="0"/>
              <w:marTop w:val="0"/>
              <w:marBottom w:val="0"/>
              <w:divBdr>
                <w:top w:val="none" w:sz="0" w:space="0" w:color="auto"/>
                <w:left w:val="none" w:sz="0" w:space="0" w:color="auto"/>
                <w:bottom w:val="none" w:sz="0" w:space="0" w:color="auto"/>
                <w:right w:val="none" w:sz="0" w:space="0" w:color="auto"/>
              </w:divBdr>
            </w:div>
            <w:div w:id="128330584">
              <w:marLeft w:val="0"/>
              <w:marRight w:val="0"/>
              <w:marTop w:val="0"/>
              <w:marBottom w:val="0"/>
              <w:divBdr>
                <w:top w:val="none" w:sz="0" w:space="0" w:color="auto"/>
                <w:left w:val="none" w:sz="0" w:space="0" w:color="auto"/>
                <w:bottom w:val="none" w:sz="0" w:space="0" w:color="auto"/>
                <w:right w:val="none" w:sz="0" w:space="0" w:color="auto"/>
              </w:divBdr>
            </w:div>
            <w:div w:id="1557663975">
              <w:marLeft w:val="0"/>
              <w:marRight w:val="0"/>
              <w:marTop w:val="0"/>
              <w:marBottom w:val="0"/>
              <w:divBdr>
                <w:top w:val="none" w:sz="0" w:space="0" w:color="auto"/>
                <w:left w:val="none" w:sz="0" w:space="0" w:color="auto"/>
                <w:bottom w:val="none" w:sz="0" w:space="0" w:color="auto"/>
                <w:right w:val="none" w:sz="0" w:space="0" w:color="auto"/>
              </w:divBdr>
            </w:div>
            <w:div w:id="113914414">
              <w:marLeft w:val="0"/>
              <w:marRight w:val="0"/>
              <w:marTop w:val="0"/>
              <w:marBottom w:val="0"/>
              <w:divBdr>
                <w:top w:val="none" w:sz="0" w:space="0" w:color="auto"/>
                <w:left w:val="none" w:sz="0" w:space="0" w:color="auto"/>
                <w:bottom w:val="none" w:sz="0" w:space="0" w:color="auto"/>
                <w:right w:val="none" w:sz="0" w:space="0" w:color="auto"/>
              </w:divBdr>
            </w:div>
            <w:div w:id="932250103">
              <w:marLeft w:val="0"/>
              <w:marRight w:val="0"/>
              <w:marTop w:val="0"/>
              <w:marBottom w:val="0"/>
              <w:divBdr>
                <w:top w:val="none" w:sz="0" w:space="0" w:color="auto"/>
                <w:left w:val="none" w:sz="0" w:space="0" w:color="auto"/>
                <w:bottom w:val="none" w:sz="0" w:space="0" w:color="auto"/>
                <w:right w:val="none" w:sz="0" w:space="0" w:color="auto"/>
              </w:divBdr>
            </w:div>
            <w:div w:id="1902983281">
              <w:marLeft w:val="0"/>
              <w:marRight w:val="0"/>
              <w:marTop w:val="0"/>
              <w:marBottom w:val="0"/>
              <w:divBdr>
                <w:top w:val="none" w:sz="0" w:space="0" w:color="auto"/>
                <w:left w:val="none" w:sz="0" w:space="0" w:color="auto"/>
                <w:bottom w:val="none" w:sz="0" w:space="0" w:color="auto"/>
                <w:right w:val="none" w:sz="0" w:space="0" w:color="auto"/>
              </w:divBdr>
            </w:div>
            <w:div w:id="1859005275">
              <w:marLeft w:val="0"/>
              <w:marRight w:val="0"/>
              <w:marTop w:val="0"/>
              <w:marBottom w:val="0"/>
              <w:divBdr>
                <w:top w:val="none" w:sz="0" w:space="0" w:color="auto"/>
                <w:left w:val="none" w:sz="0" w:space="0" w:color="auto"/>
                <w:bottom w:val="none" w:sz="0" w:space="0" w:color="auto"/>
                <w:right w:val="none" w:sz="0" w:space="0" w:color="auto"/>
              </w:divBdr>
            </w:div>
            <w:div w:id="1723289391">
              <w:marLeft w:val="0"/>
              <w:marRight w:val="0"/>
              <w:marTop w:val="0"/>
              <w:marBottom w:val="0"/>
              <w:divBdr>
                <w:top w:val="none" w:sz="0" w:space="0" w:color="auto"/>
                <w:left w:val="none" w:sz="0" w:space="0" w:color="auto"/>
                <w:bottom w:val="none" w:sz="0" w:space="0" w:color="auto"/>
                <w:right w:val="none" w:sz="0" w:space="0" w:color="auto"/>
              </w:divBdr>
            </w:div>
            <w:div w:id="1364289991">
              <w:marLeft w:val="0"/>
              <w:marRight w:val="0"/>
              <w:marTop w:val="0"/>
              <w:marBottom w:val="0"/>
              <w:divBdr>
                <w:top w:val="none" w:sz="0" w:space="0" w:color="auto"/>
                <w:left w:val="none" w:sz="0" w:space="0" w:color="auto"/>
                <w:bottom w:val="none" w:sz="0" w:space="0" w:color="auto"/>
                <w:right w:val="none" w:sz="0" w:space="0" w:color="auto"/>
              </w:divBdr>
            </w:div>
            <w:div w:id="838347694">
              <w:marLeft w:val="0"/>
              <w:marRight w:val="0"/>
              <w:marTop w:val="0"/>
              <w:marBottom w:val="0"/>
              <w:divBdr>
                <w:top w:val="none" w:sz="0" w:space="0" w:color="auto"/>
                <w:left w:val="none" w:sz="0" w:space="0" w:color="auto"/>
                <w:bottom w:val="none" w:sz="0" w:space="0" w:color="auto"/>
                <w:right w:val="none" w:sz="0" w:space="0" w:color="auto"/>
              </w:divBdr>
            </w:div>
            <w:div w:id="1493063733">
              <w:marLeft w:val="0"/>
              <w:marRight w:val="0"/>
              <w:marTop w:val="0"/>
              <w:marBottom w:val="0"/>
              <w:divBdr>
                <w:top w:val="none" w:sz="0" w:space="0" w:color="auto"/>
                <w:left w:val="none" w:sz="0" w:space="0" w:color="auto"/>
                <w:bottom w:val="none" w:sz="0" w:space="0" w:color="auto"/>
                <w:right w:val="none" w:sz="0" w:space="0" w:color="auto"/>
              </w:divBdr>
            </w:div>
            <w:div w:id="277951876">
              <w:marLeft w:val="0"/>
              <w:marRight w:val="0"/>
              <w:marTop w:val="0"/>
              <w:marBottom w:val="0"/>
              <w:divBdr>
                <w:top w:val="none" w:sz="0" w:space="0" w:color="auto"/>
                <w:left w:val="none" w:sz="0" w:space="0" w:color="auto"/>
                <w:bottom w:val="none" w:sz="0" w:space="0" w:color="auto"/>
                <w:right w:val="none" w:sz="0" w:space="0" w:color="auto"/>
              </w:divBdr>
            </w:div>
            <w:div w:id="606083022">
              <w:marLeft w:val="0"/>
              <w:marRight w:val="0"/>
              <w:marTop w:val="0"/>
              <w:marBottom w:val="0"/>
              <w:divBdr>
                <w:top w:val="none" w:sz="0" w:space="0" w:color="auto"/>
                <w:left w:val="none" w:sz="0" w:space="0" w:color="auto"/>
                <w:bottom w:val="none" w:sz="0" w:space="0" w:color="auto"/>
                <w:right w:val="none" w:sz="0" w:space="0" w:color="auto"/>
              </w:divBdr>
            </w:div>
            <w:div w:id="1132287161">
              <w:marLeft w:val="0"/>
              <w:marRight w:val="0"/>
              <w:marTop w:val="0"/>
              <w:marBottom w:val="0"/>
              <w:divBdr>
                <w:top w:val="none" w:sz="0" w:space="0" w:color="auto"/>
                <w:left w:val="none" w:sz="0" w:space="0" w:color="auto"/>
                <w:bottom w:val="none" w:sz="0" w:space="0" w:color="auto"/>
                <w:right w:val="none" w:sz="0" w:space="0" w:color="auto"/>
              </w:divBdr>
            </w:div>
            <w:div w:id="1435395433">
              <w:marLeft w:val="0"/>
              <w:marRight w:val="0"/>
              <w:marTop w:val="0"/>
              <w:marBottom w:val="0"/>
              <w:divBdr>
                <w:top w:val="none" w:sz="0" w:space="0" w:color="auto"/>
                <w:left w:val="none" w:sz="0" w:space="0" w:color="auto"/>
                <w:bottom w:val="none" w:sz="0" w:space="0" w:color="auto"/>
                <w:right w:val="none" w:sz="0" w:space="0" w:color="auto"/>
              </w:divBdr>
            </w:div>
            <w:div w:id="608591145">
              <w:marLeft w:val="0"/>
              <w:marRight w:val="0"/>
              <w:marTop w:val="0"/>
              <w:marBottom w:val="0"/>
              <w:divBdr>
                <w:top w:val="none" w:sz="0" w:space="0" w:color="auto"/>
                <w:left w:val="none" w:sz="0" w:space="0" w:color="auto"/>
                <w:bottom w:val="none" w:sz="0" w:space="0" w:color="auto"/>
                <w:right w:val="none" w:sz="0" w:space="0" w:color="auto"/>
              </w:divBdr>
            </w:div>
            <w:div w:id="129716223">
              <w:marLeft w:val="0"/>
              <w:marRight w:val="0"/>
              <w:marTop w:val="0"/>
              <w:marBottom w:val="0"/>
              <w:divBdr>
                <w:top w:val="none" w:sz="0" w:space="0" w:color="auto"/>
                <w:left w:val="none" w:sz="0" w:space="0" w:color="auto"/>
                <w:bottom w:val="none" w:sz="0" w:space="0" w:color="auto"/>
                <w:right w:val="none" w:sz="0" w:space="0" w:color="auto"/>
              </w:divBdr>
            </w:div>
            <w:div w:id="417874579">
              <w:marLeft w:val="0"/>
              <w:marRight w:val="0"/>
              <w:marTop w:val="0"/>
              <w:marBottom w:val="0"/>
              <w:divBdr>
                <w:top w:val="none" w:sz="0" w:space="0" w:color="auto"/>
                <w:left w:val="none" w:sz="0" w:space="0" w:color="auto"/>
                <w:bottom w:val="none" w:sz="0" w:space="0" w:color="auto"/>
                <w:right w:val="none" w:sz="0" w:space="0" w:color="auto"/>
              </w:divBdr>
            </w:div>
            <w:div w:id="744768366">
              <w:marLeft w:val="0"/>
              <w:marRight w:val="0"/>
              <w:marTop w:val="0"/>
              <w:marBottom w:val="0"/>
              <w:divBdr>
                <w:top w:val="none" w:sz="0" w:space="0" w:color="auto"/>
                <w:left w:val="none" w:sz="0" w:space="0" w:color="auto"/>
                <w:bottom w:val="none" w:sz="0" w:space="0" w:color="auto"/>
                <w:right w:val="none" w:sz="0" w:space="0" w:color="auto"/>
              </w:divBdr>
            </w:div>
            <w:div w:id="1614021857">
              <w:marLeft w:val="0"/>
              <w:marRight w:val="0"/>
              <w:marTop w:val="0"/>
              <w:marBottom w:val="0"/>
              <w:divBdr>
                <w:top w:val="none" w:sz="0" w:space="0" w:color="auto"/>
                <w:left w:val="none" w:sz="0" w:space="0" w:color="auto"/>
                <w:bottom w:val="none" w:sz="0" w:space="0" w:color="auto"/>
                <w:right w:val="none" w:sz="0" w:space="0" w:color="auto"/>
              </w:divBdr>
            </w:div>
            <w:div w:id="656567994">
              <w:marLeft w:val="0"/>
              <w:marRight w:val="0"/>
              <w:marTop w:val="0"/>
              <w:marBottom w:val="0"/>
              <w:divBdr>
                <w:top w:val="none" w:sz="0" w:space="0" w:color="auto"/>
                <w:left w:val="none" w:sz="0" w:space="0" w:color="auto"/>
                <w:bottom w:val="none" w:sz="0" w:space="0" w:color="auto"/>
                <w:right w:val="none" w:sz="0" w:space="0" w:color="auto"/>
              </w:divBdr>
            </w:div>
            <w:div w:id="1950165948">
              <w:marLeft w:val="0"/>
              <w:marRight w:val="0"/>
              <w:marTop w:val="0"/>
              <w:marBottom w:val="0"/>
              <w:divBdr>
                <w:top w:val="none" w:sz="0" w:space="0" w:color="auto"/>
                <w:left w:val="none" w:sz="0" w:space="0" w:color="auto"/>
                <w:bottom w:val="none" w:sz="0" w:space="0" w:color="auto"/>
                <w:right w:val="none" w:sz="0" w:space="0" w:color="auto"/>
              </w:divBdr>
            </w:div>
            <w:div w:id="1445885885">
              <w:marLeft w:val="0"/>
              <w:marRight w:val="0"/>
              <w:marTop w:val="0"/>
              <w:marBottom w:val="0"/>
              <w:divBdr>
                <w:top w:val="none" w:sz="0" w:space="0" w:color="auto"/>
                <w:left w:val="none" w:sz="0" w:space="0" w:color="auto"/>
                <w:bottom w:val="none" w:sz="0" w:space="0" w:color="auto"/>
                <w:right w:val="none" w:sz="0" w:space="0" w:color="auto"/>
              </w:divBdr>
            </w:div>
            <w:div w:id="939797560">
              <w:marLeft w:val="0"/>
              <w:marRight w:val="0"/>
              <w:marTop w:val="0"/>
              <w:marBottom w:val="0"/>
              <w:divBdr>
                <w:top w:val="none" w:sz="0" w:space="0" w:color="auto"/>
                <w:left w:val="none" w:sz="0" w:space="0" w:color="auto"/>
                <w:bottom w:val="none" w:sz="0" w:space="0" w:color="auto"/>
                <w:right w:val="none" w:sz="0" w:space="0" w:color="auto"/>
              </w:divBdr>
            </w:div>
            <w:div w:id="2061585485">
              <w:marLeft w:val="0"/>
              <w:marRight w:val="0"/>
              <w:marTop w:val="0"/>
              <w:marBottom w:val="0"/>
              <w:divBdr>
                <w:top w:val="none" w:sz="0" w:space="0" w:color="auto"/>
                <w:left w:val="none" w:sz="0" w:space="0" w:color="auto"/>
                <w:bottom w:val="none" w:sz="0" w:space="0" w:color="auto"/>
                <w:right w:val="none" w:sz="0" w:space="0" w:color="auto"/>
              </w:divBdr>
            </w:div>
            <w:div w:id="1117673835">
              <w:marLeft w:val="0"/>
              <w:marRight w:val="0"/>
              <w:marTop w:val="0"/>
              <w:marBottom w:val="0"/>
              <w:divBdr>
                <w:top w:val="none" w:sz="0" w:space="0" w:color="auto"/>
                <w:left w:val="none" w:sz="0" w:space="0" w:color="auto"/>
                <w:bottom w:val="none" w:sz="0" w:space="0" w:color="auto"/>
                <w:right w:val="none" w:sz="0" w:space="0" w:color="auto"/>
              </w:divBdr>
            </w:div>
            <w:div w:id="121507073">
              <w:marLeft w:val="0"/>
              <w:marRight w:val="0"/>
              <w:marTop w:val="0"/>
              <w:marBottom w:val="0"/>
              <w:divBdr>
                <w:top w:val="none" w:sz="0" w:space="0" w:color="auto"/>
                <w:left w:val="none" w:sz="0" w:space="0" w:color="auto"/>
                <w:bottom w:val="none" w:sz="0" w:space="0" w:color="auto"/>
                <w:right w:val="none" w:sz="0" w:space="0" w:color="auto"/>
              </w:divBdr>
            </w:div>
            <w:div w:id="1786651070">
              <w:marLeft w:val="0"/>
              <w:marRight w:val="0"/>
              <w:marTop w:val="0"/>
              <w:marBottom w:val="0"/>
              <w:divBdr>
                <w:top w:val="none" w:sz="0" w:space="0" w:color="auto"/>
                <w:left w:val="none" w:sz="0" w:space="0" w:color="auto"/>
                <w:bottom w:val="none" w:sz="0" w:space="0" w:color="auto"/>
                <w:right w:val="none" w:sz="0" w:space="0" w:color="auto"/>
              </w:divBdr>
            </w:div>
            <w:div w:id="92631252">
              <w:marLeft w:val="0"/>
              <w:marRight w:val="0"/>
              <w:marTop w:val="0"/>
              <w:marBottom w:val="0"/>
              <w:divBdr>
                <w:top w:val="none" w:sz="0" w:space="0" w:color="auto"/>
                <w:left w:val="none" w:sz="0" w:space="0" w:color="auto"/>
                <w:bottom w:val="none" w:sz="0" w:space="0" w:color="auto"/>
                <w:right w:val="none" w:sz="0" w:space="0" w:color="auto"/>
              </w:divBdr>
            </w:div>
            <w:div w:id="492525338">
              <w:marLeft w:val="0"/>
              <w:marRight w:val="0"/>
              <w:marTop w:val="0"/>
              <w:marBottom w:val="0"/>
              <w:divBdr>
                <w:top w:val="none" w:sz="0" w:space="0" w:color="auto"/>
                <w:left w:val="none" w:sz="0" w:space="0" w:color="auto"/>
                <w:bottom w:val="none" w:sz="0" w:space="0" w:color="auto"/>
                <w:right w:val="none" w:sz="0" w:space="0" w:color="auto"/>
              </w:divBdr>
            </w:div>
            <w:div w:id="498351026">
              <w:marLeft w:val="0"/>
              <w:marRight w:val="0"/>
              <w:marTop w:val="0"/>
              <w:marBottom w:val="0"/>
              <w:divBdr>
                <w:top w:val="none" w:sz="0" w:space="0" w:color="auto"/>
                <w:left w:val="none" w:sz="0" w:space="0" w:color="auto"/>
                <w:bottom w:val="none" w:sz="0" w:space="0" w:color="auto"/>
                <w:right w:val="none" w:sz="0" w:space="0" w:color="auto"/>
              </w:divBdr>
            </w:div>
            <w:div w:id="1039816144">
              <w:marLeft w:val="0"/>
              <w:marRight w:val="0"/>
              <w:marTop w:val="0"/>
              <w:marBottom w:val="0"/>
              <w:divBdr>
                <w:top w:val="none" w:sz="0" w:space="0" w:color="auto"/>
                <w:left w:val="none" w:sz="0" w:space="0" w:color="auto"/>
                <w:bottom w:val="none" w:sz="0" w:space="0" w:color="auto"/>
                <w:right w:val="none" w:sz="0" w:space="0" w:color="auto"/>
              </w:divBdr>
            </w:div>
            <w:div w:id="1083144933">
              <w:marLeft w:val="0"/>
              <w:marRight w:val="0"/>
              <w:marTop w:val="0"/>
              <w:marBottom w:val="0"/>
              <w:divBdr>
                <w:top w:val="none" w:sz="0" w:space="0" w:color="auto"/>
                <w:left w:val="none" w:sz="0" w:space="0" w:color="auto"/>
                <w:bottom w:val="none" w:sz="0" w:space="0" w:color="auto"/>
                <w:right w:val="none" w:sz="0" w:space="0" w:color="auto"/>
              </w:divBdr>
            </w:div>
            <w:div w:id="1550679524">
              <w:marLeft w:val="0"/>
              <w:marRight w:val="0"/>
              <w:marTop w:val="0"/>
              <w:marBottom w:val="0"/>
              <w:divBdr>
                <w:top w:val="none" w:sz="0" w:space="0" w:color="auto"/>
                <w:left w:val="none" w:sz="0" w:space="0" w:color="auto"/>
                <w:bottom w:val="none" w:sz="0" w:space="0" w:color="auto"/>
                <w:right w:val="none" w:sz="0" w:space="0" w:color="auto"/>
              </w:divBdr>
            </w:div>
            <w:div w:id="1253969559">
              <w:marLeft w:val="0"/>
              <w:marRight w:val="0"/>
              <w:marTop w:val="0"/>
              <w:marBottom w:val="0"/>
              <w:divBdr>
                <w:top w:val="none" w:sz="0" w:space="0" w:color="auto"/>
                <w:left w:val="none" w:sz="0" w:space="0" w:color="auto"/>
                <w:bottom w:val="none" w:sz="0" w:space="0" w:color="auto"/>
                <w:right w:val="none" w:sz="0" w:space="0" w:color="auto"/>
              </w:divBdr>
            </w:div>
            <w:div w:id="1445078085">
              <w:marLeft w:val="0"/>
              <w:marRight w:val="0"/>
              <w:marTop w:val="0"/>
              <w:marBottom w:val="0"/>
              <w:divBdr>
                <w:top w:val="none" w:sz="0" w:space="0" w:color="auto"/>
                <w:left w:val="none" w:sz="0" w:space="0" w:color="auto"/>
                <w:bottom w:val="none" w:sz="0" w:space="0" w:color="auto"/>
                <w:right w:val="none" w:sz="0" w:space="0" w:color="auto"/>
              </w:divBdr>
            </w:div>
            <w:div w:id="2039233414">
              <w:marLeft w:val="0"/>
              <w:marRight w:val="0"/>
              <w:marTop w:val="0"/>
              <w:marBottom w:val="0"/>
              <w:divBdr>
                <w:top w:val="none" w:sz="0" w:space="0" w:color="auto"/>
                <w:left w:val="none" w:sz="0" w:space="0" w:color="auto"/>
                <w:bottom w:val="none" w:sz="0" w:space="0" w:color="auto"/>
                <w:right w:val="none" w:sz="0" w:space="0" w:color="auto"/>
              </w:divBdr>
            </w:div>
            <w:div w:id="710959019">
              <w:marLeft w:val="0"/>
              <w:marRight w:val="0"/>
              <w:marTop w:val="0"/>
              <w:marBottom w:val="0"/>
              <w:divBdr>
                <w:top w:val="none" w:sz="0" w:space="0" w:color="auto"/>
                <w:left w:val="none" w:sz="0" w:space="0" w:color="auto"/>
                <w:bottom w:val="none" w:sz="0" w:space="0" w:color="auto"/>
                <w:right w:val="none" w:sz="0" w:space="0" w:color="auto"/>
              </w:divBdr>
            </w:div>
            <w:div w:id="1199271153">
              <w:marLeft w:val="0"/>
              <w:marRight w:val="0"/>
              <w:marTop w:val="0"/>
              <w:marBottom w:val="0"/>
              <w:divBdr>
                <w:top w:val="none" w:sz="0" w:space="0" w:color="auto"/>
                <w:left w:val="none" w:sz="0" w:space="0" w:color="auto"/>
                <w:bottom w:val="none" w:sz="0" w:space="0" w:color="auto"/>
                <w:right w:val="none" w:sz="0" w:space="0" w:color="auto"/>
              </w:divBdr>
            </w:div>
            <w:div w:id="115681901">
              <w:marLeft w:val="0"/>
              <w:marRight w:val="0"/>
              <w:marTop w:val="0"/>
              <w:marBottom w:val="0"/>
              <w:divBdr>
                <w:top w:val="none" w:sz="0" w:space="0" w:color="auto"/>
                <w:left w:val="none" w:sz="0" w:space="0" w:color="auto"/>
                <w:bottom w:val="none" w:sz="0" w:space="0" w:color="auto"/>
                <w:right w:val="none" w:sz="0" w:space="0" w:color="auto"/>
              </w:divBdr>
            </w:div>
            <w:div w:id="720397315">
              <w:marLeft w:val="0"/>
              <w:marRight w:val="0"/>
              <w:marTop w:val="0"/>
              <w:marBottom w:val="0"/>
              <w:divBdr>
                <w:top w:val="none" w:sz="0" w:space="0" w:color="auto"/>
                <w:left w:val="none" w:sz="0" w:space="0" w:color="auto"/>
                <w:bottom w:val="none" w:sz="0" w:space="0" w:color="auto"/>
                <w:right w:val="none" w:sz="0" w:space="0" w:color="auto"/>
              </w:divBdr>
            </w:div>
            <w:div w:id="1577591574">
              <w:marLeft w:val="0"/>
              <w:marRight w:val="0"/>
              <w:marTop w:val="0"/>
              <w:marBottom w:val="0"/>
              <w:divBdr>
                <w:top w:val="none" w:sz="0" w:space="0" w:color="auto"/>
                <w:left w:val="none" w:sz="0" w:space="0" w:color="auto"/>
                <w:bottom w:val="none" w:sz="0" w:space="0" w:color="auto"/>
                <w:right w:val="none" w:sz="0" w:space="0" w:color="auto"/>
              </w:divBdr>
            </w:div>
            <w:div w:id="416901541">
              <w:marLeft w:val="0"/>
              <w:marRight w:val="0"/>
              <w:marTop w:val="0"/>
              <w:marBottom w:val="0"/>
              <w:divBdr>
                <w:top w:val="none" w:sz="0" w:space="0" w:color="auto"/>
                <w:left w:val="none" w:sz="0" w:space="0" w:color="auto"/>
                <w:bottom w:val="none" w:sz="0" w:space="0" w:color="auto"/>
                <w:right w:val="none" w:sz="0" w:space="0" w:color="auto"/>
              </w:divBdr>
            </w:div>
            <w:div w:id="389887212">
              <w:marLeft w:val="0"/>
              <w:marRight w:val="0"/>
              <w:marTop w:val="0"/>
              <w:marBottom w:val="0"/>
              <w:divBdr>
                <w:top w:val="none" w:sz="0" w:space="0" w:color="auto"/>
                <w:left w:val="none" w:sz="0" w:space="0" w:color="auto"/>
                <w:bottom w:val="none" w:sz="0" w:space="0" w:color="auto"/>
                <w:right w:val="none" w:sz="0" w:space="0" w:color="auto"/>
              </w:divBdr>
            </w:div>
            <w:div w:id="1562523034">
              <w:marLeft w:val="0"/>
              <w:marRight w:val="0"/>
              <w:marTop w:val="0"/>
              <w:marBottom w:val="0"/>
              <w:divBdr>
                <w:top w:val="none" w:sz="0" w:space="0" w:color="auto"/>
                <w:left w:val="none" w:sz="0" w:space="0" w:color="auto"/>
                <w:bottom w:val="none" w:sz="0" w:space="0" w:color="auto"/>
                <w:right w:val="none" w:sz="0" w:space="0" w:color="auto"/>
              </w:divBdr>
            </w:div>
            <w:div w:id="2072534791">
              <w:marLeft w:val="0"/>
              <w:marRight w:val="0"/>
              <w:marTop w:val="0"/>
              <w:marBottom w:val="0"/>
              <w:divBdr>
                <w:top w:val="none" w:sz="0" w:space="0" w:color="auto"/>
                <w:left w:val="none" w:sz="0" w:space="0" w:color="auto"/>
                <w:bottom w:val="none" w:sz="0" w:space="0" w:color="auto"/>
                <w:right w:val="none" w:sz="0" w:space="0" w:color="auto"/>
              </w:divBdr>
            </w:div>
            <w:div w:id="749038362">
              <w:marLeft w:val="0"/>
              <w:marRight w:val="0"/>
              <w:marTop w:val="0"/>
              <w:marBottom w:val="0"/>
              <w:divBdr>
                <w:top w:val="none" w:sz="0" w:space="0" w:color="auto"/>
                <w:left w:val="none" w:sz="0" w:space="0" w:color="auto"/>
                <w:bottom w:val="none" w:sz="0" w:space="0" w:color="auto"/>
                <w:right w:val="none" w:sz="0" w:space="0" w:color="auto"/>
              </w:divBdr>
            </w:div>
            <w:div w:id="1950039278">
              <w:marLeft w:val="0"/>
              <w:marRight w:val="0"/>
              <w:marTop w:val="0"/>
              <w:marBottom w:val="0"/>
              <w:divBdr>
                <w:top w:val="none" w:sz="0" w:space="0" w:color="auto"/>
                <w:left w:val="none" w:sz="0" w:space="0" w:color="auto"/>
                <w:bottom w:val="none" w:sz="0" w:space="0" w:color="auto"/>
                <w:right w:val="none" w:sz="0" w:space="0" w:color="auto"/>
              </w:divBdr>
            </w:div>
            <w:div w:id="487089240">
              <w:marLeft w:val="0"/>
              <w:marRight w:val="0"/>
              <w:marTop w:val="0"/>
              <w:marBottom w:val="0"/>
              <w:divBdr>
                <w:top w:val="none" w:sz="0" w:space="0" w:color="auto"/>
                <w:left w:val="none" w:sz="0" w:space="0" w:color="auto"/>
                <w:bottom w:val="none" w:sz="0" w:space="0" w:color="auto"/>
                <w:right w:val="none" w:sz="0" w:space="0" w:color="auto"/>
              </w:divBdr>
            </w:div>
            <w:div w:id="552817157">
              <w:marLeft w:val="0"/>
              <w:marRight w:val="0"/>
              <w:marTop w:val="0"/>
              <w:marBottom w:val="0"/>
              <w:divBdr>
                <w:top w:val="none" w:sz="0" w:space="0" w:color="auto"/>
                <w:left w:val="none" w:sz="0" w:space="0" w:color="auto"/>
                <w:bottom w:val="none" w:sz="0" w:space="0" w:color="auto"/>
                <w:right w:val="none" w:sz="0" w:space="0" w:color="auto"/>
              </w:divBdr>
            </w:div>
            <w:div w:id="432240455">
              <w:marLeft w:val="0"/>
              <w:marRight w:val="0"/>
              <w:marTop w:val="0"/>
              <w:marBottom w:val="0"/>
              <w:divBdr>
                <w:top w:val="none" w:sz="0" w:space="0" w:color="auto"/>
                <w:left w:val="none" w:sz="0" w:space="0" w:color="auto"/>
                <w:bottom w:val="none" w:sz="0" w:space="0" w:color="auto"/>
                <w:right w:val="none" w:sz="0" w:space="0" w:color="auto"/>
              </w:divBdr>
            </w:div>
            <w:div w:id="199326575">
              <w:marLeft w:val="0"/>
              <w:marRight w:val="0"/>
              <w:marTop w:val="0"/>
              <w:marBottom w:val="0"/>
              <w:divBdr>
                <w:top w:val="none" w:sz="0" w:space="0" w:color="auto"/>
                <w:left w:val="none" w:sz="0" w:space="0" w:color="auto"/>
                <w:bottom w:val="none" w:sz="0" w:space="0" w:color="auto"/>
                <w:right w:val="none" w:sz="0" w:space="0" w:color="auto"/>
              </w:divBdr>
            </w:div>
            <w:div w:id="1862666810">
              <w:marLeft w:val="0"/>
              <w:marRight w:val="0"/>
              <w:marTop w:val="0"/>
              <w:marBottom w:val="0"/>
              <w:divBdr>
                <w:top w:val="none" w:sz="0" w:space="0" w:color="auto"/>
                <w:left w:val="none" w:sz="0" w:space="0" w:color="auto"/>
                <w:bottom w:val="none" w:sz="0" w:space="0" w:color="auto"/>
                <w:right w:val="none" w:sz="0" w:space="0" w:color="auto"/>
              </w:divBdr>
            </w:div>
            <w:div w:id="1418744625">
              <w:marLeft w:val="0"/>
              <w:marRight w:val="0"/>
              <w:marTop w:val="0"/>
              <w:marBottom w:val="0"/>
              <w:divBdr>
                <w:top w:val="none" w:sz="0" w:space="0" w:color="auto"/>
                <w:left w:val="none" w:sz="0" w:space="0" w:color="auto"/>
                <w:bottom w:val="none" w:sz="0" w:space="0" w:color="auto"/>
                <w:right w:val="none" w:sz="0" w:space="0" w:color="auto"/>
              </w:divBdr>
            </w:div>
            <w:div w:id="670647362">
              <w:marLeft w:val="0"/>
              <w:marRight w:val="0"/>
              <w:marTop w:val="0"/>
              <w:marBottom w:val="0"/>
              <w:divBdr>
                <w:top w:val="none" w:sz="0" w:space="0" w:color="auto"/>
                <w:left w:val="none" w:sz="0" w:space="0" w:color="auto"/>
                <w:bottom w:val="none" w:sz="0" w:space="0" w:color="auto"/>
                <w:right w:val="none" w:sz="0" w:space="0" w:color="auto"/>
              </w:divBdr>
            </w:div>
            <w:div w:id="747649929">
              <w:marLeft w:val="0"/>
              <w:marRight w:val="0"/>
              <w:marTop w:val="0"/>
              <w:marBottom w:val="0"/>
              <w:divBdr>
                <w:top w:val="none" w:sz="0" w:space="0" w:color="auto"/>
                <w:left w:val="none" w:sz="0" w:space="0" w:color="auto"/>
                <w:bottom w:val="none" w:sz="0" w:space="0" w:color="auto"/>
                <w:right w:val="none" w:sz="0" w:space="0" w:color="auto"/>
              </w:divBdr>
            </w:div>
            <w:div w:id="239483162">
              <w:marLeft w:val="0"/>
              <w:marRight w:val="0"/>
              <w:marTop w:val="0"/>
              <w:marBottom w:val="0"/>
              <w:divBdr>
                <w:top w:val="none" w:sz="0" w:space="0" w:color="auto"/>
                <w:left w:val="none" w:sz="0" w:space="0" w:color="auto"/>
                <w:bottom w:val="none" w:sz="0" w:space="0" w:color="auto"/>
                <w:right w:val="none" w:sz="0" w:space="0" w:color="auto"/>
              </w:divBdr>
            </w:div>
            <w:div w:id="632835470">
              <w:marLeft w:val="0"/>
              <w:marRight w:val="0"/>
              <w:marTop w:val="0"/>
              <w:marBottom w:val="0"/>
              <w:divBdr>
                <w:top w:val="none" w:sz="0" w:space="0" w:color="auto"/>
                <w:left w:val="none" w:sz="0" w:space="0" w:color="auto"/>
                <w:bottom w:val="none" w:sz="0" w:space="0" w:color="auto"/>
                <w:right w:val="none" w:sz="0" w:space="0" w:color="auto"/>
              </w:divBdr>
            </w:div>
            <w:div w:id="1414207466">
              <w:marLeft w:val="0"/>
              <w:marRight w:val="0"/>
              <w:marTop w:val="0"/>
              <w:marBottom w:val="0"/>
              <w:divBdr>
                <w:top w:val="none" w:sz="0" w:space="0" w:color="auto"/>
                <w:left w:val="none" w:sz="0" w:space="0" w:color="auto"/>
                <w:bottom w:val="none" w:sz="0" w:space="0" w:color="auto"/>
                <w:right w:val="none" w:sz="0" w:space="0" w:color="auto"/>
              </w:divBdr>
            </w:div>
            <w:div w:id="1977448579">
              <w:marLeft w:val="0"/>
              <w:marRight w:val="0"/>
              <w:marTop w:val="0"/>
              <w:marBottom w:val="0"/>
              <w:divBdr>
                <w:top w:val="none" w:sz="0" w:space="0" w:color="auto"/>
                <w:left w:val="none" w:sz="0" w:space="0" w:color="auto"/>
                <w:bottom w:val="none" w:sz="0" w:space="0" w:color="auto"/>
                <w:right w:val="none" w:sz="0" w:space="0" w:color="auto"/>
              </w:divBdr>
            </w:div>
            <w:div w:id="1514564049">
              <w:marLeft w:val="0"/>
              <w:marRight w:val="0"/>
              <w:marTop w:val="0"/>
              <w:marBottom w:val="0"/>
              <w:divBdr>
                <w:top w:val="none" w:sz="0" w:space="0" w:color="auto"/>
                <w:left w:val="none" w:sz="0" w:space="0" w:color="auto"/>
                <w:bottom w:val="none" w:sz="0" w:space="0" w:color="auto"/>
                <w:right w:val="none" w:sz="0" w:space="0" w:color="auto"/>
              </w:divBdr>
            </w:div>
            <w:div w:id="667170418">
              <w:marLeft w:val="0"/>
              <w:marRight w:val="0"/>
              <w:marTop w:val="0"/>
              <w:marBottom w:val="0"/>
              <w:divBdr>
                <w:top w:val="none" w:sz="0" w:space="0" w:color="auto"/>
                <w:left w:val="none" w:sz="0" w:space="0" w:color="auto"/>
                <w:bottom w:val="none" w:sz="0" w:space="0" w:color="auto"/>
                <w:right w:val="none" w:sz="0" w:space="0" w:color="auto"/>
              </w:divBdr>
            </w:div>
            <w:div w:id="1067068399">
              <w:marLeft w:val="0"/>
              <w:marRight w:val="0"/>
              <w:marTop w:val="0"/>
              <w:marBottom w:val="0"/>
              <w:divBdr>
                <w:top w:val="none" w:sz="0" w:space="0" w:color="auto"/>
                <w:left w:val="none" w:sz="0" w:space="0" w:color="auto"/>
                <w:bottom w:val="none" w:sz="0" w:space="0" w:color="auto"/>
                <w:right w:val="none" w:sz="0" w:space="0" w:color="auto"/>
              </w:divBdr>
            </w:div>
            <w:div w:id="171604219">
              <w:marLeft w:val="0"/>
              <w:marRight w:val="0"/>
              <w:marTop w:val="0"/>
              <w:marBottom w:val="0"/>
              <w:divBdr>
                <w:top w:val="none" w:sz="0" w:space="0" w:color="auto"/>
                <w:left w:val="none" w:sz="0" w:space="0" w:color="auto"/>
                <w:bottom w:val="none" w:sz="0" w:space="0" w:color="auto"/>
                <w:right w:val="none" w:sz="0" w:space="0" w:color="auto"/>
              </w:divBdr>
            </w:div>
            <w:div w:id="1677151671">
              <w:marLeft w:val="0"/>
              <w:marRight w:val="0"/>
              <w:marTop w:val="0"/>
              <w:marBottom w:val="0"/>
              <w:divBdr>
                <w:top w:val="none" w:sz="0" w:space="0" w:color="auto"/>
                <w:left w:val="none" w:sz="0" w:space="0" w:color="auto"/>
                <w:bottom w:val="none" w:sz="0" w:space="0" w:color="auto"/>
                <w:right w:val="none" w:sz="0" w:space="0" w:color="auto"/>
              </w:divBdr>
            </w:div>
            <w:div w:id="1975522425">
              <w:marLeft w:val="0"/>
              <w:marRight w:val="0"/>
              <w:marTop w:val="0"/>
              <w:marBottom w:val="0"/>
              <w:divBdr>
                <w:top w:val="none" w:sz="0" w:space="0" w:color="auto"/>
                <w:left w:val="none" w:sz="0" w:space="0" w:color="auto"/>
                <w:bottom w:val="none" w:sz="0" w:space="0" w:color="auto"/>
                <w:right w:val="none" w:sz="0" w:space="0" w:color="auto"/>
              </w:divBdr>
            </w:div>
            <w:div w:id="1813715503">
              <w:marLeft w:val="0"/>
              <w:marRight w:val="0"/>
              <w:marTop w:val="0"/>
              <w:marBottom w:val="0"/>
              <w:divBdr>
                <w:top w:val="none" w:sz="0" w:space="0" w:color="auto"/>
                <w:left w:val="none" w:sz="0" w:space="0" w:color="auto"/>
                <w:bottom w:val="none" w:sz="0" w:space="0" w:color="auto"/>
                <w:right w:val="none" w:sz="0" w:space="0" w:color="auto"/>
              </w:divBdr>
            </w:div>
            <w:div w:id="356279269">
              <w:marLeft w:val="0"/>
              <w:marRight w:val="0"/>
              <w:marTop w:val="0"/>
              <w:marBottom w:val="0"/>
              <w:divBdr>
                <w:top w:val="none" w:sz="0" w:space="0" w:color="auto"/>
                <w:left w:val="none" w:sz="0" w:space="0" w:color="auto"/>
                <w:bottom w:val="none" w:sz="0" w:space="0" w:color="auto"/>
                <w:right w:val="none" w:sz="0" w:space="0" w:color="auto"/>
              </w:divBdr>
            </w:div>
            <w:div w:id="2120367331">
              <w:marLeft w:val="0"/>
              <w:marRight w:val="0"/>
              <w:marTop w:val="0"/>
              <w:marBottom w:val="0"/>
              <w:divBdr>
                <w:top w:val="none" w:sz="0" w:space="0" w:color="auto"/>
                <w:left w:val="none" w:sz="0" w:space="0" w:color="auto"/>
                <w:bottom w:val="none" w:sz="0" w:space="0" w:color="auto"/>
                <w:right w:val="none" w:sz="0" w:space="0" w:color="auto"/>
              </w:divBdr>
            </w:div>
            <w:div w:id="1744066801">
              <w:marLeft w:val="0"/>
              <w:marRight w:val="0"/>
              <w:marTop w:val="0"/>
              <w:marBottom w:val="0"/>
              <w:divBdr>
                <w:top w:val="none" w:sz="0" w:space="0" w:color="auto"/>
                <w:left w:val="none" w:sz="0" w:space="0" w:color="auto"/>
                <w:bottom w:val="none" w:sz="0" w:space="0" w:color="auto"/>
                <w:right w:val="none" w:sz="0" w:space="0" w:color="auto"/>
              </w:divBdr>
            </w:div>
            <w:div w:id="808935678">
              <w:marLeft w:val="0"/>
              <w:marRight w:val="0"/>
              <w:marTop w:val="0"/>
              <w:marBottom w:val="0"/>
              <w:divBdr>
                <w:top w:val="none" w:sz="0" w:space="0" w:color="auto"/>
                <w:left w:val="none" w:sz="0" w:space="0" w:color="auto"/>
                <w:bottom w:val="none" w:sz="0" w:space="0" w:color="auto"/>
                <w:right w:val="none" w:sz="0" w:space="0" w:color="auto"/>
              </w:divBdr>
            </w:div>
            <w:div w:id="452788639">
              <w:marLeft w:val="0"/>
              <w:marRight w:val="0"/>
              <w:marTop w:val="0"/>
              <w:marBottom w:val="0"/>
              <w:divBdr>
                <w:top w:val="none" w:sz="0" w:space="0" w:color="auto"/>
                <w:left w:val="none" w:sz="0" w:space="0" w:color="auto"/>
                <w:bottom w:val="none" w:sz="0" w:space="0" w:color="auto"/>
                <w:right w:val="none" w:sz="0" w:space="0" w:color="auto"/>
              </w:divBdr>
            </w:div>
            <w:div w:id="1041519784">
              <w:marLeft w:val="0"/>
              <w:marRight w:val="0"/>
              <w:marTop w:val="0"/>
              <w:marBottom w:val="0"/>
              <w:divBdr>
                <w:top w:val="none" w:sz="0" w:space="0" w:color="auto"/>
                <w:left w:val="none" w:sz="0" w:space="0" w:color="auto"/>
                <w:bottom w:val="none" w:sz="0" w:space="0" w:color="auto"/>
                <w:right w:val="none" w:sz="0" w:space="0" w:color="auto"/>
              </w:divBdr>
            </w:div>
            <w:div w:id="1506482029">
              <w:marLeft w:val="0"/>
              <w:marRight w:val="0"/>
              <w:marTop w:val="0"/>
              <w:marBottom w:val="0"/>
              <w:divBdr>
                <w:top w:val="none" w:sz="0" w:space="0" w:color="auto"/>
                <w:left w:val="none" w:sz="0" w:space="0" w:color="auto"/>
                <w:bottom w:val="none" w:sz="0" w:space="0" w:color="auto"/>
                <w:right w:val="none" w:sz="0" w:space="0" w:color="auto"/>
              </w:divBdr>
            </w:div>
            <w:div w:id="1147894087">
              <w:marLeft w:val="0"/>
              <w:marRight w:val="0"/>
              <w:marTop w:val="0"/>
              <w:marBottom w:val="0"/>
              <w:divBdr>
                <w:top w:val="none" w:sz="0" w:space="0" w:color="auto"/>
                <w:left w:val="none" w:sz="0" w:space="0" w:color="auto"/>
                <w:bottom w:val="none" w:sz="0" w:space="0" w:color="auto"/>
                <w:right w:val="none" w:sz="0" w:space="0" w:color="auto"/>
              </w:divBdr>
            </w:div>
            <w:div w:id="1387486347">
              <w:marLeft w:val="0"/>
              <w:marRight w:val="0"/>
              <w:marTop w:val="0"/>
              <w:marBottom w:val="0"/>
              <w:divBdr>
                <w:top w:val="none" w:sz="0" w:space="0" w:color="auto"/>
                <w:left w:val="none" w:sz="0" w:space="0" w:color="auto"/>
                <w:bottom w:val="none" w:sz="0" w:space="0" w:color="auto"/>
                <w:right w:val="none" w:sz="0" w:space="0" w:color="auto"/>
              </w:divBdr>
            </w:div>
            <w:div w:id="1510292839">
              <w:marLeft w:val="0"/>
              <w:marRight w:val="0"/>
              <w:marTop w:val="0"/>
              <w:marBottom w:val="0"/>
              <w:divBdr>
                <w:top w:val="none" w:sz="0" w:space="0" w:color="auto"/>
                <w:left w:val="none" w:sz="0" w:space="0" w:color="auto"/>
                <w:bottom w:val="none" w:sz="0" w:space="0" w:color="auto"/>
                <w:right w:val="none" w:sz="0" w:space="0" w:color="auto"/>
              </w:divBdr>
            </w:div>
            <w:div w:id="650065463">
              <w:marLeft w:val="0"/>
              <w:marRight w:val="0"/>
              <w:marTop w:val="0"/>
              <w:marBottom w:val="0"/>
              <w:divBdr>
                <w:top w:val="none" w:sz="0" w:space="0" w:color="auto"/>
                <w:left w:val="none" w:sz="0" w:space="0" w:color="auto"/>
                <w:bottom w:val="none" w:sz="0" w:space="0" w:color="auto"/>
                <w:right w:val="none" w:sz="0" w:space="0" w:color="auto"/>
              </w:divBdr>
            </w:div>
            <w:div w:id="7219770">
              <w:marLeft w:val="0"/>
              <w:marRight w:val="0"/>
              <w:marTop w:val="0"/>
              <w:marBottom w:val="0"/>
              <w:divBdr>
                <w:top w:val="none" w:sz="0" w:space="0" w:color="auto"/>
                <w:left w:val="none" w:sz="0" w:space="0" w:color="auto"/>
                <w:bottom w:val="none" w:sz="0" w:space="0" w:color="auto"/>
                <w:right w:val="none" w:sz="0" w:space="0" w:color="auto"/>
              </w:divBdr>
            </w:div>
            <w:div w:id="158813764">
              <w:marLeft w:val="0"/>
              <w:marRight w:val="0"/>
              <w:marTop w:val="0"/>
              <w:marBottom w:val="0"/>
              <w:divBdr>
                <w:top w:val="none" w:sz="0" w:space="0" w:color="auto"/>
                <w:left w:val="none" w:sz="0" w:space="0" w:color="auto"/>
                <w:bottom w:val="none" w:sz="0" w:space="0" w:color="auto"/>
                <w:right w:val="none" w:sz="0" w:space="0" w:color="auto"/>
              </w:divBdr>
            </w:div>
            <w:div w:id="917060892">
              <w:marLeft w:val="0"/>
              <w:marRight w:val="0"/>
              <w:marTop w:val="0"/>
              <w:marBottom w:val="0"/>
              <w:divBdr>
                <w:top w:val="none" w:sz="0" w:space="0" w:color="auto"/>
                <w:left w:val="none" w:sz="0" w:space="0" w:color="auto"/>
                <w:bottom w:val="none" w:sz="0" w:space="0" w:color="auto"/>
                <w:right w:val="none" w:sz="0" w:space="0" w:color="auto"/>
              </w:divBdr>
            </w:div>
            <w:div w:id="51003032">
              <w:marLeft w:val="0"/>
              <w:marRight w:val="0"/>
              <w:marTop w:val="0"/>
              <w:marBottom w:val="0"/>
              <w:divBdr>
                <w:top w:val="none" w:sz="0" w:space="0" w:color="auto"/>
                <w:left w:val="none" w:sz="0" w:space="0" w:color="auto"/>
                <w:bottom w:val="none" w:sz="0" w:space="0" w:color="auto"/>
                <w:right w:val="none" w:sz="0" w:space="0" w:color="auto"/>
              </w:divBdr>
            </w:div>
            <w:div w:id="2017295564">
              <w:marLeft w:val="0"/>
              <w:marRight w:val="0"/>
              <w:marTop w:val="0"/>
              <w:marBottom w:val="0"/>
              <w:divBdr>
                <w:top w:val="none" w:sz="0" w:space="0" w:color="auto"/>
                <w:left w:val="none" w:sz="0" w:space="0" w:color="auto"/>
                <w:bottom w:val="none" w:sz="0" w:space="0" w:color="auto"/>
                <w:right w:val="none" w:sz="0" w:space="0" w:color="auto"/>
              </w:divBdr>
            </w:div>
            <w:div w:id="1131292546">
              <w:marLeft w:val="0"/>
              <w:marRight w:val="0"/>
              <w:marTop w:val="0"/>
              <w:marBottom w:val="0"/>
              <w:divBdr>
                <w:top w:val="none" w:sz="0" w:space="0" w:color="auto"/>
                <w:left w:val="none" w:sz="0" w:space="0" w:color="auto"/>
                <w:bottom w:val="none" w:sz="0" w:space="0" w:color="auto"/>
                <w:right w:val="none" w:sz="0" w:space="0" w:color="auto"/>
              </w:divBdr>
            </w:div>
            <w:div w:id="699168377">
              <w:marLeft w:val="0"/>
              <w:marRight w:val="0"/>
              <w:marTop w:val="0"/>
              <w:marBottom w:val="0"/>
              <w:divBdr>
                <w:top w:val="none" w:sz="0" w:space="0" w:color="auto"/>
                <w:left w:val="none" w:sz="0" w:space="0" w:color="auto"/>
                <w:bottom w:val="none" w:sz="0" w:space="0" w:color="auto"/>
                <w:right w:val="none" w:sz="0" w:space="0" w:color="auto"/>
              </w:divBdr>
            </w:div>
            <w:div w:id="949124860">
              <w:marLeft w:val="0"/>
              <w:marRight w:val="0"/>
              <w:marTop w:val="0"/>
              <w:marBottom w:val="0"/>
              <w:divBdr>
                <w:top w:val="none" w:sz="0" w:space="0" w:color="auto"/>
                <w:left w:val="none" w:sz="0" w:space="0" w:color="auto"/>
                <w:bottom w:val="none" w:sz="0" w:space="0" w:color="auto"/>
                <w:right w:val="none" w:sz="0" w:space="0" w:color="auto"/>
              </w:divBdr>
            </w:div>
            <w:div w:id="759064471">
              <w:marLeft w:val="0"/>
              <w:marRight w:val="0"/>
              <w:marTop w:val="0"/>
              <w:marBottom w:val="0"/>
              <w:divBdr>
                <w:top w:val="none" w:sz="0" w:space="0" w:color="auto"/>
                <w:left w:val="none" w:sz="0" w:space="0" w:color="auto"/>
                <w:bottom w:val="none" w:sz="0" w:space="0" w:color="auto"/>
                <w:right w:val="none" w:sz="0" w:space="0" w:color="auto"/>
              </w:divBdr>
            </w:div>
            <w:div w:id="1144931192">
              <w:marLeft w:val="0"/>
              <w:marRight w:val="0"/>
              <w:marTop w:val="0"/>
              <w:marBottom w:val="0"/>
              <w:divBdr>
                <w:top w:val="none" w:sz="0" w:space="0" w:color="auto"/>
                <w:left w:val="none" w:sz="0" w:space="0" w:color="auto"/>
                <w:bottom w:val="none" w:sz="0" w:space="0" w:color="auto"/>
                <w:right w:val="none" w:sz="0" w:space="0" w:color="auto"/>
              </w:divBdr>
            </w:div>
            <w:div w:id="1761096807">
              <w:marLeft w:val="0"/>
              <w:marRight w:val="0"/>
              <w:marTop w:val="0"/>
              <w:marBottom w:val="0"/>
              <w:divBdr>
                <w:top w:val="none" w:sz="0" w:space="0" w:color="auto"/>
                <w:left w:val="none" w:sz="0" w:space="0" w:color="auto"/>
                <w:bottom w:val="none" w:sz="0" w:space="0" w:color="auto"/>
                <w:right w:val="none" w:sz="0" w:space="0" w:color="auto"/>
              </w:divBdr>
            </w:div>
            <w:div w:id="1845589496">
              <w:marLeft w:val="0"/>
              <w:marRight w:val="0"/>
              <w:marTop w:val="0"/>
              <w:marBottom w:val="0"/>
              <w:divBdr>
                <w:top w:val="none" w:sz="0" w:space="0" w:color="auto"/>
                <w:left w:val="none" w:sz="0" w:space="0" w:color="auto"/>
                <w:bottom w:val="none" w:sz="0" w:space="0" w:color="auto"/>
                <w:right w:val="none" w:sz="0" w:space="0" w:color="auto"/>
              </w:divBdr>
            </w:div>
            <w:div w:id="1219827929">
              <w:marLeft w:val="0"/>
              <w:marRight w:val="0"/>
              <w:marTop w:val="0"/>
              <w:marBottom w:val="0"/>
              <w:divBdr>
                <w:top w:val="none" w:sz="0" w:space="0" w:color="auto"/>
                <w:left w:val="none" w:sz="0" w:space="0" w:color="auto"/>
                <w:bottom w:val="none" w:sz="0" w:space="0" w:color="auto"/>
                <w:right w:val="none" w:sz="0" w:space="0" w:color="auto"/>
              </w:divBdr>
            </w:div>
            <w:div w:id="1106778599">
              <w:marLeft w:val="0"/>
              <w:marRight w:val="0"/>
              <w:marTop w:val="0"/>
              <w:marBottom w:val="0"/>
              <w:divBdr>
                <w:top w:val="none" w:sz="0" w:space="0" w:color="auto"/>
                <w:left w:val="none" w:sz="0" w:space="0" w:color="auto"/>
                <w:bottom w:val="none" w:sz="0" w:space="0" w:color="auto"/>
                <w:right w:val="none" w:sz="0" w:space="0" w:color="auto"/>
              </w:divBdr>
            </w:div>
            <w:div w:id="1026834246">
              <w:marLeft w:val="0"/>
              <w:marRight w:val="0"/>
              <w:marTop w:val="0"/>
              <w:marBottom w:val="0"/>
              <w:divBdr>
                <w:top w:val="none" w:sz="0" w:space="0" w:color="auto"/>
                <w:left w:val="none" w:sz="0" w:space="0" w:color="auto"/>
                <w:bottom w:val="none" w:sz="0" w:space="0" w:color="auto"/>
                <w:right w:val="none" w:sz="0" w:space="0" w:color="auto"/>
              </w:divBdr>
            </w:div>
            <w:div w:id="1933396248">
              <w:marLeft w:val="0"/>
              <w:marRight w:val="0"/>
              <w:marTop w:val="0"/>
              <w:marBottom w:val="0"/>
              <w:divBdr>
                <w:top w:val="none" w:sz="0" w:space="0" w:color="auto"/>
                <w:left w:val="none" w:sz="0" w:space="0" w:color="auto"/>
                <w:bottom w:val="none" w:sz="0" w:space="0" w:color="auto"/>
                <w:right w:val="none" w:sz="0" w:space="0" w:color="auto"/>
              </w:divBdr>
            </w:div>
            <w:div w:id="681399350">
              <w:marLeft w:val="0"/>
              <w:marRight w:val="0"/>
              <w:marTop w:val="0"/>
              <w:marBottom w:val="0"/>
              <w:divBdr>
                <w:top w:val="none" w:sz="0" w:space="0" w:color="auto"/>
                <w:left w:val="none" w:sz="0" w:space="0" w:color="auto"/>
                <w:bottom w:val="none" w:sz="0" w:space="0" w:color="auto"/>
                <w:right w:val="none" w:sz="0" w:space="0" w:color="auto"/>
              </w:divBdr>
            </w:div>
            <w:div w:id="1035732205">
              <w:marLeft w:val="0"/>
              <w:marRight w:val="0"/>
              <w:marTop w:val="0"/>
              <w:marBottom w:val="0"/>
              <w:divBdr>
                <w:top w:val="none" w:sz="0" w:space="0" w:color="auto"/>
                <w:left w:val="none" w:sz="0" w:space="0" w:color="auto"/>
                <w:bottom w:val="none" w:sz="0" w:space="0" w:color="auto"/>
                <w:right w:val="none" w:sz="0" w:space="0" w:color="auto"/>
              </w:divBdr>
            </w:div>
            <w:div w:id="232158828">
              <w:marLeft w:val="0"/>
              <w:marRight w:val="0"/>
              <w:marTop w:val="0"/>
              <w:marBottom w:val="0"/>
              <w:divBdr>
                <w:top w:val="none" w:sz="0" w:space="0" w:color="auto"/>
                <w:left w:val="none" w:sz="0" w:space="0" w:color="auto"/>
                <w:bottom w:val="none" w:sz="0" w:space="0" w:color="auto"/>
                <w:right w:val="none" w:sz="0" w:space="0" w:color="auto"/>
              </w:divBdr>
            </w:div>
            <w:div w:id="977225935">
              <w:marLeft w:val="0"/>
              <w:marRight w:val="0"/>
              <w:marTop w:val="0"/>
              <w:marBottom w:val="0"/>
              <w:divBdr>
                <w:top w:val="none" w:sz="0" w:space="0" w:color="auto"/>
                <w:left w:val="none" w:sz="0" w:space="0" w:color="auto"/>
                <w:bottom w:val="none" w:sz="0" w:space="0" w:color="auto"/>
                <w:right w:val="none" w:sz="0" w:space="0" w:color="auto"/>
              </w:divBdr>
            </w:div>
            <w:div w:id="1571115479">
              <w:marLeft w:val="0"/>
              <w:marRight w:val="0"/>
              <w:marTop w:val="0"/>
              <w:marBottom w:val="0"/>
              <w:divBdr>
                <w:top w:val="none" w:sz="0" w:space="0" w:color="auto"/>
                <w:left w:val="none" w:sz="0" w:space="0" w:color="auto"/>
                <w:bottom w:val="none" w:sz="0" w:space="0" w:color="auto"/>
                <w:right w:val="none" w:sz="0" w:space="0" w:color="auto"/>
              </w:divBdr>
            </w:div>
            <w:div w:id="1159233150">
              <w:marLeft w:val="0"/>
              <w:marRight w:val="0"/>
              <w:marTop w:val="0"/>
              <w:marBottom w:val="0"/>
              <w:divBdr>
                <w:top w:val="none" w:sz="0" w:space="0" w:color="auto"/>
                <w:left w:val="none" w:sz="0" w:space="0" w:color="auto"/>
                <w:bottom w:val="none" w:sz="0" w:space="0" w:color="auto"/>
                <w:right w:val="none" w:sz="0" w:space="0" w:color="auto"/>
              </w:divBdr>
            </w:div>
            <w:div w:id="1270893825">
              <w:marLeft w:val="0"/>
              <w:marRight w:val="0"/>
              <w:marTop w:val="0"/>
              <w:marBottom w:val="0"/>
              <w:divBdr>
                <w:top w:val="none" w:sz="0" w:space="0" w:color="auto"/>
                <w:left w:val="none" w:sz="0" w:space="0" w:color="auto"/>
                <w:bottom w:val="none" w:sz="0" w:space="0" w:color="auto"/>
                <w:right w:val="none" w:sz="0" w:space="0" w:color="auto"/>
              </w:divBdr>
            </w:div>
            <w:div w:id="1176186011">
              <w:marLeft w:val="0"/>
              <w:marRight w:val="0"/>
              <w:marTop w:val="0"/>
              <w:marBottom w:val="0"/>
              <w:divBdr>
                <w:top w:val="none" w:sz="0" w:space="0" w:color="auto"/>
                <w:left w:val="none" w:sz="0" w:space="0" w:color="auto"/>
                <w:bottom w:val="none" w:sz="0" w:space="0" w:color="auto"/>
                <w:right w:val="none" w:sz="0" w:space="0" w:color="auto"/>
              </w:divBdr>
            </w:div>
            <w:div w:id="1374959070">
              <w:marLeft w:val="0"/>
              <w:marRight w:val="0"/>
              <w:marTop w:val="0"/>
              <w:marBottom w:val="0"/>
              <w:divBdr>
                <w:top w:val="none" w:sz="0" w:space="0" w:color="auto"/>
                <w:left w:val="none" w:sz="0" w:space="0" w:color="auto"/>
                <w:bottom w:val="none" w:sz="0" w:space="0" w:color="auto"/>
                <w:right w:val="none" w:sz="0" w:space="0" w:color="auto"/>
              </w:divBdr>
            </w:div>
            <w:div w:id="596141163">
              <w:marLeft w:val="0"/>
              <w:marRight w:val="0"/>
              <w:marTop w:val="0"/>
              <w:marBottom w:val="0"/>
              <w:divBdr>
                <w:top w:val="none" w:sz="0" w:space="0" w:color="auto"/>
                <w:left w:val="none" w:sz="0" w:space="0" w:color="auto"/>
                <w:bottom w:val="none" w:sz="0" w:space="0" w:color="auto"/>
                <w:right w:val="none" w:sz="0" w:space="0" w:color="auto"/>
              </w:divBdr>
            </w:div>
            <w:div w:id="1972319222">
              <w:marLeft w:val="0"/>
              <w:marRight w:val="0"/>
              <w:marTop w:val="0"/>
              <w:marBottom w:val="0"/>
              <w:divBdr>
                <w:top w:val="none" w:sz="0" w:space="0" w:color="auto"/>
                <w:left w:val="none" w:sz="0" w:space="0" w:color="auto"/>
                <w:bottom w:val="none" w:sz="0" w:space="0" w:color="auto"/>
                <w:right w:val="none" w:sz="0" w:space="0" w:color="auto"/>
              </w:divBdr>
            </w:div>
            <w:div w:id="1865556963">
              <w:marLeft w:val="0"/>
              <w:marRight w:val="0"/>
              <w:marTop w:val="0"/>
              <w:marBottom w:val="0"/>
              <w:divBdr>
                <w:top w:val="none" w:sz="0" w:space="0" w:color="auto"/>
                <w:left w:val="none" w:sz="0" w:space="0" w:color="auto"/>
                <w:bottom w:val="none" w:sz="0" w:space="0" w:color="auto"/>
                <w:right w:val="none" w:sz="0" w:space="0" w:color="auto"/>
              </w:divBdr>
            </w:div>
            <w:div w:id="1076123520">
              <w:marLeft w:val="0"/>
              <w:marRight w:val="0"/>
              <w:marTop w:val="0"/>
              <w:marBottom w:val="0"/>
              <w:divBdr>
                <w:top w:val="none" w:sz="0" w:space="0" w:color="auto"/>
                <w:left w:val="none" w:sz="0" w:space="0" w:color="auto"/>
                <w:bottom w:val="none" w:sz="0" w:space="0" w:color="auto"/>
                <w:right w:val="none" w:sz="0" w:space="0" w:color="auto"/>
              </w:divBdr>
            </w:div>
            <w:div w:id="1727145602">
              <w:marLeft w:val="0"/>
              <w:marRight w:val="0"/>
              <w:marTop w:val="0"/>
              <w:marBottom w:val="0"/>
              <w:divBdr>
                <w:top w:val="none" w:sz="0" w:space="0" w:color="auto"/>
                <w:left w:val="none" w:sz="0" w:space="0" w:color="auto"/>
                <w:bottom w:val="none" w:sz="0" w:space="0" w:color="auto"/>
                <w:right w:val="none" w:sz="0" w:space="0" w:color="auto"/>
              </w:divBdr>
            </w:div>
            <w:div w:id="1514295239">
              <w:marLeft w:val="0"/>
              <w:marRight w:val="0"/>
              <w:marTop w:val="0"/>
              <w:marBottom w:val="0"/>
              <w:divBdr>
                <w:top w:val="none" w:sz="0" w:space="0" w:color="auto"/>
                <w:left w:val="none" w:sz="0" w:space="0" w:color="auto"/>
                <w:bottom w:val="none" w:sz="0" w:space="0" w:color="auto"/>
                <w:right w:val="none" w:sz="0" w:space="0" w:color="auto"/>
              </w:divBdr>
            </w:div>
            <w:div w:id="483011974">
              <w:marLeft w:val="0"/>
              <w:marRight w:val="0"/>
              <w:marTop w:val="0"/>
              <w:marBottom w:val="0"/>
              <w:divBdr>
                <w:top w:val="none" w:sz="0" w:space="0" w:color="auto"/>
                <w:left w:val="none" w:sz="0" w:space="0" w:color="auto"/>
                <w:bottom w:val="none" w:sz="0" w:space="0" w:color="auto"/>
                <w:right w:val="none" w:sz="0" w:space="0" w:color="auto"/>
              </w:divBdr>
            </w:div>
            <w:div w:id="165676482">
              <w:marLeft w:val="0"/>
              <w:marRight w:val="0"/>
              <w:marTop w:val="0"/>
              <w:marBottom w:val="0"/>
              <w:divBdr>
                <w:top w:val="none" w:sz="0" w:space="0" w:color="auto"/>
                <w:left w:val="none" w:sz="0" w:space="0" w:color="auto"/>
                <w:bottom w:val="none" w:sz="0" w:space="0" w:color="auto"/>
                <w:right w:val="none" w:sz="0" w:space="0" w:color="auto"/>
              </w:divBdr>
            </w:div>
            <w:div w:id="2110810056">
              <w:marLeft w:val="0"/>
              <w:marRight w:val="0"/>
              <w:marTop w:val="0"/>
              <w:marBottom w:val="0"/>
              <w:divBdr>
                <w:top w:val="none" w:sz="0" w:space="0" w:color="auto"/>
                <w:left w:val="none" w:sz="0" w:space="0" w:color="auto"/>
                <w:bottom w:val="none" w:sz="0" w:space="0" w:color="auto"/>
                <w:right w:val="none" w:sz="0" w:space="0" w:color="auto"/>
              </w:divBdr>
            </w:div>
            <w:div w:id="424229793">
              <w:marLeft w:val="0"/>
              <w:marRight w:val="0"/>
              <w:marTop w:val="0"/>
              <w:marBottom w:val="0"/>
              <w:divBdr>
                <w:top w:val="none" w:sz="0" w:space="0" w:color="auto"/>
                <w:left w:val="none" w:sz="0" w:space="0" w:color="auto"/>
                <w:bottom w:val="none" w:sz="0" w:space="0" w:color="auto"/>
                <w:right w:val="none" w:sz="0" w:space="0" w:color="auto"/>
              </w:divBdr>
            </w:div>
            <w:div w:id="857357452">
              <w:marLeft w:val="0"/>
              <w:marRight w:val="0"/>
              <w:marTop w:val="0"/>
              <w:marBottom w:val="0"/>
              <w:divBdr>
                <w:top w:val="none" w:sz="0" w:space="0" w:color="auto"/>
                <w:left w:val="none" w:sz="0" w:space="0" w:color="auto"/>
                <w:bottom w:val="none" w:sz="0" w:space="0" w:color="auto"/>
                <w:right w:val="none" w:sz="0" w:space="0" w:color="auto"/>
              </w:divBdr>
            </w:div>
            <w:div w:id="1703288179">
              <w:marLeft w:val="0"/>
              <w:marRight w:val="0"/>
              <w:marTop w:val="0"/>
              <w:marBottom w:val="0"/>
              <w:divBdr>
                <w:top w:val="none" w:sz="0" w:space="0" w:color="auto"/>
                <w:left w:val="none" w:sz="0" w:space="0" w:color="auto"/>
                <w:bottom w:val="none" w:sz="0" w:space="0" w:color="auto"/>
                <w:right w:val="none" w:sz="0" w:space="0" w:color="auto"/>
              </w:divBdr>
            </w:div>
            <w:div w:id="1180008446">
              <w:marLeft w:val="0"/>
              <w:marRight w:val="0"/>
              <w:marTop w:val="0"/>
              <w:marBottom w:val="0"/>
              <w:divBdr>
                <w:top w:val="none" w:sz="0" w:space="0" w:color="auto"/>
                <w:left w:val="none" w:sz="0" w:space="0" w:color="auto"/>
                <w:bottom w:val="none" w:sz="0" w:space="0" w:color="auto"/>
                <w:right w:val="none" w:sz="0" w:space="0" w:color="auto"/>
              </w:divBdr>
            </w:div>
            <w:div w:id="1521238789">
              <w:marLeft w:val="0"/>
              <w:marRight w:val="0"/>
              <w:marTop w:val="0"/>
              <w:marBottom w:val="0"/>
              <w:divBdr>
                <w:top w:val="none" w:sz="0" w:space="0" w:color="auto"/>
                <w:left w:val="none" w:sz="0" w:space="0" w:color="auto"/>
                <w:bottom w:val="none" w:sz="0" w:space="0" w:color="auto"/>
                <w:right w:val="none" w:sz="0" w:space="0" w:color="auto"/>
              </w:divBdr>
            </w:div>
            <w:div w:id="904535118">
              <w:marLeft w:val="0"/>
              <w:marRight w:val="0"/>
              <w:marTop w:val="0"/>
              <w:marBottom w:val="0"/>
              <w:divBdr>
                <w:top w:val="none" w:sz="0" w:space="0" w:color="auto"/>
                <w:left w:val="none" w:sz="0" w:space="0" w:color="auto"/>
                <w:bottom w:val="none" w:sz="0" w:space="0" w:color="auto"/>
                <w:right w:val="none" w:sz="0" w:space="0" w:color="auto"/>
              </w:divBdr>
            </w:div>
            <w:div w:id="1990745841">
              <w:marLeft w:val="0"/>
              <w:marRight w:val="0"/>
              <w:marTop w:val="0"/>
              <w:marBottom w:val="0"/>
              <w:divBdr>
                <w:top w:val="none" w:sz="0" w:space="0" w:color="auto"/>
                <w:left w:val="none" w:sz="0" w:space="0" w:color="auto"/>
                <w:bottom w:val="none" w:sz="0" w:space="0" w:color="auto"/>
                <w:right w:val="none" w:sz="0" w:space="0" w:color="auto"/>
              </w:divBdr>
            </w:div>
            <w:div w:id="1709912398">
              <w:marLeft w:val="0"/>
              <w:marRight w:val="0"/>
              <w:marTop w:val="0"/>
              <w:marBottom w:val="0"/>
              <w:divBdr>
                <w:top w:val="none" w:sz="0" w:space="0" w:color="auto"/>
                <w:left w:val="none" w:sz="0" w:space="0" w:color="auto"/>
                <w:bottom w:val="none" w:sz="0" w:space="0" w:color="auto"/>
                <w:right w:val="none" w:sz="0" w:space="0" w:color="auto"/>
              </w:divBdr>
            </w:div>
            <w:div w:id="254218467">
              <w:marLeft w:val="0"/>
              <w:marRight w:val="0"/>
              <w:marTop w:val="0"/>
              <w:marBottom w:val="0"/>
              <w:divBdr>
                <w:top w:val="none" w:sz="0" w:space="0" w:color="auto"/>
                <w:left w:val="none" w:sz="0" w:space="0" w:color="auto"/>
                <w:bottom w:val="none" w:sz="0" w:space="0" w:color="auto"/>
                <w:right w:val="none" w:sz="0" w:space="0" w:color="auto"/>
              </w:divBdr>
            </w:div>
            <w:div w:id="1675303892">
              <w:marLeft w:val="0"/>
              <w:marRight w:val="0"/>
              <w:marTop w:val="0"/>
              <w:marBottom w:val="0"/>
              <w:divBdr>
                <w:top w:val="none" w:sz="0" w:space="0" w:color="auto"/>
                <w:left w:val="none" w:sz="0" w:space="0" w:color="auto"/>
                <w:bottom w:val="none" w:sz="0" w:space="0" w:color="auto"/>
                <w:right w:val="none" w:sz="0" w:space="0" w:color="auto"/>
              </w:divBdr>
            </w:div>
            <w:div w:id="583417440">
              <w:marLeft w:val="0"/>
              <w:marRight w:val="0"/>
              <w:marTop w:val="0"/>
              <w:marBottom w:val="0"/>
              <w:divBdr>
                <w:top w:val="none" w:sz="0" w:space="0" w:color="auto"/>
                <w:left w:val="none" w:sz="0" w:space="0" w:color="auto"/>
                <w:bottom w:val="none" w:sz="0" w:space="0" w:color="auto"/>
                <w:right w:val="none" w:sz="0" w:space="0" w:color="auto"/>
              </w:divBdr>
            </w:div>
            <w:div w:id="225191825">
              <w:marLeft w:val="0"/>
              <w:marRight w:val="0"/>
              <w:marTop w:val="0"/>
              <w:marBottom w:val="0"/>
              <w:divBdr>
                <w:top w:val="none" w:sz="0" w:space="0" w:color="auto"/>
                <w:left w:val="none" w:sz="0" w:space="0" w:color="auto"/>
                <w:bottom w:val="none" w:sz="0" w:space="0" w:color="auto"/>
                <w:right w:val="none" w:sz="0" w:space="0" w:color="auto"/>
              </w:divBdr>
            </w:div>
            <w:div w:id="67532533">
              <w:marLeft w:val="0"/>
              <w:marRight w:val="0"/>
              <w:marTop w:val="0"/>
              <w:marBottom w:val="0"/>
              <w:divBdr>
                <w:top w:val="none" w:sz="0" w:space="0" w:color="auto"/>
                <w:left w:val="none" w:sz="0" w:space="0" w:color="auto"/>
                <w:bottom w:val="none" w:sz="0" w:space="0" w:color="auto"/>
                <w:right w:val="none" w:sz="0" w:space="0" w:color="auto"/>
              </w:divBdr>
            </w:div>
            <w:div w:id="1156995279">
              <w:marLeft w:val="0"/>
              <w:marRight w:val="0"/>
              <w:marTop w:val="0"/>
              <w:marBottom w:val="0"/>
              <w:divBdr>
                <w:top w:val="none" w:sz="0" w:space="0" w:color="auto"/>
                <w:left w:val="none" w:sz="0" w:space="0" w:color="auto"/>
                <w:bottom w:val="none" w:sz="0" w:space="0" w:color="auto"/>
                <w:right w:val="none" w:sz="0" w:space="0" w:color="auto"/>
              </w:divBdr>
            </w:div>
            <w:div w:id="785923663">
              <w:marLeft w:val="0"/>
              <w:marRight w:val="0"/>
              <w:marTop w:val="0"/>
              <w:marBottom w:val="0"/>
              <w:divBdr>
                <w:top w:val="none" w:sz="0" w:space="0" w:color="auto"/>
                <w:left w:val="none" w:sz="0" w:space="0" w:color="auto"/>
                <w:bottom w:val="none" w:sz="0" w:space="0" w:color="auto"/>
                <w:right w:val="none" w:sz="0" w:space="0" w:color="auto"/>
              </w:divBdr>
            </w:div>
            <w:div w:id="128986471">
              <w:marLeft w:val="0"/>
              <w:marRight w:val="0"/>
              <w:marTop w:val="0"/>
              <w:marBottom w:val="0"/>
              <w:divBdr>
                <w:top w:val="none" w:sz="0" w:space="0" w:color="auto"/>
                <w:left w:val="none" w:sz="0" w:space="0" w:color="auto"/>
                <w:bottom w:val="none" w:sz="0" w:space="0" w:color="auto"/>
                <w:right w:val="none" w:sz="0" w:space="0" w:color="auto"/>
              </w:divBdr>
            </w:div>
            <w:div w:id="1767654687">
              <w:marLeft w:val="0"/>
              <w:marRight w:val="0"/>
              <w:marTop w:val="0"/>
              <w:marBottom w:val="0"/>
              <w:divBdr>
                <w:top w:val="none" w:sz="0" w:space="0" w:color="auto"/>
                <w:left w:val="none" w:sz="0" w:space="0" w:color="auto"/>
                <w:bottom w:val="none" w:sz="0" w:space="0" w:color="auto"/>
                <w:right w:val="none" w:sz="0" w:space="0" w:color="auto"/>
              </w:divBdr>
            </w:div>
            <w:div w:id="1527138535">
              <w:marLeft w:val="0"/>
              <w:marRight w:val="0"/>
              <w:marTop w:val="0"/>
              <w:marBottom w:val="0"/>
              <w:divBdr>
                <w:top w:val="none" w:sz="0" w:space="0" w:color="auto"/>
                <w:left w:val="none" w:sz="0" w:space="0" w:color="auto"/>
                <w:bottom w:val="none" w:sz="0" w:space="0" w:color="auto"/>
                <w:right w:val="none" w:sz="0" w:space="0" w:color="auto"/>
              </w:divBdr>
            </w:div>
            <w:div w:id="1700012769">
              <w:marLeft w:val="0"/>
              <w:marRight w:val="0"/>
              <w:marTop w:val="0"/>
              <w:marBottom w:val="0"/>
              <w:divBdr>
                <w:top w:val="none" w:sz="0" w:space="0" w:color="auto"/>
                <w:left w:val="none" w:sz="0" w:space="0" w:color="auto"/>
                <w:bottom w:val="none" w:sz="0" w:space="0" w:color="auto"/>
                <w:right w:val="none" w:sz="0" w:space="0" w:color="auto"/>
              </w:divBdr>
            </w:div>
            <w:div w:id="837355087">
              <w:marLeft w:val="0"/>
              <w:marRight w:val="0"/>
              <w:marTop w:val="0"/>
              <w:marBottom w:val="0"/>
              <w:divBdr>
                <w:top w:val="none" w:sz="0" w:space="0" w:color="auto"/>
                <w:left w:val="none" w:sz="0" w:space="0" w:color="auto"/>
                <w:bottom w:val="none" w:sz="0" w:space="0" w:color="auto"/>
                <w:right w:val="none" w:sz="0" w:space="0" w:color="auto"/>
              </w:divBdr>
            </w:div>
            <w:div w:id="459227829">
              <w:marLeft w:val="0"/>
              <w:marRight w:val="0"/>
              <w:marTop w:val="0"/>
              <w:marBottom w:val="0"/>
              <w:divBdr>
                <w:top w:val="none" w:sz="0" w:space="0" w:color="auto"/>
                <w:left w:val="none" w:sz="0" w:space="0" w:color="auto"/>
                <w:bottom w:val="none" w:sz="0" w:space="0" w:color="auto"/>
                <w:right w:val="none" w:sz="0" w:space="0" w:color="auto"/>
              </w:divBdr>
            </w:div>
            <w:div w:id="1086918223">
              <w:marLeft w:val="0"/>
              <w:marRight w:val="0"/>
              <w:marTop w:val="0"/>
              <w:marBottom w:val="0"/>
              <w:divBdr>
                <w:top w:val="none" w:sz="0" w:space="0" w:color="auto"/>
                <w:left w:val="none" w:sz="0" w:space="0" w:color="auto"/>
                <w:bottom w:val="none" w:sz="0" w:space="0" w:color="auto"/>
                <w:right w:val="none" w:sz="0" w:space="0" w:color="auto"/>
              </w:divBdr>
            </w:div>
            <w:div w:id="97677449">
              <w:marLeft w:val="0"/>
              <w:marRight w:val="0"/>
              <w:marTop w:val="0"/>
              <w:marBottom w:val="0"/>
              <w:divBdr>
                <w:top w:val="none" w:sz="0" w:space="0" w:color="auto"/>
                <w:left w:val="none" w:sz="0" w:space="0" w:color="auto"/>
                <w:bottom w:val="none" w:sz="0" w:space="0" w:color="auto"/>
                <w:right w:val="none" w:sz="0" w:space="0" w:color="auto"/>
              </w:divBdr>
            </w:div>
            <w:div w:id="1602373795">
              <w:marLeft w:val="0"/>
              <w:marRight w:val="0"/>
              <w:marTop w:val="0"/>
              <w:marBottom w:val="0"/>
              <w:divBdr>
                <w:top w:val="none" w:sz="0" w:space="0" w:color="auto"/>
                <w:left w:val="none" w:sz="0" w:space="0" w:color="auto"/>
                <w:bottom w:val="none" w:sz="0" w:space="0" w:color="auto"/>
                <w:right w:val="none" w:sz="0" w:space="0" w:color="auto"/>
              </w:divBdr>
            </w:div>
            <w:div w:id="696732751">
              <w:marLeft w:val="0"/>
              <w:marRight w:val="0"/>
              <w:marTop w:val="0"/>
              <w:marBottom w:val="0"/>
              <w:divBdr>
                <w:top w:val="none" w:sz="0" w:space="0" w:color="auto"/>
                <w:left w:val="none" w:sz="0" w:space="0" w:color="auto"/>
                <w:bottom w:val="none" w:sz="0" w:space="0" w:color="auto"/>
                <w:right w:val="none" w:sz="0" w:space="0" w:color="auto"/>
              </w:divBdr>
            </w:div>
            <w:div w:id="427121180">
              <w:marLeft w:val="0"/>
              <w:marRight w:val="0"/>
              <w:marTop w:val="0"/>
              <w:marBottom w:val="0"/>
              <w:divBdr>
                <w:top w:val="none" w:sz="0" w:space="0" w:color="auto"/>
                <w:left w:val="none" w:sz="0" w:space="0" w:color="auto"/>
                <w:bottom w:val="none" w:sz="0" w:space="0" w:color="auto"/>
                <w:right w:val="none" w:sz="0" w:space="0" w:color="auto"/>
              </w:divBdr>
            </w:div>
            <w:div w:id="96491751">
              <w:marLeft w:val="0"/>
              <w:marRight w:val="0"/>
              <w:marTop w:val="0"/>
              <w:marBottom w:val="0"/>
              <w:divBdr>
                <w:top w:val="none" w:sz="0" w:space="0" w:color="auto"/>
                <w:left w:val="none" w:sz="0" w:space="0" w:color="auto"/>
                <w:bottom w:val="none" w:sz="0" w:space="0" w:color="auto"/>
                <w:right w:val="none" w:sz="0" w:space="0" w:color="auto"/>
              </w:divBdr>
            </w:div>
            <w:div w:id="1040663337">
              <w:marLeft w:val="0"/>
              <w:marRight w:val="0"/>
              <w:marTop w:val="0"/>
              <w:marBottom w:val="0"/>
              <w:divBdr>
                <w:top w:val="none" w:sz="0" w:space="0" w:color="auto"/>
                <w:left w:val="none" w:sz="0" w:space="0" w:color="auto"/>
                <w:bottom w:val="none" w:sz="0" w:space="0" w:color="auto"/>
                <w:right w:val="none" w:sz="0" w:space="0" w:color="auto"/>
              </w:divBdr>
            </w:div>
            <w:div w:id="394744405">
              <w:marLeft w:val="0"/>
              <w:marRight w:val="0"/>
              <w:marTop w:val="0"/>
              <w:marBottom w:val="0"/>
              <w:divBdr>
                <w:top w:val="none" w:sz="0" w:space="0" w:color="auto"/>
                <w:left w:val="none" w:sz="0" w:space="0" w:color="auto"/>
                <w:bottom w:val="none" w:sz="0" w:space="0" w:color="auto"/>
                <w:right w:val="none" w:sz="0" w:space="0" w:color="auto"/>
              </w:divBdr>
            </w:div>
            <w:div w:id="613682368">
              <w:marLeft w:val="0"/>
              <w:marRight w:val="0"/>
              <w:marTop w:val="0"/>
              <w:marBottom w:val="0"/>
              <w:divBdr>
                <w:top w:val="none" w:sz="0" w:space="0" w:color="auto"/>
                <w:left w:val="none" w:sz="0" w:space="0" w:color="auto"/>
                <w:bottom w:val="none" w:sz="0" w:space="0" w:color="auto"/>
                <w:right w:val="none" w:sz="0" w:space="0" w:color="auto"/>
              </w:divBdr>
            </w:div>
            <w:div w:id="445078011">
              <w:marLeft w:val="0"/>
              <w:marRight w:val="0"/>
              <w:marTop w:val="0"/>
              <w:marBottom w:val="0"/>
              <w:divBdr>
                <w:top w:val="none" w:sz="0" w:space="0" w:color="auto"/>
                <w:left w:val="none" w:sz="0" w:space="0" w:color="auto"/>
                <w:bottom w:val="none" w:sz="0" w:space="0" w:color="auto"/>
                <w:right w:val="none" w:sz="0" w:space="0" w:color="auto"/>
              </w:divBdr>
            </w:div>
            <w:div w:id="425420214">
              <w:marLeft w:val="0"/>
              <w:marRight w:val="0"/>
              <w:marTop w:val="0"/>
              <w:marBottom w:val="0"/>
              <w:divBdr>
                <w:top w:val="none" w:sz="0" w:space="0" w:color="auto"/>
                <w:left w:val="none" w:sz="0" w:space="0" w:color="auto"/>
                <w:bottom w:val="none" w:sz="0" w:space="0" w:color="auto"/>
                <w:right w:val="none" w:sz="0" w:space="0" w:color="auto"/>
              </w:divBdr>
            </w:div>
            <w:div w:id="554128568">
              <w:marLeft w:val="0"/>
              <w:marRight w:val="0"/>
              <w:marTop w:val="0"/>
              <w:marBottom w:val="0"/>
              <w:divBdr>
                <w:top w:val="none" w:sz="0" w:space="0" w:color="auto"/>
                <w:left w:val="none" w:sz="0" w:space="0" w:color="auto"/>
                <w:bottom w:val="none" w:sz="0" w:space="0" w:color="auto"/>
                <w:right w:val="none" w:sz="0" w:space="0" w:color="auto"/>
              </w:divBdr>
            </w:div>
            <w:div w:id="764035261">
              <w:marLeft w:val="0"/>
              <w:marRight w:val="0"/>
              <w:marTop w:val="0"/>
              <w:marBottom w:val="0"/>
              <w:divBdr>
                <w:top w:val="none" w:sz="0" w:space="0" w:color="auto"/>
                <w:left w:val="none" w:sz="0" w:space="0" w:color="auto"/>
                <w:bottom w:val="none" w:sz="0" w:space="0" w:color="auto"/>
                <w:right w:val="none" w:sz="0" w:space="0" w:color="auto"/>
              </w:divBdr>
            </w:div>
            <w:div w:id="508177882">
              <w:marLeft w:val="0"/>
              <w:marRight w:val="0"/>
              <w:marTop w:val="0"/>
              <w:marBottom w:val="0"/>
              <w:divBdr>
                <w:top w:val="none" w:sz="0" w:space="0" w:color="auto"/>
                <w:left w:val="none" w:sz="0" w:space="0" w:color="auto"/>
                <w:bottom w:val="none" w:sz="0" w:space="0" w:color="auto"/>
                <w:right w:val="none" w:sz="0" w:space="0" w:color="auto"/>
              </w:divBdr>
            </w:div>
            <w:div w:id="19038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61</Pages>
  <Words>16839</Words>
  <Characters>95983</Characters>
  <Application>Microsoft Macintosh Word</Application>
  <DocSecurity>0</DocSecurity>
  <Lines>799</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Na Ma</cp:lastModifiedBy>
  <cp:revision>2</cp:revision>
  <dcterms:created xsi:type="dcterms:W3CDTF">2015-09-07T23:26:00Z</dcterms:created>
  <dcterms:modified xsi:type="dcterms:W3CDTF">2015-09-07T23:26:00Z</dcterms:modified>
</cp:coreProperties>
</file>