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268" w:rsidRPr="00CE6F35" w:rsidRDefault="00F24268" w:rsidP="00F24268">
      <w:pPr>
        <w:adjustRightInd w:val="0"/>
        <w:snapToGrid w:val="0"/>
        <w:rPr>
          <w:rFonts w:ascii="Book Antiqua" w:eastAsia="Times New Roman" w:hAnsi="Book Antiqua" w:cs="SimSun"/>
          <w:i/>
          <w:szCs w:val="24"/>
        </w:rPr>
      </w:pPr>
      <w:bookmarkStart w:id="0" w:name="OLE_LINK2088"/>
      <w:bookmarkStart w:id="1" w:name="OLE_LINK2089"/>
      <w:bookmarkStart w:id="2" w:name="OLE_LINK437"/>
      <w:bookmarkStart w:id="3" w:name="OLE_LINK438"/>
      <w:bookmarkStart w:id="4" w:name="OLE_LINK1043"/>
      <w:bookmarkStart w:id="5" w:name="OLE_LINK1420"/>
      <w:bookmarkStart w:id="6" w:name="OLE_LINK1540"/>
      <w:bookmarkStart w:id="7" w:name="OLE_LINK1602"/>
      <w:bookmarkStart w:id="8" w:name="OLE_LINK2188"/>
      <w:bookmarkStart w:id="9" w:name="OLE_LINK2180"/>
      <w:bookmarkStart w:id="10" w:name="OLE_LINK191"/>
      <w:bookmarkStart w:id="11" w:name="OLE_LINK192"/>
      <w:bookmarkStart w:id="12" w:name="OLE_LINK368"/>
      <w:bookmarkStart w:id="13" w:name="OLE_LINK1406"/>
      <w:bookmarkStart w:id="14" w:name="OLE_LINK43"/>
      <w:bookmarkStart w:id="15" w:name="OLE_LINK44"/>
      <w:bookmarkStart w:id="16" w:name="OLE_LINK58"/>
      <w:r w:rsidRPr="00CE6F35">
        <w:rPr>
          <w:rFonts w:ascii="Book Antiqua" w:eastAsia="Times New Roman" w:hAnsi="Book Antiqua" w:cs="SimSun"/>
          <w:b/>
          <w:szCs w:val="24"/>
        </w:rPr>
        <w:t xml:space="preserve">Name of journal: </w:t>
      </w:r>
      <w:bookmarkStart w:id="17" w:name="OLE_LINK718"/>
      <w:bookmarkStart w:id="18" w:name="OLE_LINK719"/>
      <w:bookmarkStart w:id="19" w:name="OLE_LINK645"/>
      <w:bookmarkStart w:id="20" w:name="OLE_LINK661"/>
      <w:bookmarkStart w:id="21" w:name="OLE_LINK696"/>
      <w:bookmarkStart w:id="22" w:name="OLE_LINK1068"/>
      <w:bookmarkStart w:id="23" w:name="OLE_LINK335"/>
      <w:r w:rsidRPr="00CE6F35">
        <w:rPr>
          <w:rFonts w:ascii="Book Antiqua" w:eastAsia="Times New Roman" w:hAnsi="Book Antiqua" w:cs="SimSun"/>
          <w:i/>
          <w:kern w:val="0"/>
          <w:szCs w:val="24"/>
        </w:rPr>
        <w:t>World Journal of Gastroenterology</w:t>
      </w:r>
      <w:bookmarkEnd w:id="17"/>
      <w:bookmarkEnd w:id="18"/>
      <w:bookmarkEnd w:id="19"/>
      <w:bookmarkEnd w:id="20"/>
      <w:bookmarkEnd w:id="21"/>
      <w:bookmarkEnd w:id="22"/>
      <w:bookmarkEnd w:id="23"/>
    </w:p>
    <w:p w:rsidR="00F24268" w:rsidRPr="00CE6F35" w:rsidRDefault="00F24268" w:rsidP="00F24268">
      <w:pPr>
        <w:adjustRightInd w:val="0"/>
        <w:snapToGrid w:val="0"/>
        <w:rPr>
          <w:rFonts w:ascii="Book Antiqua" w:eastAsia="Times New Roman" w:hAnsi="Book Antiqua" w:cs="SimSun"/>
          <w:b/>
          <w:i/>
          <w:szCs w:val="24"/>
        </w:rPr>
      </w:pPr>
      <w:r w:rsidRPr="00CE6F35">
        <w:rPr>
          <w:rFonts w:ascii="Book Antiqua" w:hAnsi="Book Antiqua" w:cs="Arial"/>
          <w:b/>
          <w:szCs w:val="24"/>
          <w:lang w:val="en"/>
        </w:rPr>
        <w:t>ESPS Manuscript NO: 19515</w:t>
      </w:r>
    </w:p>
    <w:p w:rsidR="00F24268" w:rsidRPr="00CE6F35" w:rsidRDefault="00F24268" w:rsidP="00F24268">
      <w:pPr>
        <w:adjustRightInd w:val="0"/>
        <w:snapToGrid w:val="0"/>
        <w:rPr>
          <w:rFonts w:ascii="Book Antiqua" w:hAnsi="Book Antiqua"/>
          <w:b/>
          <w:kern w:val="0"/>
          <w:szCs w:val="24"/>
        </w:rPr>
      </w:pPr>
      <w:bookmarkStart w:id="24" w:name="OLE_LINK886"/>
      <w:bookmarkStart w:id="25" w:name="OLE_LINK887"/>
      <w:bookmarkStart w:id="26" w:name="OLE_LINK888"/>
      <w:bookmarkStart w:id="27" w:name="OLE_LINK1072"/>
      <w:bookmarkStart w:id="28" w:name="OLE_LINK863"/>
      <w:bookmarkStart w:id="29" w:name="OLE_LINK965"/>
      <w:bookmarkStart w:id="30" w:name="OLE_LINK897"/>
      <w:bookmarkStart w:id="31" w:name="OLE_LINK1021"/>
      <w:bookmarkStart w:id="32" w:name="OLE_LINK870"/>
      <w:bookmarkStart w:id="33" w:name="OLE_LINK1029"/>
      <w:bookmarkStart w:id="34" w:name="OLE_LINK1154"/>
      <w:bookmarkStart w:id="35" w:name="OLE_LINK950"/>
      <w:bookmarkStart w:id="36" w:name="OLE_LINK1191"/>
      <w:bookmarkStart w:id="37" w:name="OLE_LINK1225"/>
      <w:bookmarkStart w:id="38" w:name="OLE_LINK1131"/>
      <w:bookmarkStart w:id="39" w:name="OLE_LINK1064"/>
      <w:bookmarkStart w:id="40" w:name="OLE_LINK1165"/>
      <w:bookmarkStart w:id="41" w:name="OLE_LINK1333"/>
      <w:bookmarkStart w:id="42" w:name="OLE_LINK1367"/>
      <w:bookmarkStart w:id="43" w:name="OLE_LINK1400"/>
      <w:bookmarkStart w:id="44" w:name="OLE_LINK1616"/>
      <w:bookmarkStart w:id="45" w:name="OLE_LINK1378"/>
      <w:bookmarkStart w:id="46" w:name="OLE_LINK1489"/>
      <w:bookmarkStart w:id="47" w:name="OLE_LINK1379"/>
      <w:bookmarkStart w:id="48" w:name="OLE_LINK1638"/>
      <w:bookmarkStart w:id="49" w:name="OLE_LINK1758"/>
      <w:bookmarkStart w:id="50" w:name="OLE_LINK1764"/>
      <w:bookmarkStart w:id="51" w:name="OLE_LINK1715"/>
      <w:bookmarkStart w:id="52" w:name="OLE_LINK1893"/>
      <w:bookmarkStart w:id="53" w:name="OLE_LINK1929"/>
      <w:bookmarkStart w:id="54" w:name="OLE_LINK1972"/>
      <w:bookmarkStart w:id="55" w:name="OLE_LINK1717"/>
      <w:bookmarkStart w:id="56" w:name="OLE_LINK1785"/>
      <w:bookmarkStart w:id="57" w:name="OLE_LINK1908"/>
      <w:bookmarkStart w:id="58" w:name="OLE_LINK1933"/>
      <w:bookmarkStart w:id="59" w:name="OLE_LINK1867"/>
      <w:bookmarkStart w:id="60" w:name="OLE_LINK1904"/>
      <w:bookmarkStart w:id="61" w:name="OLE_LINK1937"/>
      <w:bookmarkStart w:id="62" w:name="OLE_LINK2022"/>
      <w:bookmarkStart w:id="63" w:name="OLE_LINK2062"/>
      <w:bookmarkStart w:id="64" w:name="OLE_LINK2119"/>
      <w:bookmarkStart w:id="65" w:name="OLE_LINK2067"/>
      <w:bookmarkStart w:id="66" w:name="OLE_LINK2244"/>
      <w:bookmarkStart w:id="67" w:name="OLE_LINK2000"/>
      <w:bookmarkEnd w:id="0"/>
      <w:bookmarkEnd w:id="1"/>
      <w:r w:rsidRPr="00CE6F35">
        <w:rPr>
          <w:rFonts w:ascii="Book Antiqua" w:hAnsi="Book Antiqua"/>
          <w:b/>
          <w:szCs w:val="24"/>
        </w:rPr>
        <w:t>Manuscript Type</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CE6F35">
        <w:rPr>
          <w:rFonts w:ascii="Book Antiqua" w:hAnsi="Book Antiqua"/>
          <w:b/>
          <w:kern w:val="0"/>
          <w:szCs w:val="24"/>
        </w:rPr>
        <w:t xml:space="preserve">: </w:t>
      </w:r>
      <w:bookmarkStart w:id="68" w:name="OLE_LINK1386"/>
      <w:r w:rsidRPr="00CE6F35">
        <w:rPr>
          <w:rFonts w:ascii="Book Antiqua" w:hAnsi="Book Antiqua"/>
          <w:b/>
          <w:kern w:val="0"/>
          <w:szCs w:val="24"/>
        </w:rPr>
        <w:t>ORIGINAL ARTICLE</w:t>
      </w:r>
    </w:p>
    <w:p w:rsidR="00F24268" w:rsidRPr="00CE6F35" w:rsidRDefault="00F24268" w:rsidP="00F24268">
      <w:pPr>
        <w:adjustRightInd w:val="0"/>
        <w:snapToGrid w:val="0"/>
        <w:rPr>
          <w:rFonts w:ascii="Book Antiqua" w:hAnsi="Book Antiqua"/>
          <w:b/>
          <w:szCs w:val="24"/>
        </w:rPr>
      </w:pPr>
    </w:p>
    <w:bookmarkEnd w:id="2"/>
    <w:bookmarkEnd w:id="3"/>
    <w:bookmarkEnd w:id="4"/>
    <w:bookmarkEnd w:id="5"/>
    <w:bookmarkEnd w:id="6"/>
    <w:bookmarkEnd w:id="7"/>
    <w:bookmarkEnd w:id="8"/>
    <w:bookmarkEnd w:id="9"/>
    <w:bookmarkEnd w:id="68"/>
    <w:p w:rsidR="00F24268" w:rsidRPr="00CE6F35" w:rsidRDefault="00811E16" w:rsidP="00F24268">
      <w:pPr>
        <w:adjustRightInd w:val="0"/>
        <w:snapToGrid w:val="0"/>
        <w:rPr>
          <w:rFonts w:ascii="Book Antiqua" w:eastAsia="YouYuan" w:hAnsi="Book Antiqua"/>
          <w:b/>
          <w:i/>
          <w:szCs w:val="24"/>
        </w:rPr>
      </w:pPr>
      <w:r w:rsidRPr="00CE6F35">
        <w:rPr>
          <w:rFonts w:ascii="Book Antiqua" w:eastAsia="YouYuan" w:hAnsi="Book Antiqua" w:hint="eastAsia"/>
          <w:b/>
          <w:i/>
          <w:szCs w:val="24"/>
        </w:rPr>
        <w:t>Observational</w:t>
      </w:r>
      <w:r w:rsidR="00F24268" w:rsidRPr="00CE6F35">
        <w:rPr>
          <w:rFonts w:ascii="Book Antiqua" w:eastAsia="YouYuan" w:hAnsi="Book Antiqua"/>
          <w:b/>
          <w:i/>
          <w:szCs w:val="24"/>
        </w:rPr>
        <w:t xml:space="preserve"> Study</w:t>
      </w:r>
    </w:p>
    <w:p w:rsidR="00641FB0" w:rsidRPr="00CE6F35" w:rsidRDefault="00641FB0" w:rsidP="00F24268">
      <w:pPr>
        <w:adjustRightInd w:val="0"/>
        <w:snapToGrid w:val="0"/>
        <w:rPr>
          <w:rFonts w:ascii="Book Antiqua" w:hAnsi="Book Antiqua"/>
          <w:b/>
          <w:szCs w:val="24"/>
        </w:rPr>
      </w:pPr>
      <w:bookmarkStart w:id="69" w:name="OLE_LINK2407"/>
      <w:bookmarkStart w:id="70" w:name="OLE_LINK2408"/>
      <w:bookmarkStart w:id="71" w:name="OLE_LINK2409"/>
      <w:bookmarkEnd w:id="10"/>
      <w:bookmarkEnd w:id="11"/>
      <w:bookmarkEnd w:id="12"/>
      <w:bookmarkEnd w:id="13"/>
      <w:r w:rsidRPr="00CE6F35">
        <w:rPr>
          <w:rFonts w:ascii="Book Antiqua" w:hAnsi="Book Antiqua"/>
          <w:b/>
          <w:i/>
          <w:iCs/>
          <w:szCs w:val="24"/>
        </w:rPr>
        <w:t>CD24</w:t>
      </w:r>
      <w:r w:rsidRPr="00CE6F35">
        <w:rPr>
          <w:rFonts w:ascii="Book Antiqua" w:hAnsi="Book Antiqua"/>
          <w:b/>
          <w:szCs w:val="24"/>
        </w:rPr>
        <w:t xml:space="preserve"> genetic variants contribute to overall survival in patients with gastric cancer</w:t>
      </w:r>
      <w:bookmarkEnd w:id="14"/>
      <w:bookmarkEnd w:id="15"/>
      <w:bookmarkEnd w:id="16"/>
    </w:p>
    <w:bookmarkEnd w:id="69"/>
    <w:bookmarkEnd w:id="70"/>
    <w:bookmarkEnd w:id="71"/>
    <w:p w:rsidR="00641FB0" w:rsidRPr="00CE6F35" w:rsidRDefault="00641FB0" w:rsidP="00F24268">
      <w:pPr>
        <w:adjustRightInd w:val="0"/>
        <w:snapToGrid w:val="0"/>
        <w:rPr>
          <w:rFonts w:ascii="Book Antiqua" w:hAnsi="Book Antiqua"/>
          <w:szCs w:val="24"/>
        </w:rPr>
      </w:pPr>
    </w:p>
    <w:p w:rsidR="00641FB0" w:rsidRPr="00CE6F35" w:rsidRDefault="00F24268" w:rsidP="00F24268">
      <w:pPr>
        <w:adjustRightInd w:val="0"/>
        <w:snapToGrid w:val="0"/>
        <w:rPr>
          <w:rFonts w:ascii="Book Antiqua" w:hAnsi="Book Antiqua"/>
          <w:szCs w:val="24"/>
        </w:rPr>
      </w:pPr>
      <w:r w:rsidRPr="00CE6F35">
        <w:rPr>
          <w:rFonts w:ascii="Book Antiqua" w:hAnsi="Book Antiqua"/>
          <w:szCs w:val="24"/>
        </w:rPr>
        <w:t xml:space="preserve">Jia </w:t>
      </w:r>
      <w:r w:rsidRPr="00CE6F35">
        <w:rPr>
          <w:rFonts w:ascii="Book Antiqua" w:hAnsi="Book Antiqua" w:hint="eastAsia"/>
          <w:szCs w:val="24"/>
        </w:rPr>
        <w:t xml:space="preserve">ZF </w:t>
      </w:r>
      <w:r w:rsidRPr="00CE6F35">
        <w:rPr>
          <w:rFonts w:ascii="Book Antiqua" w:hAnsi="Book Antiqua" w:hint="eastAsia"/>
          <w:i/>
          <w:szCs w:val="24"/>
        </w:rPr>
        <w:t>et al.</w:t>
      </w:r>
      <w:r w:rsidRPr="00CE6F35">
        <w:rPr>
          <w:rFonts w:ascii="Book Antiqua" w:hAnsi="Book Antiqua" w:hint="eastAsia"/>
          <w:szCs w:val="24"/>
        </w:rPr>
        <w:t xml:space="preserve"> </w:t>
      </w:r>
      <w:r w:rsidR="00641FB0" w:rsidRPr="00CE6F35">
        <w:rPr>
          <w:rFonts w:ascii="Book Antiqua" w:hAnsi="Book Antiqua"/>
          <w:szCs w:val="24"/>
        </w:rPr>
        <w:t>CD24 SNPs and gastric cancer</w:t>
      </w:r>
    </w:p>
    <w:p w:rsidR="00641FB0" w:rsidRPr="00CE6F35" w:rsidRDefault="00641FB0" w:rsidP="00F24268">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szCs w:val="24"/>
        </w:rPr>
      </w:pPr>
      <w:bookmarkStart w:id="72" w:name="OLE_LINK2405"/>
      <w:bookmarkStart w:id="73" w:name="OLE_LINK2406"/>
      <w:bookmarkStart w:id="74" w:name="OLE_LINK2410"/>
      <w:bookmarkStart w:id="75" w:name="OLE_LINK2411"/>
      <w:r w:rsidRPr="00CE6F35">
        <w:rPr>
          <w:rFonts w:ascii="Book Antiqua" w:hAnsi="Book Antiqua"/>
          <w:szCs w:val="24"/>
        </w:rPr>
        <w:t xml:space="preserve">Zhi-Fang </w:t>
      </w:r>
      <w:bookmarkStart w:id="76" w:name="OLE_LINK2393"/>
      <w:bookmarkStart w:id="77" w:name="OLE_LINK2394"/>
      <w:r w:rsidRPr="00CE6F35">
        <w:rPr>
          <w:rFonts w:ascii="Book Antiqua" w:hAnsi="Book Antiqua"/>
          <w:szCs w:val="24"/>
        </w:rPr>
        <w:t>Jia</w:t>
      </w:r>
      <w:bookmarkEnd w:id="72"/>
      <w:bookmarkEnd w:id="73"/>
      <w:bookmarkEnd w:id="76"/>
      <w:bookmarkEnd w:id="77"/>
      <w:r w:rsidRPr="00CE6F35">
        <w:rPr>
          <w:rFonts w:ascii="Book Antiqua" w:hAnsi="Book Antiqua"/>
          <w:szCs w:val="24"/>
        </w:rPr>
        <w:t>, Li-Zhong Wang, Xue-Yuan Cao, Chuan Wang, Dong-Hui Cao, Xing Wu, Li-Li You, Mei-Shan Jin, Yin-Ping Wang, Bao</w:t>
      </w:r>
      <w:r w:rsidR="00F24268" w:rsidRPr="00CE6F35">
        <w:rPr>
          <w:rFonts w:ascii="Book Antiqua" w:hAnsi="Book Antiqua" w:hint="eastAsia"/>
          <w:szCs w:val="24"/>
        </w:rPr>
        <w:t>-</w:t>
      </w:r>
      <w:r w:rsidR="00F24268" w:rsidRPr="00CE6F35">
        <w:rPr>
          <w:rFonts w:ascii="Book Antiqua" w:hAnsi="Book Antiqua"/>
          <w:szCs w:val="24"/>
        </w:rPr>
        <w:t xml:space="preserve">Sen </w:t>
      </w:r>
      <w:r w:rsidRPr="00CE6F35">
        <w:rPr>
          <w:rFonts w:ascii="Book Antiqua" w:hAnsi="Book Antiqua"/>
          <w:szCs w:val="24"/>
        </w:rPr>
        <w:t>Zhou, Jing Jiang</w:t>
      </w:r>
    </w:p>
    <w:bookmarkEnd w:id="74"/>
    <w:bookmarkEnd w:id="75"/>
    <w:p w:rsidR="00641FB0" w:rsidRPr="00CE6F35" w:rsidRDefault="00641FB0" w:rsidP="00F24268">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szCs w:val="24"/>
        </w:rPr>
      </w:pPr>
      <w:r w:rsidRPr="00CE6F35">
        <w:rPr>
          <w:rFonts w:ascii="Book Antiqua" w:hAnsi="Book Antiqua"/>
          <w:b/>
          <w:szCs w:val="24"/>
        </w:rPr>
        <w:t>Zhi-Fang Jia,</w:t>
      </w:r>
      <w:r w:rsidRPr="00CE6F35">
        <w:rPr>
          <w:rFonts w:ascii="Book Antiqua" w:hAnsi="Book Antiqua"/>
          <w:szCs w:val="24"/>
        </w:rPr>
        <w:t xml:space="preserve"> </w:t>
      </w:r>
      <w:r w:rsidRPr="00CE6F35">
        <w:rPr>
          <w:rFonts w:ascii="Book Antiqua" w:hAnsi="Book Antiqua"/>
          <w:b/>
          <w:szCs w:val="24"/>
        </w:rPr>
        <w:t>Chuan Wang, Dong-Hui Cao, Xing Wu, Li-Li You, Jing Jiang,</w:t>
      </w:r>
      <w:r w:rsidRPr="00CE6F35">
        <w:rPr>
          <w:rFonts w:ascii="Book Antiqua" w:hAnsi="Book Antiqua"/>
          <w:szCs w:val="24"/>
        </w:rPr>
        <w:t xml:space="preserve"> Division of Clinical Epidemiology, First Hospital of Jilin University, Changchun 130021, </w:t>
      </w:r>
      <w:r w:rsidR="00F24268" w:rsidRPr="00CE6F35">
        <w:rPr>
          <w:rFonts w:ascii="Book Antiqua" w:hAnsi="Book Antiqua" w:hint="eastAsia"/>
          <w:szCs w:val="24"/>
        </w:rPr>
        <w:t xml:space="preserve">Jilin Province, </w:t>
      </w:r>
      <w:r w:rsidRPr="00CE6F35">
        <w:rPr>
          <w:rFonts w:ascii="Book Antiqua" w:hAnsi="Book Antiqua"/>
          <w:szCs w:val="24"/>
        </w:rPr>
        <w:t>China</w:t>
      </w:r>
    </w:p>
    <w:p w:rsidR="00F24268" w:rsidRPr="00CE6F35" w:rsidRDefault="00F24268" w:rsidP="00F24268">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szCs w:val="24"/>
        </w:rPr>
      </w:pPr>
      <w:r w:rsidRPr="00CE6F35">
        <w:rPr>
          <w:rFonts w:ascii="Book Antiqua" w:hAnsi="Book Antiqua"/>
          <w:b/>
          <w:szCs w:val="24"/>
        </w:rPr>
        <w:t xml:space="preserve">Li-Zhong Wang, </w:t>
      </w:r>
      <w:r w:rsidRPr="00CE6F35">
        <w:rPr>
          <w:rFonts w:ascii="Book Antiqua" w:hAnsi="Book Antiqua"/>
          <w:szCs w:val="24"/>
        </w:rPr>
        <w:t xml:space="preserve">Department of Genetics, University of Alabama at Birmingham, Birmingham, </w:t>
      </w:r>
      <w:r w:rsidR="00F24268" w:rsidRPr="00CE6F35">
        <w:rPr>
          <w:rFonts w:ascii="Book Antiqua" w:hAnsi="Book Antiqua" w:hint="eastAsia"/>
          <w:szCs w:val="24"/>
        </w:rPr>
        <w:t>AL</w:t>
      </w:r>
      <w:r w:rsidRPr="00CE6F35">
        <w:rPr>
          <w:rFonts w:ascii="Book Antiqua" w:hAnsi="Book Antiqua"/>
          <w:szCs w:val="24"/>
        </w:rPr>
        <w:t xml:space="preserve"> 35294, U</w:t>
      </w:r>
      <w:r w:rsidR="00F24268" w:rsidRPr="00CE6F35">
        <w:rPr>
          <w:rFonts w:ascii="Book Antiqua" w:hAnsi="Book Antiqua" w:hint="eastAsia"/>
          <w:szCs w:val="24"/>
        </w:rPr>
        <w:t>nited States</w:t>
      </w:r>
    </w:p>
    <w:p w:rsidR="00F24268" w:rsidRPr="00CE6F35" w:rsidRDefault="00F24268" w:rsidP="00F24268">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szCs w:val="24"/>
        </w:rPr>
      </w:pPr>
      <w:r w:rsidRPr="00CE6F35">
        <w:rPr>
          <w:rFonts w:ascii="Book Antiqua" w:hAnsi="Book Antiqua"/>
          <w:b/>
          <w:szCs w:val="24"/>
        </w:rPr>
        <w:t xml:space="preserve">Xue-Yuan Cao, </w:t>
      </w:r>
      <w:r w:rsidRPr="00CE6F35">
        <w:rPr>
          <w:rFonts w:ascii="Book Antiqua" w:hAnsi="Book Antiqua"/>
          <w:szCs w:val="24"/>
        </w:rPr>
        <w:t xml:space="preserve">Department of Gastrointestinal Surgery, First Hospital of Jilin University, Changchun 130021, </w:t>
      </w:r>
      <w:r w:rsidR="00E73204" w:rsidRPr="00E73204">
        <w:rPr>
          <w:rFonts w:ascii="Book Antiqua" w:hAnsi="Book Antiqua" w:hint="eastAsia"/>
          <w:szCs w:val="24"/>
        </w:rPr>
        <w:t xml:space="preserve">Jilin Province, </w:t>
      </w:r>
      <w:r w:rsidRPr="00CE6F35">
        <w:rPr>
          <w:rFonts w:ascii="Book Antiqua" w:hAnsi="Book Antiqua"/>
          <w:szCs w:val="24"/>
        </w:rPr>
        <w:t>China</w:t>
      </w:r>
    </w:p>
    <w:p w:rsidR="00F24268" w:rsidRPr="007C6F13" w:rsidRDefault="00F24268" w:rsidP="00F24268">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szCs w:val="24"/>
        </w:rPr>
      </w:pPr>
      <w:r w:rsidRPr="00CE6F35">
        <w:rPr>
          <w:rFonts w:ascii="Book Antiqua" w:hAnsi="Book Antiqua"/>
          <w:b/>
          <w:szCs w:val="24"/>
        </w:rPr>
        <w:t xml:space="preserve">Mei-Shan Jin, Yin-Ping Wang, </w:t>
      </w:r>
      <w:r w:rsidRPr="00CE6F35">
        <w:rPr>
          <w:rFonts w:ascii="Book Antiqua" w:hAnsi="Book Antiqua"/>
          <w:szCs w:val="24"/>
        </w:rPr>
        <w:t xml:space="preserve">Division of Pathology, First Hospital of Jilin University, Changchun 130021, </w:t>
      </w:r>
      <w:r w:rsidR="00F24268" w:rsidRPr="00CE6F35">
        <w:rPr>
          <w:rFonts w:ascii="Book Antiqua" w:hAnsi="Book Antiqua" w:hint="eastAsia"/>
          <w:szCs w:val="24"/>
        </w:rPr>
        <w:t xml:space="preserve">Jilin Province, </w:t>
      </w:r>
      <w:r w:rsidRPr="00CE6F35">
        <w:rPr>
          <w:rFonts w:ascii="Book Antiqua" w:hAnsi="Book Antiqua"/>
          <w:szCs w:val="24"/>
        </w:rPr>
        <w:t>China</w:t>
      </w:r>
    </w:p>
    <w:p w:rsidR="00F24268" w:rsidRPr="00CE6F35" w:rsidRDefault="00F24268" w:rsidP="00F24268">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szCs w:val="24"/>
        </w:rPr>
      </w:pPr>
      <w:r w:rsidRPr="00CE6F35">
        <w:rPr>
          <w:rFonts w:ascii="Book Antiqua" w:hAnsi="Book Antiqua"/>
          <w:b/>
          <w:szCs w:val="24"/>
        </w:rPr>
        <w:t>Zhi-Fang Jia,</w:t>
      </w:r>
      <w:r w:rsidRPr="00CE6F35">
        <w:rPr>
          <w:rFonts w:ascii="Book Antiqua" w:hAnsi="Book Antiqua"/>
          <w:szCs w:val="24"/>
        </w:rPr>
        <w:t xml:space="preserve"> </w:t>
      </w:r>
      <w:r w:rsidRPr="00CE6F35">
        <w:rPr>
          <w:rFonts w:ascii="Book Antiqua" w:hAnsi="Book Antiqua"/>
          <w:b/>
          <w:szCs w:val="24"/>
        </w:rPr>
        <w:t>Bao</w:t>
      </w:r>
      <w:r w:rsidR="00F24268" w:rsidRPr="00CE6F35">
        <w:rPr>
          <w:rFonts w:ascii="Book Antiqua" w:hAnsi="Book Antiqua" w:hint="eastAsia"/>
          <w:b/>
          <w:szCs w:val="24"/>
        </w:rPr>
        <w:t>-</w:t>
      </w:r>
      <w:r w:rsidR="00F24268" w:rsidRPr="00CE6F35">
        <w:rPr>
          <w:rFonts w:ascii="Book Antiqua" w:hAnsi="Book Antiqua"/>
          <w:b/>
          <w:szCs w:val="24"/>
        </w:rPr>
        <w:t xml:space="preserve">Sen </w:t>
      </w:r>
      <w:r w:rsidRPr="00CE6F35">
        <w:rPr>
          <w:rFonts w:ascii="Book Antiqua" w:hAnsi="Book Antiqua"/>
          <w:b/>
          <w:szCs w:val="24"/>
        </w:rPr>
        <w:t xml:space="preserve">Zhou, </w:t>
      </w:r>
      <w:r w:rsidRPr="00CE6F35">
        <w:rPr>
          <w:rFonts w:ascii="Book Antiqua" w:hAnsi="Book Antiqua"/>
          <w:szCs w:val="24"/>
        </w:rPr>
        <w:t xml:space="preserve">Department of Epidemiology, School of Public Health, China Medical University, Shenyang 110112, </w:t>
      </w:r>
      <w:r w:rsidR="00F24268" w:rsidRPr="00CE6F35">
        <w:rPr>
          <w:rFonts w:ascii="Book Antiqua" w:hAnsi="Book Antiqua" w:hint="eastAsia"/>
          <w:szCs w:val="24"/>
        </w:rPr>
        <w:t xml:space="preserve">Liaoning Province, </w:t>
      </w:r>
      <w:r w:rsidRPr="00CE6F35">
        <w:rPr>
          <w:rFonts w:ascii="Book Antiqua" w:hAnsi="Book Antiqua"/>
          <w:szCs w:val="24"/>
        </w:rPr>
        <w:t>China</w:t>
      </w:r>
    </w:p>
    <w:p w:rsidR="00641FB0" w:rsidRPr="00CE6F35" w:rsidRDefault="00641FB0" w:rsidP="00F24268">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szCs w:val="24"/>
          <w:vertAlign w:val="superscript"/>
        </w:rPr>
      </w:pPr>
      <w:r w:rsidRPr="00CE6F35">
        <w:rPr>
          <w:rFonts w:ascii="Book Antiqua" w:hAnsi="Book Antiqua"/>
          <w:b/>
          <w:szCs w:val="24"/>
        </w:rPr>
        <w:t>Author contributions</w:t>
      </w:r>
      <w:r w:rsidRPr="00CE6F35">
        <w:rPr>
          <w:rFonts w:ascii="Book Antiqua" w:hAnsi="Book Antiqua"/>
          <w:szCs w:val="24"/>
        </w:rPr>
        <w:t xml:space="preserve">: Jia ZF, Wang LZ, Cao XY and Jiang J designed the </w:t>
      </w:r>
      <w:r w:rsidRPr="00CE6F35">
        <w:rPr>
          <w:rFonts w:ascii="Book Antiqua" w:hAnsi="Book Antiqua"/>
          <w:szCs w:val="24"/>
        </w:rPr>
        <w:lastRenderedPageBreak/>
        <w:t>research; Jia ZF, Wang C, Cao DH, Wu X, and You LL performed the research; Wang LZ, Cao XY, Jin MS, and Wang YP analyzed the data; Jia ZF and Jiang J wrote the manuscript; Wang LZ, Cao XY and Zhou BS revised the manuscript.</w:t>
      </w:r>
    </w:p>
    <w:p w:rsidR="00F24268" w:rsidRPr="00CE6F35" w:rsidRDefault="00F24268" w:rsidP="00F24268">
      <w:pPr>
        <w:adjustRightInd w:val="0"/>
        <w:snapToGrid w:val="0"/>
        <w:rPr>
          <w:rFonts w:ascii="Book Antiqua" w:hAnsi="Book Antiqua"/>
          <w:szCs w:val="24"/>
        </w:rPr>
      </w:pPr>
    </w:p>
    <w:p w:rsidR="00641FB0" w:rsidRPr="00CE6F35" w:rsidRDefault="00F24268" w:rsidP="00F24268">
      <w:pPr>
        <w:adjustRightInd w:val="0"/>
        <w:snapToGrid w:val="0"/>
        <w:rPr>
          <w:rFonts w:ascii="Book Antiqua" w:hAnsi="Book Antiqua"/>
          <w:szCs w:val="24"/>
        </w:rPr>
      </w:pPr>
      <w:r w:rsidRPr="00CE6F35">
        <w:rPr>
          <w:rFonts w:ascii="Book Antiqua" w:hAnsi="Book Antiqua"/>
          <w:b/>
          <w:szCs w:val="24"/>
        </w:rPr>
        <w:t xml:space="preserve">Supported </w:t>
      </w:r>
      <w:r w:rsidR="00641FB0" w:rsidRPr="00CE6F35">
        <w:rPr>
          <w:rFonts w:ascii="Book Antiqua" w:hAnsi="Book Antiqua"/>
          <w:b/>
          <w:szCs w:val="24"/>
        </w:rPr>
        <w:t>by</w:t>
      </w:r>
      <w:r w:rsidR="00641FB0" w:rsidRPr="00CE6F35">
        <w:rPr>
          <w:rFonts w:ascii="Book Antiqua" w:hAnsi="Book Antiqua"/>
          <w:szCs w:val="24"/>
        </w:rPr>
        <w:t xml:space="preserve"> National Natural Science Foundation of China</w:t>
      </w:r>
      <w:bookmarkStart w:id="78" w:name="OLE_LINK62"/>
      <w:bookmarkStart w:id="79" w:name="OLE_LINK63"/>
      <w:r w:rsidRPr="00CE6F35">
        <w:rPr>
          <w:rFonts w:ascii="Book Antiqua" w:hAnsi="Book Antiqua" w:hint="eastAsia"/>
          <w:szCs w:val="24"/>
        </w:rPr>
        <w:t xml:space="preserve">, </w:t>
      </w:r>
      <w:r w:rsidR="00641FB0" w:rsidRPr="00CE6F35">
        <w:rPr>
          <w:rFonts w:ascii="Book Antiqua" w:hAnsi="Book Antiqua"/>
          <w:szCs w:val="24"/>
        </w:rPr>
        <w:t xml:space="preserve">No. </w:t>
      </w:r>
      <w:bookmarkEnd w:id="78"/>
      <w:bookmarkEnd w:id="79"/>
      <w:r w:rsidR="00641FB0" w:rsidRPr="00CE6F35">
        <w:rPr>
          <w:rFonts w:ascii="Book Antiqua" w:hAnsi="Book Antiqua"/>
          <w:szCs w:val="24"/>
        </w:rPr>
        <w:t xml:space="preserve">81373084 and </w:t>
      </w:r>
      <w:r w:rsidRPr="00CE6F35">
        <w:rPr>
          <w:rFonts w:ascii="Book Antiqua" w:hAnsi="Book Antiqua" w:hint="eastAsia"/>
          <w:szCs w:val="24"/>
        </w:rPr>
        <w:t xml:space="preserve">No. </w:t>
      </w:r>
      <w:r w:rsidR="00641FB0" w:rsidRPr="00CE6F35">
        <w:rPr>
          <w:rFonts w:ascii="Book Antiqua" w:hAnsi="Book Antiqua"/>
          <w:szCs w:val="24"/>
        </w:rPr>
        <w:t>81273065</w:t>
      </w:r>
      <w:r w:rsidRPr="00CE6F35">
        <w:rPr>
          <w:rFonts w:ascii="Book Antiqua" w:hAnsi="Book Antiqua" w:hint="eastAsia"/>
          <w:szCs w:val="24"/>
        </w:rPr>
        <w:t>;</w:t>
      </w:r>
      <w:r w:rsidR="00641FB0" w:rsidRPr="00CE6F35">
        <w:rPr>
          <w:rFonts w:ascii="Book Antiqua" w:hAnsi="Book Antiqua"/>
          <w:szCs w:val="24"/>
        </w:rPr>
        <w:t xml:space="preserve"> the Norman Bethune Program of Jilin University</w:t>
      </w:r>
      <w:r w:rsidRPr="00CE6F35">
        <w:rPr>
          <w:rFonts w:ascii="Book Antiqua" w:hAnsi="Book Antiqua" w:hint="eastAsia"/>
          <w:szCs w:val="24"/>
        </w:rPr>
        <w:t xml:space="preserve">, </w:t>
      </w:r>
      <w:r w:rsidR="00641FB0" w:rsidRPr="00CE6F35">
        <w:rPr>
          <w:rFonts w:ascii="Book Antiqua" w:hAnsi="Book Antiqua"/>
          <w:szCs w:val="24"/>
        </w:rPr>
        <w:t>No. 2013025</w:t>
      </w:r>
      <w:r w:rsidRPr="00CE6F35">
        <w:rPr>
          <w:rFonts w:ascii="Book Antiqua" w:hAnsi="Book Antiqua" w:hint="eastAsia"/>
          <w:szCs w:val="24"/>
        </w:rPr>
        <w:t>;</w:t>
      </w:r>
      <w:r w:rsidR="00641FB0" w:rsidRPr="00CE6F35">
        <w:rPr>
          <w:rFonts w:ascii="Book Antiqua" w:hAnsi="Book Antiqua"/>
          <w:szCs w:val="24"/>
        </w:rPr>
        <w:t xml:space="preserve"> and the Youth Fund of the First Hospital of Jilin University</w:t>
      </w:r>
      <w:r w:rsidRPr="00CE6F35">
        <w:rPr>
          <w:rFonts w:ascii="Book Antiqua" w:hAnsi="Book Antiqua" w:hint="eastAsia"/>
          <w:szCs w:val="24"/>
        </w:rPr>
        <w:t xml:space="preserve">, </w:t>
      </w:r>
      <w:r w:rsidR="00641FB0" w:rsidRPr="00CE6F35">
        <w:rPr>
          <w:rFonts w:ascii="Book Antiqua" w:hAnsi="Book Antiqua"/>
          <w:szCs w:val="24"/>
        </w:rPr>
        <w:t>No. JDYY</w:t>
      </w:r>
      <w:r w:rsidRPr="00CE6F35">
        <w:rPr>
          <w:rFonts w:ascii="Book Antiqua" w:hAnsi="Book Antiqua"/>
          <w:szCs w:val="24"/>
        </w:rPr>
        <w:t>42013014</w:t>
      </w:r>
      <w:r w:rsidR="00641FB0" w:rsidRPr="00CE6F35">
        <w:rPr>
          <w:rFonts w:ascii="Book Antiqua" w:hAnsi="Book Antiqua"/>
          <w:szCs w:val="24"/>
        </w:rPr>
        <w:t>.</w:t>
      </w:r>
    </w:p>
    <w:p w:rsidR="00641FB0" w:rsidRPr="00CE6F35" w:rsidRDefault="00641FB0" w:rsidP="00F24268">
      <w:pPr>
        <w:adjustRightInd w:val="0"/>
        <w:snapToGrid w:val="0"/>
        <w:rPr>
          <w:rFonts w:ascii="Book Antiqua" w:hAnsi="Book Antiqua"/>
          <w:szCs w:val="24"/>
        </w:rPr>
      </w:pPr>
    </w:p>
    <w:p w:rsidR="00641FB0" w:rsidRPr="00CE6F35" w:rsidRDefault="00F24268" w:rsidP="00F24268">
      <w:pPr>
        <w:rPr>
          <w:rFonts w:ascii="Book Antiqua" w:hAnsi="Book Antiqua"/>
          <w:szCs w:val="24"/>
        </w:rPr>
      </w:pPr>
      <w:bookmarkStart w:id="80" w:name="OLE_LINK923"/>
      <w:bookmarkStart w:id="81" w:name="OLE_LINK924"/>
      <w:bookmarkStart w:id="82" w:name="OLE_LINK925"/>
      <w:bookmarkStart w:id="83" w:name="OLE_LINK926"/>
      <w:bookmarkStart w:id="84" w:name="OLE_LINK928"/>
      <w:bookmarkStart w:id="85" w:name="OLE_LINK932"/>
      <w:bookmarkStart w:id="86" w:name="OLE_LINK903"/>
      <w:bookmarkStart w:id="87" w:name="OLE_LINK916"/>
      <w:bookmarkStart w:id="88" w:name="OLE_LINK1125"/>
      <w:bookmarkStart w:id="89" w:name="OLE_LINK1048"/>
      <w:bookmarkStart w:id="90" w:name="OLE_LINK1057"/>
      <w:bookmarkStart w:id="91" w:name="OLE_LINK1159"/>
      <w:bookmarkStart w:id="92" w:name="OLE_LINK1358"/>
      <w:bookmarkStart w:id="93" w:name="OLE_LINK1441"/>
      <w:bookmarkStart w:id="94" w:name="OLE_LINK1521"/>
      <w:bookmarkStart w:id="95" w:name="OLE_LINK1617"/>
      <w:bookmarkStart w:id="96" w:name="OLE_LINK1644"/>
      <w:bookmarkStart w:id="97" w:name="OLE_LINK1341"/>
      <w:bookmarkStart w:id="98" w:name="OLE_LINK1452"/>
      <w:bookmarkStart w:id="99" w:name="OLE_LINK1498"/>
      <w:bookmarkStart w:id="100" w:name="OLE_LINK1466"/>
      <w:bookmarkStart w:id="101" w:name="OLE_LINK1624"/>
      <w:bookmarkStart w:id="102" w:name="OLE_LINK1853"/>
      <w:bookmarkStart w:id="103" w:name="OLE_LINK1948"/>
      <w:bookmarkStart w:id="104" w:name="OLE_LINK1864"/>
      <w:bookmarkStart w:id="105" w:name="OLE_LINK1868"/>
      <w:bookmarkStart w:id="106" w:name="OLE_LINK1962"/>
      <w:bookmarkStart w:id="107" w:name="OLE_LINK2121"/>
      <w:bookmarkStart w:id="108" w:name="OLE_LINK2042"/>
      <w:bookmarkStart w:id="109" w:name="OLE_LINK2230"/>
      <w:bookmarkStart w:id="110" w:name="OLE_LINK2237"/>
      <w:bookmarkStart w:id="111" w:name="OLE_LINK2286"/>
      <w:bookmarkStart w:id="112" w:name="OLE_LINK79"/>
      <w:bookmarkStart w:id="113" w:name="OLE_LINK80"/>
      <w:bookmarkStart w:id="114" w:name="OLE_LINK1827"/>
      <w:bookmarkStart w:id="115" w:name="OLE_LINK1828"/>
      <w:bookmarkStart w:id="116" w:name="OLE_LINK1902"/>
      <w:bookmarkStart w:id="117" w:name="OLE_LINK2461"/>
      <w:r w:rsidRPr="00CE6F35">
        <w:rPr>
          <w:rFonts w:ascii="Book Antiqua" w:hAnsi="Book Antiqua"/>
          <w:b/>
          <w:bCs/>
          <w:iCs/>
          <w:kern w:val="0"/>
          <w:szCs w:val="24"/>
        </w:rPr>
        <w:t xml:space="preserve">Institutional review board </w:t>
      </w:r>
      <w:bookmarkStart w:id="118" w:name="OLE_LINK1938"/>
      <w:bookmarkStart w:id="119" w:name="OLE_LINK1940"/>
      <w:r w:rsidRPr="00CE6F35">
        <w:rPr>
          <w:rFonts w:ascii="Book Antiqua" w:hAnsi="Book Antiqua"/>
          <w:b/>
          <w:bCs/>
          <w:iCs/>
          <w:kern w:val="0"/>
          <w:szCs w:val="24"/>
        </w:rPr>
        <w:t>statement</w:t>
      </w:r>
      <w:bookmarkEnd w:id="118"/>
      <w:bookmarkEnd w:id="119"/>
      <w:r w:rsidRPr="00CE6F35">
        <w:rPr>
          <w:rFonts w:ascii="Book Antiqua" w:hAnsi="Book Antiqua" w:hint="eastAsia"/>
          <w:b/>
          <w:bCs/>
          <w:iCs/>
          <w:kern w:val="0"/>
          <w:szCs w:val="24"/>
        </w:rPr>
        <w:t>:</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CE6F35">
        <w:rPr>
          <w:rFonts w:ascii="Book Antiqua" w:hAnsi="Book Antiqua" w:hint="eastAsia"/>
          <w:b/>
          <w:bCs/>
          <w:iCs/>
          <w:kern w:val="0"/>
          <w:szCs w:val="24"/>
        </w:rPr>
        <w:t xml:space="preserve"> </w:t>
      </w:r>
      <w:r w:rsidR="00641FB0" w:rsidRPr="00CE6F35">
        <w:rPr>
          <w:rFonts w:ascii="Book Antiqua" w:hAnsi="Book Antiqua"/>
          <w:szCs w:val="24"/>
        </w:rPr>
        <w:t>The study was reviewed and approved by the ethics committee of the First Hospital of Jilin University.</w:t>
      </w:r>
      <w:bookmarkEnd w:id="112"/>
      <w:bookmarkEnd w:id="113"/>
    </w:p>
    <w:p w:rsidR="00F24268" w:rsidRPr="00CE6F35" w:rsidRDefault="00F24268" w:rsidP="00F24268">
      <w:pPr>
        <w:rPr>
          <w:rFonts w:ascii="Book Antiqua" w:hAnsi="Book Antiqua"/>
          <w:b/>
          <w:bCs/>
          <w:iCs/>
          <w:kern w:val="0"/>
          <w:szCs w:val="24"/>
        </w:rPr>
      </w:pPr>
    </w:p>
    <w:p w:rsidR="00641FB0" w:rsidRPr="00CE6F35" w:rsidRDefault="00641FB0" w:rsidP="00F24268">
      <w:pPr>
        <w:autoSpaceDE w:val="0"/>
        <w:autoSpaceDN w:val="0"/>
        <w:adjustRightInd w:val="0"/>
        <w:snapToGrid w:val="0"/>
        <w:rPr>
          <w:rFonts w:ascii="Book Antiqua" w:hAnsi="Book Antiqua"/>
          <w:szCs w:val="24"/>
        </w:rPr>
      </w:pPr>
      <w:r w:rsidRPr="00CE6F35">
        <w:rPr>
          <w:rFonts w:ascii="Book Antiqua" w:hAnsi="Book Antiqua"/>
          <w:b/>
          <w:bCs/>
          <w:iCs/>
          <w:kern w:val="0"/>
          <w:szCs w:val="24"/>
        </w:rPr>
        <w:t>Informed consent</w:t>
      </w:r>
      <w:r w:rsidR="00F24268" w:rsidRPr="00CE6F35">
        <w:rPr>
          <w:rFonts w:ascii="Book Antiqua" w:hAnsi="Book Antiqua" w:hint="eastAsia"/>
          <w:b/>
          <w:bCs/>
          <w:iCs/>
          <w:kern w:val="0"/>
          <w:szCs w:val="24"/>
        </w:rPr>
        <w:t xml:space="preserve"> </w:t>
      </w:r>
      <w:r w:rsidR="00F24268" w:rsidRPr="00CE6F35">
        <w:rPr>
          <w:rFonts w:ascii="Book Antiqua" w:hAnsi="Book Antiqua"/>
          <w:b/>
          <w:bCs/>
          <w:iCs/>
          <w:kern w:val="0"/>
          <w:szCs w:val="24"/>
        </w:rPr>
        <w:t>statement</w:t>
      </w:r>
      <w:r w:rsidRPr="00CE6F35">
        <w:rPr>
          <w:rFonts w:ascii="Book Antiqua" w:hAnsi="Book Antiqua"/>
          <w:b/>
          <w:bCs/>
          <w:iCs/>
          <w:szCs w:val="24"/>
        </w:rPr>
        <w:t>:</w:t>
      </w:r>
      <w:r w:rsidR="00F24268" w:rsidRPr="00CE6F35">
        <w:rPr>
          <w:rFonts w:ascii="Book Antiqua" w:hAnsi="Book Antiqua" w:hint="eastAsia"/>
          <w:b/>
          <w:bCs/>
          <w:iCs/>
          <w:kern w:val="0"/>
          <w:szCs w:val="24"/>
        </w:rPr>
        <w:t xml:space="preserve"> </w:t>
      </w:r>
      <w:r w:rsidRPr="00CE6F35">
        <w:rPr>
          <w:rFonts w:ascii="Book Antiqua" w:hAnsi="Book Antiqua" w:cs="TimesNewRomanPS-BoldItalicMT"/>
          <w:bCs/>
          <w:iCs/>
          <w:szCs w:val="24"/>
        </w:rPr>
        <w:t>A</w:t>
      </w:r>
      <w:r w:rsidRPr="00CE6F35">
        <w:rPr>
          <w:rFonts w:ascii="Book Antiqua" w:hAnsi="Book Antiqua"/>
          <w:szCs w:val="24"/>
        </w:rPr>
        <w:t>ll the participants provided informed written consent prior to study enrollment.</w:t>
      </w:r>
    </w:p>
    <w:p w:rsidR="00F24268" w:rsidRPr="00CE6F35" w:rsidRDefault="00F24268" w:rsidP="00F24268">
      <w:pPr>
        <w:autoSpaceDE w:val="0"/>
        <w:autoSpaceDN w:val="0"/>
        <w:adjustRightInd w:val="0"/>
        <w:snapToGrid w:val="0"/>
        <w:rPr>
          <w:rFonts w:ascii="Book Antiqua" w:hAnsi="Book Antiqua"/>
          <w:b/>
          <w:bCs/>
          <w:iCs/>
          <w:kern w:val="0"/>
          <w:szCs w:val="24"/>
        </w:rPr>
      </w:pPr>
    </w:p>
    <w:p w:rsidR="00641FB0" w:rsidRPr="00CE6F35" w:rsidRDefault="00641FB0" w:rsidP="00F24268">
      <w:pPr>
        <w:autoSpaceDE w:val="0"/>
        <w:autoSpaceDN w:val="0"/>
        <w:adjustRightInd w:val="0"/>
        <w:snapToGrid w:val="0"/>
        <w:rPr>
          <w:rFonts w:ascii="Book Antiqua" w:hAnsi="Book Antiqua"/>
          <w:kern w:val="0"/>
          <w:szCs w:val="24"/>
        </w:rPr>
      </w:pPr>
      <w:bookmarkStart w:id="120" w:name="OLE_LINK154"/>
      <w:r w:rsidRPr="00CE6F35">
        <w:rPr>
          <w:rFonts w:ascii="Book Antiqua" w:hAnsi="Book Antiqua" w:cs="TimesNewRomanPS-BoldItalicMT"/>
          <w:b/>
          <w:bCs/>
          <w:iCs/>
          <w:kern w:val="0"/>
          <w:szCs w:val="24"/>
        </w:rPr>
        <w:t>Conflict-of-interest</w:t>
      </w:r>
      <w:r w:rsidR="00F24268" w:rsidRPr="00CE6F35">
        <w:rPr>
          <w:rFonts w:ascii="Book Antiqua" w:hAnsi="Book Antiqua" w:cs="TimesNewRomanPS-BoldItalicMT" w:hint="eastAsia"/>
          <w:b/>
          <w:bCs/>
          <w:iCs/>
          <w:kern w:val="0"/>
          <w:szCs w:val="24"/>
        </w:rPr>
        <w:t xml:space="preserve"> </w:t>
      </w:r>
      <w:r w:rsidR="00F24268" w:rsidRPr="00CE6F35">
        <w:rPr>
          <w:rFonts w:ascii="Book Antiqua" w:hAnsi="Book Antiqua" w:cs="TimesNewRomanPS-BoldItalicMT"/>
          <w:b/>
          <w:bCs/>
          <w:iCs/>
          <w:kern w:val="0"/>
          <w:szCs w:val="24"/>
        </w:rPr>
        <w:t>statement</w:t>
      </w:r>
      <w:bookmarkEnd w:id="120"/>
      <w:r w:rsidR="00F24268" w:rsidRPr="00CE6F35">
        <w:rPr>
          <w:rFonts w:ascii="Book Antiqua" w:hAnsi="Book Antiqua" w:cs="TimesNewRomanPS-BoldItalicMT" w:hint="eastAsia"/>
          <w:b/>
          <w:bCs/>
          <w:iCs/>
          <w:szCs w:val="24"/>
        </w:rPr>
        <w:t xml:space="preserve">: </w:t>
      </w:r>
      <w:r w:rsidRPr="00CE6F35">
        <w:rPr>
          <w:rFonts w:ascii="Book Antiqua" w:hAnsi="Book Antiqua"/>
          <w:kern w:val="0"/>
          <w:szCs w:val="24"/>
        </w:rPr>
        <w:t>All the authors declare no conflicts of interest.</w:t>
      </w:r>
    </w:p>
    <w:p w:rsidR="00F24268" w:rsidRPr="007C6F13" w:rsidRDefault="00F24268" w:rsidP="00F24268">
      <w:pPr>
        <w:autoSpaceDE w:val="0"/>
        <w:autoSpaceDN w:val="0"/>
        <w:adjustRightInd w:val="0"/>
        <w:snapToGrid w:val="0"/>
        <w:rPr>
          <w:rFonts w:ascii="Book Antiqua" w:hAnsi="Book Antiqua" w:cs="TimesNewRomanPS-BoldItalicMT"/>
          <w:b/>
          <w:bCs/>
          <w:iCs/>
          <w:kern w:val="0"/>
          <w:szCs w:val="24"/>
        </w:rPr>
      </w:pPr>
    </w:p>
    <w:p w:rsidR="00641FB0" w:rsidRPr="00CE6F35" w:rsidRDefault="00641FB0" w:rsidP="00F24268">
      <w:pPr>
        <w:autoSpaceDE w:val="0"/>
        <w:autoSpaceDN w:val="0"/>
        <w:adjustRightInd w:val="0"/>
        <w:snapToGrid w:val="0"/>
        <w:rPr>
          <w:rFonts w:ascii="Book Antiqua" w:hAnsi="Book Antiqua" w:cs="TimesNewRomanPS-BoldItalicMT"/>
          <w:bCs/>
          <w:iCs/>
          <w:kern w:val="0"/>
          <w:szCs w:val="24"/>
        </w:rPr>
      </w:pPr>
      <w:r w:rsidRPr="00CE6F35">
        <w:rPr>
          <w:rFonts w:ascii="Book Antiqua" w:hAnsi="Book Antiqua" w:cs="TimesNewRomanPS-BoldItalicMT"/>
          <w:b/>
          <w:bCs/>
          <w:iCs/>
          <w:kern w:val="0"/>
          <w:szCs w:val="24"/>
        </w:rPr>
        <w:t>Data sharing</w:t>
      </w:r>
      <w:r w:rsidR="00F24268" w:rsidRPr="00CE6F35">
        <w:rPr>
          <w:rFonts w:ascii="Book Antiqua" w:hAnsi="Book Antiqua" w:cs="TimesNewRomanPS-BoldItalicMT" w:hint="eastAsia"/>
          <w:b/>
          <w:bCs/>
          <w:iCs/>
          <w:kern w:val="0"/>
          <w:szCs w:val="24"/>
        </w:rPr>
        <w:t xml:space="preserve"> </w:t>
      </w:r>
      <w:r w:rsidR="00F24268" w:rsidRPr="00CE6F35">
        <w:rPr>
          <w:rFonts w:ascii="Book Antiqua" w:hAnsi="Book Antiqua" w:cs="TimesNewRomanPS-BoldItalicMT"/>
          <w:b/>
          <w:bCs/>
          <w:iCs/>
          <w:kern w:val="0"/>
          <w:szCs w:val="24"/>
        </w:rPr>
        <w:t>statement</w:t>
      </w:r>
      <w:r w:rsidRPr="00CE6F35">
        <w:rPr>
          <w:rFonts w:ascii="Book Antiqua" w:hAnsi="Book Antiqua" w:cs="TimesNewRomanPS-BoldItalicMT"/>
          <w:b/>
          <w:bCs/>
          <w:iCs/>
          <w:szCs w:val="24"/>
        </w:rPr>
        <w:t>:</w:t>
      </w:r>
      <w:bookmarkEnd w:id="114"/>
      <w:bookmarkEnd w:id="115"/>
      <w:bookmarkEnd w:id="116"/>
      <w:bookmarkEnd w:id="117"/>
      <w:r w:rsidR="00F24268" w:rsidRPr="00CE6F35">
        <w:rPr>
          <w:rFonts w:ascii="Book Antiqua" w:hAnsi="Book Antiqua" w:cs="TimesNewRomanPS-BoldItalicMT" w:hint="eastAsia"/>
          <w:bCs/>
          <w:iCs/>
          <w:kern w:val="0"/>
          <w:szCs w:val="24"/>
        </w:rPr>
        <w:t xml:space="preserve"> </w:t>
      </w:r>
      <w:r w:rsidRPr="00CE6F35">
        <w:rPr>
          <w:rFonts w:ascii="Book Antiqua" w:hAnsi="Book Antiqua"/>
          <w:kern w:val="0"/>
          <w:szCs w:val="24"/>
        </w:rPr>
        <w:t>Technical appendix, statistical code, and dataset available from the corresponding author at jingjiang19702000@jlu.edu.cn</w:t>
      </w:r>
      <w:r w:rsidR="004B36AF" w:rsidRPr="00CE6F35">
        <w:rPr>
          <w:rFonts w:ascii="Book Antiqua" w:hAnsi="Book Antiqua" w:hint="eastAsia"/>
          <w:kern w:val="0"/>
          <w:szCs w:val="24"/>
        </w:rPr>
        <w:t>.</w:t>
      </w:r>
    </w:p>
    <w:p w:rsidR="00641FB0" w:rsidRPr="00CE6F35" w:rsidRDefault="00641FB0" w:rsidP="00F24268">
      <w:pPr>
        <w:adjustRightInd w:val="0"/>
        <w:snapToGrid w:val="0"/>
        <w:rPr>
          <w:rFonts w:ascii="Book Antiqua" w:hAnsi="Book Antiqua"/>
          <w:szCs w:val="24"/>
        </w:rPr>
      </w:pPr>
    </w:p>
    <w:p w:rsidR="004B36AF" w:rsidRPr="00CE6F35" w:rsidRDefault="004B36AF" w:rsidP="004B36AF">
      <w:pPr>
        <w:widowControl/>
        <w:rPr>
          <w:rFonts w:ascii="Book Antiqua" w:eastAsia="SimSun" w:hAnsi="Book Antiqua" w:cs="SimSun"/>
          <w:kern w:val="0"/>
          <w:szCs w:val="24"/>
        </w:rPr>
      </w:pPr>
      <w:bookmarkStart w:id="121" w:name="OLE_LINK441"/>
      <w:bookmarkStart w:id="122" w:name="OLE_LINK442"/>
      <w:bookmarkStart w:id="123" w:name="OLE_LINK1032"/>
      <w:bookmarkStart w:id="124" w:name="OLE_LINK1232"/>
      <w:bookmarkStart w:id="125" w:name="OLE_LINK1460"/>
      <w:bookmarkStart w:id="126" w:name="OLE_LINK1568"/>
      <w:bookmarkStart w:id="127" w:name="OLE_LINK1708"/>
      <w:bookmarkStart w:id="128" w:name="OLE_LINK1435"/>
      <w:bookmarkStart w:id="129" w:name="OLE_LINK1478"/>
      <w:bookmarkStart w:id="130" w:name="OLE_LINK1428"/>
      <w:bookmarkStart w:id="131" w:name="OLE_LINK1355"/>
      <w:bookmarkStart w:id="132" w:name="OLE_LINK1425"/>
      <w:bookmarkStart w:id="133" w:name="OLE_LINK1504"/>
      <w:bookmarkStart w:id="134" w:name="OLE_LINK1544"/>
      <w:bookmarkStart w:id="135" w:name="OLE_LINK1680"/>
      <w:bookmarkStart w:id="136" w:name="OLE_LINK1710"/>
      <w:bookmarkStart w:id="137" w:name="OLE_LINK3317"/>
      <w:bookmarkStart w:id="138" w:name="OLE_LINK1818"/>
      <w:bookmarkStart w:id="139" w:name="OLE_LINK1684"/>
      <w:bookmarkStart w:id="140" w:name="OLE_LINK1885"/>
      <w:bookmarkStart w:id="141" w:name="OLE_LINK1799"/>
      <w:bookmarkStart w:id="142" w:name="OLE_LINK1894"/>
      <w:bookmarkStart w:id="143" w:name="OLE_LINK732"/>
      <w:bookmarkStart w:id="144" w:name="OLE_LINK2053"/>
      <w:bookmarkStart w:id="145" w:name="OLE_LINK2096"/>
      <w:bookmarkStart w:id="146" w:name="OLE_LINK2174"/>
      <w:bookmarkStart w:id="147" w:name="OLE_LINK2108"/>
      <w:bookmarkStart w:id="148" w:name="OLE_LINK2183"/>
      <w:bookmarkStart w:id="149" w:name="OLE_LINK2328"/>
      <w:bookmarkStart w:id="150" w:name="OLE_LINK766"/>
      <w:bookmarkStart w:id="151" w:name="OLE_LINK2256"/>
      <w:bookmarkStart w:id="152" w:name="OLE_LINK2317"/>
      <w:r w:rsidRPr="00CE6F35">
        <w:rPr>
          <w:rFonts w:ascii="Book Antiqua" w:eastAsia="SimSun" w:hAnsi="Book Antiqua"/>
          <w:b/>
          <w:kern w:val="0"/>
          <w:szCs w:val="24"/>
        </w:rPr>
        <w:t xml:space="preserve">Open-Access: </w:t>
      </w:r>
      <w:bookmarkStart w:id="153" w:name="OLE_LINK479"/>
      <w:bookmarkStart w:id="154" w:name="OLE_LINK496"/>
      <w:bookmarkStart w:id="155" w:name="OLE_LINK506"/>
      <w:bookmarkStart w:id="156" w:name="OLE_LINK507"/>
      <w:r w:rsidRPr="00CE6F35">
        <w:rPr>
          <w:rFonts w:ascii="Book Antiqua" w:eastAsia="SimSun" w:hAnsi="Book Antiqua"/>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CE6F35">
          <w:rPr>
            <w:rFonts w:ascii="Book Antiqua" w:eastAsia="SimSun" w:hAnsi="Book Antiqua"/>
            <w:szCs w:val="24"/>
            <w:u w:val="single"/>
          </w:rPr>
          <w:t>http://creativecommons.org/licenses/by-nc/4.0/</w:t>
        </w:r>
      </w:hyperlink>
      <w:bookmarkEnd w:id="153"/>
      <w:bookmarkEnd w:id="154"/>
      <w:bookmarkEnd w:id="155"/>
      <w:bookmarkEnd w:id="156"/>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rsidR="004B36AF" w:rsidRPr="00CE6F35" w:rsidRDefault="004B36AF" w:rsidP="00F24268">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szCs w:val="24"/>
        </w:rPr>
      </w:pPr>
      <w:r w:rsidRPr="00CE6F35">
        <w:rPr>
          <w:rFonts w:ascii="Book Antiqua" w:hAnsi="Book Antiqua"/>
          <w:b/>
          <w:szCs w:val="24"/>
        </w:rPr>
        <w:lastRenderedPageBreak/>
        <w:t>Correspondence to</w:t>
      </w:r>
      <w:bookmarkStart w:id="157" w:name="OLE_LINK2412"/>
      <w:bookmarkStart w:id="158" w:name="OLE_LINK2413"/>
      <w:r w:rsidR="004247BB">
        <w:rPr>
          <w:rFonts w:ascii="Book Antiqua" w:hAnsi="Book Antiqua" w:hint="eastAsia"/>
          <w:b/>
          <w:szCs w:val="24"/>
        </w:rPr>
        <w:t xml:space="preserve">: </w:t>
      </w:r>
      <w:r w:rsidRPr="00CE6F35">
        <w:rPr>
          <w:rFonts w:ascii="Book Antiqua" w:hAnsi="Book Antiqua"/>
          <w:b/>
          <w:szCs w:val="24"/>
        </w:rPr>
        <w:t xml:space="preserve">Jing Jiang, MD, PhD, </w:t>
      </w:r>
      <w:r w:rsidRPr="00CE6F35">
        <w:rPr>
          <w:rFonts w:ascii="Book Antiqua" w:hAnsi="Book Antiqua"/>
          <w:szCs w:val="24"/>
        </w:rPr>
        <w:t xml:space="preserve">Division of Clinical Epidemiology, First Hospital of Jilin University, </w:t>
      </w:r>
      <w:r w:rsidR="00B73EB5" w:rsidRPr="00B73EB5">
        <w:rPr>
          <w:rFonts w:ascii="Book Antiqua" w:hAnsi="Book Antiqua"/>
          <w:szCs w:val="24"/>
        </w:rPr>
        <w:t xml:space="preserve">71 Xinmin Street, </w:t>
      </w:r>
      <w:r w:rsidRPr="00CE6F35">
        <w:rPr>
          <w:rFonts w:ascii="Book Antiqua" w:hAnsi="Book Antiqua"/>
          <w:szCs w:val="24"/>
        </w:rPr>
        <w:t>Changchun 130021, Jilin Province, China. jiangjing19702000@jlu.edu.cn</w:t>
      </w:r>
    </w:p>
    <w:bookmarkEnd w:id="157"/>
    <w:bookmarkEnd w:id="158"/>
    <w:p w:rsidR="00641FB0" w:rsidRPr="00CE6F35" w:rsidRDefault="00641FB0" w:rsidP="00F24268">
      <w:pPr>
        <w:adjustRightInd w:val="0"/>
        <w:snapToGrid w:val="0"/>
        <w:rPr>
          <w:rFonts w:ascii="Book Antiqua" w:hAnsi="Book Antiqua"/>
          <w:szCs w:val="24"/>
          <w:lang w:val="fr-FR"/>
        </w:rPr>
      </w:pPr>
      <w:r w:rsidRPr="00CE6F35">
        <w:rPr>
          <w:rFonts w:ascii="Book Antiqua" w:hAnsi="Book Antiqua"/>
          <w:b/>
          <w:szCs w:val="24"/>
          <w:lang w:val="fr-FR"/>
        </w:rPr>
        <w:t xml:space="preserve">Telephone: </w:t>
      </w:r>
      <w:r w:rsidRPr="00CE6F35">
        <w:rPr>
          <w:rFonts w:ascii="Book Antiqua" w:hAnsi="Book Antiqua"/>
          <w:szCs w:val="24"/>
          <w:lang w:val="fr-FR"/>
        </w:rPr>
        <w:t>+86-431-81875408</w:t>
      </w:r>
    </w:p>
    <w:p w:rsidR="00641FB0" w:rsidRPr="00CE6F35" w:rsidRDefault="00641FB0" w:rsidP="00F24268">
      <w:pPr>
        <w:adjustRightInd w:val="0"/>
        <w:snapToGrid w:val="0"/>
        <w:rPr>
          <w:rFonts w:ascii="Book Antiqua" w:hAnsi="Book Antiqua"/>
          <w:szCs w:val="24"/>
        </w:rPr>
      </w:pPr>
      <w:bookmarkStart w:id="159" w:name="OLE_LINK48"/>
      <w:bookmarkStart w:id="160" w:name="OLE_LINK49"/>
      <w:r w:rsidRPr="00CE6F35">
        <w:rPr>
          <w:rFonts w:ascii="Book Antiqua" w:hAnsi="Book Antiqua"/>
          <w:b/>
          <w:szCs w:val="24"/>
        </w:rPr>
        <w:t xml:space="preserve">Fax: </w:t>
      </w:r>
      <w:r w:rsidRPr="00CE6F35">
        <w:rPr>
          <w:rFonts w:ascii="Book Antiqua" w:hAnsi="Book Antiqua"/>
          <w:szCs w:val="24"/>
        </w:rPr>
        <w:t>+86-431-85654528</w:t>
      </w:r>
    </w:p>
    <w:p w:rsidR="004B36AF" w:rsidRPr="00CE6F35" w:rsidRDefault="004B36AF" w:rsidP="004B36AF">
      <w:pPr>
        <w:rPr>
          <w:rFonts w:ascii="Book Antiqua" w:hAnsi="Book Antiqua"/>
          <w:b/>
        </w:rPr>
      </w:pPr>
      <w:bookmarkStart w:id="161" w:name="OLE_LINK2189"/>
      <w:bookmarkStart w:id="162" w:name="OLE_LINK2190"/>
      <w:bookmarkStart w:id="163" w:name="OLE_LINK2148"/>
      <w:bookmarkEnd w:id="159"/>
      <w:bookmarkEnd w:id="160"/>
    </w:p>
    <w:p w:rsidR="004B36AF" w:rsidRPr="00CE6F35" w:rsidRDefault="004B36AF" w:rsidP="004B36AF">
      <w:pPr>
        <w:adjustRightInd w:val="0"/>
        <w:snapToGrid w:val="0"/>
        <w:rPr>
          <w:rFonts w:ascii="Book Antiqua" w:hAnsi="Book Antiqua"/>
          <w:b/>
          <w:bCs/>
        </w:rPr>
      </w:pPr>
      <w:bookmarkStart w:id="164" w:name="OLE_LINK1346"/>
      <w:bookmarkStart w:id="165" w:name="OLE_LINK1347"/>
      <w:bookmarkStart w:id="166" w:name="OLE_LINK1461"/>
      <w:bookmarkStart w:id="167" w:name="OLE_LINK1437"/>
      <w:bookmarkStart w:id="168" w:name="OLE_LINK1493"/>
      <w:bookmarkStart w:id="169" w:name="OLE_LINK1436"/>
      <w:bookmarkStart w:id="170" w:name="OLE_LINK1584"/>
      <w:bookmarkStart w:id="171" w:name="OLE_LINK1426"/>
      <w:bookmarkStart w:id="172" w:name="OLE_LINK1470"/>
      <w:bookmarkStart w:id="173" w:name="OLE_LINK1726"/>
      <w:bookmarkStart w:id="174" w:name="OLE_LINK1773"/>
      <w:bookmarkStart w:id="175" w:name="OLE_LINK1819"/>
      <w:bookmarkStart w:id="176" w:name="OLE_LINK1886"/>
      <w:bookmarkStart w:id="177" w:name="OLE_LINK1800"/>
      <w:bookmarkStart w:id="178" w:name="OLE_LINK1718"/>
      <w:bookmarkStart w:id="179" w:name="OLE_LINK1832"/>
      <w:bookmarkStart w:id="180" w:name="OLE_LINK1895"/>
      <w:bookmarkStart w:id="181" w:name="OLE_LINK1973"/>
      <w:bookmarkStart w:id="182" w:name="OLE_LINK733"/>
      <w:bookmarkStart w:id="183" w:name="OLE_LINK2054"/>
      <w:bookmarkStart w:id="184" w:name="OLE_LINK2100"/>
      <w:bookmarkStart w:id="185" w:name="OLE_LINK767"/>
      <w:r w:rsidRPr="00CE6F35">
        <w:rPr>
          <w:rFonts w:ascii="Book Antiqua" w:hAnsi="Book Antiqua"/>
          <w:b/>
          <w:bCs/>
        </w:rPr>
        <w:t xml:space="preserve">Received: </w:t>
      </w:r>
      <w:r w:rsidR="00692E8D" w:rsidRPr="00CE6F35">
        <w:rPr>
          <w:rFonts w:ascii="Book Antiqua" w:hAnsi="Book Antiqua" w:hint="eastAsia"/>
          <w:bCs/>
        </w:rPr>
        <w:t>May</w:t>
      </w:r>
      <w:r w:rsidRPr="00CE6F35">
        <w:rPr>
          <w:rFonts w:ascii="Book Antiqua" w:hAnsi="Book Antiqua" w:hint="eastAsia"/>
          <w:bCs/>
        </w:rPr>
        <w:t xml:space="preserve"> </w:t>
      </w:r>
      <w:r w:rsidR="00692E8D" w:rsidRPr="00CE6F35">
        <w:rPr>
          <w:rFonts w:ascii="Book Antiqua" w:hAnsi="Book Antiqua" w:hint="eastAsia"/>
          <w:bCs/>
        </w:rPr>
        <w:t>11</w:t>
      </w:r>
      <w:r w:rsidRPr="00CE6F35">
        <w:rPr>
          <w:rFonts w:ascii="Book Antiqua" w:hAnsi="Book Antiqua" w:hint="eastAsia"/>
          <w:bCs/>
        </w:rPr>
        <w:t>, 2015</w:t>
      </w:r>
    </w:p>
    <w:p w:rsidR="004B36AF" w:rsidRPr="00CE6F35" w:rsidRDefault="004B36AF" w:rsidP="004B36AF">
      <w:pPr>
        <w:adjustRightInd w:val="0"/>
        <w:snapToGrid w:val="0"/>
        <w:rPr>
          <w:rFonts w:ascii="Book Antiqua" w:hAnsi="Book Antiqua"/>
          <w:bCs/>
        </w:rPr>
      </w:pPr>
      <w:r w:rsidRPr="00CE6F35">
        <w:rPr>
          <w:rFonts w:ascii="Book Antiqua" w:hAnsi="Book Antiqua"/>
          <w:b/>
          <w:bCs/>
        </w:rPr>
        <w:t>Peer-review started:</w:t>
      </w:r>
      <w:r w:rsidRPr="00CE6F35">
        <w:rPr>
          <w:rFonts w:ascii="Book Antiqua" w:hAnsi="Book Antiqua" w:hint="eastAsia"/>
          <w:bCs/>
        </w:rPr>
        <w:t xml:space="preserve"> May </w:t>
      </w:r>
      <w:r w:rsidR="00692E8D" w:rsidRPr="00CE6F35">
        <w:rPr>
          <w:rFonts w:ascii="Book Antiqua" w:hAnsi="Book Antiqua" w:hint="eastAsia"/>
          <w:bCs/>
        </w:rPr>
        <w:t>12</w:t>
      </w:r>
      <w:r w:rsidRPr="00CE6F35">
        <w:rPr>
          <w:rFonts w:ascii="Book Antiqua" w:hAnsi="Book Antiqua" w:hint="eastAsia"/>
          <w:bCs/>
        </w:rPr>
        <w:t>, 2015</w:t>
      </w:r>
    </w:p>
    <w:p w:rsidR="004B36AF" w:rsidRPr="00CE6F35" w:rsidRDefault="004B36AF" w:rsidP="004B36AF">
      <w:pPr>
        <w:adjustRightInd w:val="0"/>
        <w:snapToGrid w:val="0"/>
        <w:rPr>
          <w:rFonts w:ascii="Book Antiqua" w:hAnsi="Book Antiqua"/>
          <w:bCs/>
        </w:rPr>
      </w:pPr>
      <w:r w:rsidRPr="00CE6F35">
        <w:rPr>
          <w:rFonts w:ascii="Book Antiqua" w:hAnsi="Book Antiqua"/>
          <w:b/>
          <w:bCs/>
        </w:rPr>
        <w:t>First decision:</w:t>
      </w:r>
      <w:r w:rsidRPr="00CE6F35">
        <w:rPr>
          <w:rFonts w:ascii="Book Antiqua" w:hAnsi="Book Antiqua" w:hint="eastAsia"/>
          <w:bCs/>
        </w:rPr>
        <w:t xml:space="preserve"> </w:t>
      </w:r>
      <w:r w:rsidR="00692E8D" w:rsidRPr="00CE6F35">
        <w:rPr>
          <w:rFonts w:ascii="Book Antiqua" w:hAnsi="Book Antiqua" w:hint="eastAsia"/>
          <w:bCs/>
        </w:rPr>
        <w:t>July</w:t>
      </w:r>
      <w:r w:rsidRPr="00CE6F35">
        <w:rPr>
          <w:rFonts w:ascii="Book Antiqua" w:hAnsi="Book Antiqua" w:hint="eastAsia"/>
          <w:bCs/>
        </w:rPr>
        <w:t xml:space="preserve"> </w:t>
      </w:r>
      <w:r w:rsidR="00692E8D" w:rsidRPr="00CE6F35">
        <w:rPr>
          <w:rFonts w:ascii="Book Antiqua" w:hAnsi="Book Antiqua" w:hint="eastAsia"/>
          <w:bCs/>
        </w:rPr>
        <w:t>19</w:t>
      </w:r>
      <w:r w:rsidRPr="00CE6F35">
        <w:rPr>
          <w:rFonts w:ascii="Book Antiqua" w:hAnsi="Book Antiqua" w:hint="eastAsia"/>
          <w:bCs/>
        </w:rPr>
        <w:t>, 2015</w:t>
      </w:r>
    </w:p>
    <w:p w:rsidR="004B36AF" w:rsidRPr="00CE6F35" w:rsidRDefault="004B36AF" w:rsidP="004B36AF">
      <w:pPr>
        <w:adjustRightInd w:val="0"/>
        <w:snapToGrid w:val="0"/>
        <w:rPr>
          <w:rFonts w:ascii="Book Antiqua" w:hAnsi="Book Antiqua"/>
          <w:bCs/>
        </w:rPr>
      </w:pPr>
      <w:r w:rsidRPr="00CE6F35">
        <w:rPr>
          <w:rFonts w:ascii="Book Antiqua" w:hAnsi="Book Antiqua"/>
          <w:b/>
          <w:bCs/>
        </w:rPr>
        <w:t>Revised:</w:t>
      </w:r>
      <w:r w:rsidRPr="00CE6F35">
        <w:rPr>
          <w:rFonts w:ascii="Book Antiqua" w:hAnsi="Book Antiqua" w:hint="eastAsia"/>
          <w:bCs/>
        </w:rPr>
        <w:t xml:space="preserve"> August </w:t>
      </w:r>
      <w:r w:rsidR="00692E8D" w:rsidRPr="00CE6F35">
        <w:rPr>
          <w:rFonts w:ascii="Book Antiqua" w:hAnsi="Book Antiqua" w:hint="eastAsia"/>
          <w:bCs/>
        </w:rPr>
        <w:t>12</w:t>
      </w:r>
      <w:r w:rsidRPr="00CE6F35">
        <w:rPr>
          <w:rFonts w:ascii="Book Antiqua" w:hAnsi="Book Antiqua" w:hint="eastAsia"/>
          <w:bCs/>
        </w:rPr>
        <w:t>, 2015</w:t>
      </w:r>
    </w:p>
    <w:p w:rsidR="004B36AF" w:rsidRPr="00A40BDF" w:rsidRDefault="004B36AF" w:rsidP="00A40BDF">
      <w:pPr>
        <w:rPr>
          <w:rFonts w:ascii="Book Antiqua" w:hAnsi="Book Antiqua"/>
          <w:color w:val="000000"/>
        </w:rPr>
      </w:pPr>
      <w:r w:rsidRPr="00CE6F35">
        <w:rPr>
          <w:rFonts w:ascii="Book Antiqua" w:hAnsi="Book Antiqua"/>
          <w:b/>
          <w:bCs/>
        </w:rPr>
        <w:t>Accepted:</w:t>
      </w:r>
      <w:bookmarkStart w:id="186" w:name="OLE_LINK98"/>
      <w:bookmarkStart w:id="187" w:name="OLE_LINK99"/>
      <w:bookmarkStart w:id="188" w:name="OLE_LINK104"/>
      <w:bookmarkStart w:id="189" w:name="OLE_LINK110"/>
      <w:bookmarkStart w:id="190" w:name="OLE_LINK111"/>
      <w:bookmarkStart w:id="191" w:name="OLE_LINK115"/>
      <w:bookmarkStart w:id="192" w:name="OLE_LINK116"/>
      <w:bookmarkStart w:id="193" w:name="OLE_LINK117"/>
      <w:bookmarkStart w:id="194" w:name="OLE_LINK118"/>
      <w:bookmarkStart w:id="195" w:name="OLE_LINK119"/>
      <w:bookmarkStart w:id="196" w:name="OLE_LINK121"/>
      <w:bookmarkStart w:id="197" w:name="OLE_LINK122"/>
      <w:bookmarkStart w:id="198" w:name="OLE_LINK125"/>
      <w:bookmarkStart w:id="199" w:name="OLE_LINK126"/>
      <w:bookmarkStart w:id="200" w:name="OLE_LINK127"/>
      <w:bookmarkStart w:id="201" w:name="OLE_LINK129"/>
      <w:bookmarkStart w:id="202" w:name="OLE_LINK132"/>
      <w:bookmarkStart w:id="203" w:name="OLE_LINK134"/>
      <w:bookmarkStart w:id="204" w:name="OLE_LINK135"/>
      <w:bookmarkStart w:id="205" w:name="OLE_LINK136"/>
      <w:bookmarkStart w:id="206" w:name="OLE_LINK137"/>
      <w:bookmarkStart w:id="207" w:name="OLE_LINK138"/>
      <w:bookmarkStart w:id="208" w:name="OLE_LINK139"/>
      <w:bookmarkStart w:id="209" w:name="OLE_LINK141"/>
      <w:bookmarkStart w:id="210" w:name="OLE_LINK142"/>
      <w:bookmarkStart w:id="211" w:name="OLE_LINK143"/>
      <w:bookmarkStart w:id="212" w:name="OLE_LINK144"/>
      <w:bookmarkStart w:id="213" w:name="OLE_LINK145"/>
      <w:r w:rsidR="00A40BDF" w:rsidRPr="00A40BDF">
        <w:rPr>
          <w:rFonts w:ascii="Book Antiqua" w:hAnsi="Book Antiqua"/>
          <w:color w:val="000000"/>
        </w:rPr>
        <w:t xml:space="preserve"> </w:t>
      </w:r>
      <w:r w:rsidR="00A40BDF">
        <w:rPr>
          <w:rFonts w:ascii="Book Antiqua" w:hAnsi="Book Antiqua"/>
          <w:color w:val="000000"/>
        </w:rPr>
        <w:t>November 30, 2015</w:t>
      </w:r>
      <w:bookmarkStart w:id="214" w:name="_GoBack"/>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00CE6F35" w:rsidRPr="00CE6F35">
        <w:rPr>
          <w:rFonts w:ascii="Book Antiqua" w:hAnsi="Book Antiqua"/>
          <w:b/>
          <w:bCs/>
        </w:rPr>
        <w:t xml:space="preserve"> </w:t>
      </w:r>
    </w:p>
    <w:p w:rsidR="004B36AF" w:rsidRPr="00CE6F35" w:rsidRDefault="004B36AF" w:rsidP="004B36AF">
      <w:pPr>
        <w:adjustRightInd w:val="0"/>
        <w:snapToGrid w:val="0"/>
        <w:rPr>
          <w:rFonts w:ascii="Book Antiqua" w:hAnsi="Book Antiqua"/>
          <w:b/>
          <w:bCs/>
        </w:rPr>
      </w:pPr>
      <w:r w:rsidRPr="00CE6F35">
        <w:rPr>
          <w:rFonts w:ascii="Book Antiqua" w:hAnsi="Book Antiqua"/>
          <w:b/>
          <w:bCs/>
        </w:rPr>
        <w:t>Article in press:</w:t>
      </w:r>
    </w:p>
    <w:p w:rsidR="004B36AF" w:rsidRPr="00CE6F35" w:rsidRDefault="004B36AF" w:rsidP="004B36AF">
      <w:pPr>
        <w:adjustRightInd w:val="0"/>
        <w:snapToGrid w:val="0"/>
        <w:rPr>
          <w:rFonts w:ascii="Book Antiqua" w:hAnsi="Book Antiqua"/>
          <w:b/>
          <w:bCs/>
        </w:rPr>
      </w:pPr>
      <w:r w:rsidRPr="00CE6F35">
        <w:rPr>
          <w:rFonts w:ascii="Book Antiqua" w:hAnsi="Book Antiqua"/>
          <w:b/>
          <w:bCs/>
        </w:rPr>
        <w:t xml:space="preserve">Published online: </w:t>
      </w:r>
    </w:p>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rsidR="00641FB0" w:rsidRPr="00CE6F35" w:rsidRDefault="00641FB0" w:rsidP="00F24268">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szCs w:val="24"/>
        </w:rPr>
      </w:pPr>
    </w:p>
    <w:p w:rsidR="00641FB0" w:rsidRPr="00CE6F35" w:rsidRDefault="00641FB0" w:rsidP="00692E8D">
      <w:pPr>
        <w:adjustRightInd w:val="0"/>
        <w:snapToGrid w:val="0"/>
        <w:rPr>
          <w:rStyle w:val="highlight"/>
          <w:rFonts w:ascii="Book Antiqua" w:hAnsi="Book Antiqua"/>
          <w:b/>
          <w:szCs w:val="24"/>
          <w:shd w:val="clear" w:color="auto" w:fill="FFFFFF"/>
        </w:rPr>
      </w:pPr>
      <w:r w:rsidRPr="00CE6F35">
        <w:rPr>
          <w:rStyle w:val="highlight"/>
          <w:rFonts w:ascii="Book Antiqua" w:hAnsi="Book Antiqua"/>
          <w:b/>
          <w:szCs w:val="24"/>
          <w:shd w:val="clear" w:color="auto" w:fill="FFFFFF"/>
        </w:rPr>
        <w:br w:type="page"/>
      </w:r>
      <w:r w:rsidRPr="00CE6F35">
        <w:rPr>
          <w:rStyle w:val="highlight"/>
          <w:rFonts w:ascii="Book Antiqua" w:hAnsi="Book Antiqua"/>
          <w:b/>
          <w:szCs w:val="24"/>
          <w:shd w:val="clear" w:color="auto" w:fill="FFFFFF"/>
        </w:rPr>
        <w:lastRenderedPageBreak/>
        <w:t>Abstract</w:t>
      </w:r>
    </w:p>
    <w:p w:rsidR="00641FB0" w:rsidRPr="00CE6F35" w:rsidRDefault="00641FB0" w:rsidP="00F24268">
      <w:pPr>
        <w:adjustRightInd w:val="0"/>
        <w:snapToGrid w:val="0"/>
        <w:rPr>
          <w:rStyle w:val="highlight"/>
          <w:rFonts w:ascii="Book Antiqua" w:hAnsi="Book Antiqua"/>
          <w:szCs w:val="24"/>
          <w:shd w:val="clear" w:color="auto" w:fill="FFFFFF"/>
        </w:rPr>
      </w:pPr>
      <w:r w:rsidRPr="00CE6F35">
        <w:rPr>
          <w:rFonts w:ascii="Book Antiqua" w:hAnsi="Book Antiqua"/>
          <w:b/>
          <w:kern w:val="0"/>
          <w:szCs w:val="24"/>
        </w:rPr>
        <w:t>AIM:</w:t>
      </w:r>
      <w:r w:rsidRPr="00CE6F35">
        <w:rPr>
          <w:rFonts w:ascii="Book Antiqua" w:hAnsi="Book Antiqua"/>
          <w:kern w:val="0"/>
          <w:szCs w:val="24"/>
        </w:rPr>
        <w:t xml:space="preserve"> </w:t>
      </w:r>
      <w:r w:rsidRPr="00CE6F35">
        <w:rPr>
          <w:rStyle w:val="highlight"/>
          <w:rFonts w:ascii="Book Antiqua" w:hAnsi="Book Antiqua"/>
          <w:szCs w:val="24"/>
          <w:shd w:val="clear" w:color="auto" w:fill="FFFFFF"/>
        </w:rPr>
        <w:t>To</w:t>
      </w:r>
      <w:bookmarkStart w:id="215" w:name="OLE_LINK9"/>
      <w:bookmarkStart w:id="216" w:name="OLE_LINK10"/>
      <w:r w:rsidRPr="00CE6F35">
        <w:rPr>
          <w:rStyle w:val="highlight"/>
          <w:rFonts w:ascii="Book Antiqua" w:hAnsi="Book Antiqua"/>
          <w:szCs w:val="24"/>
          <w:shd w:val="clear" w:color="auto" w:fill="FFFFFF"/>
        </w:rPr>
        <w:t xml:space="preserve"> </w:t>
      </w:r>
      <w:r w:rsidRPr="00CE6F35">
        <w:rPr>
          <w:rFonts w:ascii="Book Antiqua" w:hAnsi="Book Antiqua"/>
          <w:kern w:val="0"/>
          <w:szCs w:val="24"/>
        </w:rPr>
        <w:t>investigate</w:t>
      </w:r>
      <w:r w:rsidRPr="00CE6F35">
        <w:rPr>
          <w:rStyle w:val="highlight"/>
          <w:rFonts w:ascii="Book Antiqua" w:hAnsi="Book Antiqua"/>
          <w:szCs w:val="24"/>
          <w:shd w:val="clear" w:color="auto" w:fill="FFFFFF"/>
        </w:rPr>
        <w:t xml:space="preserve"> the role of </w:t>
      </w:r>
      <w:r w:rsidRPr="00CE6F35">
        <w:rPr>
          <w:rFonts w:ascii="Book Antiqua" w:hAnsi="Book Antiqua"/>
          <w:szCs w:val="24"/>
          <w:shd w:val="clear" w:color="auto" w:fill="FFFFFF"/>
        </w:rPr>
        <w:t>single nucleotide polymorphisms</w:t>
      </w:r>
      <w:r w:rsidRPr="00CE6F35">
        <w:rPr>
          <w:rFonts w:ascii="Book Antiqua" w:hAnsi="Book Antiqua"/>
          <w:szCs w:val="24"/>
        </w:rPr>
        <w:t xml:space="preserve"> (SNPs) </w:t>
      </w:r>
      <w:r w:rsidRPr="00CE6F35">
        <w:rPr>
          <w:rStyle w:val="highlight"/>
          <w:rFonts w:ascii="Book Antiqua" w:hAnsi="Book Antiqua"/>
          <w:szCs w:val="24"/>
          <w:shd w:val="clear" w:color="auto" w:fill="FFFFFF"/>
        </w:rPr>
        <w:t xml:space="preserve">in </w:t>
      </w:r>
      <w:r w:rsidRPr="00CE6F35">
        <w:rPr>
          <w:rStyle w:val="highlight"/>
          <w:rFonts w:ascii="Book Antiqua" w:hAnsi="Book Antiqua"/>
          <w:i/>
          <w:szCs w:val="24"/>
          <w:shd w:val="clear" w:color="auto" w:fill="FFFFFF"/>
        </w:rPr>
        <w:t xml:space="preserve">CD24 </w:t>
      </w:r>
      <w:r w:rsidRPr="00CE6F35">
        <w:rPr>
          <w:rStyle w:val="highlight"/>
          <w:rFonts w:ascii="Book Antiqua" w:hAnsi="Book Antiqua"/>
          <w:szCs w:val="24"/>
          <w:shd w:val="clear" w:color="auto" w:fill="FFFFFF"/>
        </w:rPr>
        <w:t>gene</w:t>
      </w:r>
      <w:r w:rsidRPr="00CE6F35">
        <w:rPr>
          <w:rStyle w:val="highlight"/>
          <w:rFonts w:ascii="Book Antiqua" w:hAnsi="Book Antiqua"/>
          <w:i/>
          <w:szCs w:val="24"/>
          <w:shd w:val="clear" w:color="auto" w:fill="FFFFFF"/>
        </w:rPr>
        <w:t xml:space="preserve"> </w:t>
      </w:r>
      <w:r w:rsidRPr="00CE6F35">
        <w:rPr>
          <w:rStyle w:val="highlight"/>
          <w:rFonts w:ascii="Book Antiqua" w:hAnsi="Book Antiqua"/>
          <w:szCs w:val="24"/>
          <w:shd w:val="clear" w:color="auto" w:fill="FFFFFF"/>
        </w:rPr>
        <w:t>in susceptibility and overall survival of gastric cancer (GC).</w:t>
      </w:r>
      <w:bookmarkEnd w:id="215"/>
      <w:bookmarkEnd w:id="216"/>
    </w:p>
    <w:p w:rsidR="00692E8D" w:rsidRPr="00CE6F35" w:rsidRDefault="00692E8D" w:rsidP="00F24268">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szCs w:val="24"/>
        </w:rPr>
      </w:pPr>
      <w:r w:rsidRPr="00CE6F35">
        <w:rPr>
          <w:rFonts w:ascii="Book Antiqua" w:hAnsi="Book Antiqua"/>
          <w:b/>
          <w:kern w:val="0"/>
          <w:szCs w:val="24"/>
        </w:rPr>
        <w:t xml:space="preserve">METHODS: </w:t>
      </w:r>
      <w:r w:rsidR="00A8033D" w:rsidRPr="00CE6F35">
        <w:rPr>
          <w:rFonts w:ascii="Book Antiqua" w:hAnsi="Book Antiqua"/>
          <w:kern w:val="0"/>
          <w:szCs w:val="24"/>
        </w:rPr>
        <w:t>We</w:t>
      </w:r>
      <w:r w:rsidR="00A8033D" w:rsidRPr="00CE6F35">
        <w:rPr>
          <w:rStyle w:val="highlight"/>
          <w:rFonts w:ascii="Book Antiqua" w:hAnsi="Book Antiqua"/>
          <w:szCs w:val="24"/>
          <w:shd w:val="clear" w:color="auto" w:fill="FFFFFF"/>
        </w:rPr>
        <w:t xml:space="preserve"> genotyped 3</w:t>
      </w:r>
      <w:r w:rsidRPr="00CE6F35">
        <w:rPr>
          <w:rStyle w:val="highlight"/>
          <w:rFonts w:ascii="Book Antiqua" w:hAnsi="Book Antiqua"/>
          <w:szCs w:val="24"/>
          <w:shd w:val="clear" w:color="auto" w:fill="FFFFFF"/>
        </w:rPr>
        <w:t xml:space="preserve"> </w:t>
      </w:r>
      <w:r w:rsidRPr="00CE6F35">
        <w:rPr>
          <w:rFonts w:ascii="Book Antiqua" w:hAnsi="Book Antiqua"/>
          <w:szCs w:val="24"/>
        </w:rPr>
        <w:t>tagging SNPs</w:t>
      </w:r>
      <w:r w:rsidRPr="00CE6F35">
        <w:rPr>
          <w:rStyle w:val="highlight"/>
          <w:rFonts w:ascii="Book Antiqua" w:hAnsi="Book Antiqua"/>
          <w:szCs w:val="24"/>
          <w:shd w:val="clear" w:color="auto" w:fill="FFFFFF"/>
        </w:rPr>
        <w:t xml:space="preserve"> of </w:t>
      </w:r>
      <w:r w:rsidRPr="00CE6F35">
        <w:rPr>
          <w:rStyle w:val="highlight"/>
          <w:rFonts w:ascii="Book Antiqua" w:hAnsi="Book Antiqua"/>
          <w:i/>
          <w:szCs w:val="24"/>
          <w:shd w:val="clear" w:color="auto" w:fill="FFFFFF"/>
        </w:rPr>
        <w:t>CD24</w:t>
      </w:r>
      <w:r w:rsidRPr="00CE6F35">
        <w:rPr>
          <w:rFonts w:ascii="Book Antiqua" w:hAnsi="Book Antiqua"/>
          <w:i/>
          <w:szCs w:val="24"/>
          <w:shd w:val="clear" w:color="auto" w:fill="FFFFFF"/>
        </w:rPr>
        <w:t>—</w:t>
      </w:r>
      <w:r w:rsidRPr="00CE6F35">
        <w:rPr>
          <w:rStyle w:val="highlight"/>
          <w:rFonts w:ascii="Book Antiqua" w:hAnsi="Book Antiqua"/>
          <w:szCs w:val="24"/>
          <w:shd w:val="clear" w:color="auto" w:fill="FFFFFF"/>
        </w:rPr>
        <w:t xml:space="preserve">P-534 in the promoter region, P170 </w:t>
      </w:r>
      <w:r w:rsidRPr="00CE6F35">
        <w:rPr>
          <w:rFonts w:ascii="Book Antiqua" w:hAnsi="Book Antiqua"/>
          <w:szCs w:val="24"/>
        </w:rPr>
        <w:t xml:space="preserve">in the coding region of exon 2 </w:t>
      </w:r>
      <w:r w:rsidRPr="00CE6F35">
        <w:rPr>
          <w:rStyle w:val="highlight"/>
          <w:rFonts w:ascii="Book Antiqua" w:hAnsi="Book Antiqua"/>
          <w:szCs w:val="24"/>
          <w:shd w:val="clear" w:color="auto" w:fill="FFFFFF"/>
        </w:rPr>
        <w:t xml:space="preserve">and P1527 </w:t>
      </w:r>
      <w:r w:rsidRPr="00CE6F35">
        <w:rPr>
          <w:rFonts w:ascii="Book Antiqua" w:hAnsi="Book Antiqua"/>
          <w:szCs w:val="24"/>
        </w:rPr>
        <w:t>in the 3′ untranslated region (3′-UTR)</w:t>
      </w:r>
      <w:r w:rsidRPr="00CE6F35">
        <w:rPr>
          <w:rFonts w:ascii="Book Antiqua" w:hAnsi="Book Antiqua"/>
          <w:szCs w:val="24"/>
          <w:shd w:val="clear" w:color="auto" w:fill="FFFFFF"/>
        </w:rPr>
        <w:t>—</w:t>
      </w:r>
      <w:r w:rsidRPr="00CE6F35">
        <w:rPr>
          <w:rStyle w:val="highlight"/>
          <w:rFonts w:ascii="Book Antiqua" w:hAnsi="Book Antiqua"/>
          <w:szCs w:val="24"/>
          <w:shd w:val="clear" w:color="auto" w:fill="FFFFFF"/>
        </w:rPr>
        <w:t xml:space="preserve">using </w:t>
      </w:r>
      <w:r w:rsidRPr="00CE6F35">
        <w:rPr>
          <w:rFonts w:ascii="Book Antiqua" w:hAnsi="Book Antiqua"/>
          <w:szCs w:val="24"/>
        </w:rPr>
        <w:t>polymerase chain reaction-restriction fragment length polymorphism (</w:t>
      </w:r>
      <w:r w:rsidRPr="00CE6F35">
        <w:rPr>
          <w:rStyle w:val="highlight"/>
          <w:rFonts w:ascii="Book Antiqua" w:hAnsi="Book Antiqua"/>
          <w:szCs w:val="24"/>
          <w:shd w:val="clear" w:color="auto" w:fill="FFFFFF"/>
        </w:rPr>
        <w:t xml:space="preserve">PCR-RFLP) in </w:t>
      </w:r>
      <w:r w:rsidR="00A8033D" w:rsidRPr="00CE6F35">
        <w:rPr>
          <w:rStyle w:val="highlight"/>
          <w:rFonts w:ascii="Book Antiqua" w:hAnsi="Book Antiqua"/>
          <w:szCs w:val="24"/>
          <w:shd w:val="clear" w:color="auto" w:fill="FFFFFF"/>
        </w:rPr>
        <w:t xml:space="preserve">specimens </w:t>
      </w:r>
      <w:r w:rsidRPr="00CE6F35">
        <w:rPr>
          <w:rStyle w:val="highlight"/>
          <w:rFonts w:ascii="Book Antiqua" w:hAnsi="Book Antiqua"/>
          <w:szCs w:val="24"/>
          <w:shd w:val="clear" w:color="auto" w:fill="FFFFFF"/>
        </w:rPr>
        <w:t>from</w:t>
      </w:r>
      <w:r w:rsidR="00A8033D" w:rsidRPr="00CE6F35">
        <w:rPr>
          <w:rStyle w:val="highlight"/>
          <w:rFonts w:ascii="Book Antiqua" w:hAnsi="Book Antiqua"/>
          <w:szCs w:val="24"/>
          <w:shd w:val="clear" w:color="auto" w:fill="FFFFFF"/>
        </w:rPr>
        <w:t xml:space="preserve"> </w:t>
      </w:r>
      <w:r w:rsidRPr="00CE6F35">
        <w:rPr>
          <w:rFonts w:ascii="Book Antiqua" w:hAnsi="Book Antiqua"/>
          <w:szCs w:val="24"/>
        </w:rPr>
        <w:t xml:space="preserve">679 histologically-confirmed GC cases, 111 gastric atrophy (GA) cases and 976 tumor-free controls. </w:t>
      </w:r>
      <w:r w:rsidR="00692E8D" w:rsidRPr="00CE6F35">
        <w:rPr>
          <w:rFonts w:ascii="Book Antiqua" w:hAnsi="Book Antiqua"/>
          <w:szCs w:val="24"/>
        </w:rPr>
        <w:t>Serum immunoglobulin G</w:t>
      </w:r>
      <w:r w:rsidRPr="00CE6F35">
        <w:rPr>
          <w:rFonts w:ascii="Book Antiqua" w:hAnsi="Book Antiqua"/>
          <w:szCs w:val="24"/>
        </w:rPr>
        <w:t xml:space="preserve"> antibodies to </w:t>
      </w:r>
      <w:r w:rsidR="00692E8D" w:rsidRPr="00CE6F35">
        <w:rPr>
          <w:rFonts w:ascii="Book Antiqua" w:hAnsi="Book Antiqua"/>
          <w:i/>
          <w:szCs w:val="24"/>
        </w:rPr>
        <w:t>Helicobacter</w:t>
      </w:r>
      <w:r w:rsidRPr="00CE6F35">
        <w:rPr>
          <w:rFonts w:ascii="Book Antiqua" w:hAnsi="Book Antiqua"/>
          <w:i/>
          <w:szCs w:val="24"/>
        </w:rPr>
        <w:t xml:space="preserve"> pylori</w:t>
      </w:r>
      <w:r w:rsidRPr="00CE6F35">
        <w:rPr>
          <w:rFonts w:ascii="Book Antiqua" w:hAnsi="Book Antiqua"/>
          <w:szCs w:val="24"/>
        </w:rPr>
        <w:t xml:space="preserve"> of all subjects were detected by enzyme-linked immunosorbent assay. CD24 expression was evaluated by immunohistochemistry in 131 GC specimens. Correlations between SNPs and risk of GC or GA were shown by</w:t>
      </w:r>
      <w:r w:rsidRPr="00CE6F35">
        <w:rPr>
          <w:rFonts w:ascii="Book Antiqua" w:hAnsi="Book Antiqua"/>
          <w:i/>
          <w:szCs w:val="24"/>
        </w:rPr>
        <w:t xml:space="preserve"> P</w:t>
      </w:r>
      <w:r w:rsidRPr="00CE6F35">
        <w:rPr>
          <w:rFonts w:ascii="Book Antiqua" w:hAnsi="Book Antiqua"/>
          <w:szCs w:val="24"/>
        </w:rPr>
        <w:t xml:space="preserve"> values and odd ratios (ORs) wit</w:t>
      </w:r>
      <w:r w:rsidR="00692E8D" w:rsidRPr="00CE6F35">
        <w:rPr>
          <w:rFonts w:ascii="Book Antiqua" w:hAnsi="Book Antiqua"/>
          <w:szCs w:val="24"/>
        </w:rPr>
        <w:t>h 95% confidence intervals (95%</w:t>
      </w:r>
      <w:r w:rsidRPr="00CE6F35">
        <w:rPr>
          <w:rFonts w:ascii="Book Antiqua" w:hAnsi="Book Antiqua"/>
          <w:szCs w:val="24"/>
        </w:rPr>
        <w:t xml:space="preserve">CI) compared with the most common genotype of each SNP using the unconditional logistic regression model after adjusting for age, sex and </w:t>
      </w:r>
      <w:r w:rsidRPr="00CE6F35">
        <w:rPr>
          <w:rFonts w:ascii="Book Antiqua" w:hAnsi="Book Antiqua"/>
          <w:i/>
          <w:szCs w:val="24"/>
        </w:rPr>
        <w:t xml:space="preserve">H. pylori </w:t>
      </w:r>
      <w:r w:rsidRPr="00CE6F35">
        <w:rPr>
          <w:rFonts w:ascii="Book Antiqua" w:hAnsi="Book Antiqua"/>
          <w:szCs w:val="24"/>
        </w:rPr>
        <w:t>infection. Survival within each SNP group was plotted by Kaplan-Meier method and compared by log-rank test (recessive model). Hazard ratios (HRs</w:t>
      </w:r>
      <w:r w:rsidR="00692E8D" w:rsidRPr="00CE6F35">
        <w:rPr>
          <w:rFonts w:ascii="Book Antiqua" w:hAnsi="Book Antiqua"/>
          <w:szCs w:val="24"/>
        </w:rPr>
        <w:t>) with 95%</w:t>
      </w:r>
      <w:r w:rsidRPr="00CE6F35">
        <w:rPr>
          <w:rFonts w:ascii="Book Antiqua" w:hAnsi="Book Antiqua"/>
          <w:szCs w:val="24"/>
        </w:rPr>
        <w:t xml:space="preserve">CIs were computed by Cox regression model after adjusting for age, sex, histological type, tumor differentiation, clinical stage and </w:t>
      </w:r>
      <w:r w:rsidRPr="00CE6F35">
        <w:rPr>
          <w:rFonts w:ascii="Book Antiqua" w:eastAsia="SimSun" w:hAnsi="Book Antiqua"/>
          <w:kern w:val="0"/>
          <w:szCs w:val="24"/>
        </w:rPr>
        <w:t>post-operational chemotherapy</w:t>
      </w:r>
      <w:r w:rsidRPr="00CE6F35">
        <w:rPr>
          <w:rFonts w:ascii="Book Antiqua" w:hAnsi="Book Antiqua"/>
          <w:szCs w:val="24"/>
        </w:rPr>
        <w:t>.</w:t>
      </w:r>
    </w:p>
    <w:p w:rsidR="00692E8D" w:rsidRPr="00CE6F35" w:rsidRDefault="00692E8D" w:rsidP="00F24268">
      <w:pPr>
        <w:adjustRightInd w:val="0"/>
        <w:snapToGrid w:val="0"/>
        <w:rPr>
          <w:rFonts w:ascii="Book Antiqua" w:hAnsi="Book Antiqua"/>
          <w:b/>
          <w:szCs w:val="24"/>
        </w:rPr>
      </w:pPr>
    </w:p>
    <w:p w:rsidR="00641FB0" w:rsidRPr="00CE6F35" w:rsidRDefault="00641FB0" w:rsidP="00F24268">
      <w:pPr>
        <w:adjustRightInd w:val="0"/>
        <w:snapToGrid w:val="0"/>
        <w:rPr>
          <w:rStyle w:val="highlight"/>
          <w:rFonts w:ascii="Book Antiqua" w:hAnsi="Book Antiqua"/>
          <w:szCs w:val="24"/>
          <w:shd w:val="clear" w:color="auto" w:fill="FFFFFF"/>
        </w:rPr>
      </w:pPr>
      <w:r w:rsidRPr="00CE6F35">
        <w:rPr>
          <w:rFonts w:ascii="Book Antiqua" w:hAnsi="Book Antiqua"/>
          <w:b/>
          <w:kern w:val="0"/>
          <w:szCs w:val="24"/>
        </w:rPr>
        <w:t xml:space="preserve">RESULTS: </w:t>
      </w:r>
      <w:r w:rsidRPr="00CE6F35">
        <w:rPr>
          <w:rStyle w:val="highlight"/>
          <w:rFonts w:ascii="Book Antiqua" w:hAnsi="Book Antiqua"/>
          <w:szCs w:val="24"/>
          <w:shd w:val="clear" w:color="auto" w:fill="FFFFFF"/>
        </w:rPr>
        <w:t xml:space="preserve">All of the three loci were in Hardy-Weinberg </w:t>
      </w:r>
      <w:r w:rsidRPr="00CE6F35">
        <w:rPr>
          <w:rFonts w:ascii="Book Antiqua" w:hAnsi="Book Antiqua"/>
          <w:szCs w:val="24"/>
        </w:rPr>
        <w:t xml:space="preserve">equilibrium in the control group. Median follow-up time for the 600 GC patients </w:t>
      </w:r>
      <w:r w:rsidR="00680626" w:rsidRPr="00CE6F35">
        <w:rPr>
          <w:rFonts w:ascii="Book Antiqua" w:hAnsi="Book Antiqua"/>
          <w:szCs w:val="24"/>
        </w:rPr>
        <w:t xml:space="preserve">included </w:t>
      </w:r>
      <w:r w:rsidRPr="00CE6F35">
        <w:rPr>
          <w:rFonts w:ascii="Book Antiqua" w:hAnsi="Book Antiqua"/>
          <w:szCs w:val="24"/>
        </w:rPr>
        <w:t xml:space="preserve">in the survival analysis was 36.2 </w:t>
      </w:r>
      <w:r w:rsidR="00692E8D" w:rsidRPr="00CE6F35">
        <w:rPr>
          <w:rFonts w:ascii="Book Antiqua" w:hAnsi="Book Antiqua" w:hint="eastAsia"/>
          <w:szCs w:val="24"/>
        </w:rPr>
        <w:t>mo</w:t>
      </w:r>
      <w:r w:rsidRPr="00CE6F35">
        <w:rPr>
          <w:rFonts w:ascii="Book Antiqua" w:hAnsi="Book Antiqua"/>
          <w:szCs w:val="24"/>
        </w:rPr>
        <w:t xml:space="preserve"> (range: 2.1-66.7 </w:t>
      </w:r>
      <w:r w:rsidR="00692E8D" w:rsidRPr="00CE6F35">
        <w:rPr>
          <w:rFonts w:ascii="Book Antiqua" w:hAnsi="Book Antiqua" w:hint="eastAsia"/>
          <w:szCs w:val="24"/>
        </w:rPr>
        <w:t>mo</w:t>
      </w:r>
      <w:r w:rsidRPr="00CE6F35">
        <w:rPr>
          <w:rFonts w:ascii="Book Antiqua" w:hAnsi="Book Antiqua"/>
          <w:szCs w:val="24"/>
        </w:rPr>
        <w:t>;</w:t>
      </w:r>
      <w:r w:rsidR="00692E8D" w:rsidRPr="00CE6F35">
        <w:rPr>
          <w:rFonts w:ascii="Book Antiqua" w:hAnsi="Book Antiqua"/>
          <w:szCs w:val="24"/>
        </w:rPr>
        <w:t xml:space="preserve"> 95%</w:t>
      </w:r>
      <w:r w:rsidRPr="00CE6F35">
        <w:rPr>
          <w:rFonts w:ascii="Book Antiqua" w:hAnsi="Book Antiqua"/>
          <w:szCs w:val="24"/>
        </w:rPr>
        <w:t xml:space="preserve">CI: 34.3-36.5 </w:t>
      </w:r>
      <w:r w:rsidR="00692E8D" w:rsidRPr="00CE6F35">
        <w:rPr>
          <w:rFonts w:ascii="Book Antiqua" w:hAnsi="Book Antiqua" w:hint="eastAsia"/>
          <w:szCs w:val="24"/>
        </w:rPr>
        <w:t>mo</w:t>
      </w:r>
      <w:r w:rsidRPr="00CE6F35">
        <w:rPr>
          <w:rFonts w:ascii="Book Antiqua" w:hAnsi="Book Antiqua"/>
          <w:szCs w:val="24"/>
        </w:rPr>
        <w:t xml:space="preserve">). Patients with </w:t>
      </w:r>
      <w:r w:rsidR="00275888" w:rsidRPr="00CE6F35">
        <w:rPr>
          <w:rFonts w:ascii="Book Antiqua" w:hAnsi="Book Antiqua"/>
          <w:szCs w:val="24"/>
        </w:rPr>
        <w:t xml:space="preserve">the </w:t>
      </w:r>
      <w:r w:rsidRPr="00CE6F35">
        <w:rPr>
          <w:rFonts w:ascii="Book Antiqua" w:hAnsi="Book Antiqua"/>
          <w:szCs w:val="24"/>
        </w:rPr>
        <w:t>P-534 A/A genotype had significantly shorter survival (HR</w:t>
      </w:r>
      <w:r w:rsidR="00692E8D" w:rsidRPr="00CE6F35">
        <w:rPr>
          <w:rFonts w:ascii="Book Antiqua" w:hAnsi="Book Antiqua" w:hint="eastAsia"/>
          <w:szCs w:val="24"/>
        </w:rPr>
        <w:t xml:space="preserve"> =</w:t>
      </w:r>
      <w:r w:rsidRPr="00CE6F35">
        <w:rPr>
          <w:rFonts w:ascii="Book Antiqua" w:hAnsi="Book Antiqua"/>
          <w:szCs w:val="24"/>
        </w:rPr>
        <w:t xml:space="preserve"> 1.38, 95%CI: 1.01-1.88; </w:t>
      </w:r>
      <w:r w:rsidRPr="00CE6F35">
        <w:rPr>
          <w:rFonts w:ascii="Book Antiqua" w:hAnsi="Book Antiqua"/>
          <w:i/>
          <w:szCs w:val="24"/>
        </w:rPr>
        <w:t>P</w:t>
      </w:r>
      <w:r w:rsidR="00692E8D" w:rsidRPr="00CE6F35">
        <w:rPr>
          <w:rFonts w:ascii="Book Antiqua" w:hAnsi="Book Antiqua" w:hint="eastAsia"/>
          <w:i/>
          <w:szCs w:val="24"/>
        </w:rPr>
        <w:t xml:space="preserve"> </w:t>
      </w:r>
      <w:r w:rsidRPr="00CE6F35">
        <w:rPr>
          <w:rFonts w:ascii="Book Antiqua" w:hAnsi="Book Antiqua"/>
          <w:szCs w:val="24"/>
        </w:rPr>
        <w:t>=</w:t>
      </w:r>
      <w:r w:rsidR="00692E8D" w:rsidRPr="00CE6F35">
        <w:rPr>
          <w:rFonts w:ascii="Book Antiqua" w:hAnsi="Book Antiqua" w:hint="eastAsia"/>
          <w:szCs w:val="24"/>
        </w:rPr>
        <w:t xml:space="preserve"> </w:t>
      </w:r>
      <w:r w:rsidRPr="00CE6F35">
        <w:rPr>
          <w:rFonts w:ascii="Book Antiqua" w:hAnsi="Book Antiqua"/>
          <w:szCs w:val="24"/>
        </w:rPr>
        <w:t>0.042) than did the C/C or C/A genotype carriers after adjusting for age, sex, histological type, tumor differentiation</w:t>
      </w:r>
      <w:r w:rsidR="00A8033D" w:rsidRPr="00CE6F35">
        <w:rPr>
          <w:rFonts w:ascii="Book Antiqua" w:hAnsi="Book Antiqua"/>
          <w:szCs w:val="24"/>
        </w:rPr>
        <w:t xml:space="preserve">, clinical stage and </w:t>
      </w:r>
      <w:r w:rsidR="00A8033D" w:rsidRPr="00CE6F35">
        <w:rPr>
          <w:rFonts w:ascii="Book Antiqua" w:eastAsia="SimSun" w:hAnsi="Book Antiqua"/>
          <w:kern w:val="0"/>
          <w:szCs w:val="24"/>
        </w:rPr>
        <w:t>post-operational chemotherapy</w:t>
      </w:r>
      <w:r w:rsidRPr="00CE6F35">
        <w:rPr>
          <w:rFonts w:ascii="Book Antiqua" w:hAnsi="Book Antiqua"/>
          <w:szCs w:val="24"/>
        </w:rPr>
        <w:t xml:space="preserve">. This trend was more evident in patients who lived longer than 2.5 years (HR </w:t>
      </w:r>
      <w:r w:rsidR="00692E8D" w:rsidRPr="00CE6F35">
        <w:rPr>
          <w:rFonts w:ascii="Book Antiqua" w:hAnsi="Book Antiqua" w:hint="eastAsia"/>
          <w:szCs w:val="24"/>
        </w:rPr>
        <w:t xml:space="preserve">= </w:t>
      </w:r>
      <w:r w:rsidRPr="00CE6F35">
        <w:rPr>
          <w:rFonts w:ascii="Book Antiqua" w:hAnsi="Book Antiqua"/>
          <w:szCs w:val="24"/>
        </w:rPr>
        <w:t>7.55</w:t>
      </w:r>
      <w:r w:rsidR="00692E8D" w:rsidRPr="00CE6F35">
        <w:rPr>
          <w:rFonts w:ascii="Book Antiqua" w:hAnsi="Book Antiqua"/>
          <w:szCs w:val="24"/>
        </w:rPr>
        <w:t>, 95%</w:t>
      </w:r>
      <w:r w:rsidRPr="00CE6F35">
        <w:rPr>
          <w:rFonts w:ascii="Book Antiqua" w:hAnsi="Book Antiqua"/>
          <w:szCs w:val="24"/>
        </w:rPr>
        <w:t xml:space="preserve">CI: 2.16-26.32, </w:t>
      </w:r>
      <w:r w:rsidRPr="00CE6F35">
        <w:rPr>
          <w:rFonts w:ascii="Book Antiqua" w:hAnsi="Book Antiqua"/>
          <w:i/>
          <w:szCs w:val="24"/>
        </w:rPr>
        <w:t>P</w:t>
      </w:r>
      <w:r w:rsidR="00692E8D" w:rsidRPr="00CE6F35">
        <w:rPr>
          <w:rFonts w:ascii="Book Antiqua" w:hAnsi="Book Antiqua" w:hint="eastAsia"/>
          <w:i/>
          <w:szCs w:val="24"/>
        </w:rPr>
        <w:t xml:space="preserve"> </w:t>
      </w:r>
      <w:r w:rsidRPr="00CE6F35">
        <w:rPr>
          <w:rFonts w:ascii="Book Antiqua" w:hAnsi="Book Antiqua"/>
          <w:szCs w:val="24"/>
        </w:rPr>
        <w:t>=</w:t>
      </w:r>
      <w:r w:rsidR="00692E8D" w:rsidRPr="00CE6F35">
        <w:rPr>
          <w:rFonts w:ascii="Book Antiqua" w:hAnsi="Book Antiqua" w:hint="eastAsia"/>
          <w:szCs w:val="24"/>
        </w:rPr>
        <w:t xml:space="preserve"> </w:t>
      </w:r>
      <w:r w:rsidRPr="00CE6F35">
        <w:rPr>
          <w:rFonts w:ascii="Book Antiqua" w:hAnsi="Book Antiqua"/>
          <w:szCs w:val="24"/>
        </w:rPr>
        <w:t xml:space="preserve">0.001). The P170 T/T genotype was associated with a shorter lifespan than the non-T/T genotypes, but not significantly so. None of the three </w:t>
      </w:r>
      <w:r w:rsidRPr="00CE6F35">
        <w:rPr>
          <w:rStyle w:val="highlight"/>
          <w:rFonts w:ascii="Book Antiqua" w:hAnsi="Book Antiqua"/>
          <w:szCs w:val="24"/>
          <w:shd w:val="clear" w:color="auto" w:fill="FFFFFF"/>
        </w:rPr>
        <w:t xml:space="preserve">genetic </w:t>
      </w:r>
      <w:r w:rsidRPr="00CE6F35">
        <w:rPr>
          <w:rStyle w:val="highlight"/>
          <w:rFonts w:ascii="Book Antiqua" w:hAnsi="Book Antiqua"/>
          <w:szCs w:val="24"/>
          <w:shd w:val="clear" w:color="auto" w:fill="FFFFFF"/>
        </w:rPr>
        <w:lastRenderedPageBreak/>
        <w:t>variants was found to be associated with risk of GC (including tumor stage, grade and distant metastasis)</w:t>
      </w:r>
      <w:r w:rsidRPr="00CE6F35">
        <w:rPr>
          <w:rStyle w:val="highlight"/>
          <w:rFonts w:ascii="Book Antiqua" w:hAnsi="Book Antiqua"/>
          <w:szCs w:val="24"/>
        </w:rPr>
        <w:t xml:space="preserve"> or with risk of </w:t>
      </w:r>
      <w:r w:rsidRPr="00CE6F35">
        <w:rPr>
          <w:rFonts w:ascii="Book Antiqua" w:hAnsi="Book Antiqua"/>
          <w:szCs w:val="24"/>
        </w:rPr>
        <w:t>gastric atrophy.</w:t>
      </w:r>
      <w:r w:rsidRPr="00CE6F35">
        <w:rPr>
          <w:rStyle w:val="highlight"/>
          <w:rFonts w:ascii="Book Antiqua" w:hAnsi="Book Antiqua"/>
          <w:szCs w:val="24"/>
        </w:rPr>
        <w:t xml:space="preserve"> Furthermore,</w:t>
      </w:r>
      <w:r w:rsidRPr="00CE6F35">
        <w:rPr>
          <w:rStyle w:val="highlight"/>
          <w:rFonts w:ascii="Book Antiqua" w:hAnsi="Book Antiqua"/>
          <w:szCs w:val="24"/>
          <w:shd w:val="clear" w:color="auto" w:fill="FFFFFF"/>
        </w:rPr>
        <w:t xml:space="preserve"> no difference of CD24 expression was found among the genotypes.</w:t>
      </w:r>
    </w:p>
    <w:p w:rsidR="00692E8D" w:rsidRPr="00CE6F35" w:rsidRDefault="00692E8D" w:rsidP="00F24268">
      <w:pPr>
        <w:adjustRightInd w:val="0"/>
        <w:snapToGrid w:val="0"/>
        <w:rPr>
          <w:rFonts w:ascii="Book Antiqua" w:hAnsi="Book Antiqua"/>
          <w:kern w:val="0"/>
          <w:szCs w:val="24"/>
        </w:rPr>
      </w:pPr>
    </w:p>
    <w:p w:rsidR="00641FB0" w:rsidRPr="00CE6F35" w:rsidRDefault="00641FB0" w:rsidP="00F24268">
      <w:pPr>
        <w:adjustRightInd w:val="0"/>
        <w:snapToGrid w:val="0"/>
        <w:rPr>
          <w:rFonts w:ascii="Book Antiqua" w:hAnsi="Book Antiqua"/>
          <w:szCs w:val="24"/>
        </w:rPr>
      </w:pPr>
      <w:r w:rsidRPr="00CE6F35">
        <w:rPr>
          <w:rFonts w:ascii="Book Antiqua" w:hAnsi="Book Antiqua"/>
          <w:b/>
          <w:kern w:val="0"/>
          <w:szCs w:val="24"/>
        </w:rPr>
        <w:t>CONCLUSION:</w:t>
      </w:r>
      <w:r w:rsidRPr="00CE6F35">
        <w:rPr>
          <w:rFonts w:ascii="Book Antiqua" w:hAnsi="Book Antiqua"/>
          <w:kern w:val="0"/>
          <w:szCs w:val="24"/>
        </w:rPr>
        <w:t xml:space="preserve"> </w:t>
      </w:r>
      <w:r w:rsidRPr="00CE6F35">
        <w:rPr>
          <w:rFonts w:ascii="Book Antiqua" w:hAnsi="Book Antiqua"/>
          <w:szCs w:val="24"/>
        </w:rPr>
        <w:t xml:space="preserve">The P-534 site in </w:t>
      </w:r>
      <w:r w:rsidRPr="00CE6F35">
        <w:rPr>
          <w:rFonts w:ascii="Book Antiqua" w:hAnsi="Book Antiqua"/>
          <w:i/>
          <w:szCs w:val="24"/>
        </w:rPr>
        <w:t xml:space="preserve">CD24 </w:t>
      </w:r>
      <w:r w:rsidRPr="00CE6F35">
        <w:rPr>
          <w:rFonts w:ascii="Book Antiqua" w:hAnsi="Book Antiqua"/>
          <w:szCs w:val="24"/>
        </w:rPr>
        <w:t>gene affects the overall survival of gastric cancer and may serve as a prognostic marker for gastric cancer.</w:t>
      </w:r>
    </w:p>
    <w:p w:rsidR="00641FB0" w:rsidRPr="00CE6F35" w:rsidRDefault="00641FB0" w:rsidP="00F24268">
      <w:pPr>
        <w:adjustRightInd w:val="0"/>
        <w:snapToGrid w:val="0"/>
        <w:rPr>
          <w:rFonts w:ascii="Book Antiqua" w:hAnsi="Book Antiqua"/>
          <w:b/>
          <w:szCs w:val="24"/>
        </w:rPr>
      </w:pPr>
    </w:p>
    <w:p w:rsidR="00641FB0" w:rsidRPr="00CE6F35" w:rsidRDefault="00641FB0" w:rsidP="00F24268">
      <w:pPr>
        <w:adjustRightInd w:val="0"/>
        <w:snapToGrid w:val="0"/>
        <w:rPr>
          <w:rFonts w:ascii="Book Antiqua" w:hAnsi="Book Antiqua"/>
          <w:szCs w:val="24"/>
        </w:rPr>
      </w:pPr>
      <w:r w:rsidRPr="00CE6F35">
        <w:rPr>
          <w:rFonts w:ascii="Book Antiqua" w:hAnsi="Book Antiqua"/>
          <w:b/>
          <w:szCs w:val="24"/>
        </w:rPr>
        <w:t>Key</w:t>
      </w:r>
      <w:r w:rsidR="00692E8D" w:rsidRPr="00CE6F35">
        <w:rPr>
          <w:rFonts w:ascii="Book Antiqua" w:hAnsi="Book Antiqua" w:hint="eastAsia"/>
          <w:b/>
          <w:szCs w:val="24"/>
        </w:rPr>
        <w:t xml:space="preserve"> </w:t>
      </w:r>
      <w:r w:rsidRPr="00CE6F35">
        <w:rPr>
          <w:rFonts w:ascii="Book Antiqua" w:hAnsi="Book Antiqua"/>
          <w:b/>
          <w:szCs w:val="24"/>
        </w:rPr>
        <w:t xml:space="preserve">words: </w:t>
      </w:r>
      <w:bookmarkStart w:id="217" w:name="OLE_LINK2414"/>
      <w:bookmarkStart w:id="218" w:name="OLE_LINK2415"/>
      <w:r w:rsidRPr="00CE6F35">
        <w:rPr>
          <w:rFonts w:ascii="Book Antiqua" w:hAnsi="Book Antiqua"/>
          <w:szCs w:val="24"/>
        </w:rPr>
        <w:t xml:space="preserve">Gastric cancer; </w:t>
      </w:r>
      <w:r w:rsidRPr="00CE6F35">
        <w:rPr>
          <w:rFonts w:ascii="Book Antiqua" w:hAnsi="Book Antiqua"/>
          <w:i/>
          <w:szCs w:val="24"/>
        </w:rPr>
        <w:t>CD24</w:t>
      </w:r>
      <w:r w:rsidRPr="00CE6F35">
        <w:rPr>
          <w:rFonts w:ascii="Book Antiqua" w:hAnsi="Book Antiqua"/>
          <w:szCs w:val="24"/>
        </w:rPr>
        <w:t xml:space="preserve">; </w:t>
      </w:r>
      <w:r w:rsidR="00692E8D" w:rsidRPr="00CE6F35">
        <w:rPr>
          <w:rFonts w:ascii="Book Antiqua" w:hAnsi="Book Antiqua"/>
          <w:szCs w:val="24"/>
        </w:rPr>
        <w:t>Single nucleotide polymorphisms</w:t>
      </w:r>
      <w:r w:rsidRPr="00CE6F35">
        <w:rPr>
          <w:rFonts w:ascii="Book Antiqua" w:hAnsi="Book Antiqua"/>
          <w:szCs w:val="24"/>
        </w:rPr>
        <w:t>; Gastric atrophy; Overall survival</w:t>
      </w:r>
    </w:p>
    <w:bookmarkEnd w:id="217"/>
    <w:bookmarkEnd w:id="218"/>
    <w:p w:rsidR="00692E8D" w:rsidRPr="00CE6F35" w:rsidRDefault="00692E8D" w:rsidP="00F24268">
      <w:pPr>
        <w:adjustRightInd w:val="0"/>
        <w:snapToGrid w:val="0"/>
        <w:rPr>
          <w:rFonts w:ascii="Book Antiqua" w:hAnsi="Book Antiqua"/>
          <w:szCs w:val="24"/>
        </w:rPr>
      </w:pPr>
    </w:p>
    <w:p w:rsidR="00692E8D" w:rsidRPr="00CE6F35" w:rsidRDefault="00692E8D" w:rsidP="00692E8D">
      <w:pPr>
        <w:adjustRightInd w:val="0"/>
        <w:snapToGrid w:val="0"/>
        <w:rPr>
          <w:rFonts w:ascii="Book Antiqua" w:eastAsia="SimSun" w:hAnsi="Book Antiqua"/>
          <w:szCs w:val="24"/>
        </w:rPr>
      </w:pPr>
      <w:bookmarkStart w:id="219" w:name="OLE_LINK363"/>
      <w:bookmarkStart w:id="220" w:name="OLE_LINK1037"/>
      <w:bookmarkStart w:id="221" w:name="OLE_LINK1195"/>
      <w:bookmarkStart w:id="222" w:name="OLE_LINK1140"/>
      <w:bookmarkStart w:id="223" w:name="OLE_LINK1062"/>
      <w:bookmarkStart w:id="224" w:name="OLE_LINK1327"/>
      <w:bookmarkStart w:id="225" w:name="OLE_LINK1174"/>
      <w:bookmarkStart w:id="226" w:name="OLE_LINK1348"/>
      <w:bookmarkStart w:id="227" w:name="OLE_LINK1519"/>
      <w:bookmarkStart w:id="228" w:name="OLE_LINK1571"/>
      <w:bookmarkStart w:id="229" w:name="OLE_LINK1666"/>
      <w:bookmarkStart w:id="230" w:name="OLE_LINK1438"/>
      <w:bookmarkStart w:id="231" w:name="OLE_LINK1375"/>
      <w:bookmarkStart w:id="232" w:name="OLE_LINK1429"/>
      <w:bookmarkStart w:id="233" w:name="OLE_LINK1581"/>
      <w:bookmarkStart w:id="234" w:name="OLE_LINK1356"/>
      <w:bookmarkStart w:id="235" w:name="OLE_LINK1469"/>
      <w:bookmarkStart w:id="236" w:name="OLE_LINK1546"/>
      <w:bookmarkStart w:id="237" w:name="OLE_LINK1694"/>
      <w:bookmarkStart w:id="238" w:name="OLE_LINK1727"/>
      <w:bookmarkStart w:id="239" w:name="OLE_LINK1797"/>
      <w:bookmarkStart w:id="240" w:name="OLE_LINK1887"/>
      <w:bookmarkStart w:id="241" w:name="OLE_LINK1975"/>
      <w:bookmarkStart w:id="242" w:name="OLE_LINK2186"/>
      <w:bookmarkStart w:id="243" w:name="OLE_LINK768"/>
      <w:bookmarkStart w:id="244" w:name="OLE_LINK2323"/>
      <w:bookmarkStart w:id="245" w:name="OLE_LINK2361"/>
      <w:r w:rsidRPr="00CE6F35">
        <w:rPr>
          <w:rFonts w:ascii="Book Antiqua" w:eastAsia="SimSun" w:hAnsi="Book Antiqua" w:hint="eastAsia"/>
          <w:b/>
          <w:szCs w:val="24"/>
        </w:rPr>
        <w:t>©</w:t>
      </w:r>
      <w:r w:rsidRPr="00CE6F35">
        <w:rPr>
          <w:rFonts w:ascii="Book Antiqua" w:eastAsia="SimSun" w:hAnsi="Book Antiqua"/>
          <w:b/>
          <w:szCs w:val="24"/>
        </w:rPr>
        <w:t xml:space="preserve"> The Author(s) 2015.</w:t>
      </w:r>
      <w:r w:rsidRPr="00CE6F35">
        <w:rPr>
          <w:rFonts w:ascii="Book Antiqua" w:eastAsia="SimSun" w:hAnsi="Book Antiqua"/>
          <w:szCs w:val="24"/>
        </w:rPr>
        <w:t xml:space="preserve"> Published by Baishideng Publishing Group Inc. All rights reserved.</w:t>
      </w:r>
    </w:p>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rsidR="00692E8D" w:rsidRPr="00CE6F35" w:rsidRDefault="00692E8D" w:rsidP="00F24268">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szCs w:val="24"/>
        </w:rPr>
      </w:pPr>
      <w:r w:rsidRPr="00CE6F35">
        <w:rPr>
          <w:rFonts w:ascii="Book Antiqua" w:hAnsi="Book Antiqua"/>
          <w:b/>
          <w:szCs w:val="24"/>
        </w:rPr>
        <w:t>Core tip</w:t>
      </w:r>
      <w:r w:rsidRPr="00CE6F35">
        <w:rPr>
          <w:rFonts w:ascii="Book Antiqua" w:hAnsi="Book Antiqua"/>
          <w:szCs w:val="24"/>
        </w:rPr>
        <w:t xml:space="preserve">: </w:t>
      </w:r>
      <w:bookmarkStart w:id="246" w:name="OLE_LINK2416"/>
      <w:bookmarkStart w:id="247" w:name="OLE_LINK2417"/>
      <w:r w:rsidRPr="00CE6F35">
        <w:rPr>
          <w:rFonts w:ascii="Book Antiqua" w:hAnsi="Book Antiqua"/>
          <w:szCs w:val="24"/>
        </w:rPr>
        <w:t xml:space="preserve">We evaluated the role of three genetic </w:t>
      </w:r>
      <w:r w:rsidRPr="00CE6F35">
        <w:rPr>
          <w:rStyle w:val="highlight"/>
          <w:rFonts w:ascii="Book Antiqua" w:hAnsi="Book Antiqua"/>
          <w:szCs w:val="24"/>
          <w:shd w:val="clear" w:color="auto" w:fill="FFFFFF"/>
        </w:rPr>
        <w:t xml:space="preserve">variants of </w:t>
      </w:r>
      <w:r w:rsidRPr="00CE6F35">
        <w:rPr>
          <w:rStyle w:val="highlight"/>
          <w:rFonts w:ascii="Book Antiqua" w:hAnsi="Book Antiqua"/>
          <w:i/>
          <w:szCs w:val="24"/>
          <w:shd w:val="clear" w:color="auto" w:fill="FFFFFF"/>
        </w:rPr>
        <w:t>CD24</w:t>
      </w:r>
      <w:r w:rsidRPr="00CE6F35">
        <w:rPr>
          <w:rStyle w:val="highlight"/>
          <w:rFonts w:ascii="Book Antiqua" w:hAnsi="Book Antiqua"/>
          <w:szCs w:val="24"/>
          <w:shd w:val="clear" w:color="auto" w:fill="FFFFFF"/>
        </w:rPr>
        <w:t xml:space="preserve"> in gastric cancer (GC) risk and prognosis using </w:t>
      </w:r>
      <w:r w:rsidRPr="00CE6F35">
        <w:rPr>
          <w:rFonts w:ascii="Book Antiqua" w:hAnsi="Book Antiqua"/>
          <w:szCs w:val="24"/>
        </w:rPr>
        <w:t>679 GC cases and 976 controls</w:t>
      </w:r>
      <w:r w:rsidRPr="00CE6F35">
        <w:rPr>
          <w:rStyle w:val="highlight"/>
          <w:rFonts w:ascii="Book Antiqua" w:hAnsi="Book Antiqua"/>
          <w:szCs w:val="24"/>
          <w:shd w:val="clear" w:color="auto" w:fill="FFFFFF"/>
        </w:rPr>
        <w:t>.</w:t>
      </w:r>
      <w:r w:rsidRPr="00CE6F35">
        <w:rPr>
          <w:rFonts w:ascii="Book Antiqua" w:hAnsi="Book Antiqua"/>
          <w:szCs w:val="24"/>
        </w:rPr>
        <w:t xml:space="preserve"> We observed that GC cases with the A/A genotype of P-534 (which lies in the </w:t>
      </w:r>
      <w:r w:rsidRPr="00CE6F35">
        <w:rPr>
          <w:rFonts w:ascii="Book Antiqua" w:hAnsi="Book Antiqua"/>
          <w:i/>
          <w:szCs w:val="24"/>
        </w:rPr>
        <w:t>CD24</w:t>
      </w:r>
      <w:r w:rsidRPr="00CE6F35">
        <w:rPr>
          <w:rFonts w:ascii="Book Antiqua" w:hAnsi="Book Antiqua"/>
          <w:szCs w:val="24"/>
        </w:rPr>
        <w:t xml:space="preserve"> promoter) had a significantly shorter survival (</w:t>
      </w:r>
      <w:r w:rsidR="00692E8D" w:rsidRPr="00CE6F35">
        <w:rPr>
          <w:rFonts w:ascii="Book Antiqua" w:hAnsi="Book Antiqua"/>
          <w:szCs w:val="24"/>
        </w:rPr>
        <w:t>hazard ratio</w:t>
      </w:r>
      <w:r w:rsidR="00692E8D" w:rsidRPr="00CE6F35">
        <w:rPr>
          <w:rFonts w:ascii="Book Antiqua" w:hAnsi="Book Antiqua" w:hint="eastAsia"/>
          <w:szCs w:val="24"/>
        </w:rPr>
        <w:t>,</w:t>
      </w:r>
      <w:r w:rsidR="00692E8D" w:rsidRPr="00CE6F35">
        <w:rPr>
          <w:rFonts w:ascii="Book Antiqua" w:hAnsi="Book Antiqua"/>
          <w:szCs w:val="24"/>
        </w:rPr>
        <w:t xml:space="preserve"> </w:t>
      </w:r>
      <w:r w:rsidRPr="00CE6F35">
        <w:rPr>
          <w:rFonts w:ascii="Book Antiqua" w:hAnsi="Book Antiqua"/>
          <w:szCs w:val="24"/>
        </w:rPr>
        <w:t>1.38) especially among patients who lived longer than 2.5 years (</w:t>
      </w:r>
      <w:r w:rsidR="00692E8D" w:rsidRPr="00CE6F35">
        <w:rPr>
          <w:rFonts w:ascii="Book Antiqua" w:hAnsi="Book Antiqua"/>
          <w:szCs w:val="24"/>
        </w:rPr>
        <w:t>hazard ratio</w:t>
      </w:r>
      <w:r w:rsidR="00692E8D" w:rsidRPr="00CE6F35">
        <w:rPr>
          <w:rFonts w:ascii="Book Antiqua" w:hAnsi="Book Antiqua" w:hint="eastAsia"/>
          <w:szCs w:val="24"/>
        </w:rPr>
        <w:t xml:space="preserve">, </w:t>
      </w:r>
      <w:r w:rsidRPr="00CE6F35">
        <w:rPr>
          <w:rFonts w:ascii="Book Antiqua" w:hAnsi="Book Antiqua"/>
          <w:szCs w:val="24"/>
        </w:rPr>
        <w:t xml:space="preserve">7.55) after adjusting for age, sex, histological type, tumor differentiation, clinical stage and </w:t>
      </w:r>
      <w:r w:rsidRPr="00CE6F35">
        <w:rPr>
          <w:rFonts w:ascii="Book Antiqua" w:eastAsia="SimSun" w:hAnsi="Book Antiqua"/>
          <w:kern w:val="0"/>
          <w:szCs w:val="24"/>
        </w:rPr>
        <w:t>post-operational chemotherapy</w:t>
      </w:r>
      <w:r w:rsidRPr="00CE6F35">
        <w:rPr>
          <w:rFonts w:ascii="Book Antiqua" w:hAnsi="Book Antiqua"/>
          <w:szCs w:val="24"/>
        </w:rPr>
        <w:t xml:space="preserve">. Our study provides the first evidence that P-534 site in </w:t>
      </w:r>
      <w:r w:rsidRPr="00CE6F35">
        <w:rPr>
          <w:rFonts w:ascii="Book Antiqua" w:hAnsi="Book Antiqua"/>
          <w:i/>
          <w:szCs w:val="24"/>
        </w:rPr>
        <w:t xml:space="preserve">CD24 </w:t>
      </w:r>
      <w:r w:rsidRPr="00CE6F35">
        <w:rPr>
          <w:rFonts w:ascii="Book Antiqua" w:hAnsi="Book Antiqua"/>
          <w:szCs w:val="24"/>
        </w:rPr>
        <w:t>may serve as a prognostic marker for gastric cancer.</w:t>
      </w:r>
    </w:p>
    <w:bookmarkEnd w:id="246"/>
    <w:bookmarkEnd w:id="247"/>
    <w:p w:rsidR="00811E16" w:rsidRPr="00CE6F35" w:rsidRDefault="00811E16" w:rsidP="00F24268">
      <w:pPr>
        <w:adjustRightInd w:val="0"/>
        <w:snapToGrid w:val="0"/>
        <w:rPr>
          <w:rFonts w:ascii="Book Antiqua" w:hAnsi="Book Antiqua"/>
          <w:b/>
          <w:szCs w:val="24"/>
        </w:rPr>
      </w:pPr>
    </w:p>
    <w:p w:rsidR="00811E16" w:rsidRPr="00CE6F35" w:rsidRDefault="00811E16" w:rsidP="00811E16">
      <w:pPr>
        <w:adjustRightInd w:val="0"/>
        <w:snapToGrid w:val="0"/>
        <w:rPr>
          <w:rFonts w:ascii="Book Antiqua" w:hAnsi="Book Antiqua"/>
        </w:rPr>
      </w:pPr>
      <w:r w:rsidRPr="00CE6F35">
        <w:rPr>
          <w:rFonts w:ascii="Book Antiqua" w:hAnsi="Book Antiqua"/>
          <w:szCs w:val="24"/>
        </w:rPr>
        <w:t>Jia</w:t>
      </w:r>
      <w:r w:rsidRPr="00CE6F35">
        <w:rPr>
          <w:rFonts w:ascii="Book Antiqua" w:hAnsi="Book Antiqua" w:hint="eastAsia"/>
          <w:szCs w:val="24"/>
        </w:rPr>
        <w:t xml:space="preserve"> ZF</w:t>
      </w:r>
      <w:r w:rsidRPr="00CE6F35">
        <w:rPr>
          <w:rFonts w:ascii="Book Antiqua" w:hAnsi="Book Antiqua"/>
          <w:szCs w:val="24"/>
        </w:rPr>
        <w:t>, Wang</w:t>
      </w:r>
      <w:r w:rsidRPr="00CE6F35">
        <w:rPr>
          <w:rFonts w:ascii="Book Antiqua" w:hAnsi="Book Antiqua" w:hint="eastAsia"/>
          <w:szCs w:val="24"/>
        </w:rPr>
        <w:t xml:space="preserve"> LZ</w:t>
      </w:r>
      <w:r w:rsidRPr="00CE6F35">
        <w:rPr>
          <w:rFonts w:ascii="Book Antiqua" w:hAnsi="Book Antiqua"/>
          <w:szCs w:val="24"/>
        </w:rPr>
        <w:t>, Cao</w:t>
      </w:r>
      <w:r w:rsidRPr="00CE6F35">
        <w:rPr>
          <w:rFonts w:ascii="Book Antiqua" w:hAnsi="Book Antiqua" w:hint="eastAsia"/>
          <w:szCs w:val="24"/>
        </w:rPr>
        <w:t xml:space="preserve"> XY</w:t>
      </w:r>
      <w:r w:rsidRPr="00CE6F35">
        <w:rPr>
          <w:rFonts w:ascii="Book Antiqua" w:hAnsi="Book Antiqua"/>
          <w:szCs w:val="24"/>
        </w:rPr>
        <w:t>, Wang</w:t>
      </w:r>
      <w:r w:rsidRPr="00CE6F35">
        <w:rPr>
          <w:rFonts w:ascii="Book Antiqua" w:hAnsi="Book Antiqua" w:hint="eastAsia"/>
          <w:szCs w:val="24"/>
        </w:rPr>
        <w:t xml:space="preserve"> C</w:t>
      </w:r>
      <w:r w:rsidRPr="00CE6F35">
        <w:rPr>
          <w:rFonts w:ascii="Book Antiqua" w:hAnsi="Book Antiqua"/>
          <w:szCs w:val="24"/>
        </w:rPr>
        <w:t>, Cao</w:t>
      </w:r>
      <w:r w:rsidRPr="00CE6F35">
        <w:rPr>
          <w:rFonts w:ascii="Book Antiqua" w:hAnsi="Book Antiqua" w:hint="eastAsia"/>
          <w:szCs w:val="24"/>
        </w:rPr>
        <w:t xml:space="preserve"> DH</w:t>
      </w:r>
      <w:r w:rsidRPr="00CE6F35">
        <w:rPr>
          <w:rFonts w:ascii="Book Antiqua" w:hAnsi="Book Antiqua"/>
          <w:szCs w:val="24"/>
        </w:rPr>
        <w:t>, Wu</w:t>
      </w:r>
      <w:r w:rsidRPr="00CE6F35">
        <w:rPr>
          <w:rFonts w:ascii="Book Antiqua" w:hAnsi="Book Antiqua" w:hint="eastAsia"/>
          <w:szCs w:val="24"/>
        </w:rPr>
        <w:t xml:space="preserve"> X</w:t>
      </w:r>
      <w:r w:rsidRPr="00CE6F35">
        <w:rPr>
          <w:rFonts w:ascii="Book Antiqua" w:hAnsi="Book Antiqua"/>
          <w:szCs w:val="24"/>
        </w:rPr>
        <w:t>, You</w:t>
      </w:r>
      <w:r w:rsidRPr="00CE6F35">
        <w:rPr>
          <w:rFonts w:ascii="Book Antiqua" w:hAnsi="Book Antiqua" w:hint="eastAsia"/>
          <w:szCs w:val="24"/>
        </w:rPr>
        <w:t xml:space="preserve"> LL</w:t>
      </w:r>
      <w:r w:rsidRPr="00CE6F35">
        <w:rPr>
          <w:rFonts w:ascii="Book Antiqua" w:hAnsi="Book Antiqua"/>
          <w:szCs w:val="24"/>
        </w:rPr>
        <w:t>, Jin</w:t>
      </w:r>
      <w:r w:rsidRPr="00CE6F35">
        <w:rPr>
          <w:rFonts w:ascii="Book Antiqua" w:hAnsi="Book Antiqua" w:hint="eastAsia"/>
          <w:szCs w:val="24"/>
        </w:rPr>
        <w:t xml:space="preserve"> MS</w:t>
      </w:r>
      <w:r w:rsidRPr="00CE6F35">
        <w:rPr>
          <w:rFonts w:ascii="Book Antiqua" w:hAnsi="Book Antiqua"/>
          <w:szCs w:val="24"/>
        </w:rPr>
        <w:t>, Wang</w:t>
      </w:r>
      <w:r w:rsidRPr="00CE6F35">
        <w:rPr>
          <w:rFonts w:ascii="Book Antiqua" w:hAnsi="Book Antiqua" w:hint="eastAsia"/>
          <w:szCs w:val="24"/>
        </w:rPr>
        <w:t xml:space="preserve"> YP</w:t>
      </w:r>
      <w:r w:rsidRPr="00CE6F35">
        <w:rPr>
          <w:rFonts w:ascii="Book Antiqua" w:hAnsi="Book Antiqua"/>
          <w:szCs w:val="24"/>
        </w:rPr>
        <w:t>, Zhou</w:t>
      </w:r>
      <w:r w:rsidRPr="00CE6F35">
        <w:rPr>
          <w:rFonts w:ascii="Book Antiqua" w:hAnsi="Book Antiqua" w:hint="eastAsia"/>
          <w:szCs w:val="24"/>
        </w:rPr>
        <w:t xml:space="preserve"> BS</w:t>
      </w:r>
      <w:r w:rsidRPr="00CE6F35">
        <w:rPr>
          <w:rFonts w:ascii="Book Antiqua" w:hAnsi="Book Antiqua"/>
          <w:szCs w:val="24"/>
        </w:rPr>
        <w:t>, Jiang</w:t>
      </w:r>
      <w:r w:rsidRPr="00CE6F35">
        <w:rPr>
          <w:rFonts w:ascii="Book Antiqua" w:hAnsi="Book Antiqua" w:hint="eastAsia"/>
          <w:szCs w:val="24"/>
        </w:rPr>
        <w:t xml:space="preserve"> J. </w:t>
      </w:r>
      <w:r w:rsidRPr="00CE6F35">
        <w:rPr>
          <w:rFonts w:ascii="Book Antiqua" w:hAnsi="Book Antiqua"/>
          <w:i/>
          <w:iCs/>
          <w:szCs w:val="24"/>
        </w:rPr>
        <w:t>CD24</w:t>
      </w:r>
      <w:r w:rsidRPr="00CE6F35">
        <w:rPr>
          <w:rFonts w:ascii="Book Antiqua" w:hAnsi="Book Antiqua"/>
          <w:szCs w:val="24"/>
        </w:rPr>
        <w:t xml:space="preserve"> genetic variants contribute to overall survival in patients with gastric cancer</w:t>
      </w:r>
      <w:r w:rsidRPr="00CE6F35">
        <w:rPr>
          <w:rFonts w:ascii="Book Antiqua" w:hAnsi="Book Antiqua" w:hint="eastAsia"/>
          <w:szCs w:val="24"/>
        </w:rPr>
        <w:t xml:space="preserve">. </w:t>
      </w:r>
      <w:bookmarkStart w:id="248" w:name="OLE_LINK199"/>
      <w:bookmarkStart w:id="249" w:name="OLE_LINK200"/>
      <w:bookmarkStart w:id="250" w:name="OLE_LINK196"/>
      <w:bookmarkStart w:id="251" w:name="OLE_LINK341"/>
      <w:bookmarkStart w:id="252" w:name="OLE_LINK377"/>
      <w:bookmarkStart w:id="253" w:name="OLE_LINK366"/>
      <w:bookmarkStart w:id="254" w:name="OLE_LINK1038"/>
      <w:bookmarkStart w:id="255" w:name="OLE_LINK1166"/>
      <w:bookmarkStart w:id="256" w:name="OLE_LINK1175"/>
      <w:bookmarkStart w:id="257" w:name="OLE_LINK1440"/>
      <w:bookmarkStart w:id="258" w:name="OLE_LINK1572"/>
      <w:bookmarkStart w:id="259" w:name="OLE_LINK1388"/>
      <w:bookmarkStart w:id="260" w:name="OLE_LINK1439"/>
      <w:bookmarkStart w:id="261" w:name="OLE_LINK1381"/>
      <w:bookmarkStart w:id="262" w:name="OLE_LINK1442"/>
      <w:bookmarkStart w:id="263" w:name="OLE_LINK1500"/>
      <w:bookmarkStart w:id="264" w:name="OLE_LINK1681"/>
      <w:bookmarkStart w:id="265" w:name="OLE_LINK1712"/>
      <w:bookmarkStart w:id="266" w:name="OLE_LINK3321"/>
      <w:bookmarkStart w:id="267" w:name="OLE_LINK747"/>
      <w:bookmarkStart w:id="268" w:name="OLE_LINK2187"/>
      <w:bookmarkStart w:id="269" w:name="OLE_LINK107"/>
      <w:bookmarkStart w:id="270" w:name="OLE_LINK108"/>
      <w:bookmarkStart w:id="271" w:name="OLE_LINK1128"/>
      <w:bookmarkStart w:id="272" w:name="OLE_LINK1143"/>
      <w:bookmarkStart w:id="273" w:name="OLE_LINK1608"/>
      <w:bookmarkStart w:id="274" w:name="OLE_LINK1862"/>
      <w:bookmarkStart w:id="275" w:name="OLE_LINK771"/>
      <w:bookmarkStart w:id="276" w:name="OLE_LINK2313"/>
      <w:r w:rsidRPr="00CE6F35">
        <w:rPr>
          <w:rFonts w:ascii="Book Antiqua" w:hAnsi="Book Antiqua"/>
          <w:i/>
        </w:rPr>
        <w:t xml:space="preserve">World J Gastroenterol </w:t>
      </w:r>
      <w:r w:rsidRPr="00CE6F35">
        <w:rPr>
          <w:rFonts w:ascii="Book Antiqua" w:hAnsi="Book Antiqua" w:hint="eastAsia"/>
        </w:rPr>
        <w:t>2015</w:t>
      </w:r>
      <w:r w:rsidRPr="00CE6F35">
        <w:rPr>
          <w:rFonts w:ascii="Book Antiqua" w:hAnsi="Book Antiqua"/>
        </w:rPr>
        <w:t>; In press</w:t>
      </w:r>
    </w:p>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rsidR="00811E16" w:rsidRPr="00CE6F35" w:rsidRDefault="00811E16" w:rsidP="00811E16">
      <w:pPr>
        <w:rPr>
          <w:rFonts w:ascii="Book Antiqua" w:hAnsi="Book Antiqua"/>
          <w:b/>
        </w:rPr>
      </w:pPr>
    </w:p>
    <w:bookmarkEnd w:id="269"/>
    <w:bookmarkEnd w:id="270"/>
    <w:bookmarkEnd w:id="271"/>
    <w:bookmarkEnd w:id="272"/>
    <w:bookmarkEnd w:id="273"/>
    <w:bookmarkEnd w:id="274"/>
    <w:bookmarkEnd w:id="275"/>
    <w:bookmarkEnd w:id="276"/>
    <w:p w:rsidR="00811E16" w:rsidRPr="00CE6F35" w:rsidRDefault="00811E16" w:rsidP="00811E16">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szCs w:val="24"/>
        </w:rPr>
      </w:pPr>
      <w:r w:rsidRPr="00CE6F35">
        <w:rPr>
          <w:rFonts w:ascii="Book Antiqua" w:hAnsi="Book Antiqua"/>
          <w:b/>
          <w:szCs w:val="24"/>
        </w:rPr>
        <w:br w:type="page"/>
      </w:r>
    </w:p>
    <w:p w:rsidR="00641FB0" w:rsidRPr="00CE6F35" w:rsidRDefault="00811E16" w:rsidP="00F24268">
      <w:pPr>
        <w:pStyle w:val="Heading1"/>
        <w:adjustRightInd w:val="0"/>
        <w:snapToGrid w:val="0"/>
        <w:spacing w:before="0" w:after="0" w:line="360" w:lineRule="auto"/>
        <w:rPr>
          <w:rStyle w:val="highlight"/>
          <w:rFonts w:ascii="Book Antiqua" w:hAnsi="Book Antiqua"/>
          <w:sz w:val="24"/>
          <w:szCs w:val="24"/>
          <w:shd w:val="clear" w:color="auto" w:fill="FFFFFF"/>
        </w:rPr>
      </w:pPr>
      <w:r w:rsidRPr="00CE6F35">
        <w:rPr>
          <w:rStyle w:val="highlight"/>
          <w:rFonts w:ascii="Book Antiqua" w:hAnsi="Book Antiqua"/>
          <w:sz w:val="24"/>
          <w:szCs w:val="24"/>
          <w:shd w:val="clear" w:color="auto" w:fill="FFFFFF"/>
        </w:rPr>
        <w:lastRenderedPageBreak/>
        <w:t>INTRODUCTION</w:t>
      </w:r>
    </w:p>
    <w:p w:rsidR="00641FB0" w:rsidRPr="00CE6F35" w:rsidRDefault="00641FB0" w:rsidP="00F24268">
      <w:pPr>
        <w:adjustRightInd w:val="0"/>
        <w:snapToGrid w:val="0"/>
        <w:rPr>
          <w:rStyle w:val="highlight"/>
          <w:rFonts w:ascii="Book Antiqua" w:hAnsi="Book Antiqua"/>
          <w:szCs w:val="24"/>
          <w:shd w:val="clear" w:color="auto" w:fill="FFFFFF"/>
        </w:rPr>
      </w:pPr>
      <w:r w:rsidRPr="00CE6F35">
        <w:rPr>
          <w:rStyle w:val="highlight"/>
          <w:rFonts w:ascii="Book Antiqua" w:hAnsi="Book Antiqua"/>
          <w:szCs w:val="24"/>
          <w:shd w:val="clear" w:color="auto" w:fill="FFFFFF"/>
        </w:rPr>
        <w:t>Gastric cancer (GC) is one of the most common malignancies and the third cause of cancer-related death worldwide</w:t>
      </w:r>
      <w:r w:rsidRPr="00CE6F35">
        <w:rPr>
          <w:rStyle w:val="highlight"/>
          <w:rFonts w:ascii="Book Antiqua" w:hAnsi="Book Antiqua"/>
          <w:noProof/>
          <w:szCs w:val="24"/>
          <w:shd w:val="clear" w:color="auto" w:fill="FFFFFF"/>
          <w:vertAlign w:val="superscript"/>
        </w:rPr>
        <w:t>[1]</w:t>
      </w:r>
      <w:r w:rsidRPr="00CE6F35">
        <w:rPr>
          <w:rStyle w:val="highlight"/>
          <w:rFonts w:ascii="Book Antiqua" w:hAnsi="Book Antiqua"/>
          <w:szCs w:val="24"/>
          <w:shd w:val="clear" w:color="auto" w:fill="FFFFFF"/>
        </w:rPr>
        <w:t>.</w:t>
      </w:r>
      <w:bookmarkStart w:id="277" w:name="OLE_LINK19"/>
      <w:bookmarkStart w:id="278" w:name="OLE_LINK20"/>
      <w:r w:rsidRPr="00CE6F35">
        <w:rPr>
          <w:rStyle w:val="highlight"/>
          <w:rFonts w:ascii="Book Antiqua" w:hAnsi="Book Antiqua"/>
          <w:szCs w:val="24"/>
          <w:shd w:val="clear" w:color="auto" w:fill="FFFFFF"/>
        </w:rPr>
        <w:t xml:space="preserve"> </w:t>
      </w:r>
      <w:r w:rsidRPr="00CE6F35">
        <w:rPr>
          <w:rStyle w:val="highlight"/>
          <w:rFonts w:ascii="Book Antiqua" w:hAnsi="Book Antiqua"/>
          <w:i/>
          <w:szCs w:val="24"/>
          <w:shd w:val="clear" w:color="auto" w:fill="FFFFFF"/>
        </w:rPr>
        <w:t>Helicobacter pylori</w:t>
      </w:r>
      <w:bookmarkEnd w:id="277"/>
      <w:bookmarkEnd w:id="278"/>
      <w:r w:rsidRPr="00CE6F35">
        <w:rPr>
          <w:rStyle w:val="highlight"/>
          <w:rFonts w:ascii="Book Antiqua" w:hAnsi="Book Antiqua"/>
          <w:szCs w:val="24"/>
          <w:shd w:val="clear" w:color="auto" w:fill="FFFFFF"/>
        </w:rPr>
        <w:t xml:space="preserve"> (</w:t>
      </w:r>
      <w:bookmarkStart w:id="279" w:name="OLE_LINK18"/>
      <w:bookmarkStart w:id="280" w:name="OLE_LINK23"/>
      <w:r w:rsidRPr="00CE6F35">
        <w:rPr>
          <w:rStyle w:val="highlight"/>
          <w:rFonts w:ascii="Book Antiqua" w:hAnsi="Book Antiqua"/>
          <w:i/>
          <w:szCs w:val="24"/>
          <w:shd w:val="clear" w:color="auto" w:fill="FFFFFF"/>
        </w:rPr>
        <w:t>H. pylori</w:t>
      </w:r>
      <w:bookmarkEnd w:id="279"/>
      <w:bookmarkEnd w:id="280"/>
      <w:r w:rsidRPr="00CE6F35">
        <w:rPr>
          <w:rStyle w:val="highlight"/>
          <w:rFonts w:ascii="Book Antiqua" w:hAnsi="Book Antiqua"/>
          <w:szCs w:val="24"/>
          <w:shd w:val="clear" w:color="auto" w:fill="FFFFFF"/>
        </w:rPr>
        <w:t>) infection has been established to cause GC and was classified as carcinogenic to humans (Group 1) by IARC in 1994</w:t>
      </w:r>
      <w:r w:rsidRPr="00CE6F35">
        <w:rPr>
          <w:rStyle w:val="highlight"/>
          <w:rFonts w:ascii="Book Antiqua" w:hAnsi="Book Antiqua"/>
          <w:noProof/>
          <w:szCs w:val="24"/>
          <w:shd w:val="clear" w:color="auto" w:fill="FFFFFF"/>
          <w:vertAlign w:val="superscript"/>
        </w:rPr>
        <w:t>[2]</w:t>
      </w:r>
      <w:r w:rsidRPr="00CE6F35">
        <w:rPr>
          <w:rStyle w:val="highlight"/>
          <w:rFonts w:ascii="Book Antiqua" w:hAnsi="Book Antiqua"/>
          <w:szCs w:val="24"/>
          <w:shd w:val="clear" w:color="auto" w:fill="FFFFFF"/>
        </w:rPr>
        <w:t xml:space="preserve">. Although over half of the world’s population are estimated to be infected with </w:t>
      </w:r>
      <w:r w:rsidRPr="00CE6F35">
        <w:rPr>
          <w:rStyle w:val="highlight"/>
          <w:rFonts w:ascii="Book Antiqua" w:hAnsi="Book Antiqua"/>
          <w:i/>
          <w:szCs w:val="24"/>
          <w:shd w:val="clear" w:color="auto" w:fill="FFFFFF"/>
        </w:rPr>
        <w:t>H. pylori</w:t>
      </w:r>
      <w:r w:rsidRPr="00CE6F35">
        <w:rPr>
          <w:rStyle w:val="highlight"/>
          <w:rFonts w:ascii="Book Antiqua" w:hAnsi="Book Antiqua"/>
          <w:noProof/>
          <w:szCs w:val="24"/>
          <w:shd w:val="clear" w:color="auto" w:fill="FFFFFF"/>
          <w:vertAlign w:val="superscript"/>
        </w:rPr>
        <w:t>[3]</w:t>
      </w:r>
      <w:r w:rsidRPr="00CE6F35">
        <w:rPr>
          <w:rStyle w:val="highlight"/>
          <w:rFonts w:ascii="Book Antiqua" w:hAnsi="Book Antiqua"/>
          <w:szCs w:val="24"/>
          <w:shd w:val="clear" w:color="auto" w:fill="FFFFFF"/>
        </w:rPr>
        <w:t xml:space="preserve">, relatively few develop GC, and gastric damages induced by </w:t>
      </w:r>
      <w:r w:rsidRPr="00CE6F35">
        <w:rPr>
          <w:rStyle w:val="highlight"/>
          <w:rFonts w:ascii="Book Antiqua" w:hAnsi="Book Antiqua"/>
          <w:i/>
          <w:szCs w:val="24"/>
          <w:shd w:val="clear" w:color="auto" w:fill="FFFFFF"/>
        </w:rPr>
        <w:t xml:space="preserve">H. pylori </w:t>
      </w:r>
      <w:r w:rsidRPr="00CE6F35">
        <w:rPr>
          <w:rStyle w:val="highlight"/>
          <w:rFonts w:ascii="Book Antiqua" w:hAnsi="Book Antiqua"/>
          <w:szCs w:val="24"/>
          <w:shd w:val="clear" w:color="auto" w:fill="FFFFFF"/>
        </w:rPr>
        <w:t xml:space="preserve">infection vary widely, which together imply a role for host genetic factors in response to chronic </w:t>
      </w:r>
      <w:r w:rsidRPr="00CE6F35">
        <w:rPr>
          <w:rStyle w:val="highlight"/>
          <w:rFonts w:ascii="Book Antiqua" w:hAnsi="Book Antiqua"/>
          <w:i/>
          <w:szCs w:val="24"/>
          <w:shd w:val="clear" w:color="auto" w:fill="FFFFFF"/>
        </w:rPr>
        <w:t>H. pylori</w:t>
      </w:r>
      <w:r w:rsidRPr="00CE6F35">
        <w:rPr>
          <w:rStyle w:val="highlight"/>
          <w:rFonts w:ascii="Book Antiqua" w:hAnsi="Book Antiqua"/>
          <w:szCs w:val="24"/>
          <w:shd w:val="clear" w:color="auto" w:fill="FFFFFF"/>
        </w:rPr>
        <w:t xml:space="preserve"> infection and subsequent GC development.</w:t>
      </w:r>
    </w:p>
    <w:p w:rsidR="00641FB0" w:rsidRPr="00CE6F35" w:rsidRDefault="00641FB0" w:rsidP="00811E16">
      <w:pPr>
        <w:adjustRightInd w:val="0"/>
        <w:snapToGrid w:val="0"/>
        <w:ind w:firstLineChars="100" w:firstLine="240"/>
        <w:rPr>
          <w:rFonts w:ascii="Book Antiqua" w:hAnsi="Book Antiqua"/>
          <w:szCs w:val="24"/>
          <w:shd w:val="clear" w:color="auto" w:fill="FFFFFF"/>
        </w:rPr>
      </w:pPr>
      <w:r w:rsidRPr="00CE6F35">
        <w:rPr>
          <w:rFonts w:ascii="Book Antiqua" w:hAnsi="Book Antiqua"/>
          <w:szCs w:val="24"/>
        </w:rPr>
        <w:t>CD24 is a glycosylphosphatidylinositol (GPI)-anchored cell-surface glycoprotein with</w:t>
      </w:r>
      <w:r w:rsidRPr="00CE6F35">
        <w:rPr>
          <w:rStyle w:val="highlight"/>
          <w:rFonts w:ascii="Book Antiqua" w:hAnsi="Book Antiqua"/>
          <w:szCs w:val="24"/>
        </w:rPr>
        <w:t xml:space="preserve"> functions in signal transduction and cell adhesion</w:t>
      </w:r>
      <w:r w:rsidRPr="00CE6F35">
        <w:rPr>
          <w:rStyle w:val="apple-converted-space"/>
          <w:rFonts w:ascii="Book Antiqua" w:hAnsi="Book Antiqua"/>
          <w:szCs w:val="24"/>
          <w:shd w:val="clear" w:color="auto" w:fill="FFFFFF"/>
        </w:rPr>
        <w:t>.</w:t>
      </w:r>
      <w:r w:rsidRPr="00CE6F35">
        <w:rPr>
          <w:rStyle w:val="apple-converted-space"/>
          <w:rFonts w:ascii="Book Antiqua" w:hAnsi="Book Antiqua"/>
          <w:szCs w:val="24"/>
        </w:rPr>
        <w:t xml:space="preserve"> It </w:t>
      </w:r>
      <w:r w:rsidRPr="00CE6F35">
        <w:rPr>
          <w:rStyle w:val="apple-converted-space"/>
          <w:rFonts w:ascii="Book Antiqua" w:hAnsi="Book Antiqua"/>
          <w:szCs w:val="24"/>
          <w:shd w:val="clear" w:color="auto" w:fill="FFFFFF"/>
        </w:rPr>
        <w:t>is e</w:t>
      </w:r>
      <w:r w:rsidRPr="00CE6F35">
        <w:rPr>
          <w:rFonts w:ascii="Book Antiqua" w:hAnsi="Book Antiqua"/>
          <w:szCs w:val="24"/>
          <w:shd w:val="clear" w:color="auto" w:fill="FFFFFF"/>
        </w:rPr>
        <w:t>xpressed in a large variety of human ma</w:t>
      </w:r>
      <w:r w:rsidRPr="00CE6F35">
        <w:rPr>
          <w:rStyle w:val="highlight"/>
          <w:rFonts w:ascii="Book Antiqua" w:hAnsi="Book Antiqua"/>
          <w:szCs w:val="24"/>
        </w:rPr>
        <w:t xml:space="preserve">lignancies. Over-expression of CD24 results in a more aggressive malignant phenotype with greater proliferative and cell migration capabilities, whereas its down-expression shows a less </w:t>
      </w:r>
      <w:bookmarkStart w:id="281" w:name="OLE_LINK21"/>
      <w:bookmarkStart w:id="282" w:name="OLE_LINK22"/>
      <w:r w:rsidRPr="00CE6F35">
        <w:rPr>
          <w:rStyle w:val="highlight"/>
          <w:rFonts w:ascii="Book Antiqua" w:hAnsi="Book Antiqua"/>
          <w:szCs w:val="24"/>
        </w:rPr>
        <w:t xml:space="preserve">malignant </w:t>
      </w:r>
      <w:bookmarkEnd w:id="281"/>
      <w:bookmarkEnd w:id="282"/>
      <w:r w:rsidRPr="00CE6F35">
        <w:rPr>
          <w:rStyle w:val="highlight"/>
          <w:rFonts w:ascii="Book Antiqua" w:hAnsi="Book Antiqua"/>
          <w:szCs w:val="24"/>
        </w:rPr>
        <w:t>phenotype</w:t>
      </w:r>
      <w:r w:rsidRPr="00CE6F35">
        <w:rPr>
          <w:rFonts w:ascii="Book Antiqua" w:hAnsi="Book Antiqua"/>
          <w:noProof/>
          <w:szCs w:val="24"/>
          <w:shd w:val="clear" w:color="auto" w:fill="FFFFFF"/>
          <w:vertAlign w:val="superscript"/>
        </w:rPr>
        <w:t>[4-6]</w:t>
      </w:r>
      <w:r w:rsidRPr="00CE6F35">
        <w:rPr>
          <w:rFonts w:ascii="Book Antiqua" w:hAnsi="Book Antiqua"/>
          <w:szCs w:val="24"/>
          <w:shd w:val="clear" w:color="auto" w:fill="FFFFFF"/>
        </w:rPr>
        <w:t xml:space="preserve">. CD24 is </w:t>
      </w:r>
      <w:r w:rsidRPr="00CE6F35">
        <w:rPr>
          <w:rStyle w:val="apple-converted-space"/>
          <w:rFonts w:ascii="Book Antiqua" w:hAnsi="Book Antiqua"/>
          <w:szCs w:val="24"/>
          <w:shd w:val="clear" w:color="auto" w:fill="FFFFFF"/>
        </w:rPr>
        <w:t xml:space="preserve">reportedly associated with </w:t>
      </w:r>
      <w:r w:rsidRPr="00CE6F35">
        <w:rPr>
          <w:rFonts w:ascii="Book Antiqua" w:hAnsi="Book Antiqua"/>
          <w:szCs w:val="24"/>
          <w:shd w:val="clear" w:color="auto" w:fill="FFFFFF"/>
        </w:rPr>
        <w:t>tumor growth, invasion, metastasis, recurrence and treatment response in various cancers, including breast cancer</w:t>
      </w:r>
      <w:r w:rsidR="00325FA4" w:rsidRPr="00CE6F35">
        <w:rPr>
          <w:rFonts w:ascii="Book Antiqua" w:hAnsi="Book Antiqua"/>
          <w:noProof/>
          <w:szCs w:val="24"/>
          <w:shd w:val="clear" w:color="auto" w:fill="FFFFFF"/>
          <w:vertAlign w:val="superscript"/>
        </w:rPr>
        <w:t>[7,</w:t>
      </w:r>
      <w:r w:rsidRPr="00CE6F35">
        <w:rPr>
          <w:rFonts w:ascii="Book Antiqua" w:hAnsi="Book Antiqua"/>
          <w:noProof/>
          <w:szCs w:val="24"/>
          <w:shd w:val="clear" w:color="auto" w:fill="FFFFFF"/>
          <w:vertAlign w:val="superscript"/>
        </w:rPr>
        <w:t>8]</w:t>
      </w:r>
      <w:r w:rsidRPr="00CE6F35">
        <w:rPr>
          <w:rFonts w:ascii="Book Antiqua" w:hAnsi="Book Antiqua"/>
          <w:szCs w:val="24"/>
          <w:shd w:val="clear" w:color="auto" w:fill="FFFFFF"/>
        </w:rPr>
        <w:t>, prostate cancer</w:t>
      </w:r>
      <w:r w:rsidRPr="00CE6F35">
        <w:rPr>
          <w:rFonts w:ascii="Book Antiqua" w:hAnsi="Book Antiqua"/>
          <w:noProof/>
          <w:szCs w:val="24"/>
          <w:shd w:val="clear" w:color="auto" w:fill="FFFFFF"/>
          <w:vertAlign w:val="superscript"/>
        </w:rPr>
        <w:t>[9]</w:t>
      </w:r>
      <w:r w:rsidRPr="00CE6F35">
        <w:rPr>
          <w:rFonts w:ascii="Book Antiqua" w:hAnsi="Book Antiqua"/>
          <w:szCs w:val="24"/>
          <w:shd w:val="clear" w:color="auto" w:fill="FFFFFF"/>
        </w:rPr>
        <w:t xml:space="preserve">, </w:t>
      </w:r>
      <w:r w:rsidRPr="00CE6F35">
        <w:rPr>
          <w:rStyle w:val="highlight"/>
          <w:rFonts w:ascii="Book Antiqua" w:hAnsi="Book Antiqua"/>
          <w:szCs w:val="24"/>
        </w:rPr>
        <w:t>colorectal cancer</w:t>
      </w:r>
      <w:r w:rsidR="00325FA4" w:rsidRPr="00CE6F35">
        <w:rPr>
          <w:rFonts w:ascii="Book Antiqua" w:hAnsi="Book Antiqua"/>
          <w:noProof/>
          <w:szCs w:val="24"/>
          <w:vertAlign w:val="superscript"/>
        </w:rPr>
        <w:t>[10,</w:t>
      </w:r>
      <w:r w:rsidRPr="00CE6F35">
        <w:rPr>
          <w:rFonts w:ascii="Book Antiqua" w:hAnsi="Book Antiqua"/>
          <w:noProof/>
          <w:szCs w:val="24"/>
          <w:vertAlign w:val="superscript"/>
        </w:rPr>
        <w:t>11]</w:t>
      </w:r>
      <w:r w:rsidRPr="00CE6F35">
        <w:rPr>
          <w:rFonts w:ascii="Book Antiqua" w:hAnsi="Book Antiqua"/>
          <w:szCs w:val="24"/>
        </w:rPr>
        <w:t>, hepatocellular carcinoma</w:t>
      </w:r>
      <w:r w:rsidRPr="00CE6F35">
        <w:rPr>
          <w:rFonts w:ascii="Book Antiqua" w:hAnsi="Book Antiqua"/>
          <w:noProof/>
          <w:szCs w:val="24"/>
          <w:vertAlign w:val="superscript"/>
        </w:rPr>
        <w:t>[12]</w:t>
      </w:r>
      <w:r w:rsidRPr="00CE6F35">
        <w:rPr>
          <w:rFonts w:ascii="Book Antiqua" w:hAnsi="Book Antiqua"/>
          <w:szCs w:val="24"/>
        </w:rPr>
        <w:t xml:space="preserve">, </w:t>
      </w:r>
      <w:r w:rsidRPr="00CE6F35">
        <w:rPr>
          <w:rFonts w:ascii="Book Antiqua" w:hAnsi="Book Antiqua"/>
          <w:kern w:val="0"/>
          <w:szCs w:val="24"/>
        </w:rPr>
        <w:t>esophageal squamous cell carcinoma</w:t>
      </w:r>
      <w:r w:rsidRPr="00CE6F35">
        <w:rPr>
          <w:rFonts w:ascii="Book Antiqua" w:hAnsi="Book Antiqua"/>
          <w:noProof/>
          <w:kern w:val="0"/>
          <w:szCs w:val="24"/>
          <w:vertAlign w:val="superscript"/>
        </w:rPr>
        <w:t>[13]</w:t>
      </w:r>
      <w:r w:rsidRPr="00CE6F35">
        <w:rPr>
          <w:rFonts w:ascii="Book Antiqua" w:hAnsi="Book Antiqua"/>
          <w:kern w:val="0"/>
          <w:szCs w:val="24"/>
        </w:rPr>
        <w:t xml:space="preserve"> and GC</w:t>
      </w:r>
      <w:r w:rsidR="00325FA4" w:rsidRPr="00CE6F35">
        <w:rPr>
          <w:rFonts w:ascii="Book Antiqua" w:hAnsi="Book Antiqua"/>
          <w:noProof/>
          <w:szCs w:val="24"/>
          <w:vertAlign w:val="superscript"/>
        </w:rPr>
        <w:t>[14,</w:t>
      </w:r>
      <w:r w:rsidRPr="00CE6F35">
        <w:rPr>
          <w:rFonts w:ascii="Book Antiqua" w:hAnsi="Book Antiqua"/>
          <w:noProof/>
          <w:szCs w:val="24"/>
          <w:vertAlign w:val="superscript"/>
        </w:rPr>
        <w:t>15]</w:t>
      </w:r>
      <w:r w:rsidRPr="00CE6F35">
        <w:rPr>
          <w:rFonts w:ascii="Book Antiqua" w:hAnsi="Book Antiqua"/>
          <w:szCs w:val="24"/>
          <w:shd w:val="clear" w:color="auto" w:fill="FFFFFF"/>
        </w:rPr>
        <w:t>. CD24 is also a potential marker of cancer stem cells, which possess capabilities for tumorigenesis, self-renewal and producing differentiated progeny</w:t>
      </w:r>
      <w:r w:rsidRPr="00CE6F35">
        <w:rPr>
          <w:rStyle w:val="highlight"/>
          <w:rFonts w:ascii="Book Antiqua" w:hAnsi="Book Antiqua"/>
          <w:noProof/>
          <w:szCs w:val="24"/>
          <w:shd w:val="clear" w:color="auto" w:fill="FFFFFF"/>
          <w:vertAlign w:val="superscript"/>
        </w:rPr>
        <w:t>[16-18]</w:t>
      </w:r>
      <w:r w:rsidRPr="00CE6F35">
        <w:rPr>
          <w:rFonts w:ascii="Book Antiqua" w:hAnsi="Book Antiqua"/>
          <w:szCs w:val="24"/>
          <w:shd w:val="clear" w:color="auto" w:fill="FFFFFF"/>
        </w:rPr>
        <w:t xml:space="preserve">. </w:t>
      </w:r>
    </w:p>
    <w:p w:rsidR="00641FB0" w:rsidRPr="00CE6F35" w:rsidRDefault="00641FB0" w:rsidP="00325FA4">
      <w:pPr>
        <w:adjustRightInd w:val="0"/>
        <w:snapToGrid w:val="0"/>
        <w:ind w:firstLineChars="100" w:firstLine="240"/>
        <w:rPr>
          <w:rFonts w:ascii="Book Antiqua" w:hAnsi="Book Antiqua"/>
          <w:szCs w:val="24"/>
        </w:rPr>
      </w:pPr>
      <w:r w:rsidRPr="00CE6F35">
        <w:rPr>
          <w:rFonts w:ascii="Book Antiqua" w:hAnsi="Book Antiqua"/>
          <w:szCs w:val="24"/>
          <w:shd w:val="clear" w:color="auto" w:fill="FFFFFF"/>
        </w:rPr>
        <w:t xml:space="preserve">In GC, </w:t>
      </w:r>
      <w:r w:rsidRPr="00CE6F35">
        <w:rPr>
          <w:rStyle w:val="highlight"/>
          <w:rFonts w:ascii="Book Antiqua" w:hAnsi="Book Antiqua"/>
          <w:szCs w:val="24"/>
          <w:shd w:val="clear" w:color="auto" w:fill="FFFFFF"/>
        </w:rPr>
        <w:t>CD24 can mediate carcinogenesis and promote GC progression</w:t>
      </w:r>
      <w:r w:rsidR="00325FA4" w:rsidRPr="00CE6F35">
        <w:rPr>
          <w:rStyle w:val="highlight"/>
          <w:rFonts w:ascii="Book Antiqua" w:hAnsi="Book Antiqua"/>
          <w:noProof/>
          <w:szCs w:val="24"/>
          <w:shd w:val="clear" w:color="auto" w:fill="FFFFFF"/>
          <w:vertAlign w:val="superscript"/>
        </w:rPr>
        <w:t>[14,</w:t>
      </w:r>
      <w:r w:rsidRPr="00CE6F35">
        <w:rPr>
          <w:rStyle w:val="highlight"/>
          <w:rFonts w:ascii="Book Antiqua" w:hAnsi="Book Antiqua"/>
          <w:noProof/>
          <w:szCs w:val="24"/>
          <w:shd w:val="clear" w:color="auto" w:fill="FFFFFF"/>
          <w:vertAlign w:val="superscript"/>
        </w:rPr>
        <w:t>15]</w:t>
      </w:r>
      <w:r w:rsidRPr="00CE6F35">
        <w:rPr>
          <w:rStyle w:val="highlight"/>
          <w:rFonts w:ascii="Book Antiqua" w:hAnsi="Book Antiqua"/>
          <w:szCs w:val="24"/>
          <w:shd w:val="clear" w:color="auto" w:fill="FFFFFF"/>
        </w:rPr>
        <w:t xml:space="preserve">. </w:t>
      </w:r>
      <w:r w:rsidRPr="00CE6F35">
        <w:rPr>
          <w:rFonts w:ascii="Book Antiqua" w:hAnsi="Book Antiqua"/>
          <w:szCs w:val="24"/>
        </w:rPr>
        <w:t>CD24 expression gradually increases in the progression of normal gastric mucosa, non-atrophic chronic gastritis, chronic atrophic gastritis (CAG), CAG with intestinal metaplasia, dysplasia and finally, GC</w:t>
      </w:r>
      <w:r w:rsidRPr="00CE6F35">
        <w:rPr>
          <w:rFonts w:ascii="Book Antiqua" w:hAnsi="Book Antiqua"/>
          <w:noProof/>
          <w:szCs w:val="24"/>
          <w:vertAlign w:val="superscript"/>
        </w:rPr>
        <w:t>[14]</w:t>
      </w:r>
      <w:r w:rsidRPr="00CE6F35">
        <w:rPr>
          <w:rFonts w:ascii="Book Antiqua" w:hAnsi="Book Antiqua"/>
          <w:szCs w:val="24"/>
        </w:rPr>
        <w:t xml:space="preserve">. Mice with normal </w:t>
      </w:r>
      <w:r w:rsidRPr="00CE6F35">
        <w:rPr>
          <w:rFonts w:ascii="Book Antiqua" w:hAnsi="Book Antiqua"/>
          <w:i/>
          <w:szCs w:val="24"/>
        </w:rPr>
        <w:t xml:space="preserve">CD24 </w:t>
      </w:r>
      <w:r w:rsidRPr="00CE6F35">
        <w:rPr>
          <w:rFonts w:ascii="Book Antiqua" w:hAnsi="Book Antiqua"/>
          <w:szCs w:val="24"/>
        </w:rPr>
        <w:t xml:space="preserve">expression show more gastric inflammation, parietal cell atrophy and gland hyperplasia following </w:t>
      </w:r>
      <w:r w:rsidRPr="00CE6F35">
        <w:rPr>
          <w:rStyle w:val="highlight"/>
          <w:rFonts w:ascii="Book Antiqua" w:hAnsi="Book Antiqua"/>
          <w:i/>
          <w:szCs w:val="24"/>
          <w:shd w:val="clear" w:color="auto" w:fill="FFFFFF"/>
        </w:rPr>
        <w:t>Helicobacter felis</w:t>
      </w:r>
      <w:r w:rsidRPr="00CE6F35">
        <w:rPr>
          <w:rFonts w:ascii="Book Antiqua" w:hAnsi="Book Antiqua"/>
          <w:szCs w:val="24"/>
        </w:rPr>
        <w:t xml:space="preserve"> infection compared with </w:t>
      </w:r>
      <w:r w:rsidRPr="00CE6F35">
        <w:rPr>
          <w:rFonts w:ascii="Book Antiqua" w:hAnsi="Book Antiqua"/>
          <w:i/>
          <w:szCs w:val="24"/>
        </w:rPr>
        <w:t>CD24</w:t>
      </w:r>
      <w:r w:rsidRPr="00CE6F35">
        <w:rPr>
          <w:rFonts w:ascii="Book Antiqua" w:hAnsi="Book Antiqua"/>
          <w:szCs w:val="24"/>
        </w:rPr>
        <w:t xml:space="preserve">-null mice which have the genetic background of inbred </w:t>
      </w:r>
      <w:r w:rsidRPr="00CE6F35">
        <w:rPr>
          <w:rFonts w:ascii="Book Antiqua" w:hAnsi="Book Antiqua"/>
          <w:i/>
          <w:szCs w:val="24"/>
        </w:rPr>
        <w:t>CD24</w:t>
      </w:r>
      <w:r w:rsidRPr="00CE6F35">
        <w:rPr>
          <w:rFonts w:ascii="Book Antiqua" w:hAnsi="Book Antiqua"/>
          <w:szCs w:val="24"/>
        </w:rPr>
        <w:t>-normal mice</w:t>
      </w:r>
      <w:r w:rsidRPr="00CE6F35">
        <w:rPr>
          <w:rFonts w:ascii="Book Antiqua" w:hAnsi="Book Antiqua"/>
          <w:noProof/>
          <w:szCs w:val="24"/>
          <w:vertAlign w:val="superscript"/>
        </w:rPr>
        <w:t>[19]</w:t>
      </w:r>
      <w:r w:rsidRPr="00CE6F35">
        <w:rPr>
          <w:rFonts w:ascii="Book Antiqua" w:hAnsi="Book Antiqua"/>
          <w:szCs w:val="24"/>
        </w:rPr>
        <w:t>.</w:t>
      </w:r>
    </w:p>
    <w:p w:rsidR="00641FB0" w:rsidRPr="00CE6F35" w:rsidRDefault="00641FB0" w:rsidP="00325FA4">
      <w:pPr>
        <w:adjustRightInd w:val="0"/>
        <w:snapToGrid w:val="0"/>
        <w:ind w:firstLineChars="100" w:firstLine="240"/>
        <w:rPr>
          <w:rFonts w:ascii="Book Antiqua" w:hAnsi="Book Antiqua"/>
          <w:szCs w:val="24"/>
        </w:rPr>
      </w:pPr>
      <w:r w:rsidRPr="00CE6F35">
        <w:rPr>
          <w:rFonts w:ascii="Book Antiqua" w:hAnsi="Book Antiqua"/>
          <w:szCs w:val="24"/>
        </w:rPr>
        <w:t xml:space="preserve">Given the important role of CD24 in GC, we tested whether </w:t>
      </w:r>
      <w:r w:rsidRPr="00CE6F35">
        <w:rPr>
          <w:rFonts w:ascii="Book Antiqua" w:hAnsi="Book Antiqua"/>
          <w:szCs w:val="24"/>
          <w:shd w:val="clear" w:color="auto" w:fill="FFFFFF"/>
        </w:rPr>
        <w:t>single nucleotide polymorphisms</w:t>
      </w:r>
      <w:r w:rsidRPr="00CE6F35">
        <w:rPr>
          <w:rFonts w:ascii="Book Antiqua" w:hAnsi="Book Antiqua"/>
          <w:szCs w:val="24"/>
        </w:rPr>
        <w:t xml:space="preserve"> (SNPs) in the </w:t>
      </w:r>
      <w:r w:rsidRPr="00CE6F35">
        <w:rPr>
          <w:rFonts w:ascii="Book Antiqua" w:hAnsi="Book Antiqua"/>
          <w:i/>
          <w:szCs w:val="24"/>
        </w:rPr>
        <w:t>CD24</w:t>
      </w:r>
      <w:r w:rsidRPr="00CE6F35">
        <w:rPr>
          <w:rFonts w:ascii="Book Antiqua" w:hAnsi="Book Antiqua"/>
          <w:szCs w:val="24"/>
        </w:rPr>
        <w:t xml:space="preserve"> gene are associated with </w:t>
      </w:r>
      <w:r w:rsidRPr="00CE6F35">
        <w:rPr>
          <w:rFonts w:ascii="Book Antiqua" w:hAnsi="Book Antiqua"/>
          <w:szCs w:val="24"/>
        </w:rPr>
        <w:lastRenderedPageBreak/>
        <w:t>genetic susceptibility to GC tumor progression and prognosis in a Chinese population.</w:t>
      </w:r>
    </w:p>
    <w:p w:rsidR="00325FA4" w:rsidRPr="00CE6F35" w:rsidRDefault="00325FA4" w:rsidP="00325FA4">
      <w:pPr>
        <w:adjustRightInd w:val="0"/>
        <w:snapToGrid w:val="0"/>
        <w:ind w:firstLineChars="100" w:firstLine="240"/>
        <w:rPr>
          <w:rFonts w:ascii="Book Antiqua" w:hAnsi="Book Antiqua"/>
          <w:szCs w:val="24"/>
        </w:rPr>
      </w:pPr>
    </w:p>
    <w:p w:rsidR="00641FB0" w:rsidRPr="00CE6F35" w:rsidRDefault="00325FA4" w:rsidP="00F24268">
      <w:pPr>
        <w:pStyle w:val="Heading1"/>
        <w:adjustRightInd w:val="0"/>
        <w:snapToGrid w:val="0"/>
        <w:spacing w:before="0" w:after="0" w:line="360" w:lineRule="auto"/>
        <w:rPr>
          <w:rStyle w:val="highlight"/>
          <w:rFonts w:ascii="Book Antiqua" w:hAnsi="Book Antiqua"/>
          <w:sz w:val="24"/>
          <w:szCs w:val="24"/>
          <w:shd w:val="clear" w:color="auto" w:fill="FFFFFF"/>
        </w:rPr>
      </w:pPr>
      <w:r w:rsidRPr="00CE6F35">
        <w:rPr>
          <w:rStyle w:val="highlight"/>
          <w:rFonts w:ascii="Book Antiqua" w:hAnsi="Book Antiqua"/>
          <w:sz w:val="24"/>
          <w:szCs w:val="24"/>
          <w:shd w:val="clear" w:color="auto" w:fill="FFFFFF"/>
        </w:rPr>
        <w:t>MATERIALS AND METHODS</w:t>
      </w:r>
    </w:p>
    <w:p w:rsidR="00641FB0" w:rsidRPr="00CE6F35" w:rsidRDefault="00641FB0" w:rsidP="00F24268">
      <w:pPr>
        <w:adjustRightInd w:val="0"/>
        <w:snapToGrid w:val="0"/>
        <w:rPr>
          <w:rFonts w:ascii="Book Antiqua" w:hAnsi="Book Antiqua"/>
          <w:b/>
          <w:i/>
          <w:szCs w:val="24"/>
        </w:rPr>
      </w:pPr>
      <w:r w:rsidRPr="00CE6F35">
        <w:rPr>
          <w:rFonts w:ascii="Book Antiqua" w:hAnsi="Book Antiqua"/>
          <w:b/>
          <w:i/>
          <w:szCs w:val="24"/>
        </w:rPr>
        <w:t>Subjects</w:t>
      </w:r>
    </w:p>
    <w:p w:rsidR="00641FB0" w:rsidRPr="00CE6F35" w:rsidRDefault="00641FB0" w:rsidP="00F24268">
      <w:pPr>
        <w:adjustRightInd w:val="0"/>
        <w:snapToGrid w:val="0"/>
        <w:rPr>
          <w:rFonts w:ascii="Book Antiqua" w:hAnsi="Book Antiqua"/>
          <w:szCs w:val="24"/>
        </w:rPr>
      </w:pPr>
      <w:r w:rsidRPr="00CE6F35">
        <w:rPr>
          <w:rFonts w:ascii="Book Antiqua" w:hAnsi="Book Antiqua"/>
          <w:szCs w:val="24"/>
        </w:rPr>
        <w:t xml:space="preserve">From July 2008 to December 2012, patients with histologically diagnosed GC who underwent tumorectomies at the Department of Gastric and Colorectal Surgery of the First Hospital of Jilin University were invited to join this study. Patients with gastric atrophy (GA) and controls with no tumor history were recruited at the Physical Examination Center of </w:t>
      </w:r>
      <w:bookmarkStart w:id="283" w:name="OLE_LINK27"/>
      <w:bookmarkStart w:id="284" w:name="OLE_LINK28"/>
      <w:r w:rsidRPr="00CE6F35">
        <w:rPr>
          <w:rFonts w:ascii="Book Antiqua" w:hAnsi="Book Antiqua"/>
          <w:szCs w:val="24"/>
        </w:rPr>
        <w:t>the same hospital</w:t>
      </w:r>
      <w:bookmarkEnd w:id="283"/>
      <w:bookmarkEnd w:id="284"/>
      <w:r w:rsidRPr="00CE6F35">
        <w:rPr>
          <w:rFonts w:ascii="Book Antiqua" w:hAnsi="Book Antiqua"/>
          <w:szCs w:val="24"/>
        </w:rPr>
        <w:t xml:space="preserve"> during the same period.</w:t>
      </w:r>
      <w:bookmarkStart w:id="285" w:name="OLE_LINK3"/>
      <w:bookmarkStart w:id="286" w:name="OLE_LINK4"/>
      <w:r w:rsidRPr="00CE6F35">
        <w:rPr>
          <w:rFonts w:ascii="Book Antiqua" w:hAnsi="Book Antiqua"/>
          <w:szCs w:val="24"/>
        </w:rPr>
        <w:t xml:space="preserve"> A total of 1766 individuals, 679 GC cases, 111 GA cases and 976 controls</w:t>
      </w:r>
      <w:bookmarkEnd w:id="285"/>
      <w:bookmarkEnd w:id="286"/>
      <w:r w:rsidRPr="00CE6F35">
        <w:rPr>
          <w:rFonts w:ascii="Book Antiqua" w:hAnsi="Book Antiqua"/>
          <w:szCs w:val="24"/>
        </w:rPr>
        <w:t xml:space="preserve"> signed the informed consent forms and agreed to participate in the study. The study protocol was reviewed and approved by the </w:t>
      </w:r>
      <w:r w:rsidR="00325FA4" w:rsidRPr="00CE6F35">
        <w:rPr>
          <w:rFonts w:ascii="Book Antiqua" w:hAnsi="Book Antiqua"/>
          <w:szCs w:val="24"/>
        </w:rPr>
        <w:t>Ethics Committee</w:t>
      </w:r>
      <w:r w:rsidRPr="00CE6F35">
        <w:rPr>
          <w:rFonts w:ascii="Book Antiqua" w:hAnsi="Book Antiqua"/>
          <w:szCs w:val="24"/>
        </w:rPr>
        <w:t xml:space="preserve"> of the First Hospital of Jilin University. </w:t>
      </w:r>
    </w:p>
    <w:p w:rsidR="00641FB0" w:rsidRPr="00CE6F35" w:rsidRDefault="00641FB0" w:rsidP="00325FA4">
      <w:pPr>
        <w:adjustRightInd w:val="0"/>
        <w:snapToGrid w:val="0"/>
        <w:ind w:firstLineChars="100" w:firstLine="240"/>
        <w:rPr>
          <w:rFonts w:ascii="Book Antiqua" w:hAnsi="Book Antiqua"/>
          <w:szCs w:val="24"/>
        </w:rPr>
      </w:pPr>
      <w:r w:rsidRPr="00CE6F35">
        <w:rPr>
          <w:rFonts w:ascii="Book Antiqua" w:hAnsi="Book Antiqua"/>
          <w:szCs w:val="24"/>
        </w:rPr>
        <w:t>Gastric cancer cases were followed-up by telephone calls three months, six months, and one year after each patient’s tumorectomy and every one year thereafter until the end of the study or the death of the patients. Cases would not be included in the survival analysis if (</w:t>
      </w:r>
      <w:r w:rsidR="00325FA4" w:rsidRPr="00CE6F35">
        <w:rPr>
          <w:rFonts w:ascii="Book Antiqua" w:hAnsi="Book Antiqua" w:hint="eastAsia"/>
          <w:szCs w:val="24"/>
        </w:rPr>
        <w:t>1</w:t>
      </w:r>
      <w:r w:rsidRPr="00CE6F35">
        <w:rPr>
          <w:rFonts w:ascii="Book Antiqua" w:hAnsi="Book Antiqua"/>
          <w:szCs w:val="24"/>
        </w:rPr>
        <w:t>) they were lost to follow-up by the first telephone interview</w:t>
      </w:r>
      <w:r w:rsidR="00325FA4" w:rsidRPr="00CE6F35">
        <w:rPr>
          <w:rFonts w:ascii="Book Antiqua" w:hAnsi="Book Antiqua" w:hint="eastAsia"/>
          <w:szCs w:val="24"/>
        </w:rPr>
        <w:t>;</w:t>
      </w:r>
      <w:r w:rsidRPr="00CE6F35">
        <w:rPr>
          <w:rFonts w:ascii="Book Antiqua" w:hAnsi="Book Antiqua"/>
          <w:szCs w:val="24"/>
        </w:rPr>
        <w:t xml:space="preserve"> or (</w:t>
      </w:r>
      <w:r w:rsidR="00325FA4" w:rsidRPr="00CE6F35">
        <w:rPr>
          <w:rFonts w:ascii="Book Antiqua" w:hAnsi="Book Antiqua" w:hint="eastAsia"/>
          <w:szCs w:val="24"/>
        </w:rPr>
        <w:t>2</w:t>
      </w:r>
      <w:r w:rsidRPr="00CE6F35">
        <w:rPr>
          <w:rFonts w:ascii="Book Antiqua" w:hAnsi="Book Antiqua"/>
          <w:szCs w:val="24"/>
        </w:rPr>
        <w:t>) they died of surgical complications in the perioperative period. Survival time was defined as the duration from the date of surgery to the date of death if the patients died, or to the date of the last successful interview if the patients were lost to follow-up or alive until the end of the study. Survival time was right-censored except for patients who died of GC.</w:t>
      </w:r>
    </w:p>
    <w:p w:rsidR="00641FB0" w:rsidRPr="00CE6F35" w:rsidRDefault="00213F36" w:rsidP="00325FA4">
      <w:pPr>
        <w:adjustRightInd w:val="0"/>
        <w:snapToGrid w:val="0"/>
        <w:ind w:firstLineChars="100" w:firstLine="240"/>
        <w:rPr>
          <w:rFonts w:ascii="Book Antiqua" w:hAnsi="Book Antiqua"/>
          <w:szCs w:val="24"/>
        </w:rPr>
      </w:pPr>
      <w:r w:rsidRPr="00CE6F35">
        <w:rPr>
          <w:rFonts w:ascii="Book Antiqua" w:hAnsi="Book Antiqua"/>
          <w:szCs w:val="24"/>
        </w:rPr>
        <w:t>Treatment information after surgery was also collected during the follow-up period. Post-operational chemotherapy is defined as at least 3 cycles of chemotherapy received after surgery. One third of the GC patients received this type of therapy. The treatment was classified into three regimens: FOLFOX-4 (combination of 5-fluorouracil, leucovorin and oxaliplatin); XELOX (capecitabine and oxaliplatin) and “other” (such as capecitabine or 5-fluorouracil alone).</w:t>
      </w:r>
    </w:p>
    <w:p w:rsidR="00641FB0" w:rsidRPr="00CE6F35" w:rsidRDefault="00641FB0" w:rsidP="00F24268">
      <w:pPr>
        <w:adjustRightInd w:val="0"/>
        <w:snapToGrid w:val="0"/>
        <w:rPr>
          <w:rFonts w:ascii="Book Antiqua" w:hAnsi="Book Antiqua"/>
          <w:b/>
          <w:i/>
          <w:szCs w:val="24"/>
        </w:rPr>
      </w:pPr>
      <w:r w:rsidRPr="00CE6F35">
        <w:rPr>
          <w:rFonts w:ascii="Book Antiqua" w:hAnsi="Book Antiqua"/>
          <w:b/>
          <w:i/>
          <w:szCs w:val="24"/>
        </w:rPr>
        <w:lastRenderedPageBreak/>
        <w:t>Genotyping</w:t>
      </w:r>
    </w:p>
    <w:p w:rsidR="00641FB0" w:rsidRPr="00CE6F35" w:rsidRDefault="00641FB0" w:rsidP="00F24268">
      <w:pPr>
        <w:adjustRightInd w:val="0"/>
        <w:snapToGrid w:val="0"/>
        <w:rPr>
          <w:rFonts w:ascii="Book Antiqua" w:hAnsi="Book Antiqua"/>
          <w:szCs w:val="24"/>
        </w:rPr>
      </w:pPr>
      <w:r w:rsidRPr="00CE6F35">
        <w:rPr>
          <w:rFonts w:ascii="Book Antiqua" w:hAnsi="Book Antiqua"/>
          <w:szCs w:val="24"/>
        </w:rPr>
        <w:t>Blood samples were collected in EDTA tubes and stored at -80</w:t>
      </w:r>
      <w:r w:rsidR="00325FA4" w:rsidRPr="00CE6F35">
        <w:rPr>
          <w:rFonts w:ascii="Book Antiqua" w:hAnsi="Book Antiqua" w:hint="eastAsia"/>
          <w:szCs w:val="24"/>
        </w:rPr>
        <w:t xml:space="preserve"> </w:t>
      </w:r>
      <w:r w:rsidRPr="00CE6F35">
        <w:rPr>
          <w:rFonts w:ascii="Book Antiqua" w:hAnsi="Book Antiqua" w:cs="Cambria Math"/>
          <w:szCs w:val="24"/>
        </w:rPr>
        <w:t>°C</w:t>
      </w:r>
      <w:r w:rsidRPr="00CE6F35">
        <w:rPr>
          <w:rFonts w:ascii="Book Antiqua" w:hAnsi="Book Antiqua"/>
          <w:szCs w:val="24"/>
        </w:rPr>
        <w:t xml:space="preserve"> until DNA extraction. Genomic DNA was isolated following the protocol provided by the manufacturer (</w:t>
      </w:r>
      <w:bookmarkStart w:id="287" w:name="OLE_LINK5"/>
      <w:bookmarkStart w:id="288" w:name="OLE_LINK6"/>
      <w:r w:rsidRPr="00CE6F35">
        <w:rPr>
          <w:rFonts w:ascii="Book Antiqua" w:hAnsi="Book Antiqua"/>
          <w:szCs w:val="24"/>
        </w:rPr>
        <w:t>Axygen</w:t>
      </w:r>
      <w:bookmarkEnd w:id="287"/>
      <w:bookmarkEnd w:id="288"/>
      <w:r w:rsidRPr="00CE6F35">
        <w:rPr>
          <w:rFonts w:ascii="Book Antiqua" w:hAnsi="Book Antiqua"/>
          <w:szCs w:val="24"/>
        </w:rPr>
        <w:t xml:space="preserve"> Biosciences, USA).</w:t>
      </w:r>
    </w:p>
    <w:p w:rsidR="00641FB0" w:rsidRPr="00CE6F35" w:rsidRDefault="00641FB0" w:rsidP="00325FA4">
      <w:pPr>
        <w:adjustRightInd w:val="0"/>
        <w:snapToGrid w:val="0"/>
        <w:ind w:firstLineChars="100" w:firstLine="240"/>
        <w:rPr>
          <w:rFonts w:ascii="Book Antiqua" w:hAnsi="Book Antiqua"/>
          <w:szCs w:val="24"/>
        </w:rPr>
      </w:pPr>
      <w:r w:rsidRPr="00CE6F35">
        <w:rPr>
          <w:rFonts w:ascii="Book Antiqua" w:hAnsi="Book Antiqua"/>
          <w:szCs w:val="24"/>
        </w:rPr>
        <w:t xml:space="preserve">The full length of the </w:t>
      </w:r>
      <w:r w:rsidRPr="00CE6F35">
        <w:rPr>
          <w:rFonts w:ascii="Book Antiqua" w:hAnsi="Book Antiqua"/>
          <w:i/>
          <w:szCs w:val="24"/>
        </w:rPr>
        <w:t>CD24</w:t>
      </w:r>
      <w:r w:rsidRPr="00CE6F35">
        <w:rPr>
          <w:rFonts w:ascii="Book Antiqua" w:hAnsi="Book Antiqua"/>
          <w:szCs w:val="24"/>
        </w:rPr>
        <w:t xml:space="preserve"> gene was first identified by our previous study and was mapped to Chromosome 6q21 by fluorescence </w:t>
      </w:r>
      <w:r w:rsidRPr="00CE6F35">
        <w:rPr>
          <w:rFonts w:ascii="Book Antiqua" w:hAnsi="Book Antiqua"/>
          <w:i/>
          <w:szCs w:val="24"/>
        </w:rPr>
        <w:t>in situ</w:t>
      </w:r>
      <w:r w:rsidRPr="00CE6F35">
        <w:rPr>
          <w:rFonts w:ascii="Book Antiqua" w:hAnsi="Book Antiqua"/>
          <w:szCs w:val="24"/>
        </w:rPr>
        <w:t xml:space="preserve"> hybridization (submitted to NCBI database, accession number FJ226006)</w:t>
      </w:r>
      <w:r w:rsidRPr="00CE6F35">
        <w:rPr>
          <w:rFonts w:ascii="Book Antiqua" w:hAnsi="Book Antiqua"/>
          <w:noProof/>
          <w:szCs w:val="24"/>
          <w:vertAlign w:val="superscript"/>
        </w:rPr>
        <w:t>[20]</w:t>
      </w:r>
      <w:r w:rsidRPr="00CE6F35">
        <w:rPr>
          <w:rFonts w:ascii="Book Antiqua" w:hAnsi="Book Antiqua"/>
          <w:szCs w:val="24"/>
        </w:rPr>
        <w:t xml:space="preserve">. Although SNP data on </w:t>
      </w:r>
      <w:r w:rsidRPr="00CE6F35">
        <w:rPr>
          <w:rFonts w:ascii="Book Antiqua" w:hAnsi="Book Antiqua"/>
          <w:i/>
          <w:szCs w:val="24"/>
        </w:rPr>
        <w:t>CD24</w:t>
      </w:r>
      <w:r w:rsidRPr="00CE6F35">
        <w:rPr>
          <w:rFonts w:ascii="Book Antiqua" w:hAnsi="Book Antiqua"/>
          <w:szCs w:val="24"/>
        </w:rPr>
        <w:t xml:space="preserve"> was unavailable in HapMap project or dbVar database, we have identified three linkage disequilibrium (LD) blocks that cover the promoter region and exons 1-2 of the </w:t>
      </w:r>
      <w:r w:rsidRPr="00CE6F35">
        <w:rPr>
          <w:rFonts w:ascii="Book Antiqua" w:hAnsi="Book Antiqua"/>
          <w:i/>
          <w:szCs w:val="24"/>
        </w:rPr>
        <w:t>CD24</w:t>
      </w:r>
      <w:r w:rsidRPr="00CE6F35">
        <w:rPr>
          <w:rFonts w:ascii="Book Antiqua" w:hAnsi="Book Antiqua"/>
          <w:szCs w:val="24"/>
        </w:rPr>
        <w:t xml:space="preserve"> locus</w:t>
      </w:r>
      <w:r w:rsidRPr="00CE6F35">
        <w:rPr>
          <w:rFonts w:ascii="Book Antiqua" w:hAnsi="Book Antiqua"/>
          <w:noProof/>
          <w:szCs w:val="24"/>
          <w:vertAlign w:val="superscript"/>
        </w:rPr>
        <w:t>[20]</w:t>
      </w:r>
      <w:r w:rsidRPr="00CE6F35">
        <w:rPr>
          <w:rFonts w:ascii="Book Antiqua" w:hAnsi="Book Antiqua"/>
          <w:szCs w:val="24"/>
        </w:rPr>
        <w:t xml:space="preserve">. Haplotype tagging SNPs (tag SNPs) were identified from the three LD blocks with the pairwise </w:t>
      </w:r>
      <w:r w:rsidRPr="00CE6F35">
        <w:rPr>
          <w:rFonts w:ascii="Book Antiqua" w:hAnsi="Book Antiqua"/>
          <w:i/>
          <w:szCs w:val="24"/>
        </w:rPr>
        <w:t>r</w:t>
      </w:r>
      <w:r w:rsidRPr="00CE6F35">
        <w:rPr>
          <w:rFonts w:ascii="Book Antiqua" w:hAnsi="Book Antiqua"/>
          <w:szCs w:val="24"/>
          <w:vertAlign w:val="superscript"/>
        </w:rPr>
        <w:t xml:space="preserve">2 </w:t>
      </w:r>
      <w:r w:rsidR="00A8033D" w:rsidRPr="00CE6F35">
        <w:rPr>
          <w:rFonts w:ascii="Book Antiqua" w:hAnsi="Book Antiqua"/>
          <w:szCs w:val="24"/>
        </w:rPr>
        <w:t>≥</w:t>
      </w:r>
      <w:r w:rsidRPr="00CE6F35">
        <w:rPr>
          <w:rFonts w:ascii="Book Antiqua" w:hAnsi="Book Antiqua"/>
          <w:szCs w:val="24"/>
        </w:rPr>
        <w:t xml:space="preserve"> 0.9 and miner allele frequency (MAF) &gt;</w:t>
      </w:r>
      <w:r w:rsidR="00325FA4" w:rsidRPr="00CE6F35">
        <w:rPr>
          <w:rFonts w:ascii="Book Antiqua" w:hAnsi="Book Antiqua" w:hint="eastAsia"/>
          <w:szCs w:val="24"/>
        </w:rPr>
        <w:t xml:space="preserve"> </w:t>
      </w:r>
      <w:r w:rsidRPr="00CE6F35">
        <w:rPr>
          <w:rFonts w:ascii="Book Antiqua" w:hAnsi="Book Antiqua"/>
          <w:szCs w:val="24"/>
        </w:rPr>
        <w:t xml:space="preserve">0.05. </w:t>
      </w:r>
    </w:p>
    <w:p w:rsidR="00641FB0" w:rsidRPr="00CE6F35" w:rsidRDefault="00641FB0" w:rsidP="00325FA4">
      <w:pPr>
        <w:adjustRightInd w:val="0"/>
        <w:snapToGrid w:val="0"/>
        <w:ind w:firstLineChars="100" w:firstLine="240"/>
        <w:rPr>
          <w:rFonts w:ascii="Book Antiqua" w:hAnsi="Book Antiqua"/>
          <w:szCs w:val="24"/>
        </w:rPr>
      </w:pPr>
      <w:r w:rsidRPr="00CE6F35">
        <w:rPr>
          <w:rFonts w:ascii="Book Antiqua" w:hAnsi="Book Antiqua"/>
          <w:szCs w:val="24"/>
        </w:rPr>
        <w:t xml:space="preserve">Three tagging SNPs, P-534C/A, P170C/T and P1527TG/del were genotyped to evaluate the association of </w:t>
      </w:r>
      <w:r w:rsidRPr="00CE6F35">
        <w:rPr>
          <w:rFonts w:ascii="Book Antiqua" w:hAnsi="Book Antiqua"/>
          <w:i/>
          <w:szCs w:val="24"/>
        </w:rPr>
        <w:t xml:space="preserve">CD24 </w:t>
      </w:r>
      <w:r w:rsidRPr="00CE6F35">
        <w:rPr>
          <w:rFonts w:ascii="Book Antiqua" w:hAnsi="Book Antiqua"/>
          <w:szCs w:val="24"/>
        </w:rPr>
        <w:t xml:space="preserve">and genetic susceptibility to GC. P-534C/A is located in the promoter region of </w:t>
      </w:r>
      <w:r w:rsidRPr="00CE6F35">
        <w:rPr>
          <w:rFonts w:ascii="Book Antiqua" w:hAnsi="Book Antiqua"/>
          <w:i/>
          <w:szCs w:val="24"/>
        </w:rPr>
        <w:t>CD24</w:t>
      </w:r>
      <w:r w:rsidRPr="00CE6F35">
        <w:rPr>
          <w:rFonts w:ascii="Book Antiqua" w:hAnsi="Book Antiqua"/>
          <w:szCs w:val="24"/>
        </w:rPr>
        <w:t xml:space="preserve"> and is 534bp away from</w:t>
      </w:r>
      <w:bookmarkStart w:id="289" w:name="OLE_LINK64"/>
      <w:bookmarkStart w:id="290" w:name="OLE_LINK65"/>
      <w:r w:rsidRPr="00CE6F35">
        <w:rPr>
          <w:rFonts w:ascii="Book Antiqua" w:hAnsi="Book Antiqua"/>
          <w:szCs w:val="24"/>
        </w:rPr>
        <w:t xml:space="preserve"> the </w:t>
      </w:r>
      <w:bookmarkStart w:id="291" w:name="OLE_LINK24"/>
      <w:r w:rsidRPr="00CE6F35">
        <w:rPr>
          <w:rFonts w:ascii="Book Antiqua" w:hAnsi="Book Antiqua"/>
          <w:szCs w:val="24"/>
        </w:rPr>
        <w:t>translation-starting site</w:t>
      </w:r>
      <w:bookmarkEnd w:id="289"/>
      <w:bookmarkEnd w:id="290"/>
      <w:bookmarkEnd w:id="291"/>
      <w:r w:rsidRPr="00CE6F35">
        <w:rPr>
          <w:rFonts w:ascii="Book Antiqua" w:hAnsi="Book Antiqua"/>
          <w:szCs w:val="24"/>
        </w:rPr>
        <w:t xml:space="preserve">. P170C/T is located in the coding region of exon 2 and its C-to-T transition leads to an alanine to valine substitution at codon 57 of the CD24 protein. P1527TG/del, 1527bp down from the translation-starting site, is located in the 3’ untranslated region (3’-UTR). </w:t>
      </w:r>
    </w:p>
    <w:p w:rsidR="00641FB0" w:rsidRPr="00CE6F35" w:rsidRDefault="00641FB0" w:rsidP="00325FA4">
      <w:pPr>
        <w:adjustRightInd w:val="0"/>
        <w:snapToGrid w:val="0"/>
        <w:ind w:firstLineChars="100" w:firstLine="240"/>
        <w:rPr>
          <w:rFonts w:ascii="Book Antiqua" w:hAnsi="Book Antiqua"/>
          <w:szCs w:val="24"/>
        </w:rPr>
      </w:pPr>
      <w:r w:rsidRPr="00CE6F35">
        <w:rPr>
          <w:rFonts w:ascii="Book Antiqua" w:hAnsi="Book Antiqua"/>
          <w:szCs w:val="24"/>
        </w:rPr>
        <w:t xml:space="preserve">Genotypes of the selected sites were determined by polymerase chain reaction- restriction fragment length polymorphism (PCR-RFLP) as described by Li </w:t>
      </w:r>
      <w:r w:rsidRPr="00CE6F35">
        <w:rPr>
          <w:rFonts w:ascii="Book Antiqua" w:hAnsi="Book Antiqua"/>
          <w:i/>
          <w:szCs w:val="24"/>
        </w:rPr>
        <w:t>et al</w:t>
      </w:r>
      <w:r w:rsidRPr="00CE6F35">
        <w:rPr>
          <w:rFonts w:ascii="Book Antiqua" w:hAnsi="Book Antiqua"/>
          <w:noProof/>
          <w:szCs w:val="24"/>
          <w:vertAlign w:val="superscript"/>
        </w:rPr>
        <w:t>[21]</w:t>
      </w:r>
      <w:r w:rsidRPr="00CE6F35">
        <w:rPr>
          <w:rFonts w:ascii="Book Antiqua" w:hAnsi="Book Antiqua"/>
          <w:szCs w:val="24"/>
        </w:rPr>
        <w:t xml:space="preserve"> and our previous study</w:t>
      </w:r>
      <w:r w:rsidRPr="00CE6F35">
        <w:rPr>
          <w:rFonts w:ascii="Book Antiqua" w:hAnsi="Book Antiqua"/>
          <w:noProof/>
          <w:szCs w:val="24"/>
          <w:vertAlign w:val="superscript"/>
        </w:rPr>
        <w:t>[20]</w:t>
      </w:r>
      <w:bookmarkStart w:id="292" w:name="OLE_LINK7"/>
      <w:bookmarkStart w:id="293" w:name="OLE_LINK8"/>
      <w:r w:rsidRPr="00CE6F35">
        <w:rPr>
          <w:rFonts w:ascii="Book Antiqua" w:hAnsi="Book Antiqua"/>
          <w:szCs w:val="24"/>
        </w:rPr>
        <w:t xml:space="preserve"> (Primers used are listed in Table 1 and Figure 1 and were synthesized by Takara, Dalian, China). Briefly, the PCR products of P-534 were digested with endonuclease </w:t>
      </w:r>
      <w:r w:rsidRPr="00CE6F35">
        <w:rPr>
          <w:rFonts w:ascii="Book Antiqua" w:hAnsi="Book Antiqua"/>
          <w:i/>
          <w:szCs w:val="24"/>
        </w:rPr>
        <w:t>Bsr</w:t>
      </w:r>
      <w:r w:rsidRPr="00CE6F35">
        <w:rPr>
          <w:rFonts w:ascii="Book Antiqua" w:hAnsi="Book Antiqua"/>
          <w:szCs w:val="24"/>
        </w:rPr>
        <w:t>FI overnight at 37</w:t>
      </w:r>
      <w:r w:rsidR="00325FA4" w:rsidRPr="00CE6F35">
        <w:rPr>
          <w:rFonts w:ascii="Book Antiqua" w:hAnsi="Book Antiqua" w:hint="eastAsia"/>
          <w:szCs w:val="24"/>
        </w:rPr>
        <w:t xml:space="preserve"> </w:t>
      </w:r>
      <w:r w:rsidRPr="00CE6F35">
        <w:rPr>
          <w:rFonts w:ascii="Book Antiqua" w:hAnsi="Book Antiqua"/>
          <w:szCs w:val="24"/>
        </w:rPr>
        <w:t>°C and the restriction site indicated the presence of the C allele (</w:t>
      </w:r>
      <w:bookmarkStart w:id="294" w:name="OLE_LINK31"/>
      <w:bookmarkStart w:id="295" w:name="OLE_LINK32"/>
      <w:r w:rsidRPr="00CE6F35">
        <w:rPr>
          <w:rFonts w:ascii="Book Antiqua" w:hAnsi="Book Antiqua"/>
          <w:szCs w:val="24"/>
        </w:rPr>
        <w:t>126</w:t>
      </w:r>
      <w:r w:rsidR="00325FA4" w:rsidRPr="00CE6F35">
        <w:rPr>
          <w:rFonts w:ascii="Book Antiqua" w:hAnsi="Book Antiqua" w:hint="eastAsia"/>
          <w:szCs w:val="24"/>
        </w:rPr>
        <w:t xml:space="preserve"> </w:t>
      </w:r>
      <w:r w:rsidRPr="00CE6F35">
        <w:rPr>
          <w:rFonts w:ascii="Book Antiqua" w:hAnsi="Book Antiqua"/>
          <w:szCs w:val="24"/>
        </w:rPr>
        <w:t>bp and 83</w:t>
      </w:r>
      <w:r w:rsidR="00325FA4" w:rsidRPr="00CE6F35">
        <w:rPr>
          <w:rFonts w:ascii="Book Antiqua" w:hAnsi="Book Antiqua" w:hint="eastAsia"/>
          <w:szCs w:val="24"/>
        </w:rPr>
        <w:t xml:space="preserve"> </w:t>
      </w:r>
      <w:r w:rsidRPr="00CE6F35">
        <w:rPr>
          <w:rFonts w:ascii="Book Antiqua" w:hAnsi="Book Antiqua"/>
          <w:szCs w:val="24"/>
        </w:rPr>
        <w:t>bp</w:t>
      </w:r>
      <w:bookmarkEnd w:id="294"/>
      <w:bookmarkEnd w:id="295"/>
      <w:r w:rsidRPr="00CE6F35">
        <w:rPr>
          <w:rFonts w:ascii="Book Antiqua" w:hAnsi="Book Antiqua"/>
          <w:szCs w:val="24"/>
        </w:rPr>
        <w:t xml:space="preserve">) (All restriction endonucleases were bought from New England Biolabs, USA). For P170 and P1527, a nested PCR in which one of the primers for the first PCR mapped to an intron was performed to increase specificity as the exon 2 of </w:t>
      </w:r>
      <w:r w:rsidRPr="00CE6F35">
        <w:rPr>
          <w:rFonts w:ascii="Book Antiqua" w:hAnsi="Book Antiqua"/>
          <w:i/>
          <w:szCs w:val="24"/>
        </w:rPr>
        <w:t xml:space="preserve">CD24 </w:t>
      </w:r>
      <w:r w:rsidRPr="00CE6F35">
        <w:rPr>
          <w:rFonts w:ascii="Book Antiqua" w:hAnsi="Book Antiqua"/>
          <w:szCs w:val="24"/>
        </w:rPr>
        <w:t>shows high homology with the intronless pseudogenes in Chromosomes 1, 15 and Y</w:t>
      </w:r>
      <w:r w:rsidRPr="00CE6F35">
        <w:rPr>
          <w:rFonts w:ascii="Book Antiqua" w:hAnsi="Book Antiqua"/>
          <w:noProof/>
          <w:szCs w:val="24"/>
          <w:vertAlign w:val="superscript"/>
        </w:rPr>
        <w:t>[22]</w:t>
      </w:r>
      <w:r w:rsidRPr="00CE6F35">
        <w:rPr>
          <w:rFonts w:ascii="Book Antiqua" w:hAnsi="Book Antiqua"/>
          <w:szCs w:val="24"/>
        </w:rPr>
        <w:t xml:space="preserve">. The second PCRs were amplified independently for P170 and P1527 using the 1000-fold-diluted products of the first PCR as </w:t>
      </w:r>
      <w:r w:rsidRPr="00CE6F35">
        <w:rPr>
          <w:rFonts w:ascii="Book Antiqua" w:hAnsi="Book Antiqua"/>
          <w:szCs w:val="24"/>
        </w:rPr>
        <w:lastRenderedPageBreak/>
        <w:t xml:space="preserve">templates (All reagents for PCR were from Tiangen, Beijing, China). These PCR products were then digested overnight with the restriction enzyme </w:t>
      </w:r>
      <w:r w:rsidRPr="00CE6F35">
        <w:rPr>
          <w:rFonts w:ascii="Book Antiqua" w:hAnsi="Book Antiqua"/>
          <w:i/>
          <w:szCs w:val="24"/>
        </w:rPr>
        <w:t>Bst</w:t>
      </w:r>
      <w:r w:rsidRPr="00CE6F35">
        <w:rPr>
          <w:rFonts w:ascii="Book Antiqua" w:hAnsi="Book Antiqua"/>
          <w:szCs w:val="24"/>
        </w:rPr>
        <w:t>XI (for P170, 37</w:t>
      </w:r>
      <w:r w:rsidR="00325FA4" w:rsidRPr="00CE6F35">
        <w:rPr>
          <w:rFonts w:ascii="Book Antiqua" w:hAnsi="Book Antiqua" w:hint="eastAsia"/>
          <w:szCs w:val="24"/>
        </w:rPr>
        <w:t xml:space="preserve"> </w:t>
      </w:r>
      <w:r w:rsidRPr="00CE6F35">
        <w:rPr>
          <w:rFonts w:ascii="SimSun" w:eastAsia="SimSun" w:hAnsi="SimSun" w:cs="SimSun" w:hint="eastAsia"/>
          <w:szCs w:val="24"/>
        </w:rPr>
        <w:t>℃</w:t>
      </w:r>
      <w:r w:rsidRPr="00CE6F35">
        <w:rPr>
          <w:rFonts w:ascii="Book Antiqua" w:hAnsi="Book Antiqua"/>
          <w:szCs w:val="24"/>
        </w:rPr>
        <w:t xml:space="preserve">) and </w:t>
      </w:r>
      <w:r w:rsidRPr="00CE6F35">
        <w:rPr>
          <w:rFonts w:ascii="Book Antiqua" w:hAnsi="Book Antiqua"/>
          <w:i/>
          <w:szCs w:val="24"/>
        </w:rPr>
        <w:t>Bsr</w:t>
      </w:r>
      <w:r w:rsidRPr="00CE6F35">
        <w:rPr>
          <w:rFonts w:ascii="Book Antiqua" w:hAnsi="Book Antiqua"/>
          <w:szCs w:val="24"/>
        </w:rPr>
        <w:t>I (for P1527, 65</w:t>
      </w:r>
      <w:r w:rsidR="00325FA4" w:rsidRPr="00CE6F35">
        <w:rPr>
          <w:rFonts w:ascii="Book Antiqua" w:hAnsi="Book Antiqua" w:hint="eastAsia"/>
          <w:szCs w:val="24"/>
        </w:rPr>
        <w:t xml:space="preserve"> </w:t>
      </w:r>
      <w:r w:rsidRPr="00CE6F35">
        <w:rPr>
          <w:rFonts w:ascii="SimSun" w:eastAsia="SimSun" w:hAnsi="SimSun" w:cs="SimSun" w:hint="eastAsia"/>
          <w:szCs w:val="24"/>
        </w:rPr>
        <w:t>℃</w:t>
      </w:r>
      <w:r w:rsidRPr="00CE6F35">
        <w:rPr>
          <w:rFonts w:ascii="Book Antiqua" w:hAnsi="Book Antiqua"/>
          <w:szCs w:val="24"/>
        </w:rPr>
        <w:t>). The T allele of P170 produced two fragments</w:t>
      </w:r>
      <w:r w:rsidRPr="00CE6F35">
        <w:rPr>
          <w:rFonts w:ascii="Book Antiqua" w:hAnsi="Book Antiqua"/>
          <w:szCs w:val="24"/>
        </w:rPr>
        <w:t>，</w:t>
      </w:r>
      <w:r w:rsidRPr="00CE6F35">
        <w:rPr>
          <w:rFonts w:ascii="Book Antiqua" w:hAnsi="Book Antiqua"/>
          <w:szCs w:val="24"/>
        </w:rPr>
        <w:t>275</w:t>
      </w:r>
      <w:r w:rsidR="00325FA4" w:rsidRPr="00CE6F35">
        <w:rPr>
          <w:rFonts w:ascii="Book Antiqua" w:hAnsi="Book Antiqua" w:hint="eastAsia"/>
          <w:szCs w:val="24"/>
        </w:rPr>
        <w:t xml:space="preserve"> </w:t>
      </w:r>
      <w:r w:rsidRPr="00CE6F35">
        <w:rPr>
          <w:rFonts w:ascii="Book Antiqua" w:hAnsi="Book Antiqua"/>
          <w:szCs w:val="24"/>
        </w:rPr>
        <w:t>bp and 129</w:t>
      </w:r>
      <w:r w:rsidR="00325FA4" w:rsidRPr="00CE6F35">
        <w:rPr>
          <w:rFonts w:ascii="Book Antiqua" w:hAnsi="Book Antiqua" w:hint="eastAsia"/>
          <w:szCs w:val="24"/>
        </w:rPr>
        <w:t xml:space="preserve"> </w:t>
      </w:r>
      <w:r w:rsidRPr="00CE6F35">
        <w:rPr>
          <w:rFonts w:ascii="Book Antiqua" w:hAnsi="Book Antiqua"/>
          <w:szCs w:val="24"/>
        </w:rPr>
        <w:t>bp; the TG allele of P1527 produced 645 and 202</w:t>
      </w:r>
      <w:r w:rsidR="00325FA4" w:rsidRPr="00CE6F35">
        <w:rPr>
          <w:rFonts w:ascii="Book Antiqua" w:hAnsi="Book Antiqua" w:hint="eastAsia"/>
          <w:szCs w:val="24"/>
        </w:rPr>
        <w:t xml:space="preserve"> </w:t>
      </w:r>
      <w:r w:rsidRPr="00CE6F35">
        <w:rPr>
          <w:rFonts w:ascii="Book Antiqua" w:hAnsi="Book Antiqua"/>
          <w:szCs w:val="24"/>
        </w:rPr>
        <w:t>bp fragments.</w:t>
      </w:r>
      <w:bookmarkEnd w:id="292"/>
      <w:bookmarkEnd w:id="293"/>
      <w:r w:rsidRPr="00CE6F35">
        <w:rPr>
          <w:rFonts w:ascii="Book Antiqua" w:hAnsi="Book Antiqua"/>
          <w:szCs w:val="24"/>
        </w:rPr>
        <w:t xml:space="preserve"> All products were separated by electrophoresis on 1.5% agarose gels with ethidium bromide staining and scanned on gel imaging system (Gel Doc</w:t>
      </w:r>
      <w:r w:rsidRPr="00CE6F35">
        <w:rPr>
          <w:rFonts w:ascii="Book Antiqua" w:hAnsi="Book Antiqua"/>
          <w:szCs w:val="24"/>
          <w:vertAlign w:val="superscript"/>
        </w:rPr>
        <w:t>TM</w:t>
      </w:r>
      <w:r w:rsidRPr="00CE6F35">
        <w:rPr>
          <w:rFonts w:ascii="Book Antiqua" w:hAnsi="Book Antiqua"/>
          <w:szCs w:val="24"/>
        </w:rPr>
        <w:t xml:space="preserve"> XR+ system, Bio-Rad, USA). Fifty samples were randomly selected to be genotyped by direct sequencing to confirm the validity of PCR-RFLP; three of them with different genotypes were used as positive controls for each PCR-RFLP run. The overall concordance was 100%.</w:t>
      </w:r>
    </w:p>
    <w:p w:rsidR="00325FA4" w:rsidRPr="00CE6F35" w:rsidRDefault="00325FA4" w:rsidP="00325FA4">
      <w:pPr>
        <w:adjustRightInd w:val="0"/>
        <w:snapToGrid w:val="0"/>
        <w:ind w:firstLineChars="100" w:firstLine="240"/>
        <w:rPr>
          <w:rFonts w:ascii="Book Antiqua" w:hAnsi="Book Antiqua"/>
          <w:szCs w:val="24"/>
        </w:rPr>
      </w:pPr>
    </w:p>
    <w:p w:rsidR="00641FB0" w:rsidRPr="00CE6F35" w:rsidRDefault="00641FB0" w:rsidP="00F24268">
      <w:pPr>
        <w:adjustRightInd w:val="0"/>
        <w:snapToGrid w:val="0"/>
        <w:rPr>
          <w:rFonts w:ascii="Book Antiqua" w:hAnsi="Book Antiqua"/>
          <w:b/>
          <w:i/>
          <w:szCs w:val="24"/>
        </w:rPr>
      </w:pPr>
      <w:r w:rsidRPr="00CE6F35">
        <w:rPr>
          <w:rFonts w:ascii="Book Antiqua" w:hAnsi="Book Antiqua"/>
          <w:b/>
          <w:i/>
          <w:szCs w:val="24"/>
        </w:rPr>
        <w:t>Testing for H. pylori infection a</w:t>
      </w:r>
      <w:r w:rsidR="00325FA4" w:rsidRPr="00CE6F35">
        <w:rPr>
          <w:rFonts w:ascii="Book Antiqua" w:hAnsi="Book Antiqua"/>
          <w:b/>
          <w:i/>
          <w:szCs w:val="24"/>
        </w:rPr>
        <w:t>nd diagnosis of gastric atrophy</w:t>
      </w:r>
    </w:p>
    <w:p w:rsidR="00641FB0" w:rsidRPr="00CE6F35" w:rsidRDefault="00641FB0" w:rsidP="00F24268">
      <w:pPr>
        <w:adjustRightInd w:val="0"/>
        <w:snapToGrid w:val="0"/>
        <w:rPr>
          <w:rFonts w:ascii="Book Antiqua" w:hAnsi="Book Antiqua"/>
          <w:szCs w:val="24"/>
        </w:rPr>
      </w:pPr>
      <w:r w:rsidRPr="00CE6F35">
        <w:rPr>
          <w:rFonts w:ascii="Book Antiqua" w:hAnsi="Book Antiqua"/>
          <w:szCs w:val="24"/>
        </w:rPr>
        <w:t xml:space="preserve">Serum immunoglobulin G (IgG) antibodies to </w:t>
      </w:r>
      <w:r w:rsidRPr="00CE6F35">
        <w:rPr>
          <w:rFonts w:ascii="Book Antiqua" w:hAnsi="Book Antiqua"/>
          <w:i/>
          <w:szCs w:val="24"/>
        </w:rPr>
        <w:t>H. pylori</w:t>
      </w:r>
      <w:r w:rsidRPr="00CE6F35">
        <w:rPr>
          <w:rFonts w:ascii="Book Antiqua" w:hAnsi="Book Antiqua"/>
          <w:szCs w:val="24"/>
        </w:rPr>
        <w:t xml:space="preserve"> were detected by enzyme-linked immunosorbent assay (ELISA) using </w:t>
      </w:r>
      <w:r w:rsidRPr="00CE6F35">
        <w:rPr>
          <w:rFonts w:ascii="Book Antiqua" w:hAnsi="Book Antiqua"/>
          <w:i/>
          <w:szCs w:val="24"/>
        </w:rPr>
        <w:t>H. pylori</w:t>
      </w:r>
      <w:r w:rsidRPr="00CE6F35">
        <w:rPr>
          <w:rFonts w:ascii="Book Antiqua" w:hAnsi="Book Antiqua"/>
          <w:szCs w:val="24"/>
        </w:rPr>
        <w:t>-IgG ELISA kits (Biohit, Finland) according to the manufacturer’s protocol. Titers higher than the cut off value of 30</w:t>
      </w:r>
      <w:r w:rsidR="00325FA4" w:rsidRPr="00CE6F35">
        <w:rPr>
          <w:rFonts w:ascii="Book Antiqua" w:hAnsi="Book Antiqua" w:hint="eastAsia"/>
          <w:szCs w:val="24"/>
        </w:rPr>
        <w:t xml:space="preserve"> </w:t>
      </w:r>
      <w:r w:rsidRPr="00CE6F35">
        <w:rPr>
          <w:rFonts w:ascii="Book Antiqua" w:hAnsi="Book Antiqua"/>
          <w:szCs w:val="24"/>
        </w:rPr>
        <w:t xml:space="preserve">EIU were considered positive for </w:t>
      </w:r>
      <w:r w:rsidRPr="00CE6F35">
        <w:rPr>
          <w:rFonts w:ascii="Book Antiqua" w:hAnsi="Book Antiqua"/>
          <w:i/>
          <w:szCs w:val="24"/>
        </w:rPr>
        <w:t>H. pylori</w:t>
      </w:r>
      <w:r w:rsidRPr="00CE6F35">
        <w:rPr>
          <w:rFonts w:ascii="Book Antiqua" w:hAnsi="Book Antiqua"/>
          <w:szCs w:val="24"/>
        </w:rPr>
        <w:t xml:space="preserve"> infection. The inter-day coefficient variations (CV) of the negative and the positive control samples were 4.5% and 1.4%, respectively.</w:t>
      </w:r>
    </w:p>
    <w:p w:rsidR="00641FB0" w:rsidRPr="00CE6F35" w:rsidRDefault="00641FB0" w:rsidP="00325FA4">
      <w:pPr>
        <w:adjustRightInd w:val="0"/>
        <w:snapToGrid w:val="0"/>
        <w:ind w:firstLineChars="100" w:firstLine="240"/>
        <w:rPr>
          <w:rFonts w:ascii="Book Antiqua" w:hAnsi="Book Antiqua"/>
          <w:szCs w:val="24"/>
        </w:rPr>
      </w:pPr>
      <w:r w:rsidRPr="00CE6F35">
        <w:rPr>
          <w:rFonts w:ascii="Book Antiqua" w:hAnsi="Book Antiqua"/>
          <w:szCs w:val="24"/>
        </w:rPr>
        <w:t>Diagnosis of GA was described elsewhere</w:t>
      </w:r>
      <w:r w:rsidRPr="00CE6F35">
        <w:rPr>
          <w:rFonts w:ascii="Book Antiqua" w:hAnsi="Book Antiqua"/>
          <w:noProof/>
          <w:szCs w:val="24"/>
          <w:vertAlign w:val="superscript"/>
        </w:rPr>
        <w:t>[23]</w:t>
      </w:r>
      <w:r w:rsidRPr="00CE6F35">
        <w:rPr>
          <w:rFonts w:ascii="Book Antiqua" w:hAnsi="Book Antiqua"/>
          <w:szCs w:val="24"/>
        </w:rPr>
        <w:t>. Briefly, serum pepsinogen I (PGI) and II (PGII) were quantified by ELISA kits (Biohit, Finland). Individuals with PGI</w:t>
      </w:r>
      <w:r w:rsidR="00325FA4" w:rsidRPr="00CE6F35">
        <w:rPr>
          <w:rFonts w:ascii="Book Antiqua" w:hAnsi="Book Antiqua" w:hint="eastAsia"/>
          <w:szCs w:val="24"/>
        </w:rPr>
        <w:t xml:space="preserve"> </w:t>
      </w:r>
      <w:r w:rsidRPr="00CE6F35">
        <w:rPr>
          <w:rFonts w:ascii="Book Antiqua" w:hAnsi="Book Antiqua"/>
          <w:szCs w:val="24"/>
        </w:rPr>
        <w:t>&lt;</w:t>
      </w:r>
      <w:r w:rsidR="00325FA4" w:rsidRPr="00CE6F35">
        <w:rPr>
          <w:rFonts w:ascii="Book Antiqua" w:hAnsi="Book Antiqua" w:hint="eastAsia"/>
          <w:szCs w:val="24"/>
        </w:rPr>
        <w:t xml:space="preserve"> </w:t>
      </w:r>
      <w:r w:rsidRPr="00CE6F35">
        <w:rPr>
          <w:rFonts w:ascii="Book Antiqua" w:hAnsi="Book Antiqua"/>
          <w:szCs w:val="24"/>
        </w:rPr>
        <w:t>82.3</w:t>
      </w:r>
      <w:r w:rsidR="00325FA4" w:rsidRPr="00CE6F35">
        <w:rPr>
          <w:rFonts w:ascii="Book Antiqua" w:hAnsi="Book Antiqua" w:hint="eastAsia"/>
          <w:szCs w:val="24"/>
        </w:rPr>
        <w:t xml:space="preserve"> </w:t>
      </w:r>
      <w:r w:rsidRPr="00CE6F35">
        <w:rPr>
          <w:rFonts w:ascii="Book Antiqua" w:hAnsi="Book Antiqua"/>
          <w:szCs w:val="24"/>
        </w:rPr>
        <w:t>ng/m</w:t>
      </w:r>
      <w:r w:rsidR="00325FA4" w:rsidRPr="00CE6F35">
        <w:rPr>
          <w:rFonts w:ascii="Book Antiqua" w:hAnsi="Book Antiqua" w:hint="eastAsia"/>
          <w:szCs w:val="24"/>
        </w:rPr>
        <w:t>L</w:t>
      </w:r>
      <w:r w:rsidRPr="00CE6F35">
        <w:rPr>
          <w:rFonts w:ascii="Book Antiqua" w:hAnsi="Book Antiqua"/>
          <w:szCs w:val="24"/>
        </w:rPr>
        <w:t xml:space="preserve"> and PGI/PGII</w:t>
      </w:r>
      <w:r w:rsidR="00325FA4" w:rsidRPr="00CE6F35">
        <w:rPr>
          <w:rFonts w:ascii="Book Antiqua" w:hAnsi="Book Antiqua" w:hint="eastAsia"/>
          <w:szCs w:val="24"/>
        </w:rPr>
        <w:t xml:space="preserve"> </w:t>
      </w:r>
      <w:r w:rsidRPr="00CE6F35">
        <w:rPr>
          <w:rFonts w:ascii="Book Antiqua" w:hAnsi="Book Antiqua"/>
          <w:szCs w:val="24"/>
        </w:rPr>
        <w:t>&lt;</w:t>
      </w:r>
      <w:r w:rsidR="00325FA4" w:rsidRPr="00CE6F35">
        <w:rPr>
          <w:rFonts w:ascii="Book Antiqua" w:hAnsi="Book Antiqua" w:hint="eastAsia"/>
          <w:szCs w:val="24"/>
        </w:rPr>
        <w:t xml:space="preserve"> </w:t>
      </w:r>
      <w:r w:rsidRPr="00CE6F35">
        <w:rPr>
          <w:rFonts w:ascii="Book Antiqua" w:hAnsi="Book Antiqua"/>
          <w:szCs w:val="24"/>
        </w:rPr>
        <w:t>6.05 were diagnosed as GA.</w:t>
      </w:r>
      <w:r w:rsidR="00CE6F35" w:rsidRPr="00CE6F35">
        <w:rPr>
          <w:rFonts w:ascii="Book Antiqua" w:hAnsi="Book Antiqua"/>
          <w:szCs w:val="24"/>
        </w:rPr>
        <w:t xml:space="preserve"> </w:t>
      </w:r>
    </w:p>
    <w:p w:rsidR="00325FA4" w:rsidRPr="00CE6F35" w:rsidRDefault="00325FA4" w:rsidP="00325FA4">
      <w:pPr>
        <w:adjustRightInd w:val="0"/>
        <w:snapToGrid w:val="0"/>
        <w:ind w:firstLineChars="100" w:firstLine="240"/>
        <w:rPr>
          <w:rFonts w:ascii="Book Antiqua" w:hAnsi="Book Antiqua"/>
          <w:szCs w:val="24"/>
        </w:rPr>
      </w:pPr>
    </w:p>
    <w:p w:rsidR="00641FB0" w:rsidRPr="00CE6F35" w:rsidRDefault="00641FB0" w:rsidP="00F24268">
      <w:pPr>
        <w:adjustRightInd w:val="0"/>
        <w:snapToGrid w:val="0"/>
        <w:rPr>
          <w:rFonts w:ascii="Book Antiqua" w:hAnsi="Book Antiqua"/>
          <w:b/>
          <w:i/>
          <w:szCs w:val="24"/>
        </w:rPr>
      </w:pPr>
      <w:bookmarkStart w:id="296" w:name="OLE_LINK39"/>
      <w:bookmarkStart w:id="297" w:name="OLE_LINK40"/>
      <w:r w:rsidRPr="00CE6F35">
        <w:rPr>
          <w:rFonts w:ascii="Book Antiqua" w:hAnsi="Book Antiqua"/>
          <w:b/>
          <w:i/>
          <w:szCs w:val="24"/>
        </w:rPr>
        <w:t>Immunohistochemistry</w:t>
      </w:r>
      <w:bookmarkEnd w:id="296"/>
      <w:bookmarkEnd w:id="297"/>
      <w:r w:rsidRPr="00CE6F35">
        <w:rPr>
          <w:rFonts w:ascii="Book Antiqua" w:hAnsi="Book Antiqua"/>
          <w:b/>
          <w:i/>
          <w:szCs w:val="24"/>
        </w:rPr>
        <w:t xml:space="preserve"> of CD24</w:t>
      </w:r>
    </w:p>
    <w:p w:rsidR="00641FB0" w:rsidRPr="00CE6F35" w:rsidRDefault="00641FB0" w:rsidP="00F24268">
      <w:pPr>
        <w:adjustRightInd w:val="0"/>
        <w:snapToGrid w:val="0"/>
        <w:rPr>
          <w:rFonts w:ascii="Book Antiqua" w:hAnsi="Book Antiqua"/>
          <w:szCs w:val="24"/>
        </w:rPr>
      </w:pPr>
      <w:r w:rsidRPr="00CE6F35">
        <w:rPr>
          <w:rFonts w:ascii="Book Antiqua" w:hAnsi="Book Antiqua"/>
          <w:szCs w:val="24"/>
        </w:rPr>
        <w:t>CD24 expression was assessed in tumor tissue of 131 gastric cancer patients by immunohistochemistry (IHC) method. The detailed procedure is described elsewhere</w:t>
      </w:r>
      <w:r w:rsidRPr="00CE6F35">
        <w:rPr>
          <w:rFonts w:ascii="Book Antiqua" w:hAnsi="Book Antiqua"/>
          <w:noProof/>
          <w:szCs w:val="24"/>
          <w:vertAlign w:val="superscript"/>
        </w:rPr>
        <w:t>[24]</w:t>
      </w:r>
      <w:r w:rsidRPr="00CE6F35">
        <w:rPr>
          <w:rFonts w:ascii="Book Antiqua" w:hAnsi="Book Antiqua"/>
          <w:szCs w:val="24"/>
        </w:rPr>
        <w:t xml:space="preserve">. Briefly, the 4-μm-wide tissue sections were deparaffinized and stained using a streptavidin-biotin immunoperoxidase technique. All slides were then incubated with anti-human CD24 polyclonal antibody (1:100 diluted, sc-7034, </w:t>
      </w:r>
      <w:bookmarkStart w:id="298" w:name="OLE_LINK15"/>
      <w:bookmarkStart w:id="299" w:name="OLE_LINK16"/>
      <w:r w:rsidRPr="00CE6F35">
        <w:rPr>
          <w:rFonts w:ascii="Book Antiqua" w:hAnsi="Book Antiqua"/>
          <w:szCs w:val="24"/>
        </w:rPr>
        <w:t>Santa Cruz</w:t>
      </w:r>
      <w:bookmarkEnd w:id="298"/>
      <w:bookmarkEnd w:id="299"/>
      <w:r w:rsidRPr="00CE6F35">
        <w:rPr>
          <w:rFonts w:ascii="Book Antiqua" w:hAnsi="Book Antiqua"/>
          <w:szCs w:val="24"/>
        </w:rPr>
        <w:t>, USA) and developed by 3, 3-</w:t>
      </w:r>
      <w:bookmarkStart w:id="300" w:name="OLE_LINK13"/>
      <w:bookmarkStart w:id="301" w:name="OLE_LINK14"/>
      <w:r w:rsidRPr="00CE6F35">
        <w:rPr>
          <w:rFonts w:ascii="Book Antiqua" w:hAnsi="Book Antiqua"/>
          <w:szCs w:val="24"/>
        </w:rPr>
        <w:t>diaminobenzidine</w:t>
      </w:r>
      <w:bookmarkEnd w:id="300"/>
      <w:bookmarkEnd w:id="301"/>
      <w:r w:rsidRPr="00CE6F35">
        <w:rPr>
          <w:rFonts w:ascii="Book Antiqua" w:hAnsi="Book Antiqua"/>
          <w:szCs w:val="24"/>
        </w:rPr>
        <w:t xml:space="preserve"> (DAB). As negative controls, the slides were treated with the IgG isotypes in </w:t>
      </w:r>
      <w:r w:rsidRPr="00CE6F35">
        <w:rPr>
          <w:rFonts w:ascii="Book Antiqua" w:hAnsi="Book Antiqua"/>
          <w:szCs w:val="24"/>
        </w:rPr>
        <w:lastRenderedPageBreak/>
        <w:t>place of primary antibodies and all negative controls demonstrated negligible background staining. The stained slides were independently evaluated by two pathologists (MSJ and YPW) who were blinded to clinical data and outcomes. The HSCORE system was used to assess the staining results and was calculated by a following equation:</w:t>
      </w:r>
      <m:oMath>
        <m:r>
          <m:rPr>
            <m:sty m:val="p"/>
          </m:rPr>
          <w:rPr>
            <w:rFonts w:ascii="Cambria Math" w:hAnsi="Cambria Math"/>
            <w:szCs w:val="24"/>
          </w:rPr>
          <m:t>HSCORE=</m:t>
        </m:r>
        <m:nary>
          <m:naryPr>
            <m:chr m:val="∑"/>
            <m:limLoc m:val="undOvr"/>
            <m:subHide m:val="1"/>
            <m:supHide m:val="1"/>
            <m:ctrlPr>
              <w:rPr>
                <w:rFonts w:ascii="Cambria Math" w:hAnsi="Cambria Math"/>
                <w:szCs w:val="24"/>
              </w:rPr>
            </m:ctrlPr>
          </m:naryPr>
          <m:sub/>
          <m:sup/>
          <m:e>
            <m:r>
              <m:rPr>
                <m:sty m:val="p"/>
              </m:rPr>
              <w:rPr>
                <w:rFonts w:ascii="Cambria Math" w:hAnsi="Cambria Math"/>
                <w:szCs w:val="24"/>
              </w:rPr>
              <m:t>Pi</m:t>
            </m:r>
            <m:d>
              <m:dPr>
                <m:ctrlPr>
                  <w:rPr>
                    <w:rFonts w:ascii="Cambria Math" w:hAnsi="Cambria Math"/>
                    <w:szCs w:val="24"/>
                  </w:rPr>
                </m:ctrlPr>
              </m:dPr>
              <m:e>
                <m:r>
                  <m:rPr>
                    <m:sty m:val="p"/>
                  </m:rPr>
                  <w:rPr>
                    <w:rFonts w:ascii="Cambria Math" w:hAnsi="Cambria Math"/>
                    <w:szCs w:val="24"/>
                  </w:rPr>
                  <m:t>i</m:t>
                </m:r>
              </m:e>
            </m:d>
          </m:e>
        </m:nary>
      </m:oMath>
      <w:r w:rsidRPr="00CE6F35">
        <w:rPr>
          <w:rFonts w:ascii="Book Antiqua" w:hAnsi="Book Antiqua"/>
          <w:szCs w:val="24"/>
        </w:rPr>
        <w:t xml:space="preserve"> (</w:t>
      </w:r>
      <w:r w:rsidR="009B4F0D" w:rsidRPr="00CE6F35">
        <w:rPr>
          <w:rFonts w:ascii="Book Antiqua" w:hAnsi="Book Antiqua"/>
          <w:szCs w:val="24"/>
        </w:rPr>
        <w:t>I</w:t>
      </w:r>
      <w:r w:rsidR="009B4F0D" w:rsidRPr="00CE6F35">
        <w:rPr>
          <w:rFonts w:ascii="Book Antiqua" w:hAnsi="Book Antiqua" w:hint="eastAsia"/>
          <w:szCs w:val="24"/>
        </w:rPr>
        <w:t xml:space="preserve"> </w:t>
      </w:r>
      <w:r w:rsidRPr="00CE6F35">
        <w:rPr>
          <w:rFonts w:ascii="Book Antiqua" w:hAnsi="Book Antiqua"/>
          <w:szCs w:val="24"/>
        </w:rPr>
        <w:t>=</w:t>
      </w:r>
      <w:r w:rsidR="009B4F0D" w:rsidRPr="00CE6F35">
        <w:rPr>
          <w:rFonts w:ascii="Book Antiqua" w:hAnsi="Book Antiqua" w:hint="eastAsia"/>
          <w:szCs w:val="24"/>
        </w:rPr>
        <w:t xml:space="preserve"> </w:t>
      </w:r>
      <w:r w:rsidRPr="00CE6F35">
        <w:rPr>
          <w:rFonts w:ascii="Book Antiqua" w:hAnsi="Book Antiqua"/>
          <w:szCs w:val="24"/>
        </w:rPr>
        <w:t>0, 1, 2, 3, Pi</w:t>
      </w:r>
      <w:r w:rsidR="009B4F0D" w:rsidRPr="00CE6F35">
        <w:rPr>
          <w:rFonts w:ascii="Book Antiqua" w:hAnsi="Book Antiqua" w:hint="eastAsia"/>
          <w:szCs w:val="24"/>
        </w:rPr>
        <w:t xml:space="preserve"> </w:t>
      </w:r>
      <w:r w:rsidRPr="00CE6F35">
        <w:rPr>
          <w:rFonts w:ascii="Book Antiqua" w:hAnsi="Book Antiqua"/>
          <w:szCs w:val="24"/>
        </w:rPr>
        <w:t>=</w:t>
      </w:r>
      <w:r w:rsidR="009B4F0D" w:rsidRPr="00CE6F35">
        <w:rPr>
          <w:rFonts w:ascii="Book Antiqua" w:hAnsi="Book Antiqua" w:hint="eastAsia"/>
          <w:szCs w:val="24"/>
        </w:rPr>
        <w:t xml:space="preserve"> </w:t>
      </w:r>
      <w:r w:rsidRPr="00CE6F35">
        <w:rPr>
          <w:rFonts w:ascii="Book Antiqua" w:hAnsi="Book Antiqua"/>
          <w:szCs w:val="24"/>
        </w:rPr>
        <w:t>0</w:t>
      </w:r>
      <w:r w:rsidR="009B4F0D" w:rsidRPr="00CE6F35">
        <w:rPr>
          <w:rFonts w:ascii="Book Antiqua" w:hAnsi="Book Antiqua" w:hint="eastAsia"/>
          <w:szCs w:val="24"/>
        </w:rPr>
        <w:t>-</w:t>
      </w:r>
      <w:r w:rsidRPr="00CE6F35">
        <w:rPr>
          <w:rFonts w:ascii="Book Antiqua" w:hAnsi="Book Antiqua"/>
          <w:szCs w:val="24"/>
        </w:rPr>
        <w:t>100). The i means the intensity of staining</w:t>
      </w:r>
      <w:bookmarkStart w:id="302" w:name="OLE_LINK50"/>
      <w:bookmarkStart w:id="303" w:name="OLE_LINK51"/>
      <w:r w:rsidRPr="00CE6F35">
        <w:rPr>
          <w:rFonts w:ascii="Book Antiqua" w:hAnsi="Book Antiqua"/>
          <w:szCs w:val="24"/>
        </w:rPr>
        <w:t xml:space="preserve"> (</w:t>
      </w:r>
      <w:bookmarkEnd w:id="302"/>
      <w:bookmarkEnd w:id="303"/>
      <w:r w:rsidRPr="00CE6F35">
        <w:rPr>
          <w:rFonts w:ascii="Book Antiqua" w:hAnsi="Book Antiqua"/>
          <w:szCs w:val="24"/>
        </w:rPr>
        <w:t xml:space="preserve">no staining: 0; weak staining: 1; moderate staining: 2; and strong staining: 3). Pi represents percentages (0-100) of stained cells with intensities. The HSCORE ranges from 0 to 300. </w:t>
      </w:r>
    </w:p>
    <w:p w:rsidR="009B4F0D" w:rsidRPr="00CE6F35" w:rsidRDefault="009B4F0D" w:rsidP="00F24268">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b/>
          <w:i/>
          <w:szCs w:val="24"/>
        </w:rPr>
      </w:pPr>
      <w:r w:rsidRPr="00CE6F35">
        <w:rPr>
          <w:rFonts w:ascii="Book Antiqua" w:hAnsi="Book Antiqua"/>
          <w:b/>
          <w:i/>
          <w:szCs w:val="24"/>
        </w:rPr>
        <w:t>Statistical analysis</w:t>
      </w:r>
    </w:p>
    <w:p w:rsidR="00641FB0" w:rsidRPr="00CE6F35" w:rsidRDefault="00641FB0" w:rsidP="00F24268">
      <w:pPr>
        <w:adjustRightInd w:val="0"/>
        <w:snapToGrid w:val="0"/>
        <w:rPr>
          <w:rFonts w:ascii="Book Antiqua" w:hAnsi="Book Antiqua"/>
          <w:szCs w:val="24"/>
        </w:rPr>
      </w:pPr>
      <w:r w:rsidRPr="00CE6F35">
        <w:rPr>
          <w:rFonts w:ascii="Book Antiqua" w:hAnsi="Book Antiqua"/>
          <w:szCs w:val="24"/>
        </w:rPr>
        <w:t>Continuous data were summarized as medians (25</w:t>
      </w:r>
      <w:r w:rsidRPr="00CE6F35">
        <w:rPr>
          <w:rFonts w:ascii="Book Antiqua" w:hAnsi="Book Antiqua"/>
          <w:szCs w:val="24"/>
          <w:vertAlign w:val="superscript"/>
        </w:rPr>
        <w:t>th</w:t>
      </w:r>
      <w:r w:rsidRPr="00CE6F35">
        <w:rPr>
          <w:rFonts w:ascii="Book Antiqua" w:hAnsi="Book Antiqua"/>
          <w:szCs w:val="24"/>
        </w:rPr>
        <w:t xml:space="preserve"> to 75</w:t>
      </w:r>
      <w:r w:rsidRPr="00CE6F35">
        <w:rPr>
          <w:rFonts w:ascii="Book Antiqua" w:hAnsi="Book Antiqua"/>
          <w:szCs w:val="24"/>
          <w:vertAlign w:val="superscript"/>
        </w:rPr>
        <w:t>th</w:t>
      </w:r>
      <w:r w:rsidRPr="00CE6F35">
        <w:rPr>
          <w:rFonts w:ascii="Book Antiqua" w:hAnsi="Book Antiqua"/>
          <w:szCs w:val="24"/>
        </w:rPr>
        <w:t xml:space="preserve"> percentiles) and compared by Mann-Whitney </w:t>
      </w:r>
      <w:r w:rsidRPr="00CE6F35">
        <w:rPr>
          <w:rFonts w:ascii="Book Antiqua" w:hAnsi="Book Antiqua"/>
          <w:i/>
          <w:szCs w:val="24"/>
        </w:rPr>
        <w:t>U</w:t>
      </w:r>
      <w:r w:rsidRPr="00CE6F35">
        <w:rPr>
          <w:rFonts w:ascii="Book Antiqua" w:hAnsi="Book Antiqua"/>
          <w:szCs w:val="24"/>
        </w:rPr>
        <w:t xml:space="preserve"> test or </w:t>
      </w:r>
      <w:bookmarkStart w:id="304" w:name="OLE_LINK1"/>
      <w:bookmarkStart w:id="305" w:name="OLE_LINK2"/>
      <w:r w:rsidRPr="00CE6F35">
        <w:rPr>
          <w:rFonts w:ascii="Book Antiqua" w:hAnsi="Book Antiqua"/>
          <w:szCs w:val="24"/>
        </w:rPr>
        <w:t>Kruskal-Wallis</w:t>
      </w:r>
      <w:bookmarkEnd w:id="304"/>
      <w:bookmarkEnd w:id="305"/>
      <w:r w:rsidRPr="00CE6F35">
        <w:rPr>
          <w:rFonts w:ascii="Book Antiqua" w:hAnsi="Book Antiqua"/>
          <w:szCs w:val="24"/>
        </w:rPr>
        <w:t xml:space="preserve"> test. Categorical variables were described as frequencies and percentages and compared using χ</w:t>
      </w:r>
      <w:r w:rsidRPr="00CE6F35">
        <w:rPr>
          <w:rFonts w:ascii="Book Antiqua" w:hAnsi="Book Antiqua"/>
          <w:szCs w:val="24"/>
          <w:vertAlign w:val="superscript"/>
        </w:rPr>
        <w:t>2</w:t>
      </w:r>
      <w:r w:rsidRPr="00CE6F35">
        <w:rPr>
          <w:rFonts w:ascii="Book Antiqua" w:hAnsi="Book Antiqua"/>
          <w:szCs w:val="24"/>
        </w:rPr>
        <w:t>-test. Correlations between SNPs and risk of GC or GA were demonstrated by</w:t>
      </w:r>
      <w:r w:rsidRPr="00CE6F35">
        <w:rPr>
          <w:rFonts w:ascii="Book Antiqua" w:hAnsi="Book Antiqua"/>
          <w:i/>
          <w:szCs w:val="24"/>
        </w:rPr>
        <w:t xml:space="preserve"> P</w:t>
      </w:r>
      <w:r w:rsidRPr="00CE6F35">
        <w:rPr>
          <w:rFonts w:ascii="Book Antiqua" w:hAnsi="Book Antiqua"/>
          <w:szCs w:val="24"/>
        </w:rPr>
        <w:t xml:space="preserve"> values and odd ratios (ORs) wit</w:t>
      </w:r>
      <w:r w:rsidR="009B4F0D" w:rsidRPr="00CE6F35">
        <w:rPr>
          <w:rFonts w:ascii="Book Antiqua" w:hAnsi="Book Antiqua"/>
          <w:szCs w:val="24"/>
        </w:rPr>
        <w:t>h 95% confidence intervals (95%</w:t>
      </w:r>
      <w:r w:rsidRPr="00CE6F35">
        <w:rPr>
          <w:rFonts w:ascii="Book Antiqua" w:hAnsi="Book Antiqua"/>
          <w:szCs w:val="24"/>
        </w:rPr>
        <w:t xml:space="preserve">CI) compared with the most common genotype of each SNP. The </w:t>
      </w:r>
      <w:r w:rsidRPr="00CE6F35">
        <w:rPr>
          <w:rFonts w:ascii="Book Antiqua" w:hAnsi="Book Antiqua"/>
          <w:i/>
          <w:szCs w:val="24"/>
        </w:rPr>
        <w:t xml:space="preserve">P </w:t>
      </w:r>
      <w:r w:rsidR="009B4F0D" w:rsidRPr="00CE6F35">
        <w:rPr>
          <w:rFonts w:ascii="Book Antiqua" w:hAnsi="Book Antiqua"/>
          <w:szCs w:val="24"/>
        </w:rPr>
        <w:t>values and ORs with 95%</w:t>
      </w:r>
      <w:r w:rsidRPr="00CE6F35">
        <w:rPr>
          <w:rFonts w:ascii="Book Antiqua" w:hAnsi="Book Antiqua"/>
          <w:szCs w:val="24"/>
        </w:rPr>
        <w:t xml:space="preserve">CIs were calculated using the unconditional logistic regression model after adjusting for age, sex and </w:t>
      </w:r>
      <w:r w:rsidRPr="00CE6F35">
        <w:rPr>
          <w:rFonts w:ascii="Book Antiqua" w:hAnsi="Book Antiqua"/>
          <w:i/>
          <w:szCs w:val="24"/>
        </w:rPr>
        <w:t xml:space="preserve">H. pylori </w:t>
      </w:r>
      <w:r w:rsidRPr="00CE6F35">
        <w:rPr>
          <w:rFonts w:ascii="Book Antiqua" w:hAnsi="Book Antiqua"/>
          <w:szCs w:val="24"/>
        </w:rPr>
        <w:t>infection. Survival functions of the GC patients within each SNP were plotted by Kaplan-Meier method and compared by log-rank test using the recessive mode</w:t>
      </w:r>
      <w:r w:rsidR="009B4F0D" w:rsidRPr="00CE6F35">
        <w:rPr>
          <w:rFonts w:ascii="Book Antiqua" w:hAnsi="Book Antiqua"/>
          <w:szCs w:val="24"/>
        </w:rPr>
        <w:t>l. Hazard ratios (HRs) with 95%</w:t>
      </w:r>
      <w:r w:rsidRPr="00CE6F35">
        <w:rPr>
          <w:rFonts w:ascii="Book Antiqua" w:hAnsi="Book Antiqua"/>
          <w:szCs w:val="24"/>
        </w:rPr>
        <w:t xml:space="preserve">CIs were used to quantify the influence of genotypes of each SNP on overall survival and were calculated with Cox regression model after adjusting for age, sex, histological type, tumor differentiation, </w:t>
      </w:r>
      <w:r w:rsidR="00A77AD5" w:rsidRPr="00CE6F35">
        <w:rPr>
          <w:rFonts w:ascii="Book Antiqua" w:hAnsi="Book Antiqua"/>
          <w:szCs w:val="24"/>
        </w:rPr>
        <w:t xml:space="preserve">clinical stage and </w:t>
      </w:r>
      <w:r w:rsidR="00A77AD5" w:rsidRPr="00CE6F35">
        <w:rPr>
          <w:rFonts w:ascii="Book Antiqua" w:eastAsia="SimSun" w:hAnsi="Book Antiqua" w:cs="SimSun"/>
          <w:kern w:val="0"/>
          <w:szCs w:val="24"/>
        </w:rPr>
        <w:t>post-operational chemotherapy</w:t>
      </w:r>
      <w:r w:rsidRPr="00CE6F35">
        <w:rPr>
          <w:rFonts w:ascii="Book Antiqua" w:hAnsi="Book Antiqua"/>
          <w:szCs w:val="24"/>
        </w:rPr>
        <w:t>. For haplotypes with frequencies &gt;</w:t>
      </w:r>
      <w:r w:rsidR="009B4F0D" w:rsidRPr="00CE6F35">
        <w:rPr>
          <w:rFonts w:ascii="Book Antiqua" w:hAnsi="Book Antiqua" w:hint="eastAsia"/>
          <w:szCs w:val="24"/>
        </w:rPr>
        <w:t xml:space="preserve"> </w:t>
      </w:r>
      <w:r w:rsidRPr="00CE6F35">
        <w:rPr>
          <w:rFonts w:ascii="Book Antiqua" w:hAnsi="Book Antiqua"/>
          <w:szCs w:val="24"/>
        </w:rPr>
        <w:t xml:space="preserve">1%, their associations with risk of GC or GA were assessed compared to the most common haplotype using the logistic regression model with the </w:t>
      </w:r>
      <w:bookmarkStart w:id="306" w:name="OLE_LINK17"/>
      <w:r w:rsidRPr="00CE6F35">
        <w:rPr>
          <w:rFonts w:ascii="Book Antiqua" w:hAnsi="Book Antiqua"/>
          <w:szCs w:val="24"/>
        </w:rPr>
        <w:t>HAPSTAT</w:t>
      </w:r>
      <w:bookmarkEnd w:id="306"/>
      <w:r w:rsidRPr="00CE6F35">
        <w:rPr>
          <w:rFonts w:ascii="Book Antiqua" w:hAnsi="Book Antiqua"/>
          <w:szCs w:val="24"/>
        </w:rPr>
        <w:t xml:space="preserve"> software 3.0</w:t>
      </w:r>
      <w:r w:rsidRPr="00CE6F35">
        <w:rPr>
          <w:rFonts w:ascii="Book Antiqua" w:hAnsi="Book Antiqua"/>
          <w:noProof/>
          <w:szCs w:val="24"/>
          <w:vertAlign w:val="superscript"/>
        </w:rPr>
        <w:t>[25]</w:t>
      </w:r>
      <w:r w:rsidRPr="00CE6F35">
        <w:rPr>
          <w:rFonts w:ascii="Book Antiqua" w:hAnsi="Book Antiqua"/>
          <w:szCs w:val="24"/>
        </w:rPr>
        <w:t xml:space="preserve">. Unless otherwise stated, analyses were performed in SAS 9.1.3 software (SAS Institute Inc, USA). A two-tailed </w:t>
      </w:r>
      <w:r w:rsidRPr="00CE6F35">
        <w:rPr>
          <w:rFonts w:ascii="Book Antiqua" w:hAnsi="Book Antiqua"/>
          <w:i/>
          <w:szCs w:val="24"/>
        </w:rPr>
        <w:t>P</w:t>
      </w:r>
      <w:r w:rsidRPr="00CE6F35">
        <w:rPr>
          <w:rFonts w:ascii="Book Antiqua" w:hAnsi="Book Antiqua"/>
          <w:szCs w:val="24"/>
        </w:rPr>
        <w:t xml:space="preserve"> value</w:t>
      </w:r>
      <w:r w:rsidR="00044EBB">
        <w:rPr>
          <w:rFonts w:ascii="Book Antiqua" w:hAnsi="Book Antiqua" w:hint="eastAsia"/>
          <w:szCs w:val="24"/>
        </w:rPr>
        <w:t xml:space="preserve"> </w:t>
      </w:r>
      <w:r w:rsidRPr="00CE6F35">
        <w:rPr>
          <w:rFonts w:ascii="Book Antiqua" w:hAnsi="Book Antiqua"/>
          <w:szCs w:val="24"/>
        </w:rPr>
        <w:t>&lt;</w:t>
      </w:r>
      <w:r w:rsidR="00044EBB">
        <w:rPr>
          <w:rFonts w:ascii="Book Antiqua" w:hAnsi="Book Antiqua" w:hint="eastAsia"/>
          <w:szCs w:val="24"/>
        </w:rPr>
        <w:t xml:space="preserve"> </w:t>
      </w:r>
      <w:r w:rsidRPr="00CE6F35">
        <w:rPr>
          <w:rFonts w:ascii="Book Antiqua" w:hAnsi="Book Antiqua"/>
          <w:szCs w:val="24"/>
        </w:rPr>
        <w:t>0.05 was considered to be statistically significant.</w:t>
      </w:r>
    </w:p>
    <w:p w:rsidR="009B4F0D" w:rsidRPr="00CE6F35" w:rsidRDefault="009B4F0D" w:rsidP="00F24268">
      <w:pPr>
        <w:adjustRightInd w:val="0"/>
        <w:snapToGrid w:val="0"/>
        <w:rPr>
          <w:rFonts w:ascii="Book Antiqua" w:hAnsi="Book Antiqua"/>
          <w:szCs w:val="24"/>
        </w:rPr>
      </w:pPr>
    </w:p>
    <w:p w:rsidR="00641FB0" w:rsidRPr="00CE6F35" w:rsidRDefault="009B4F0D" w:rsidP="00F24268">
      <w:pPr>
        <w:pStyle w:val="Heading1"/>
        <w:adjustRightInd w:val="0"/>
        <w:snapToGrid w:val="0"/>
        <w:spacing w:before="0" w:after="0" w:line="360" w:lineRule="auto"/>
        <w:rPr>
          <w:rStyle w:val="highlight"/>
          <w:rFonts w:ascii="Book Antiqua" w:hAnsi="Book Antiqua"/>
          <w:sz w:val="24"/>
          <w:szCs w:val="24"/>
          <w:shd w:val="clear" w:color="auto" w:fill="FFFFFF"/>
        </w:rPr>
      </w:pPr>
      <w:r w:rsidRPr="00CE6F35">
        <w:rPr>
          <w:rStyle w:val="highlight"/>
          <w:rFonts w:ascii="Book Antiqua" w:hAnsi="Book Antiqua"/>
          <w:sz w:val="24"/>
          <w:szCs w:val="24"/>
          <w:shd w:val="clear" w:color="auto" w:fill="FFFFFF"/>
        </w:rPr>
        <w:lastRenderedPageBreak/>
        <w:t>RESULTS</w:t>
      </w:r>
    </w:p>
    <w:p w:rsidR="00641FB0" w:rsidRPr="00CE6F35" w:rsidRDefault="00641FB0" w:rsidP="00F24268">
      <w:pPr>
        <w:adjustRightInd w:val="0"/>
        <w:snapToGrid w:val="0"/>
        <w:rPr>
          <w:rFonts w:ascii="Book Antiqua" w:hAnsi="Book Antiqua"/>
          <w:b/>
          <w:i/>
          <w:szCs w:val="24"/>
        </w:rPr>
      </w:pPr>
      <w:r w:rsidRPr="00CE6F35">
        <w:rPr>
          <w:rFonts w:ascii="Book Antiqua" w:hAnsi="Book Antiqua"/>
          <w:b/>
          <w:i/>
          <w:szCs w:val="24"/>
        </w:rPr>
        <w:t>Subject characteristics</w:t>
      </w:r>
    </w:p>
    <w:p w:rsidR="00641FB0" w:rsidRPr="00CE6F35" w:rsidRDefault="00641FB0" w:rsidP="00F24268">
      <w:pPr>
        <w:adjustRightInd w:val="0"/>
        <w:snapToGrid w:val="0"/>
        <w:rPr>
          <w:rFonts w:ascii="Book Antiqua" w:hAnsi="Book Antiqua"/>
          <w:szCs w:val="24"/>
        </w:rPr>
      </w:pPr>
      <w:r w:rsidRPr="00CE6F35">
        <w:rPr>
          <w:rFonts w:ascii="Book Antiqua" w:hAnsi="Book Antiqua"/>
          <w:szCs w:val="24"/>
        </w:rPr>
        <w:t xml:space="preserve">A total of 679 GC cases, 111 GA cases and 976 tumor-free controls were included in the study. The baseline characteristics of the subjects are summarized in Table 2. The GC group was oldest in the three group and the control group was youngest (median age: 61.0 </w:t>
      </w:r>
      <w:r w:rsidR="009B4F0D" w:rsidRPr="00CE6F35">
        <w:rPr>
          <w:rFonts w:ascii="Book Antiqua" w:hAnsi="Book Antiqua"/>
          <w:i/>
          <w:szCs w:val="24"/>
        </w:rPr>
        <w:t>vs</w:t>
      </w:r>
      <w:r w:rsidRPr="00CE6F35">
        <w:rPr>
          <w:rFonts w:ascii="Book Antiqua" w:hAnsi="Book Antiqua"/>
          <w:szCs w:val="24"/>
        </w:rPr>
        <w:t xml:space="preserve"> 50.0 </w:t>
      </w:r>
      <w:r w:rsidR="009B4F0D" w:rsidRPr="00CE6F35">
        <w:rPr>
          <w:rFonts w:ascii="Book Antiqua" w:hAnsi="Book Antiqua"/>
          <w:i/>
          <w:szCs w:val="24"/>
        </w:rPr>
        <w:t>vs</w:t>
      </w:r>
      <w:r w:rsidRPr="00CE6F35">
        <w:rPr>
          <w:rFonts w:ascii="Book Antiqua" w:hAnsi="Book Antiqua"/>
          <w:szCs w:val="24"/>
        </w:rPr>
        <w:t xml:space="preserve"> 48.5 years, </w:t>
      </w:r>
      <w:r w:rsidRPr="00CE6F35">
        <w:rPr>
          <w:rFonts w:ascii="Book Antiqua" w:hAnsi="Book Antiqua"/>
          <w:i/>
          <w:szCs w:val="24"/>
        </w:rPr>
        <w:t>P</w:t>
      </w:r>
      <w:r w:rsidR="009B4F0D" w:rsidRPr="00CE6F35">
        <w:rPr>
          <w:rFonts w:ascii="Book Antiqua" w:hAnsi="Book Antiqua" w:hint="eastAsia"/>
          <w:i/>
          <w:szCs w:val="24"/>
        </w:rPr>
        <w:t xml:space="preserve"> </w:t>
      </w:r>
      <w:r w:rsidRPr="00CE6F35">
        <w:rPr>
          <w:rFonts w:ascii="Book Antiqua" w:hAnsi="Book Antiqua"/>
          <w:szCs w:val="24"/>
        </w:rPr>
        <w:t>&lt;</w:t>
      </w:r>
      <w:r w:rsidR="009B4F0D" w:rsidRPr="00CE6F35">
        <w:rPr>
          <w:rFonts w:ascii="Book Antiqua" w:hAnsi="Book Antiqua" w:hint="eastAsia"/>
          <w:szCs w:val="24"/>
        </w:rPr>
        <w:t xml:space="preserve"> </w:t>
      </w:r>
      <w:r w:rsidRPr="00CE6F35">
        <w:rPr>
          <w:rFonts w:ascii="Book Antiqua" w:hAnsi="Book Antiqua"/>
          <w:szCs w:val="24"/>
        </w:rPr>
        <w:t xml:space="preserve">0.001 for all pairwise comparisons). And there were more males in the cancer group (71.7% </w:t>
      </w:r>
      <w:r w:rsidR="009B4F0D" w:rsidRPr="00CE6F35">
        <w:rPr>
          <w:rFonts w:ascii="Book Antiqua" w:hAnsi="Book Antiqua"/>
          <w:i/>
          <w:szCs w:val="24"/>
        </w:rPr>
        <w:t>vs</w:t>
      </w:r>
      <w:r w:rsidRPr="00CE6F35">
        <w:rPr>
          <w:rFonts w:ascii="Book Antiqua" w:hAnsi="Book Antiqua"/>
          <w:szCs w:val="24"/>
        </w:rPr>
        <w:t xml:space="preserve"> 59.5% </w:t>
      </w:r>
      <w:r w:rsidR="009B4F0D" w:rsidRPr="00CE6F35">
        <w:rPr>
          <w:rFonts w:ascii="Book Antiqua" w:hAnsi="Book Antiqua"/>
          <w:i/>
          <w:szCs w:val="24"/>
        </w:rPr>
        <w:t>vs</w:t>
      </w:r>
      <w:r w:rsidR="009B4F0D" w:rsidRPr="00CE6F35">
        <w:rPr>
          <w:rFonts w:ascii="Book Antiqua" w:hAnsi="Book Antiqua" w:hint="eastAsia"/>
          <w:i/>
          <w:szCs w:val="24"/>
        </w:rPr>
        <w:t xml:space="preserve"> </w:t>
      </w:r>
      <w:r w:rsidRPr="00CE6F35">
        <w:rPr>
          <w:rFonts w:ascii="Book Antiqua" w:hAnsi="Book Antiqua"/>
          <w:szCs w:val="24"/>
        </w:rPr>
        <w:t xml:space="preserve">59.2%, </w:t>
      </w:r>
      <w:r w:rsidRPr="00CE6F35">
        <w:rPr>
          <w:rFonts w:ascii="Book Antiqua" w:hAnsi="Book Antiqua"/>
          <w:i/>
          <w:szCs w:val="24"/>
        </w:rPr>
        <w:t>P</w:t>
      </w:r>
      <w:r w:rsidR="009B4F0D" w:rsidRPr="00CE6F35">
        <w:rPr>
          <w:rFonts w:ascii="Book Antiqua" w:hAnsi="Book Antiqua" w:hint="eastAsia"/>
          <w:i/>
          <w:szCs w:val="24"/>
        </w:rPr>
        <w:t xml:space="preserve"> </w:t>
      </w:r>
      <w:r w:rsidRPr="00CE6F35">
        <w:rPr>
          <w:rFonts w:ascii="Book Antiqua" w:hAnsi="Book Antiqua"/>
          <w:szCs w:val="24"/>
        </w:rPr>
        <w:t>&lt;</w:t>
      </w:r>
      <w:r w:rsidR="009B4F0D" w:rsidRPr="00CE6F35">
        <w:rPr>
          <w:rFonts w:ascii="Book Antiqua" w:hAnsi="Book Antiqua" w:hint="eastAsia"/>
          <w:szCs w:val="24"/>
        </w:rPr>
        <w:t xml:space="preserve"> </w:t>
      </w:r>
      <w:r w:rsidRPr="00CE6F35">
        <w:rPr>
          <w:rFonts w:ascii="Book Antiqua" w:hAnsi="Book Antiqua"/>
          <w:szCs w:val="24"/>
        </w:rPr>
        <w:t>0.001 for comparisons to the atrophy cases or the controls). In the GC group, 67.8% were positive for</w:t>
      </w:r>
      <w:r w:rsidRPr="00CE6F35">
        <w:rPr>
          <w:rFonts w:ascii="Book Antiqua" w:hAnsi="Book Antiqua"/>
          <w:i/>
          <w:szCs w:val="24"/>
        </w:rPr>
        <w:t xml:space="preserve"> H. pylori </w:t>
      </w:r>
      <w:r w:rsidRPr="00CE6F35">
        <w:rPr>
          <w:rFonts w:ascii="Book Antiqua" w:hAnsi="Book Antiqua"/>
          <w:szCs w:val="24"/>
        </w:rPr>
        <w:t xml:space="preserve">infection, significantly higher than the control group (49.7%, </w:t>
      </w:r>
      <w:r w:rsidRPr="00CE6F35">
        <w:rPr>
          <w:rFonts w:ascii="Book Antiqua" w:hAnsi="Book Antiqua"/>
          <w:i/>
          <w:szCs w:val="24"/>
        </w:rPr>
        <w:t>P</w:t>
      </w:r>
      <w:r w:rsidR="009B4F0D" w:rsidRPr="00CE6F35">
        <w:rPr>
          <w:rFonts w:ascii="Book Antiqua" w:hAnsi="Book Antiqua" w:hint="eastAsia"/>
          <w:i/>
          <w:szCs w:val="24"/>
        </w:rPr>
        <w:t xml:space="preserve"> </w:t>
      </w:r>
      <w:r w:rsidRPr="00CE6F35">
        <w:rPr>
          <w:rFonts w:ascii="Book Antiqua" w:hAnsi="Book Antiqua"/>
          <w:szCs w:val="24"/>
        </w:rPr>
        <w:t>&lt;</w:t>
      </w:r>
      <w:r w:rsidR="009B4F0D" w:rsidRPr="00CE6F35">
        <w:rPr>
          <w:rFonts w:ascii="Book Antiqua" w:hAnsi="Book Antiqua" w:hint="eastAsia"/>
          <w:szCs w:val="24"/>
        </w:rPr>
        <w:t xml:space="preserve"> </w:t>
      </w:r>
      <w:r w:rsidRPr="00CE6F35">
        <w:rPr>
          <w:rFonts w:ascii="Book Antiqua" w:hAnsi="Book Antiqua"/>
          <w:szCs w:val="24"/>
        </w:rPr>
        <w:t xml:space="preserve">0.001) but non-significantly lower than the GA group (75.7%, </w:t>
      </w:r>
      <w:r w:rsidRPr="00CE6F35">
        <w:rPr>
          <w:rFonts w:ascii="Book Antiqua" w:hAnsi="Book Antiqua"/>
          <w:i/>
          <w:szCs w:val="24"/>
        </w:rPr>
        <w:t>P</w:t>
      </w:r>
      <w:r w:rsidR="009B4F0D" w:rsidRPr="00CE6F35">
        <w:rPr>
          <w:rFonts w:ascii="Book Antiqua" w:hAnsi="Book Antiqua" w:hint="eastAsia"/>
          <w:i/>
          <w:szCs w:val="24"/>
        </w:rPr>
        <w:t xml:space="preserve"> </w:t>
      </w:r>
      <w:r w:rsidRPr="00CE6F35">
        <w:rPr>
          <w:rFonts w:ascii="Book Antiqua" w:hAnsi="Book Antiqua"/>
          <w:szCs w:val="24"/>
        </w:rPr>
        <w:t>=</w:t>
      </w:r>
      <w:r w:rsidR="009B4F0D" w:rsidRPr="00CE6F35">
        <w:rPr>
          <w:rFonts w:ascii="Book Antiqua" w:hAnsi="Book Antiqua" w:hint="eastAsia"/>
          <w:szCs w:val="24"/>
        </w:rPr>
        <w:t xml:space="preserve"> </w:t>
      </w:r>
      <w:r w:rsidRPr="00CE6F35">
        <w:rPr>
          <w:rFonts w:ascii="Book Antiqua" w:hAnsi="Book Antiqua"/>
          <w:szCs w:val="24"/>
        </w:rPr>
        <w:t xml:space="preserve">0.097). Therefore, comparisons of genotype distribution below were adjusted by age, sex and </w:t>
      </w:r>
      <w:r w:rsidRPr="00CE6F35">
        <w:rPr>
          <w:rFonts w:ascii="Book Antiqua" w:hAnsi="Book Antiqua"/>
          <w:i/>
          <w:szCs w:val="24"/>
        </w:rPr>
        <w:t>H. pylori</w:t>
      </w:r>
      <w:r w:rsidRPr="00CE6F35">
        <w:rPr>
          <w:rFonts w:ascii="Book Antiqua" w:hAnsi="Book Antiqua"/>
          <w:szCs w:val="24"/>
        </w:rPr>
        <w:t xml:space="preserve"> infection.</w:t>
      </w:r>
    </w:p>
    <w:p w:rsidR="004607EA" w:rsidRPr="00CE6F35" w:rsidRDefault="004607EA" w:rsidP="009B4F0D">
      <w:pPr>
        <w:adjustRightInd w:val="0"/>
        <w:snapToGrid w:val="0"/>
        <w:ind w:firstLineChars="100" w:firstLine="240"/>
        <w:rPr>
          <w:rFonts w:ascii="Book Antiqua" w:hAnsi="Book Antiqua"/>
          <w:szCs w:val="24"/>
        </w:rPr>
      </w:pPr>
      <w:r w:rsidRPr="00CE6F35">
        <w:rPr>
          <w:rFonts w:ascii="Book Antiqua" w:hAnsi="Book Antiqua"/>
          <w:szCs w:val="24"/>
        </w:rPr>
        <w:t>The GC cases were mainly of tubular adenocarcinoma type (82.2%), with low-grade differentiation (68.4%), at TNM stage II (35.1%) or III (34.6%). One third of the cases received chemotherapy after operation (32.8%); 14.7% received FOLFOX-4 and 6.9% received XELOX.</w:t>
      </w:r>
    </w:p>
    <w:p w:rsidR="009B4F0D" w:rsidRPr="00CE6F35" w:rsidRDefault="009B4F0D" w:rsidP="009B4F0D">
      <w:pPr>
        <w:adjustRightInd w:val="0"/>
        <w:snapToGrid w:val="0"/>
        <w:ind w:firstLineChars="100" w:firstLine="240"/>
        <w:rPr>
          <w:rFonts w:ascii="Book Antiqua" w:hAnsi="Book Antiqua"/>
          <w:szCs w:val="24"/>
        </w:rPr>
      </w:pPr>
    </w:p>
    <w:p w:rsidR="00641FB0" w:rsidRPr="00CE6F35" w:rsidRDefault="00641FB0" w:rsidP="00F24268">
      <w:pPr>
        <w:adjustRightInd w:val="0"/>
        <w:snapToGrid w:val="0"/>
        <w:rPr>
          <w:rFonts w:ascii="Book Antiqua" w:hAnsi="Book Antiqua"/>
          <w:b/>
          <w:i/>
          <w:szCs w:val="24"/>
        </w:rPr>
      </w:pPr>
      <w:r w:rsidRPr="00CE6F35">
        <w:rPr>
          <w:rFonts w:ascii="Book Antiqua" w:hAnsi="Book Antiqua"/>
          <w:b/>
          <w:i/>
          <w:szCs w:val="24"/>
        </w:rPr>
        <w:t xml:space="preserve">Association of SNPs with risk of gastric cancer or gastric atrophy </w:t>
      </w:r>
    </w:p>
    <w:p w:rsidR="00641FB0" w:rsidRPr="00CE6F35" w:rsidRDefault="00641FB0" w:rsidP="00F24268">
      <w:pPr>
        <w:adjustRightInd w:val="0"/>
        <w:snapToGrid w:val="0"/>
        <w:rPr>
          <w:rFonts w:ascii="Book Antiqua" w:hAnsi="Book Antiqua"/>
          <w:szCs w:val="24"/>
        </w:rPr>
      </w:pPr>
      <w:r w:rsidRPr="00CE6F35">
        <w:rPr>
          <w:rFonts w:ascii="Book Antiqua" w:hAnsi="Book Antiqua"/>
          <w:szCs w:val="24"/>
        </w:rPr>
        <w:t xml:space="preserve">All of the three SNPs were in Hardy-Weinberg equilibrium in the control group (P-534: </w:t>
      </w:r>
      <w:r w:rsidRPr="00CE6F35">
        <w:rPr>
          <w:rFonts w:ascii="Book Antiqua" w:hAnsi="Book Antiqua"/>
          <w:i/>
          <w:szCs w:val="24"/>
        </w:rPr>
        <w:t>P</w:t>
      </w:r>
      <w:r w:rsidRPr="00CE6F35">
        <w:rPr>
          <w:rFonts w:ascii="Book Antiqua" w:hAnsi="Book Antiqua"/>
          <w:szCs w:val="24"/>
        </w:rPr>
        <w:t xml:space="preserve"> = 0.612; P170 </w:t>
      </w:r>
      <w:r w:rsidRPr="00CE6F35">
        <w:rPr>
          <w:rFonts w:ascii="Book Antiqua" w:hAnsi="Book Antiqua"/>
          <w:i/>
          <w:szCs w:val="24"/>
        </w:rPr>
        <w:t>P</w:t>
      </w:r>
      <w:r w:rsidRPr="00CE6F35">
        <w:rPr>
          <w:rFonts w:ascii="Book Antiqua" w:hAnsi="Book Antiqua"/>
          <w:szCs w:val="24"/>
        </w:rPr>
        <w:t xml:space="preserve"> = 0.413; P1527:</w:t>
      </w:r>
      <w:r w:rsidRPr="00CE6F35">
        <w:rPr>
          <w:rFonts w:ascii="Book Antiqua" w:hAnsi="Book Antiqua"/>
          <w:i/>
          <w:szCs w:val="24"/>
        </w:rPr>
        <w:t xml:space="preserve"> P</w:t>
      </w:r>
      <w:r w:rsidRPr="00CE6F35">
        <w:rPr>
          <w:rFonts w:ascii="Book Antiqua" w:hAnsi="Book Antiqua"/>
          <w:szCs w:val="24"/>
        </w:rPr>
        <w:t xml:space="preserve"> = 0.423). Distributions of genotypes and alleles are listed in Table 3. Compared with the most common genotype of each SNP, no difference was observed for the distributions of the three loci between the GC and control groups after adjusting for age, sex and </w:t>
      </w:r>
      <w:r w:rsidRPr="00CE6F35">
        <w:rPr>
          <w:rFonts w:ascii="Book Antiqua" w:hAnsi="Book Antiqua"/>
          <w:i/>
          <w:szCs w:val="24"/>
        </w:rPr>
        <w:t>H. pylori</w:t>
      </w:r>
      <w:r w:rsidRPr="00CE6F35">
        <w:rPr>
          <w:rFonts w:ascii="Book Antiqua" w:hAnsi="Book Antiqua"/>
          <w:szCs w:val="24"/>
        </w:rPr>
        <w:t xml:space="preserve"> infection. No allele or haplotype was associated with risk of GC. Similar negative results were obtained for GA risk (Table 3). Moreover, no associations were observed between SNPs and risk of</w:t>
      </w:r>
      <w:bookmarkStart w:id="307" w:name="OLE_LINK33"/>
      <w:bookmarkStart w:id="308" w:name="OLE_LINK34"/>
      <w:r w:rsidRPr="00CE6F35">
        <w:rPr>
          <w:rFonts w:ascii="Book Antiqua" w:hAnsi="Book Antiqua"/>
          <w:szCs w:val="24"/>
        </w:rPr>
        <w:t xml:space="preserve"> </w:t>
      </w:r>
      <w:r w:rsidRPr="00CE6F35">
        <w:rPr>
          <w:rFonts w:ascii="Book Antiqua" w:hAnsi="Book Antiqua"/>
          <w:i/>
          <w:szCs w:val="24"/>
        </w:rPr>
        <w:t>H. pylori</w:t>
      </w:r>
      <w:r w:rsidRPr="00CE6F35">
        <w:rPr>
          <w:rFonts w:ascii="Book Antiqua" w:hAnsi="Book Antiqua"/>
          <w:szCs w:val="24"/>
        </w:rPr>
        <w:t xml:space="preserve"> infectio</w:t>
      </w:r>
      <w:bookmarkEnd w:id="307"/>
      <w:bookmarkEnd w:id="308"/>
      <w:r w:rsidRPr="00CE6F35">
        <w:rPr>
          <w:rFonts w:ascii="Book Antiqua" w:hAnsi="Book Antiqua"/>
          <w:szCs w:val="24"/>
        </w:rPr>
        <w:t>n (data not shown).</w:t>
      </w:r>
    </w:p>
    <w:p w:rsidR="009B4F0D" w:rsidRPr="00CE6F35" w:rsidRDefault="009B4F0D" w:rsidP="00F24268">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b/>
          <w:i/>
          <w:szCs w:val="24"/>
        </w:rPr>
      </w:pPr>
      <w:bookmarkStart w:id="309" w:name="OLE_LINK37"/>
      <w:bookmarkStart w:id="310" w:name="OLE_LINK38"/>
      <w:r w:rsidRPr="00CE6F35">
        <w:rPr>
          <w:rFonts w:ascii="Book Antiqua" w:hAnsi="Book Antiqua"/>
          <w:b/>
          <w:i/>
          <w:szCs w:val="24"/>
        </w:rPr>
        <w:t>Association of SNPs with clinicopathologic parameters of GC</w:t>
      </w:r>
    </w:p>
    <w:bookmarkEnd w:id="309"/>
    <w:bookmarkEnd w:id="310"/>
    <w:p w:rsidR="00641FB0" w:rsidRPr="00CE6F35" w:rsidRDefault="00641FB0" w:rsidP="00F24268">
      <w:pPr>
        <w:adjustRightInd w:val="0"/>
        <w:snapToGrid w:val="0"/>
        <w:rPr>
          <w:rFonts w:ascii="Book Antiqua" w:hAnsi="Book Antiqua"/>
          <w:szCs w:val="24"/>
        </w:rPr>
      </w:pPr>
      <w:r w:rsidRPr="00CE6F35">
        <w:rPr>
          <w:rFonts w:ascii="Book Antiqua" w:hAnsi="Book Antiqua"/>
          <w:szCs w:val="24"/>
        </w:rPr>
        <w:t xml:space="preserve">Genotypic distributions of SNPs were analyzed by clinicopathologic </w:t>
      </w:r>
      <w:r w:rsidRPr="00CE6F35">
        <w:rPr>
          <w:rFonts w:ascii="Book Antiqua" w:hAnsi="Book Antiqua"/>
          <w:szCs w:val="24"/>
        </w:rPr>
        <w:lastRenderedPageBreak/>
        <w:t xml:space="preserve">parameters such as </w:t>
      </w:r>
      <w:bookmarkStart w:id="311" w:name="OLE_LINK56"/>
      <w:bookmarkStart w:id="312" w:name="OLE_LINK57"/>
      <w:r w:rsidRPr="00CE6F35">
        <w:rPr>
          <w:rFonts w:ascii="Book Antiqua" w:hAnsi="Book Antiqua"/>
          <w:szCs w:val="24"/>
        </w:rPr>
        <w:t>histological type, tumor differentiation, TNM stage</w:t>
      </w:r>
      <w:bookmarkEnd w:id="311"/>
      <w:bookmarkEnd w:id="312"/>
      <w:r w:rsidRPr="00CE6F35">
        <w:rPr>
          <w:rFonts w:ascii="Book Antiqua" w:hAnsi="Book Antiqua"/>
          <w:szCs w:val="24"/>
        </w:rPr>
        <w:t xml:space="preserve"> and distant metastasis in GC cases. However, no significant association was observed (Table 4).</w:t>
      </w:r>
    </w:p>
    <w:p w:rsidR="009B4F0D" w:rsidRPr="00CE6F35" w:rsidRDefault="009B4F0D" w:rsidP="00F24268">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b/>
          <w:i/>
          <w:szCs w:val="24"/>
        </w:rPr>
      </w:pPr>
      <w:r w:rsidRPr="00CE6F35">
        <w:rPr>
          <w:rFonts w:ascii="Book Antiqua" w:hAnsi="Book Antiqua"/>
          <w:b/>
          <w:i/>
          <w:szCs w:val="24"/>
        </w:rPr>
        <w:t>Association of SNPs with survival of gastric cancer</w:t>
      </w:r>
    </w:p>
    <w:p w:rsidR="00641FB0" w:rsidRPr="00CE6F35" w:rsidRDefault="00641FB0" w:rsidP="00F24268">
      <w:pPr>
        <w:adjustRightInd w:val="0"/>
        <w:snapToGrid w:val="0"/>
        <w:rPr>
          <w:rFonts w:ascii="Book Antiqua" w:hAnsi="Book Antiqua"/>
          <w:szCs w:val="24"/>
        </w:rPr>
      </w:pPr>
      <w:r w:rsidRPr="00CE6F35">
        <w:rPr>
          <w:rFonts w:ascii="Book Antiqua" w:hAnsi="Book Antiqua"/>
          <w:szCs w:val="24"/>
        </w:rPr>
        <w:t xml:space="preserve">Follow-up information was available for 610 of the 679 GC patients (89.8%). Ten patients died of postoperative complications within 30 </w:t>
      </w:r>
      <w:r w:rsidR="009B4F0D" w:rsidRPr="00CE6F35">
        <w:rPr>
          <w:rFonts w:ascii="Book Antiqua" w:hAnsi="Book Antiqua" w:hint="eastAsia"/>
          <w:szCs w:val="24"/>
        </w:rPr>
        <w:t>d</w:t>
      </w:r>
      <w:r w:rsidRPr="00CE6F35">
        <w:rPr>
          <w:rFonts w:ascii="Book Antiqua" w:hAnsi="Book Antiqua"/>
          <w:szCs w:val="24"/>
        </w:rPr>
        <w:t xml:space="preserve"> at the beginning of the study period (range: 0-29 </w:t>
      </w:r>
      <w:r w:rsidR="009B4F0D" w:rsidRPr="00CE6F35">
        <w:rPr>
          <w:rFonts w:ascii="Book Antiqua" w:hAnsi="Book Antiqua" w:hint="eastAsia"/>
          <w:szCs w:val="24"/>
        </w:rPr>
        <w:t>d</w:t>
      </w:r>
      <w:r w:rsidRPr="00CE6F35">
        <w:rPr>
          <w:rFonts w:ascii="Book Antiqua" w:hAnsi="Book Antiqua"/>
          <w:szCs w:val="24"/>
        </w:rPr>
        <w:t xml:space="preserve">, median: 15.5 </w:t>
      </w:r>
      <w:r w:rsidR="009B4F0D" w:rsidRPr="00CE6F35">
        <w:rPr>
          <w:rFonts w:ascii="Book Antiqua" w:hAnsi="Book Antiqua" w:hint="eastAsia"/>
          <w:szCs w:val="24"/>
        </w:rPr>
        <w:t>d</w:t>
      </w:r>
      <w:r w:rsidRPr="00CE6F35">
        <w:rPr>
          <w:rFonts w:ascii="Book Antiqua" w:hAnsi="Book Antiqua"/>
          <w:szCs w:val="24"/>
        </w:rPr>
        <w:t xml:space="preserve">) and these cases were excluded from analyses of effects of SNPs on survival. The median follow-up time for the remaining 600 GC patients was 36.2 </w:t>
      </w:r>
      <w:r w:rsidR="009B4F0D" w:rsidRPr="00CE6F35">
        <w:rPr>
          <w:rFonts w:ascii="Book Antiqua" w:hAnsi="Book Antiqua" w:hint="eastAsia"/>
          <w:szCs w:val="24"/>
        </w:rPr>
        <w:t>mo</w:t>
      </w:r>
      <w:r w:rsidRPr="00CE6F35">
        <w:rPr>
          <w:rFonts w:ascii="Book Antiqua" w:hAnsi="Book Antiqua"/>
          <w:szCs w:val="24"/>
        </w:rPr>
        <w:t xml:space="preserve"> </w:t>
      </w:r>
      <w:bookmarkStart w:id="313" w:name="OLE_LINK35"/>
      <w:bookmarkStart w:id="314" w:name="OLE_LINK36"/>
      <w:r w:rsidR="009B4F0D" w:rsidRPr="00CE6F35">
        <w:rPr>
          <w:rFonts w:ascii="Book Antiqua" w:hAnsi="Book Antiqua"/>
          <w:szCs w:val="24"/>
        </w:rPr>
        <w:t>(range:</w:t>
      </w:r>
      <w:r w:rsidR="00CE6F35" w:rsidRPr="00CE6F35">
        <w:rPr>
          <w:rFonts w:ascii="Book Antiqua" w:hAnsi="Book Antiqua"/>
          <w:szCs w:val="24"/>
        </w:rPr>
        <w:t xml:space="preserve"> </w:t>
      </w:r>
      <w:r w:rsidRPr="00CE6F35">
        <w:rPr>
          <w:rFonts w:ascii="Book Antiqua" w:hAnsi="Book Antiqua"/>
          <w:szCs w:val="24"/>
        </w:rPr>
        <w:t xml:space="preserve">2.1-66.7 </w:t>
      </w:r>
      <w:bookmarkEnd w:id="313"/>
      <w:bookmarkEnd w:id="314"/>
      <w:r w:rsidR="009B4F0D" w:rsidRPr="00CE6F35">
        <w:rPr>
          <w:rFonts w:ascii="Book Antiqua" w:hAnsi="Book Antiqua" w:hint="eastAsia"/>
          <w:szCs w:val="24"/>
        </w:rPr>
        <w:t>mo</w:t>
      </w:r>
      <w:r w:rsidR="009B4F0D" w:rsidRPr="00CE6F35">
        <w:rPr>
          <w:rFonts w:ascii="Book Antiqua" w:hAnsi="Book Antiqua"/>
          <w:szCs w:val="24"/>
        </w:rPr>
        <w:t>; 95%</w:t>
      </w:r>
      <w:r w:rsidRPr="00CE6F35">
        <w:rPr>
          <w:rFonts w:ascii="Book Antiqua" w:hAnsi="Book Antiqua"/>
          <w:szCs w:val="24"/>
        </w:rPr>
        <w:t xml:space="preserve">CI: 34.3-36.5 </w:t>
      </w:r>
      <w:r w:rsidR="009B4F0D" w:rsidRPr="00CE6F35">
        <w:rPr>
          <w:rFonts w:ascii="Book Antiqua" w:hAnsi="Book Antiqua" w:hint="eastAsia"/>
          <w:szCs w:val="24"/>
        </w:rPr>
        <w:t>mo</w:t>
      </w:r>
      <w:r w:rsidRPr="00CE6F35">
        <w:rPr>
          <w:rFonts w:ascii="Book Antiqua" w:hAnsi="Book Antiqua"/>
          <w:szCs w:val="24"/>
        </w:rPr>
        <w:t xml:space="preserve">). Two hundred and sixty patients (43.3%) died from GC during the follow-up, 272 patients (45.3%) lived and 68 (11.3%) died of other causes or were lost to follow up. </w:t>
      </w:r>
    </w:p>
    <w:p w:rsidR="00641FB0" w:rsidRPr="00CE6F35" w:rsidRDefault="00641FB0" w:rsidP="009B4F0D">
      <w:pPr>
        <w:adjustRightInd w:val="0"/>
        <w:snapToGrid w:val="0"/>
        <w:ind w:firstLineChars="100" w:firstLine="240"/>
        <w:rPr>
          <w:rFonts w:ascii="Book Antiqua" w:hAnsi="Book Antiqua"/>
          <w:szCs w:val="24"/>
        </w:rPr>
      </w:pPr>
      <w:r w:rsidRPr="00CE6F35">
        <w:rPr>
          <w:rFonts w:ascii="Book Antiqua" w:hAnsi="Book Antiqua"/>
          <w:szCs w:val="24"/>
        </w:rPr>
        <w:t xml:space="preserve">Survival curves were plotted and compared according to genotypes of each SNP using the recessive model. The patients who carried the A/A genotype of P-534 had shorter survival than those carrying C/C or C/A </w:t>
      </w:r>
      <w:bookmarkStart w:id="315" w:name="OLE_LINK41"/>
      <w:r w:rsidRPr="00CE6F35">
        <w:rPr>
          <w:rFonts w:ascii="Book Antiqua" w:hAnsi="Book Antiqua"/>
          <w:szCs w:val="24"/>
        </w:rPr>
        <w:t xml:space="preserve">after adjusting for age, sex, histological type, tumor differentiation, clinical stage and </w:t>
      </w:r>
      <w:r w:rsidR="00A8033D" w:rsidRPr="00CE6F35">
        <w:rPr>
          <w:rFonts w:ascii="Book Antiqua" w:eastAsia="SimSun" w:hAnsi="Book Antiqua" w:cs="SimSun"/>
          <w:kern w:val="0"/>
          <w:szCs w:val="24"/>
        </w:rPr>
        <w:t>post-operational chemotherapy</w:t>
      </w:r>
      <w:r w:rsidRPr="00CE6F35">
        <w:rPr>
          <w:rFonts w:ascii="Book Antiqua" w:hAnsi="Book Antiqua"/>
          <w:szCs w:val="24"/>
        </w:rPr>
        <w:t xml:space="preserve"> (HR </w:t>
      </w:r>
      <w:r w:rsidR="009B4F0D" w:rsidRPr="00CE6F35">
        <w:rPr>
          <w:rFonts w:ascii="Book Antiqua" w:hAnsi="Book Antiqua" w:hint="eastAsia"/>
          <w:szCs w:val="24"/>
        </w:rPr>
        <w:t xml:space="preserve">= </w:t>
      </w:r>
      <w:r w:rsidRPr="00CE6F35">
        <w:rPr>
          <w:rFonts w:ascii="Book Antiqua" w:hAnsi="Book Antiqua"/>
          <w:szCs w:val="24"/>
        </w:rPr>
        <w:t xml:space="preserve">1.38, 95%CI: 1.01-1.88; </w:t>
      </w:r>
      <w:r w:rsidRPr="00CE6F35">
        <w:rPr>
          <w:rFonts w:ascii="Book Antiqua" w:hAnsi="Book Antiqua"/>
          <w:i/>
          <w:szCs w:val="24"/>
        </w:rPr>
        <w:t>P</w:t>
      </w:r>
      <w:r w:rsidR="009B4F0D" w:rsidRPr="00CE6F35">
        <w:rPr>
          <w:rFonts w:ascii="Book Antiqua" w:hAnsi="Book Antiqua" w:hint="eastAsia"/>
          <w:i/>
          <w:szCs w:val="24"/>
        </w:rPr>
        <w:t xml:space="preserve"> </w:t>
      </w:r>
      <w:r w:rsidRPr="00CE6F35">
        <w:rPr>
          <w:rFonts w:ascii="Book Antiqua" w:hAnsi="Book Antiqua"/>
          <w:szCs w:val="24"/>
        </w:rPr>
        <w:t>=</w:t>
      </w:r>
      <w:r w:rsidR="009B4F0D" w:rsidRPr="00CE6F35">
        <w:rPr>
          <w:rFonts w:ascii="Book Antiqua" w:hAnsi="Book Antiqua" w:hint="eastAsia"/>
          <w:szCs w:val="24"/>
        </w:rPr>
        <w:t xml:space="preserve"> </w:t>
      </w:r>
      <w:r w:rsidRPr="00CE6F35">
        <w:rPr>
          <w:rFonts w:ascii="Book Antiqua" w:hAnsi="Book Antiqua"/>
          <w:szCs w:val="24"/>
        </w:rPr>
        <w:t>0.042, Table 5, Figure 2A)</w:t>
      </w:r>
      <w:bookmarkEnd w:id="315"/>
      <w:r w:rsidRPr="00CE6F35">
        <w:rPr>
          <w:rFonts w:ascii="Book Antiqua" w:hAnsi="Book Antiqua"/>
          <w:szCs w:val="24"/>
        </w:rPr>
        <w:t>. This trend was more evident in patients who lived longe</w:t>
      </w:r>
      <w:r w:rsidR="009B4F0D" w:rsidRPr="00CE6F35">
        <w:rPr>
          <w:rFonts w:ascii="Book Antiqua" w:hAnsi="Book Antiqua"/>
          <w:szCs w:val="24"/>
        </w:rPr>
        <w:t>r than 2.5 years (HR</w:t>
      </w:r>
      <w:r w:rsidR="009B4F0D" w:rsidRPr="00CE6F35">
        <w:rPr>
          <w:rFonts w:ascii="Book Antiqua" w:hAnsi="Book Antiqua" w:hint="eastAsia"/>
          <w:szCs w:val="24"/>
        </w:rPr>
        <w:t xml:space="preserve"> </w:t>
      </w:r>
      <w:r w:rsidR="009B4F0D" w:rsidRPr="00CE6F35">
        <w:rPr>
          <w:rFonts w:ascii="Book Antiqua" w:hAnsi="Book Antiqua"/>
          <w:szCs w:val="24"/>
        </w:rPr>
        <w:t>= 7.55, 95%</w:t>
      </w:r>
      <w:r w:rsidRPr="00CE6F35">
        <w:rPr>
          <w:rFonts w:ascii="Book Antiqua" w:hAnsi="Book Antiqua"/>
          <w:szCs w:val="24"/>
        </w:rPr>
        <w:t xml:space="preserve">CI: 2.16-26.32, </w:t>
      </w:r>
      <w:r w:rsidRPr="00CE6F35">
        <w:rPr>
          <w:rFonts w:ascii="Book Antiqua" w:hAnsi="Book Antiqua"/>
          <w:i/>
          <w:szCs w:val="24"/>
        </w:rPr>
        <w:t>P</w:t>
      </w:r>
      <w:r w:rsidR="009B4F0D" w:rsidRPr="00CE6F35">
        <w:rPr>
          <w:rFonts w:ascii="Book Antiqua" w:hAnsi="Book Antiqua" w:hint="eastAsia"/>
          <w:i/>
          <w:szCs w:val="24"/>
        </w:rPr>
        <w:t xml:space="preserve"> </w:t>
      </w:r>
      <w:r w:rsidRPr="00CE6F35">
        <w:rPr>
          <w:rFonts w:ascii="Book Antiqua" w:hAnsi="Book Antiqua"/>
          <w:szCs w:val="24"/>
        </w:rPr>
        <w:t>=</w:t>
      </w:r>
      <w:r w:rsidR="009B4F0D" w:rsidRPr="00CE6F35">
        <w:rPr>
          <w:rFonts w:ascii="Book Antiqua" w:hAnsi="Book Antiqua" w:hint="eastAsia"/>
          <w:szCs w:val="24"/>
        </w:rPr>
        <w:t xml:space="preserve"> </w:t>
      </w:r>
      <w:r w:rsidRPr="00CE6F35">
        <w:rPr>
          <w:rFonts w:ascii="Book Antiqua" w:hAnsi="Book Antiqua"/>
          <w:szCs w:val="24"/>
        </w:rPr>
        <w:t>0.001). Similarly, the P170 T/T carriers tended to have shorter survival time than the C/C or C/T carriers, although not significantly so (Figure 2B). No meaningful correlation could be observed between the variation of “TG” deletion in P1527 and GC survival (</w:t>
      </w:r>
      <w:r w:rsidRPr="00CE6F35">
        <w:rPr>
          <w:rFonts w:ascii="Book Antiqua" w:hAnsi="Book Antiqua"/>
          <w:i/>
          <w:szCs w:val="24"/>
        </w:rPr>
        <w:t>P</w:t>
      </w:r>
      <w:r w:rsidR="009B4F0D" w:rsidRPr="00CE6F35">
        <w:rPr>
          <w:rFonts w:ascii="Book Antiqua" w:hAnsi="Book Antiqua" w:hint="eastAsia"/>
          <w:i/>
          <w:szCs w:val="24"/>
        </w:rPr>
        <w:t xml:space="preserve"> </w:t>
      </w:r>
      <w:r w:rsidRPr="00CE6F35">
        <w:rPr>
          <w:rFonts w:ascii="Book Antiqua" w:hAnsi="Book Antiqua"/>
          <w:szCs w:val="24"/>
        </w:rPr>
        <w:t>=</w:t>
      </w:r>
      <w:r w:rsidR="009B4F0D" w:rsidRPr="00CE6F35">
        <w:rPr>
          <w:rFonts w:ascii="Book Antiqua" w:hAnsi="Book Antiqua" w:hint="eastAsia"/>
          <w:szCs w:val="24"/>
        </w:rPr>
        <w:t xml:space="preserve"> </w:t>
      </w:r>
      <w:r w:rsidRPr="00CE6F35">
        <w:rPr>
          <w:rFonts w:ascii="Book Antiqua" w:hAnsi="Book Antiqua"/>
          <w:szCs w:val="24"/>
        </w:rPr>
        <w:t>0.799).</w:t>
      </w:r>
    </w:p>
    <w:p w:rsidR="00641FB0" w:rsidRPr="00CE6F35" w:rsidRDefault="005B454A" w:rsidP="00F24268">
      <w:pPr>
        <w:adjustRightInd w:val="0"/>
        <w:snapToGrid w:val="0"/>
        <w:rPr>
          <w:rFonts w:ascii="Book Antiqua" w:eastAsia="SimSun" w:hAnsi="Book Antiqua" w:cs="SimSun"/>
          <w:kern w:val="0"/>
          <w:szCs w:val="24"/>
        </w:rPr>
      </w:pPr>
      <w:r w:rsidRPr="00CE6F35">
        <w:rPr>
          <w:rFonts w:ascii="Book Antiqua" w:hAnsi="Book Antiqua"/>
          <w:szCs w:val="24"/>
        </w:rPr>
        <w:t xml:space="preserve"> Multivariate Cox regression analysis showed that three other factors—degree of differentiation, TNM stage and post-operational chemotherapy—were associated with the prognosis of GC. Patient whose GC had low-grade differentiation or advanced clinical stage or who did not received post-operational chemotherapy had shorter survival time (Table 5).</w:t>
      </w:r>
    </w:p>
    <w:p w:rsidR="00641FB0" w:rsidRPr="00CE6F35" w:rsidRDefault="00641FB0" w:rsidP="00F24268">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b/>
          <w:i/>
          <w:szCs w:val="24"/>
        </w:rPr>
      </w:pPr>
      <w:r w:rsidRPr="00CE6F35">
        <w:rPr>
          <w:rFonts w:ascii="Book Antiqua" w:hAnsi="Book Antiqua"/>
          <w:b/>
          <w:i/>
          <w:szCs w:val="24"/>
        </w:rPr>
        <w:t xml:space="preserve">CD24 expressions in tissues of GC </w:t>
      </w:r>
    </w:p>
    <w:p w:rsidR="00641FB0" w:rsidRPr="00CE6F35" w:rsidRDefault="00641FB0" w:rsidP="00F24268">
      <w:pPr>
        <w:adjustRightInd w:val="0"/>
        <w:snapToGrid w:val="0"/>
        <w:rPr>
          <w:rFonts w:ascii="Book Antiqua" w:hAnsi="Book Antiqua"/>
          <w:szCs w:val="24"/>
        </w:rPr>
      </w:pPr>
      <w:r w:rsidRPr="00CE6F35">
        <w:rPr>
          <w:rFonts w:ascii="Book Antiqua" w:hAnsi="Book Antiqua"/>
          <w:szCs w:val="24"/>
        </w:rPr>
        <w:lastRenderedPageBreak/>
        <w:t>To assess whether SNPs were associated production of CD24 protein, CD24 expression was evaluated in cancerous tissue of 131 GC cases using IHC. Genotypic distributions of the three SNPs in selected cancer cases were similar to non-selected cases (data not shown). CD24 expression was seen mainly in membranes of tumor cells (Figure 3). However, CD24 expression did not observably differ among genotypes of each SNP (Figure 3</w:t>
      </w:r>
      <w:r w:rsidR="009B4F0D" w:rsidRPr="00CE6F35">
        <w:rPr>
          <w:rFonts w:ascii="Book Antiqua" w:hAnsi="Book Antiqua" w:hint="eastAsia"/>
          <w:szCs w:val="24"/>
        </w:rPr>
        <w:t xml:space="preserve">, </w:t>
      </w:r>
      <w:r w:rsidR="009B4F0D" w:rsidRPr="00CE6F35">
        <w:rPr>
          <w:rFonts w:ascii="Book Antiqua" w:hAnsi="Book Antiqua"/>
          <w:szCs w:val="24"/>
        </w:rPr>
        <w:t>Table 3</w:t>
      </w:r>
      <w:r w:rsidRPr="00CE6F35">
        <w:rPr>
          <w:rFonts w:ascii="Book Antiqua" w:hAnsi="Book Antiqua"/>
          <w:szCs w:val="24"/>
        </w:rPr>
        <w:t>).</w:t>
      </w:r>
    </w:p>
    <w:p w:rsidR="009B4F0D" w:rsidRPr="00CE6F35" w:rsidRDefault="009B4F0D" w:rsidP="00F24268">
      <w:pPr>
        <w:adjustRightInd w:val="0"/>
        <w:snapToGrid w:val="0"/>
        <w:rPr>
          <w:rFonts w:ascii="Book Antiqua" w:hAnsi="Book Antiqua"/>
          <w:b/>
          <w:szCs w:val="24"/>
        </w:rPr>
      </w:pPr>
    </w:p>
    <w:p w:rsidR="00641FB0" w:rsidRPr="00CE6F35" w:rsidRDefault="009B4F0D" w:rsidP="00F24268">
      <w:pPr>
        <w:pStyle w:val="Heading1"/>
        <w:adjustRightInd w:val="0"/>
        <w:snapToGrid w:val="0"/>
        <w:spacing w:before="0" w:after="0" w:line="360" w:lineRule="auto"/>
        <w:rPr>
          <w:rStyle w:val="highlight"/>
          <w:rFonts w:ascii="Book Antiqua" w:hAnsi="Book Antiqua"/>
          <w:sz w:val="24"/>
          <w:szCs w:val="24"/>
          <w:shd w:val="clear" w:color="auto" w:fill="FFFFFF"/>
        </w:rPr>
      </w:pPr>
      <w:r w:rsidRPr="00CE6F35">
        <w:rPr>
          <w:rStyle w:val="highlight"/>
          <w:rFonts w:ascii="Book Antiqua" w:hAnsi="Book Antiqua"/>
          <w:sz w:val="24"/>
          <w:szCs w:val="24"/>
          <w:shd w:val="clear" w:color="auto" w:fill="FFFFFF"/>
        </w:rPr>
        <w:t>DISCUSSION</w:t>
      </w:r>
    </w:p>
    <w:p w:rsidR="00641FB0" w:rsidRPr="00CE6F35" w:rsidRDefault="00641FB0" w:rsidP="00F24268">
      <w:pPr>
        <w:adjustRightInd w:val="0"/>
        <w:snapToGrid w:val="0"/>
        <w:rPr>
          <w:rFonts w:ascii="Book Antiqua" w:hAnsi="Book Antiqua"/>
          <w:szCs w:val="24"/>
        </w:rPr>
      </w:pPr>
      <w:r w:rsidRPr="00CE6F35">
        <w:rPr>
          <w:rFonts w:ascii="Book Antiqua" w:hAnsi="Book Antiqua"/>
          <w:szCs w:val="24"/>
        </w:rPr>
        <w:t xml:space="preserve">In this study, we explored the association between variants of </w:t>
      </w:r>
      <w:r w:rsidRPr="00CE6F35">
        <w:rPr>
          <w:rFonts w:ascii="Book Antiqua" w:hAnsi="Book Antiqua"/>
          <w:i/>
          <w:szCs w:val="24"/>
        </w:rPr>
        <w:t>CD24</w:t>
      </w:r>
      <w:r w:rsidRPr="00CE6F35">
        <w:rPr>
          <w:rFonts w:ascii="Book Antiqua" w:hAnsi="Book Antiqua"/>
          <w:szCs w:val="24"/>
        </w:rPr>
        <w:t xml:space="preserve"> gene and GC. We found that patients </w:t>
      </w:r>
      <w:bookmarkStart w:id="316" w:name="OLE_LINK45"/>
      <w:bookmarkStart w:id="317" w:name="OLE_LINK46"/>
      <w:r w:rsidRPr="00CE6F35">
        <w:rPr>
          <w:rFonts w:ascii="Book Antiqua" w:hAnsi="Book Antiqua"/>
          <w:szCs w:val="24"/>
        </w:rPr>
        <w:t>who harbored the P-534 A/A genotype</w:t>
      </w:r>
      <w:bookmarkEnd w:id="316"/>
      <w:bookmarkEnd w:id="317"/>
      <w:r w:rsidRPr="00CE6F35">
        <w:rPr>
          <w:rFonts w:ascii="Book Antiqua" w:hAnsi="Book Antiqua"/>
          <w:szCs w:val="24"/>
        </w:rPr>
        <w:t xml:space="preserve"> tended to have shorter survival than those who carry P-534 non-A/A genotypes. </w:t>
      </w:r>
    </w:p>
    <w:p w:rsidR="00641FB0" w:rsidRPr="00CE6F35" w:rsidRDefault="00641FB0" w:rsidP="009B4F0D">
      <w:pPr>
        <w:adjustRightInd w:val="0"/>
        <w:snapToGrid w:val="0"/>
        <w:ind w:firstLineChars="100" w:firstLine="240"/>
        <w:rPr>
          <w:rFonts w:ascii="Book Antiqua" w:hAnsi="Book Antiqua"/>
          <w:szCs w:val="24"/>
        </w:rPr>
      </w:pPr>
      <w:r w:rsidRPr="00CE6F35">
        <w:rPr>
          <w:rFonts w:ascii="Book Antiqua" w:hAnsi="Book Antiqua"/>
          <w:szCs w:val="24"/>
        </w:rPr>
        <w:t xml:space="preserve">This is the first study on the association between SNPs of </w:t>
      </w:r>
      <w:r w:rsidRPr="00CE6F35">
        <w:rPr>
          <w:rFonts w:ascii="Book Antiqua" w:hAnsi="Book Antiqua"/>
          <w:i/>
          <w:szCs w:val="24"/>
        </w:rPr>
        <w:t>CD24</w:t>
      </w:r>
      <w:r w:rsidRPr="00CE6F35">
        <w:rPr>
          <w:rFonts w:ascii="Book Antiqua" w:hAnsi="Book Antiqua"/>
          <w:szCs w:val="24"/>
        </w:rPr>
        <w:t xml:space="preserve"> gene and GC, as no </w:t>
      </w:r>
      <w:r w:rsidRPr="00CE6F35">
        <w:rPr>
          <w:rFonts w:ascii="Book Antiqua" w:hAnsi="Book Antiqua"/>
          <w:i/>
          <w:szCs w:val="24"/>
        </w:rPr>
        <w:t>CD24</w:t>
      </w:r>
      <w:r w:rsidRPr="00CE6F35">
        <w:rPr>
          <w:rFonts w:ascii="Book Antiqua" w:hAnsi="Book Antiqua"/>
          <w:szCs w:val="24"/>
        </w:rPr>
        <w:t xml:space="preserve"> SNPs were included in any genome-wide association studies (GWAS) of GC</w:t>
      </w:r>
      <w:r w:rsidR="009B4F0D" w:rsidRPr="00CE6F35">
        <w:rPr>
          <w:rFonts w:ascii="Book Antiqua" w:hAnsi="Book Antiqua"/>
          <w:noProof/>
          <w:szCs w:val="24"/>
          <w:vertAlign w:val="superscript"/>
        </w:rPr>
        <w:t>[26,</w:t>
      </w:r>
      <w:r w:rsidRPr="00CE6F35">
        <w:rPr>
          <w:rFonts w:ascii="Book Antiqua" w:hAnsi="Book Antiqua"/>
          <w:noProof/>
          <w:szCs w:val="24"/>
          <w:vertAlign w:val="superscript"/>
        </w:rPr>
        <w:t>27]</w:t>
      </w:r>
      <w:r w:rsidRPr="00CE6F35">
        <w:rPr>
          <w:rFonts w:ascii="Book Antiqua" w:hAnsi="Book Antiqua"/>
          <w:szCs w:val="24"/>
        </w:rPr>
        <w:t xml:space="preserve">. Distribution of the P-534 genotypes of </w:t>
      </w:r>
      <w:r w:rsidRPr="00CE6F35">
        <w:rPr>
          <w:rFonts w:ascii="Book Antiqua" w:hAnsi="Book Antiqua"/>
          <w:i/>
          <w:szCs w:val="24"/>
        </w:rPr>
        <w:t>CD24</w:t>
      </w:r>
      <w:r w:rsidRPr="00CE6F35">
        <w:rPr>
          <w:rFonts w:ascii="Book Antiqua" w:hAnsi="Book Antiqua"/>
          <w:szCs w:val="24"/>
        </w:rPr>
        <w:t xml:space="preserve"> differs slightly from that of Caucasian populations. The minor allele C of P-534 in Caucasian population (37.2%</w:t>
      </w:r>
      <w:r w:rsidRPr="00CE6F35">
        <w:rPr>
          <w:rFonts w:ascii="Book Antiqua" w:hAnsi="Book Antiqua"/>
          <w:noProof/>
          <w:szCs w:val="24"/>
          <w:vertAlign w:val="superscript"/>
        </w:rPr>
        <w:t>[20]</w:t>
      </w:r>
      <w:r w:rsidRPr="00CE6F35">
        <w:rPr>
          <w:rFonts w:ascii="Book Antiqua" w:hAnsi="Book Antiqua"/>
          <w:szCs w:val="24"/>
        </w:rPr>
        <w:t>) was the major allele (52.8%) in Han Chinese in our study. Distributions of P170 and P1527 were similar to those of other ethnicities</w:t>
      </w:r>
      <w:r w:rsidR="009B4F0D" w:rsidRPr="00CE6F35">
        <w:rPr>
          <w:rFonts w:ascii="Book Antiqua" w:hAnsi="Book Antiqua"/>
          <w:noProof/>
          <w:szCs w:val="24"/>
          <w:vertAlign w:val="superscript"/>
        </w:rPr>
        <w:t>[28,</w:t>
      </w:r>
      <w:r w:rsidRPr="00CE6F35">
        <w:rPr>
          <w:rFonts w:ascii="Book Antiqua" w:hAnsi="Book Antiqua"/>
          <w:noProof/>
          <w:szCs w:val="24"/>
          <w:vertAlign w:val="superscript"/>
        </w:rPr>
        <w:t>29]</w:t>
      </w:r>
      <w:r w:rsidRPr="00CE6F35">
        <w:rPr>
          <w:rFonts w:ascii="Book Antiqua" w:hAnsi="Book Antiqua"/>
          <w:szCs w:val="24"/>
        </w:rPr>
        <w:t>.</w:t>
      </w:r>
    </w:p>
    <w:p w:rsidR="00641FB0" w:rsidRPr="00CE6F35" w:rsidRDefault="00641FB0" w:rsidP="009B4F0D">
      <w:pPr>
        <w:adjustRightInd w:val="0"/>
        <w:snapToGrid w:val="0"/>
        <w:ind w:firstLineChars="100" w:firstLine="240"/>
        <w:rPr>
          <w:rFonts w:ascii="Book Antiqua" w:hAnsi="Book Antiqua"/>
          <w:szCs w:val="24"/>
        </w:rPr>
      </w:pPr>
      <w:r w:rsidRPr="00CE6F35">
        <w:rPr>
          <w:rFonts w:ascii="Book Antiqua" w:hAnsi="Book Antiqua"/>
          <w:szCs w:val="24"/>
        </w:rPr>
        <w:t xml:space="preserve">Numerous studies have reported that SNPs of </w:t>
      </w:r>
      <w:r w:rsidRPr="00CE6F35">
        <w:rPr>
          <w:rFonts w:ascii="Book Antiqua" w:hAnsi="Book Antiqua"/>
          <w:i/>
          <w:szCs w:val="24"/>
        </w:rPr>
        <w:t>CD24</w:t>
      </w:r>
      <w:r w:rsidRPr="00CE6F35">
        <w:rPr>
          <w:rFonts w:ascii="Book Antiqua" w:hAnsi="Book Antiqua"/>
          <w:szCs w:val="24"/>
        </w:rPr>
        <w:t xml:space="preserve"> gene are correlated with risk of various autoimmune diseases, such as systemic lupus erythematosus </w:t>
      </w:r>
      <w:r w:rsidRPr="00CE6F35">
        <w:rPr>
          <w:rFonts w:ascii="Book Antiqua" w:hAnsi="Book Antiqua"/>
          <w:kern w:val="0"/>
          <w:szCs w:val="24"/>
        </w:rPr>
        <w:t>(SLE)</w:t>
      </w:r>
      <w:r w:rsidRPr="00CE6F35">
        <w:rPr>
          <w:rFonts w:ascii="Book Antiqua" w:hAnsi="Book Antiqua"/>
          <w:noProof/>
          <w:szCs w:val="24"/>
          <w:vertAlign w:val="superscript"/>
        </w:rPr>
        <w:t>[28-31]</w:t>
      </w:r>
      <w:r w:rsidRPr="00CE6F35">
        <w:rPr>
          <w:rFonts w:ascii="Book Antiqua" w:hAnsi="Book Antiqua"/>
          <w:szCs w:val="24"/>
        </w:rPr>
        <w:t>，</w:t>
      </w:r>
      <w:r w:rsidRPr="00CE6F35">
        <w:rPr>
          <w:rFonts w:ascii="Book Antiqua" w:hAnsi="Book Antiqua"/>
          <w:kern w:val="0"/>
          <w:szCs w:val="24"/>
        </w:rPr>
        <w:t>multiple sclerosis</w:t>
      </w:r>
      <w:r w:rsidR="009B4F0D" w:rsidRPr="00CE6F35">
        <w:rPr>
          <w:rFonts w:ascii="Book Antiqua" w:hAnsi="Book Antiqua"/>
          <w:noProof/>
          <w:szCs w:val="24"/>
          <w:vertAlign w:val="superscript"/>
        </w:rPr>
        <w:t>[28,</w:t>
      </w:r>
      <w:r w:rsidRPr="00CE6F35">
        <w:rPr>
          <w:rFonts w:ascii="Book Antiqua" w:hAnsi="Book Antiqua"/>
          <w:noProof/>
          <w:szCs w:val="24"/>
          <w:vertAlign w:val="superscript"/>
        </w:rPr>
        <w:t>32-35]</w:t>
      </w:r>
      <w:r w:rsidRPr="00CE6F35">
        <w:rPr>
          <w:rFonts w:ascii="Book Antiqua" w:hAnsi="Book Antiqua"/>
          <w:szCs w:val="24"/>
        </w:rPr>
        <w:t xml:space="preserve"> and inflammatory bowel disease</w:t>
      </w:r>
      <w:r w:rsidR="009B4F0D" w:rsidRPr="00CE6F35">
        <w:rPr>
          <w:rFonts w:ascii="Book Antiqua" w:hAnsi="Book Antiqua"/>
          <w:noProof/>
          <w:szCs w:val="24"/>
          <w:vertAlign w:val="superscript"/>
        </w:rPr>
        <w:t>[20,</w:t>
      </w:r>
      <w:r w:rsidRPr="00CE6F35">
        <w:rPr>
          <w:rFonts w:ascii="Book Antiqua" w:hAnsi="Book Antiqua"/>
          <w:noProof/>
          <w:szCs w:val="24"/>
          <w:vertAlign w:val="superscript"/>
        </w:rPr>
        <w:t>36]</w:t>
      </w:r>
      <w:r w:rsidRPr="00CE6F35">
        <w:rPr>
          <w:rFonts w:ascii="Book Antiqua" w:hAnsi="Book Antiqua"/>
          <w:szCs w:val="24"/>
        </w:rPr>
        <w:t xml:space="preserve">. Li </w:t>
      </w:r>
      <w:r w:rsidRPr="00CE6F35">
        <w:rPr>
          <w:rFonts w:ascii="Book Antiqua" w:hAnsi="Book Antiqua"/>
          <w:i/>
          <w:szCs w:val="24"/>
        </w:rPr>
        <w:t>et al</w:t>
      </w:r>
      <w:r w:rsidR="009B4F0D" w:rsidRPr="00CE6F35">
        <w:rPr>
          <w:rFonts w:ascii="Book Antiqua" w:hAnsi="Book Antiqua"/>
          <w:noProof/>
          <w:szCs w:val="24"/>
          <w:vertAlign w:val="superscript"/>
        </w:rPr>
        <w:t>[21]</w:t>
      </w:r>
      <w:r w:rsidRPr="00CE6F35">
        <w:rPr>
          <w:rFonts w:ascii="Book Antiqua" w:hAnsi="Book Antiqua"/>
          <w:szCs w:val="24"/>
        </w:rPr>
        <w:t xml:space="preserve"> reported that P170 and P1527 of </w:t>
      </w:r>
      <w:r w:rsidRPr="00CE6F35">
        <w:rPr>
          <w:rFonts w:ascii="Book Antiqua" w:hAnsi="Book Antiqua"/>
          <w:i/>
          <w:szCs w:val="24"/>
        </w:rPr>
        <w:t>CD24</w:t>
      </w:r>
      <w:r w:rsidRPr="00CE6F35">
        <w:rPr>
          <w:rFonts w:ascii="Book Antiqua" w:hAnsi="Book Antiqua"/>
          <w:szCs w:val="24"/>
        </w:rPr>
        <w:t xml:space="preserve"> affected risk and progression of chronic hepatitis B infection and Sheng </w:t>
      </w:r>
      <w:r w:rsidRPr="00CE6F35">
        <w:rPr>
          <w:rFonts w:ascii="Book Antiqua" w:hAnsi="Book Antiqua"/>
          <w:i/>
          <w:szCs w:val="24"/>
        </w:rPr>
        <w:t>et al</w:t>
      </w:r>
      <w:r w:rsidR="009B4F0D" w:rsidRPr="00CE6F35">
        <w:rPr>
          <w:rFonts w:ascii="Book Antiqua" w:hAnsi="Book Antiqua"/>
          <w:noProof/>
          <w:szCs w:val="24"/>
          <w:vertAlign w:val="superscript"/>
        </w:rPr>
        <w:t>[37]</w:t>
      </w:r>
      <w:r w:rsidRPr="00CE6F35">
        <w:rPr>
          <w:rFonts w:ascii="Book Antiqua" w:hAnsi="Book Antiqua"/>
          <w:szCs w:val="24"/>
        </w:rPr>
        <w:t xml:space="preserve"> showed that the T/T genotype of P170 correlated with a 2.96-fold increased of risk of hepatocellular carcinoma. In our study, however, we did not observe any influence of </w:t>
      </w:r>
      <w:r w:rsidRPr="00CE6F35">
        <w:rPr>
          <w:rFonts w:ascii="Book Antiqua" w:hAnsi="Book Antiqua"/>
          <w:i/>
          <w:szCs w:val="24"/>
        </w:rPr>
        <w:t>CD24</w:t>
      </w:r>
      <w:r w:rsidRPr="00CE6F35">
        <w:rPr>
          <w:rFonts w:ascii="Book Antiqua" w:hAnsi="Book Antiqua"/>
          <w:szCs w:val="24"/>
        </w:rPr>
        <w:t xml:space="preserve"> polymorphisms on risk of </w:t>
      </w:r>
      <w:r w:rsidRPr="00CE6F35">
        <w:rPr>
          <w:rFonts w:ascii="Book Antiqua" w:hAnsi="Book Antiqua"/>
          <w:i/>
          <w:szCs w:val="24"/>
        </w:rPr>
        <w:t>H. pylori</w:t>
      </w:r>
      <w:r w:rsidRPr="00CE6F35">
        <w:rPr>
          <w:rFonts w:ascii="Book Antiqua" w:hAnsi="Book Antiqua"/>
          <w:szCs w:val="24"/>
        </w:rPr>
        <w:t xml:space="preserve"> infection (data not shown, but available on request), gastric atrophy, precancerous lesions of GC that are induced partly by </w:t>
      </w:r>
      <w:r w:rsidRPr="00CE6F35">
        <w:rPr>
          <w:rFonts w:ascii="Book Antiqua" w:hAnsi="Book Antiqua"/>
          <w:i/>
          <w:szCs w:val="24"/>
        </w:rPr>
        <w:t xml:space="preserve">H. pylori </w:t>
      </w:r>
      <w:r w:rsidRPr="00CE6F35">
        <w:rPr>
          <w:rFonts w:ascii="Book Antiqua" w:hAnsi="Book Antiqua"/>
          <w:szCs w:val="24"/>
        </w:rPr>
        <w:t>infection</w:t>
      </w:r>
      <w:r w:rsidR="009B4F0D" w:rsidRPr="00CE6F35">
        <w:rPr>
          <w:rFonts w:ascii="Book Antiqua" w:hAnsi="Book Antiqua"/>
          <w:noProof/>
          <w:szCs w:val="24"/>
          <w:vertAlign w:val="superscript"/>
        </w:rPr>
        <w:t>[38,</w:t>
      </w:r>
      <w:r w:rsidRPr="00CE6F35">
        <w:rPr>
          <w:rFonts w:ascii="Book Antiqua" w:hAnsi="Book Antiqua"/>
          <w:noProof/>
          <w:szCs w:val="24"/>
          <w:vertAlign w:val="superscript"/>
        </w:rPr>
        <w:t>39]</w:t>
      </w:r>
      <w:r w:rsidRPr="00CE6F35">
        <w:rPr>
          <w:rFonts w:ascii="Book Antiqua" w:hAnsi="Book Antiqua"/>
          <w:szCs w:val="24"/>
        </w:rPr>
        <w:t xml:space="preserve">, or GC (Table 3). </w:t>
      </w:r>
    </w:p>
    <w:p w:rsidR="00641FB0" w:rsidRPr="00CE6F35" w:rsidRDefault="00641FB0" w:rsidP="009B4F0D">
      <w:pPr>
        <w:adjustRightInd w:val="0"/>
        <w:snapToGrid w:val="0"/>
        <w:ind w:firstLineChars="100" w:firstLine="240"/>
        <w:rPr>
          <w:rFonts w:ascii="Book Antiqua" w:hAnsi="Book Antiqua"/>
          <w:szCs w:val="24"/>
        </w:rPr>
      </w:pPr>
      <w:r w:rsidRPr="00CE6F35">
        <w:rPr>
          <w:rFonts w:ascii="Book Antiqua" w:hAnsi="Book Antiqua"/>
          <w:szCs w:val="24"/>
        </w:rPr>
        <w:t>Polymorphisms of CD24 have been related to prognosis in several cancers. In breast cancer, CD24 expression was associated with adverse prognosis</w:t>
      </w:r>
      <w:r w:rsidR="009B4F0D" w:rsidRPr="00CE6F35">
        <w:rPr>
          <w:rFonts w:ascii="Book Antiqua" w:hAnsi="Book Antiqua"/>
          <w:noProof/>
          <w:szCs w:val="24"/>
          <w:vertAlign w:val="superscript"/>
        </w:rPr>
        <w:t>[7,</w:t>
      </w:r>
      <w:r w:rsidRPr="00CE6F35">
        <w:rPr>
          <w:rFonts w:ascii="Book Antiqua" w:hAnsi="Book Antiqua"/>
          <w:noProof/>
          <w:szCs w:val="24"/>
          <w:vertAlign w:val="superscript"/>
        </w:rPr>
        <w:t>8]</w:t>
      </w:r>
      <w:r w:rsidRPr="00CE6F35">
        <w:rPr>
          <w:rFonts w:ascii="Book Antiqua" w:hAnsi="Book Antiqua"/>
          <w:szCs w:val="24"/>
        </w:rPr>
        <w:t xml:space="preserve"> and </w:t>
      </w:r>
      <w:r w:rsidRPr="00CE6F35">
        <w:rPr>
          <w:rFonts w:ascii="Book Antiqua" w:hAnsi="Book Antiqua"/>
          <w:i/>
          <w:szCs w:val="24"/>
        </w:rPr>
        <w:t xml:space="preserve">CD24 </w:t>
      </w:r>
      <w:r w:rsidRPr="00CE6F35">
        <w:rPr>
          <w:rFonts w:ascii="Book Antiqua" w:hAnsi="Book Antiqua"/>
          <w:szCs w:val="24"/>
        </w:rPr>
        <w:t>P170 polymorphism could predict response to chemotherapy</w:t>
      </w:r>
      <w:r w:rsidRPr="00CE6F35">
        <w:rPr>
          <w:rFonts w:ascii="Book Antiqua" w:hAnsi="Book Antiqua"/>
          <w:noProof/>
          <w:szCs w:val="24"/>
          <w:vertAlign w:val="superscript"/>
        </w:rPr>
        <w:t>[40-42]</w:t>
      </w:r>
      <w:r w:rsidRPr="00CE6F35">
        <w:rPr>
          <w:rFonts w:ascii="Book Antiqua" w:hAnsi="Book Antiqua"/>
          <w:szCs w:val="24"/>
        </w:rPr>
        <w:t>.</w:t>
      </w:r>
      <w:r w:rsidR="00CE6F35" w:rsidRPr="00CE6F35">
        <w:rPr>
          <w:rFonts w:ascii="Book Antiqua" w:hAnsi="Book Antiqua"/>
          <w:szCs w:val="24"/>
        </w:rPr>
        <w:t xml:space="preserve"> </w:t>
      </w:r>
      <w:r w:rsidRPr="00CE6F35">
        <w:rPr>
          <w:rFonts w:ascii="Book Antiqua" w:hAnsi="Book Antiqua"/>
          <w:szCs w:val="24"/>
        </w:rPr>
        <w:lastRenderedPageBreak/>
        <w:t xml:space="preserve">In esophageal cancer, P170 of </w:t>
      </w:r>
      <w:r w:rsidRPr="00CE6F35">
        <w:rPr>
          <w:rFonts w:ascii="Book Antiqua" w:hAnsi="Book Antiqua"/>
          <w:i/>
          <w:szCs w:val="24"/>
        </w:rPr>
        <w:t xml:space="preserve">CD24 </w:t>
      </w:r>
      <w:r w:rsidRPr="00CE6F35">
        <w:rPr>
          <w:rFonts w:ascii="Book Antiqua" w:hAnsi="Book Antiqua"/>
          <w:szCs w:val="24"/>
        </w:rPr>
        <w:t>was involved in regional lymph node metastasis</w:t>
      </w:r>
      <w:r w:rsidRPr="00CE6F35">
        <w:rPr>
          <w:rFonts w:ascii="Book Antiqua" w:hAnsi="Book Antiqua"/>
          <w:noProof/>
          <w:szCs w:val="24"/>
          <w:vertAlign w:val="superscript"/>
        </w:rPr>
        <w:t>[43]</w:t>
      </w:r>
      <w:r w:rsidRPr="00CE6F35">
        <w:rPr>
          <w:rFonts w:ascii="Book Antiqua" w:hAnsi="Book Antiqua"/>
          <w:szCs w:val="24"/>
        </w:rPr>
        <w:t xml:space="preserve">. In our study, we found that P-534 of </w:t>
      </w:r>
      <w:r w:rsidRPr="00CE6F35">
        <w:rPr>
          <w:rFonts w:ascii="Book Antiqua" w:hAnsi="Book Antiqua"/>
          <w:i/>
          <w:szCs w:val="24"/>
        </w:rPr>
        <w:t xml:space="preserve">CD24 </w:t>
      </w:r>
      <w:r w:rsidRPr="00CE6F35">
        <w:rPr>
          <w:rFonts w:ascii="Book Antiqua" w:hAnsi="Book Antiqua"/>
          <w:szCs w:val="24"/>
        </w:rPr>
        <w:t>affected long-term survival of GC, as P-534 A/A genotype carriers have a 7.5-fold increased mortality risk compared wirh non-A/A carriers among patients who lived longer than 2.5 years (Figure 2A). P170 T/T carriers also tended to have shorter survival than did non-T/T carriers, although not significantly so (Figure 2B).</w:t>
      </w:r>
    </w:p>
    <w:p w:rsidR="00641FB0" w:rsidRPr="00CE6F35" w:rsidRDefault="00641FB0" w:rsidP="009B4F0D">
      <w:pPr>
        <w:adjustRightInd w:val="0"/>
        <w:snapToGrid w:val="0"/>
        <w:ind w:firstLineChars="100" w:firstLine="240"/>
        <w:rPr>
          <w:rFonts w:ascii="Book Antiqua" w:hAnsi="Book Antiqua"/>
          <w:szCs w:val="24"/>
        </w:rPr>
      </w:pPr>
      <w:r w:rsidRPr="00CE6F35">
        <w:rPr>
          <w:rFonts w:ascii="Book Antiqua" w:hAnsi="Book Antiqua"/>
          <w:szCs w:val="24"/>
        </w:rPr>
        <w:t>The P-534, which is located in the promoter region of CD24, may influence transcriptional activity. Our previous work showed that a hypermorphic haplotype that contained the C allele of P-534 was associated with risk of multiple sclerosis and this haplotype was involved in higher transcriptional activity and increased expression of CD24 in peripheral blood lymphocytes (PBL)</w:t>
      </w:r>
      <w:r w:rsidRPr="00CE6F35">
        <w:rPr>
          <w:rFonts w:ascii="Book Antiqua" w:hAnsi="Book Antiqua"/>
          <w:noProof/>
          <w:szCs w:val="24"/>
          <w:vertAlign w:val="superscript"/>
        </w:rPr>
        <w:t>[20]</w:t>
      </w:r>
      <w:r w:rsidRPr="00CE6F35">
        <w:rPr>
          <w:rFonts w:ascii="Book Antiqua" w:hAnsi="Book Antiqua"/>
          <w:szCs w:val="24"/>
        </w:rPr>
        <w:t xml:space="preserve">. The non-synonymous variant P170 may alter the quantity and quality of CD24. Zhou </w:t>
      </w:r>
      <w:r w:rsidRPr="00CE6F35">
        <w:rPr>
          <w:rFonts w:ascii="Book Antiqua" w:hAnsi="Book Antiqua"/>
          <w:i/>
          <w:szCs w:val="24"/>
        </w:rPr>
        <w:t xml:space="preserve">et al </w:t>
      </w:r>
      <w:r w:rsidRPr="00CE6F35">
        <w:rPr>
          <w:rFonts w:ascii="Book Antiqua" w:hAnsi="Book Antiqua"/>
          <w:szCs w:val="24"/>
        </w:rPr>
        <w:t>found that the P170T/T genotype expressed more cell-surface CD24 than did the C/T or C/C genotypes using flow cytometry, which showed an increased risk and more rapid progression of multiple sclerosis</w:t>
      </w:r>
      <w:r w:rsidRPr="00CE6F35">
        <w:rPr>
          <w:rFonts w:ascii="Book Antiqua" w:hAnsi="Book Antiqua"/>
          <w:noProof/>
          <w:szCs w:val="24"/>
          <w:vertAlign w:val="superscript"/>
        </w:rPr>
        <w:t>[32]</w:t>
      </w:r>
      <w:r w:rsidRPr="00CE6F35">
        <w:rPr>
          <w:rFonts w:ascii="Book Antiqua" w:hAnsi="Book Antiqua"/>
          <w:szCs w:val="24"/>
        </w:rPr>
        <w:t xml:space="preserve">. In our study, we evaluated CD24 expression using IHC and found that CD24 was expressed mainly in the membranes of GC cells. However, we did not observe any differences of CD24 expression among genotypes of P-534, P170 or P1527. </w:t>
      </w:r>
    </w:p>
    <w:p w:rsidR="00641FB0" w:rsidRPr="00CE6F35" w:rsidRDefault="00641FB0" w:rsidP="009B4F0D">
      <w:pPr>
        <w:adjustRightInd w:val="0"/>
        <w:snapToGrid w:val="0"/>
        <w:ind w:firstLineChars="100" w:firstLine="240"/>
        <w:rPr>
          <w:rFonts w:ascii="Book Antiqua" w:hAnsi="Book Antiqua"/>
          <w:szCs w:val="24"/>
        </w:rPr>
      </w:pPr>
      <w:r w:rsidRPr="00CE6F35">
        <w:rPr>
          <w:rFonts w:ascii="Book Antiqua" w:hAnsi="Book Antiqua"/>
          <w:szCs w:val="24"/>
        </w:rPr>
        <w:t xml:space="preserve">Three limitations should be noted in our study. The first one is that some baseline characteristics such as age are different among the three study groups, and we cannot rule out the possibility that individuals in the control group could develop GC when they are older. However, we control the potential influences to the greatest extent by adjusting for these factors in the multivariate analysis. The second is that the follow-up time of the GC cases seems insufficient because most of cases on the right side of the survival plots are censored. This may explain that although individuals carrying P-534 A/A genotype tended to have shorter observable survival time, </w:t>
      </w:r>
      <w:r w:rsidR="00A8033D" w:rsidRPr="00CE6F35">
        <w:rPr>
          <w:rFonts w:ascii="Book Antiqua" w:hAnsi="Book Antiqua"/>
          <w:i/>
          <w:szCs w:val="24"/>
        </w:rPr>
        <w:t>P</w:t>
      </w:r>
      <w:r w:rsidRPr="00CE6F35">
        <w:rPr>
          <w:rFonts w:ascii="Book Antiqua" w:hAnsi="Book Antiqua"/>
          <w:szCs w:val="24"/>
        </w:rPr>
        <w:t xml:space="preserve"> value from log-rank tests is not significant. However, when we adjust the potential influencing factors and divide the patients to subgroups who live shorter than </w:t>
      </w:r>
      <w:r w:rsidRPr="00CE6F35">
        <w:rPr>
          <w:rFonts w:ascii="Book Antiqua" w:hAnsi="Book Antiqua"/>
          <w:szCs w:val="24"/>
        </w:rPr>
        <w:lastRenderedPageBreak/>
        <w:t xml:space="preserve">2.5 years and those who live longer than 2.5 years, the association of P-534 with long-term survival is statistically significant (HR 7.5, 95% CI 2.2-26.3). Nonetheless, longer follow-up time is needed to re-evaluate the role of </w:t>
      </w:r>
      <w:r w:rsidRPr="00CE6F35">
        <w:rPr>
          <w:rFonts w:ascii="Book Antiqua" w:hAnsi="Book Antiqua"/>
          <w:i/>
          <w:szCs w:val="24"/>
        </w:rPr>
        <w:t>CD24</w:t>
      </w:r>
      <w:r w:rsidRPr="00CE6F35">
        <w:rPr>
          <w:rFonts w:ascii="Book Antiqua" w:hAnsi="Book Antiqua"/>
          <w:szCs w:val="24"/>
        </w:rPr>
        <w:t xml:space="preserve"> SNPs in prognosis of GC. The last one is that we semi-quantified CD24 expression in tissue using IHC and the influence of SNPs on CD24 might be offset, as protein production can be regulated by factors known and unknown</w:t>
      </w:r>
      <w:r w:rsidR="004247BB">
        <w:rPr>
          <w:rFonts w:ascii="Book Antiqua" w:hAnsi="Book Antiqua" w:hint="eastAsia"/>
          <w:szCs w:val="24"/>
        </w:rPr>
        <w:t xml:space="preserve"> </w:t>
      </w:r>
      <w:r w:rsidRPr="004247BB">
        <w:rPr>
          <w:rFonts w:ascii="Book Antiqua" w:hAnsi="Book Antiqua"/>
          <w:i/>
          <w:szCs w:val="24"/>
        </w:rPr>
        <w:t>e.g.</w:t>
      </w:r>
      <w:r w:rsidRPr="00CE6F35">
        <w:rPr>
          <w:rFonts w:ascii="Book Antiqua" w:hAnsi="Book Antiqua"/>
          <w:szCs w:val="24"/>
        </w:rPr>
        <w:t>, regulations of transcription, post-transcription and translation. Therefore, more rigorous design should be applied in our future study.</w:t>
      </w:r>
    </w:p>
    <w:p w:rsidR="00641FB0" w:rsidRPr="00CE6F35" w:rsidRDefault="00641FB0" w:rsidP="009B4F0D">
      <w:pPr>
        <w:adjustRightInd w:val="0"/>
        <w:snapToGrid w:val="0"/>
        <w:ind w:firstLineChars="100" w:firstLine="240"/>
        <w:rPr>
          <w:rFonts w:ascii="Book Antiqua" w:hAnsi="Book Antiqua"/>
          <w:szCs w:val="24"/>
        </w:rPr>
      </w:pPr>
      <w:r w:rsidRPr="00CE6F35">
        <w:rPr>
          <w:rFonts w:ascii="Book Antiqua" w:hAnsi="Book Antiqua"/>
          <w:szCs w:val="24"/>
        </w:rPr>
        <w:t xml:space="preserve">In summary, we find that polymorphisms of the </w:t>
      </w:r>
      <w:r w:rsidRPr="00CE6F35">
        <w:rPr>
          <w:rFonts w:ascii="Book Antiqua" w:hAnsi="Book Antiqua"/>
          <w:i/>
          <w:szCs w:val="24"/>
        </w:rPr>
        <w:t>CD24</w:t>
      </w:r>
      <w:r w:rsidRPr="00CE6F35">
        <w:rPr>
          <w:rFonts w:ascii="Book Antiqua" w:hAnsi="Book Antiqua"/>
          <w:szCs w:val="24"/>
        </w:rPr>
        <w:t xml:space="preserve"> gene affect the overall survival of GC, as patients who bear the P-534 A/A genotype tend to have shorter survival than do patients with P-534 non-A/A genotypes. However, we do not observe any associations between </w:t>
      </w:r>
      <w:r w:rsidRPr="00CE6F35">
        <w:rPr>
          <w:rFonts w:ascii="Book Antiqua" w:hAnsi="Book Antiqua"/>
          <w:i/>
          <w:szCs w:val="24"/>
        </w:rPr>
        <w:t>CD24</w:t>
      </w:r>
      <w:r w:rsidRPr="00CE6F35">
        <w:rPr>
          <w:rFonts w:ascii="Book Antiqua" w:hAnsi="Book Antiqua"/>
          <w:szCs w:val="24"/>
        </w:rPr>
        <w:t xml:space="preserve"> SNPs and risk of</w:t>
      </w:r>
      <w:r w:rsidRPr="00CE6F35">
        <w:rPr>
          <w:rFonts w:ascii="Book Antiqua" w:hAnsi="Book Antiqua"/>
          <w:i/>
          <w:szCs w:val="24"/>
        </w:rPr>
        <w:t xml:space="preserve"> H. pylori </w:t>
      </w:r>
      <w:r w:rsidRPr="00CE6F35">
        <w:rPr>
          <w:rFonts w:ascii="Book Antiqua" w:hAnsi="Book Antiqua"/>
          <w:szCs w:val="24"/>
        </w:rPr>
        <w:t xml:space="preserve">infection, GA or GC. More studies with larger samples and longer follow-up time are needed to clarify the role of CD24 in GC. </w:t>
      </w:r>
    </w:p>
    <w:p w:rsidR="009B4F0D" w:rsidRPr="00CE6F35" w:rsidRDefault="009B4F0D" w:rsidP="009B4F0D">
      <w:pPr>
        <w:adjustRightInd w:val="0"/>
        <w:snapToGrid w:val="0"/>
        <w:ind w:firstLineChars="100" w:firstLine="240"/>
        <w:rPr>
          <w:rFonts w:ascii="Book Antiqua" w:hAnsi="Book Antiqua"/>
          <w:szCs w:val="24"/>
        </w:rPr>
      </w:pPr>
    </w:p>
    <w:p w:rsidR="00641FB0" w:rsidRPr="00CE6F35" w:rsidRDefault="009B4F0D" w:rsidP="00F24268">
      <w:pPr>
        <w:pStyle w:val="Heading1"/>
        <w:adjustRightInd w:val="0"/>
        <w:snapToGrid w:val="0"/>
        <w:spacing w:before="0" w:after="0" w:line="360" w:lineRule="auto"/>
        <w:rPr>
          <w:rStyle w:val="highlight"/>
          <w:rFonts w:ascii="Book Antiqua" w:hAnsi="Book Antiqua"/>
          <w:sz w:val="24"/>
          <w:szCs w:val="24"/>
          <w:shd w:val="clear" w:color="auto" w:fill="FFFFFF"/>
        </w:rPr>
      </w:pPr>
      <w:r w:rsidRPr="00CE6F35">
        <w:rPr>
          <w:rStyle w:val="highlight"/>
          <w:rFonts w:ascii="Book Antiqua" w:hAnsi="Book Antiqua"/>
          <w:sz w:val="24"/>
          <w:szCs w:val="24"/>
          <w:shd w:val="clear" w:color="auto" w:fill="FFFFFF"/>
        </w:rPr>
        <w:t>ACKNOWLEDGEMENTS</w:t>
      </w:r>
    </w:p>
    <w:p w:rsidR="00641FB0" w:rsidRPr="00CE6F35" w:rsidRDefault="00641FB0" w:rsidP="00F24268">
      <w:pPr>
        <w:adjustRightInd w:val="0"/>
        <w:snapToGrid w:val="0"/>
        <w:rPr>
          <w:rFonts w:ascii="Book Antiqua" w:hAnsi="Book Antiqua"/>
          <w:kern w:val="0"/>
          <w:szCs w:val="24"/>
        </w:rPr>
      </w:pPr>
      <w:bookmarkStart w:id="318" w:name="OLE_LINK61"/>
      <w:bookmarkStart w:id="319" w:name="OLE_LINK66"/>
      <w:r w:rsidRPr="00CE6F35">
        <w:rPr>
          <w:rFonts w:ascii="Book Antiqua" w:hAnsi="Book Antiqua"/>
          <w:kern w:val="0"/>
          <w:szCs w:val="24"/>
        </w:rPr>
        <w:t>The authors would</w:t>
      </w:r>
      <w:bookmarkEnd w:id="318"/>
      <w:bookmarkEnd w:id="319"/>
      <w:r w:rsidRPr="00CE6F35">
        <w:rPr>
          <w:rFonts w:ascii="Book Antiqua" w:hAnsi="Book Antiqua"/>
          <w:kern w:val="0"/>
          <w:szCs w:val="24"/>
        </w:rPr>
        <w:t xml:space="preserve"> like to thank all of those who participated in this study, especially to Ying Song for her work on following-up of subjects. </w:t>
      </w:r>
      <w:r w:rsidR="00807FE1" w:rsidRPr="00CE6F35">
        <w:rPr>
          <w:rFonts w:ascii="Book Antiqua" w:hAnsi="Book Antiqua"/>
          <w:kern w:val="0"/>
          <w:szCs w:val="24"/>
        </w:rPr>
        <w:t>The authors would also like to thank the Biospecimen Bank of the First Hospital of Jilin University for their kindness in supplying the specimens to our research.</w:t>
      </w:r>
    </w:p>
    <w:p w:rsidR="009B4F0D" w:rsidRPr="00CE6F35" w:rsidRDefault="009B4F0D" w:rsidP="00F24268">
      <w:pPr>
        <w:adjustRightInd w:val="0"/>
        <w:snapToGrid w:val="0"/>
        <w:rPr>
          <w:rFonts w:ascii="Book Antiqua" w:hAnsi="Book Antiqua"/>
          <w:kern w:val="0"/>
          <w:szCs w:val="24"/>
        </w:rPr>
      </w:pPr>
    </w:p>
    <w:p w:rsidR="00641FB0" w:rsidRPr="00CE6F35" w:rsidRDefault="00641FB0" w:rsidP="00F24268">
      <w:pPr>
        <w:pStyle w:val="Heading1"/>
        <w:adjustRightInd w:val="0"/>
        <w:snapToGrid w:val="0"/>
        <w:spacing w:before="0" w:after="0" w:line="360" w:lineRule="auto"/>
        <w:rPr>
          <w:rStyle w:val="highlight"/>
          <w:rFonts w:ascii="Book Antiqua" w:hAnsi="Book Antiqua"/>
          <w:sz w:val="24"/>
          <w:szCs w:val="24"/>
          <w:shd w:val="clear" w:color="auto" w:fill="FFFFFF"/>
        </w:rPr>
      </w:pPr>
      <w:r w:rsidRPr="00CE6F35">
        <w:rPr>
          <w:rStyle w:val="highlight"/>
          <w:rFonts w:ascii="Book Antiqua" w:hAnsi="Book Antiqua"/>
          <w:sz w:val="24"/>
          <w:szCs w:val="24"/>
          <w:shd w:val="clear" w:color="auto" w:fill="FFFFFF"/>
        </w:rPr>
        <w:t xml:space="preserve">COMMENTS </w:t>
      </w:r>
    </w:p>
    <w:p w:rsidR="00641FB0" w:rsidRPr="00CE6F35" w:rsidRDefault="00641FB0" w:rsidP="00F24268">
      <w:pPr>
        <w:adjustRightInd w:val="0"/>
        <w:snapToGrid w:val="0"/>
        <w:rPr>
          <w:rFonts w:ascii="Book Antiqua" w:eastAsia="SimSun" w:hAnsi="Book Antiqua"/>
          <w:b/>
          <w:i/>
          <w:kern w:val="0"/>
          <w:szCs w:val="24"/>
        </w:rPr>
      </w:pPr>
      <w:r w:rsidRPr="00CE6F35">
        <w:rPr>
          <w:rFonts w:ascii="Book Antiqua" w:eastAsia="SimSun" w:hAnsi="Book Antiqua"/>
          <w:b/>
          <w:i/>
          <w:kern w:val="0"/>
          <w:szCs w:val="24"/>
        </w:rPr>
        <w:t>Background</w:t>
      </w:r>
    </w:p>
    <w:p w:rsidR="00641FB0" w:rsidRPr="00CE6F35" w:rsidRDefault="00641FB0" w:rsidP="00F24268">
      <w:pPr>
        <w:adjustRightInd w:val="0"/>
        <w:snapToGrid w:val="0"/>
        <w:rPr>
          <w:rFonts w:ascii="Book Antiqua" w:hAnsi="Book Antiqua"/>
          <w:kern w:val="0"/>
          <w:szCs w:val="24"/>
        </w:rPr>
      </w:pPr>
      <w:r w:rsidRPr="00CE6F35">
        <w:rPr>
          <w:rFonts w:ascii="Book Antiqua" w:hAnsi="Book Antiqua"/>
          <w:kern w:val="0"/>
          <w:szCs w:val="24"/>
        </w:rPr>
        <w:t>CD24 expression as a potential biomarker is associated with poor prognosis in patients with gastric cancer (GC) but its genetic basis still remains to be elucidated.</w:t>
      </w:r>
    </w:p>
    <w:p w:rsidR="009B4F0D" w:rsidRPr="00CE6F35" w:rsidRDefault="009B4F0D" w:rsidP="00F24268">
      <w:pPr>
        <w:adjustRightInd w:val="0"/>
        <w:snapToGrid w:val="0"/>
        <w:rPr>
          <w:rFonts w:ascii="Book Antiqua" w:hAnsi="Book Antiqua"/>
          <w:kern w:val="0"/>
          <w:szCs w:val="24"/>
        </w:rPr>
      </w:pPr>
    </w:p>
    <w:p w:rsidR="00641FB0" w:rsidRPr="00CE6F35" w:rsidRDefault="00641FB0" w:rsidP="00F24268">
      <w:pPr>
        <w:adjustRightInd w:val="0"/>
        <w:snapToGrid w:val="0"/>
        <w:rPr>
          <w:rFonts w:ascii="Book Antiqua" w:eastAsia="SimSun" w:hAnsi="Book Antiqua"/>
          <w:b/>
          <w:i/>
          <w:kern w:val="0"/>
          <w:szCs w:val="24"/>
        </w:rPr>
      </w:pPr>
      <w:r w:rsidRPr="00CE6F35">
        <w:rPr>
          <w:rFonts w:ascii="Book Antiqua" w:eastAsia="SimSun" w:hAnsi="Book Antiqua"/>
          <w:b/>
          <w:i/>
          <w:kern w:val="0"/>
          <w:szCs w:val="24"/>
        </w:rPr>
        <w:t>Research frontiers</w:t>
      </w:r>
    </w:p>
    <w:p w:rsidR="00641FB0" w:rsidRPr="00CE6F35" w:rsidRDefault="00641FB0" w:rsidP="00F24268">
      <w:pPr>
        <w:adjustRightInd w:val="0"/>
        <w:snapToGrid w:val="0"/>
        <w:rPr>
          <w:rFonts w:ascii="Book Antiqua" w:eastAsia="SimSun" w:hAnsi="Book Antiqua"/>
          <w:kern w:val="0"/>
          <w:szCs w:val="24"/>
        </w:rPr>
      </w:pPr>
      <w:r w:rsidRPr="00CE6F35">
        <w:rPr>
          <w:rStyle w:val="highlight"/>
          <w:rFonts w:ascii="Book Antiqua" w:hAnsi="Book Antiqua"/>
          <w:szCs w:val="24"/>
          <w:shd w:val="clear" w:color="auto" w:fill="FFFFFF"/>
        </w:rPr>
        <w:t xml:space="preserve">GC is one of the most common malignancies and the third cause of cancer-related death worldwide. CD24 mediates gastric carcinogenesis and promotes GC progression. </w:t>
      </w:r>
      <w:r w:rsidRPr="00CE6F35">
        <w:rPr>
          <w:rFonts w:ascii="Book Antiqua" w:eastAsia="SimSun" w:hAnsi="Book Antiqua"/>
          <w:kern w:val="0"/>
          <w:szCs w:val="24"/>
        </w:rPr>
        <w:t xml:space="preserve">Elucidation of the association between CD24 </w:t>
      </w:r>
      <w:r w:rsidRPr="00CE6F35">
        <w:rPr>
          <w:rFonts w:ascii="Book Antiqua" w:eastAsia="SimSun" w:hAnsi="Book Antiqua"/>
          <w:kern w:val="0"/>
          <w:szCs w:val="24"/>
        </w:rPr>
        <w:lastRenderedPageBreak/>
        <w:t xml:space="preserve">genetic variants and risk and prognosis of GC may provide novel biomarkers to discriminate individuals with higher risk of GC or to predict prognosis for GC cases. </w:t>
      </w:r>
    </w:p>
    <w:p w:rsidR="009B4F0D" w:rsidRPr="00CE6F35" w:rsidRDefault="009B4F0D" w:rsidP="00F24268">
      <w:pPr>
        <w:adjustRightInd w:val="0"/>
        <w:snapToGrid w:val="0"/>
        <w:rPr>
          <w:rFonts w:ascii="Book Antiqua" w:eastAsia="SimSun" w:hAnsi="Book Antiqua"/>
          <w:kern w:val="0"/>
          <w:szCs w:val="24"/>
        </w:rPr>
      </w:pPr>
    </w:p>
    <w:p w:rsidR="00641FB0" w:rsidRPr="00CE6F35" w:rsidRDefault="00641FB0" w:rsidP="00F24268">
      <w:pPr>
        <w:adjustRightInd w:val="0"/>
        <w:snapToGrid w:val="0"/>
        <w:rPr>
          <w:rFonts w:ascii="Book Antiqua" w:eastAsia="SimSun" w:hAnsi="Book Antiqua"/>
          <w:b/>
          <w:i/>
          <w:kern w:val="0"/>
          <w:szCs w:val="24"/>
        </w:rPr>
      </w:pPr>
      <w:r w:rsidRPr="00CE6F35">
        <w:rPr>
          <w:rFonts w:ascii="Book Antiqua" w:eastAsia="SimSun" w:hAnsi="Book Antiqua"/>
          <w:b/>
          <w:i/>
          <w:kern w:val="0"/>
          <w:szCs w:val="24"/>
        </w:rPr>
        <w:t>Innovations and breakthroughs</w:t>
      </w:r>
    </w:p>
    <w:p w:rsidR="00641FB0" w:rsidRPr="00CE6F35" w:rsidRDefault="00641FB0" w:rsidP="00F24268">
      <w:pPr>
        <w:adjustRightInd w:val="0"/>
        <w:snapToGrid w:val="0"/>
        <w:rPr>
          <w:rFonts w:ascii="Book Antiqua" w:eastAsia="SimSun" w:hAnsi="Book Antiqua"/>
          <w:kern w:val="0"/>
          <w:szCs w:val="24"/>
        </w:rPr>
      </w:pPr>
      <w:r w:rsidRPr="00CE6F35">
        <w:rPr>
          <w:rFonts w:ascii="Book Antiqua" w:eastAsia="SimSun" w:hAnsi="Book Antiqua"/>
          <w:kern w:val="0"/>
          <w:szCs w:val="24"/>
        </w:rPr>
        <w:t>This study for the first time evaluates the effect of CD24 genetic variations in GC carcinogenesis and prognosis. Its results indicate that CD24 variants may serve as a marker for GC prognosis, but not for carcinogenesis.</w:t>
      </w:r>
    </w:p>
    <w:p w:rsidR="009B4F0D" w:rsidRPr="00CE6F35" w:rsidRDefault="009B4F0D" w:rsidP="00F24268">
      <w:pPr>
        <w:adjustRightInd w:val="0"/>
        <w:snapToGrid w:val="0"/>
        <w:rPr>
          <w:rFonts w:ascii="Book Antiqua" w:eastAsia="SimSun" w:hAnsi="Book Antiqua"/>
          <w:kern w:val="0"/>
          <w:szCs w:val="24"/>
        </w:rPr>
      </w:pPr>
    </w:p>
    <w:p w:rsidR="00641FB0" w:rsidRPr="00CE6F35" w:rsidRDefault="00641FB0" w:rsidP="00F24268">
      <w:pPr>
        <w:adjustRightInd w:val="0"/>
        <w:snapToGrid w:val="0"/>
        <w:rPr>
          <w:rFonts w:ascii="Book Antiqua" w:eastAsia="SimSun" w:hAnsi="Book Antiqua"/>
          <w:b/>
          <w:i/>
          <w:kern w:val="0"/>
          <w:szCs w:val="24"/>
        </w:rPr>
      </w:pPr>
      <w:r w:rsidRPr="00CE6F35">
        <w:rPr>
          <w:rFonts w:ascii="Book Antiqua" w:eastAsia="SimSun" w:hAnsi="Book Antiqua"/>
          <w:b/>
          <w:i/>
          <w:kern w:val="0"/>
          <w:szCs w:val="24"/>
        </w:rPr>
        <w:t>Applications</w:t>
      </w:r>
    </w:p>
    <w:p w:rsidR="00641FB0" w:rsidRPr="00CE6F35" w:rsidRDefault="00641FB0" w:rsidP="00F24268">
      <w:pPr>
        <w:adjustRightInd w:val="0"/>
        <w:snapToGrid w:val="0"/>
        <w:rPr>
          <w:rFonts w:ascii="Book Antiqua" w:eastAsia="SimSun" w:hAnsi="Book Antiqua"/>
          <w:kern w:val="0"/>
          <w:szCs w:val="24"/>
        </w:rPr>
      </w:pPr>
      <w:r w:rsidRPr="00CE6F35">
        <w:rPr>
          <w:rFonts w:ascii="Book Antiqua" w:eastAsia="SimSun" w:hAnsi="Book Antiqua"/>
          <w:kern w:val="0"/>
          <w:szCs w:val="24"/>
        </w:rPr>
        <w:t xml:space="preserve">P-534 site of </w:t>
      </w:r>
      <w:r w:rsidRPr="00CE6F35">
        <w:rPr>
          <w:rFonts w:ascii="Book Antiqua" w:eastAsia="SimSun" w:hAnsi="Book Antiqua"/>
          <w:i/>
          <w:kern w:val="0"/>
          <w:szCs w:val="24"/>
        </w:rPr>
        <w:t>CD24</w:t>
      </w:r>
      <w:r w:rsidRPr="00CE6F35">
        <w:rPr>
          <w:rFonts w:ascii="Book Antiqua" w:eastAsia="SimSun" w:hAnsi="Book Antiqua"/>
          <w:kern w:val="0"/>
          <w:szCs w:val="24"/>
        </w:rPr>
        <w:t xml:space="preserve"> might be used as a prognostic predictive marker for GC.</w:t>
      </w:r>
    </w:p>
    <w:p w:rsidR="009B4F0D" w:rsidRPr="00CE6F35" w:rsidRDefault="009B4F0D" w:rsidP="00F24268">
      <w:pPr>
        <w:adjustRightInd w:val="0"/>
        <w:snapToGrid w:val="0"/>
        <w:rPr>
          <w:rFonts w:ascii="Book Antiqua" w:eastAsia="SimSun" w:hAnsi="Book Antiqua"/>
          <w:kern w:val="0"/>
          <w:szCs w:val="24"/>
        </w:rPr>
      </w:pPr>
    </w:p>
    <w:p w:rsidR="00641FB0" w:rsidRPr="00CE6F35" w:rsidRDefault="00641FB0" w:rsidP="00F24268">
      <w:pPr>
        <w:adjustRightInd w:val="0"/>
        <w:snapToGrid w:val="0"/>
        <w:rPr>
          <w:rFonts w:ascii="Book Antiqua" w:eastAsia="SimSun" w:hAnsi="Book Antiqua"/>
          <w:b/>
          <w:i/>
          <w:kern w:val="0"/>
          <w:szCs w:val="24"/>
        </w:rPr>
      </w:pPr>
      <w:r w:rsidRPr="00CE6F35">
        <w:rPr>
          <w:rFonts w:ascii="Book Antiqua" w:eastAsia="SimSun" w:hAnsi="Book Antiqua"/>
          <w:b/>
          <w:i/>
          <w:kern w:val="0"/>
          <w:szCs w:val="24"/>
        </w:rPr>
        <w:t>Terminology</w:t>
      </w:r>
    </w:p>
    <w:p w:rsidR="00641FB0" w:rsidRPr="00CE6F35" w:rsidRDefault="00641FB0" w:rsidP="00F24268">
      <w:pPr>
        <w:adjustRightInd w:val="0"/>
        <w:snapToGrid w:val="0"/>
        <w:rPr>
          <w:rFonts w:ascii="Book Antiqua" w:hAnsi="Book Antiqua"/>
          <w:szCs w:val="24"/>
        </w:rPr>
      </w:pPr>
      <w:r w:rsidRPr="00CE6F35">
        <w:rPr>
          <w:rFonts w:ascii="Book Antiqua" w:hAnsi="Book Antiqua"/>
          <w:szCs w:val="24"/>
        </w:rPr>
        <w:t>CD24 is</w:t>
      </w:r>
      <w:r w:rsidR="009B4F0D" w:rsidRPr="00CE6F35">
        <w:rPr>
          <w:rFonts w:ascii="Book Antiqua" w:hAnsi="Book Antiqua"/>
          <w:szCs w:val="24"/>
        </w:rPr>
        <w:t xml:space="preserve"> a glycosylphosphatidylinositol</w:t>
      </w:r>
      <w:r w:rsidRPr="00CE6F35">
        <w:rPr>
          <w:rFonts w:ascii="Book Antiqua" w:hAnsi="Book Antiqua"/>
          <w:szCs w:val="24"/>
        </w:rPr>
        <w:t xml:space="preserve">-anchored cell-surface glycoprotein with </w:t>
      </w:r>
      <w:r w:rsidRPr="00CE6F35">
        <w:rPr>
          <w:rStyle w:val="highlight"/>
          <w:rFonts w:ascii="Book Antiqua" w:hAnsi="Book Antiqua"/>
          <w:szCs w:val="24"/>
        </w:rPr>
        <w:t>functions in signal transduction and cell adhesion</w:t>
      </w:r>
      <w:r w:rsidRPr="00CE6F35">
        <w:rPr>
          <w:rStyle w:val="apple-converted-space"/>
          <w:rFonts w:ascii="Book Antiqua" w:hAnsi="Book Antiqua"/>
          <w:szCs w:val="24"/>
          <w:shd w:val="clear" w:color="auto" w:fill="FFFFFF"/>
        </w:rPr>
        <w:t xml:space="preserve">. </w:t>
      </w:r>
      <w:r w:rsidRPr="00CE6F35">
        <w:rPr>
          <w:rFonts w:ascii="Book Antiqua" w:hAnsi="Book Antiqua"/>
          <w:szCs w:val="24"/>
        </w:rPr>
        <w:t>CD24 over-expression is associated with a more aggressive malignant phenotype of greater proliferative and migration capability; down-expression shows a less malignant phenotype.</w:t>
      </w:r>
    </w:p>
    <w:p w:rsidR="009B4F0D" w:rsidRPr="00CE6F35" w:rsidRDefault="009B4F0D" w:rsidP="00F24268">
      <w:pPr>
        <w:adjustRightInd w:val="0"/>
        <w:snapToGrid w:val="0"/>
        <w:rPr>
          <w:rFonts w:ascii="Book Antiqua" w:hAnsi="Book Antiqua"/>
          <w:szCs w:val="24"/>
        </w:rPr>
      </w:pPr>
    </w:p>
    <w:p w:rsidR="00641FB0" w:rsidRPr="00CE6F35" w:rsidRDefault="009B4F0D" w:rsidP="00F24268">
      <w:pPr>
        <w:adjustRightInd w:val="0"/>
        <w:snapToGrid w:val="0"/>
        <w:rPr>
          <w:rFonts w:ascii="Book Antiqua" w:eastAsia="SimSun" w:hAnsi="Book Antiqua"/>
          <w:b/>
          <w:i/>
          <w:kern w:val="0"/>
          <w:szCs w:val="24"/>
        </w:rPr>
      </w:pPr>
      <w:r w:rsidRPr="00CE6F35">
        <w:rPr>
          <w:rFonts w:ascii="Book Antiqua" w:eastAsia="SimSun" w:hAnsi="Book Antiqua"/>
          <w:b/>
          <w:i/>
          <w:kern w:val="0"/>
          <w:szCs w:val="24"/>
        </w:rPr>
        <w:t>Peer</w:t>
      </w:r>
      <w:r w:rsidRPr="00CE6F35">
        <w:rPr>
          <w:rFonts w:ascii="Book Antiqua" w:eastAsia="SimSun" w:hAnsi="Book Antiqua" w:hint="eastAsia"/>
          <w:b/>
          <w:i/>
          <w:kern w:val="0"/>
          <w:szCs w:val="24"/>
        </w:rPr>
        <w:t>-</w:t>
      </w:r>
      <w:r w:rsidR="00641FB0" w:rsidRPr="00CE6F35">
        <w:rPr>
          <w:rFonts w:ascii="Book Antiqua" w:eastAsia="SimSun" w:hAnsi="Book Antiqua"/>
          <w:b/>
          <w:i/>
          <w:kern w:val="0"/>
          <w:szCs w:val="24"/>
        </w:rPr>
        <w:t>review</w:t>
      </w:r>
    </w:p>
    <w:p w:rsidR="007F4C73" w:rsidRPr="00CE6F35" w:rsidRDefault="00641FB0" w:rsidP="00F24268">
      <w:pPr>
        <w:adjustRightInd w:val="0"/>
        <w:snapToGrid w:val="0"/>
        <w:rPr>
          <w:rStyle w:val="highlight"/>
          <w:rFonts w:ascii="Book Antiqua" w:hAnsi="Book Antiqua"/>
          <w:szCs w:val="24"/>
          <w:shd w:val="clear" w:color="auto" w:fill="FFFFFF"/>
        </w:rPr>
      </w:pPr>
      <w:r w:rsidRPr="00CE6F35">
        <w:rPr>
          <w:rFonts w:ascii="Book Antiqua" w:eastAsia="SimSun" w:hAnsi="Book Antiqua"/>
          <w:kern w:val="0"/>
          <w:szCs w:val="24"/>
        </w:rPr>
        <w:t xml:space="preserve">This study </w:t>
      </w:r>
      <w:r w:rsidRPr="00CE6F35">
        <w:rPr>
          <w:rFonts w:ascii="Book Antiqua" w:hAnsi="Book Antiqua"/>
          <w:kern w:val="0"/>
          <w:szCs w:val="24"/>
        </w:rPr>
        <w:t>investigated</w:t>
      </w:r>
      <w:r w:rsidRPr="00CE6F35">
        <w:rPr>
          <w:rStyle w:val="highlight"/>
          <w:rFonts w:ascii="Book Antiqua" w:hAnsi="Book Antiqua"/>
          <w:szCs w:val="24"/>
          <w:shd w:val="clear" w:color="auto" w:fill="FFFFFF"/>
        </w:rPr>
        <w:t xml:space="preserve"> the role of </w:t>
      </w:r>
      <w:r w:rsidRPr="00CE6F35">
        <w:rPr>
          <w:rStyle w:val="highlight"/>
          <w:rFonts w:ascii="Book Antiqua" w:hAnsi="Book Antiqua"/>
          <w:i/>
          <w:szCs w:val="24"/>
          <w:shd w:val="clear" w:color="auto" w:fill="FFFFFF"/>
        </w:rPr>
        <w:t xml:space="preserve">CD24 </w:t>
      </w:r>
      <w:r w:rsidRPr="00CE6F35">
        <w:rPr>
          <w:rStyle w:val="highlight"/>
          <w:rFonts w:ascii="Book Antiqua" w:hAnsi="Book Antiqua"/>
          <w:szCs w:val="24"/>
          <w:shd w:val="clear" w:color="auto" w:fill="FFFFFF"/>
        </w:rPr>
        <w:t>genetic variants</w:t>
      </w:r>
      <w:r w:rsidRPr="00CE6F35">
        <w:rPr>
          <w:rStyle w:val="highlight"/>
          <w:rFonts w:ascii="Book Antiqua" w:hAnsi="Book Antiqua"/>
          <w:i/>
          <w:szCs w:val="24"/>
          <w:shd w:val="clear" w:color="auto" w:fill="FFFFFF"/>
        </w:rPr>
        <w:t xml:space="preserve"> </w:t>
      </w:r>
      <w:r w:rsidRPr="00CE6F35">
        <w:rPr>
          <w:rStyle w:val="highlight"/>
          <w:rFonts w:ascii="Book Antiqua" w:hAnsi="Book Antiqua"/>
          <w:szCs w:val="24"/>
          <w:shd w:val="clear" w:color="auto" w:fill="FFFFFF"/>
        </w:rPr>
        <w:t xml:space="preserve">in susceptibility and overall survival of GC and shows that P-534 of </w:t>
      </w:r>
      <w:r w:rsidRPr="00CE6F35">
        <w:rPr>
          <w:rStyle w:val="highlight"/>
          <w:rFonts w:ascii="Book Antiqua" w:hAnsi="Book Antiqua"/>
          <w:i/>
          <w:szCs w:val="24"/>
          <w:shd w:val="clear" w:color="auto" w:fill="FFFFFF"/>
        </w:rPr>
        <w:t>CD24</w:t>
      </w:r>
      <w:r w:rsidRPr="00CE6F35">
        <w:rPr>
          <w:rStyle w:val="highlight"/>
          <w:rFonts w:ascii="Book Antiqua" w:hAnsi="Book Antiqua"/>
          <w:szCs w:val="24"/>
          <w:shd w:val="clear" w:color="auto" w:fill="FFFFFF"/>
        </w:rPr>
        <w:t xml:space="preserve"> may serve as an independent prognostic marker for GC.</w:t>
      </w:r>
    </w:p>
    <w:p w:rsidR="007F4C73" w:rsidRPr="00CE6F35" w:rsidRDefault="007F4C73">
      <w:pPr>
        <w:widowControl/>
        <w:rPr>
          <w:rStyle w:val="highlight"/>
          <w:rFonts w:ascii="Book Antiqua" w:hAnsi="Book Antiqua"/>
          <w:szCs w:val="24"/>
          <w:shd w:val="clear" w:color="auto" w:fill="FFFFFF"/>
        </w:rPr>
      </w:pPr>
      <w:r w:rsidRPr="00CE6F35">
        <w:rPr>
          <w:rStyle w:val="highlight"/>
          <w:rFonts w:ascii="Book Antiqua" w:hAnsi="Book Antiqua"/>
          <w:szCs w:val="24"/>
          <w:shd w:val="clear" w:color="auto" w:fill="FFFFFF"/>
        </w:rPr>
        <w:br w:type="page"/>
      </w:r>
    </w:p>
    <w:p w:rsidR="00522AA8" w:rsidRPr="00CE6F35" w:rsidRDefault="007F4C73" w:rsidP="00F24268">
      <w:pPr>
        <w:adjustRightInd w:val="0"/>
        <w:snapToGrid w:val="0"/>
        <w:rPr>
          <w:rFonts w:ascii="Book Antiqua" w:hAnsi="Book Antiqua"/>
          <w:b/>
          <w:szCs w:val="24"/>
          <w:lang w:val="da-DK"/>
        </w:rPr>
      </w:pPr>
      <w:r w:rsidRPr="00CE6F35">
        <w:rPr>
          <w:rFonts w:ascii="Book Antiqua" w:hAnsi="Book Antiqua"/>
          <w:b/>
          <w:szCs w:val="24"/>
          <w:lang w:val="da-DK"/>
        </w:rPr>
        <w:lastRenderedPageBreak/>
        <w:t>REFERENCE</w:t>
      </w:r>
      <w:bookmarkStart w:id="320" w:name="OLE_LINK52"/>
      <w:bookmarkStart w:id="321" w:name="OLE_LINK53"/>
      <w:r w:rsidRPr="00CE6F35">
        <w:rPr>
          <w:rFonts w:ascii="Book Antiqua" w:hAnsi="Book Antiqua" w:hint="eastAsia"/>
          <w:b/>
          <w:szCs w:val="24"/>
          <w:lang w:val="da-DK"/>
        </w:rPr>
        <w:t>S</w:t>
      </w:r>
    </w:p>
    <w:p w:rsidR="00CC1F5D" w:rsidRPr="00CE6F35" w:rsidRDefault="00CC1F5D" w:rsidP="00CC1F5D">
      <w:pPr>
        <w:widowControl/>
        <w:rPr>
          <w:rFonts w:ascii="Book Antiqua" w:eastAsia="SimSun" w:hAnsi="Book Antiqua" w:cs="SimSun"/>
          <w:kern w:val="0"/>
          <w:szCs w:val="24"/>
        </w:rPr>
      </w:pPr>
      <w:bookmarkStart w:id="322" w:name="OLE_LINK2396"/>
      <w:bookmarkStart w:id="323" w:name="OLE_LINK2397"/>
      <w:bookmarkEnd w:id="320"/>
      <w:bookmarkEnd w:id="321"/>
      <w:r w:rsidRPr="00CE6F35">
        <w:rPr>
          <w:rFonts w:ascii="Book Antiqua" w:eastAsia="SimSun" w:hAnsi="Book Antiqua" w:cs="SimSun"/>
          <w:kern w:val="0"/>
          <w:szCs w:val="24"/>
        </w:rPr>
        <w:t xml:space="preserve">1 </w:t>
      </w:r>
      <w:r w:rsidRPr="00CE6F35">
        <w:rPr>
          <w:rFonts w:ascii="Book Antiqua" w:eastAsia="SimSun" w:hAnsi="Book Antiqua" w:cs="SimSun"/>
          <w:b/>
          <w:kern w:val="0"/>
          <w:szCs w:val="24"/>
        </w:rPr>
        <w:t>Ferlay J</w:t>
      </w:r>
      <w:r w:rsidRPr="00CE6F35">
        <w:rPr>
          <w:rFonts w:ascii="Book Antiqua" w:eastAsia="SimSun" w:hAnsi="Book Antiqua" w:cs="SimSun"/>
          <w:kern w:val="0"/>
          <w:szCs w:val="24"/>
        </w:rPr>
        <w:t xml:space="preserve">, Soerjomataram I, Ervik M, Dikshit R, Eser S, Mathers C, Rebelo M, Parkin D, Forman D, Bray F. GLOBOCAN 2012 v1.0, Cancer Incidence and Mortality Worldwide: IARC CancerBase No. 11 [Internet]. Lyon, France: International Agency for Research on Cancer 2013. Available from: </w:t>
      </w:r>
      <w:r w:rsidRPr="00CE6F35">
        <w:rPr>
          <w:rFonts w:ascii="Book Antiqua" w:eastAsia="SimSun" w:hAnsi="Book Antiqua" w:cs="SimSun" w:hint="eastAsia"/>
          <w:kern w:val="0"/>
          <w:szCs w:val="24"/>
        </w:rPr>
        <w:t xml:space="preserve">URL: </w:t>
      </w:r>
      <w:r w:rsidRPr="00CE6F35">
        <w:rPr>
          <w:rFonts w:ascii="Book Antiqua" w:eastAsia="SimSun" w:hAnsi="Book Antiqua" w:cs="SimSun"/>
          <w:kern w:val="0"/>
          <w:szCs w:val="24"/>
        </w:rPr>
        <w:t>http: //globocan.iarc.fr, accessed on 15/01/2015</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2 </w:t>
      </w:r>
      <w:r w:rsidRPr="00CE6F35">
        <w:rPr>
          <w:rFonts w:ascii="Book Antiqua" w:eastAsia="SimSun" w:hAnsi="Book Antiqua" w:cs="SimSun"/>
          <w:b/>
          <w:kern w:val="0"/>
          <w:szCs w:val="24"/>
        </w:rPr>
        <w:t>IARC</w:t>
      </w:r>
      <w:r w:rsidRPr="00CE6F35">
        <w:rPr>
          <w:rFonts w:ascii="Book Antiqua" w:eastAsia="SimSun" w:hAnsi="Book Antiqua" w:cs="SimSun"/>
          <w:kern w:val="0"/>
          <w:szCs w:val="24"/>
        </w:rPr>
        <w:t xml:space="preserve">. Schistosomes, liver flukes and Helicobacter pylori. IARC Working Group on the Evaluation of Carcinogenic Risks to Humans. Lyon, 7-14 June 1994. </w:t>
      </w:r>
      <w:r w:rsidRPr="00CE6F35">
        <w:rPr>
          <w:rFonts w:ascii="Book Antiqua" w:eastAsia="SimSun" w:hAnsi="Book Antiqua" w:cs="SimSun"/>
          <w:i/>
          <w:iCs/>
          <w:kern w:val="0"/>
          <w:szCs w:val="24"/>
        </w:rPr>
        <w:t>IARC Monogr Eval Carcinog Risks Hum</w:t>
      </w:r>
      <w:r w:rsidRPr="00CE6F35">
        <w:rPr>
          <w:rFonts w:ascii="Book Antiqua" w:eastAsia="SimSun" w:hAnsi="Book Antiqua" w:cs="SimSun"/>
          <w:kern w:val="0"/>
          <w:szCs w:val="24"/>
        </w:rPr>
        <w:t xml:space="preserve"> 1994; </w:t>
      </w:r>
      <w:r w:rsidRPr="00CE6F35">
        <w:rPr>
          <w:rFonts w:ascii="Book Antiqua" w:eastAsia="SimSun" w:hAnsi="Book Antiqua" w:cs="SimSun"/>
          <w:b/>
          <w:bCs/>
          <w:kern w:val="0"/>
          <w:szCs w:val="24"/>
        </w:rPr>
        <w:t>61</w:t>
      </w:r>
      <w:r w:rsidRPr="00CE6F35">
        <w:rPr>
          <w:rFonts w:ascii="Book Antiqua" w:eastAsia="SimSun" w:hAnsi="Book Antiqua" w:cs="SimSun"/>
          <w:kern w:val="0"/>
          <w:szCs w:val="24"/>
        </w:rPr>
        <w:t>: 1-241 [PMID: 7715068]</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3 </w:t>
      </w:r>
      <w:r w:rsidRPr="00CE6F35">
        <w:rPr>
          <w:rFonts w:ascii="Book Antiqua" w:eastAsia="SimSun" w:hAnsi="Book Antiqua" w:cs="SimSun"/>
          <w:b/>
          <w:bCs/>
          <w:kern w:val="0"/>
          <w:szCs w:val="24"/>
        </w:rPr>
        <w:t>Cao XY</w:t>
      </w:r>
      <w:r w:rsidRPr="00CE6F35">
        <w:rPr>
          <w:rFonts w:ascii="Book Antiqua" w:eastAsia="SimSun" w:hAnsi="Book Antiqua" w:cs="SimSun"/>
          <w:kern w:val="0"/>
          <w:szCs w:val="24"/>
        </w:rPr>
        <w:t xml:space="preserve">, Jia ZF, Jin MS, Cao DH, Kong F, Suo J, Jiang J. Serum pepsinogen II is a better diagnostic marker in gastric cancer. </w:t>
      </w:r>
      <w:r w:rsidRPr="00CE6F35">
        <w:rPr>
          <w:rFonts w:ascii="Book Antiqua" w:eastAsia="SimSun" w:hAnsi="Book Antiqua" w:cs="SimSun"/>
          <w:i/>
          <w:iCs/>
          <w:kern w:val="0"/>
          <w:szCs w:val="24"/>
        </w:rPr>
        <w:t>World J Gastroenterol</w:t>
      </w:r>
      <w:r w:rsidRPr="00CE6F35">
        <w:rPr>
          <w:rFonts w:ascii="Book Antiqua" w:eastAsia="SimSun" w:hAnsi="Book Antiqua" w:cs="SimSun"/>
          <w:kern w:val="0"/>
          <w:szCs w:val="24"/>
        </w:rPr>
        <w:t xml:space="preserve"> 2012; </w:t>
      </w:r>
      <w:r w:rsidRPr="00CE6F35">
        <w:rPr>
          <w:rFonts w:ascii="Book Antiqua" w:eastAsia="SimSun" w:hAnsi="Book Antiqua" w:cs="SimSun"/>
          <w:b/>
          <w:bCs/>
          <w:kern w:val="0"/>
          <w:szCs w:val="24"/>
        </w:rPr>
        <w:t>18</w:t>
      </w:r>
      <w:r w:rsidRPr="00CE6F35">
        <w:rPr>
          <w:rFonts w:ascii="Book Antiqua" w:eastAsia="SimSun" w:hAnsi="Book Antiqua" w:cs="SimSun"/>
          <w:kern w:val="0"/>
          <w:szCs w:val="24"/>
        </w:rPr>
        <w:t>: 7357-7361 [PMID: 23326145 DOI: 10.3748/wjg.v18.i48.7357]</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4 </w:t>
      </w:r>
      <w:r w:rsidRPr="00CE6F35">
        <w:rPr>
          <w:rFonts w:ascii="Book Antiqua" w:eastAsia="SimSun" w:hAnsi="Book Antiqua" w:cs="SimSun"/>
          <w:b/>
          <w:bCs/>
          <w:kern w:val="0"/>
          <w:szCs w:val="24"/>
        </w:rPr>
        <w:t>Naumov I</w:t>
      </w:r>
      <w:r w:rsidRPr="00CE6F35">
        <w:rPr>
          <w:rFonts w:ascii="Book Antiqua" w:eastAsia="SimSun" w:hAnsi="Book Antiqua" w:cs="SimSun"/>
          <w:kern w:val="0"/>
          <w:szCs w:val="24"/>
        </w:rPr>
        <w:t xml:space="preserve">, Zilberberg A, Shapira S, Avivi D, Kazanov D, Rosin-Arbesfeld R, Arber N, Kraus S. CD24 knockout prevents colorectal cancer in chemically induced colon carcinogenesis and in APC(Min)/CD24 double knockout transgenic mice. </w:t>
      </w:r>
      <w:r w:rsidRPr="00CE6F35">
        <w:rPr>
          <w:rFonts w:ascii="Book Antiqua" w:eastAsia="SimSun" w:hAnsi="Book Antiqua" w:cs="SimSun"/>
          <w:i/>
          <w:iCs/>
          <w:kern w:val="0"/>
          <w:szCs w:val="24"/>
        </w:rPr>
        <w:t>Int J Cancer</w:t>
      </w:r>
      <w:r w:rsidRPr="00CE6F35">
        <w:rPr>
          <w:rFonts w:ascii="Book Antiqua" w:eastAsia="SimSun" w:hAnsi="Book Antiqua" w:cs="SimSun"/>
          <w:kern w:val="0"/>
          <w:szCs w:val="24"/>
        </w:rPr>
        <w:t xml:space="preserve"> 2014; </w:t>
      </w:r>
      <w:r w:rsidRPr="00CE6F35">
        <w:rPr>
          <w:rFonts w:ascii="Book Antiqua" w:eastAsia="SimSun" w:hAnsi="Book Antiqua" w:cs="SimSun"/>
          <w:b/>
          <w:bCs/>
          <w:kern w:val="0"/>
          <w:szCs w:val="24"/>
        </w:rPr>
        <w:t>135</w:t>
      </w:r>
      <w:r w:rsidRPr="00CE6F35">
        <w:rPr>
          <w:rFonts w:ascii="Book Antiqua" w:eastAsia="SimSun" w:hAnsi="Book Antiqua" w:cs="SimSun"/>
          <w:kern w:val="0"/>
          <w:szCs w:val="24"/>
        </w:rPr>
        <w:t>: 1048-1059 [PMID: 24500912 DOI: 10.1002/ijc.28762]</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5 </w:t>
      </w:r>
      <w:r w:rsidRPr="00CE6F35">
        <w:rPr>
          <w:rFonts w:ascii="Book Antiqua" w:eastAsia="SimSun" w:hAnsi="Book Antiqua" w:cs="SimSun"/>
          <w:b/>
          <w:bCs/>
          <w:kern w:val="0"/>
          <w:szCs w:val="24"/>
        </w:rPr>
        <w:t>Baumann P</w:t>
      </w:r>
      <w:r w:rsidRPr="00CE6F35">
        <w:rPr>
          <w:rFonts w:ascii="Book Antiqua" w:eastAsia="SimSun" w:hAnsi="Book Antiqua" w:cs="SimSun"/>
          <w:kern w:val="0"/>
          <w:szCs w:val="24"/>
        </w:rPr>
        <w:t xml:space="preserve">, Cremers N, Kroese F, Orend G, Chiquet-Ehrismann R, Uede T, Yagita H, Sleeman JP. CD24 expression causes the acquisition of multiple cellular properties associated with tumor growth and metastasis. </w:t>
      </w:r>
      <w:r w:rsidRPr="00CE6F35">
        <w:rPr>
          <w:rFonts w:ascii="Book Antiqua" w:eastAsia="SimSun" w:hAnsi="Book Antiqua" w:cs="SimSun"/>
          <w:i/>
          <w:iCs/>
          <w:kern w:val="0"/>
          <w:szCs w:val="24"/>
        </w:rPr>
        <w:t>Cancer Res</w:t>
      </w:r>
      <w:r w:rsidRPr="00CE6F35">
        <w:rPr>
          <w:rFonts w:ascii="Book Antiqua" w:eastAsia="SimSun" w:hAnsi="Book Antiqua" w:cs="SimSun"/>
          <w:kern w:val="0"/>
          <w:szCs w:val="24"/>
        </w:rPr>
        <w:t xml:space="preserve"> 2005; </w:t>
      </w:r>
      <w:r w:rsidRPr="00CE6F35">
        <w:rPr>
          <w:rFonts w:ascii="Book Antiqua" w:eastAsia="SimSun" w:hAnsi="Book Antiqua" w:cs="SimSun"/>
          <w:b/>
          <w:bCs/>
          <w:kern w:val="0"/>
          <w:szCs w:val="24"/>
        </w:rPr>
        <w:t>65</w:t>
      </w:r>
      <w:r w:rsidRPr="00CE6F35">
        <w:rPr>
          <w:rFonts w:ascii="Book Antiqua" w:eastAsia="SimSun" w:hAnsi="Book Antiqua" w:cs="SimSun"/>
          <w:kern w:val="0"/>
          <w:szCs w:val="24"/>
        </w:rPr>
        <w:t>: 10783-10793 [PMID: 16322224 DOI: 10.1158/0008-5472.can-05-0619]</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6 </w:t>
      </w:r>
      <w:r w:rsidRPr="00CE6F35">
        <w:rPr>
          <w:rFonts w:ascii="Book Antiqua" w:eastAsia="SimSun" w:hAnsi="Book Antiqua" w:cs="SimSun"/>
          <w:b/>
          <w:bCs/>
          <w:kern w:val="0"/>
          <w:szCs w:val="24"/>
        </w:rPr>
        <w:t>Sagiv E</w:t>
      </w:r>
      <w:r w:rsidRPr="00CE6F35">
        <w:rPr>
          <w:rFonts w:ascii="Book Antiqua" w:eastAsia="SimSun" w:hAnsi="Book Antiqua" w:cs="SimSun"/>
          <w:kern w:val="0"/>
          <w:szCs w:val="24"/>
        </w:rPr>
        <w:t xml:space="preserve">, Starr A, Rozovski U, Khosravi R, Altevogt P, Wang T, Arber N. Targeting CD24 for treatment of colorectal and pancreatic cancer by monoclonal antibodies or small interfering RNA. </w:t>
      </w:r>
      <w:r w:rsidRPr="00CE6F35">
        <w:rPr>
          <w:rFonts w:ascii="Book Antiqua" w:eastAsia="SimSun" w:hAnsi="Book Antiqua" w:cs="SimSun"/>
          <w:i/>
          <w:iCs/>
          <w:kern w:val="0"/>
          <w:szCs w:val="24"/>
        </w:rPr>
        <w:t>Cancer Res</w:t>
      </w:r>
      <w:r w:rsidRPr="00CE6F35">
        <w:rPr>
          <w:rFonts w:ascii="Book Antiqua" w:eastAsia="SimSun" w:hAnsi="Book Antiqua" w:cs="SimSun"/>
          <w:kern w:val="0"/>
          <w:szCs w:val="24"/>
        </w:rPr>
        <w:t xml:space="preserve"> 2008; </w:t>
      </w:r>
      <w:r w:rsidRPr="00CE6F35">
        <w:rPr>
          <w:rFonts w:ascii="Book Antiqua" w:eastAsia="SimSun" w:hAnsi="Book Antiqua" w:cs="SimSun"/>
          <w:b/>
          <w:bCs/>
          <w:kern w:val="0"/>
          <w:szCs w:val="24"/>
        </w:rPr>
        <w:t>68</w:t>
      </w:r>
      <w:r w:rsidRPr="00CE6F35">
        <w:rPr>
          <w:rFonts w:ascii="Book Antiqua" w:eastAsia="SimSun" w:hAnsi="Book Antiqua" w:cs="SimSun"/>
          <w:kern w:val="0"/>
          <w:szCs w:val="24"/>
        </w:rPr>
        <w:t>: 2803-2812 [PMID: 18413748 DOI: 10.1158/0008-5472.can-07-6463]</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7 </w:t>
      </w:r>
      <w:r w:rsidRPr="00CE6F35">
        <w:rPr>
          <w:rFonts w:ascii="Book Antiqua" w:eastAsia="SimSun" w:hAnsi="Book Antiqua" w:cs="SimSun"/>
          <w:b/>
          <w:bCs/>
          <w:kern w:val="0"/>
          <w:szCs w:val="24"/>
        </w:rPr>
        <w:t>Horiguchi K</w:t>
      </w:r>
      <w:r w:rsidRPr="00CE6F35">
        <w:rPr>
          <w:rFonts w:ascii="Book Antiqua" w:eastAsia="SimSun" w:hAnsi="Book Antiqua" w:cs="SimSun"/>
          <w:kern w:val="0"/>
          <w:szCs w:val="24"/>
        </w:rPr>
        <w:t xml:space="preserve">, Toi M, Horiguchi S, Sugimoto M, Naito Y, Hayashi Y, Ueno T, Ohno S, Funata N, Kuroi K, Tomita M, Eishi Y. Predictive value of CD24 and CD44 for neoadjuvant chemotherapy response and prognosis in primary breast cancer patients. </w:t>
      </w:r>
      <w:r w:rsidRPr="00CE6F35">
        <w:rPr>
          <w:rFonts w:ascii="Book Antiqua" w:eastAsia="SimSun" w:hAnsi="Book Antiqua" w:cs="SimSun"/>
          <w:i/>
          <w:iCs/>
          <w:kern w:val="0"/>
          <w:szCs w:val="24"/>
        </w:rPr>
        <w:t>J Med Dent Sci</w:t>
      </w:r>
      <w:r w:rsidRPr="00CE6F35">
        <w:rPr>
          <w:rFonts w:ascii="Book Antiqua" w:eastAsia="SimSun" w:hAnsi="Book Antiqua" w:cs="SimSun"/>
          <w:kern w:val="0"/>
          <w:szCs w:val="24"/>
        </w:rPr>
        <w:t xml:space="preserve"> 2010; </w:t>
      </w:r>
      <w:r w:rsidRPr="00CE6F35">
        <w:rPr>
          <w:rFonts w:ascii="Book Antiqua" w:eastAsia="SimSun" w:hAnsi="Book Antiqua" w:cs="SimSun"/>
          <w:b/>
          <w:bCs/>
          <w:kern w:val="0"/>
          <w:szCs w:val="24"/>
        </w:rPr>
        <w:t>57</w:t>
      </w:r>
      <w:r w:rsidRPr="00CE6F35">
        <w:rPr>
          <w:rFonts w:ascii="Book Antiqua" w:eastAsia="SimSun" w:hAnsi="Book Antiqua" w:cs="SimSun"/>
          <w:kern w:val="0"/>
          <w:szCs w:val="24"/>
        </w:rPr>
        <w:t>: 165-175 [PMID: 21073135]</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lastRenderedPageBreak/>
        <w:t xml:space="preserve">8 </w:t>
      </w:r>
      <w:r w:rsidRPr="00CE6F35">
        <w:rPr>
          <w:rFonts w:ascii="Book Antiqua" w:eastAsia="SimSun" w:hAnsi="Book Antiqua" w:cs="SimSun"/>
          <w:b/>
          <w:bCs/>
          <w:kern w:val="0"/>
          <w:szCs w:val="24"/>
        </w:rPr>
        <w:t>Athanassiadou P</w:t>
      </w:r>
      <w:r w:rsidRPr="00CE6F35">
        <w:rPr>
          <w:rFonts w:ascii="Book Antiqua" w:eastAsia="SimSun" w:hAnsi="Book Antiqua" w:cs="SimSun"/>
          <w:kern w:val="0"/>
          <w:szCs w:val="24"/>
        </w:rPr>
        <w:t xml:space="preserve">, Grapsa D, Gonidi M, Athanassiadou AM, Tsipis A, Patsouris E. CD24 expression has a prognostic impact in breast carcinoma. </w:t>
      </w:r>
      <w:r w:rsidRPr="00CE6F35">
        <w:rPr>
          <w:rFonts w:ascii="Book Antiqua" w:eastAsia="SimSun" w:hAnsi="Book Antiqua" w:cs="SimSun"/>
          <w:i/>
          <w:iCs/>
          <w:kern w:val="0"/>
          <w:szCs w:val="24"/>
        </w:rPr>
        <w:t>Pathol Res Pract</w:t>
      </w:r>
      <w:r w:rsidRPr="00CE6F35">
        <w:rPr>
          <w:rFonts w:ascii="Book Antiqua" w:eastAsia="SimSun" w:hAnsi="Book Antiqua" w:cs="SimSun"/>
          <w:kern w:val="0"/>
          <w:szCs w:val="24"/>
        </w:rPr>
        <w:t xml:space="preserve"> 2009; </w:t>
      </w:r>
      <w:r w:rsidRPr="00CE6F35">
        <w:rPr>
          <w:rFonts w:ascii="Book Antiqua" w:eastAsia="SimSun" w:hAnsi="Book Antiqua" w:cs="SimSun"/>
          <w:b/>
          <w:bCs/>
          <w:kern w:val="0"/>
          <w:szCs w:val="24"/>
        </w:rPr>
        <w:t>205</w:t>
      </w:r>
      <w:r w:rsidRPr="00CE6F35">
        <w:rPr>
          <w:rFonts w:ascii="Book Antiqua" w:eastAsia="SimSun" w:hAnsi="Book Antiqua" w:cs="SimSun"/>
          <w:kern w:val="0"/>
          <w:szCs w:val="24"/>
        </w:rPr>
        <w:t>: 524-533 [PMID: 19243896 DOI: 10.1016/j.prp.2009.01.008]</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9 </w:t>
      </w:r>
      <w:r w:rsidRPr="00CE6F35">
        <w:rPr>
          <w:rFonts w:ascii="Book Antiqua" w:eastAsia="SimSun" w:hAnsi="Book Antiqua" w:cs="SimSun"/>
          <w:b/>
          <w:bCs/>
          <w:kern w:val="0"/>
          <w:szCs w:val="24"/>
        </w:rPr>
        <w:t>Wang L</w:t>
      </w:r>
      <w:r w:rsidRPr="00CE6F35">
        <w:rPr>
          <w:rFonts w:ascii="Book Antiqua" w:eastAsia="SimSun" w:hAnsi="Book Antiqua" w:cs="SimSun"/>
          <w:kern w:val="0"/>
          <w:szCs w:val="24"/>
        </w:rPr>
        <w:t xml:space="preserve">, Liu R, Ye P, Wong C, Chen GY, Zhou P, Sakabe K, Zheng X, Wu W, Zhang P, Jiang T, Bassetti MF, Jube S, Sun Y, Zhang Y, Zheng P, Liu Y. Intracellular CD24 disrupts the ARF-NPM interaction and enables mutational and viral oncogene-mediated p53 inactivation. </w:t>
      </w:r>
      <w:r w:rsidRPr="00CE6F35">
        <w:rPr>
          <w:rFonts w:ascii="Book Antiqua" w:eastAsia="SimSun" w:hAnsi="Book Antiqua" w:cs="SimSun"/>
          <w:i/>
          <w:iCs/>
          <w:kern w:val="0"/>
          <w:szCs w:val="24"/>
        </w:rPr>
        <w:t>Nat Commun</w:t>
      </w:r>
      <w:r w:rsidRPr="00CE6F35">
        <w:rPr>
          <w:rFonts w:ascii="Book Antiqua" w:eastAsia="SimSun" w:hAnsi="Book Antiqua" w:cs="SimSun"/>
          <w:kern w:val="0"/>
          <w:szCs w:val="24"/>
        </w:rPr>
        <w:t xml:space="preserve"> 2015; </w:t>
      </w:r>
      <w:r w:rsidRPr="00CE6F35">
        <w:rPr>
          <w:rFonts w:ascii="Book Antiqua" w:eastAsia="SimSun" w:hAnsi="Book Antiqua" w:cs="SimSun"/>
          <w:b/>
          <w:bCs/>
          <w:kern w:val="0"/>
          <w:szCs w:val="24"/>
        </w:rPr>
        <w:t>6</w:t>
      </w:r>
      <w:r w:rsidRPr="00CE6F35">
        <w:rPr>
          <w:rFonts w:ascii="Book Antiqua" w:eastAsia="SimSun" w:hAnsi="Book Antiqua" w:cs="SimSun"/>
          <w:kern w:val="0"/>
          <w:szCs w:val="24"/>
        </w:rPr>
        <w:t>: 5909 [PMID: 25600590 DOI: 10.1038/ncomms6909]</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10 </w:t>
      </w:r>
      <w:r w:rsidRPr="00CE6F35">
        <w:rPr>
          <w:rFonts w:ascii="Book Antiqua" w:eastAsia="SimSun" w:hAnsi="Book Antiqua" w:cs="SimSun"/>
          <w:b/>
          <w:bCs/>
          <w:kern w:val="0"/>
          <w:szCs w:val="24"/>
        </w:rPr>
        <w:t>Sahlberg SH</w:t>
      </w:r>
      <w:r w:rsidRPr="00CE6F35">
        <w:rPr>
          <w:rFonts w:ascii="Book Antiqua" w:eastAsia="SimSun" w:hAnsi="Book Antiqua" w:cs="SimSun"/>
          <w:kern w:val="0"/>
          <w:szCs w:val="24"/>
        </w:rPr>
        <w:t xml:space="preserve">, Spiegelberg D, Glimelius B, Stenerlöw B, Nestor M. Evaluation of cancer stem cell markers CD133, CD44, CD24: association with AKT isoforms and radiation resistance in colon cancer cells. </w:t>
      </w:r>
      <w:r w:rsidRPr="00CE6F35">
        <w:rPr>
          <w:rFonts w:ascii="Book Antiqua" w:eastAsia="SimSun" w:hAnsi="Book Antiqua" w:cs="SimSun"/>
          <w:i/>
          <w:iCs/>
          <w:kern w:val="0"/>
          <w:szCs w:val="24"/>
        </w:rPr>
        <w:t>PLoS One</w:t>
      </w:r>
      <w:r w:rsidRPr="00CE6F35">
        <w:rPr>
          <w:rFonts w:ascii="Book Antiqua" w:eastAsia="SimSun" w:hAnsi="Book Antiqua" w:cs="SimSun"/>
          <w:kern w:val="0"/>
          <w:szCs w:val="24"/>
        </w:rPr>
        <w:t xml:space="preserve"> 2014; </w:t>
      </w:r>
      <w:r w:rsidRPr="00CE6F35">
        <w:rPr>
          <w:rFonts w:ascii="Book Antiqua" w:eastAsia="SimSun" w:hAnsi="Book Antiqua" w:cs="SimSun"/>
          <w:b/>
          <w:bCs/>
          <w:kern w:val="0"/>
          <w:szCs w:val="24"/>
        </w:rPr>
        <w:t>9</w:t>
      </w:r>
      <w:r w:rsidRPr="00CE6F35">
        <w:rPr>
          <w:rFonts w:ascii="Book Antiqua" w:eastAsia="SimSun" w:hAnsi="Book Antiqua" w:cs="SimSun"/>
          <w:kern w:val="0"/>
          <w:szCs w:val="24"/>
        </w:rPr>
        <w:t>: e94621 [PMID: 24760019 DOI: 10.1371/journal.pone.0094621]</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11 </w:t>
      </w:r>
      <w:r w:rsidRPr="00CE6F35">
        <w:rPr>
          <w:rFonts w:ascii="Book Antiqua" w:eastAsia="SimSun" w:hAnsi="Book Antiqua" w:cs="SimSun"/>
          <w:b/>
          <w:bCs/>
          <w:kern w:val="0"/>
          <w:szCs w:val="24"/>
        </w:rPr>
        <w:t>Weichert W</w:t>
      </w:r>
      <w:r w:rsidRPr="00CE6F35">
        <w:rPr>
          <w:rFonts w:ascii="Book Antiqua" w:eastAsia="SimSun" w:hAnsi="Book Antiqua" w:cs="SimSun"/>
          <w:kern w:val="0"/>
          <w:szCs w:val="24"/>
        </w:rPr>
        <w:t xml:space="preserve">, Denkert C, Burkhardt M, Gansukh T, Bellach J, Altevogt P, Dietel M, Kristiansen G. Cytoplasmic CD24 expression in colorectal cancer independently correlates with shortened patient survival. </w:t>
      </w:r>
      <w:r w:rsidRPr="00CE6F35">
        <w:rPr>
          <w:rFonts w:ascii="Book Antiqua" w:eastAsia="SimSun" w:hAnsi="Book Antiqua" w:cs="SimSun"/>
          <w:i/>
          <w:iCs/>
          <w:kern w:val="0"/>
          <w:szCs w:val="24"/>
        </w:rPr>
        <w:t>Clin Cancer Res</w:t>
      </w:r>
      <w:r w:rsidRPr="00CE6F35">
        <w:rPr>
          <w:rFonts w:ascii="Book Antiqua" w:eastAsia="SimSun" w:hAnsi="Book Antiqua" w:cs="SimSun"/>
          <w:kern w:val="0"/>
          <w:szCs w:val="24"/>
        </w:rPr>
        <w:t xml:space="preserve"> 2005; </w:t>
      </w:r>
      <w:r w:rsidRPr="00CE6F35">
        <w:rPr>
          <w:rFonts w:ascii="Book Antiqua" w:eastAsia="SimSun" w:hAnsi="Book Antiqua" w:cs="SimSun"/>
          <w:b/>
          <w:bCs/>
          <w:kern w:val="0"/>
          <w:szCs w:val="24"/>
        </w:rPr>
        <w:t>11</w:t>
      </w:r>
      <w:r w:rsidRPr="00CE6F35">
        <w:rPr>
          <w:rFonts w:ascii="Book Antiqua" w:eastAsia="SimSun" w:hAnsi="Book Antiqua" w:cs="SimSun"/>
          <w:kern w:val="0"/>
          <w:szCs w:val="24"/>
        </w:rPr>
        <w:t>: 6574-6581 [PMID: 16166435 DOI: 10.1158/1078-0432.ccr-05-0606]</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12 </w:t>
      </w:r>
      <w:r w:rsidRPr="00CE6F35">
        <w:rPr>
          <w:rFonts w:ascii="Book Antiqua" w:eastAsia="SimSun" w:hAnsi="Book Antiqua" w:cs="SimSun"/>
          <w:b/>
          <w:bCs/>
          <w:kern w:val="0"/>
          <w:szCs w:val="24"/>
        </w:rPr>
        <w:t>Yang XR</w:t>
      </w:r>
      <w:r w:rsidRPr="00CE6F35">
        <w:rPr>
          <w:rFonts w:ascii="Book Antiqua" w:eastAsia="SimSun" w:hAnsi="Book Antiqua" w:cs="SimSun"/>
          <w:kern w:val="0"/>
          <w:szCs w:val="24"/>
        </w:rPr>
        <w:t xml:space="preserve">, Xu Y, Yu B, Zhou J, Li JC, Qiu SJ, Shi YH, Wang XY, Dai Z, Shi GM, Wu B, Wu LM, Yang GH, Zhang BH, Qin WX, Fan J. CD24 is a novel predictor for poor prognosis of hepatocellular carcinoma after surgery. </w:t>
      </w:r>
      <w:r w:rsidRPr="00CE6F35">
        <w:rPr>
          <w:rFonts w:ascii="Book Antiqua" w:eastAsia="SimSun" w:hAnsi="Book Antiqua" w:cs="SimSun"/>
          <w:i/>
          <w:iCs/>
          <w:kern w:val="0"/>
          <w:szCs w:val="24"/>
        </w:rPr>
        <w:t>Clin Cancer Res</w:t>
      </w:r>
      <w:r w:rsidRPr="00CE6F35">
        <w:rPr>
          <w:rFonts w:ascii="Book Antiqua" w:eastAsia="SimSun" w:hAnsi="Book Antiqua" w:cs="SimSun"/>
          <w:kern w:val="0"/>
          <w:szCs w:val="24"/>
        </w:rPr>
        <w:t xml:space="preserve"> 2009; </w:t>
      </w:r>
      <w:r w:rsidRPr="00CE6F35">
        <w:rPr>
          <w:rFonts w:ascii="Book Antiqua" w:eastAsia="SimSun" w:hAnsi="Book Antiqua" w:cs="SimSun"/>
          <w:b/>
          <w:bCs/>
          <w:kern w:val="0"/>
          <w:szCs w:val="24"/>
        </w:rPr>
        <w:t>15</w:t>
      </w:r>
      <w:r w:rsidRPr="00CE6F35">
        <w:rPr>
          <w:rFonts w:ascii="Book Antiqua" w:eastAsia="SimSun" w:hAnsi="Book Antiqua" w:cs="SimSun"/>
          <w:kern w:val="0"/>
          <w:szCs w:val="24"/>
        </w:rPr>
        <w:t>: 5518-5527 [PMID: 19706825 DOI: 10.1158/1078-0432.ccr-09-0151]</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13 </w:t>
      </w:r>
      <w:r w:rsidRPr="00CE6F35">
        <w:rPr>
          <w:rFonts w:ascii="Book Antiqua" w:eastAsia="SimSun" w:hAnsi="Book Antiqua" w:cs="SimSun"/>
          <w:b/>
          <w:bCs/>
          <w:kern w:val="0"/>
          <w:szCs w:val="24"/>
        </w:rPr>
        <w:t>Sano A</w:t>
      </w:r>
      <w:r w:rsidRPr="00CE6F35">
        <w:rPr>
          <w:rFonts w:ascii="Book Antiqua" w:eastAsia="SimSun" w:hAnsi="Book Antiqua" w:cs="SimSun"/>
          <w:kern w:val="0"/>
          <w:szCs w:val="24"/>
        </w:rPr>
        <w:t xml:space="preserve">, Kato H, Sakurai S, Sakai M, Tanaka N, Inose T, Saito K, Sohda M, Nakajima M, Nakajima T, Kuwano H. CD24 expression is a novel prognostic factor in esophageal squamous cell carcinoma. </w:t>
      </w:r>
      <w:r w:rsidRPr="00CE6F35">
        <w:rPr>
          <w:rFonts w:ascii="Book Antiqua" w:eastAsia="SimSun" w:hAnsi="Book Antiqua" w:cs="SimSun"/>
          <w:i/>
          <w:iCs/>
          <w:kern w:val="0"/>
          <w:szCs w:val="24"/>
        </w:rPr>
        <w:t>Ann Surg Oncol</w:t>
      </w:r>
      <w:r w:rsidRPr="00CE6F35">
        <w:rPr>
          <w:rFonts w:ascii="Book Antiqua" w:eastAsia="SimSun" w:hAnsi="Book Antiqua" w:cs="SimSun"/>
          <w:kern w:val="0"/>
          <w:szCs w:val="24"/>
        </w:rPr>
        <w:t xml:space="preserve"> 2009; </w:t>
      </w:r>
      <w:r w:rsidRPr="00CE6F35">
        <w:rPr>
          <w:rFonts w:ascii="Book Antiqua" w:eastAsia="SimSun" w:hAnsi="Book Antiqua" w:cs="SimSun"/>
          <w:b/>
          <w:bCs/>
          <w:kern w:val="0"/>
          <w:szCs w:val="24"/>
        </w:rPr>
        <w:t>16</w:t>
      </w:r>
      <w:r w:rsidRPr="00CE6F35">
        <w:rPr>
          <w:rFonts w:ascii="Book Antiqua" w:eastAsia="SimSun" w:hAnsi="Book Antiqua" w:cs="SimSun"/>
          <w:kern w:val="0"/>
          <w:szCs w:val="24"/>
        </w:rPr>
        <w:t>: 506-514 [PMID: 19050962 DOI: 10.1245/s10434-008-0252-0]</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14 </w:t>
      </w:r>
      <w:r w:rsidRPr="00CE6F35">
        <w:rPr>
          <w:rFonts w:ascii="Book Antiqua" w:eastAsia="SimSun" w:hAnsi="Book Antiqua" w:cs="SimSun"/>
          <w:b/>
          <w:bCs/>
          <w:kern w:val="0"/>
          <w:szCs w:val="24"/>
        </w:rPr>
        <w:t>Wang YC</w:t>
      </w:r>
      <w:r w:rsidRPr="00CE6F35">
        <w:rPr>
          <w:rFonts w:ascii="Book Antiqua" w:eastAsia="SimSun" w:hAnsi="Book Antiqua" w:cs="SimSun"/>
          <w:kern w:val="0"/>
          <w:szCs w:val="24"/>
        </w:rPr>
        <w:t xml:space="preserve">, Wang JL, Kong X, Sun TT, Chen HY, Hong J, Fang JY. CD24 mediates gastric carcinogenesis and promotes gastric cancer progression via </w:t>
      </w:r>
      <w:r w:rsidRPr="00CE6F35">
        <w:rPr>
          <w:rFonts w:ascii="Book Antiqua" w:eastAsia="SimSun" w:hAnsi="Book Antiqua" w:cs="SimSun"/>
          <w:kern w:val="0"/>
          <w:szCs w:val="24"/>
        </w:rPr>
        <w:lastRenderedPageBreak/>
        <w:t xml:space="preserve">STAT3 activation. </w:t>
      </w:r>
      <w:r w:rsidRPr="00CE6F35">
        <w:rPr>
          <w:rFonts w:ascii="Book Antiqua" w:eastAsia="SimSun" w:hAnsi="Book Antiqua" w:cs="SimSun"/>
          <w:i/>
          <w:iCs/>
          <w:kern w:val="0"/>
          <w:szCs w:val="24"/>
        </w:rPr>
        <w:t>Apoptosis</w:t>
      </w:r>
      <w:r w:rsidRPr="00CE6F35">
        <w:rPr>
          <w:rFonts w:ascii="Book Antiqua" w:eastAsia="SimSun" w:hAnsi="Book Antiqua" w:cs="SimSun"/>
          <w:kern w:val="0"/>
          <w:szCs w:val="24"/>
        </w:rPr>
        <w:t xml:space="preserve"> 2014; </w:t>
      </w:r>
      <w:r w:rsidRPr="00CE6F35">
        <w:rPr>
          <w:rFonts w:ascii="Book Antiqua" w:eastAsia="SimSun" w:hAnsi="Book Antiqua" w:cs="SimSun"/>
          <w:b/>
          <w:bCs/>
          <w:kern w:val="0"/>
          <w:szCs w:val="24"/>
        </w:rPr>
        <w:t>19</w:t>
      </w:r>
      <w:r w:rsidRPr="00CE6F35">
        <w:rPr>
          <w:rFonts w:ascii="Book Antiqua" w:eastAsia="SimSun" w:hAnsi="Book Antiqua" w:cs="SimSun"/>
          <w:kern w:val="0"/>
          <w:szCs w:val="24"/>
        </w:rPr>
        <w:t>: 643-656 [PMID: 24327257 DOI: 10.1007/s10495-013-0949-9]</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15 </w:t>
      </w:r>
      <w:r w:rsidRPr="00CE6F35">
        <w:rPr>
          <w:rFonts w:ascii="Book Antiqua" w:eastAsia="SimSun" w:hAnsi="Book Antiqua" w:cs="SimSun"/>
          <w:b/>
          <w:bCs/>
          <w:kern w:val="0"/>
          <w:szCs w:val="24"/>
        </w:rPr>
        <w:t>Takahashi M</w:t>
      </w:r>
      <w:r w:rsidRPr="00CE6F35">
        <w:rPr>
          <w:rFonts w:ascii="Book Antiqua" w:eastAsia="SimSun" w:hAnsi="Book Antiqua" w:cs="SimSun"/>
          <w:kern w:val="0"/>
          <w:szCs w:val="24"/>
        </w:rPr>
        <w:t xml:space="preserve">, Nakajima M, Ogata H, Domeki Y, Ohtsuka K, Ihara K, Kurayama E, Yamaguchi S, Sasaki K, Miyachi K, Kato H. CD24 expression is associated with progression of gastric cancer. </w:t>
      </w:r>
      <w:r w:rsidRPr="00CE6F35">
        <w:rPr>
          <w:rFonts w:ascii="Book Antiqua" w:eastAsia="SimSun" w:hAnsi="Book Antiqua" w:cs="SimSun"/>
          <w:i/>
          <w:iCs/>
          <w:kern w:val="0"/>
          <w:szCs w:val="24"/>
        </w:rPr>
        <w:t>Hepatogastroenterology</w:t>
      </w:r>
      <w:r w:rsidRPr="00CE6F35">
        <w:rPr>
          <w:rFonts w:ascii="Book Antiqua" w:eastAsia="SimSun" w:hAnsi="Book Antiqua" w:cs="SimSun"/>
          <w:kern w:val="0"/>
          <w:szCs w:val="24"/>
        </w:rPr>
        <w:t xml:space="preserve"> 2013; </w:t>
      </w:r>
      <w:r w:rsidRPr="00CE6F35">
        <w:rPr>
          <w:rFonts w:ascii="Book Antiqua" w:eastAsia="SimSun" w:hAnsi="Book Antiqua" w:cs="SimSun"/>
          <w:b/>
          <w:bCs/>
          <w:kern w:val="0"/>
          <w:szCs w:val="24"/>
        </w:rPr>
        <w:t>60</w:t>
      </w:r>
      <w:r w:rsidRPr="00CE6F35">
        <w:rPr>
          <w:rFonts w:ascii="Book Antiqua" w:eastAsia="SimSun" w:hAnsi="Book Antiqua" w:cs="SimSun"/>
          <w:kern w:val="0"/>
          <w:szCs w:val="24"/>
        </w:rPr>
        <w:t>: 653-658 [PMID: 23159387 DOI: 10.5754/hge12763]</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16 </w:t>
      </w:r>
      <w:r w:rsidRPr="00CE6F35">
        <w:rPr>
          <w:rFonts w:ascii="Book Antiqua" w:eastAsia="SimSun" w:hAnsi="Book Antiqua" w:cs="SimSun"/>
          <w:b/>
          <w:bCs/>
          <w:kern w:val="0"/>
          <w:szCs w:val="24"/>
        </w:rPr>
        <w:t>Zhang C</w:t>
      </w:r>
      <w:r w:rsidRPr="00CE6F35">
        <w:rPr>
          <w:rFonts w:ascii="Book Antiqua" w:eastAsia="SimSun" w:hAnsi="Book Antiqua" w:cs="SimSun"/>
          <w:kern w:val="0"/>
          <w:szCs w:val="24"/>
        </w:rPr>
        <w:t xml:space="preserve">, Li C, He F, Cai Y, Yang H. Identification of CD44+CD24+ gastric cancer stem cells. </w:t>
      </w:r>
      <w:r w:rsidRPr="00CE6F35">
        <w:rPr>
          <w:rFonts w:ascii="Book Antiqua" w:eastAsia="SimSun" w:hAnsi="Book Antiqua" w:cs="SimSun"/>
          <w:i/>
          <w:iCs/>
          <w:kern w:val="0"/>
          <w:szCs w:val="24"/>
        </w:rPr>
        <w:t>J Cancer Res Clin Oncol</w:t>
      </w:r>
      <w:r w:rsidRPr="00CE6F35">
        <w:rPr>
          <w:rFonts w:ascii="Book Antiqua" w:eastAsia="SimSun" w:hAnsi="Book Antiqua" w:cs="SimSun"/>
          <w:kern w:val="0"/>
          <w:szCs w:val="24"/>
        </w:rPr>
        <w:t xml:space="preserve"> 2011; </w:t>
      </w:r>
      <w:r w:rsidRPr="00CE6F35">
        <w:rPr>
          <w:rFonts w:ascii="Book Antiqua" w:eastAsia="SimSun" w:hAnsi="Book Antiqua" w:cs="SimSun"/>
          <w:b/>
          <w:bCs/>
          <w:kern w:val="0"/>
          <w:szCs w:val="24"/>
        </w:rPr>
        <w:t>137</w:t>
      </w:r>
      <w:r w:rsidRPr="00CE6F35">
        <w:rPr>
          <w:rFonts w:ascii="Book Antiqua" w:eastAsia="SimSun" w:hAnsi="Book Antiqua" w:cs="SimSun"/>
          <w:kern w:val="0"/>
          <w:szCs w:val="24"/>
        </w:rPr>
        <w:t>: 1679-1686 [PMID: 21882047 DOI: 10.1007/s00432-011-1038-5]</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17 </w:t>
      </w:r>
      <w:r w:rsidRPr="00CE6F35">
        <w:rPr>
          <w:rFonts w:ascii="Book Antiqua" w:eastAsia="SimSun" w:hAnsi="Book Antiqua" w:cs="SimSun"/>
          <w:b/>
          <w:bCs/>
          <w:kern w:val="0"/>
          <w:szCs w:val="24"/>
        </w:rPr>
        <w:t>Ke J</w:t>
      </w:r>
      <w:r w:rsidRPr="00CE6F35">
        <w:rPr>
          <w:rFonts w:ascii="Book Antiqua" w:eastAsia="SimSun" w:hAnsi="Book Antiqua" w:cs="SimSun"/>
          <w:kern w:val="0"/>
          <w:szCs w:val="24"/>
        </w:rPr>
        <w:t>, Wu X, Wu X, He X, Lian L, Zou Y, He X, Wang H, Luo Y, Wang L, Lan P. A subpopulation of CD24</w:t>
      </w:r>
      <w:r w:rsidRPr="00CE6F35">
        <w:rPr>
          <w:rFonts w:ascii="Cambria Math" w:eastAsia="MS Mincho" w:hAnsi="Cambria Math" w:cs="Cambria Math"/>
          <w:kern w:val="0"/>
          <w:szCs w:val="24"/>
        </w:rPr>
        <w:t>⁺</w:t>
      </w:r>
      <w:r w:rsidRPr="00CE6F35">
        <w:rPr>
          <w:rFonts w:ascii="Book Antiqua" w:eastAsia="SimSun" w:hAnsi="Book Antiqua" w:cs="SimSun"/>
          <w:kern w:val="0"/>
          <w:szCs w:val="24"/>
        </w:rPr>
        <w:t xml:space="preserve"> cells in colon cancer cell lines possess stem cell characteristics. </w:t>
      </w:r>
      <w:r w:rsidRPr="00CE6F35">
        <w:rPr>
          <w:rFonts w:ascii="Book Antiqua" w:eastAsia="SimSun" w:hAnsi="Book Antiqua" w:cs="SimSun"/>
          <w:i/>
          <w:iCs/>
          <w:kern w:val="0"/>
          <w:szCs w:val="24"/>
        </w:rPr>
        <w:t>Neoplasma</w:t>
      </w:r>
      <w:r w:rsidRPr="00CE6F35">
        <w:rPr>
          <w:rFonts w:ascii="Book Antiqua" w:eastAsia="SimSun" w:hAnsi="Book Antiqua" w:cs="SimSun"/>
          <w:kern w:val="0"/>
          <w:szCs w:val="24"/>
        </w:rPr>
        <w:t xml:space="preserve"> 2012; </w:t>
      </w:r>
      <w:r w:rsidRPr="00CE6F35">
        <w:rPr>
          <w:rFonts w:ascii="Book Antiqua" w:eastAsia="SimSun" w:hAnsi="Book Antiqua" w:cs="SimSun"/>
          <w:b/>
          <w:bCs/>
          <w:kern w:val="0"/>
          <w:szCs w:val="24"/>
        </w:rPr>
        <w:t>59</w:t>
      </w:r>
      <w:r w:rsidRPr="00CE6F35">
        <w:rPr>
          <w:rFonts w:ascii="Book Antiqua" w:eastAsia="SimSun" w:hAnsi="Book Antiqua" w:cs="SimSun"/>
          <w:kern w:val="0"/>
          <w:szCs w:val="24"/>
        </w:rPr>
        <w:t>: 282-288 [PMID: 22329848 DOI: 10.4149/neo_2012_036]</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18 </w:t>
      </w:r>
      <w:r w:rsidRPr="00CE6F35">
        <w:rPr>
          <w:rFonts w:ascii="Book Antiqua" w:eastAsia="SimSun" w:hAnsi="Book Antiqua" w:cs="SimSun"/>
          <w:b/>
          <w:bCs/>
          <w:kern w:val="0"/>
          <w:szCs w:val="24"/>
        </w:rPr>
        <w:t>Li C</w:t>
      </w:r>
      <w:r w:rsidRPr="00CE6F35">
        <w:rPr>
          <w:rFonts w:ascii="Book Antiqua" w:eastAsia="SimSun" w:hAnsi="Book Antiqua" w:cs="SimSun"/>
          <w:kern w:val="0"/>
          <w:szCs w:val="24"/>
        </w:rPr>
        <w:t xml:space="preserve">, Heidt DG, Dalerba P, Burant CF, Zhang L, Adsay V, Wicha M, Clarke MF, Simeone DM. Identification of pancreatic cancer stem cells. </w:t>
      </w:r>
      <w:r w:rsidRPr="00CE6F35">
        <w:rPr>
          <w:rFonts w:ascii="Book Antiqua" w:eastAsia="SimSun" w:hAnsi="Book Antiqua" w:cs="SimSun"/>
          <w:i/>
          <w:iCs/>
          <w:kern w:val="0"/>
          <w:szCs w:val="24"/>
        </w:rPr>
        <w:t>Cancer Res</w:t>
      </w:r>
      <w:r w:rsidRPr="00CE6F35">
        <w:rPr>
          <w:rFonts w:ascii="Book Antiqua" w:eastAsia="SimSun" w:hAnsi="Book Antiqua" w:cs="SimSun"/>
          <w:kern w:val="0"/>
          <w:szCs w:val="24"/>
        </w:rPr>
        <w:t xml:space="preserve"> 2007; </w:t>
      </w:r>
      <w:r w:rsidRPr="00CE6F35">
        <w:rPr>
          <w:rFonts w:ascii="Book Antiqua" w:eastAsia="SimSun" w:hAnsi="Book Antiqua" w:cs="SimSun"/>
          <w:b/>
          <w:bCs/>
          <w:kern w:val="0"/>
          <w:szCs w:val="24"/>
        </w:rPr>
        <w:t>67</w:t>
      </w:r>
      <w:r w:rsidRPr="00CE6F35">
        <w:rPr>
          <w:rFonts w:ascii="Book Antiqua" w:eastAsia="SimSun" w:hAnsi="Book Antiqua" w:cs="SimSun"/>
          <w:kern w:val="0"/>
          <w:szCs w:val="24"/>
        </w:rPr>
        <w:t>: 1030-1037 [PMID: 17283135 DOI: 10.1158/0008-5472.can-06-2030]</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19 </w:t>
      </w:r>
      <w:r w:rsidRPr="00CE6F35">
        <w:rPr>
          <w:rFonts w:ascii="Book Antiqua" w:eastAsia="SimSun" w:hAnsi="Book Antiqua" w:cs="SimSun"/>
          <w:b/>
          <w:bCs/>
          <w:kern w:val="0"/>
          <w:szCs w:val="24"/>
        </w:rPr>
        <w:t>Duckworth CA</w:t>
      </w:r>
      <w:r w:rsidRPr="00CE6F35">
        <w:rPr>
          <w:rFonts w:ascii="Book Antiqua" w:eastAsia="SimSun" w:hAnsi="Book Antiqua" w:cs="SimSun"/>
          <w:kern w:val="0"/>
          <w:szCs w:val="24"/>
        </w:rPr>
        <w:t xml:space="preserve">, Clyde D, Pritchard DM. CD24 is expressed in gastric parietal cells and regulates apoptosis and the response to Helicobacter felis infection in the murine stomach. </w:t>
      </w:r>
      <w:r w:rsidRPr="00CE6F35">
        <w:rPr>
          <w:rFonts w:ascii="Book Antiqua" w:eastAsia="SimSun" w:hAnsi="Book Antiqua" w:cs="SimSun"/>
          <w:i/>
          <w:iCs/>
          <w:kern w:val="0"/>
          <w:szCs w:val="24"/>
        </w:rPr>
        <w:t>Am J Physiol Gastrointest Liver Physiol</w:t>
      </w:r>
      <w:r w:rsidRPr="00CE6F35">
        <w:rPr>
          <w:rFonts w:ascii="Book Antiqua" w:eastAsia="SimSun" w:hAnsi="Book Antiqua" w:cs="SimSun"/>
          <w:kern w:val="0"/>
          <w:szCs w:val="24"/>
        </w:rPr>
        <w:t xml:space="preserve"> 2012; </w:t>
      </w:r>
      <w:r w:rsidRPr="00CE6F35">
        <w:rPr>
          <w:rFonts w:ascii="Book Antiqua" w:eastAsia="SimSun" w:hAnsi="Book Antiqua" w:cs="SimSun"/>
          <w:b/>
          <w:bCs/>
          <w:kern w:val="0"/>
          <w:szCs w:val="24"/>
        </w:rPr>
        <w:t>303</w:t>
      </w:r>
      <w:r w:rsidRPr="00CE6F35">
        <w:rPr>
          <w:rFonts w:ascii="Book Antiqua" w:eastAsia="SimSun" w:hAnsi="Book Antiqua" w:cs="SimSun"/>
          <w:kern w:val="0"/>
          <w:szCs w:val="24"/>
        </w:rPr>
        <w:t>: G915-G926 [PMID: 22899822 DOI: 10.1152/ajpgi.00068.2012]</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20 </w:t>
      </w:r>
      <w:r w:rsidRPr="00CE6F35">
        <w:rPr>
          <w:rFonts w:ascii="Book Antiqua" w:eastAsia="SimSun" w:hAnsi="Book Antiqua" w:cs="SimSun"/>
          <w:b/>
          <w:bCs/>
          <w:kern w:val="0"/>
          <w:szCs w:val="24"/>
        </w:rPr>
        <w:t>Lisiansky V</w:t>
      </w:r>
      <w:r w:rsidRPr="00CE6F35">
        <w:rPr>
          <w:rFonts w:ascii="Book Antiqua" w:eastAsia="SimSun" w:hAnsi="Book Antiqua" w:cs="SimSun"/>
          <w:kern w:val="0"/>
          <w:szCs w:val="24"/>
        </w:rPr>
        <w:t xml:space="preserve">, Kraus S, Naumov I, Kazanov D, Nabiochtchikov I, Toledano O, Leshno M, Avivi D, Dotan I, Arber N, Moshkowitz M. Role of CD24 polymorphisms in the susceptibility to inflammatory bowel disease. </w:t>
      </w:r>
      <w:r w:rsidRPr="00CE6F35">
        <w:rPr>
          <w:rFonts w:ascii="Book Antiqua" w:eastAsia="SimSun" w:hAnsi="Book Antiqua" w:cs="SimSun"/>
          <w:i/>
          <w:iCs/>
          <w:kern w:val="0"/>
          <w:szCs w:val="24"/>
        </w:rPr>
        <w:t>Int J Biol Markers</w:t>
      </w:r>
      <w:r w:rsidRPr="00CE6F35">
        <w:rPr>
          <w:rFonts w:ascii="Book Antiqua" w:eastAsia="SimSun" w:hAnsi="Book Antiqua" w:cs="SimSun"/>
          <w:kern w:val="0"/>
          <w:szCs w:val="24"/>
        </w:rPr>
        <w:t xml:space="preserve"> </w:t>
      </w:r>
      <w:r w:rsidRPr="00CE6F35">
        <w:rPr>
          <w:rFonts w:ascii="Book Antiqua" w:eastAsia="SimSun" w:hAnsi="Book Antiqua" w:cs="SimSun" w:hint="eastAsia"/>
          <w:kern w:val="0"/>
          <w:szCs w:val="24"/>
        </w:rPr>
        <w:t>2014</w:t>
      </w:r>
      <w:r w:rsidRPr="00CE6F35">
        <w:rPr>
          <w:rFonts w:ascii="Book Antiqua" w:eastAsia="SimSun" w:hAnsi="Book Antiqua" w:cs="SimSun"/>
          <w:kern w:val="0"/>
          <w:szCs w:val="24"/>
        </w:rPr>
        <w:t xml:space="preserve">; </w:t>
      </w:r>
      <w:r w:rsidRPr="00CE6F35">
        <w:rPr>
          <w:rFonts w:ascii="Book Antiqua" w:eastAsia="SimSun" w:hAnsi="Book Antiqua" w:cs="SimSun"/>
          <w:b/>
          <w:bCs/>
          <w:kern w:val="0"/>
          <w:szCs w:val="24"/>
        </w:rPr>
        <w:t>29</w:t>
      </w:r>
      <w:r w:rsidRPr="00CE6F35">
        <w:rPr>
          <w:rFonts w:ascii="Book Antiqua" w:eastAsia="SimSun" w:hAnsi="Book Antiqua" w:cs="SimSun"/>
          <w:kern w:val="0"/>
          <w:szCs w:val="24"/>
        </w:rPr>
        <w:t>: e62-e68 [PMID: 24557789 DOI: 10.5301/jbm.5000072]</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21 </w:t>
      </w:r>
      <w:r w:rsidRPr="00CE6F35">
        <w:rPr>
          <w:rFonts w:ascii="Book Antiqua" w:eastAsia="SimSun" w:hAnsi="Book Antiqua" w:cs="SimSun"/>
          <w:b/>
          <w:bCs/>
          <w:kern w:val="0"/>
          <w:szCs w:val="24"/>
        </w:rPr>
        <w:t>Li D</w:t>
      </w:r>
      <w:r w:rsidRPr="00CE6F35">
        <w:rPr>
          <w:rFonts w:ascii="Book Antiqua" w:eastAsia="SimSun" w:hAnsi="Book Antiqua" w:cs="SimSun"/>
          <w:kern w:val="0"/>
          <w:szCs w:val="24"/>
        </w:rPr>
        <w:t xml:space="preserve">, Zheng L, Jin L, Zhou Y, Li H, Fu J, Shi M, Du P, Wang L, Wu H, Chen GY, Zheng P, Liu Y, Wang FS, Wang S. CD24 polymorphisms affect risk and progression of chronic hepatitis B virus infection. </w:t>
      </w:r>
      <w:r w:rsidRPr="00CE6F35">
        <w:rPr>
          <w:rFonts w:ascii="Book Antiqua" w:eastAsia="SimSun" w:hAnsi="Book Antiqua" w:cs="SimSun"/>
          <w:i/>
          <w:iCs/>
          <w:kern w:val="0"/>
          <w:szCs w:val="24"/>
        </w:rPr>
        <w:t>Hepatology</w:t>
      </w:r>
      <w:r w:rsidRPr="00CE6F35">
        <w:rPr>
          <w:rFonts w:ascii="Book Antiqua" w:eastAsia="SimSun" w:hAnsi="Book Antiqua" w:cs="SimSun"/>
          <w:kern w:val="0"/>
          <w:szCs w:val="24"/>
        </w:rPr>
        <w:t xml:space="preserve"> 2009; </w:t>
      </w:r>
      <w:r w:rsidRPr="00CE6F35">
        <w:rPr>
          <w:rFonts w:ascii="Book Antiqua" w:eastAsia="SimSun" w:hAnsi="Book Antiqua" w:cs="SimSun"/>
          <w:b/>
          <w:bCs/>
          <w:kern w:val="0"/>
          <w:szCs w:val="24"/>
        </w:rPr>
        <w:t>50</w:t>
      </w:r>
      <w:r w:rsidRPr="00CE6F35">
        <w:rPr>
          <w:rFonts w:ascii="Book Antiqua" w:eastAsia="SimSun" w:hAnsi="Book Antiqua" w:cs="SimSun"/>
          <w:kern w:val="0"/>
          <w:szCs w:val="24"/>
        </w:rPr>
        <w:t>: 735-742 [PMID: 19610054 DOI: 10.1002/hep.23047]</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lastRenderedPageBreak/>
        <w:t xml:space="preserve">22 </w:t>
      </w:r>
      <w:r w:rsidRPr="00CE6F35">
        <w:rPr>
          <w:rFonts w:ascii="Book Antiqua" w:eastAsia="SimSun" w:hAnsi="Book Antiqua" w:cs="SimSun"/>
          <w:b/>
          <w:bCs/>
          <w:kern w:val="0"/>
          <w:szCs w:val="24"/>
        </w:rPr>
        <w:t>Zhou X</w:t>
      </w:r>
      <w:r w:rsidRPr="00CE6F35">
        <w:rPr>
          <w:rFonts w:ascii="Book Antiqua" w:eastAsia="SimSun" w:hAnsi="Book Antiqua" w:cs="SimSun"/>
          <w:kern w:val="0"/>
          <w:szCs w:val="24"/>
        </w:rPr>
        <w:t xml:space="preserve">, Cao Y, Luo J, Zeng X. [Association between CD24 polymorphism and genetic susceptibility to breast cancer: a case-control study]. </w:t>
      </w:r>
      <w:r w:rsidRPr="00CE6F35">
        <w:rPr>
          <w:rFonts w:ascii="Book Antiqua" w:eastAsia="SimSun" w:hAnsi="Book Antiqua" w:cs="SimSun"/>
          <w:i/>
          <w:iCs/>
          <w:kern w:val="0"/>
          <w:szCs w:val="24"/>
        </w:rPr>
        <w:t>Zhong Nan Da Xue Xue Bao Yi Xue Ban</w:t>
      </w:r>
      <w:r w:rsidRPr="00CE6F35">
        <w:rPr>
          <w:rFonts w:ascii="Book Antiqua" w:eastAsia="SimSun" w:hAnsi="Book Antiqua" w:cs="SimSun"/>
          <w:kern w:val="0"/>
          <w:szCs w:val="24"/>
        </w:rPr>
        <w:t xml:space="preserve"> 2013; </w:t>
      </w:r>
      <w:r w:rsidRPr="00CE6F35">
        <w:rPr>
          <w:rFonts w:ascii="Book Antiqua" w:eastAsia="SimSun" w:hAnsi="Book Antiqua" w:cs="SimSun"/>
          <w:b/>
          <w:bCs/>
          <w:kern w:val="0"/>
          <w:szCs w:val="24"/>
        </w:rPr>
        <w:t>38</w:t>
      </w:r>
      <w:r w:rsidRPr="00CE6F35">
        <w:rPr>
          <w:rFonts w:ascii="Book Antiqua" w:eastAsia="SimSun" w:hAnsi="Book Antiqua" w:cs="SimSun"/>
          <w:kern w:val="0"/>
          <w:szCs w:val="24"/>
        </w:rPr>
        <w:t>: 1122-1129 [PMID: 24316932 DOI: 10.3969/j.issn.1672-7347.2013.11.007]</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23 </w:t>
      </w:r>
      <w:r w:rsidRPr="00CE6F35">
        <w:rPr>
          <w:rFonts w:ascii="Book Antiqua" w:eastAsia="SimSun" w:hAnsi="Book Antiqua" w:cs="SimSun"/>
          <w:b/>
          <w:bCs/>
          <w:kern w:val="0"/>
          <w:szCs w:val="24"/>
        </w:rPr>
        <w:t>Jiang J</w:t>
      </w:r>
      <w:r w:rsidRPr="00CE6F35">
        <w:rPr>
          <w:rFonts w:ascii="Book Antiqua" w:eastAsia="SimSun" w:hAnsi="Book Antiqua" w:cs="SimSun"/>
          <w:kern w:val="0"/>
          <w:szCs w:val="24"/>
        </w:rPr>
        <w:t xml:space="preserve">, Jia Z, Cao D, Jin MS, Kong F, Suo J, Cao X. Polymorphisms of the DNA methyltransferase 1 associated with reduced risks of Helicobacter pylori infection and increased risks of gastric atrophy. </w:t>
      </w:r>
      <w:r w:rsidRPr="00CE6F35">
        <w:rPr>
          <w:rFonts w:ascii="Book Antiqua" w:eastAsia="SimSun" w:hAnsi="Book Antiqua" w:cs="SimSun"/>
          <w:i/>
          <w:iCs/>
          <w:kern w:val="0"/>
          <w:szCs w:val="24"/>
        </w:rPr>
        <w:t>PLoS One</w:t>
      </w:r>
      <w:r w:rsidRPr="00CE6F35">
        <w:rPr>
          <w:rFonts w:ascii="Book Antiqua" w:eastAsia="SimSun" w:hAnsi="Book Antiqua" w:cs="SimSun"/>
          <w:kern w:val="0"/>
          <w:szCs w:val="24"/>
        </w:rPr>
        <w:t xml:space="preserve"> 2012; </w:t>
      </w:r>
      <w:r w:rsidRPr="00CE6F35">
        <w:rPr>
          <w:rFonts w:ascii="Book Antiqua" w:eastAsia="SimSun" w:hAnsi="Book Antiqua" w:cs="SimSun"/>
          <w:b/>
          <w:bCs/>
          <w:kern w:val="0"/>
          <w:szCs w:val="24"/>
        </w:rPr>
        <w:t>7</w:t>
      </w:r>
      <w:r w:rsidRPr="00CE6F35">
        <w:rPr>
          <w:rFonts w:ascii="Book Antiqua" w:eastAsia="SimSun" w:hAnsi="Book Antiqua" w:cs="SimSun"/>
          <w:kern w:val="0"/>
          <w:szCs w:val="24"/>
        </w:rPr>
        <w:t>: e46058 [PMID: 23049933 DOI: 10.1371/journal.pone.0046058]</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24 </w:t>
      </w:r>
      <w:r w:rsidRPr="00CE6F35">
        <w:rPr>
          <w:rFonts w:ascii="Book Antiqua" w:eastAsia="SimSun" w:hAnsi="Book Antiqua" w:cs="SimSun"/>
          <w:b/>
          <w:bCs/>
          <w:kern w:val="0"/>
          <w:szCs w:val="24"/>
        </w:rPr>
        <w:t>Cao X</w:t>
      </w:r>
      <w:r w:rsidRPr="00CE6F35">
        <w:rPr>
          <w:rFonts w:ascii="Book Antiqua" w:eastAsia="SimSun" w:hAnsi="Book Antiqua" w:cs="SimSun"/>
          <w:kern w:val="0"/>
          <w:szCs w:val="24"/>
        </w:rPr>
        <w:t xml:space="preserve">, Cao D, Jin M, Jia Z, Kong F, Ma H, Wang Y, Jiang J. CD44 but not CD24 expression is related to poor prognosis in non-cardia adenocarcinoma of the stomach. </w:t>
      </w:r>
      <w:r w:rsidRPr="00CE6F35">
        <w:rPr>
          <w:rFonts w:ascii="Book Antiqua" w:eastAsia="SimSun" w:hAnsi="Book Antiqua" w:cs="SimSun"/>
          <w:i/>
          <w:iCs/>
          <w:kern w:val="0"/>
          <w:szCs w:val="24"/>
        </w:rPr>
        <w:t>BMC Gastroenterol</w:t>
      </w:r>
      <w:r w:rsidRPr="00CE6F35">
        <w:rPr>
          <w:rFonts w:ascii="Book Antiqua" w:eastAsia="SimSun" w:hAnsi="Book Antiqua" w:cs="SimSun"/>
          <w:kern w:val="0"/>
          <w:szCs w:val="24"/>
        </w:rPr>
        <w:t xml:space="preserve"> 2014; </w:t>
      </w:r>
      <w:r w:rsidRPr="00CE6F35">
        <w:rPr>
          <w:rFonts w:ascii="Book Antiqua" w:eastAsia="SimSun" w:hAnsi="Book Antiqua" w:cs="SimSun"/>
          <w:b/>
          <w:bCs/>
          <w:kern w:val="0"/>
          <w:szCs w:val="24"/>
        </w:rPr>
        <w:t>14</w:t>
      </w:r>
      <w:r w:rsidRPr="00CE6F35">
        <w:rPr>
          <w:rFonts w:ascii="Book Antiqua" w:eastAsia="SimSun" w:hAnsi="Book Antiqua" w:cs="SimSun"/>
          <w:kern w:val="0"/>
          <w:szCs w:val="24"/>
        </w:rPr>
        <w:t>: 157 [PMID: 25212506 DOI: 10.1186/1471-230x-14-157]</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25 </w:t>
      </w:r>
      <w:r w:rsidRPr="00CE6F35">
        <w:rPr>
          <w:rFonts w:ascii="Book Antiqua" w:eastAsia="SimSun" w:hAnsi="Book Antiqua" w:cs="SimSun"/>
          <w:b/>
          <w:bCs/>
          <w:kern w:val="0"/>
          <w:szCs w:val="24"/>
        </w:rPr>
        <w:t>Lin DY</w:t>
      </w:r>
      <w:r w:rsidRPr="00CE6F35">
        <w:rPr>
          <w:rFonts w:ascii="Book Antiqua" w:eastAsia="SimSun" w:hAnsi="Book Antiqua" w:cs="SimSun"/>
          <w:kern w:val="0"/>
          <w:szCs w:val="24"/>
        </w:rPr>
        <w:t xml:space="preserve">, Zeng D, Millikan R. Maximum likelihood estimation of haplotype effects and haplotype-environment interactions in association studies. </w:t>
      </w:r>
      <w:r w:rsidRPr="00CE6F35">
        <w:rPr>
          <w:rFonts w:ascii="Book Antiqua" w:eastAsia="SimSun" w:hAnsi="Book Antiqua" w:cs="SimSun"/>
          <w:i/>
          <w:iCs/>
          <w:kern w:val="0"/>
          <w:szCs w:val="24"/>
        </w:rPr>
        <w:t>Genet Epidemiol</w:t>
      </w:r>
      <w:r w:rsidRPr="00CE6F35">
        <w:rPr>
          <w:rFonts w:ascii="Book Antiqua" w:eastAsia="SimSun" w:hAnsi="Book Antiqua" w:cs="SimSun"/>
          <w:kern w:val="0"/>
          <w:szCs w:val="24"/>
        </w:rPr>
        <w:t xml:space="preserve"> 2005; </w:t>
      </w:r>
      <w:r w:rsidRPr="00CE6F35">
        <w:rPr>
          <w:rFonts w:ascii="Book Antiqua" w:eastAsia="SimSun" w:hAnsi="Book Antiqua" w:cs="SimSun"/>
          <w:b/>
          <w:bCs/>
          <w:kern w:val="0"/>
          <w:szCs w:val="24"/>
        </w:rPr>
        <w:t>29</w:t>
      </w:r>
      <w:r w:rsidRPr="00CE6F35">
        <w:rPr>
          <w:rFonts w:ascii="Book Antiqua" w:eastAsia="SimSun" w:hAnsi="Book Antiqua" w:cs="SimSun"/>
          <w:kern w:val="0"/>
          <w:szCs w:val="24"/>
        </w:rPr>
        <w:t>: 299-312 [PMID: 16240443 DOI: 10.1002/gepi.20098]</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26 </w:t>
      </w:r>
      <w:r w:rsidRPr="00CE6F35">
        <w:rPr>
          <w:rFonts w:ascii="Book Antiqua" w:eastAsia="SimSun" w:hAnsi="Book Antiqua" w:cs="SimSun"/>
          <w:b/>
          <w:bCs/>
          <w:kern w:val="0"/>
          <w:szCs w:val="24"/>
        </w:rPr>
        <w:t>Sakamoto H</w:t>
      </w:r>
      <w:r w:rsidRPr="00CE6F35">
        <w:rPr>
          <w:rFonts w:ascii="Book Antiqua" w:eastAsia="SimSun" w:hAnsi="Book Antiqua" w:cs="SimSun"/>
          <w:kern w:val="0"/>
          <w:szCs w:val="24"/>
        </w:rPr>
        <w:t xml:space="preserve">, Yoshimura K, Saeki N, Katai H, Shimoda T, Matsuno Y, Saito D, Sugimura H, Tanioka F, Kato S, Matsukura N, Matsuda N, Nakamura T, Hyodo I, Nishina T, Yasui W, Hirose H, Hayashi M, Toshiro E, Ohnami S, Sekine A, Sato Y, Totsuka H, Ando M, Takemura R, Takahashi Y, Ohdaira M, Aoki K, Honmyo I, Chiku S, Aoyagi K, Sasaki H, Ohnami S, Yanagihara K, Yoon KA, Kook MC, Lee YS, Park SR, Kim CG, Choi IJ, Yoshida T, Nakamura Y, Hirohashi S. Genetic variation in PSCA is associated with susceptibility to diffuse-type gastric cancer. </w:t>
      </w:r>
      <w:r w:rsidRPr="00CE6F35">
        <w:rPr>
          <w:rFonts w:ascii="Book Antiqua" w:eastAsia="SimSun" w:hAnsi="Book Antiqua" w:cs="SimSun"/>
          <w:i/>
          <w:iCs/>
          <w:kern w:val="0"/>
          <w:szCs w:val="24"/>
        </w:rPr>
        <w:t>Nat Genet</w:t>
      </w:r>
      <w:r w:rsidRPr="00CE6F35">
        <w:rPr>
          <w:rFonts w:ascii="Book Antiqua" w:eastAsia="SimSun" w:hAnsi="Book Antiqua" w:cs="SimSun"/>
          <w:kern w:val="0"/>
          <w:szCs w:val="24"/>
        </w:rPr>
        <w:t xml:space="preserve"> 2008; </w:t>
      </w:r>
      <w:r w:rsidRPr="00CE6F35">
        <w:rPr>
          <w:rFonts w:ascii="Book Antiqua" w:eastAsia="SimSun" w:hAnsi="Book Antiqua" w:cs="SimSun"/>
          <w:b/>
          <w:bCs/>
          <w:kern w:val="0"/>
          <w:szCs w:val="24"/>
        </w:rPr>
        <w:t>40</w:t>
      </w:r>
      <w:r w:rsidRPr="00CE6F35">
        <w:rPr>
          <w:rFonts w:ascii="Book Antiqua" w:eastAsia="SimSun" w:hAnsi="Book Antiqua" w:cs="SimSun"/>
          <w:kern w:val="0"/>
          <w:szCs w:val="24"/>
        </w:rPr>
        <w:t>: 730-740 [PMID: 18488030 DOI: 10.1038/ng.152]</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27 </w:t>
      </w:r>
      <w:r w:rsidRPr="00CE6F35">
        <w:rPr>
          <w:rFonts w:ascii="Book Antiqua" w:eastAsia="SimSun" w:hAnsi="Book Antiqua" w:cs="SimSun"/>
          <w:b/>
          <w:bCs/>
          <w:kern w:val="0"/>
          <w:szCs w:val="24"/>
        </w:rPr>
        <w:t>Shi Y</w:t>
      </w:r>
      <w:r w:rsidRPr="00CE6F35">
        <w:rPr>
          <w:rFonts w:ascii="Book Antiqua" w:eastAsia="SimSun" w:hAnsi="Book Antiqua" w:cs="SimSun"/>
          <w:kern w:val="0"/>
          <w:szCs w:val="24"/>
        </w:rPr>
        <w:t xml:space="preserve">, Hu Z, Wu C, Dai J, Li H, Dong J, Wang M, Miao X, Zhou Y, Lu F, Zhang H, Hu L, Jiang Y, Li Z, Chu M, Ma H, Chen J, Jin G, Tan W, Wu T, Zhang Z, Lin D, Shen H. A genome-wide association study identifies new susceptibility loci for non-cardia gastric cancer at 3q13.31 and 5p13.1. </w:t>
      </w:r>
      <w:r w:rsidRPr="00CE6F35">
        <w:rPr>
          <w:rFonts w:ascii="Book Antiqua" w:eastAsia="SimSun" w:hAnsi="Book Antiqua" w:cs="SimSun"/>
          <w:i/>
          <w:iCs/>
          <w:kern w:val="0"/>
          <w:szCs w:val="24"/>
        </w:rPr>
        <w:t>Nat Genet</w:t>
      </w:r>
      <w:r w:rsidRPr="00CE6F35">
        <w:rPr>
          <w:rFonts w:ascii="Book Antiqua" w:eastAsia="SimSun" w:hAnsi="Book Antiqua" w:cs="SimSun"/>
          <w:kern w:val="0"/>
          <w:szCs w:val="24"/>
        </w:rPr>
        <w:t xml:space="preserve"> 2011; </w:t>
      </w:r>
      <w:r w:rsidRPr="00CE6F35">
        <w:rPr>
          <w:rFonts w:ascii="Book Antiqua" w:eastAsia="SimSun" w:hAnsi="Book Antiqua" w:cs="SimSun"/>
          <w:b/>
          <w:bCs/>
          <w:kern w:val="0"/>
          <w:szCs w:val="24"/>
        </w:rPr>
        <w:t>43</w:t>
      </w:r>
      <w:r w:rsidRPr="00CE6F35">
        <w:rPr>
          <w:rFonts w:ascii="Book Antiqua" w:eastAsia="SimSun" w:hAnsi="Book Antiqua" w:cs="SimSun"/>
          <w:kern w:val="0"/>
          <w:szCs w:val="24"/>
        </w:rPr>
        <w:t>: 1215-1218 [PMID: 22037551 DOI: 10.1038/ng.978]</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lastRenderedPageBreak/>
        <w:t xml:space="preserve">28 </w:t>
      </w:r>
      <w:r w:rsidRPr="00CE6F35">
        <w:rPr>
          <w:rFonts w:ascii="Book Antiqua" w:eastAsia="SimSun" w:hAnsi="Book Antiqua" w:cs="SimSun"/>
          <w:b/>
          <w:bCs/>
          <w:kern w:val="0"/>
          <w:szCs w:val="24"/>
        </w:rPr>
        <w:t>Wang L</w:t>
      </w:r>
      <w:r w:rsidRPr="00CE6F35">
        <w:rPr>
          <w:rFonts w:ascii="Book Antiqua" w:eastAsia="SimSun" w:hAnsi="Book Antiqua" w:cs="SimSun"/>
          <w:kern w:val="0"/>
          <w:szCs w:val="24"/>
        </w:rPr>
        <w:t xml:space="preserve">, Lin S, Rammohan KW, Liu Z, Liu JQ, Liu RH, Guinther N, Lima J, Zhou Q, Wang T, Zheng X, Birmingham DJ, Rovin BH, Hebert LA, Wu Y, Lynn DJ, Cooke G, Yu CY, Zheng P, Liu Y. A dinucleotide deletion in CD24 confers protection against autoimmune diseases. </w:t>
      </w:r>
      <w:r w:rsidRPr="00CE6F35">
        <w:rPr>
          <w:rFonts w:ascii="Book Antiqua" w:eastAsia="SimSun" w:hAnsi="Book Antiqua" w:cs="SimSun"/>
          <w:i/>
          <w:iCs/>
          <w:kern w:val="0"/>
          <w:szCs w:val="24"/>
        </w:rPr>
        <w:t>PLoS Genet</w:t>
      </w:r>
      <w:r w:rsidRPr="00CE6F35">
        <w:rPr>
          <w:rFonts w:ascii="Book Antiqua" w:eastAsia="SimSun" w:hAnsi="Book Antiqua" w:cs="SimSun"/>
          <w:kern w:val="0"/>
          <w:szCs w:val="24"/>
        </w:rPr>
        <w:t xml:space="preserve"> 2007; </w:t>
      </w:r>
      <w:r w:rsidRPr="00CE6F35">
        <w:rPr>
          <w:rFonts w:ascii="Book Antiqua" w:eastAsia="SimSun" w:hAnsi="Book Antiqua" w:cs="SimSun"/>
          <w:b/>
          <w:bCs/>
          <w:kern w:val="0"/>
          <w:szCs w:val="24"/>
        </w:rPr>
        <w:t>3</w:t>
      </w:r>
      <w:r w:rsidRPr="00CE6F35">
        <w:rPr>
          <w:rFonts w:ascii="Book Antiqua" w:eastAsia="SimSun" w:hAnsi="Book Antiqua" w:cs="SimSun"/>
          <w:kern w:val="0"/>
          <w:szCs w:val="24"/>
        </w:rPr>
        <w:t>: e49 [PMID: 17411341 DOI: 10.1371/journal.pgen.0030049]</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29 </w:t>
      </w:r>
      <w:r w:rsidRPr="00CE6F35">
        <w:rPr>
          <w:rFonts w:ascii="Book Antiqua" w:eastAsia="SimSun" w:hAnsi="Book Antiqua" w:cs="SimSun"/>
          <w:b/>
          <w:bCs/>
          <w:kern w:val="0"/>
          <w:szCs w:val="24"/>
        </w:rPr>
        <w:t>Sánchez E</w:t>
      </w:r>
      <w:r w:rsidRPr="00CE6F35">
        <w:rPr>
          <w:rFonts w:ascii="Book Antiqua" w:eastAsia="SimSun" w:hAnsi="Book Antiqua" w:cs="SimSun"/>
          <w:kern w:val="0"/>
          <w:szCs w:val="24"/>
        </w:rPr>
        <w:t xml:space="preserve">, Abelson AK, Sabio JM, González-Gay MA, Ortego-Centeno N, Jiménez-Alonso J, de Ramón E, Sánchez-Román J, López-Nevot MA, Gunnarsson I, Svenungsson E, Sturfelt G, Truedsson L, Jönsen A, González-Escribano MF, Witte T, Alarcón-Riquelme ME, Martín J. Association of a CD24 gene polymorphism with susceptibility to systemic lupus erythematosus. </w:t>
      </w:r>
      <w:r w:rsidRPr="00CE6F35">
        <w:rPr>
          <w:rFonts w:ascii="Book Antiqua" w:eastAsia="SimSun" w:hAnsi="Book Antiqua" w:cs="SimSun"/>
          <w:i/>
          <w:iCs/>
          <w:kern w:val="0"/>
          <w:szCs w:val="24"/>
        </w:rPr>
        <w:t>Arthritis Rheum</w:t>
      </w:r>
      <w:r w:rsidRPr="00CE6F35">
        <w:rPr>
          <w:rFonts w:ascii="Book Antiqua" w:eastAsia="SimSun" w:hAnsi="Book Antiqua" w:cs="SimSun"/>
          <w:kern w:val="0"/>
          <w:szCs w:val="24"/>
        </w:rPr>
        <w:t xml:space="preserve"> 2007; </w:t>
      </w:r>
      <w:r w:rsidRPr="00CE6F35">
        <w:rPr>
          <w:rFonts w:ascii="Book Antiqua" w:eastAsia="SimSun" w:hAnsi="Book Antiqua" w:cs="SimSun"/>
          <w:b/>
          <w:bCs/>
          <w:kern w:val="0"/>
          <w:szCs w:val="24"/>
        </w:rPr>
        <w:t>56</w:t>
      </w:r>
      <w:r w:rsidRPr="00CE6F35">
        <w:rPr>
          <w:rFonts w:ascii="Book Antiqua" w:eastAsia="SimSun" w:hAnsi="Book Antiqua" w:cs="SimSun"/>
          <w:kern w:val="0"/>
          <w:szCs w:val="24"/>
        </w:rPr>
        <w:t>: 3080-3086 [PMID: 17763438 DOI: 10.1002/art.22871]</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30 </w:t>
      </w:r>
      <w:r w:rsidRPr="00CE6F35">
        <w:rPr>
          <w:rFonts w:ascii="Book Antiqua" w:eastAsia="SimSun" w:hAnsi="Book Antiqua" w:cs="SimSun"/>
          <w:b/>
          <w:bCs/>
          <w:kern w:val="0"/>
          <w:szCs w:val="24"/>
        </w:rPr>
        <w:t>Piotrowski P</w:t>
      </w:r>
      <w:r w:rsidRPr="00CE6F35">
        <w:rPr>
          <w:rFonts w:ascii="Book Antiqua" w:eastAsia="SimSun" w:hAnsi="Book Antiqua" w:cs="SimSun"/>
          <w:kern w:val="0"/>
          <w:szCs w:val="24"/>
        </w:rPr>
        <w:t xml:space="preserve">, Lianeri M, Wudarski M, </w:t>
      </w:r>
      <w:r w:rsidRPr="00CE6F35">
        <w:rPr>
          <w:rFonts w:ascii="Book Antiqua" w:eastAsia="MS Mincho" w:hAnsi="Book Antiqua" w:cs="MS Mincho"/>
          <w:kern w:val="0"/>
          <w:szCs w:val="24"/>
        </w:rPr>
        <w:t>Ł</w:t>
      </w:r>
      <w:r w:rsidRPr="00CE6F35">
        <w:rPr>
          <w:rFonts w:ascii="Book Antiqua" w:eastAsia="SimSun" w:hAnsi="Book Antiqua" w:cs="SimSun"/>
          <w:kern w:val="0"/>
          <w:szCs w:val="24"/>
        </w:rPr>
        <w:t xml:space="preserve">acki JK, Jagodziński PP. CD24 Ala57Val gene polymorphism and the risk of systemic lupus erythematosus. </w:t>
      </w:r>
      <w:r w:rsidRPr="00CE6F35">
        <w:rPr>
          <w:rFonts w:ascii="Book Antiqua" w:eastAsia="SimSun" w:hAnsi="Book Antiqua" w:cs="SimSun"/>
          <w:i/>
          <w:iCs/>
          <w:kern w:val="0"/>
          <w:szCs w:val="24"/>
        </w:rPr>
        <w:t>Tissue Antigens</w:t>
      </w:r>
      <w:r w:rsidRPr="00CE6F35">
        <w:rPr>
          <w:rFonts w:ascii="Book Antiqua" w:eastAsia="SimSun" w:hAnsi="Book Antiqua" w:cs="SimSun"/>
          <w:kern w:val="0"/>
          <w:szCs w:val="24"/>
        </w:rPr>
        <w:t xml:space="preserve"> 2010; </w:t>
      </w:r>
      <w:r w:rsidRPr="00CE6F35">
        <w:rPr>
          <w:rFonts w:ascii="Book Antiqua" w:eastAsia="SimSun" w:hAnsi="Book Antiqua" w:cs="SimSun"/>
          <w:b/>
          <w:bCs/>
          <w:kern w:val="0"/>
          <w:szCs w:val="24"/>
        </w:rPr>
        <w:t>75</w:t>
      </w:r>
      <w:r w:rsidRPr="00CE6F35">
        <w:rPr>
          <w:rFonts w:ascii="Book Antiqua" w:eastAsia="SimSun" w:hAnsi="Book Antiqua" w:cs="SimSun"/>
          <w:kern w:val="0"/>
          <w:szCs w:val="24"/>
        </w:rPr>
        <w:t>: 696-700 [PMID: 20230526 DOI: 10.1111/j.1399-0039.2010.01447.x]</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31 </w:t>
      </w:r>
      <w:r w:rsidRPr="00CE6F35">
        <w:rPr>
          <w:rFonts w:ascii="Book Antiqua" w:eastAsia="SimSun" w:hAnsi="Book Antiqua" w:cs="SimSun"/>
          <w:b/>
          <w:bCs/>
          <w:kern w:val="0"/>
          <w:szCs w:val="24"/>
        </w:rPr>
        <w:t>Dawidowicz K</w:t>
      </w:r>
      <w:r w:rsidRPr="00CE6F35">
        <w:rPr>
          <w:rFonts w:ascii="Book Antiqua" w:eastAsia="SimSun" w:hAnsi="Book Antiqua" w:cs="SimSun"/>
          <w:kern w:val="0"/>
          <w:szCs w:val="24"/>
        </w:rPr>
        <w:t xml:space="preserve">, Dieudé P, Avouac J, Wipff J, Hachulla E, Diot E, Tiev K, Cracowski JL, Mouthon L, Amoura Z, Frances C, Carpentier P, Meyer O, Kahan A, Boileau C, Allanore Y. Association study of B-cell marker gene polymorphisms in European Caucasian patients with systemic sclerosis. </w:t>
      </w:r>
      <w:r w:rsidRPr="00CE6F35">
        <w:rPr>
          <w:rFonts w:ascii="Book Antiqua" w:eastAsia="SimSun" w:hAnsi="Book Antiqua" w:cs="SimSun"/>
          <w:i/>
          <w:iCs/>
          <w:kern w:val="0"/>
          <w:szCs w:val="24"/>
        </w:rPr>
        <w:t>Clin Exp Rheumatol</w:t>
      </w:r>
      <w:r w:rsidRPr="00CE6F35">
        <w:rPr>
          <w:rFonts w:ascii="Book Antiqua" w:eastAsia="SimSun" w:hAnsi="Book Antiqua" w:cs="SimSun"/>
          <w:kern w:val="0"/>
          <w:szCs w:val="24"/>
        </w:rPr>
        <w:t xml:space="preserve"> </w:t>
      </w:r>
      <w:r w:rsidRPr="00CE6F35">
        <w:rPr>
          <w:rFonts w:ascii="Book Antiqua" w:eastAsia="SimSun" w:hAnsi="Book Antiqua" w:cs="SimSun" w:hint="eastAsia"/>
          <w:kern w:val="0"/>
          <w:szCs w:val="24"/>
        </w:rPr>
        <w:t>2011</w:t>
      </w:r>
      <w:r w:rsidRPr="00CE6F35">
        <w:rPr>
          <w:rFonts w:ascii="Book Antiqua" w:eastAsia="SimSun" w:hAnsi="Book Antiqua" w:cs="SimSun"/>
          <w:kern w:val="0"/>
          <w:szCs w:val="24"/>
        </w:rPr>
        <w:t xml:space="preserve">; </w:t>
      </w:r>
      <w:r w:rsidRPr="00CE6F35">
        <w:rPr>
          <w:rFonts w:ascii="Book Antiqua" w:eastAsia="SimSun" w:hAnsi="Book Antiqua" w:cs="SimSun"/>
          <w:b/>
          <w:bCs/>
          <w:kern w:val="0"/>
          <w:szCs w:val="24"/>
        </w:rPr>
        <w:t>29</w:t>
      </w:r>
      <w:r w:rsidRPr="00CE6F35">
        <w:rPr>
          <w:rFonts w:ascii="Book Antiqua" w:eastAsia="SimSun" w:hAnsi="Book Antiqua" w:cs="SimSun"/>
          <w:kern w:val="0"/>
          <w:szCs w:val="24"/>
        </w:rPr>
        <w:t>: 839-842 [PMID: 21961844]</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32 </w:t>
      </w:r>
      <w:r w:rsidRPr="00CE6F35">
        <w:rPr>
          <w:rFonts w:ascii="Book Antiqua" w:eastAsia="SimSun" w:hAnsi="Book Antiqua" w:cs="SimSun"/>
          <w:b/>
          <w:bCs/>
          <w:kern w:val="0"/>
          <w:szCs w:val="24"/>
        </w:rPr>
        <w:t>Zhou Q</w:t>
      </w:r>
      <w:r w:rsidRPr="00CE6F35">
        <w:rPr>
          <w:rFonts w:ascii="Book Antiqua" w:eastAsia="SimSun" w:hAnsi="Book Antiqua" w:cs="SimSun"/>
          <w:kern w:val="0"/>
          <w:szCs w:val="24"/>
        </w:rPr>
        <w:t xml:space="preserve">, Rammohan K, Lin S, Robinson N, Li O, Liu X, Bai XF, Yin L, Scarberry B, Du P, You M, Guan K, Zheng P, Liu Y. CD24 is a genetic modifier for risk and progression of multiple sclerosis. </w:t>
      </w:r>
      <w:r w:rsidRPr="00CE6F35">
        <w:rPr>
          <w:rFonts w:ascii="Book Antiqua" w:eastAsia="SimSun" w:hAnsi="Book Antiqua" w:cs="SimSun"/>
          <w:i/>
          <w:iCs/>
          <w:kern w:val="0"/>
          <w:szCs w:val="24"/>
        </w:rPr>
        <w:t>Proc Natl Acad Sci U S A</w:t>
      </w:r>
      <w:r w:rsidRPr="00CE6F35">
        <w:rPr>
          <w:rFonts w:ascii="Book Antiqua" w:eastAsia="SimSun" w:hAnsi="Book Antiqua" w:cs="SimSun"/>
          <w:kern w:val="0"/>
          <w:szCs w:val="24"/>
        </w:rPr>
        <w:t xml:space="preserve"> 2003; </w:t>
      </w:r>
      <w:r w:rsidRPr="00CE6F35">
        <w:rPr>
          <w:rFonts w:ascii="Book Antiqua" w:eastAsia="SimSun" w:hAnsi="Book Antiqua" w:cs="SimSun"/>
          <w:b/>
          <w:bCs/>
          <w:kern w:val="0"/>
          <w:szCs w:val="24"/>
        </w:rPr>
        <w:t>100</w:t>
      </w:r>
      <w:r w:rsidRPr="00CE6F35">
        <w:rPr>
          <w:rFonts w:ascii="Book Antiqua" w:eastAsia="SimSun" w:hAnsi="Book Antiqua" w:cs="SimSun"/>
          <w:kern w:val="0"/>
          <w:szCs w:val="24"/>
        </w:rPr>
        <w:t>: 15041-15046 [PMID: 14657362 DOI: 10.1073/pnas.2533866100]</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33 </w:t>
      </w:r>
      <w:r w:rsidRPr="00CE6F35">
        <w:rPr>
          <w:rFonts w:ascii="Book Antiqua" w:eastAsia="SimSun" w:hAnsi="Book Antiqua" w:cs="SimSun"/>
          <w:b/>
          <w:bCs/>
          <w:kern w:val="0"/>
          <w:szCs w:val="24"/>
        </w:rPr>
        <w:t>Goris A</w:t>
      </w:r>
      <w:r w:rsidRPr="00CE6F35">
        <w:rPr>
          <w:rFonts w:ascii="Book Antiqua" w:eastAsia="SimSun" w:hAnsi="Book Antiqua" w:cs="SimSun"/>
          <w:kern w:val="0"/>
          <w:szCs w:val="24"/>
        </w:rPr>
        <w:t xml:space="preserve">, Maranian M, Walton A, Yeo TW, Ban M, Gray J, Dubois B, Compston A, Sawcer S. CD24 Ala/Val polymorphism and multiple sclerosis. </w:t>
      </w:r>
      <w:r w:rsidRPr="00CE6F35">
        <w:rPr>
          <w:rFonts w:ascii="Book Antiqua" w:eastAsia="SimSun" w:hAnsi="Book Antiqua" w:cs="SimSun"/>
          <w:i/>
          <w:iCs/>
          <w:kern w:val="0"/>
          <w:szCs w:val="24"/>
        </w:rPr>
        <w:t>J Neuroimmunol</w:t>
      </w:r>
      <w:r w:rsidRPr="00CE6F35">
        <w:rPr>
          <w:rFonts w:ascii="Book Antiqua" w:eastAsia="SimSun" w:hAnsi="Book Antiqua" w:cs="SimSun"/>
          <w:kern w:val="0"/>
          <w:szCs w:val="24"/>
        </w:rPr>
        <w:t xml:space="preserve"> 2006; </w:t>
      </w:r>
      <w:r w:rsidRPr="00CE6F35">
        <w:rPr>
          <w:rFonts w:ascii="Book Antiqua" w:eastAsia="SimSun" w:hAnsi="Book Antiqua" w:cs="SimSun"/>
          <w:b/>
          <w:bCs/>
          <w:kern w:val="0"/>
          <w:szCs w:val="24"/>
        </w:rPr>
        <w:t>175</w:t>
      </w:r>
      <w:r w:rsidRPr="00CE6F35">
        <w:rPr>
          <w:rFonts w:ascii="Book Antiqua" w:eastAsia="SimSun" w:hAnsi="Book Antiqua" w:cs="SimSun"/>
          <w:kern w:val="0"/>
          <w:szCs w:val="24"/>
        </w:rPr>
        <w:t>: 200-202 [PMID: 16631259 DOI: 10.1016/j.jneuroim.2006.03.009]</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lastRenderedPageBreak/>
        <w:t xml:space="preserve">34 </w:t>
      </w:r>
      <w:r w:rsidRPr="00CE6F35">
        <w:rPr>
          <w:rFonts w:ascii="Book Antiqua" w:eastAsia="SimSun" w:hAnsi="Book Antiqua" w:cs="SimSun"/>
          <w:b/>
          <w:bCs/>
          <w:kern w:val="0"/>
          <w:szCs w:val="24"/>
        </w:rPr>
        <w:t>Otaegui D</w:t>
      </w:r>
      <w:r w:rsidRPr="00CE6F35">
        <w:rPr>
          <w:rFonts w:ascii="Book Antiqua" w:eastAsia="SimSun" w:hAnsi="Book Antiqua" w:cs="SimSun"/>
          <w:kern w:val="0"/>
          <w:szCs w:val="24"/>
        </w:rPr>
        <w:t xml:space="preserve">, Sáenz A, Camaño P, Blázquez L, Goicoechea M, Ruíz-Martínez J, Olaskoaga J, Emparanza JA, López de Munain A. CD24 V/V is an allele associated with the risk of developing multiple sclerosis in the Spanish population. </w:t>
      </w:r>
      <w:r w:rsidRPr="00CE6F35">
        <w:rPr>
          <w:rFonts w:ascii="Book Antiqua" w:eastAsia="SimSun" w:hAnsi="Book Antiqua" w:cs="SimSun"/>
          <w:i/>
          <w:iCs/>
          <w:kern w:val="0"/>
          <w:szCs w:val="24"/>
        </w:rPr>
        <w:t>Mult Scler</w:t>
      </w:r>
      <w:r w:rsidRPr="00CE6F35">
        <w:rPr>
          <w:rFonts w:ascii="Book Antiqua" w:eastAsia="SimSun" w:hAnsi="Book Antiqua" w:cs="SimSun"/>
          <w:kern w:val="0"/>
          <w:szCs w:val="24"/>
        </w:rPr>
        <w:t xml:space="preserve"> 2006; </w:t>
      </w:r>
      <w:r w:rsidRPr="00CE6F35">
        <w:rPr>
          <w:rFonts w:ascii="Book Antiqua" w:eastAsia="SimSun" w:hAnsi="Book Antiqua" w:cs="SimSun"/>
          <w:b/>
          <w:bCs/>
          <w:kern w:val="0"/>
          <w:szCs w:val="24"/>
        </w:rPr>
        <w:t>12</w:t>
      </w:r>
      <w:r w:rsidRPr="00CE6F35">
        <w:rPr>
          <w:rFonts w:ascii="Book Antiqua" w:eastAsia="SimSun" w:hAnsi="Book Antiqua" w:cs="SimSun"/>
          <w:kern w:val="0"/>
          <w:szCs w:val="24"/>
        </w:rPr>
        <w:t>: 511-514 [PMID: 16900767]</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35 </w:t>
      </w:r>
      <w:r w:rsidRPr="00CE6F35">
        <w:rPr>
          <w:rFonts w:ascii="Book Antiqua" w:eastAsia="SimSun" w:hAnsi="Book Antiqua" w:cs="SimSun"/>
          <w:b/>
          <w:bCs/>
          <w:kern w:val="0"/>
          <w:szCs w:val="24"/>
        </w:rPr>
        <w:t>Ronaghi M</w:t>
      </w:r>
      <w:r w:rsidRPr="00CE6F35">
        <w:rPr>
          <w:rFonts w:ascii="Book Antiqua" w:eastAsia="SimSun" w:hAnsi="Book Antiqua" w:cs="SimSun"/>
          <w:kern w:val="0"/>
          <w:szCs w:val="24"/>
        </w:rPr>
        <w:t xml:space="preserve">, Vallian S, Etemadifar M. CD24 gene polymorphism is associated with the disease progression and susceptibility to multiple sclerosis in the Iranian population. </w:t>
      </w:r>
      <w:r w:rsidRPr="00CE6F35">
        <w:rPr>
          <w:rFonts w:ascii="Book Antiqua" w:eastAsia="SimSun" w:hAnsi="Book Antiqua" w:cs="SimSun"/>
          <w:i/>
          <w:iCs/>
          <w:kern w:val="0"/>
          <w:szCs w:val="24"/>
        </w:rPr>
        <w:t>Psychiatry Res</w:t>
      </w:r>
      <w:r w:rsidRPr="00CE6F35">
        <w:rPr>
          <w:rFonts w:ascii="Book Antiqua" w:eastAsia="SimSun" w:hAnsi="Book Antiqua" w:cs="SimSun"/>
          <w:kern w:val="0"/>
          <w:szCs w:val="24"/>
        </w:rPr>
        <w:t xml:space="preserve"> 2009; </w:t>
      </w:r>
      <w:r w:rsidRPr="00CE6F35">
        <w:rPr>
          <w:rFonts w:ascii="Book Antiqua" w:eastAsia="SimSun" w:hAnsi="Book Antiqua" w:cs="SimSun"/>
          <w:b/>
          <w:bCs/>
          <w:kern w:val="0"/>
          <w:szCs w:val="24"/>
        </w:rPr>
        <w:t>170</w:t>
      </w:r>
      <w:r w:rsidRPr="00CE6F35">
        <w:rPr>
          <w:rFonts w:ascii="Book Antiqua" w:eastAsia="SimSun" w:hAnsi="Book Antiqua" w:cs="SimSun"/>
          <w:kern w:val="0"/>
          <w:szCs w:val="24"/>
        </w:rPr>
        <w:t>: 271-272 [PMID: 19896210 DOI: 10.1016/j.psychres.2009.01.002]</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36 </w:t>
      </w:r>
      <w:r w:rsidRPr="00CE6F35">
        <w:rPr>
          <w:rFonts w:ascii="Book Antiqua" w:eastAsia="SimSun" w:hAnsi="Book Antiqua" w:cs="SimSun"/>
          <w:b/>
          <w:bCs/>
          <w:kern w:val="0"/>
          <w:szCs w:val="24"/>
        </w:rPr>
        <w:t>Diaz-Gallo LM</w:t>
      </w:r>
      <w:r w:rsidRPr="00CE6F35">
        <w:rPr>
          <w:rFonts w:ascii="Book Antiqua" w:eastAsia="SimSun" w:hAnsi="Book Antiqua" w:cs="SimSun"/>
          <w:kern w:val="0"/>
          <w:szCs w:val="24"/>
        </w:rPr>
        <w:t xml:space="preserve">, Medrano LM, Gómez-García M, Cardeña C, Rodrigo L, Mendoza JL, Taxonera C, Nieto A, Alcain G, Cueto I, López-Nevot MA, Urcelay E, Martin J. Analysis of the influence of two CD24 genetic variants in Crohn's disease and ulcerative colitis. </w:t>
      </w:r>
      <w:r w:rsidRPr="00CE6F35">
        <w:rPr>
          <w:rFonts w:ascii="Book Antiqua" w:eastAsia="SimSun" w:hAnsi="Book Antiqua" w:cs="SimSun"/>
          <w:i/>
          <w:iCs/>
          <w:kern w:val="0"/>
          <w:szCs w:val="24"/>
        </w:rPr>
        <w:t>Hum Immunol</w:t>
      </w:r>
      <w:r w:rsidRPr="00CE6F35">
        <w:rPr>
          <w:rFonts w:ascii="Book Antiqua" w:eastAsia="SimSun" w:hAnsi="Book Antiqua" w:cs="SimSun"/>
          <w:kern w:val="0"/>
          <w:szCs w:val="24"/>
        </w:rPr>
        <w:t xml:space="preserve"> 2011; </w:t>
      </w:r>
      <w:r w:rsidRPr="00CE6F35">
        <w:rPr>
          <w:rFonts w:ascii="Book Antiqua" w:eastAsia="SimSun" w:hAnsi="Book Antiqua" w:cs="SimSun"/>
          <w:b/>
          <w:bCs/>
          <w:kern w:val="0"/>
          <w:szCs w:val="24"/>
        </w:rPr>
        <w:t>72</w:t>
      </w:r>
      <w:r w:rsidRPr="00CE6F35">
        <w:rPr>
          <w:rFonts w:ascii="Book Antiqua" w:eastAsia="SimSun" w:hAnsi="Book Antiqua" w:cs="SimSun"/>
          <w:kern w:val="0"/>
          <w:szCs w:val="24"/>
        </w:rPr>
        <w:t>: 969-972 [PMID: 21684315 DOI: 10.1016/j.humimm.2011.05.028]</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37 </w:t>
      </w:r>
      <w:r w:rsidRPr="00CE6F35">
        <w:rPr>
          <w:rFonts w:ascii="Book Antiqua" w:eastAsia="SimSun" w:hAnsi="Book Antiqua" w:cs="SimSun"/>
          <w:b/>
          <w:bCs/>
          <w:kern w:val="0"/>
          <w:szCs w:val="24"/>
        </w:rPr>
        <w:t>Sheng L</w:t>
      </w:r>
      <w:r w:rsidRPr="00CE6F35">
        <w:rPr>
          <w:rFonts w:ascii="Book Antiqua" w:eastAsia="SimSun" w:hAnsi="Book Antiqua" w:cs="SimSun"/>
          <w:kern w:val="0"/>
          <w:szCs w:val="24"/>
        </w:rPr>
        <w:t xml:space="preserve">, Shui Y. Clusters of differentiation 24 polymorphism and hepatocellular carcinoma. </w:t>
      </w:r>
      <w:r w:rsidRPr="00CE6F35">
        <w:rPr>
          <w:rFonts w:ascii="Book Antiqua" w:eastAsia="SimSun" w:hAnsi="Book Antiqua" w:cs="SimSun"/>
          <w:i/>
          <w:iCs/>
          <w:kern w:val="0"/>
          <w:szCs w:val="24"/>
        </w:rPr>
        <w:t>Hepatology</w:t>
      </w:r>
      <w:r w:rsidRPr="00CE6F35">
        <w:rPr>
          <w:rFonts w:ascii="Book Antiqua" w:eastAsia="SimSun" w:hAnsi="Book Antiqua" w:cs="SimSun"/>
          <w:kern w:val="0"/>
          <w:szCs w:val="24"/>
        </w:rPr>
        <w:t xml:space="preserve"> 2011; </w:t>
      </w:r>
      <w:r w:rsidRPr="00CE6F35">
        <w:rPr>
          <w:rFonts w:ascii="Book Antiqua" w:eastAsia="SimSun" w:hAnsi="Book Antiqua" w:cs="SimSun"/>
          <w:b/>
          <w:bCs/>
          <w:kern w:val="0"/>
          <w:szCs w:val="24"/>
        </w:rPr>
        <w:t>54</w:t>
      </w:r>
      <w:r w:rsidRPr="00CE6F35">
        <w:rPr>
          <w:rFonts w:ascii="Book Antiqua" w:eastAsia="SimSun" w:hAnsi="Book Antiqua" w:cs="SimSun"/>
          <w:kern w:val="0"/>
          <w:szCs w:val="24"/>
        </w:rPr>
        <w:t>: 2273; author reply 2273-2274 [PMID: 21932403 DOI: 10.1002/hep.24676]</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38 </w:t>
      </w:r>
      <w:r w:rsidRPr="00CE6F35">
        <w:rPr>
          <w:rFonts w:ascii="Book Antiqua" w:eastAsia="SimSun" w:hAnsi="Book Antiqua" w:cs="SimSun"/>
          <w:b/>
          <w:bCs/>
          <w:kern w:val="0"/>
          <w:szCs w:val="24"/>
        </w:rPr>
        <w:t>Matysiak-Budnik T</w:t>
      </w:r>
      <w:r w:rsidRPr="00CE6F35">
        <w:rPr>
          <w:rFonts w:ascii="Book Antiqua" w:eastAsia="SimSun" w:hAnsi="Book Antiqua" w:cs="SimSun"/>
          <w:kern w:val="0"/>
          <w:szCs w:val="24"/>
        </w:rPr>
        <w:t xml:space="preserve">, Mégraud F. Helicobacter pylori infection and gastric cancer. </w:t>
      </w:r>
      <w:r w:rsidRPr="00CE6F35">
        <w:rPr>
          <w:rFonts w:ascii="Book Antiqua" w:eastAsia="SimSun" w:hAnsi="Book Antiqua" w:cs="SimSun"/>
          <w:i/>
          <w:iCs/>
          <w:kern w:val="0"/>
          <w:szCs w:val="24"/>
        </w:rPr>
        <w:t>Eur J Cancer</w:t>
      </w:r>
      <w:r w:rsidRPr="00CE6F35">
        <w:rPr>
          <w:rFonts w:ascii="Book Antiqua" w:eastAsia="SimSun" w:hAnsi="Book Antiqua" w:cs="SimSun"/>
          <w:kern w:val="0"/>
          <w:szCs w:val="24"/>
        </w:rPr>
        <w:t xml:space="preserve"> 2006; </w:t>
      </w:r>
      <w:r w:rsidRPr="00CE6F35">
        <w:rPr>
          <w:rFonts w:ascii="Book Antiqua" w:eastAsia="SimSun" w:hAnsi="Book Antiqua" w:cs="SimSun"/>
          <w:b/>
          <w:bCs/>
          <w:kern w:val="0"/>
          <w:szCs w:val="24"/>
        </w:rPr>
        <w:t>42</w:t>
      </w:r>
      <w:r w:rsidRPr="00CE6F35">
        <w:rPr>
          <w:rFonts w:ascii="Book Antiqua" w:eastAsia="SimSun" w:hAnsi="Book Antiqua" w:cs="SimSun"/>
          <w:kern w:val="0"/>
          <w:szCs w:val="24"/>
        </w:rPr>
        <w:t>: 708-716 [PMID: 16556496 DOI: 10.1016/j.ejca.2006.01.020]</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39 </w:t>
      </w:r>
      <w:r w:rsidRPr="00CE6F35">
        <w:rPr>
          <w:rFonts w:ascii="Book Antiqua" w:eastAsia="SimSun" w:hAnsi="Book Antiqua" w:cs="SimSun"/>
          <w:b/>
          <w:bCs/>
          <w:kern w:val="0"/>
          <w:szCs w:val="24"/>
        </w:rPr>
        <w:t>Kabir S</w:t>
      </w:r>
      <w:r w:rsidRPr="00CE6F35">
        <w:rPr>
          <w:rFonts w:ascii="Book Antiqua" w:eastAsia="SimSun" w:hAnsi="Book Antiqua" w:cs="SimSun"/>
          <w:kern w:val="0"/>
          <w:szCs w:val="24"/>
        </w:rPr>
        <w:t xml:space="preserve">. Effect of Helicobacter pylori eradication on incidence of gastric cancer in human and animal models: underlying biochemical and molecular events. </w:t>
      </w:r>
      <w:r w:rsidRPr="00CE6F35">
        <w:rPr>
          <w:rFonts w:ascii="Book Antiqua" w:eastAsia="SimSun" w:hAnsi="Book Antiqua" w:cs="SimSun"/>
          <w:i/>
          <w:iCs/>
          <w:kern w:val="0"/>
          <w:szCs w:val="24"/>
        </w:rPr>
        <w:t>Helicobacter</w:t>
      </w:r>
      <w:r w:rsidRPr="00CE6F35">
        <w:rPr>
          <w:rFonts w:ascii="Book Antiqua" w:eastAsia="SimSun" w:hAnsi="Book Antiqua" w:cs="SimSun"/>
          <w:kern w:val="0"/>
          <w:szCs w:val="24"/>
        </w:rPr>
        <w:t xml:space="preserve"> 2009; </w:t>
      </w:r>
      <w:r w:rsidRPr="00CE6F35">
        <w:rPr>
          <w:rFonts w:ascii="Book Antiqua" w:eastAsia="SimSun" w:hAnsi="Book Antiqua" w:cs="SimSun"/>
          <w:b/>
          <w:bCs/>
          <w:kern w:val="0"/>
          <w:szCs w:val="24"/>
        </w:rPr>
        <w:t>14</w:t>
      </w:r>
      <w:r w:rsidRPr="00CE6F35">
        <w:rPr>
          <w:rFonts w:ascii="Book Antiqua" w:eastAsia="SimSun" w:hAnsi="Book Antiqua" w:cs="SimSun"/>
          <w:kern w:val="0"/>
          <w:szCs w:val="24"/>
        </w:rPr>
        <w:t>: 159-171 [PMID: 19702845 DOI: 10.1111/j.1523-5378.2009.00677.x]</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40 </w:t>
      </w:r>
      <w:r w:rsidRPr="00CE6F35">
        <w:rPr>
          <w:rFonts w:ascii="Book Antiqua" w:eastAsia="SimSun" w:hAnsi="Book Antiqua" w:cs="SimSun"/>
          <w:b/>
          <w:bCs/>
          <w:kern w:val="0"/>
          <w:szCs w:val="24"/>
        </w:rPr>
        <w:t>Marmé F</w:t>
      </w:r>
      <w:r w:rsidRPr="00CE6F35">
        <w:rPr>
          <w:rFonts w:ascii="Book Antiqua" w:eastAsia="SimSun" w:hAnsi="Book Antiqua" w:cs="SimSun"/>
          <w:kern w:val="0"/>
          <w:szCs w:val="24"/>
        </w:rPr>
        <w:t xml:space="preserve">, Werft W, Walter A, Keller S, Wang X, Benner A, Burwinkel B, Sinn P, Hug S, Sohn C, Bretz N, Moldenhauer G, Rupp C, Rupp AK, Biakhov MY, Bottini A, Friedrichs K, Khailenko VA, Manikhas GM, Ruiz A, Sánchez-Rovira P, Santoro A, Segui MA, Villena C, Lichter P, Kristiansen G, Altevogt P, Schneeweiss A. CD24 Ala57Val polymorphism predicts pathologic complete response to sequential anthracycline- and taxane-based </w:t>
      </w:r>
      <w:r w:rsidRPr="00CE6F35">
        <w:rPr>
          <w:rFonts w:ascii="Book Antiqua" w:eastAsia="SimSun" w:hAnsi="Book Antiqua" w:cs="SimSun"/>
          <w:kern w:val="0"/>
          <w:szCs w:val="24"/>
        </w:rPr>
        <w:lastRenderedPageBreak/>
        <w:t xml:space="preserve">neoadjuvant chemotherapy for primary breast cancer. </w:t>
      </w:r>
      <w:r w:rsidRPr="00CE6F35">
        <w:rPr>
          <w:rFonts w:ascii="Book Antiqua" w:eastAsia="SimSun" w:hAnsi="Book Antiqua" w:cs="SimSun"/>
          <w:i/>
          <w:iCs/>
          <w:kern w:val="0"/>
          <w:szCs w:val="24"/>
        </w:rPr>
        <w:t>Breast Cancer Res Treat</w:t>
      </w:r>
      <w:r w:rsidRPr="00CE6F35">
        <w:rPr>
          <w:rFonts w:ascii="Book Antiqua" w:eastAsia="SimSun" w:hAnsi="Book Antiqua" w:cs="SimSun"/>
          <w:kern w:val="0"/>
          <w:szCs w:val="24"/>
        </w:rPr>
        <w:t xml:space="preserve"> 2012; </w:t>
      </w:r>
      <w:r w:rsidRPr="00CE6F35">
        <w:rPr>
          <w:rFonts w:ascii="Book Antiqua" w:eastAsia="SimSun" w:hAnsi="Book Antiqua" w:cs="SimSun"/>
          <w:b/>
          <w:bCs/>
          <w:kern w:val="0"/>
          <w:szCs w:val="24"/>
        </w:rPr>
        <w:t>132</w:t>
      </w:r>
      <w:r w:rsidRPr="00CE6F35">
        <w:rPr>
          <w:rFonts w:ascii="Book Antiqua" w:eastAsia="SimSun" w:hAnsi="Book Antiqua" w:cs="SimSun"/>
          <w:kern w:val="0"/>
          <w:szCs w:val="24"/>
        </w:rPr>
        <w:t>: 819-831 [PMID: 21960110 DOI: 10.1007/s10549-011-1759-9]</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41 </w:t>
      </w:r>
      <w:r w:rsidRPr="00CE6F35">
        <w:rPr>
          <w:rFonts w:ascii="Book Antiqua" w:eastAsia="SimSun" w:hAnsi="Book Antiqua" w:cs="SimSun"/>
          <w:b/>
          <w:bCs/>
          <w:kern w:val="0"/>
          <w:szCs w:val="24"/>
        </w:rPr>
        <w:t>Zhou X</w:t>
      </w:r>
      <w:r w:rsidRPr="00CE6F35">
        <w:rPr>
          <w:rFonts w:ascii="Book Antiqua" w:eastAsia="SimSun" w:hAnsi="Book Antiqua" w:cs="SimSun"/>
          <w:kern w:val="0"/>
          <w:szCs w:val="24"/>
        </w:rPr>
        <w:t xml:space="preserve">. CD24 polymorphisms cannot predict pathologic complete response to anthracycline- and taxane-based neoadjuvant chemotherapy in breast cancer. </w:t>
      </w:r>
      <w:r w:rsidRPr="00CE6F35">
        <w:rPr>
          <w:rFonts w:ascii="Book Antiqua" w:eastAsia="SimSun" w:hAnsi="Book Antiqua" w:cs="SimSun"/>
          <w:i/>
          <w:iCs/>
          <w:kern w:val="0"/>
          <w:szCs w:val="24"/>
        </w:rPr>
        <w:t>Clin Breast Cancer</w:t>
      </w:r>
      <w:r w:rsidRPr="00CE6F35">
        <w:rPr>
          <w:rFonts w:ascii="Book Antiqua" w:eastAsia="SimSun" w:hAnsi="Book Antiqua" w:cs="SimSun"/>
          <w:kern w:val="0"/>
          <w:szCs w:val="24"/>
        </w:rPr>
        <w:t xml:space="preserve"> 2014; </w:t>
      </w:r>
      <w:r w:rsidRPr="00CE6F35">
        <w:rPr>
          <w:rFonts w:ascii="Book Antiqua" w:eastAsia="SimSun" w:hAnsi="Book Antiqua" w:cs="SimSun"/>
          <w:b/>
          <w:bCs/>
          <w:kern w:val="0"/>
          <w:szCs w:val="24"/>
        </w:rPr>
        <w:t>14</w:t>
      </w:r>
      <w:r w:rsidRPr="00CE6F35">
        <w:rPr>
          <w:rFonts w:ascii="Book Antiqua" w:eastAsia="SimSun" w:hAnsi="Book Antiqua" w:cs="SimSun"/>
          <w:kern w:val="0"/>
          <w:szCs w:val="24"/>
        </w:rPr>
        <w:t>: e33-e40 [PMID: 24393851 DOI: 10.1016/j.clbc.2013.11.001]</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42 </w:t>
      </w:r>
      <w:r w:rsidRPr="00CE6F35">
        <w:rPr>
          <w:rFonts w:ascii="Book Antiqua" w:eastAsia="SimSun" w:hAnsi="Book Antiqua" w:cs="SimSun"/>
          <w:b/>
          <w:bCs/>
          <w:kern w:val="0"/>
          <w:szCs w:val="24"/>
        </w:rPr>
        <w:t>Buck K</w:t>
      </w:r>
      <w:r w:rsidRPr="00CE6F35">
        <w:rPr>
          <w:rFonts w:ascii="Book Antiqua" w:eastAsia="SimSun" w:hAnsi="Book Antiqua" w:cs="SimSun"/>
          <w:kern w:val="0"/>
          <w:szCs w:val="24"/>
        </w:rPr>
        <w:t xml:space="preserve">, Hug S, Seibold P, Ferschke I, Altevogt P, Sohn C, Schneeweiss A, Burwinkel B, Jäger D, Flesch-Janys D, Chang-Claude J, Marmé F. CD24 polymorphisms in breast cancer: impact on prognosis and risk. </w:t>
      </w:r>
      <w:r w:rsidRPr="00CE6F35">
        <w:rPr>
          <w:rFonts w:ascii="Book Antiqua" w:eastAsia="SimSun" w:hAnsi="Book Antiqua" w:cs="SimSun"/>
          <w:i/>
          <w:iCs/>
          <w:kern w:val="0"/>
          <w:szCs w:val="24"/>
        </w:rPr>
        <w:t>Breast Cancer Res Treat</w:t>
      </w:r>
      <w:r w:rsidRPr="00CE6F35">
        <w:rPr>
          <w:rFonts w:ascii="Book Antiqua" w:eastAsia="SimSun" w:hAnsi="Book Antiqua" w:cs="SimSun"/>
          <w:kern w:val="0"/>
          <w:szCs w:val="24"/>
        </w:rPr>
        <w:t xml:space="preserve"> 2013; </w:t>
      </w:r>
      <w:r w:rsidRPr="00CE6F35">
        <w:rPr>
          <w:rFonts w:ascii="Book Antiqua" w:eastAsia="SimSun" w:hAnsi="Book Antiqua" w:cs="SimSun"/>
          <w:b/>
          <w:bCs/>
          <w:kern w:val="0"/>
          <w:szCs w:val="24"/>
        </w:rPr>
        <w:t>137</w:t>
      </w:r>
      <w:r w:rsidRPr="00CE6F35">
        <w:rPr>
          <w:rFonts w:ascii="Book Antiqua" w:eastAsia="SimSun" w:hAnsi="Book Antiqua" w:cs="SimSun"/>
          <w:kern w:val="0"/>
          <w:szCs w:val="24"/>
        </w:rPr>
        <w:t>: 927-937 [PMID: 23314606 DOI: 10.1007/s10549-012-2325-9]</w:t>
      </w:r>
    </w:p>
    <w:p w:rsidR="00CC1F5D" w:rsidRPr="00CE6F35" w:rsidRDefault="00CC1F5D" w:rsidP="00CC1F5D">
      <w:pPr>
        <w:widowControl/>
        <w:rPr>
          <w:rFonts w:ascii="Book Antiqua" w:eastAsia="SimSun" w:hAnsi="Book Antiqua" w:cs="SimSun"/>
          <w:kern w:val="0"/>
          <w:szCs w:val="24"/>
        </w:rPr>
      </w:pPr>
      <w:r w:rsidRPr="00CE6F35">
        <w:rPr>
          <w:rFonts w:ascii="Book Antiqua" w:eastAsia="SimSun" w:hAnsi="Book Antiqua" w:cs="SimSun"/>
          <w:kern w:val="0"/>
          <w:szCs w:val="24"/>
        </w:rPr>
        <w:t xml:space="preserve">43 </w:t>
      </w:r>
      <w:r w:rsidRPr="00CE6F35">
        <w:rPr>
          <w:rFonts w:ascii="Book Antiqua" w:eastAsia="SimSun" w:hAnsi="Book Antiqua" w:cs="SimSun"/>
          <w:b/>
          <w:bCs/>
          <w:kern w:val="0"/>
          <w:szCs w:val="24"/>
        </w:rPr>
        <w:t>Sadot E</w:t>
      </w:r>
      <w:r w:rsidRPr="00CE6F35">
        <w:rPr>
          <w:rFonts w:ascii="Book Antiqua" w:eastAsia="SimSun" w:hAnsi="Book Antiqua" w:cs="SimSun"/>
          <w:kern w:val="0"/>
          <w:szCs w:val="24"/>
        </w:rPr>
        <w:t>, Kraus S, Stein M, Naboishchikov I, Toledano O, Kazanov D, Arber N, Kashtan H. CD24 gene polymorphism</w:t>
      </w:r>
      <w:r w:rsidR="00582028" w:rsidRPr="00CE6F35">
        <w:rPr>
          <w:rFonts w:ascii="Book Antiqua" w:eastAsia="SimSun" w:hAnsi="Book Antiqua" w:cs="SimSun"/>
          <w:kern w:val="0"/>
          <w:szCs w:val="24"/>
        </w:rPr>
        <w:t>-</w:t>
      </w:r>
      <w:r w:rsidRPr="00CE6F35">
        <w:rPr>
          <w:rFonts w:ascii="Book Antiqua" w:eastAsia="SimSun" w:hAnsi="Book Antiqua" w:cs="SimSun"/>
          <w:kern w:val="0"/>
          <w:szCs w:val="24"/>
        </w:rPr>
        <w:t xml:space="preserve">a novel prognostic factor in esophageal cancer. </w:t>
      </w:r>
      <w:r w:rsidRPr="00CE6F35">
        <w:rPr>
          <w:rFonts w:ascii="Book Antiqua" w:eastAsia="SimSun" w:hAnsi="Book Antiqua" w:cs="SimSun"/>
          <w:i/>
          <w:iCs/>
          <w:kern w:val="0"/>
          <w:szCs w:val="24"/>
        </w:rPr>
        <w:t>Int J Biol Markers</w:t>
      </w:r>
      <w:r w:rsidRPr="00CE6F35">
        <w:rPr>
          <w:rFonts w:ascii="Book Antiqua" w:eastAsia="SimSun" w:hAnsi="Book Antiqua" w:cs="SimSun"/>
          <w:kern w:val="0"/>
          <w:szCs w:val="24"/>
        </w:rPr>
        <w:t xml:space="preserve"> </w:t>
      </w:r>
      <w:r w:rsidRPr="00CE6F35">
        <w:rPr>
          <w:rFonts w:ascii="Book Antiqua" w:eastAsia="SimSun" w:hAnsi="Book Antiqua" w:cs="SimSun" w:hint="eastAsia"/>
          <w:kern w:val="0"/>
          <w:szCs w:val="24"/>
        </w:rPr>
        <w:t>2014</w:t>
      </w:r>
      <w:r w:rsidRPr="00CE6F35">
        <w:rPr>
          <w:rFonts w:ascii="Book Antiqua" w:eastAsia="SimSun" w:hAnsi="Book Antiqua" w:cs="SimSun"/>
          <w:kern w:val="0"/>
          <w:szCs w:val="24"/>
        </w:rPr>
        <w:t xml:space="preserve">; </w:t>
      </w:r>
      <w:r w:rsidRPr="00CE6F35">
        <w:rPr>
          <w:rFonts w:ascii="Book Antiqua" w:eastAsia="SimSun" w:hAnsi="Book Antiqua" w:cs="SimSun"/>
          <w:b/>
          <w:bCs/>
          <w:kern w:val="0"/>
          <w:szCs w:val="24"/>
        </w:rPr>
        <w:t>29</w:t>
      </w:r>
      <w:r w:rsidRPr="00CE6F35">
        <w:rPr>
          <w:rFonts w:ascii="Book Antiqua" w:eastAsia="SimSun" w:hAnsi="Book Antiqua" w:cs="SimSun"/>
          <w:kern w:val="0"/>
          <w:szCs w:val="24"/>
        </w:rPr>
        <w:t>: e49-e54 [PMID: 24474454 DOI: 10.5301/jbm.5000071]</w:t>
      </w:r>
    </w:p>
    <w:p w:rsidR="00EB0D31" w:rsidRPr="00CE6F35" w:rsidRDefault="00EB0D31" w:rsidP="00EB0D31">
      <w:pPr>
        <w:wordWrap w:val="0"/>
        <w:ind w:left="361" w:hangingChars="150" w:hanging="361"/>
        <w:jc w:val="right"/>
        <w:rPr>
          <w:rFonts w:ascii="Book Antiqua" w:hAnsi="Book Antiqua"/>
        </w:rPr>
      </w:pPr>
      <w:bookmarkStart w:id="324" w:name="OLE_LINK75"/>
      <w:bookmarkStart w:id="325" w:name="OLE_LINK120"/>
      <w:bookmarkStart w:id="326" w:name="OLE_LINK148"/>
      <w:bookmarkStart w:id="327" w:name="OLE_LINK112"/>
      <w:bookmarkStart w:id="328" w:name="OLE_LINK320"/>
      <w:bookmarkStart w:id="329" w:name="OLE_LINK387"/>
      <w:bookmarkStart w:id="330" w:name="OLE_LINK183"/>
      <w:bookmarkStart w:id="331" w:name="OLE_LINK254"/>
      <w:bookmarkStart w:id="332" w:name="OLE_LINK149"/>
      <w:bookmarkStart w:id="333" w:name="OLE_LINK225"/>
      <w:bookmarkStart w:id="334" w:name="OLE_LINK207"/>
      <w:bookmarkStart w:id="335" w:name="OLE_LINK226"/>
      <w:bookmarkStart w:id="336" w:name="OLE_LINK212"/>
      <w:bookmarkStart w:id="337" w:name="OLE_LINK250"/>
      <w:bookmarkStart w:id="338" w:name="OLE_LINK281"/>
      <w:bookmarkStart w:id="339" w:name="OLE_LINK240"/>
      <w:bookmarkStart w:id="340" w:name="OLE_LINK282"/>
      <w:bookmarkStart w:id="341" w:name="OLE_LINK313"/>
      <w:bookmarkStart w:id="342" w:name="OLE_LINK304"/>
      <w:bookmarkStart w:id="343" w:name="OLE_LINK321"/>
      <w:bookmarkStart w:id="344" w:name="OLE_LINK385"/>
      <w:bookmarkStart w:id="345" w:name="OLE_LINK400"/>
      <w:bookmarkStart w:id="346" w:name="OLE_LINK346"/>
      <w:bookmarkStart w:id="347" w:name="OLE_LINK371"/>
      <w:bookmarkStart w:id="348" w:name="OLE_LINK334"/>
      <w:bookmarkStart w:id="349" w:name="OLE_LINK1830"/>
      <w:bookmarkStart w:id="350" w:name="OLE_LINK457"/>
      <w:bookmarkStart w:id="351" w:name="OLE_LINK288"/>
      <w:bookmarkStart w:id="352" w:name="OLE_LINK384"/>
      <w:bookmarkStart w:id="353" w:name="OLE_LINK379"/>
      <w:bookmarkStart w:id="354" w:name="OLE_LINK303"/>
      <w:bookmarkStart w:id="355" w:name="OLE_LINK450"/>
      <w:bookmarkStart w:id="356" w:name="OLE_LINK489"/>
      <w:bookmarkStart w:id="357" w:name="OLE_LINK535"/>
      <w:bookmarkStart w:id="358" w:name="OLE_LINK648"/>
      <w:bookmarkStart w:id="359" w:name="OLE_LINK686"/>
      <w:bookmarkStart w:id="360" w:name="OLE_LINK430"/>
      <w:bookmarkStart w:id="361" w:name="OLE_LINK471"/>
      <w:bookmarkStart w:id="362" w:name="OLE_LINK462"/>
      <w:bookmarkStart w:id="363" w:name="OLE_LINK519"/>
      <w:bookmarkStart w:id="364" w:name="OLE_LINK575"/>
      <w:bookmarkStart w:id="365" w:name="OLE_LINK491"/>
      <w:bookmarkStart w:id="366" w:name="OLE_LINK532"/>
      <w:bookmarkStart w:id="367" w:name="OLE_LINK572"/>
      <w:bookmarkStart w:id="368" w:name="OLE_LINK574"/>
      <w:bookmarkStart w:id="369" w:name="OLE_LINK480"/>
      <w:bookmarkStart w:id="370" w:name="OLE_LINK567"/>
      <w:bookmarkStart w:id="371" w:name="OLE_LINK2700"/>
      <w:bookmarkStart w:id="372" w:name="OLE_LINK581"/>
      <w:bookmarkStart w:id="373" w:name="OLE_LINK639"/>
      <w:bookmarkStart w:id="374" w:name="OLE_LINK688"/>
      <w:bookmarkStart w:id="375" w:name="OLE_LINK722"/>
      <w:bookmarkStart w:id="376" w:name="OLE_LINK542"/>
      <w:bookmarkStart w:id="377" w:name="OLE_LINK589"/>
      <w:bookmarkStart w:id="378" w:name="OLE_LINK582"/>
      <w:bookmarkStart w:id="379" w:name="OLE_LINK640"/>
      <w:bookmarkStart w:id="380" w:name="OLE_LINK714"/>
      <w:bookmarkStart w:id="381" w:name="OLE_LINK593"/>
      <w:bookmarkStart w:id="382" w:name="OLE_LINK716"/>
      <w:bookmarkStart w:id="383" w:name="OLE_LINK770"/>
      <w:bookmarkStart w:id="384" w:name="OLE_LINK801"/>
      <w:bookmarkStart w:id="385" w:name="OLE_LINK660"/>
      <w:bookmarkStart w:id="386" w:name="OLE_LINK739"/>
      <w:bookmarkStart w:id="387" w:name="OLE_LINK781"/>
      <w:bookmarkStart w:id="388" w:name="OLE_LINK833"/>
      <w:bookmarkStart w:id="389" w:name="OLE_LINK642"/>
      <w:bookmarkStart w:id="390" w:name="OLE_LINK700"/>
      <w:bookmarkStart w:id="391" w:name="OLE_LINK792"/>
      <w:bookmarkStart w:id="392" w:name="OLE_LINK2882"/>
      <w:bookmarkStart w:id="393" w:name="OLE_LINK836"/>
      <w:bookmarkStart w:id="394" w:name="OLE_LINK889"/>
      <w:bookmarkStart w:id="395" w:name="OLE_LINK782"/>
      <w:bookmarkStart w:id="396" w:name="OLE_LINK826"/>
      <w:bookmarkStart w:id="397" w:name="OLE_LINK865"/>
      <w:bookmarkStart w:id="398" w:name="OLE_LINK2898"/>
      <w:bookmarkStart w:id="399" w:name="OLE_LINK856"/>
      <w:bookmarkStart w:id="400" w:name="OLE_LINK908"/>
      <w:bookmarkStart w:id="401" w:name="OLE_LINK980"/>
      <w:bookmarkStart w:id="402" w:name="OLE_LINK1018"/>
      <w:bookmarkStart w:id="403" w:name="OLE_LINK1049"/>
      <w:bookmarkStart w:id="404" w:name="OLE_LINK1076"/>
      <w:bookmarkStart w:id="405" w:name="OLE_LINK1106"/>
      <w:bookmarkStart w:id="406" w:name="OLE_LINK891"/>
      <w:bookmarkStart w:id="407" w:name="OLE_LINK943"/>
      <w:bookmarkStart w:id="408" w:name="OLE_LINK981"/>
      <w:bookmarkStart w:id="409" w:name="OLE_LINK1030"/>
      <w:bookmarkStart w:id="410" w:name="OLE_LINK847"/>
      <w:bookmarkStart w:id="411" w:name="OLE_LINK909"/>
      <w:bookmarkStart w:id="412" w:name="OLE_LINK898"/>
      <w:bookmarkStart w:id="413" w:name="OLE_LINK906"/>
      <w:bookmarkStart w:id="414" w:name="OLE_LINK992"/>
      <w:bookmarkStart w:id="415" w:name="OLE_LINK993"/>
      <w:bookmarkStart w:id="416" w:name="OLE_LINK1052"/>
      <w:bookmarkStart w:id="417" w:name="OLE_LINK946"/>
      <w:bookmarkStart w:id="418" w:name="OLE_LINK911"/>
      <w:bookmarkStart w:id="419" w:name="OLE_LINK930"/>
      <w:bookmarkStart w:id="420" w:name="OLE_LINK1059"/>
      <w:bookmarkStart w:id="421" w:name="OLE_LINK1137"/>
      <w:bookmarkStart w:id="422" w:name="OLE_LINK1167"/>
      <w:bookmarkStart w:id="423" w:name="OLE_LINK1200"/>
      <w:bookmarkStart w:id="424" w:name="OLE_LINK1241"/>
      <w:bookmarkStart w:id="425" w:name="OLE_LINK1288"/>
      <w:bookmarkStart w:id="426" w:name="OLE_LINK1056"/>
      <w:bookmarkStart w:id="427" w:name="OLE_LINK1158"/>
      <w:bookmarkStart w:id="428" w:name="OLE_LINK1074"/>
      <w:bookmarkStart w:id="429" w:name="OLE_LINK1169"/>
      <w:bookmarkStart w:id="430" w:name="OLE_LINK1060"/>
      <w:bookmarkStart w:id="431" w:name="OLE_LINK1185"/>
      <w:bookmarkStart w:id="432" w:name="OLE_LINK1172"/>
      <w:bookmarkStart w:id="433" w:name="OLE_LINK1176"/>
      <w:bookmarkStart w:id="434" w:name="OLE_LINK1373"/>
      <w:bookmarkStart w:id="435" w:name="OLE_LINK1410"/>
      <w:bookmarkStart w:id="436" w:name="OLE_LINK1448"/>
      <w:bookmarkStart w:id="437" w:name="OLE_LINK1492"/>
      <w:bookmarkStart w:id="438" w:name="OLE_LINK1530"/>
      <w:bookmarkStart w:id="439" w:name="OLE_LINK1585"/>
      <w:bookmarkStart w:id="440" w:name="OLE_LINK1622"/>
      <w:bookmarkStart w:id="441" w:name="OLE_LINK1661"/>
      <w:bookmarkStart w:id="442" w:name="OLE_LINK1691"/>
      <w:bookmarkStart w:id="443" w:name="OLE_LINK1349"/>
      <w:bookmarkStart w:id="444" w:name="OLE_LINK1343"/>
      <w:bookmarkStart w:id="445" w:name="OLE_LINK1462"/>
      <w:bookmarkStart w:id="446" w:name="OLE_LINK1531"/>
      <w:bookmarkStart w:id="447" w:name="OLE_LINK1344"/>
      <w:bookmarkStart w:id="448" w:name="OLE_LINK1384"/>
      <w:bookmarkStart w:id="449" w:name="OLE_LINK1457"/>
      <w:bookmarkStart w:id="450" w:name="OLE_LINK1591"/>
      <w:bookmarkStart w:id="451" w:name="OLE_LINK1370"/>
      <w:bookmarkStart w:id="452" w:name="OLE_LINK1443"/>
      <w:bookmarkStart w:id="453" w:name="OLE_LINK1472"/>
      <w:bookmarkStart w:id="454" w:name="OLE_LINK1503"/>
      <w:bookmarkStart w:id="455" w:name="OLE_LINK1390"/>
      <w:bookmarkStart w:id="456" w:name="OLE_LINK1490"/>
      <w:bookmarkStart w:id="457" w:name="OLE_LINK1576"/>
      <w:bookmarkStart w:id="458" w:name="OLE_LINK1618"/>
      <w:bookmarkStart w:id="459" w:name="OLE_LINK1650"/>
      <w:bookmarkStart w:id="460" w:name="OLE_LINK1721"/>
      <w:bookmarkStart w:id="461" w:name="OLE_LINK1565"/>
      <w:bookmarkStart w:id="462" w:name="OLE_LINK1619"/>
      <w:bookmarkStart w:id="463" w:name="OLE_LINK1671"/>
      <w:bookmarkStart w:id="464" w:name="OLE_LINK1716"/>
      <w:bookmarkStart w:id="465" w:name="OLE_LINK1761"/>
      <w:bookmarkStart w:id="466" w:name="OLE_LINK1586"/>
      <w:bookmarkStart w:id="467" w:name="OLE_LINK1593"/>
      <w:bookmarkStart w:id="468" w:name="OLE_LINK1630"/>
      <w:bookmarkStart w:id="469" w:name="OLE_LINK1699"/>
      <w:bookmarkStart w:id="470" w:name="OLE_LINK1736"/>
      <w:bookmarkStart w:id="471" w:name="OLE_LINK1792"/>
      <w:bookmarkStart w:id="472" w:name="OLE_LINK1825"/>
      <w:bookmarkStart w:id="473" w:name="OLE_LINK1865"/>
      <w:bookmarkStart w:id="474" w:name="OLE_LINK1692"/>
      <w:bookmarkStart w:id="475" w:name="OLE_LINK1808"/>
      <w:bookmarkStart w:id="476" w:name="OLE_LINK1859"/>
      <w:bookmarkStart w:id="477" w:name="OLE_LINK1901"/>
      <w:bookmarkStart w:id="478" w:name="OLE_LINK1939"/>
      <w:bookmarkStart w:id="479" w:name="OLE_LINK1977"/>
      <w:bookmarkStart w:id="480" w:name="OLE_LINK1841"/>
      <w:bookmarkStart w:id="481" w:name="OLE_LINK1879"/>
      <w:bookmarkStart w:id="482" w:name="OLE_LINK1916"/>
      <w:bookmarkStart w:id="483" w:name="OLE_LINK1960"/>
      <w:bookmarkStart w:id="484" w:name="OLE_LINK1834"/>
      <w:bookmarkStart w:id="485" w:name="OLE_LINK2027"/>
      <w:bookmarkStart w:id="486" w:name="OLE_LINK2056"/>
      <w:bookmarkStart w:id="487" w:name="OLE_LINK1870"/>
      <w:bookmarkStart w:id="488" w:name="OLE_LINK1883"/>
      <w:bookmarkStart w:id="489" w:name="OLE_LINK1890"/>
      <w:bookmarkStart w:id="490" w:name="OLE_LINK1922"/>
      <w:bookmarkStart w:id="491" w:name="OLE_LINK1943"/>
      <w:bookmarkStart w:id="492" w:name="OLE_LINK1970"/>
      <w:bookmarkStart w:id="493" w:name="OLE_LINK1983"/>
      <w:bookmarkStart w:id="494" w:name="OLE_LINK2031"/>
      <w:bookmarkStart w:id="495" w:name="OLE_LINK2066"/>
      <w:bookmarkStart w:id="496" w:name="OLE_LINK2094"/>
      <w:bookmarkStart w:id="497" w:name="OLE_LINK2136"/>
      <w:bookmarkStart w:id="498" w:name="OLE_LINK2192"/>
      <w:bookmarkStart w:id="499" w:name="OLE_LINK1984"/>
      <w:bookmarkStart w:id="500" w:name="OLE_LINK2040"/>
      <w:bookmarkStart w:id="501" w:name="OLE_LINK2087"/>
      <w:bookmarkStart w:id="502" w:name="OLE_LINK2131"/>
      <w:bookmarkStart w:id="503" w:name="OLE_LINK2167"/>
      <w:bookmarkStart w:id="504" w:name="OLE_LINK2211"/>
      <w:bookmarkStart w:id="505" w:name="OLE_LINK2265"/>
      <w:bookmarkStart w:id="506" w:name="OLE_LINK2274"/>
      <w:bookmarkStart w:id="507" w:name="OLE_LINK2071"/>
      <w:bookmarkStart w:id="508" w:name="OLE_LINK3320"/>
      <w:bookmarkStart w:id="509" w:name="OLE_LINK3374"/>
      <w:bookmarkStart w:id="510" w:name="OLE_LINK3410"/>
      <w:bookmarkStart w:id="511" w:name="OLE_LINK1997"/>
      <w:bookmarkStart w:id="512" w:name="OLE_LINK2043"/>
      <w:bookmarkStart w:id="513" w:name="OLE_LINK2041"/>
      <w:bookmarkStart w:id="514" w:name="OLE_LINK2133"/>
      <w:bookmarkStart w:id="515" w:name="OLE_LINK2181"/>
      <w:bookmarkStart w:id="516" w:name="OLE_LINK2101"/>
      <w:bookmarkStart w:id="517" w:name="OLE_LINK2128"/>
      <w:bookmarkStart w:id="518" w:name="OLE_LINK3357"/>
      <w:bookmarkStart w:id="519" w:name="OLE_LINK2139"/>
      <w:bookmarkStart w:id="520" w:name="OLE_LINK2219"/>
      <w:bookmarkStart w:id="521" w:name="OLE_LINK2248"/>
      <w:bookmarkStart w:id="522" w:name="OLE_LINK2281"/>
      <w:bookmarkStart w:id="523" w:name="OLE_LINK2294"/>
      <w:bookmarkStart w:id="524" w:name="OLE_LINK2395"/>
      <w:bookmarkStart w:id="525" w:name="OLE_LINK2236"/>
      <w:bookmarkStart w:id="526" w:name="OLE_LINK2354"/>
      <w:bookmarkStart w:id="527" w:name="OLE_LINK2273"/>
      <w:bookmarkStart w:id="528" w:name="OLE_LINK2314"/>
      <w:bookmarkStart w:id="529" w:name="OLE_LINK2240"/>
      <w:bookmarkStart w:id="530" w:name="OLE_LINK2290"/>
      <w:bookmarkStart w:id="531" w:name="OLE_LINK2330"/>
      <w:r w:rsidRPr="00CE6F35">
        <w:rPr>
          <w:rFonts w:ascii="Book Antiqua" w:hAnsi="Book Antiqua"/>
          <w:b/>
          <w:bCs/>
        </w:rPr>
        <w:t>P-Reviewer:</w:t>
      </w:r>
      <w:r w:rsidR="002B27A4" w:rsidRPr="00CE6F35">
        <w:rPr>
          <w:rFonts w:ascii="Book Antiqua" w:hAnsi="Book Antiqua" w:hint="eastAsia"/>
          <w:b/>
          <w:bCs/>
        </w:rPr>
        <w:t xml:space="preserve"> </w:t>
      </w:r>
      <w:r w:rsidR="002B27A4" w:rsidRPr="00CE6F35">
        <w:rPr>
          <w:rFonts w:ascii="Book Antiqua" w:hAnsi="Book Antiqua"/>
          <w:bCs/>
        </w:rPr>
        <w:t>Zhang J</w:t>
      </w:r>
      <w:r w:rsidR="00CE6F35" w:rsidRPr="00CE6F35">
        <w:rPr>
          <w:rFonts w:ascii="Book Antiqua" w:hAnsi="Book Antiqua"/>
          <w:b/>
          <w:bCs/>
        </w:rPr>
        <w:t xml:space="preserve"> </w:t>
      </w:r>
      <w:r w:rsidRPr="00CE6F35">
        <w:rPr>
          <w:rFonts w:ascii="Book Antiqua" w:hAnsi="Book Antiqua"/>
          <w:b/>
          <w:bCs/>
        </w:rPr>
        <w:t>S-Editor:</w:t>
      </w:r>
      <w:r w:rsidRPr="00CE6F35">
        <w:rPr>
          <w:rFonts w:ascii="Book Antiqua" w:hAnsi="Book Antiqua"/>
        </w:rPr>
        <w:t xml:space="preserve"> </w:t>
      </w:r>
      <w:r w:rsidRPr="00CE6F35">
        <w:rPr>
          <w:rFonts w:ascii="Book Antiqua" w:hAnsi="Book Antiqua" w:hint="eastAsia"/>
        </w:rPr>
        <w:t>Yu J</w:t>
      </w:r>
      <w:r w:rsidRPr="00CE6F35">
        <w:rPr>
          <w:rFonts w:ascii="Book Antiqua" w:hAnsi="Book Antiqua"/>
        </w:rPr>
        <w:t xml:space="preserve"> </w:t>
      </w:r>
      <w:r w:rsidRPr="00CE6F35">
        <w:rPr>
          <w:rFonts w:ascii="Book Antiqua" w:hAnsi="Book Antiqua"/>
          <w:b/>
          <w:bCs/>
        </w:rPr>
        <w:t>L-Editor:</w:t>
      </w:r>
      <w:r w:rsidR="00CE6F35" w:rsidRPr="00CE6F35">
        <w:rPr>
          <w:rFonts w:ascii="Book Antiqua" w:hAnsi="Book Antiqua"/>
        </w:rPr>
        <w:t xml:space="preserve"> </w:t>
      </w:r>
      <w:r w:rsidRPr="00CE6F35">
        <w:rPr>
          <w:rFonts w:ascii="Book Antiqua" w:hAnsi="Book Antiqua"/>
          <w:b/>
          <w:bCs/>
        </w:rPr>
        <w:t>E-Editor:</w:t>
      </w:r>
    </w:p>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rsidR="00192AC8" w:rsidRPr="00CE6F35" w:rsidRDefault="00192AC8">
      <w:pPr>
        <w:widowControl/>
        <w:rPr>
          <w:rFonts w:ascii="Book Antiqua" w:eastAsia="SimSun" w:hAnsi="Book Antiqua"/>
          <w:sz w:val="21"/>
        </w:rPr>
      </w:pPr>
      <w:r w:rsidRPr="00CE6F35">
        <w:rPr>
          <w:rFonts w:ascii="Book Antiqua" w:eastAsia="SimSun" w:hAnsi="Book Antiqua"/>
          <w:sz w:val="21"/>
        </w:rPr>
        <w:br w:type="page"/>
      </w:r>
    </w:p>
    <w:p w:rsidR="00445711" w:rsidRPr="00CE6F35" w:rsidRDefault="00B83B04" w:rsidP="00192AC8">
      <w:pPr>
        <w:adjustRightInd w:val="0"/>
        <w:snapToGrid w:val="0"/>
        <w:rPr>
          <w:rFonts w:ascii="Book Antiqua" w:hAnsi="Book Antiqua"/>
          <w:b/>
          <w:szCs w:val="24"/>
        </w:rPr>
      </w:pPr>
      <w:r w:rsidRPr="00CE6F35">
        <w:rPr>
          <w:noProof/>
        </w:rPr>
        <w:lastRenderedPageBreak/>
        <w:drawing>
          <wp:inline distT="0" distB="0" distL="0" distR="0" wp14:anchorId="2E709EE3" wp14:editId="318C4295">
            <wp:extent cx="5274310" cy="2081643"/>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081643"/>
                    </a:xfrm>
                    <a:prstGeom prst="rect">
                      <a:avLst/>
                    </a:prstGeom>
                  </pic:spPr>
                </pic:pic>
              </a:graphicData>
            </a:graphic>
          </wp:inline>
        </w:drawing>
      </w:r>
    </w:p>
    <w:p w:rsidR="00192AC8" w:rsidRPr="00CE6F35" w:rsidRDefault="00192AC8" w:rsidP="00192AC8">
      <w:pPr>
        <w:adjustRightInd w:val="0"/>
        <w:snapToGrid w:val="0"/>
        <w:rPr>
          <w:rFonts w:ascii="Book Antiqua" w:hAnsi="Book Antiqua"/>
          <w:szCs w:val="24"/>
        </w:rPr>
      </w:pPr>
      <w:r w:rsidRPr="00CE6F35">
        <w:rPr>
          <w:rFonts w:ascii="Book Antiqua" w:hAnsi="Book Antiqua"/>
          <w:b/>
          <w:szCs w:val="24"/>
        </w:rPr>
        <w:t xml:space="preserve">Figure 1 Human </w:t>
      </w:r>
      <w:r w:rsidRPr="00A76753">
        <w:rPr>
          <w:rFonts w:ascii="Book Antiqua" w:hAnsi="Book Antiqua"/>
          <w:b/>
          <w:i/>
          <w:szCs w:val="24"/>
        </w:rPr>
        <w:t>CD24</w:t>
      </w:r>
      <w:r w:rsidRPr="00CE6F35">
        <w:rPr>
          <w:rFonts w:ascii="Book Antiqua" w:hAnsi="Book Antiqua"/>
          <w:b/>
          <w:szCs w:val="24"/>
        </w:rPr>
        <w:t xml:space="preserve"> gene. </w:t>
      </w:r>
      <w:r w:rsidRPr="00CE6F35">
        <w:rPr>
          <w:rFonts w:ascii="Book Antiqua" w:hAnsi="Book Antiqua"/>
          <w:szCs w:val="24"/>
        </w:rPr>
        <w:t>Primers used were demonstrated by arrows.</w:t>
      </w:r>
    </w:p>
    <w:p w:rsidR="00192AC8" w:rsidRPr="00CE6F35" w:rsidRDefault="00192AC8" w:rsidP="00192AC8">
      <w:pPr>
        <w:adjustRightInd w:val="0"/>
        <w:snapToGrid w:val="0"/>
        <w:rPr>
          <w:rFonts w:ascii="Book Antiqua" w:hAnsi="Book Antiqua"/>
          <w:b/>
          <w:szCs w:val="24"/>
        </w:rPr>
      </w:pPr>
    </w:p>
    <w:p w:rsidR="00445711" w:rsidRPr="00CE6F35" w:rsidRDefault="00445711">
      <w:pPr>
        <w:widowControl/>
        <w:rPr>
          <w:rFonts w:ascii="Book Antiqua" w:hAnsi="Book Antiqua"/>
          <w:b/>
          <w:szCs w:val="24"/>
        </w:rPr>
      </w:pPr>
      <w:r w:rsidRPr="00CE6F35">
        <w:rPr>
          <w:rFonts w:ascii="Book Antiqua" w:hAnsi="Book Antiqua"/>
          <w:b/>
          <w:szCs w:val="24"/>
        </w:rPr>
        <w:br w:type="page"/>
      </w:r>
    </w:p>
    <w:p w:rsidR="00B83B04" w:rsidRPr="00CE6F35" w:rsidRDefault="00B83B04" w:rsidP="00192AC8">
      <w:pPr>
        <w:adjustRightInd w:val="0"/>
        <w:snapToGrid w:val="0"/>
        <w:rPr>
          <w:rFonts w:ascii="Book Antiqua" w:hAnsi="Book Antiqua"/>
          <w:b/>
          <w:szCs w:val="24"/>
        </w:rPr>
      </w:pPr>
      <w:r w:rsidRPr="00CE6F35">
        <w:rPr>
          <w:rFonts w:ascii="Book Antiqua" w:hAnsi="Book Antiqua"/>
          <w:b/>
          <w:noProof/>
          <w:szCs w:val="24"/>
        </w:rPr>
        <w:lastRenderedPageBreak/>
        <w:drawing>
          <wp:inline distT="0" distB="0" distL="0" distR="0" wp14:anchorId="6CE318FB" wp14:editId="5F4240A1">
            <wp:extent cx="5274310" cy="2399529"/>
            <wp:effectExtent l="0" t="0" r="2540" b="1270"/>
            <wp:docPr id="2" name="图片 2" descr="C:\Users\baishideng-2014\Desktop\revised-jyu\3-25\19515\19515-Figures\19515-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3-25\19515\19515-Figures\19515-Figure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399529"/>
                    </a:xfrm>
                    <a:prstGeom prst="rect">
                      <a:avLst/>
                    </a:prstGeom>
                    <a:noFill/>
                    <a:ln>
                      <a:noFill/>
                    </a:ln>
                  </pic:spPr>
                </pic:pic>
              </a:graphicData>
            </a:graphic>
          </wp:inline>
        </w:drawing>
      </w:r>
    </w:p>
    <w:p w:rsidR="00192AC8" w:rsidRPr="00CE6F35" w:rsidRDefault="00192AC8" w:rsidP="00192AC8">
      <w:pPr>
        <w:adjustRightInd w:val="0"/>
        <w:snapToGrid w:val="0"/>
        <w:rPr>
          <w:rFonts w:ascii="Book Antiqua" w:hAnsi="Book Antiqua"/>
          <w:szCs w:val="24"/>
        </w:rPr>
      </w:pPr>
      <w:r w:rsidRPr="00CE6F35">
        <w:rPr>
          <w:rFonts w:ascii="Book Antiqua" w:hAnsi="Book Antiqua"/>
          <w:b/>
          <w:szCs w:val="24"/>
        </w:rPr>
        <w:t>Figure 2 Survival plots of gastric cancer patients.</w:t>
      </w:r>
      <w:bookmarkStart w:id="532" w:name="OLE_LINK71"/>
      <w:bookmarkStart w:id="533" w:name="OLE_LINK72"/>
      <w:r w:rsidRPr="00CE6F35">
        <w:rPr>
          <w:rFonts w:ascii="Book Antiqua" w:hAnsi="Book Antiqua"/>
          <w:szCs w:val="24"/>
        </w:rPr>
        <w:t xml:space="preserve"> A</w:t>
      </w:r>
      <w:r w:rsidRPr="00CE6F35">
        <w:rPr>
          <w:rFonts w:ascii="Book Antiqua" w:hAnsi="Book Antiqua" w:hint="eastAsia"/>
          <w:szCs w:val="24"/>
        </w:rPr>
        <w:t>:</w:t>
      </w:r>
      <w:r w:rsidRPr="00CE6F35">
        <w:rPr>
          <w:rFonts w:ascii="Book Antiqua" w:hAnsi="Book Antiqua"/>
          <w:szCs w:val="24"/>
        </w:rPr>
        <w:t xml:space="preserve"> </w:t>
      </w:r>
      <w:bookmarkEnd w:id="532"/>
      <w:bookmarkEnd w:id="533"/>
      <w:r w:rsidRPr="00CE6F35">
        <w:rPr>
          <w:rFonts w:ascii="Book Antiqua" w:hAnsi="Book Antiqua"/>
          <w:szCs w:val="24"/>
        </w:rPr>
        <w:t>Plot for P-534 using the recessive model (A/A</w:t>
      </w:r>
      <w:r w:rsidRPr="00CE6F35">
        <w:rPr>
          <w:rFonts w:ascii="Book Antiqua" w:hAnsi="Book Antiqua"/>
          <w:i/>
          <w:szCs w:val="24"/>
        </w:rPr>
        <w:t xml:space="preserve"> vs</w:t>
      </w:r>
      <w:r w:rsidRPr="00CE6F35">
        <w:rPr>
          <w:rFonts w:ascii="Book Antiqua" w:hAnsi="Book Antiqua"/>
          <w:szCs w:val="24"/>
        </w:rPr>
        <w:t xml:space="preserve"> C/C</w:t>
      </w:r>
      <w:r w:rsidRPr="00CE6F35">
        <w:rPr>
          <w:rFonts w:ascii="Book Antiqua" w:hAnsi="Book Antiqua" w:hint="eastAsia"/>
          <w:szCs w:val="24"/>
        </w:rPr>
        <w:t xml:space="preserve"> </w:t>
      </w:r>
      <w:r w:rsidRPr="00CE6F35">
        <w:rPr>
          <w:rFonts w:ascii="Book Antiqua" w:hAnsi="Book Antiqua"/>
          <w:szCs w:val="24"/>
        </w:rPr>
        <w:t>+</w:t>
      </w:r>
      <w:r w:rsidRPr="00CE6F35">
        <w:rPr>
          <w:rFonts w:ascii="Book Antiqua" w:hAnsi="Book Antiqua" w:hint="eastAsia"/>
          <w:szCs w:val="24"/>
        </w:rPr>
        <w:t xml:space="preserve"> </w:t>
      </w:r>
      <w:r w:rsidRPr="00CE6F35">
        <w:rPr>
          <w:rFonts w:ascii="Book Antiqua" w:hAnsi="Book Antiqua"/>
          <w:szCs w:val="24"/>
        </w:rPr>
        <w:t>C/A). B</w:t>
      </w:r>
      <w:r w:rsidRPr="00CE6F35">
        <w:rPr>
          <w:rFonts w:ascii="Book Antiqua" w:hAnsi="Book Antiqua" w:hint="eastAsia"/>
          <w:szCs w:val="24"/>
        </w:rPr>
        <w:t xml:space="preserve">: </w:t>
      </w:r>
      <w:r w:rsidRPr="00CE6F35">
        <w:rPr>
          <w:rFonts w:ascii="Book Antiqua" w:hAnsi="Book Antiqua"/>
          <w:szCs w:val="24"/>
        </w:rPr>
        <w:t xml:space="preserve">Plot for P170 using the recessive model (T/T </w:t>
      </w:r>
      <w:r w:rsidRPr="00CE6F35">
        <w:rPr>
          <w:rFonts w:ascii="Book Antiqua" w:hAnsi="Book Antiqua"/>
          <w:i/>
          <w:szCs w:val="24"/>
        </w:rPr>
        <w:t>vs</w:t>
      </w:r>
      <w:r w:rsidRPr="00CE6F35">
        <w:rPr>
          <w:rFonts w:ascii="Book Antiqua" w:hAnsi="Book Antiqua"/>
          <w:szCs w:val="24"/>
        </w:rPr>
        <w:t xml:space="preserve"> C/C</w:t>
      </w:r>
      <w:r w:rsidRPr="00CE6F35">
        <w:rPr>
          <w:rFonts w:ascii="Book Antiqua" w:hAnsi="Book Antiqua" w:hint="eastAsia"/>
          <w:szCs w:val="24"/>
        </w:rPr>
        <w:t xml:space="preserve"> </w:t>
      </w:r>
      <w:r w:rsidRPr="00CE6F35">
        <w:rPr>
          <w:rFonts w:ascii="Book Antiqua" w:hAnsi="Book Antiqua"/>
          <w:szCs w:val="24"/>
        </w:rPr>
        <w:t>+</w:t>
      </w:r>
      <w:r w:rsidRPr="00CE6F35">
        <w:rPr>
          <w:rFonts w:ascii="Book Antiqua" w:hAnsi="Book Antiqua" w:hint="eastAsia"/>
          <w:szCs w:val="24"/>
        </w:rPr>
        <w:t xml:space="preserve"> </w:t>
      </w:r>
      <w:r w:rsidRPr="00CE6F35">
        <w:rPr>
          <w:rFonts w:ascii="Book Antiqua" w:hAnsi="Book Antiqua"/>
          <w:szCs w:val="24"/>
        </w:rPr>
        <w:t>C/T).</w:t>
      </w:r>
    </w:p>
    <w:p w:rsidR="00B83B04" w:rsidRPr="00CE6F35" w:rsidRDefault="00B83B04">
      <w:pPr>
        <w:widowControl/>
        <w:rPr>
          <w:rFonts w:ascii="Book Antiqua" w:hAnsi="Book Antiqua"/>
          <w:szCs w:val="24"/>
        </w:rPr>
      </w:pPr>
      <w:r w:rsidRPr="00CE6F35">
        <w:rPr>
          <w:rFonts w:ascii="Book Antiqua" w:hAnsi="Book Antiqua"/>
          <w:szCs w:val="24"/>
        </w:rPr>
        <w:br w:type="page"/>
      </w:r>
    </w:p>
    <w:p w:rsidR="00192AC8" w:rsidRPr="00CE6F35" w:rsidRDefault="00B83B04" w:rsidP="00192AC8">
      <w:pPr>
        <w:adjustRightInd w:val="0"/>
        <w:snapToGrid w:val="0"/>
        <w:rPr>
          <w:rFonts w:ascii="Book Antiqua" w:hAnsi="Book Antiqua"/>
          <w:szCs w:val="24"/>
        </w:rPr>
      </w:pPr>
      <w:r w:rsidRPr="00CE6F35">
        <w:rPr>
          <w:rFonts w:ascii="Book Antiqua" w:hAnsi="Book Antiqua"/>
          <w:noProof/>
          <w:szCs w:val="24"/>
        </w:rPr>
        <w:lastRenderedPageBreak/>
        <w:drawing>
          <wp:inline distT="0" distB="0" distL="0" distR="0" wp14:anchorId="0BB64C77" wp14:editId="6BA01AE3">
            <wp:extent cx="4606925" cy="2101215"/>
            <wp:effectExtent l="0" t="0" r="3175" b="0"/>
            <wp:docPr id="3" name="图片 3" descr="C:\Users\baishideng-2014\Desktop\revised-jyu\3-25\19515\19515-Figures\19515-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3-25\19515\19515-Figures\19515-Figure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6925" cy="2101215"/>
                    </a:xfrm>
                    <a:prstGeom prst="rect">
                      <a:avLst/>
                    </a:prstGeom>
                    <a:noFill/>
                    <a:ln>
                      <a:noFill/>
                    </a:ln>
                  </pic:spPr>
                </pic:pic>
              </a:graphicData>
            </a:graphic>
          </wp:inline>
        </w:drawing>
      </w:r>
    </w:p>
    <w:p w:rsidR="00192AC8" w:rsidRPr="00CE6F35" w:rsidRDefault="00192AC8" w:rsidP="00192AC8">
      <w:pPr>
        <w:adjustRightInd w:val="0"/>
        <w:snapToGrid w:val="0"/>
        <w:rPr>
          <w:rFonts w:ascii="Book Antiqua" w:hAnsi="Book Antiqua"/>
          <w:b/>
          <w:szCs w:val="24"/>
        </w:rPr>
      </w:pPr>
      <w:r w:rsidRPr="00CE6F35">
        <w:rPr>
          <w:rFonts w:ascii="Book Antiqua" w:hAnsi="Book Antiqua"/>
          <w:b/>
          <w:szCs w:val="24"/>
        </w:rPr>
        <w:t xml:space="preserve">Figure 3 Expression of CD24 by immunohistochemistry. </w:t>
      </w:r>
      <w:r w:rsidRPr="00CE6F35">
        <w:rPr>
          <w:rFonts w:ascii="Book Antiqua" w:hAnsi="Book Antiqua"/>
          <w:szCs w:val="24"/>
        </w:rPr>
        <w:t>A</w:t>
      </w:r>
      <w:r w:rsidRPr="00CE6F35">
        <w:rPr>
          <w:rFonts w:ascii="Book Antiqua" w:hAnsi="Book Antiqua" w:hint="eastAsia"/>
          <w:szCs w:val="24"/>
        </w:rPr>
        <w:t>:</w:t>
      </w:r>
      <w:r w:rsidRPr="00CE6F35">
        <w:rPr>
          <w:rFonts w:ascii="Book Antiqua" w:hAnsi="Book Antiqua"/>
          <w:szCs w:val="24"/>
        </w:rPr>
        <w:t xml:space="preserve"> expression of CD24 from a </w:t>
      </w:r>
      <w:bookmarkStart w:id="534" w:name="OLE_LINK73"/>
      <w:bookmarkStart w:id="535" w:name="OLE_LINK74"/>
      <w:r w:rsidRPr="00CE6F35">
        <w:rPr>
          <w:rFonts w:ascii="Book Antiqua" w:hAnsi="Book Antiqua"/>
          <w:szCs w:val="24"/>
        </w:rPr>
        <w:t>gastric cancer case</w:t>
      </w:r>
      <w:bookmarkEnd w:id="534"/>
      <w:bookmarkEnd w:id="535"/>
      <w:r w:rsidRPr="00CE6F35">
        <w:rPr>
          <w:rFonts w:ascii="Book Antiqua" w:hAnsi="Book Antiqua"/>
          <w:szCs w:val="24"/>
        </w:rPr>
        <w:t xml:space="preserve"> with P-534 AA, P170 CC and P1527 TG/TG genotypes</w:t>
      </w:r>
      <w:r w:rsidRPr="00CE6F35">
        <w:rPr>
          <w:rFonts w:ascii="Book Antiqua" w:hAnsi="Book Antiqua" w:hint="eastAsia"/>
          <w:szCs w:val="24"/>
        </w:rPr>
        <w:t>;</w:t>
      </w:r>
      <w:r w:rsidRPr="00CE6F35">
        <w:rPr>
          <w:rFonts w:ascii="Book Antiqua" w:hAnsi="Book Antiqua"/>
          <w:szCs w:val="24"/>
        </w:rPr>
        <w:t xml:space="preserve"> B</w:t>
      </w:r>
      <w:r w:rsidRPr="00CE6F35">
        <w:rPr>
          <w:rFonts w:ascii="Book Antiqua" w:hAnsi="Book Antiqua" w:hint="eastAsia"/>
          <w:szCs w:val="24"/>
        </w:rPr>
        <w:t>:</w:t>
      </w:r>
      <w:r w:rsidRPr="00CE6F35">
        <w:rPr>
          <w:rFonts w:ascii="Book Antiqua" w:hAnsi="Book Antiqua"/>
          <w:szCs w:val="24"/>
        </w:rPr>
        <w:t xml:space="preserve"> expression of CD24 from a gastric cancer case with P-534 CC, P170 TT and P1527 TG/TG genotypes.</w:t>
      </w:r>
    </w:p>
    <w:p w:rsidR="00CC1F5D" w:rsidRPr="00CE6F35" w:rsidRDefault="00CC1F5D" w:rsidP="00CC1F5D">
      <w:pPr>
        <w:rPr>
          <w:rFonts w:ascii="Book Antiqua" w:eastAsia="SimSun" w:hAnsi="Book Antiqua"/>
          <w:sz w:val="21"/>
        </w:rPr>
      </w:pPr>
    </w:p>
    <w:p w:rsidR="00522AA8" w:rsidRPr="00CE6F35" w:rsidRDefault="00522AA8" w:rsidP="00CC1F5D">
      <w:pPr>
        <w:adjustRightInd w:val="0"/>
        <w:snapToGrid w:val="0"/>
        <w:rPr>
          <w:rFonts w:ascii="Book Antiqua" w:hAnsi="Book Antiqua"/>
          <w:noProof/>
          <w:szCs w:val="24"/>
          <w:lang w:val="da-DK"/>
        </w:rPr>
      </w:pPr>
    </w:p>
    <w:bookmarkEnd w:id="322"/>
    <w:bookmarkEnd w:id="323"/>
    <w:p w:rsidR="00522AA8" w:rsidRPr="00CE6F35" w:rsidRDefault="00522AA8" w:rsidP="00F24268">
      <w:pPr>
        <w:adjustRightInd w:val="0"/>
        <w:snapToGrid w:val="0"/>
        <w:rPr>
          <w:rFonts w:ascii="Book Antiqua" w:hAnsi="Book Antiqua"/>
          <w:noProof/>
          <w:szCs w:val="24"/>
          <w:lang w:val="da-DK"/>
        </w:rPr>
      </w:pPr>
    </w:p>
    <w:p w:rsidR="00641FB0" w:rsidRPr="00CE6F35" w:rsidRDefault="00641FB0" w:rsidP="00F24268">
      <w:pPr>
        <w:adjustRightInd w:val="0"/>
        <w:snapToGrid w:val="0"/>
        <w:rPr>
          <w:rFonts w:ascii="Book Antiqua" w:hAnsi="Book Antiqua"/>
          <w:szCs w:val="24"/>
        </w:rPr>
      </w:pPr>
    </w:p>
    <w:p w:rsidR="00641FB0" w:rsidRPr="00CE6F35" w:rsidRDefault="00641FB0" w:rsidP="00F24268">
      <w:pPr>
        <w:widowControl/>
        <w:adjustRightInd w:val="0"/>
        <w:snapToGrid w:val="0"/>
        <w:rPr>
          <w:rFonts w:ascii="Book Antiqua" w:hAnsi="Book Antiqua"/>
          <w:szCs w:val="24"/>
        </w:rPr>
      </w:pPr>
      <w:r w:rsidRPr="00CE6F35">
        <w:rPr>
          <w:rFonts w:ascii="Book Antiqua" w:hAnsi="Book Antiqua"/>
          <w:szCs w:val="24"/>
        </w:rPr>
        <w:br w:type="page"/>
      </w:r>
    </w:p>
    <w:p w:rsidR="00641FB0" w:rsidRPr="00CE6F35" w:rsidRDefault="00641FB0" w:rsidP="00F24268">
      <w:pPr>
        <w:adjustRightInd w:val="0"/>
        <w:snapToGrid w:val="0"/>
        <w:rPr>
          <w:rFonts w:ascii="Book Antiqua" w:hAnsi="Book Antiqua"/>
          <w:b/>
          <w:szCs w:val="24"/>
        </w:rPr>
        <w:sectPr w:rsidR="00641FB0" w:rsidRPr="00CE6F35" w:rsidSect="00522AA8">
          <w:footerReference w:type="default" r:id="rId11"/>
          <w:pgSz w:w="11906" w:h="16838"/>
          <w:pgMar w:top="1440" w:right="1800" w:bottom="1440" w:left="1800" w:header="851" w:footer="992" w:gutter="0"/>
          <w:cols w:space="425"/>
          <w:docGrid w:type="lines" w:linePitch="312"/>
        </w:sectPr>
      </w:pPr>
      <w:bookmarkStart w:id="536" w:name="OLE_LINK25"/>
      <w:bookmarkStart w:id="537" w:name="OLE_LINK26"/>
    </w:p>
    <w:p w:rsidR="00641FB0" w:rsidRPr="00CE6F35" w:rsidRDefault="00641FB0" w:rsidP="00F24268">
      <w:pPr>
        <w:adjustRightInd w:val="0"/>
        <w:snapToGrid w:val="0"/>
        <w:rPr>
          <w:rFonts w:ascii="Book Antiqua" w:hAnsi="Book Antiqua"/>
          <w:b/>
          <w:szCs w:val="24"/>
        </w:rPr>
      </w:pPr>
      <w:r w:rsidRPr="00CE6F35">
        <w:rPr>
          <w:rFonts w:ascii="Book Antiqua" w:hAnsi="Book Antiqua"/>
          <w:b/>
          <w:szCs w:val="24"/>
        </w:rPr>
        <w:lastRenderedPageBreak/>
        <w:t xml:space="preserve">Table 1 Primer sequences used for </w:t>
      </w:r>
      <w:r w:rsidR="002B27A4" w:rsidRPr="00CE6F35">
        <w:rPr>
          <w:rFonts w:ascii="Book Antiqua" w:hAnsi="Book Antiqua"/>
          <w:b/>
          <w:szCs w:val="24"/>
        </w:rPr>
        <w:t>polymerase chain reaction</w:t>
      </w:r>
    </w:p>
    <w:tbl>
      <w:tblPr>
        <w:tblStyle w:val="a0"/>
        <w:tblW w:w="0" w:type="auto"/>
        <w:tblLook w:val="04A0" w:firstRow="1" w:lastRow="0" w:firstColumn="1" w:lastColumn="0" w:noHBand="0" w:noVBand="1"/>
      </w:tblPr>
      <w:tblGrid>
        <w:gridCol w:w="1101"/>
        <w:gridCol w:w="5615"/>
        <w:gridCol w:w="1946"/>
        <w:gridCol w:w="1842"/>
        <w:gridCol w:w="2127"/>
      </w:tblGrid>
      <w:tr w:rsidR="00641FB0" w:rsidRPr="00CE6F35" w:rsidTr="00522AA8">
        <w:trPr>
          <w:cnfStyle w:val="100000000000" w:firstRow="1" w:lastRow="0" w:firstColumn="0" w:lastColumn="0" w:oddVBand="0" w:evenVBand="0" w:oddHBand="0" w:evenHBand="0" w:firstRowFirstColumn="0" w:firstRowLastColumn="0" w:lastRowFirstColumn="0" w:lastRowLastColumn="0"/>
        </w:trPr>
        <w:tc>
          <w:tcPr>
            <w:tcW w:w="1101" w:type="dxa"/>
          </w:tcPr>
          <w:p w:rsidR="00641FB0" w:rsidRPr="00CE6F35" w:rsidRDefault="00641FB0" w:rsidP="002B27A4">
            <w:pPr>
              <w:adjustRightInd w:val="0"/>
              <w:snapToGrid w:val="0"/>
              <w:spacing w:line="360" w:lineRule="auto"/>
              <w:rPr>
                <w:rFonts w:ascii="Book Antiqua" w:hAnsi="Book Antiqua"/>
                <w:b/>
                <w:sz w:val="24"/>
                <w:szCs w:val="24"/>
              </w:rPr>
            </w:pPr>
            <w:r w:rsidRPr="00CE6F35">
              <w:rPr>
                <w:rFonts w:ascii="Book Antiqua" w:hAnsi="Book Antiqua"/>
                <w:b/>
                <w:sz w:val="24"/>
                <w:szCs w:val="24"/>
              </w:rPr>
              <w:t>Primer</w:t>
            </w:r>
          </w:p>
        </w:tc>
        <w:tc>
          <w:tcPr>
            <w:tcW w:w="5103" w:type="dxa"/>
          </w:tcPr>
          <w:p w:rsidR="00641FB0" w:rsidRPr="00CE6F35" w:rsidRDefault="00641FB0" w:rsidP="002B27A4">
            <w:pPr>
              <w:adjustRightInd w:val="0"/>
              <w:snapToGrid w:val="0"/>
              <w:spacing w:line="360" w:lineRule="auto"/>
              <w:jc w:val="center"/>
              <w:rPr>
                <w:rFonts w:ascii="Book Antiqua" w:hAnsi="Book Antiqua"/>
                <w:b/>
                <w:sz w:val="24"/>
                <w:szCs w:val="24"/>
              </w:rPr>
            </w:pPr>
            <w:r w:rsidRPr="00CE6F35">
              <w:rPr>
                <w:rFonts w:ascii="Book Antiqua" w:hAnsi="Book Antiqua"/>
                <w:b/>
                <w:sz w:val="24"/>
                <w:szCs w:val="24"/>
              </w:rPr>
              <w:t>Sequence</w:t>
            </w:r>
          </w:p>
        </w:tc>
        <w:tc>
          <w:tcPr>
            <w:tcW w:w="1946" w:type="dxa"/>
            <w:vAlign w:val="center"/>
          </w:tcPr>
          <w:p w:rsidR="00641FB0" w:rsidRPr="00CE6F35" w:rsidRDefault="00641FB0" w:rsidP="002B27A4">
            <w:pPr>
              <w:adjustRightInd w:val="0"/>
              <w:snapToGrid w:val="0"/>
              <w:spacing w:line="360" w:lineRule="auto"/>
              <w:jc w:val="center"/>
              <w:rPr>
                <w:rFonts w:ascii="Book Antiqua" w:hAnsi="Book Antiqua"/>
                <w:b/>
                <w:sz w:val="24"/>
                <w:szCs w:val="24"/>
              </w:rPr>
            </w:pPr>
            <w:r w:rsidRPr="00CE6F35">
              <w:rPr>
                <w:rFonts w:ascii="Book Antiqua" w:hAnsi="Book Antiqua"/>
                <w:b/>
                <w:sz w:val="24"/>
                <w:szCs w:val="24"/>
              </w:rPr>
              <w:t>Length of product</w:t>
            </w:r>
          </w:p>
        </w:tc>
        <w:tc>
          <w:tcPr>
            <w:tcW w:w="1597" w:type="dxa"/>
            <w:vAlign w:val="center"/>
          </w:tcPr>
          <w:p w:rsidR="00641FB0" w:rsidRPr="00CE6F35" w:rsidRDefault="00641FB0" w:rsidP="002B27A4">
            <w:pPr>
              <w:adjustRightInd w:val="0"/>
              <w:snapToGrid w:val="0"/>
              <w:spacing w:line="360" w:lineRule="auto"/>
              <w:jc w:val="center"/>
              <w:rPr>
                <w:rFonts w:ascii="Book Antiqua" w:hAnsi="Book Antiqua"/>
                <w:b/>
                <w:sz w:val="24"/>
                <w:szCs w:val="24"/>
              </w:rPr>
            </w:pPr>
            <w:r w:rsidRPr="00CE6F35">
              <w:rPr>
                <w:rFonts w:ascii="Book Antiqua" w:hAnsi="Book Antiqua"/>
                <w:b/>
                <w:sz w:val="24"/>
                <w:szCs w:val="24"/>
              </w:rPr>
              <w:t>Endonucleases</w:t>
            </w:r>
          </w:p>
        </w:tc>
        <w:tc>
          <w:tcPr>
            <w:tcW w:w="2127" w:type="dxa"/>
            <w:vAlign w:val="center"/>
          </w:tcPr>
          <w:p w:rsidR="00641FB0" w:rsidRPr="00CE6F35" w:rsidRDefault="00641FB0" w:rsidP="002B27A4">
            <w:pPr>
              <w:adjustRightInd w:val="0"/>
              <w:snapToGrid w:val="0"/>
              <w:spacing w:line="360" w:lineRule="auto"/>
              <w:jc w:val="center"/>
              <w:rPr>
                <w:rFonts w:ascii="Book Antiqua" w:hAnsi="Book Antiqua"/>
                <w:b/>
                <w:sz w:val="24"/>
                <w:szCs w:val="24"/>
              </w:rPr>
            </w:pPr>
            <w:r w:rsidRPr="00CE6F35">
              <w:rPr>
                <w:rFonts w:ascii="Book Antiqua" w:hAnsi="Book Antiqua"/>
                <w:b/>
                <w:sz w:val="24"/>
                <w:szCs w:val="24"/>
              </w:rPr>
              <w:t>Bands</w:t>
            </w:r>
          </w:p>
        </w:tc>
      </w:tr>
      <w:tr w:rsidR="00641FB0" w:rsidRPr="00CE6F35" w:rsidTr="00522AA8">
        <w:tc>
          <w:tcPr>
            <w:tcW w:w="1101" w:type="dxa"/>
          </w:tcPr>
          <w:p w:rsidR="00641FB0" w:rsidRPr="00CE6F35" w:rsidRDefault="00641FB0" w:rsidP="002B27A4">
            <w:pPr>
              <w:adjustRightInd w:val="0"/>
              <w:snapToGrid w:val="0"/>
              <w:spacing w:line="360" w:lineRule="auto"/>
              <w:rPr>
                <w:rFonts w:ascii="Book Antiqua" w:hAnsi="Book Antiqua"/>
                <w:sz w:val="24"/>
                <w:szCs w:val="24"/>
              </w:rPr>
            </w:pPr>
            <w:r w:rsidRPr="00CE6F35">
              <w:rPr>
                <w:rFonts w:ascii="Book Antiqua" w:hAnsi="Book Antiqua"/>
                <w:sz w:val="24"/>
                <w:szCs w:val="24"/>
              </w:rPr>
              <w:t>P-534F</w:t>
            </w:r>
          </w:p>
        </w:tc>
        <w:tc>
          <w:tcPr>
            <w:tcW w:w="5103" w:type="dxa"/>
          </w:tcPr>
          <w:p w:rsidR="00641FB0" w:rsidRPr="00CE6F35" w:rsidRDefault="002B27A4"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5’-AGAGATAACCCTGCCCGAG</w:t>
            </w:r>
            <w:r w:rsidR="00641FB0" w:rsidRPr="00CE6F35">
              <w:rPr>
                <w:rFonts w:ascii="Book Antiqua" w:hAnsi="Book Antiqua"/>
                <w:sz w:val="24"/>
                <w:szCs w:val="24"/>
              </w:rPr>
              <w:t>-3’</w:t>
            </w:r>
          </w:p>
        </w:tc>
        <w:tc>
          <w:tcPr>
            <w:tcW w:w="1946" w:type="dxa"/>
            <w:vMerge w:val="restart"/>
            <w:vAlign w:val="center"/>
          </w:tcPr>
          <w:p w:rsidR="00641FB0" w:rsidRPr="00CE6F35" w:rsidRDefault="00641FB0"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209 bp</w:t>
            </w:r>
          </w:p>
        </w:tc>
        <w:tc>
          <w:tcPr>
            <w:tcW w:w="1597" w:type="dxa"/>
            <w:vMerge w:val="restart"/>
            <w:vAlign w:val="center"/>
          </w:tcPr>
          <w:p w:rsidR="00641FB0" w:rsidRPr="00CE6F35" w:rsidRDefault="00641FB0"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BsrFI</w:t>
            </w:r>
          </w:p>
        </w:tc>
        <w:tc>
          <w:tcPr>
            <w:tcW w:w="2127" w:type="dxa"/>
            <w:vMerge w:val="restart"/>
            <w:vAlign w:val="center"/>
          </w:tcPr>
          <w:p w:rsidR="00641FB0" w:rsidRPr="00CE6F35" w:rsidRDefault="00641FB0"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C: 126</w:t>
            </w:r>
            <w:r w:rsidR="002B27A4" w:rsidRPr="00CE6F35">
              <w:rPr>
                <w:rFonts w:ascii="Book Antiqua" w:hAnsi="Book Antiqua" w:hint="eastAsia"/>
                <w:sz w:val="24"/>
                <w:szCs w:val="24"/>
              </w:rPr>
              <w:t xml:space="preserve"> </w:t>
            </w:r>
            <w:r w:rsidRPr="00CE6F35">
              <w:rPr>
                <w:rFonts w:ascii="Book Antiqua" w:hAnsi="Book Antiqua"/>
                <w:sz w:val="24"/>
                <w:szCs w:val="24"/>
              </w:rPr>
              <w:t>bp</w:t>
            </w:r>
            <w:r w:rsidR="002B27A4" w:rsidRPr="00CE6F35">
              <w:rPr>
                <w:rFonts w:ascii="Book Antiqua" w:hAnsi="Book Antiqua" w:hint="eastAsia"/>
                <w:sz w:val="24"/>
                <w:szCs w:val="24"/>
              </w:rPr>
              <w:t xml:space="preserve"> </w:t>
            </w:r>
            <w:r w:rsidRPr="00CE6F35">
              <w:rPr>
                <w:rFonts w:ascii="Book Antiqua" w:hAnsi="Book Antiqua"/>
                <w:sz w:val="24"/>
                <w:szCs w:val="24"/>
              </w:rPr>
              <w:t>+</w:t>
            </w:r>
            <w:r w:rsidR="002B27A4" w:rsidRPr="00CE6F35">
              <w:rPr>
                <w:rFonts w:ascii="Book Antiqua" w:hAnsi="Book Antiqua" w:hint="eastAsia"/>
                <w:sz w:val="24"/>
                <w:szCs w:val="24"/>
              </w:rPr>
              <w:t xml:space="preserve"> </w:t>
            </w:r>
            <w:r w:rsidRPr="00CE6F35">
              <w:rPr>
                <w:rFonts w:ascii="Book Antiqua" w:hAnsi="Book Antiqua"/>
                <w:sz w:val="24"/>
                <w:szCs w:val="24"/>
              </w:rPr>
              <w:t>83</w:t>
            </w:r>
            <w:r w:rsidR="002B27A4" w:rsidRPr="00CE6F35">
              <w:rPr>
                <w:rFonts w:ascii="Book Antiqua" w:hAnsi="Book Antiqua" w:hint="eastAsia"/>
                <w:sz w:val="24"/>
                <w:szCs w:val="24"/>
              </w:rPr>
              <w:t xml:space="preserve"> </w:t>
            </w:r>
            <w:r w:rsidRPr="00CE6F35">
              <w:rPr>
                <w:rFonts w:ascii="Book Antiqua" w:hAnsi="Book Antiqua"/>
                <w:sz w:val="24"/>
                <w:szCs w:val="24"/>
              </w:rPr>
              <w:t>bp</w:t>
            </w:r>
          </w:p>
        </w:tc>
      </w:tr>
      <w:tr w:rsidR="00641FB0" w:rsidRPr="00CE6F35" w:rsidTr="00522AA8">
        <w:tc>
          <w:tcPr>
            <w:tcW w:w="1101" w:type="dxa"/>
          </w:tcPr>
          <w:p w:rsidR="00641FB0" w:rsidRPr="00CE6F35" w:rsidRDefault="00641FB0" w:rsidP="002B27A4">
            <w:pPr>
              <w:adjustRightInd w:val="0"/>
              <w:snapToGrid w:val="0"/>
              <w:spacing w:line="360" w:lineRule="auto"/>
              <w:rPr>
                <w:rFonts w:ascii="Book Antiqua" w:hAnsi="Book Antiqua"/>
                <w:sz w:val="24"/>
                <w:szCs w:val="24"/>
              </w:rPr>
            </w:pPr>
            <w:r w:rsidRPr="00CE6F35">
              <w:rPr>
                <w:rFonts w:ascii="Book Antiqua" w:hAnsi="Book Antiqua"/>
                <w:sz w:val="24"/>
                <w:szCs w:val="24"/>
              </w:rPr>
              <w:t>P-534R</w:t>
            </w:r>
          </w:p>
        </w:tc>
        <w:tc>
          <w:tcPr>
            <w:tcW w:w="5103" w:type="dxa"/>
          </w:tcPr>
          <w:p w:rsidR="00641FB0" w:rsidRPr="00CE6F35" w:rsidRDefault="002B27A4"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5’-CCAAGTTTCCTTTGTTTCCC</w:t>
            </w:r>
            <w:r w:rsidR="00641FB0" w:rsidRPr="00CE6F35">
              <w:rPr>
                <w:rFonts w:ascii="Book Antiqua" w:hAnsi="Book Antiqua"/>
                <w:sz w:val="24"/>
                <w:szCs w:val="24"/>
              </w:rPr>
              <w:t>-3’</w:t>
            </w:r>
          </w:p>
        </w:tc>
        <w:tc>
          <w:tcPr>
            <w:tcW w:w="1946" w:type="dxa"/>
            <w:vMerge/>
            <w:vAlign w:val="center"/>
          </w:tcPr>
          <w:p w:rsidR="00641FB0" w:rsidRPr="00CE6F35" w:rsidRDefault="00641FB0" w:rsidP="002B27A4">
            <w:pPr>
              <w:adjustRightInd w:val="0"/>
              <w:snapToGrid w:val="0"/>
              <w:spacing w:line="360" w:lineRule="auto"/>
              <w:jc w:val="center"/>
              <w:rPr>
                <w:rFonts w:ascii="Book Antiqua" w:hAnsi="Book Antiqua"/>
                <w:sz w:val="24"/>
                <w:szCs w:val="24"/>
              </w:rPr>
            </w:pPr>
          </w:p>
        </w:tc>
        <w:tc>
          <w:tcPr>
            <w:tcW w:w="1597" w:type="dxa"/>
            <w:vMerge/>
            <w:vAlign w:val="center"/>
          </w:tcPr>
          <w:p w:rsidR="00641FB0" w:rsidRPr="00CE6F35" w:rsidRDefault="00641FB0" w:rsidP="002B27A4">
            <w:pPr>
              <w:adjustRightInd w:val="0"/>
              <w:snapToGrid w:val="0"/>
              <w:spacing w:line="360" w:lineRule="auto"/>
              <w:jc w:val="center"/>
              <w:rPr>
                <w:rFonts w:ascii="Book Antiqua" w:hAnsi="Book Antiqua"/>
                <w:sz w:val="24"/>
                <w:szCs w:val="24"/>
              </w:rPr>
            </w:pPr>
          </w:p>
        </w:tc>
        <w:tc>
          <w:tcPr>
            <w:tcW w:w="2127" w:type="dxa"/>
            <w:vMerge/>
            <w:vAlign w:val="center"/>
          </w:tcPr>
          <w:p w:rsidR="00641FB0" w:rsidRPr="00CE6F35" w:rsidRDefault="00641FB0" w:rsidP="002B27A4">
            <w:pPr>
              <w:adjustRightInd w:val="0"/>
              <w:snapToGrid w:val="0"/>
              <w:spacing w:line="360" w:lineRule="auto"/>
              <w:jc w:val="center"/>
              <w:rPr>
                <w:rFonts w:ascii="Book Antiqua" w:hAnsi="Book Antiqua"/>
                <w:sz w:val="24"/>
                <w:szCs w:val="24"/>
              </w:rPr>
            </w:pPr>
          </w:p>
        </w:tc>
      </w:tr>
      <w:tr w:rsidR="00641FB0" w:rsidRPr="00CE6F35" w:rsidTr="00522AA8">
        <w:tc>
          <w:tcPr>
            <w:tcW w:w="1101" w:type="dxa"/>
          </w:tcPr>
          <w:p w:rsidR="00641FB0" w:rsidRPr="00CE6F35" w:rsidRDefault="00641FB0" w:rsidP="002B27A4">
            <w:pPr>
              <w:adjustRightInd w:val="0"/>
              <w:snapToGrid w:val="0"/>
              <w:spacing w:line="360" w:lineRule="auto"/>
              <w:rPr>
                <w:rFonts w:ascii="Book Antiqua" w:hAnsi="Book Antiqua"/>
                <w:sz w:val="24"/>
                <w:szCs w:val="24"/>
              </w:rPr>
            </w:pPr>
            <w:r w:rsidRPr="00CE6F35">
              <w:rPr>
                <w:rFonts w:ascii="Book Antiqua" w:hAnsi="Book Antiqua"/>
                <w:sz w:val="24"/>
                <w:szCs w:val="24"/>
              </w:rPr>
              <w:t>outerF</w:t>
            </w:r>
          </w:p>
        </w:tc>
        <w:tc>
          <w:tcPr>
            <w:tcW w:w="5103" w:type="dxa"/>
          </w:tcPr>
          <w:p w:rsidR="00641FB0" w:rsidRPr="00CE6F35" w:rsidRDefault="002B27A4"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5’-CCACTTGGCATTTTTGAGGCATCT</w:t>
            </w:r>
            <w:r w:rsidR="00641FB0" w:rsidRPr="00CE6F35">
              <w:rPr>
                <w:rFonts w:ascii="Book Antiqua" w:hAnsi="Book Antiqua"/>
                <w:sz w:val="24"/>
                <w:szCs w:val="24"/>
              </w:rPr>
              <w:t>-3’</w:t>
            </w:r>
          </w:p>
        </w:tc>
        <w:tc>
          <w:tcPr>
            <w:tcW w:w="1946" w:type="dxa"/>
            <w:vMerge w:val="restart"/>
            <w:vAlign w:val="center"/>
          </w:tcPr>
          <w:p w:rsidR="00641FB0" w:rsidRPr="00CE6F35" w:rsidRDefault="00641FB0"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1882 bp</w:t>
            </w:r>
          </w:p>
        </w:tc>
        <w:tc>
          <w:tcPr>
            <w:tcW w:w="1597" w:type="dxa"/>
            <w:vMerge w:val="restart"/>
            <w:vAlign w:val="center"/>
          </w:tcPr>
          <w:p w:rsidR="00641FB0" w:rsidRPr="00CE6F35" w:rsidRDefault="00641FB0"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w:t>
            </w:r>
          </w:p>
        </w:tc>
        <w:tc>
          <w:tcPr>
            <w:tcW w:w="2127" w:type="dxa"/>
            <w:vMerge w:val="restart"/>
            <w:vAlign w:val="center"/>
          </w:tcPr>
          <w:p w:rsidR="00641FB0" w:rsidRPr="00CE6F35" w:rsidRDefault="002B27A4"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 xml:space="preserve">- </w:t>
            </w:r>
          </w:p>
        </w:tc>
      </w:tr>
      <w:tr w:rsidR="00641FB0" w:rsidRPr="00CE6F35" w:rsidTr="00522AA8">
        <w:tc>
          <w:tcPr>
            <w:tcW w:w="1101" w:type="dxa"/>
          </w:tcPr>
          <w:p w:rsidR="00641FB0" w:rsidRPr="00CE6F35" w:rsidRDefault="00641FB0" w:rsidP="002B27A4">
            <w:pPr>
              <w:adjustRightInd w:val="0"/>
              <w:snapToGrid w:val="0"/>
              <w:spacing w:line="360" w:lineRule="auto"/>
              <w:rPr>
                <w:rFonts w:ascii="Book Antiqua" w:hAnsi="Book Antiqua"/>
                <w:sz w:val="24"/>
                <w:szCs w:val="24"/>
              </w:rPr>
            </w:pPr>
            <w:r w:rsidRPr="00CE6F35">
              <w:rPr>
                <w:rFonts w:ascii="Book Antiqua" w:hAnsi="Book Antiqua"/>
                <w:sz w:val="24"/>
                <w:szCs w:val="24"/>
              </w:rPr>
              <w:t>outerR</w:t>
            </w:r>
          </w:p>
        </w:tc>
        <w:tc>
          <w:tcPr>
            <w:tcW w:w="5103" w:type="dxa"/>
          </w:tcPr>
          <w:p w:rsidR="00641FB0" w:rsidRPr="00CE6F35" w:rsidRDefault="002B27A4"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5’-</w:t>
            </w:r>
            <w:r w:rsidR="00641FB0" w:rsidRPr="00CE6F35">
              <w:rPr>
                <w:rFonts w:ascii="Book Antiqua" w:hAnsi="Book Antiqua"/>
                <w:sz w:val="24"/>
                <w:szCs w:val="24"/>
              </w:rPr>
              <w:t>TGTGTCGAGGCAGTTGTAAAAG-3’</w:t>
            </w:r>
          </w:p>
        </w:tc>
        <w:tc>
          <w:tcPr>
            <w:tcW w:w="1946" w:type="dxa"/>
            <w:vMerge/>
            <w:vAlign w:val="center"/>
          </w:tcPr>
          <w:p w:rsidR="00641FB0" w:rsidRPr="00CE6F35" w:rsidRDefault="00641FB0" w:rsidP="002B27A4">
            <w:pPr>
              <w:adjustRightInd w:val="0"/>
              <w:snapToGrid w:val="0"/>
              <w:spacing w:line="360" w:lineRule="auto"/>
              <w:jc w:val="center"/>
              <w:rPr>
                <w:rFonts w:ascii="Book Antiqua" w:hAnsi="Book Antiqua"/>
                <w:sz w:val="24"/>
                <w:szCs w:val="24"/>
              </w:rPr>
            </w:pPr>
          </w:p>
        </w:tc>
        <w:tc>
          <w:tcPr>
            <w:tcW w:w="1597" w:type="dxa"/>
            <w:vMerge/>
            <w:vAlign w:val="center"/>
          </w:tcPr>
          <w:p w:rsidR="00641FB0" w:rsidRPr="00CE6F35" w:rsidRDefault="00641FB0" w:rsidP="002B27A4">
            <w:pPr>
              <w:adjustRightInd w:val="0"/>
              <w:snapToGrid w:val="0"/>
              <w:spacing w:line="360" w:lineRule="auto"/>
              <w:jc w:val="center"/>
              <w:rPr>
                <w:rFonts w:ascii="Book Antiqua" w:hAnsi="Book Antiqua"/>
                <w:sz w:val="24"/>
                <w:szCs w:val="24"/>
              </w:rPr>
            </w:pPr>
          </w:p>
        </w:tc>
        <w:tc>
          <w:tcPr>
            <w:tcW w:w="2127" w:type="dxa"/>
            <w:vMerge/>
            <w:vAlign w:val="center"/>
          </w:tcPr>
          <w:p w:rsidR="00641FB0" w:rsidRPr="00CE6F35" w:rsidRDefault="00641FB0" w:rsidP="002B27A4">
            <w:pPr>
              <w:adjustRightInd w:val="0"/>
              <w:snapToGrid w:val="0"/>
              <w:spacing w:line="360" w:lineRule="auto"/>
              <w:jc w:val="center"/>
              <w:rPr>
                <w:rFonts w:ascii="Book Antiqua" w:hAnsi="Book Antiqua"/>
                <w:sz w:val="24"/>
                <w:szCs w:val="24"/>
              </w:rPr>
            </w:pPr>
          </w:p>
        </w:tc>
      </w:tr>
      <w:tr w:rsidR="00641FB0" w:rsidRPr="00CE6F35" w:rsidTr="00522AA8">
        <w:tc>
          <w:tcPr>
            <w:tcW w:w="1101" w:type="dxa"/>
          </w:tcPr>
          <w:p w:rsidR="00641FB0" w:rsidRPr="00CE6F35" w:rsidRDefault="00641FB0" w:rsidP="002B27A4">
            <w:pPr>
              <w:adjustRightInd w:val="0"/>
              <w:snapToGrid w:val="0"/>
              <w:spacing w:line="360" w:lineRule="auto"/>
              <w:rPr>
                <w:rFonts w:ascii="Book Antiqua" w:hAnsi="Book Antiqua"/>
                <w:sz w:val="24"/>
                <w:szCs w:val="24"/>
              </w:rPr>
            </w:pPr>
            <w:r w:rsidRPr="00CE6F35">
              <w:rPr>
                <w:rFonts w:ascii="Book Antiqua" w:hAnsi="Book Antiqua"/>
                <w:sz w:val="24"/>
                <w:szCs w:val="24"/>
              </w:rPr>
              <w:t>P170F</w:t>
            </w:r>
          </w:p>
        </w:tc>
        <w:tc>
          <w:tcPr>
            <w:tcW w:w="5103" w:type="dxa"/>
          </w:tcPr>
          <w:p w:rsidR="00641FB0" w:rsidRPr="00CE6F35" w:rsidRDefault="002B27A4" w:rsidP="002B27A4">
            <w:pPr>
              <w:adjustRightInd w:val="0"/>
              <w:snapToGrid w:val="0"/>
              <w:spacing w:line="360" w:lineRule="auto"/>
              <w:jc w:val="center"/>
              <w:rPr>
                <w:rFonts w:ascii="Book Antiqua" w:hAnsi="Book Antiqua"/>
                <w:sz w:val="24"/>
                <w:szCs w:val="24"/>
              </w:rPr>
            </w:pPr>
            <w:r w:rsidRPr="00CE6F35">
              <w:rPr>
                <w:rFonts w:ascii="Book Antiqua" w:hAnsi="Book Antiqua"/>
                <w:caps/>
                <w:sz w:val="24"/>
                <w:szCs w:val="24"/>
              </w:rPr>
              <w:t>5’-</w:t>
            </w:r>
            <w:r w:rsidR="00641FB0" w:rsidRPr="00CE6F35">
              <w:rPr>
                <w:rFonts w:ascii="Book Antiqua" w:hAnsi="Book Antiqua"/>
                <w:caps/>
                <w:sz w:val="24"/>
                <w:szCs w:val="24"/>
              </w:rPr>
              <w:t>ctaaag</w:t>
            </w:r>
            <w:smartTag w:uri="urn:schemas-microsoft-com:office:smarttags" w:element="stockticker">
              <w:r w:rsidR="00641FB0" w:rsidRPr="00CE6F35">
                <w:rPr>
                  <w:rFonts w:ascii="Book Antiqua" w:hAnsi="Book Antiqua"/>
                  <w:caps/>
                  <w:sz w:val="24"/>
                  <w:szCs w:val="24"/>
                </w:rPr>
                <w:t>aga</w:t>
              </w:r>
            </w:smartTag>
            <w:smartTag w:uri="urn:schemas-microsoft-com:office:smarttags" w:element="stockticker">
              <w:r w:rsidR="00641FB0" w:rsidRPr="00CE6F35">
                <w:rPr>
                  <w:rFonts w:ascii="Book Antiqua" w:hAnsi="Book Antiqua"/>
                  <w:caps/>
                  <w:sz w:val="24"/>
                  <w:szCs w:val="24"/>
                </w:rPr>
                <w:t>atg</w:t>
              </w:r>
            </w:smartTag>
            <w:r w:rsidRPr="00CE6F35">
              <w:rPr>
                <w:rFonts w:ascii="Book Antiqua" w:hAnsi="Book Antiqua"/>
                <w:caps/>
                <w:sz w:val="24"/>
                <w:szCs w:val="24"/>
              </w:rPr>
              <w:t>accttggtgggttgag</w:t>
            </w:r>
            <w:r w:rsidR="00641FB0" w:rsidRPr="00CE6F35">
              <w:rPr>
                <w:rFonts w:ascii="Book Antiqua" w:hAnsi="Book Antiqua"/>
                <w:caps/>
                <w:sz w:val="24"/>
                <w:szCs w:val="24"/>
              </w:rPr>
              <w:t>-3’</w:t>
            </w:r>
          </w:p>
        </w:tc>
        <w:tc>
          <w:tcPr>
            <w:tcW w:w="1946" w:type="dxa"/>
            <w:vMerge w:val="restart"/>
            <w:vAlign w:val="center"/>
          </w:tcPr>
          <w:p w:rsidR="00641FB0" w:rsidRPr="00CE6F35" w:rsidRDefault="00641FB0" w:rsidP="002B27A4">
            <w:pPr>
              <w:adjustRightInd w:val="0"/>
              <w:snapToGrid w:val="0"/>
              <w:spacing w:line="360" w:lineRule="auto"/>
              <w:jc w:val="center"/>
              <w:rPr>
                <w:rFonts w:ascii="Book Antiqua" w:hAnsi="Book Antiqua"/>
                <w:caps/>
                <w:sz w:val="24"/>
                <w:szCs w:val="24"/>
              </w:rPr>
            </w:pPr>
            <w:r w:rsidRPr="00CE6F35">
              <w:rPr>
                <w:rFonts w:ascii="Book Antiqua" w:hAnsi="Book Antiqua"/>
                <w:sz w:val="24"/>
                <w:szCs w:val="24"/>
              </w:rPr>
              <w:t>404 bp</w:t>
            </w:r>
          </w:p>
        </w:tc>
        <w:tc>
          <w:tcPr>
            <w:tcW w:w="1597" w:type="dxa"/>
            <w:vMerge w:val="restart"/>
            <w:vAlign w:val="center"/>
          </w:tcPr>
          <w:p w:rsidR="00641FB0" w:rsidRPr="00CE6F35" w:rsidRDefault="00641FB0"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BstXI</w:t>
            </w:r>
          </w:p>
        </w:tc>
        <w:tc>
          <w:tcPr>
            <w:tcW w:w="2127" w:type="dxa"/>
            <w:vMerge w:val="restart"/>
            <w:vAlign w:val="center"/>
          </w:tcPr>
          <w:p w:rsidR="00641FB0" w:rsidRPr="00CE6F35" w:rsidRDefault="00641FB0"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T: 275</w:t>
            </w:r>
            <w:r w:rsidR="002B27A4" w:rsidRPr="00CE6F35">
              <w:rPr>
                <w:rFonts w:ascii="Book Antiqua" w:hAnsi="Book Antiqua" w:hint="eastAsia"/>
                <w:sz w:val="24"/>
                <w:szCs w:val="24"/>
              </w:rPr>
              <w:t xml:space="preserve"> </w:t>
            </w:r>
            <w:r w:rsidRPr="00CE6F35">
              <w:rPr>
                <w:rFonts w:ascii="Book Antiqua" w:hAnsi="Book Antiqua"/>
                <w:sz w:val="24"/>
                <w:szCs w:val="24"/>
              </w:rPr>
              <w:t>bp</w:t>
            </w:r>
            <w:r w:rsidR="002B27A4" w:rsidRPr="00CE6F35">
              <w:rPr>
                <w:rFonts w:ascii="Book Antiqua" w:hAnsi="Book Antiqua" w:hint="eastAsia"/>
                <w:sz w:val="24"/>
                <w:szCs w:val="24"/>
              </w:rPr>
              <w:t xml:space="preserve"> </w:t>
            </w:r>
            <w:r w:rsidRPr="00CE6F35">
              <w:rPr>
                <w:rFonts w:ascii="Book Antiqua" w:hAnsi="Book Antiqua"/>
                <w:sz w:val="24"/>
                <w:szCs w:val="24"/>
              </w:rPr>
              <w:t>+</w:t>
            </w:r>
            <w:r w:rsidR="002B27A4" w:rsidRPr="00CE6F35">
              <w:rPr>
                <w:rFonts w:ascii="Book Antiqua" w:hAnsi="Book Antiqua" w:hint="eastAsia"/>
                <w:sz w:val="24"/>
                <w:szCs w:val="24"/>
              </w:rPr>
              <w:t xml:space="preserve"> </w:t>
            </w:r>
            <w:r w:rsidRPr="00CE6F35">
              <w:rPr>
                <w:rFonts w:ascii="Book Antiqua" w:hAnsi="Book Antiqua"/>
                <w:sz w:val="24"/>
                <w:szCs w:val="24"/>
              </w:rPr>
              <w:t>129</w:t>
            </w:r>
            <w:r w:rsidR="002B27A4" w:rsidRPr="00CE6F35">
              <w:rPr>
                <w:rFonts w:ascii="Book Antiqua" w:hAnsi="Book Antiqua" w:hint="eastAsia"/>
                <w:sz w:val="24"/>
                <w:szCs w:val="24"/>
              </w:rPr>
              <w:t xml:space="preserve"> </w:t>
            </w:r>
            <w:r w:rsidRPr="00CE6F35">
              <w:rPr>
                <w:rFonts w:ascii="Book Antiqua" w:hAnsi="Book Antiqua"/>
                <w:sz w:val="24"/>
                <w:szCs w:val="24"/>
              </w:rPr>
              <w:t>bp</w:t>
            </w:r>
          </w:p>
        </w:tc>
      </w:tr>
      <w:tr w:rsidR="00641FB0" w:rsidRPr="00CE6F35" w:rsidTr="00522AA8">
        <w:tc>
          <w:tcPr>
            <w:tcW w:w="1101" w:type="dxa"/>
          </w:tcPr>
          <w:p w:rsidR="00641FB0" w:rsidRPr="00CE6F35" w:rsidRDefault="00641FB0" w:rsidP="002B27A4">
            <w:pPr>
              <w:adjustRightInd w:val="0"/>
              <w:snapToGrid w:val="0"/>
              <w:spacing w:line="360" w:lineRule="auto"/>
              <w:rPr>
                <w:rFonts w:ascii="Book Antiqua" w:hAnsi="Book Antiqua"/>
                <w:sz w:val="24"/>
                <w:szCs w:val="24"/>
              </w:rPr>
            </w:pPr>
            <w:r w:rsidRPr="00CE6F35">
              <w:rPr>
                <w:rFonts w:ascii="Book Antiqua" w:hAnsi="Book Antiqua"/>
                <w:sz w:val="24"/>
                <w:szCs w:val="24"/>
              </w:rPr>
              <w:t>P170R</w:t>
            </w:r>
          </w:p>
        </w:tc>
        <w:tc>
          <w:tcPr>
            <w:tcW w:w="5103" w:type="dxa"/>
          </w:tcPr>
          <w:p w:rsidR="00641FB0" w:rsidRPr="00CE6F35" w:rsidRDefault="002B27A4"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5’-</w:t>
            </w:r>
            <w:r w:rsidR="00641FB0" w:rsidRPr="00CE6F35">
              <w:rPr>
                <w:rFonts w:ascii="Book Antiqua" w:hAnsi="Book Antiqua"/>
                <w:sz w:val="24"/>
                <w:szCs w:val="24"/>
              </w:rPr>
              <w:t>GGA</w:t>
            </w:r>
            <w:smartTag w:uri="urn:schemas-microsoft-com:office:smarttags" w:element="stockticker">
              <w:r w:rsidR="00641FB0" w:rsidRPr="00CE6F35">
                <w:rPr>
                  <w:rFonts w:ascii="Book Antiqua" w:hAnsi="Book Antiqua"/>
                  <w:sz w:val="24"/>
                  <w:szCs w:val="24"/>
                </w:rPr>
                <w:t>TTG</w:t>
              </w:r>
            </w:smartTag>
            <w:r w:rsidRPr="00CE6F35">
              <w:rPr>
                <w:rFonts w:ascii="Book Antiqua" w:hAnsi="Book Antiqua"/>
                <w:sz w:val="24"/>
                <w:szCs w:val="24"/>
              </w:rPr>
              <w:t>GGTTTAGAAGATGGGGAAA</w:t>
            </w:r>
            <w:r w:rsidR="00641FB0" w:rsidRPr="00CE6F35">
              <w:rPr>
                <w:rFonts w:ascii="Book Antiqua" w:hAnsi="Book Antiqua"/>
                <w:sz w:val="24"/>
                <w:szCs w:val="24"/>
              </w:rPr>
              <w:t>-3’</w:t>
            </w:r>
          </w:p>
        </w:tc>
        <w:tc>
          <w:tcPr>
            <w:tcW w:w="1946" w:type="dxa"/>
            <w:vMerge/>
            <w:vAlign w:val="center"/>
          </w:tcPr>
          <w:p w:rsidR="00641FB0" w:rsidRPr="00CE6F35" w:rsidRDefault="00641FB0" w:rsidP="002B27A4">
            <w:pPr>
              <w:adjustRightInd w:val="0"/>
              <w:snapToGrid w:val="0"/>
              <w:spacing w:line="360" w:lineRule="auto"/>
              <w:jc w:val="center"/>
              <w:rPr>
                <w:rFonts w:ascii="Book Antiqua" w:hAnsi="Book Antiqua"/>
                <w:sz w:val="24"/>
                <w:szCs w:val="24"/>
              </w:rPr>
            </w:pPr>
          </w:p>
        </w:tc>
        <w:tc>
          <w:tcPr>
            <w:tcW w:w="1597" w:type="dxa"/>
            <w:vMerge/>
            <w:vAlign w:val="center"/>
          </w:tcPr>
          <w:p w:rsidR="00641FB0" w:rsidRPr="00CE6F35" w:rsidRDefault="00641FB0" w:rsidP="002B27A4">
            <w:pPr>
              <w:adjustRightInd w:val="0"/>
              <w:snapToGrid w:val="0"/>
              <w:spacing w:line="360" w:lineRule="auto"/>
              <w:jc w:val="center"/>
              <w:rPr>
                <w:rFonts w:ascii="Book Antiqua" w:hAnsi="Book Antiqua"/>
                <w:sz w:val="24"/>
                <w:szCs w:val="24"/>
              </w:rPr>
            </w:pPr>
          </w:p>
        </w:tc>
        <w:tc>
          <w:tcPr>
            <w:tcW w:w="2127" w:type="dxa"/>
            <w:vMerge/>
            <w:vAlign w:val="center"/>
          </w:tcPr>
          <w:p w:rsidR="00641FB0" w:rsidRPr="00CE6F35" w:rsidRDefault="00641FB0" w:rsidP="002B27A4">
            <w:pPr>
              <w:adjustRightInd w:val="0"/>
              <w:snapToGrid w:val="0"/>
              <w:spacing w:line="360" w:lineRule="auto"/>
              <w:jc w:val="center"/>
              <w:rPr>
                <w:rFonts w:ascii="Book Antiqua" w:hAnsi="Book Antiqua"/>
                <w:sz w:val="24"/>
                <w:szCs w:val="24"/>
              </w:rPr>
            </w:pPr>
          </w:p>
        </w:tc>
      </w:tr>
      <w:tr w:rsidR="00641FB0" w:rsidRPr="00CE6F35" w:rsidTr="00522AA8">
        <w:tc>
          <w:tcPr>
            <w:tcW w:w="1101" w:type="dxa"/>
          </w:tcPr>
          <w:p w:rsidR="00641FB0" w:rsidRPr="00CE6F35" w:rsidRDefault="00641FB0" w:rsidP="002B27A4">
            <w:pPr>
              <w:adjustRightInd w:val="0"/>
              <w:snapToGrid w:val="0"/>
              <w:spacing w:line="360" w:lineRule="auto"/>
              <w:rPr>
                <w:rFonts w:ascii="Book Antiqua" w:hAnsi="Book Antiqua"/>
                <w:sz w:val="24"/>
                <w:szCs w:val="24"/>
              </w:rPr>
            </w:pPr>
            <w:r w:rsidRPr="00CE6F35">
              <w:rPr>
                <w:rFonts w:ascii="Book Antiqua" w:hAnsi="Book Antiqua"/>
                <w:sz w:val="24"/>
                <w:szCs w:val="24"/>
              </w:rPr>
              <w:t>P1527F</w:t>
            </w:r>
          </w:p>
        </w:tc>
        <w:tc>
          <w:tcPr>
            <w:tcW w:w="5103" w:type="dxa"/>
          </w:tcPr>
          <w:p w:rsidR="00641FB0" w:rsidRPr="00CE6F35" w:rsidRDefault="002B27A4"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5’-GCCAGGGCAATGATGAATGAG</w:t>
            </w:r>
            <w:r w:rsidR="00641FB0" w:rsidRPr="00CE6F35">
              <w:rPr>
                <w:rFonts w:ascii="Book Antiqua" w:hAnsi="Book Antiqua"/>
                <w:sz w:val="24"/>
                <w:szCs w:val="24"/>
              </w:rPr>
              <w:t>-3’</w:t>
            </w:r>
          </w:p>
        </w:tc>
        <w:tc>
          <w:tcPr>
            <w:tcW w:w="1946" w:type="dxa"/>
            <w:vMerge w:val="restart"/>
            <w:vAlign w:val="center"/>
          </w:tcPr>
          <w:p w:rsidR="00641FB0" w:rsidRPr="00CE6F35" w:rsidRDefault="00641FB0"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847 bp</w:t>
            </w:r>
          </w:p>
        </w:tc>
        <w:tc>
          <w:tcPr>
            <w:tcW w:w="1597" w:type="dxa"/>
            <w:vMerge w:val="restart"/>
            <w:vAlign w:val="center"/>
          </w:tcPr>
          <w:p w:rsidR="00641FB0" w:rsidRPr="00CE6F35" w:rsidRDefault="00641FB0"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BsrI</w:t>
            </w:r>
          </w:p>
        </w:tc>
        <w:tc>
          <w:tcPr>
            <w:tcW w:w="2127" w:type="dxa"/>
            <w:vMerge w:val="restart"/>
            <w:vAlign w:val="center"/>
          </w:tcPr>
          <w:p w:rsidR="00641FB0" w:rsidRPr="00CE6F35" w:rsidRDefault="00641FB0"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TG: 645</w:t>
            </w:r>
            <w:r w:rsidR="002B27A4" w:rsidRPr="00CE6F35">
              <w:rPr>
                <w:rFonts w:ascii="Book Antiqua" w:hAnsi="Book Antiqua" w:hint="eastAsia"/>
                <w:sz w:val="24"/>
                <w:szCs w:val="24"/>
              </w:rPr>
              <w:t xml:space="preserve"> </w:t>
            </w:r>
            <w:r w:rsidRPr="00CE6F35">
              <w:rPr>
                <w:rFonts w:ascii="Book Antiqua" w:hAnsi="Book Antiqua"/>
                <w:sz w:val="24"/>
                <w:szCs w:val="24"/>
              </w:rPr>
              <w:t>bp</w:t>
            </w:r>
            <w:r w:rsidR="002B27A4" w:rsidRPr="00CE6F35">
              <w:rPr>
                <w:rFonts w:ascii="Book Antiqua" w:hAnsi="Book Antiqua" w:hint="eastAsia"/>
                <w:sz w:val="24"/>
                <w:szCs w:val="24"/>
              </w:rPr>
              <w:t xml:space="preserve"> </w:t>
            </w:r>
            <w:r w:rsidRPr="00CE6F35">
              <w:rPr>
                <w:rFonts w:ascii="Book Antiqua" w:hAnsi="Book Antiqua"/>
                <w:sz w:val="24"/>
                <w:szCs w:val="24"/>
              </w:rPr>
              <w:t>+</w:t>
            </w:r>
            <w:r w:rsidR="002B27A4" w:rsidRPr="00CE6F35">
              <w:rPr>
                <w:rFonts w:ascii="Book Antiqua" w:hAnsi="Book Antiqua" w:hint="eastAsia"/>
                <w:sz w:val="24"/>
                <w:szCs w:val="24"/>
              </w:rPr>
              <w:t xml:space="preserve"> </w:t>
            </w:r>
            <w:r w:rsidRPr="00CE6F35">
              <w:rPr>
                <w:rFonts w:ascii="Book Antiqua" w:hAnsi="Book Antiqua"/>
                <w:sz w:val="24"/>
                <w:szCs w:val="24"/>
              </w:rPr>
              <w:t>202</w:t>
            </w:r>
            <w:r w:rsidR="002B27A4" w:rsidRPr="00CE6F35">
              <w:rPr>
                <w:rFonts w:ascii="Book Antiqua" w:hAnsi="Book Antiqua" w:hint="eastAsia"/>
                <w:sz w:val="24"/>
                <w:szCs w:val="24"/>
              </w:rPr>
              <w:t xml:space="preserve"> </w:t>
            </w:r>
            <w:r w:rsidRPr="00CE6F35">
              <w:rPr>
                <w:rFonts w:ascii="Book Antiqua" w:hAnsi="Book Antiqua"/>
                <w:sz w:val="24"/>
                <w:szCs w:val="24"/>
              </w:rPr>
              <w:t>bp</w:t>
            </w:r>
          </w:p>
        </w:tc>
      </w:tr>
      <w:tr w:rsidR="00641FB0" w:rsidRPr="00CE6F35" w:rsidTr="00522AA8">
        <w:tc>
          <w:tcPr>
            <w:tcW w:w="1101" w:type="dxa"/>
          </w:tcPr>
          <w:p w:rsidR="00641FB0" w:rsidRPr="00CE6F35" w:rsidRDefault="00641FB0" w:rsidP="002B27A4">
            <w:pPr>
              <w:adjustRightInd w:val="0"/>
              <w:snapToGrid w:val="0"/>
              <w:spacing w:line="360" w:lineRule="auto"/>
              <w:rPr>
                <w:rFonts w:ascii="Book Antiqua" w:hAnsi="Book Antiqua"/>
                <w:sz w:val="24"/>
                <w:szCs w:val="24"/>
              </w:rPr>
            </w:pPr>
            <w:r w:rsidRPr="00CE6F35">
              <w:rPr>
                <w:rFonts w:ascii="Book Antiqua" w:hAnsi="Book Antiqua"/>
                <w:sz w:val="24"/>
                <w:szCs w:val="24"/>
              </w:rPr>
              <w:t>P1527R</w:t>
            </w:r>
          </w:p>
        </w:tc>
        <w:tc>
          <w:tcPr>
            <w:tcW w:w="5103" w:type="dxa"/>
          </w:tcPr>
          <w:p w:rsidR="00641FB0" w:rsidRPr="00CE6F35" w:rsidRDefault="00641FB0" w:rsidP="002B27A4">
            <w:pPr>
              <w:adjustRightInd w:val="0"/>
              <w:snapToGrid w:val="0"/>
              <w:spacing w:line="360" w:lineRule="auto"/>
              <w:jc w:val="center"/>
              <w:rPr>
                <w:rFonts w:ascii="Book Antiqua" w:hAnsi="Book Antiqua"/>
                <w:sz w:val="24"/>
                <w:szCs w:val="24"/>
              </w:rPr>
            </w:pPr>
            <w:r w:rsidRPr="00CE6F35">
              <w:rPr>
                <w:rFonts w:ascii="Book Antiqua" w:hAnsi="Book Antiqua"/>
                <w:sz w:val="24"/>
                <w:szCs w:val="24"/>
              </w:rPr>
              <w:t>5’-TGTGTCGAGGCAGTTGTAAAAGAT-3’</w:t>
            </w:r>
          </w:p>
        </w:tc>
        <w:tc>
          <w:tcPr>
            <w:tcW w:w="1946" w:type="dxa"/>
            <w:vMerge/>
            <w:vAlign w:val="center"/>
          </w:tcPr>
          <w:p w:rsidR="00641FB0" w:rsidRPr="00CE6F35" w:rsidRDefault="00641FB0" w:rsidP="002B27A4">
            <w:pPr>
              <w:adjustRightInd w:val="0"/>
              <w:snapToGrid w:val="0"/>
              <w:spacing w:line="360" w:lineRule="auto"/>
              <w:jc w:val="center"/>
              <w:rPr>
                <w:rFonts w:ascii="Book Antiqua" w:hAnsi="Book Antiqua"/>
                <w:sz w:val="24"/>
                <w:szCs w:val="24"/>
              </w:rPr>
            </w:pPr>
          </w:p>
        </w:tc>
        <w:tc>
          <w:tcPr>
            <w:tcW w:w="1597" w:type="dxa"/>
            <w:vMerge/>
            <w:vAlign w:val="center"/>
          </w:tcPr>
          <w:p w:rsidR="00641FB0" w:rsidRPr="00CE6F35" w:rsidRDefault="00641FB0" w:rsidP="002B27A4">
            <w:pPr>
              <w:adjustRightInd w:val="0"/>
              <w:snapToGrid w:val="0"/>
              <w:spacing w:line="360" w:lineRule="auto"/>
              <w:jc w:val="center"/>
              <w:rPr>
                <w:rFonts w:ascii="Book Antiqua" w:hAnsi="Book Antiqua"/>
                <w:sz w:val="24"/>
                <w:szCs w:val="24"/>
              </w:rPr>
            </w:pPr>
          </w:p>
        </w:tc>
        <w:tc>
          <w:tcPr>
            <w:tcW w:w="2127" w:type="dxa"/>
            <w:vMerge/>
            <w:vAlign w:val="center"/>
          </w:tcPr>
          <w:p w:rsidR="00641FB0" w:rsidRPr="00CE6F35" w:rsidRDefault="00641FB0" w:rsidP="002B27A4">
            <w:pPr>
              <w:adjustRightInd w:val="0"/>
              <w:snapToGrid w:val="0"/>
              <w:spacing w:line="360" w:lineRule="auto"/>
              <w:jc w:val="center"/>
              <w:rPr>
                <w:rFonts w:ascii="Book Antiqua" w:hAnsi="Book Antiqua"/>
                <w:sz w:val="24"/>
                <w:szCs w:val="24"/>
              </w:rPr>
            </w:pPr>
          </w:p>
        </w:tc>
      </w:tr>
    </w:tbl>
    <w:p w:rsidR="00641FB0" w:rsidRPr="00CE6F35" w:rsidRDefault="00641FB0" w:rsidP="00F24268">
      <w:pPr>
        <w:adjustRightInd w:val="0"/>
        <w:snapToGrid w:val="0"/>
        <w:rPr>
          <w:rFonts w:ascii="Book Antiqua" w:hAnsi="Book Antiqua"/>
          <w:szCs w:val="24"/>
        </w:rPr>
      </w:pPr>
    </w:p>
    <w:p w:rsidR="00641FB0" w:rsidRPr="00CE6F35" w:rsidRDefault="00641FB0" w:rsidP="00F24268">
      <w:pPr>
        <w:adjustRightInd w:val="0"/>
        <w:snapToGrid w:val="0"/>
        <w:rPr>
          <w:rFonts w:ascii="Book Antiqua" w:hAnsi="Book Antiqua"/>
          <w:b/>
          <w:szCs w:val="24"/>
        </w:rPr>
      </w:pPr>
    </w:p>
    <w:p w:rsidR="00641FB0" w:rsidRPr="00CE6F35" w:rsidRDefault="00641FB0" w:rsidP="00F24268">
      <w:pPr>
        <w:widowControl/>
        <w:adjustRightInd w:val="0"/>
        <w:snapToGrid w:val="0"/>
        <w:rPr>
          <w:rFonts w:ascii="Book Antiqua" w:hAnsi="Book Antiqua"/>
          <w:b/>
          <w:szCs w:val="24"/>
        </w:rPr>
      </w:pPr>
      <w:r w:rsidRPr="00CE6F35">
        <w:rPr>
          <w:rFonts w:ascii="Book Antiqua" w:hAnsi="Book Antiqua"/>
          <w:b/>
          <w:szCs w:val="24"/>
        </w:rPr>
        <w:br w:type="page"/>
      </w:r>
    </w:p>
    <w:p w:rsidR="00641FB0" w:rsidRPr="00CE6F35" w:rsidRDefault="00641FB0" w:rsidP="00F24268">
      <w:pPr>
        <w:adjustRightInd w:val="0"/>
        <w:snapToGrid w:val="0"/>
        <w:rPr>
          <w:rFonts w:ascii="Book Antiqua" w:hAnsi="Book Antiqua"/>
          <w:b/>
          <w:szCs w:val="24"/>
        </w:rPr>
      </w:pPr>
      <w:r w:rsidRPr="00CE6F35">
        <w:rPr>
          <w:rFonts w:ascii="Book Antiqua" w:hAnsi="Book Antiqua"/>
          <w:b/>
          <w:szCs w:val="24"/>
        </w:rPr>
        <w:lastRenderedPageBreak/>
        <w:t>Table 2 Characteristics of subjects included</w:t>
      </w:r>
      <w:r w:rsidR="002B27A4" w:rsidRPr="00CE6F35">
        <w:rPr>
          <w:rFonts w:ascii="Book Antiqua" w:hAnsi="Book Antiqua"/>
          <w:b/>
          <w:bCs/>
          <w:kern w:val="0"/>
          <w:szCs w:val="24"/>
        </w:rPr>
        <w:t xml:space="preserve"> </w:t>
      </w:r>
      <w:r w:rsidR="002B27A4" w:rsidRPr="00CE6F35">
        <w:rPr>
          <w:rFonts w:ascii="Book Antiqua" w:hAnsi="Book Antiqua"/>
          <w:b/>
          <w:bCs/>
          <w:i/>
          <w:szCs w:val="24"/>
        </w:rPr>
        <w:t>n</w:t>
      </w:r>
      <w:r w:rsidR="002B27A4" w:rsidRPr="00CE6F35">
        <w:rPr>
          <w:rFonts w:ascii="Book Antiqua" w:hAnsi="Book Antiqua" w:hint="eastAsia"/>
          <w:b/>
          <w:bCs/>
          <w:szCs w:val="24"/>
        </w:rPr>
        <w:t xml:space="preserve"> </w:t>
      </w:r>
      <w:r w:rsidR="002B27A4" w:rsidRPr="00CE6F35">
        <w:rPr>
          <w:rFonts w:ascii="Book Antiqua" w:hAnsi="Book Antiqua"/>
          <w:b/>
          <w:bCs/>
          <w:szCs w:val="24"/>
        </w:rPr>
        <w:t>(%)</w:t>
      </w:r>
    </w:p>
    <w:tbl>
      <w:tblPr>
        <w:tblW w:w="0" w:type="auto"/>
        <w:tblBorders>
          <w:top w:val="single" w:sz="12" w:space="0" w:color="008000"/>
          <w:bottom w:val="single" w:sz="12" w:space="0" w:color="008000"/>
        </w:tblBorders>
        <w:tblLook w:val="00A0" w:firstRow="1" w:lastRow="0" w:firstColumn="1" w:lastColumn="0" w:noHBand="0" w:noVBand="0"/>
      </w:tblPr>
      <w:tblGrid>
        <w:gridCol w:w="3619"/>
        <w:gridCol w:w="1776"/>
        <w:gridCol w:w="1776"/>
        <w:gridCol w:w="1776"/>
        <w:gridCol w:w="1082"/>
      </w:tblGrid>
      <w:tr w:rsidR="00641FB0" w:rsidRPr="00CE6F35" w:rsidTr="00522AA8">
        <w:trPr>
          <w:trHeight w:val="451"/>
        </w:trPr>
        <w:tc>
          <w:tcPr>
            <w:tcW w:w="0" w:type="auto"/>
            <w:tcBorders>
              <w:top w:val="single" w:sz="12" w:space="0" w:color="008000"/>
              <w:bottom w:val="single" w:sz="6" w:space="0" w:color="008000"/>
            </w:tcBorders>
            <w:noWrap/>
            <w:vAlign w:val="center"/>
          </w:tcPr>
          <w:p w:rsidR="00641FB0" w:rsidRPr="00CE6F35" w:rsidRDefault="00641FB0" w:rsidP="00F24268">
            <w:pPr>
              <w:widowControl/>
              <w:adjustRightInd w:val="0"/>
              <w:snapToGrid w:val="0"/>
              <w:rPr>
                <w:rFonts w:ascii="Book Antiqua" w:hAnsi="Book Antiqua"/>
                <w:kern w:val="0"/>
                <w:szCs w:val="24"/>
              </w:rPr>
            </w:pPr>
          </w:p>
        </w:tc>
        <w:tc>
          <w:tcPr>
            <w:tcW w:w="0" w:type="auto"/>
            <w:tcBorders>
              <w:top w:val="single" w:sz="12" w:space="0" w:color="008000"/>
              <w:bottom w:val="single" w:sz="6" w:space="0" w:color="008000"/>
            </w:tcBorders>
            <w:noWrap/>
            <w:vAlign w:val="center"/>
          </w:tcPr>
          <w:p w:rsidR="00641FB0" w:rsidRPr="00CE6F35" w:rsidRDefault="00641FB0" w:rsidP="002B27A4">
            <w:pPr>
              <w:widowControl/>
              <w:adjustRightInd w:val="0"/>
              <w:snapToGrid w:val="0"/>
              <w:jc w:val="center"/>
              <w:rPr>
                <w:rFonts w:ascii="Book Antiqua" w:hAnsi="Book Antiqua"/>
                <w:b/>
                <w:bCs/>
                <w:kern w:val="0"/>
                <w:szCs w:val="24"/>
              </w:rPr>
            </w:pPr>
            <w:r w:rsidRPr="00CE6F35">
              <w:rPr>
                <w:rFonts w:ascii="Book Antiqua" w:hAnsi="Book Antiqua"/>
                <w:b/>
                <w:bCs/>
                <w:kern w:val="0"/>
                <w:szCs w:val="24"/>
              </w:rPr>
              <w:t>Cancer</w:t>
            </w:r>
          </w:p>
        </w:tc>
        <w:tc>
          <w:tcPr>
            <w:tcW w:w="0" w:type="auto"/>
            <w:tcBorders>
              <w:top w:val="single" w:sz="12" w:space="0" w:color="008000"/>
              <w:bottom w:val="single" w:sz="6" w:space="0" w:color="008000"/>
            </w:tcBorders>
            <w:noWrap/>
            <w:vAlign w:val="center"/>
          </w:tcPr>
          <w:p w:rsidR="00641FB0" w:rsidRPr="00CE6F35" w:rsidRDefault="00641FB0" w:rsidP="002B27A4">
            <w:pPr>
              <w:widowControl/>
              <w:adjustRightInd w:val="0"/>
              <w:snapToGrid w:val="0"/>
              <w:jc w:val="center"/>
              <w:rPr>
                <w:rFonts w:ascii="Book Antiqua" w:hAnsi="Book Antiqua"/>
                <w:b/>
                <w:bCs/>
                <w:kern w:val="0"/>
                <w:szCs w:val="24"/>
              </w:rPr>
            </w:pPr>
            <w:r w:rsidRPr="00CE6F35">
              <w:rPr>
                <w:rFonts w:ascii="Book Antiqua" w:hAnsi="Book Antiqua"/>
                <w:b/>
                <w:bCs/>
                <w:kern w:val="0"/>
                <w:szCs w:val="24"/>
              </w:rPr>
              <w:t>Atrophy</w:t>
            </w:r>
          </w:p>
        </w:tc>
        <w:tc>
          <w:tcPr>
            <w:tcW w:w="0" w:type="auto"/>
            <w:tcBorders>
              <w:top w:val="single" w:sz="12" w:space="0" w:color="008000"/>
              <w:bottom w:val="single" w:sz="6" w:space="0" w:color="008000"/>
            </w:tcBorders>
            <w:vAlign w:val="center"/>
          </w:tcPr>
          <w:p w:rsidR="00641FB0" w:rsidRPr="00CE6F35" w:rsidRDefault="00641FB0" w:rsidP="002B27A4">
            <w:pPr>
              <w:widowControl/>
              <w:adjustRightInd w:val="0"/>
              <w:snapToGrid w:val="0"/>
              <w:jc w:val="center"/>
              <w:rPr>
                <w:rFonts w:ascii="Book Antiqua" w:hAnsi="Book Antiqua"/>
                <w:b/>
                <w:bCs/>
                <w:iCs/>
                <w:kern w:val="0"/>
                <w:szCs w:val="24"/>
              </w:rPr>
            </w:pPr>
            <w:r w:rsidRPr="00CE6F35">
              <w:rPr>
                <w:rFonts w:ascii="Book Antiqua" w:hAnsi="Book Antiqua"/>
                <w:b/>
                <w:bCs/>
                <w:iCs/>
                <w:kern w:val="0"/>
                <w:szCs w:val="24"/>
              </w:rPr>
              <w:t>Controls</w:t>
            </w:r>
          </w:p>
        </w:tc>
        <w:tc>
          <w:tcPr>
            <w:tcW w:w="0" w:type="auto"/>
            <w:tcBorders>
              <w:top w:val="single" w:sz="12" w:space="0" w:color="008000"/>
              <w:bottom w:val="single" w:sz="6" w:space="0" w:color="008000"/>
            </w:tcBorders>
            <w:noWrap/>
            <w:vAlign w:val="center"/>
          </w:tcPr>
          <w:p w:rsidR="00641FB0" w:rsidRPr="00CE6F35" w:rsidRDefault="00641FB0" w:rsidP="002B27A4">
            <w:pPr>
              <w:widowControl/>
              <w:adjustRightInd w:val="0"/>
              <w:snapToGrid w:val="0"/>
              <w:jc w:val="center"/>
              <w:rPr>
                <w:rFonts w:ascii="Book Antiqua" w:hAnsi="Book Antiqua"/>
                <w:b/>
                <w:bCs/>
                <w:i/>
                <w:iCs/>
                <w:kern w:val="0"/>
                <w:szCs w:val="24"/>
              </w:rPr>
            </w:pPr>
            <w:r w:rsidRPr="00CE6F35">
              <w:rPr>
                <w:rFonts w:ascii="Book Antiqua" w:hAnsi="Book Antiqua"/>
                <w:b/>
                <w:bCs/>
                <w:i/>
                <w:iCs/>
                <w:kern w:val="0"/>
                <w:szCs w:val="24"/>
              </w:rPr>
              <w:t>P</w:t>
            </w:r>
            <w:r w:rsidR="002B27A4" w:rsidRPr="00CE6F35">
              <w:rPr>
                <w:rFonts w:ascii="Book Antiqua" w:hAnsi="Book Antiqua" w:hint="eastAsia"/>
                <w:b/>
                <w:bCs/>
                <w:i/>
                <w:iCs/>
                <w:kern w:val="0"/>
                <w:szCs w:val="24"/>
              </w:rPr>
              <w:t xml:space="preserve"> </w:t>
            </w:r>
            <w:r w:rsidR="002B27A4" w:rsidRPr="00CE6F35">
              <w:rPr>
                <w:rFonts w:ascii="Book Antiqua" w:hAnsi="Book Antiqua" w:hint="eastAsia"/>
                <w:b/>
                <w:bCs/>
                <w:iCs/>
                <w:kern w:val="0"/>
                <w:szCs w:val="24"/>
              </w:rPr>
              <w:t>value</w:t>
            </w:r>
          </w:p>
        </w:tc>
      </w:tr>
      <w:tr w:rsidR="00641FB0" w:rsidRPr="00CE6F35" w:rsidTr="00522AA8">
        <w:trPr>
          <w:trHeight w:val="375"/>
        </w:trPr>
        <w:tc>
          <w:tcPr>
            <w:tcW w:w="0" w:type="auto"/>
            <w:noWrap/>
            <w:vAlign w:val="center"/>
          </w:tcPr>
          <w:p w:rsidR="00641FB0" w:rsidRPr="00CE6F35" w:rsidRDefault="002B27A4" w:rsidP="002B27A4">
            <w:pPr>
              <w:widowControl/>
              <w:adjustRightInd w:val="0"/>
              <w:snapToGrid w:val="0"/>
              <w:jc w:val="left"/>
              <w:rPr>
                <w:rFonts w:ascii="Book Antiqua" w:hAnsi="Book Antiqua"/>
                <w:i/>
                <w:kern w:val="0"/>
                <w:szCs w:val="24"/>
              </w:rPr>
            </w:pPr>
            <w:r w:rsidRPr="00CE6F35">
              <w:rPr>
                <w:rFonts w:ascii="Book Antiqua" w:hAnsi="Book Antiqua" w:hint="eastAsia"/>
                <w:i/>
                <w:kern w:val="0"/>
                <w:szCs w:val="24"/>
              </w:rPr>
              <w:t>n</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679</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111</w:t>
            </w: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976</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jc w:val="left"/>
              <w:rPr>
                <w:rFonts w:ascii="Book Antiqua" w:hAnsi="Book Antiqua"/>
                <w:kern w:val="0"/>
                <w:szCs w:val="24"/>
              </w:rPr>
            </w:pPr>
            <w:r w:rsidRPr="00CE6F35">
              <w:rPr>
                <w:rFonts w:ascii="Book Antiqua" w:hAnsi="Book Antiqua"/>
                <w:kern w:val="0"/>
                <w:szCs w:val="24"/>
              </w:rPr>
              <w:t>Gender</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2B27A4"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Male</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487 (71.7)</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66 (59.5)</w:t>
            </w: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578 (59.2)</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&lt;</w:t>
            </w:r>
            <w:r w:rsidR="002B27A4" w:rsidRPr="00CE6F35">
              <w:rPr>
                <w:rFonts w:ascii="Book Antiqua" w:hAnsi="Book Antiqua" w:hint="eastAsia"/>
                <w:kern w:val="0"/>
                <w:szCs w:val="24"/>
              </w:rPr>
              <w:t xml:space="preserve"> </w:t>
            </w:r>
            <w:r w:rsidRPr="00CE6F35">
              <w:rPr>
                <w:rFonts w:ascii="Book Antiqua" w:hAnsi="Book Antiqua"/>
                <w:kern w:val="0"/>
                <w:szCs w:val="24"/>
              </w:rPr>
              <w:t>0.0001</w:t>
            </w:r>
          </w:p>
        </w:tc>
      </w:tr>
      <w:tr w:rsidR="00641FB0" w:rsidRPr="00CE6F35" w:rsidTr="00522AA8">
        <w:trPr>
          <w:trHeight w:val="375"/>
        </w:trPr>
        <w:tc>
          <w:tcPr>
            <w:tcW w:w="0" w:type="auto"/>
            <w:noWrap/>
            <w:vAlign w:val="center"/>
          </w:tcPr>
          <w:p w:rsidR="00641FB0" w:rsidRPr="00CE6F35" w:rsidRDefault="002B27A4"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Female</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192 (28.3)</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45 (40.5)</w:t>
            </w: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398 (40.8)</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jc w:val="left"/>
              <w:rPr>
                <w:rFonts w:ascii="Book Antiqua" w:hAnsi="Book Antiqua"/>
                <w:kern w:val="0"/>
                <w:szCs w:val="24"/>
              </w:rPr>
            </w:pPr>
            <w:r w:rsidRPr="00CE6F35">
              <w:rPr>
                <w:rFonts w:ascii="Book Antiqua" w:hAnsi="Book Antiqua"/>
                <w:kern w:val="0"/>
                <w:szCs w:val="24"/>
              </w:rPr>
              <w:t>Age</w:t>
            </w:r>
            <w:r w:rsidR="002B27A4" w:rsidRPr="00CE6F35">
              <w:rPr>
                <w:rFonts w:ascii="Book Antiqua" w:hAnsi="Book Antiqua" w:hint="eastAsia"/>
                <w:kern w:val="0"/>
                <w:szCs w:val="24"/>
              </w:rPr>
              <w:t xml:space="preserve"> (yr)</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61.0 (54.0-70.0)</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50.0 (47.0-57.0)</w:t>
            </w: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48.5 (44.0-55.0)</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&lt;</w:t>
            </w:r>
            <w:r w:rsidR="002B27A4" w:rsidRPr="00CE6F35">
              <w:rPr>
                <w:rFonts w:ascii="Book Antiqua" w:hAnsi="Book Antiqua" w:hint="eastAsia"/>
                <w:kern w:val="0"/>
                <w:szCs w:val="24"/>
              </w:rPr>
              <w:t xml:space="preserve"> </w:t>
            </w:r>
            <w:r w:rsidRPr="00CE6F35">
              <w:rPr>
                <w:rFonts w:ascii="Book Antiqua" w:hAnsi="Book Antiqua"/>
                <w:kern w:val="0"/>
                <w:szCs w:val="24"/>
              </w:rPr>
              <w:t>0.0001</w:t>
            </w: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w:t>
            </w:r>
            <w:r w:rsidR="002B27A4" w:rsidRPr="00CE6F35">
              <w:rPr>
                <w:rFonts w:ascii="Book Antiqua" w:hAnsi="Book Antiqua" w:hint="eastAsia"/>
                <w:kern w:val="0"/>
                <w:szCs w:val="24"/>
              </w:rPr>
              <w:t xml:space="preserve"> </w:t>
            </w:r>
            <w:r w:rsidRPr="00CE6F35">
              <w:rPr>
                <w:rFonts w:ascii="Book Antiqua" w:hAnsi="Book Antiqua"/>
                <w:kern w:val="0"/>
                <w:szCs w:val="24"/>
              </w:rPr>
              <w:t>55</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204 (30.0)</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76 (68.5)</w:t>
            </w: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756 (77.5)</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&lt;</w:t>
            </w:r>
            <w:r w:rsidR="002B27A4" w:rsidRPr="00CE6F35">
              <w:rPr>
                <w:rFonts w:ascii="Book Antiqua" w:hAnsi="Book Antiqua" w:hint="eastAsia"/>
                <w:kern w:val="0"/>
                <w:szCs w:val="24"/>
              </w:rPr>
              <w:t xml:space="preserve"> </w:t>
            </w:r>
            <w:r w:rsidRPr="00CE6F35">
              <w:rPr>
                <w:rFonts w:ascii="Book Antiqua" w:hAnsi="Book Antiqua"/>
                <w:kern w:val="0"/>
                <w:szCs w:val="24"/>
              </w:rPr>
              <w:t>0.0001</w:t>
            </w: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55-70</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310 (45.7)</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28 (25.2)</w:t>
            </w: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181 (18.5)</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&gt;</w:t>
            </w:r>
            <w:r w:rsidR="002B27A4" w:rsidRPr="00CE6F35">
              <w:rPr>
                <w:rFonts w:ascii="Book Antiqua" w:hAnsi="Book Antiqua" w:hint="eastAsia"/>
                <w:kern w:val="0"/>
                <w:szCs w:val="24"/>
              </w:rPr>
              <w:t xml:space="preserve"> </w:t>
            </w:r>
            <w:r w:rsidRPr="00CE6F35">
              <w:rPr>
                <w:rFonts w:ascii="Book Antiqua" w:hAnsi="Book Antiqua"/>
                <w:kern w:val="0"/>
                <w:szCs w:val="24"/>
              </w:rPr>
              <w:t>70</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165 (24.3)</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7 (6.3)</w:t>
            </w: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39 (4.0)</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jc w:val="left"/>
              <w:rPr>
                <w:rFonts w:ascii="Book Antiqua" w:hAnsi="Book Antiqua"/>
                <w:i/>
                <w:iCs/>
                <w:kern w:val="0"/>
                <w:szCs w:val="24"/>
              </w:rPr>
            </w:pPr>
            <w:r w:rsidRPr="00CE6F35">
              <w:rPr>
                <w:rFonts w:ascii="Book Antiqua" w:eastAsia="Times New Roman" w:hAnsi="Book Antiqua"/>
                <w:i/>
                <w:kern w:val="0"/>
                <w:szCs w:val="24"/>
              </w:rPr>
              <w:t>H. pylori</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2B27A4"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Positive</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453 (67.8)</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84 (75.7)</w:t>
            </w: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478 (49.7)</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&lt;</w:t>
            </w:r>
            <w:r w:rsidR="002B27A4" w:rsidRPr="00CE6F35">
              <w:rPr>
                <w:rFonts w:ascii="Book Antiqua" w:hAnsi="Book Antiqua" w:hint="eastAsia"/>
                <w:kern w:val="0"/>
                <w:szCs w:val="24"/>
              </w:rPr>
              <w:t xml:space="preserve"> </w:t>
            </w:r>
            <w:r w:rsidRPr="00CE6F35">
              <w:rPr>
                <w:rFonts w:ascii="Book Antiqua" w:hAnsi="Book Antiqua"/>
                <w:kern w:val="0"/>
                <w:szCs w:val="24"/>
              </w:rPr>
              <w:t>0.0001</w:t>
            </w:r>
          </w:p>
        </w:tc>
      </w:tr>
      <w:tr w:rsidR="00641FB0" w:rsidRPr="00CE6F35" w:rsidTr="00522AA8">
        <w:trPr>
          <w:trHeight w:val="375"/>
        </w:trPr>
        <w:tc>
          <w:tcPr>
            <w:tcW w:w="0" w:type="auto"/>
            <w:noWrap/>
            <w:vAlign w:val="center"/>
          </w:tcPr>
          <w:p w:rsidR="00641FB0" w:rsidRPr="00CE6F35" w:rsidRDefault="002B27A4"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Negative</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215 (32.2)</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27 (24.3)</w:t>
            </w: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kern w:val="0"/>
                <w:szCs w:val="24"/>
              </w:rPr>
              <w:t>483 (50.3)</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jc w:val="left"/>
              <w:rPr>
                <w:rFonts w:ascii="Book Antiqua" w:hAnsi="Book Antiqua"/>
                <w:kern w:val="0"/>
                <w:szCs w:val="24"/>
              </w:rPr>
            </w:pPr>
            <w:r w:rsidRPr="00CE6F35">
              <w:rPr>
                <w:rFonts w:ascii="Book Antiqua" w:hAnsi="Book Antiqua"/>
                <w:kern w:val="0"/>
                <w:szCs w:val="24"/>
              </w:rPr>
              <w:t>Differentiation</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2B27A4"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Poor</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szCs w:val="24"/>
              </w:rPr>
              <w:t>437 (68.4)</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Moderate to well</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szCs w:val="24"/>
              </w:rPr>
              <w:t>202 (31.6)</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jc w:val="left"/>
              <w:rPr>
                <w:rFonts w:ascii="Book Antiqua" w:hAnsi="Book Antiqua"/>
                <w:kern w:val="0"/>
                <w:szCs w:val="24"/>
              </w:rPr>
            </w:pPr>
            <w:r w:rsidRPr="00CE6F35">
              <w:rPr>
                <w:rFonts w:ascii="Book Antiqua" w:hAnsi="Book Antiqua"/>
                <w:kern w:val="0"/>
                <w:szCs w:val="24"/>
              </w:rPr>
              <w:t xml:space="preserve">Pathologic </w:t>
            </w:r>
            <w:r w:rsidR="002B27A4" w:rsidRPr="00CE6F35">
              <w:rPr>
                <w:rFonts w:ascii="Book Antiqua" w:hAnsi="Book Antiqua"/>
                <w:kern w:val="0"/>
                <w:szCs w:val="24"/>
              </w:rPr>
              <w:t>type</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Tubular adenocarcinoma</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szCs w:val="24"/>
              </w:rPr>
              <w:t>545 (82.2)</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lastRenderedPageBreak/>
              <w:t>Signet ring cell</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szCs w:val="24"/>
              </w:rPr>
              <w:t>50 (7.5)</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other</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szCs w:val="24"/>
              </w:rPr>
              <w:t>68 (10.3)</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jc w:val="left"/>
              <w:rPr>
                <w:rFonts w:ascii="Book Antiqua" w:hAnsi="Book Antiqua"/>
                <w:kern w:val="0"/>
                <w:szCs w:val="24"/>
              </w:rPr>
            </w:pPr>
            <w:r w:rsidRPr="00CE6F35">
              <w:rPr>
                <w:rFonts w:ascii="Book Antiqua" w:hAnsi="Book Antiqua"/>
                <w:kern w:val="0"/>
                <w:szCs w:val="24"/>
              </w:rPr>
              <w:t>TNM stage</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ind w:firstLineChars="50" w:firstLine="120"/>
              <w:jc w:val="left"/>
              <w:rPr>
                <w:rFonts w:ascii="Book Antiqua" w:hAnsi="Book Antiqua"/>
                <w:kern w:val="0"/>
                <w:szCs w:val="24"/>
              </w:rPr>
            </w:pPr>
            <w:r w:rsidRPr="00CE6F35">
              <w:rPr>
                <w:rFonts w:ascii="Book Antiqua" w:eastAsia="SimSun" w:hAnsi="Book Antiqua" w:cs="SimSun"/>
                <w:kern w:val="0"/>
                <w:szCs w:val="24"/>
              </w:rPr>
              <w:t>I</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szCs w:val="24"/>
              </w:rPr>
              <w:t>97 (15.0)</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II</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szCs w:val="24"/>
              </w:rPr>
              <w:t>227 (35.1)</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III</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szCs w:val="24"/>
              </w:rPr>
              <w:t>224 (34.6)</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IV</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szCs w:val="24"/>
              </w:rPr>
              <w:t>99 (15.3)</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641FB0" w:rsidP="002B27A4">
            <w:pPr>
              <w:widowControl/>
              <w:adjustRightInd w:val="0"/>
              <w:snapToGrid w:val="0"/>
              <w:jc w:val="left"/>
              <w:rPr>
                <w:rFonts w:ascii="Book Antiqua" w:hAnsi="Book Antiqua"/>
                <w:kern w:val="0"/>
                <w:szCs w:val="24"/>
              </w:rPr>
            </w:pPr>
            <w:r w:rsidRPr="00CE6F35">
              <w:rPr>
                <w:rFonts w:ascii="Book Antiqua" w:hAnsi="Book Antiqua"/>
                <w:kern w:val="0"/>
                <w:szCs w:val="24"/>
              </w:rPr>
              <w:t>Distant metastasis</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2B27A4"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Positive</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szCs w:val="24"/>
              </w:rPr>
              <w:t>573 (85.3)</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vAlign w:val="center"/>
          </w:tcPr>
          <w:p w:rsidR="00641FB0" w:rsidRPr="00CE6F35" w:rsidRDefault="002B27A4" w:rsidP="002B27A4">
            <w:pPr>
              <w:widowControl/>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Negative</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szCs w:val="24"/>
              </w:rPr>
              <w:t>99 (14.7)</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tcPr>
          <w:p w:rsidR="00641FB0" w:rsidRPr="00CE6F35" w:rsidRDefault="002B27A4" w:rsidP="002B27A4">
            <w:pPr>
              <w:widowControl/>
              <w:adjustRightInd w:val="0"/>
              <w:snapToGrid w:val="0"/>
              <w:jc w:val="left"/>
              <w:rPr>
                <w:rFonts w:ascii="Book Antiqua" w:hAnsi="Book Antiqua"/>
                <w:kern w:val="0"/>
                <w:szCs w:val="24"/>
              </w:rPr>
            </w:pPr>
            <w:r w:rsidRPr="00CE6F35">
              <w:rPr>
                <w:rFonts w:ascii="Book Antiqua" w:eastAsia="SimSun" w:hAnsi="Book Antiqua" w:cs="SimSun"/>
                <w:szCs w:val="24"/>
              </w:rPr>
              <w:t>Post</w:t>
            </w:r>
            <w:r w:rsidR="00641FB0" w:rsidRPr="00CE6F35">
              <w:rPr>
                <w:rFonts w:ascii="Book Antiqua" w:eastAsia="SimSun" w:hAnsi="Book Antiqua" w:cs="SimSun"/>
                <w:szCs w:val="24"/>
              </w:rPr>
              <w:t>-operational Chemotherapy</w:t>
            </w:r>
          </w:p>
        </w:tc>
        <w:tc>
          <w:tcPr>
            <w:tcW w:w="0" w:type="auto"/>
            <w:noWrap/>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tcPr>
          <w:p w:rsidR="00641FB0" w:rsidRPr="00CE6F35" w:rsidRDefault="002B27A4" w:rsidP="002B27A4">
            <w:pPr>
              <w:widowControl/>
              <w:adjustRightInd w:val="0"/>
              <w:snapToGrid w:val="0"/>
              <w:ind w:firstLineChars="50" w:firstLine="120"/>
              <w:jc w:val="left"/>
              <w:rPr>
                <w:rFonts w:ascii="Book Antiqua" w:hAnsi="Book Antiqua"/>
                <w:kern w:val="0"/>
                <w:szCs w:val="24"/>
              </w:rPr>
            </w:pPr>
            <w:r w:rsidRPr="00CE6F35">
              <w:rPr>
                <w:rFonts w:ascii="Book Antiqua" w:eastAsia="SimSun" w:hAnsi="Book Antiqua" w:cs="SimSun"/>
                <w:szCs w:val="24"/>
              </w:rPr>
              <w:t>No</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szCs w:val="24"/>
              </w:rPr>
              <w:t>456 (67.2)</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tcPr>
          <w:p w:rsidR="00641FB0" w:rsidRPr="00CE6F35" w:rsidRDefault="00641FB0" w:rsidP="002B27A4">
            <w:pPr>
              <w:widowControl/>
              <w:adjustRightInd w:val="0"/>
              <w:snapToGrid w:val="0"/>
              <w:ind w:firstLineChars="50" w:firstLine="120"/>
              <w:jc w:val="left"/>
              <w:rPr>
                <w:rFonts w:ascii="Book Antiqua" w:hAnsi="Book Antiqua"/>
                <w:kern w:val="0"/>
                <w:szCs w:val="24"/>
              </w:rPr>
            </w:pPr>
            <w:r w:rsidRPr="00CE6F35">
              <w:rPr>
                <w:rFonts w:ascii="Book Antiqua" w:eastAsia="SimSun" w:hAnsi="Book Antiqua" w:cs="SimSun"/>
                <w:szCs w:val="24"/>
              </w:rPr>
              <w:t>FOLFOX-4</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szCs w:val="24"/>
              </w:rPr>
              <w:t>100 (14.7)</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tcPr>
          <w:p w:rsidR="00641FB0" w:rsidRPr="00CE6F35" w:rsidRDefault="00641FB0" w:rsidP="002B27A4">
            <w:pPr>
              <w:widowControl/>
              <w:adjustRightInd w:val="0"/>
              <w:snapToGrid w:val="0"/>
              <w:ind w:firstLineChars="50" w:firstLine="120"/>
              <w:jc w:val="left"/>
              <w:rPr>
                <w:rFonts w:ascii="Book Antiqua" w:hAnsi="Book Antiqua"/>
                <w:kern w:val="0"/>
                <w:szCs w:val="24"/>
              </w:rPr>
            </w:pPr>
            <w:r w:rsidRPr="00CE6F35">
              <w:rPr>
                <w:rFonts w:ascii="Book Antiqua" w:eastAsia="SimSun" w:hAnsi="Book Antiqua" w:cs="SimSun"/>
                <w:szCs w:val="24"/>
              </w:rPr>
              <w:t>XELOX</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szCs w:val="24"/>
              </w:rPr>
              <w:t>47 (6.9)</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r w:rsidR="00641FB0" w:rsidRPr="00CE6F35" w:rsidTr="00522AA8">
        <w:trPr>
          <w:trHeight w:val="375"/>
        </w:trPr>
        <w:tc>
          <w:tcPr>
            <w:tcW w:w="0" w:type="auto"/>
            <w:noWrap/>
          </w:tcPr>
          <w:p w:rsidR="00641FB0" w:rsidRPr="00CE6F35" w:rsidRDefault="00641FB0" w:rsidP="002B27A4">
            <w:pPr>
              <w:widowControl/>
              <w:adjustRightInd w:val="0"/>
              <w:snapToGrid w:val="0"/>
              <w:ind w:firstLineChars="50" w:firstLine="120"/>
              <w:jc w:val="left"/>
              <w:rPr>
                <w:rFonts w:ascii="Book Antiqua" w:hAnsi="Book Antiqua"/>
                <w:kern w:val="0"/>
                <w:szCs w:val="24"/>
              </w:rPr>
            </w:pPr>
            <w:r w:rsidRPr="00CE6F35">
              <w:rPr>
                <w:rFonts w:ascii="Book Antiqua" w:eastAsia="SimSun" w:hAnsi="Book Antiqua" w:cs="SimSun"/>
                <w:szCs w:val="24"/>
              </w:rPr>
              <w:t>Other</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r w:rsidRPr="00CE6F35">
              <w:rPr>
                <w:rFonts w:ascii="Book Antiqua" w:hAnsi="Book Antiqua"/>
                <w:szCs w:val="24"/>
              </w:rPr>
              <w:t>76 (11.2)</w:t>
            </w: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vAlign w:val="center"/>
          </w:tcPr>
          <w:p w:rsidR="00641FB0" w:rsidRPr="00CE6F35" w:rsidRDefault="00641FB0" w:rsidP="002B27A4">
            <w:pPr>
              <w:widowControl/>
              <w:adjustRightInd w:val="0"/>
              <w:snapToGrid w:val="0"/>
              <w:jc w:val="center"/>
              <w:rPr>
                <w:rFonts w:ascii="Book Antiqua" w:hAnsi="Book Antiqua"/>
                <w:kern w:val="0"/>
                <w:szCs w:val="24"/>
              </w:rPr>
            </w:pPr>
          </w:p>
        </w:tc>
        <w:tc>
          <w:tcPr>
            <w:tcW w:w="0" w:type="auto"/>
            <w:noWrap/>
            <w:vAlign w:val="center"/>
          </w:tcPr>
          <w:p w:rsidR="00641FB0" w:rsidRPr="00CE6F35" w:rsidRDefault="00641FB0" w:rsidP="002B27A4">
            <w:pPr>
              <w:widowControl/>
              <w:adjustRightInd w:val="0"/>
              <w:snapToGrid w:val="0"/>
              <w:jc w:val="center"/>
              <w:rPr>
                <w:rFonts w:ascii="Book Antiqua" w:hAnsi="Book Antiqua"/>
                <w:kern w:val="0"/>
                <w:szCs w:val="24"/>
              </w:rPr>
            </w:pPr>
          </w:p>
        </w:tc>
      </w:tr>
    </w:tbl>
    <w:p w:rsidR="00641FB0" w:rsidRPr="00CE6F35" w:rsidRDefault="00641FB0" w:rsidP="00F24268">
      <w:pPr>
        <w:widowControl/>
        <w:adjustRightInd w:val="0"/>
        <w:snapToGrid w:val="0"/>
        <w:rPr>
          <w:rFonts w:ascii="Book Antiqua" w:hAnsi="Book Antiqua"/>
          <w:szCs w:val="24"/>
        </w:rPr>
      </w:pPr>
      <w:bookmarkStart w:id="538" w:name="OLE_LINK11"/>
      <w:bookmarkStart w:id="539" w:name="OLE_LINK12"/>
      <w:r w:rsidRPr="00CE6F35">
        <w:rPr>
          <w:rFonts w:ascii="Book Antiqua" w:hAnsi="Book Antiqua" w:cs="Arial"/>
          <w:szCs w:val="24"/>
        </w:rPr>
        <w:t>Data are presented as frequency counts (percentage of total) or median (</w:t>
      </w:r>
      <w:r w:rsidR="0025495B" w:rsidRPr="00CE6F35">
        <w:rPr>
          <w:rFonts w:ascii="Book Antiqua" w:hAnsi="Book Antiqua" w:cs="Arial"/>
          <w:szCs w:val="24"/>
        </w:rPr>
        <w:t>25</w:t>
      </w:r>
      <w:r w:rsidR="0025495B" w:rsidRPr="00CE6F35">
        <w:rPr>
          <w:rFonts w:ascii="Book Antiqua" w:hAnsi="Book Antiqua" w:cs="Arial"/>
          <w:szCs w:val="24"/>
          <w:vertAlign w:val="superscript"/>
        </w:rPr>
        <w:t>th</w:t>
      </w:r>
      <w:r w:rsidR="0025495B" w:rsidRPr="00CE6F35">
        <w:rPr>
          <w:rFonts w:ascii="Book Antiqua" w:hAnsi="Book Antiqua" w:cs="Arial"/>
          <w:szCs w:val="24"/>
        </w:rPr>
        <w:t xml:space="preserve"> to 75</w:t>
      </w:r>
      <w:r w:rsidR="0025495B" w:rsidRPr="00CE6F35">
        <w:rPr>
          <w:rFonts w:ascii="Book Antiqua" w:hAnsi="Book Antiqua" w:cs="Arial"/>
          <w:szCs w:val="24"/>
          <w:vertAlign w:val="superscript"/>
        </w:rPr>
        <w:t>th</w:t>
      </w:r>
      <w:r w:rsidR="0025495B" w:rsidRPr="00CE6F35">
        <w:rPr>
          <w:rFonts w:ascii="Book Antiqua" w:hAnsi="Book Antiqua" w:cs="Arial"/>
          <w:szCs w:val="24"/>
        </w:rPr>
        <w:t xml:space="preserve"> percentiles</w:t>
      </w:r>
      <w:r w:rsidRPr="00CE6F35">
        <w:rPr>
          <w:rFonts w:ascii="Book Antiqua" w:hAnsi="Book Antiqua" w:cs="Arial"/>
          <w:szCs w:val="24"/>
        </w:rPr>
        <w:t>).</w:t>
      </w:r>
      <w:bookmarkEnd w:id="536"/>
      <w:bookmarkEnd w:id="537"/>
      <w:bookmarkEnd w:id="538"/>
      <w:bookmarkEnd w:id="539"/>
      <w:r w:rsidRPr="00CE6F35">
        <w:rPr>
          <w:rFonts w:ascii="Book Antiqua" w:hAnsi="Book Antiqua"/>
          <w:szCs w:val="24"/>
        </w:rPr>
        <w:br w:type="page"/>
      </w:r>
    </w:p>
    <w:p w:rsidR="00641FB0" w:rsidRPr="00CE6F35" w:rsidRDefault="00641FB0" w:rsidP="00F24268">
      <w:pPr>
        <w:adjustRightInd w:val="0"/>
        <w:snapToGrid w:val="0"/>
        <w:rPr>
          <w:rFonts w:ascii="Book Antiqua" w:hAnsi="Book Antiqua"/>
          <w:szCs w:val="24"/>
        </w:rPr>
        <w:sectPr w:rsidR="00641FB0" w:rsidRPr="00CE6F35" w:rsidSect="00522AA8">
          <w:pgSz w:w="16838" w:h="11906" w:orient="landscape"/>
          <w:pgMar w:top="1797" w:right="1440" w:bottom="1797" w:left="1440" w:header="851" w:footer="992" w:gutter="0"/>
          <w:cols w:space="425"/>
          <w:docGrid w:type="lines" w:linePitch="312"/>
        </w:sectPr>
      </w:pPr>
    </w:p>
    <w:p w:rsidR="00641FB0" w:rsidRPr="00CE6F35" w:rsidRDefault="00641FB0" w:rsidP="00F24268">
      <w:pPr>
        <w:adjustRightInd w:val="0"/>
        <w:snapToGrid w:val="0"/>
        <w:rPr>
          <w:rFonts w:ascii="Book Antiqua" w:hAnsi="Book Antiqua"/>
          <w:b/>
          <w:szCs w:val="24"/>
        </w:rPr>
      </w:pPr>
      <w:r w:rsidRPr="00CE6F35">
        <w:rPr>
          <w:rFonts w:ascii="Book Antiqua" w:hAnsi="Book Antiqua"/>
          <w:b/>
          <w:szCs w:val="24"/>
        </w:rPr>
        <w:lastRenderedPageBreak/>
        <w:t>Table 3 Distributions of genotypes in three groups</w:t>
      </w:r>
      <w:r w:rsidR="0025495B" w:rsidRPr="00CE6F35">
        <w:rPr>
          <w:rFonts w:ascii="Book Antiqua" w:hAnsi="Book Antiqua" w:hint="eastAsia"/>
          <w:b/>
          <w:szCs w:val="24"/>
        </w:rPr>
        <w:t xml:space="preserve"> </w:t>
      </w:r>
      <w:r w:rsidR="0025495B" w:rsidRPr="00CE6F35">
        <w:rPr>
          <w:rFonts w:ascii="Book Antiqua" w:hAnsi="Book Antiqua"/>
          <w:b/>
          <w:bCs/>
          <w:i/>
          <w:szCs w:val="24"/>
        </w:rPr>
        <w:t>n</w:t>
      </w:r>
      <w:r w:rsidR="0025495B" w:rsidRPr="00CE6F35">
        <w:rPr>
          <w:rFonts w:ascii="Book Antiqua" w:hAnsi="Book Antiqua" w:hint="eastAsia"/>
          <w:b/>
          <w:bCs/>
          <w:szCs w:val="24"/>
        </w:rPr>
        <w:t xml:space="preserve"> </w:t>
      </w:r>
      <w:r w:rsidR="0025495B" w:rsidRPr="00CE6F35">
        <w:rPr>
          <w:rFonts w:ascii="Book Antiqua" w:hAnsi="Book Antiqua"/>
          <w:b/>
          <w:bCs/>
          <w:szCs w:val="24"/>
        </w:rPr>
        <w:t>(%)</w:t>
      </w:r>
    </w:p>
    <w:tbl>
      <w:tblPr>
        <w:tblW w:w="0" w:type="auto"/>
        <w:tblBorders>
          <w:top w:val="single" w:sz="12" w:space="0" w:color="008000"/>
          <w:bottom w:val="single" w:sz="12" w:space="0" w:color="008000"/>
        </w:tblBorders>
        <w:tblLayout w:type="fixed"/>
        <w:tblLook w:val="00A0" w:firstRow="1" w:lastRow="0" w:firstColumn="1" w:lastColumn="0" w:noHBand="0" w:noVBand="0"/>
      </w:tblPr>
      <w:tblGrid>
        <w:gridCol w:w="1242"/>
        <w:gridCol w:w="1344"/>
        <w:gridCol w:w="1344"/>
        <w:gridCol w:w="924"/>
        <w:gridCol w:w="1637"/>
        <w:gridCol w:w="1421"/>
        <w:gridCol w:w="833"/>
        <w:gridCol w:w="1711"/>
      </w:tblGrid>
      <w:tr w:rsidR="00641FB0" w:rsidRPr="00CE6F35" w:rsidTr="00522AA8">
        <w:trPr>
          <w:trHeight w:val="375"/>
        </w:trPr>
        <w:tc>
          <w:tcPr>
            <w:tcW w:w="1242" w:type="dxa"/>
            <w:tcBorders>
              <w:top w:val="single" w:sz="12" w:space="0" w:color="008000"/>
              <w:bottom w:val="single" w:sz="6" w:space="0" w:color="008000"/>
            </w:tcBorders>
            <w:noWrap/>
            <w:vAlign w:val="center"/>
          </w:tcPr>
          <w:p w:rsidR="00641FB0" w:rsidRPr="00CE6F35" w:rsidRDefault="00641FB0" w:rsidP="0025495B">
            <w:pPr>
              <w:widowControl/>
              <w:adjustRightInd w:val="0"/>
              <w:snapToGrid w:val="0"/>
              <w:jc w:val="left"/>
              <w:rPr>
                <w:rFonts w:ascii="Book Antiqua" w:hAnsi="Book Antiqua"/>
                <w:kern w:val="0"/>
                <w:szCs w:val="24"/>
              </w:rPr>
            </w:pPr>
          </w:p>
        </w:tc>
        <w:tc>
          <w:tcPr>
            <w:tcW w:w="1344" w:type="dxa"/>
            <w:tcBorders>
              <w:top w:val="single" w:sz="12" w:space="0" w:color="008000"/>
              <w:bottom w:val="single" w:sz="6" w:space="0" w:color="008000"/>
            </w:tcBorders>
            <w:vAlign w:val="center"/>
          </w:tcPr>
          <w:p w:rsidR="00641FB0" w:rsidRPr="00CE6F35" w:rsidRDefault="00641FB0" w:rsidP="0025495B">
            <w:pPr>
              <w:widowControl/>
              <w:adjustRightInd w:val="0"/>
              <w:snapToGrid w:val="0"/>
              <w:jc w:val="center"/>
              <w:rPr>
                <w:rFonts w:ascii="Book Antiqua" w:hAnsi="Book Antiqua"/>
                <w:b/>
                <w:bCs/>
                <w:kern w:val="0"/>
                <w:szCs w:val="24"/>
              </w:rPr>
            </w:pPr>
            <w:r w:rsidRPr="00CE6F35">
              <w:rPr>
                <w:rFonts w:ascii="Book Antiqua" w:hAnsi="Book Antiqua"/>
                <w:b/>
                <w:bCs/>
                <w:iCs/>
                <w:kern w:val="0"/>
                <w:szCs w:val="24"/>
              </w:rPr>
              <w:t>Controls</w:t>
            </w:r>
          </w:p>
          <w:p w:rsidR="00641FB0" w:rsidRPr="00CE6F35" w:rsidRDefault="00641FB0" w:rsidP="0025495B">
            <w:pPr>
              <w:widowControl/>
              <w:adjustRightInd w:val="0"/>
              <w:snapToGrid w:val="0"/>
              <w:jc w:val="center"/>
              <w:rPr>
                <w:rFonts w:ascii="Book Antiqua" w:hAnsi="Book Antiqua"/>
                <w:b/>
                <w:bCs/>
                <w:iCs/>
                <w:kern w:val="0"/>
                <w:szCs w:val="24"/>
              </w:rPr>
            </w:pPr>
          </w:p>
        </w:tc>
        <w:tc>
          <w:tcPr>
            <w:tcW w:w="1344" w:type="dxa"/>
            <w:tcBorders>
              <w:top w:val="single" w:sz="12" w:space="0" w:color="008000"/>
              <w:bottom w:val="single" w:sz="6" w:space="0" w:color="008000"/>
            </w:tcBorders>
            <w:noWrap/>
            <w:vAlign w:val="center"/>
          </w:tcPr>
          <w:p w:rsidR="00641FB0" w:rsidRPr="00CE6F35" w:rsidRDefault="00641FB0" w:rsidP="0025495B">
            <w:pPr>
              <w:widowControl/>
              <w:adjustRightInd w:val="0"/>
              <w:snapToGrid w:val="0"/>
              <w:jc w:val="center"/>
              <w:rPr>
                <w:rFonts w:ascii="Book Antiqua" w:hAnsi="Book Antiqua"/>
                <w:b/>
                <w:bCs/>
                <w:kern w:val="0"/>
                <w:szCs w:val="24"/>
              </w:rPr>
            </w:pPr>
            <w:r w:rsidRPr="00CE6F35">
              <w:rPr>
                <w:rFonts w:ascii="Book Antiqua" w:hAnsi="Book Antiqua"/>
                <w:b/>
                <w:bCs/>
                <w:kern w:val="0"/>
                <w:szCs w:val="24"/>
              </w:rPr>
              <w:t>Cancer</w:t>
            </w:r>
          </w:p>
          <w:p w:rsidR="00641FB0" w:rsidRPr="00CE6F35" w:rsidRDefault="00641FB0" w:rsidP="0025495B">
            <w:pPr>
              <w:widowControl/>
              <w:adjustRightInd w:val="0"/>
              <w:snapToGrid w:val="0"/>
              <w:jc w:val="center"/>
              <w:rPr>
                <w:rFonts w:ascii="Book Antiqua" w:hAnsi="Book Antiqua"/>
                <w:b/>
                <w:bCs/>
                <w:kern w:val="0"/>
                <w:szCs w:val="24"/>
              </w:rPr>
            </w:pPr>
          </w:p>
        </w:tc>
        <w:tc>
          <w:tcPr>
            <w:tcW w:w="924" w:type="dxa"/>
            <w:tcBorders>
              <w:top w:val="single" w:sz="12" w:space="0" w:color="008000"/>
              <w:bottom w:val="single" w:sz="6" w:space="0" w:color="008000"/>
            </w:tcBorders>
            <w:vAlign w:val="center"/>
          </w:tcPr>
          <w:p w:rsidR="00641FB0" w:rsidRPr="00CE6F35" w:rsidRDefault="0025495B" w:rsidP="0025495B">
            <w:pPr>
              <w:widowControl/>
              <w:adjustRightInd w:val="0"/>
              <w:snapToGrid w:val="0"/>
              <w:jc w:val="center"/>
              <w:rPr>
                <w:rFonts w:ascii="Book Antiqua" w:hAnsi="Book Antiqua"/>
                <w:b/>
                <w:bCs/>
                <w:i/>
                <w:iCs/>
                <w:kern w:val="0"/>
                <w:szCs w:val="24"/>
              </w:rPr>
            </w:pPr>
            <w:r w:rsidRPr="00CE6F35">
              <w:rPr>
                <w:rFonts w:ascii="Book Antiqua" w:hAnsi="Book Antiqua"/>
                <w:b/>
                <w:bCs/>
                <w:i/>
                <w:iCs/>
                <w:kern w:val="0"/>
                <w:szCs w:val="24"/>
              </w:rPr>
              <w:t>P</w:t>
            </w:r>
            <w:r w:rsidRPr="00CE6F35">
              <w:rPr>
                <w:rFonts w:ascii="Book Antiqua" w:hAnsi="Book Antiqua" w:hint="eastAsia"/>
                <w:b/>
                <w:bCs/>
                <w:i/>
                <w:iCs/>
                <w:kern w:val="0"/>
                <w:szCs w:val="24"/>
              </w:rPr>
              <w:t xml:space="preserve"> </w:t>
            </w:r>
            <w:r w:rsidRPr="00CE6F35">
              <w:rPr>
                <w:rFonts w:ascii="Book Antiqua" w:hAnsi="Book Antiqua" w:hint="eastAsia"/>
                <w:b/>
                <w:bCs/>
                <w:iCs/>
                <w:kern w:val="0"/>
                <w:szCs w:val="24"/>
              </w:rPr>
              <w:t>value</w:t>
            </w:r>
          </w:p>
        </w:tc>
        <w:tc>
          <w:tcPr>
            <w:tcW w:w="1637" w:type="dxa"/>
            <w:tcBorders>
              <w:top w:val="single" w:sz="12" w:space="0" w:color="008000"/>
              <w:bottom w:val="single" w:sz="6" w:space="0" w:color="008000"/>
            </w:tcBorders>
            <w:vAlign w:val="center"/>
          </w:tcPr>
          <w:p w:rsidR="00641FB0" w:rsidRPr="00CE6F35" w:rsidRDefault="00641FB0" w:rsidP="00582028">
            <w:pPr>
              <w:widowControl/>
              <w:adjustRightInd w:val="0"/>
              <w:snapToGrid w:val="0"/>
              <w:jc w:val="center"/>
              <w:rPr>
                <w:rFonts w:ascii="Book Antiqua" w:hAnsi="Book Antiqua"/>
                <w:b/>
                <w:bCs/>
                <w:kern w:val="0"/>
                <w:szCs w:val="24"/>
              </w:rPr>
            </w:pPr>
            <w:r w:rsidRPr="00CE6F35">
              <w:rPr>
                <w:rFonts w:ascii="Book Antiqua" w:hAnsi="Book Antiqua"/>
                <w:b/>
                <w:bCs/>
                <w:kern w:val="0"/>
                <w:szCs w:val="24"/>
              </w:rPr>
              <w:t>OR</w:t>
            </w:r>
            <w:r w:rsidR="00582028" w:rsidRPr="00CE6F35">
              <w:rPr>
                <w:rFonts w:ascii="Book Antiqua" w:hAnsi="Book Antiqua" w:hint="eastAsia"/>
                <w:b/>
                <w:bCs/>
                <w:kern w:val="0"/>
                <w:szCs w:val="24"/>
                <w:vertAlign w:val="superscript"/>
              </w:rPr>
              <w:t>1</w:t>
            </w:r>
            <w:r w:rsidR="0025495B" w:rsidRPr="00CE6F35">
              <w:rPr>
                <w:rFonts w:ascii="Book Antiqua" w:hAnsi="Book Antiqua" w:hint="eastAsia"/>
                <w:b/>
                <w:bCs/>
                <w:kern w:val="0"/>
                <w:szCs w:val="24"/>
              </w:rPr>
              <w:t xml:space="preserve"> </w:t>
            </w:r>
            <w:r w:rsidR="0025495B" w:rsidRPr="00CE6F35">
              <w:rPr>
                <w:rFonts w:ascii="Book Antiqua" w:hAnsi="Book Antiqua"/>
                <w:b/>
                <w:bCs/>
                <w:kern w:val="0"/>
                <w:szCs w:val="24"/>
              </w:rPr>
              <w:t>(95%</w:t>
            </w:r>
            <w:r w:rsidRPr="00CE6F35">
              <w:rPr>
                <w:rFonts w:ascii="Book Antiqua" w:hAnsi="Book Antiqua"/>
                <w:b/>
                <w:bCs/>
                <w:kern w:val="0"/>
                <w:szCs w:val="24"/>
              </w:rPr>
              <w:t>CI)</w:t>
            </w:r>
          </w:p>
        </w:tc>
        <w:tc>
          <w:tcPr>
            <w:tcW w:w="1421" w:type="dxa"/>
            <w:tcBorders>
              <w:top w:val="single" w:sz="12" w:space="0" w:color="008000"/>
              <w:bottom w:val="single" w:sz="6" w:space="0" w:color="008000"/>
            </w:tcBorders>
            <w:vAlign w:val="center"/>
          </w:tcPr>
          <w:p w:rsidR="00641FB0" w:rsidRPr="00CE6F35" w:rsidRDefault="00641FB0" w:rsidP="0025495B">
            <w:pPr>
              <w:widowControl/>
              <w:adjustRightInd w:val="0"/>
              <w:snapToGrid w:val="0"/>
              <w:jc w:val="center"/>
              <w:rPr>
                <w:rFonts w:ascii="Book Antiqua" w:hAnsi="Book Antiqua"/>
                <w:b/>
                <w:bCs/>
                <w:kern w:val="0"/>
                <w:szCs w:val="24"/>
              </w:rPr>
            </w:pPr>
            <w:r w:rsidRPr="00CE6F35">
              <w:rPr>
                <w:rFonts w:ascii="Book Antiqua" w:hAnsi="Book Antiqua"/>
                <w:b/>
                <w:bCs/>
                <w:kern w:val="0"/>
                <w:szCs w:val="24"/>
              </w:rPr>
              <w:t>Atrophy</w:t>
            </w:r>
          </w:p>
        </w:tc>
        <w:tc>
          <w:tcPr>
            <w:tcW w:w="833" w:type="dxa"/>
            <w:tcBorders>
              <w:top w:val="single" w:sz="12" w:space="0" w:color="008000"/>
              <w:bottom w:val="single" w:sz="6" w:space="0" w:color="008000"/>
            </w:tcBorders>
            <w:noWrap/>
            <w:vAlign w:val="center"/>
          </w:tcPr>
          <w:p w:rsidR="00641FB0" w:rsidRPr="00CE6F35" w:rsidRDefault="00641FB0" w:rsidP="0025495B">
            <w:pPr>
              <w:widowControl/>
              <w:adjustRightInd w:val="0"/>
              <w:snapToGrid w:val="0"/>
              <w:jc w:val="center"/>
              <w:rPr>
                <w:rFonts w:ascii="Book Antiqua" w:hAnsi="Book Antiqua"/>
                <w:b/>
                <w:bCs/>
                <w:i/>
                <w:iCs/>
                <w:kern w:val="0"/>
                <w:szCs w:val="24"/>
              </w:rPr>
            </w:pPr>
            <w:bookmarkStart w:id="540" w:name="OLE_LINK2403"/>
            <w:bookmarkStart w:id="541" w:name="OLE_LINK2404"/>
            <w:r w:rsidRPr="00CE6F35">
              <w:rPr>
                <w:rFonts w:ascii="Book Antiqua" w:hAnsi="Book Antiqua"/>
                <w:b/>
                <w:bCs/>
                <w:i/>
                <w:iCs/>
                <w:kern w:val="0"/>
                <w:szCs w:val="24"/>
              </w:rPr>
              <w:t>P</w:t>
            </w:r>
            <w:r w:rsidR="0025495B" w:rsidRPr="00CE6F35">
              <w:rPr>
                <w:rFonts w:ascii="Book Antiqua" w:hAnsi="Book Antiqua" w:hint="eastAsia"/>
                <w:b/>
                <w:bCs/>
                <w:i/>
                <w:iCs/>
                <w:kern w:val="0"/>
                <w:szCs w:val="24"/>
              </w:rPr>
              <w:t xml:space="preserve"> </w:t>
            </w:r>
            <w:r w:rsidR="0025495B" w:rsidRPr="00CE6F35">
              <w:rPr>
                <w:rFonts w:ascii="Book Antiqua" w:hAnsi="Book Antiqua" w:hint="eastAsia"/>
                <w:b/>
                <w:bCs/>
                <w:iCs/>
                <w:kern w:val="0"/>
                <w:szCs w:val="24"/>
              </w:rPr>
              <w:t>value</w:t>
            </w:r>
            <w:bookmarkEnd w:id="540"/>
            <w:bookmarkEnd w:id="541"/>
          </w:p>
        </w:tc>
        <w:tc>
          <w:tcPr>
            <w:tcW w:w="1711" w:type="dxa"/>
            <w:tcBorders>
              <w:top w:val="single" w:sz="12" w:space="0" w:color="008000"/>
              <w:bottom w:val="single" w:sz="6" w:space="0" w:color="008000"/>
            </w:tcBorders>
            <w:vAlign w:val="center"/>
          </w:tcPr>
          <w:p w:rsidR="00641FB0" w:rsidRPr="00CE6F35" w:rsidRDefault="00641FB0" w:rsidP="00582028">
            <w:pPr>
              <w:widowControl/>
              <w:adjustRightInd w:val="0"/>
              <w:snapToGrid w:val="0"/>
              <w:jc w:val="center"/>
              <w:rPr>
                <w:rFonts w:ascii="Book Antiqua" w:hAnsi="Book Antiqua"/>
                <w:b/>
                <w:bCs/>
                <w:kern w:val="0"/>
                <w:szCs w:val="24"/>
              </w:rPr>
            </w:pPr>
            <w:r w:rsidRPr="00CE6F35">
              <w:rPr>
                <w:rFonts w:ascii="Book Antiqua" w:hAnsi="Book Antiqua"/>
                <w:b/>
                <w:bCs/>
                <w:kern w:val="0"/>
                <w:szCs w:val="24"/>
              </w:rPr>
              <w:t>OR</w:t>
            </w:r>
            <w:r w:rsidR="00582028" w:rsidRPr="00CE6F35">
              <w:rPr>
                <w:rFonts w:ascii="Book Antiqua" w:hAnsi="Book Antiqua" w:hint="eastAsia"/>
                <w:b/>
                <w:bCs/>
                <w:kern w:val="0"/>
                <w:szCs w:val="24"/>
                <w:vertAlign w:val="superscript"/>
              </w:rPr>
              <w:t>1</w:t>
            </w:r>
            <w:r w:rsidR="0025495B" w:rsidRPr="00CE6F35">
              <w:rPr>
                <w:rFonts w:ascii="Book Antiqua" w:hAnsi="Book Antiqua"/>
                <w:b/>
                <w:bCs/>
                <w:kern w:val="0"/>
                <w:szCs w:val="24"/>
              </w:rPr>
              <w:t xml:space="preserve"> (95%</w:t>
            </w:r>
            <w:r w:rsidRPr="00CE6F35">
              <w:rPr>
                <w:rFonts w:ascii="Book Antiqua" w:hAnsi="Book Antiqua"/>
                <w:b/>
                <w:bCs/>
                <w:kern w:val="0"/>
                <w:szCs w:val="24"/>
              </w:rPr>
              <w:t>CI)</w:t>
            </w: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P-534</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924" w:type="dxa"/>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833" w:type="dxa"/>
            <w:noWrap/>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C/C</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271 (27.8)</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181 (26.7)</w:t>
            </w:r>
          </w:p>
        </w:tc>
        <w:tc>
          <w:tcPr>
            <w:tcW w:w="924" w:type="dxa"/>
            <w:vAlign w:val="center"/>
          </w:tcPr>
          <w:p w:rsidR="00641FB0" w:rsidRPr="00CE6F35" w:rsidRDefault="00582028" w:rsidP="0025495B">
            <w:pPr>
              <w:widowControl/>
              <w:adjustRightInd w:val="0"/>
              <w:snapToGrid w:val="0"/>
              <w:jc w:val="center"/>
              <w:rPr>
                <w:rFonts w:ascii="Book Antiqua" w:hAnsi="Book Antiqua"/>
                <w:kern w:val="0"/>
                <w:szCs w:val="24"/>
              </w:rPr>
            </w:pPr>
            <w:r w:rsidRPr="00CE6F35">
              <w:rPr>
                <w:rFonts w:ascii="Book Antiqua" w:hAnsi="Book Antiqua"/>
                <w:kern w:val="0"/>
                <w:szCs w:val="24"/>
              </w:rPr>
              <w:t>-</w:t>
            </w: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Reference</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29 (26.1)</w:t>
            </w:r>
          </w:p>
        </w:tc>
        <w:tc>
          <w:tcPr>
            <w:tcW w:w="833" w:type="dxa"/>
            <w:noWrap/>
            <w:vAlign w:val="center"/>
          </w:tcPr>
          <w:p w:rsidR="00641FB0" w:rsidRPr="00CE6F35" w:rsidRDefault="00582028" w:rsidP="0025495B">
            <w:pPr>
              <w:widowControl/>
              <w:adjustRightInd w:val="0"/>
              <w:snapToGrid w:val="0"/>
              <w:jc w:val="center"/>
              <w:rPr>
                <w:rFonts w:ascii="Book Antiqua" w:hAnsi="Book Antiqua"/>
                <w:kern w:val="0"/>
                <w:szCs w:val="24"/>
              </w:rPr>
            </w:pPr>
            <w:r w:rsidRPr="00CE6F35">
              <w:rPr>
                <w:rFonts w:ascii="Book Antiqua" w:hAnsi="Book Antiqua"/>
                <w:kern w:val="0"/>
                <w:szCs w:val="24"/>
              </w:rPr>
              <w:t>-</w:t>
            </w: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Reference</w:t>
            </w: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C/A</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488 (50.0)</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358 (52.7)</w:t>
            </w:r>
          </w:p>
        </w:tc>
        <w:tc>
          <w:tcPr>
            <w:tcW w:w="92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0.099</w:t>
            </w: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1.1 (0.86-1.48)</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62 (55.9)</w:t>
            </w:r>
          </w:p>
        </w:tc>
        <w:tc>
          <w:tcPr>
            <w:tcW w:w="833"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0.204</w:t>
            </w: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1.2 (0.74-1.91)</w:t>
            </w: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A/A</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217 (22.2)</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140 (20.6)</w:t>
            </w:r>
          </w:p>
        </w:tc>
        <w:tc>
          <w:tcPr>
            <w:tcW w:w="92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0.145</w:t>
            </w: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0.9 (0.61-1.20)</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20 (18.0)</w:t>
            </w:r>
          </w:p>
        </w:tc>
        <w:tc>
          <w:tcPr>
            <w:tcW w:w="833"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0.328</w:t>
            </w: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0.8 (0.46-1.54)</w:t>
            </w: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C</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1030 (52.8)</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720 (53.0)</w:t>
            </w:r>
          </w:p>
        </w:tc>
        <w:tc>
          <w:tcPr>
            <w:tcW w:w="924" w:type="dxa"/>
            <w:vMerge w:val="restart"/>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0.886</w:t>
            </w:r>
          </w:p>
        </w:tc>
        <w:tc>
          <w:tcPr>
            <w:tcW w:w="1637" w:type="dxa"/>
            <w:vAlign w:val="center"/>
          </w:tcPr>
          <w:p w:rsidR="00641FB0" w:rsidRPr="00CE6F35" w:rsidRDefault="00582028" w:rsidP="0025495B">
            <w:pPr>
              <w:widowControl/>
              <w:adjustRightInd w:val="0"/>
              <w:snapToGrid w:val="0"/>
              <w:jc w:val="center"/>
              <w:rPr>
                <w:rFonts w:ascii="Book Antiqua" w:hAnsi="Book Antiqua"/>
                <w:kern w:val="0"/>
                <w:szCs w:val="24"/>
              </w:rPr>
            </w:pPr>
            <w:r w:rsidRPr="00CE6F35">
              <w:rPr>
                <w:rFonts w:ascii="Book Antiqua" w:hAnsi="Book Antiqua"/>
                <w:kern w:val="0"/>
                <w:szCs w:val="24"/>
              </w:rPr>
              <w:t>-</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130 (54.1)</w:t>
            </w:r>
          </w:p>
        </w:tc>
        <w:tc>
          <w:tcPr>
            <w:tcW w:w="833" w:type="dxa"/>
            <w:vMerge w:val="restart"/>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0.716</w:t>
            </w:r>
          </w:p>
        </w:tc>
        <w:tc>
          <w:tcPr>
            <w:tcW w:w="1711" w:type="dxa"/>
            <w:vAlign w:val="center"/>
          </w:tcPr>
          <w:p w:rsidR="00641FB0" w:rsidRPr="00CE6F35" w:rsidRDefault="00582028" w:rsidP="0025495B">
            <w:pPr>
              <w:widowControl/>
              <w:adjustRightInd w:val="0"/>
              <w:snapToGrid w:val="0"/>
              <w:jc w:val="center"/>
              <w:rPr>
                <w:rFonts w:ascii="Book Antiqua" w:hAnsi="Book Antiqua"/>
                <w:kern w:val="0"/>
                <w:szCs w:val="24"/>
              </w:rPr>
            </w:pPr>
            <w:r w:rsidRPr="00CE6F35">
              <w:rPr>
                <w:rFonts w:ascii="Book Antiqua" w:hAnsi="Book Antiqua"/>
                <w:kern w:val="0"/>
                <w:szCs w:val="24"/>
              </w:rPr>
              <w:t>-</w:t>
            </w: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A</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922 (47.2)</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638 (47.0)</w:t>
            </w:r>
          </w:p>
        </w:tc>
        <w:tc>
          <w:tcPr>
            <w:tcW w:w="924" w:type="dxa"/>
            <w:vMerge/>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1.0 (0.86-1.14)</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102 (45.9)</w:t>
            </w:r>
          </w:p>
        </w:tc>
        <w:tc>
          <w:tcPr>
            <w:tcW w:w="833" w:type="dxa"/>
            <w:vMerge/>
            <w:noWrap/>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0.9 (0.72-1.25)</w:t>
            </w:r>
          </w:p>
        </w:tc>
      </w:tr>
      <w:tr w:rsidR="00641FB0" w:rsidRPr="00CE6F35" w:rsidTr="00522AA8">
        <w:trPr>
          <w:trHeight w:val="37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P170</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924" w:type="dxa"/>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833" w:type="dxa"/>
            <w:noWrap/>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p>
        </w:tc>
      </w:tr>
      <w:tr w:rsidR="00641FB0" w:rsidRPr="00CE6F35" w:rsidTr="00522AA8">
        <w:trPr>
          <w:trHeight w:val="37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C/C</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419 (42.9)</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295 (43.4)</w:t>
            </w:r>
          </w:p>
        </w:tc>
        <w:tc>
          <w:tcPr>
            <w:tcW w:w="924" w:type="dxa"/>
            <w:vAlign w:val="center"/>
          </w:tcPr>
          <w:p w:rsidR="00641FB0" w:rsidRPr="00CE6F35" w:rsidRDefault="00582028" w:rsidP="0025495B">
            <w:pPr>
              <w:widowControl/>
              <w:adjustRightInd w:val="0"/>
              <w:snapToGrid w:val="0"/>
              <w:jc w:val="center"/>
              <w:rPr>
                <w:rFonts w:ascii="Book Antiqua" w:hAnsi="Book Antiqua"/>
                <w:kern w:val="0"/>
                <w:szCs w:val="24"/>
              </w:rPr>
            </w:pPr>
            <w:r w:rsidRPr="00CE6F35">
              <w:rPr>
                <w:rFonts w:ascii="Book Antiqua" w:hAnsi="Book Antiqua"/>
                <w:kern w:val="0"/>
                <w:szCs w:val="24"/>
              </w:rPr>
              <w:t>-</w:t>
            </w: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Reference</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60 (54.1)</w:t>
            </w:r>
          </w:p>
        </w:tc>
        <w:tc>
          <w:tcPr>
            <w:tcW w:w="833" w:type="dxa"/>
            <w:noWrap/>
            <w:vAlign w:val="center"/>
          </w:tcPr>
          <w:p w:rsidR="00641FB0" w:rsidRPr="00CE6F35" w:rsidRDefault="00582028" w:rsidP="0025495B">
            <w:pPr>
              <w:widowControl/>
              <w:adjustRightInd w:val="0"/>
              <w:snapToGrid w:val="0"/>
              <w:jc w:val="center"/>
              <w:rPr>
                <w:rFonts w:ascii="Book Antiqua" w:hAnsi="Book Antiqua"/>
                <w:kern w:val="0"/>
                <w:szCs w:val="24"/>
              </w:rPr>
            </w:pPr>
            <w:r w:rsidRPr="00CE6F35">
              <w:rPr>
                <w:rFonts w:ascii="Book Antiqua" w:hAnsi="Book Antiqua"/>
                <w:kern w:val="0"/>
                <w:szCs w:val="24"/>
              </w:rPr>
              <w:t>-</w:t>
            </w: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Reference</w:t>
            </w:r>
          </w:p>
        </w:tc>
      </w:tr>
      <w:tr w:rsidR="00641FB0" w:rsidRPr="00CE6F35" w:rsidTr="00522AA8">
        <w:trPr>
          <w:trHeight w:val="37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C/T</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439 (45.0)</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308 (45.4)</w:t>
            </w:r>
          </w:p>
        </w:tc>
        <w:tc>
          <w:tcPr>
            <w:tcW w:w="92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0.277</w:t>
            </w: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1.1 (0.82-1.38)</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37 (33.3)</w:t>
            </w:r>
          </w:p>
        </w:tc>
        <w:tc>
          <w:tcPr>
            <w:tcW w:w="833"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0.082</w:t>
            </w: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0.6 (0.40-0.96)</w:t>
            </w: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T/T</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118 (12.1)</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76 (11.2)</w:t>
            </w:r>
          </w:p>
        </w:tc>
        <w:tc>
          <w:tcPr>
            <w:tcW w:w="92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0.369</w:t>
            </w: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0.9 (0.60-1.29)</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14 (12.6)</w:t>
            </w:r>
          </w:p>
        </w:tc>
        <w:tc>
          <w:tcPr>
            <w:tcW w:w="833"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0.724</w:t>
            </w: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0.9 (0.47-1.65)</w:t>
            </w: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C</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1277 (65.4)</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898 (66.1)</w:t>
            </w:r>
          </w:p>
        </w:tc>
        <w:tc>
          <w:tcPr>
            <w:tcW w:w="924" w:type="dxa"/>
            <w:vMerge w:val="restart"/>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0.673</w:t>
            </w:r>
          </w:p>
        </w:tc>
        <w:tc>
          <w:tcPr>
            <w:tcW w:w="1637" w:type="dxa"/>
            <w:vAlign w:val="center"/>
          </w:tcPr>
          <w:p w:rsidR="00641FB0" w:rsidRPr="00CE6F35" w:rsidRDefault="00582028" w:rsidP="0025495B">
            <w:pPr>
              <w:widowControl/>
              <w:adjustRightInd w:val="0"/>
              <w:snapToGrid w:val="0"/>
              <w:jc w:val="center"/>
              <w:rPr>
                <w:rFonts w:ascii="Book Antiqua" w:hAnsi="Book Antiqua"/>
                <w:kern w:val="0"/>
                <w:szCs w:val="24"/>
              </w:rPr>
            </w:pPr>
            <w:r w:rsidRPr="00CE6F35">
              <w:rPr>
                <w:rFonts w:ascii="Book Antiqua" w:hAnsi="Book Antiqua"/>
                <w:kern w:val="0"/>
                <w:szCs w:val="24"/>
              </w:rPr>
              <w:t>-</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157 (70.7)</w:t>
            </w:r>
          </w:p>
        </w:tc>
        <w:tc>
          <w:tcPr>
            <w:tcW w:w="833" w:type="dxa"/>
            <w:vMerge w:val="restart"/>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0.114</w:t>
            </w:r>
          </w:p>
        </w:tc>
        <w:tc>
          <w:tcPr>
            <w:tcW w:w="1711" w:type="dxa"/>
            <w:vAlign w:val="center"/>
          </w:tcPr>
          <w:p w:rsidR="00641FB0" w:rsidRPr="00CE6F35" w:rsidRDefault="00582028" w:rsidP="0025495B">
            <w:pPr>
              <w:widowControl/>
              <w:adjustRightInd w:val="0"/>
              <w:snapToGrid w:val="0"/>
              <w:jc w:val="center"/>
              <w:rPr>
                <w:rFonts w:ascii="Book Antiqua" w:hAnsi="Book Antiqua"/>
                <w:kern w:val="0"/>
                <w:szCs w:val="24"/>
              </w:rPr>
            </w:pPr>
            <w:r w:rsidRPr="00CE6F35">
              <w:rPr>
                <w:rFonts w:ascii="Book Antiqua" w:hAnsi="Book Antiqua"/>
                <w:kern w:val="0"/>
                <w:szCs w:val="24"/>
              </w:rPr>
              <w:t>-</w:t>
            </w: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T</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675 (34.6)</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460 (33.9)</w:t>
            </w:r>
          </w:p>
        </w:tc>
        <w:tc>
          <w:tcPr>
            <w:tcW w:w="924" w:type="dxa"/>
            <w:vMerge/>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1.0 (0.83-1.12)</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65 (29.3)</w:t>
            </w:r>
          </w:p>
        </w:tc>
        <w:tc>
          <w:tcPr>
            <w:tcW w:w="833" w:type="dxa"/>
            <w:vMerge/>
            <w:noWrap/>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0.8 (0.58-1.06)</w:t>
            </w: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lastRenderedPageBreak/>
              <w:t>P1527</w:t>
            </w:r>
          </w:p>
        </w:tc>
        <w:tc>
          <w:tcPr>
            <w:tcW w:w="1344" w:type="dxa"/>
            <w:vAlign w:val="center"/>
          </w:tcPr>
          <w:p w:rsidR="00641FB0" w:rsidRPr="00CE6F35" w:rsidRDefault="00641FB0" w:rsidP="00F24268">
            <w:pPr>
              <w:widowControl/>
              <w:adjustRightInd w:val="0"/>
              <w:snapToGrid w:val="0"/>
              <w:rPr>
                <w:rFonts w:ascii="Book Antiqua" w:hAnsi="Book Antiqua"/>
                <w:kern w:val="0"/>
                <w:szCs w:val="24"/>
              </w:rPr>
            </w:pPr>
          </w:p>
        </w:tc>
        <w:tc>
          <w:tcPr>
            <w:tcW w:w="1344" w:type="dxa"/>
            <w:noWrap/>
            <w:vAlign w:val="center"/>
          </w:tcPr>
          <w:p w:rsidR="00641FB0" w:rsidRPr="00CE6F35" w:rsidRDefault="00641FB0" w:rsidP="00F24268">
            <w:pPr>
              <w:widowControl/>
              <w:adjustRightInd w:val="0"/>
              <w:snapToGrid w:val="0"/>
              <w:rPr>
                <w:rFonts w:ascii="Book Antiqua" w:hAnsi="Book Antiqua"/>
                <w:kern w:val="0"/>
                <w:szCs w:val="24"/>
              </w:rPr>
            </w:pPr>
          </w:p>
        </w:tc>
        <w:tc>
          <w:tcPr>
            <w:tcW w:w="924" w:type="dxa"/>
            <w:vAlign w:val="center"/>
          </w:tcPr>
          <w:p w:rsidR="00641FB0" w:rsidRPr="00CE6F35" w:rsidRDefault="00641FB0" w:rsidP="00F24268">
            <w:pPr>
              <w:widowControl/>
              <w:adjustRightInd w:val="0"/>
              <w:snapToGrid w:val="0"/>
              <w:rPr>
                <w:rFonts w:ascii="Book Antiqua" w:hAnsi="Book Antiqua"/>
                <w:kern w:val="0"/>
                <w:szCs w:val="24"/>
              </w:rPr>
            </w:pPr>
          </w:p>
        </w:tc>
        <w:tc>
          <w:tcPr>
            <w:tcW w:w="1637" w:type="dxa"/>
            <w:vAlign w:val="center"/>
          </w:tcPr>
          <w:p w:rsidR="00641FB0" w:rsidRPr="00CE6F35" w:rsidRDefault="00641FB0" w:rsidP="00F24268">
            <w:pPr>
              <w:widowControl/>
              <w:adjustRightInd w:val="0"/>
              <w:snapToGrid w:val="0"/>
              <w:rPr>
                <w:rFonts w:ascii="Book Antiqua" w:hAnsi="Book Antiqua"/>
                <w:kern w:val="0"/>
                <w:szCs w:val="24"/>
              </w:rPr>
            </w:pPr>
          </w:p>
        </w:tc>
        <w:tc>
          <w:tcPr>
            <w:tcW w:w="1421" w:type="dxa"/>
            <w:vAlign w:val="center"/>
          </w:tcPr>
          <w:p w:rsidR="00641FB0" w:rsidRPr="00CE6F35" w:rsidRDefault="00641FB0" w:rsidP="00F24268">
            <w:pPr>
              <w:widowControl/>
              <w:adjustRightInd w:val="0"/>
              <w:snapToGrid w:val="0"/>
              <w:rPr>
                <w:rFonts w:ascii="Book Antiqua" w:hAnsi="Book Antiqua"/>
                <w:kern w:val="0"/>
                <w:szCs w:val="24"/>
              </w:rPr>
            </w:pPr>
          </w:p>
        </w:tc>
        <w:tc>
          <w:tcPr>
            <w:tcW w:w="833" w:type="dxa"/>
            <w:noWrap/>
            <w:vAlign w:val="center"/>
          </w:tcPr>
          <w:p w:rsidR="00641FB0" w:rsidRPr="00CE6F35" w:rsidRDefault="00641FB0" w:rsidP="00F24268">
            <w:pPr>
              <w:widowControl/>
              <w:adjustRightInd w:val="0"/>
              <w:snapToGrid w:val="0"/>
              <w:rPr>
                <w:rFonts w:ascii="Book Antiqua" w:hAnsi="Book Antiqua"/>
                <w:kern w:val="0"/>
                <w:szCs w:val="24"/>
              </w:rPr>
            </w:pPr>
          </w:p>
        </w:tc>
        <w:tc>
          <w:tcPr>
            <w:tcW w:w="1711" w:type="dxa"/>
            <w:vAlign w:val="center"/>
          </w:tcPr>
          <w:p w:rsidR="00641FB0" w:rsidRPr="00CE6F35" w:rsidRDefault="00641FB0" w:rsidP="00F24268">
            <w:pPr>
              <w:widowControl/>
              <w:adjustRightInd w:val="0"/>
              <w:snapToGrid w:val="0"/>
              <w:rPr>
                <w:rFonts w:ascii="Book Antiqua" w:hAnsi="Book Antiqua"/>
                <w:kern w:val="0"/>
                <w:szCs w:val="24"/>
              </w:rPr>
            </w:pP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TG/TG</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826 (84.6)</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559 (82.3)</w:t>
            </w:r>
          </w:p>
        </w:tc>
        <w:tc>
          <w:tcPr>
            <w:tcW w:w="924" w:type="dxa"/>
            <w:vAlign w:val="center"/>
          </w:tcPr>
          <w:p w:rsidR="00641FB0" w:rsidRPr="00CE6F35" w:rsidRDefault="00582028" w:rsidP="0025495B">
            <w:pPr>
              <w:widowControl/>
              <w:adjustRightInd w:val="0"/>
              <w:snapToGrid w:val="0"/>
              <w:jc w:val="center"/>
              <w:rPr>
                <w:rFonts w:ascii="Book Antiqua" w:hAnsi="Book Antiqua"/>
                <w:kern w:val="0"/>
                <w:szCs w:val="24"/>
              </w:rPr>
            </w:pPr>
            <w:r w:rsidRPr="00CE6F35">
              <w:rPr>
                <w:rFonts w:ascii="Book Antiqua" w:hAnsi="Book Antiqua"/>
                <w:kern w:val="0"/>
                <w:szCs w:val="24"/>
              </w:rPr>
              <w:t>-</w:t>
            </w: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Reference</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95 (85.6)</w:t>
            </w:r>
          </w:p>
        </w:tc>
        <w:tc>
          <w:tcPr>
            <w:tcW w:w="833" w:type="dxa"/>
            <w:noWrap/>
            <w:vAlign w:val="center"/>
          </w:tcPr>
          <w:p w:rsidR="00641FB0" w:rsidRPr="00CE6F35" w:rsidRDefault="00582028" w:rsidP="0025495B">
            <w:pPr>
              <w:widowControl/>
              <w:adjustRightInd w:val="0"/>
              <w:snapToGrid w:val="0"/>
              <w:jc w:val="center"/>
              <w:rPr>
                <w:rFonts w:ascii="Book Antiqua" w:hAnsi="Book Antiqua"/>
                <w:kern w:val="0"/>
                <w:szCs w:val="24"/>
              </w:rPr>
            </w:pPr>
            <w:r w:rsidRPr="00CE6F35">
              <w:rPr>
                <w:rFonts w:ascii="Book Antiqua" w:hAnsi="Book Antiqua"/>
                <w:kern w:val="0"/>
                <w:szCs w:val="24"/>
              </w:rPr>
              <w:t>-</w:t>
            </w: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Reference</w:t>
            </w: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TG/del</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142 (14.6)</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117 (17.2)</w:t>
            </w:r>
          </w:p>
        </w:tc>
        <w:tc>
          <w:tcPr>
            <w:tcW w:w="92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0.069</w:t>
            </w: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1.3 (0.97-1.82)</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15 (13.5)</w:t>
            </w:r>
          </w:p>
        </w:tc>
        <w:tc>
          <w:tcPr>
            <w:tcW w:w="833"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0.940</w:t>
            </w: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0.9 (0.50-1.59)</w:t>
            </w:r>
          </w:p>
        </w:tc>
      </w:tr>
      <w:tr w:rsidR="00641FB0" w:rsidRPr="00CE6F35" w:rsidTr="00522AA8">
        <w:trPr>
          <w:trHeight w:val="300"/>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del/del</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8 (0.8)</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3 (0.4)</w:t>
            </w:r>
          </w:p>
        </w:tc>
        <w:tc>
          <w:tcPr>
            <w:tcW w:w="92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0.162</w:t>
            </w: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0.4 (0.09-1.77)</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 (0.9)</w:t>
            </w:r>
          </w:p>
        </w:tc>
        <w:tc>
          <w:tcPr>
            <w:tcW w:w="833"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0.935</w:t>
            </w: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0.9 (0.10-7.30)</w:t>
            </w: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TG</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1794 (91.9)</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1235 (90.9)</w:t>
            </w:r>
          </w:p>
        </w:tc>
        <w:tc>
          <w:tcPr>
            <w:tcW w:w="924" w:type="dxa"/>
            <w:vMerge w:val="restart"/>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0.956</w:t>
            </w:r>
          </w:p>
        </w:tc>
        <w:tc>
          <w:tcPr>
            <w:tcW w:w="1637" w:type="dxa"/>
            <w:vAlign w:val="center"/>
          </w:tcPr>
          <w:p w:rsidR="00641FB0" w:rsidRPr="00CE6F35" w:rsidRDefault="00582028" w:rsidP="0025495B">
            <w:pPr>
              <w:widowControl/>
              <w:adjustRightInd w:val="0"/>
              <w:snapToGrid w:val="0"/>
              <w:jc w:val="center"/>
              <w:rPr>
                <w:rFonts w:ascii="Book Antiqua" w:hAnsi="Book Antiqua"/>
                <w:kern w:val="0"/>
                <w:szCs w:val="24"/>
              </w:rPr>
            </w:pPr>
            <w:r w:rsidRPr="00CE6F35">
              <w:rPr>
                <w:rFonts w:ascii="Book Antiqua" w:hAnsi="Book Antiqua"/>
                <w:kern w:val="0"/>
                <w:szCs w:val="24"/>
              </w:rPr>
              <w:t>-</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205 (92.3)</w:t>
            </w:r>
          </w:p>
        </w:tc>
        <w:tc>
          <w:tcPr>
            <w:tcW w:w="833" w:type="dxa"/>
            <w:vMerge w:val="restart"/>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0.821</w:t>
            </w:r>
          </w:p>
        </w:tc>
        <w:tc>
          <w:tcPr>
            <w:tcW w:w="1711" w:type="dxa"/>
            <w:vAlign w:val="center"/>
          </w:tcPr>
          <w:p w:rsidR="00641FB0" w:rsidRPr="00CE6F35" w:rsidRDefault="00582028" w:rsidP="0025495B">
            <w:pPr>
              <w:widowControl/>
              <w:adjustRightInd w:val="0"/>
              <w:snapToGrid w:val="0"/>
              <w:jc w:val="center"/>
              <w:rPr>
                <w:rFonts w:ascii="Book Antiqua" w:hAnsi="Book Antiqua"/>
                <w:kern w:val="0"/>
                <w:szCs w:val="24"/>
              </w:rPr>
            </w:pPr>
            <w:r w:rsidRPr="00CE6F35">
              <w:rPr>
                <w:rFonts w:ascii="Book Antiqua" w:hAnsi="Book Antiqua"/>
                <w:kern w:val="0"/>
                <w:szCs w:val="24"/>
              </w:rPr>
              <w:t>-</w:t>
            </w: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del</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158 (8.1)</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123 (9.1)</w:t>
            </w:r>
          </w:p>
        </w:tc>
        <w:tc>
          <w:tcPr>
            <w:tcW w:w="924" w:type="dxa"/>
            <w:vMerge/>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1.1 (0.88-1.45)</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17 (7.7)</w:t>
            </w:r>
          </w:p>
        </w:tc>
        <w:tc>
          <w:tcPr>
            <w:tcW w:w="833" w:type="dxa"/>
            <w:vMerge/>
            <w:noWrap/>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0.9 (0.56-1.58)</w:t>
            </w:r>
          </w:p>
        </w:tc>
      </w:tr>
      <w:tr w:rsidR="00641FB0" w:rsidRPr="00CE6F35" w:rsidTr="00522AA8">
        <w:trPr>
          <w:trHeight w:val="373"/>
        </w:trPr>
        <w:tc>
          <w:tcPr>
            <w:tcW w:w="1242" w:type="dxa"/>
            <w:noWrap/>
            <w:vAlign w:val="center"/>
          </w:tcPr>
          <w:p w:rsidR="00641FB0" w:rsidRPr="00CE6F35" w:rsidRDefault="00641FB0" w:rsidP="00582028">
            <w:pPr>
              <w:widowControl/>
              <w:adjustRightInd w:val="0"/>
              <w:snapToGrid w:val="0"/>
              <w:jc w:val="left"/>
              <w:rPr>
                <w:rFonts w:ascii="Book Antiqua" w:hAnsi="Book Antiqua"/>
                <w:kern w:val="0"/>
                <w:szCs w:val="24"/>
                <w:vertAlign w:val="superscript"/>
              </w:rPr>
            </w:pPr>
            <w:bookmarkStart w:id="542" w:name="_Hlk400714485"/>
            <w:r w:rsidRPr="00CE6F35">
              <w:rPr>
                <w:rFonts w:ascii="Book Antiqua" w:hAnsi="Book Antiqua"/>
                <w:kern w:val="0"/>
                <w:szCs w:val="24"/>
              </w:rPr>
              <w:t>Haplotype</w:t>
            </w:r>
            <w:r w:rsidR="00582028" w:rsidRPr="00CE6F35">
              <w:rPr>
                <w:rFonts w:ascii="Book Antiqua" w:hAnsi="Book Antiqua" w:hint="eastAsia"/>
                <w:kern w:val="0"/>
                <w:szCs w:val="24"/>
                <w:vertAlign w:val="superscript"/>
              </w:rPr>
              <w:t>2</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924" w:type="dxa"/>
            <w:vAlign w:val="center"/>
          </w:tcPr>
          <w:p w:rsidR="00641FB0" w:rsidRPr="00CE6F35" w:rsidRDefault="00641FB0" w:rsidP="0025495B">
            <w:pPr>
              <w:widowControl/>
              <w:adjustRightInd w:val="0"/>
              <w:snapToGrid w:val="0"/>
              <w:jc w:val="center"/>
              <w:rPr>
                <w:rFonts w:ascii="Book Antiqua" w:hAnsi="Book Antiqua"/>
                <w:kern w:val="0"/>
                <w:szCs w:val="24"/>
              </w:rPr>
            </w:pPr>
          </w:p>
        </w:tc>
        <w:tc>
          <w:tcPr>
            <w:tcW w:w="1637" w:type="dxa"/>
            <w:vAlign w:val="center"/>
          </w:tcPr>
          <w:p w:rsidR="00641FB0" w:rsidRPr="00CE6F35" w:rsidRDefault="00641FB0" w:rsidP="0025495B">
            <w:pPr>
              <w:keepNext/>
              <w:keepLines/>
              <w:widowControl/>
              <w:adjustRightInd w:val="0"/>
              <w:snapToGrid w:val="0"/>
              <w:jc w:val="center"/>
              <w:rPr>
                <w:rFonts w:ascii="Book Antiqua" w:hAnsi="Book Antiqua"/>
                <w:kern w:val="0"/>
                <w:szCs w:val="24"/>
              </w:rPr>
            </w:pPr>
          </w:p>
        </w:tc>
        <w:tc>
          <w:tcPr>
            <w:tcW w:w="1421" w:type="dxa"/>
            <w:vAlign w:val="center"/>
          </w:tcPr>
          <w:p w:rsidR="00641FB0" w:rsidRPr="00CE6F35" w:rsidRDefault="00641FB0" w:rsidP="0025495B">
            <w:pPr>
              <w:keepNext/>
              <w:keepLines/>
              <w:widowControl/>
              <w:adjustRightInd w:val="0"/>
              <w:snapToGrid w:val="0"/>
              <w:jc w:val="center"/>
              <w:rPr>
                <w:rFonts w:ascii="Book Antiqua" w:hAnsi="Book Antiqua"/>
                <w:kern w:val="0"/>
                <w:szCs w:val="24"/>
              </w:rPr>
            </w:pPr>
          </w:p>
        </w:tc>
        <w:tc>
          <w:tcPr>
            <w:tcW w:w="833" w:type="dxa"/>
            <w:noWrap/>
            <w:vAlign w:val="center"/>
          </w:tcPr>
          <w:p w:rsidR="00641FB0" w:rsidRPr="00CE6F35" w:rsidRDefault="00641FB0" w:rsidP="0025495B">
            <w:pPr>
              <w:keepNext/>
              <w:keepLines/>
              <w:widowControl/>
              <w:adjustRightInd w:val="0"/>
              <w:snapToGrid w:val="0"/>
              <w:jc w:val="center"/>
              <w:rPr>
                <w:rFonts w:ascii="Book Antiqua" w:hAnsi="Book Antiqua"/>
                <w:kern w:val="0"/>
                <w:szCs w:val="24"/>
              </w:rPr>
            </w:pPr>
          </w:p>
        </w:tc>
        <w:tc>
          <w:tcPr>
            <w:tcW w:w="1711" w:type="dxa"/>
            <w:vAlign w:val="center"/>
          </w:tcPr>
          <w:p w:rsidR="00641FB0" w:rsidRPr="00CE6F35" w:rsidRDefault="00641FB0" w:rsidP="0025495B">
            <w:pPr>
              <w:keepNext/>
              <w:keepLines/>
              <w:widowControl/>
              <w:adjustRightInd w:val="0"/>
              <w:snapToGrid w:val="0"/>
              <w:jc w:val="center"/>
              <w:rPr>
                <w:rFonts w:ascii="Book Antiqua" w:hAnsi="Book Antiqua"/>
                <w:kern w:val="0"/>
                <w:szCs w:val="24"/>
              </w:rPr>
            </w:pP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ACTG</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45.6</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47.0</w:t>
            </w:r>
          </w:p>
        </w:tc>
        <w:tc>
          <w:tcPr>
            <w:tcW w:w="924" w:type="dxa"/>
            <w:vAlign w:val="center"/>
          </w:tcPr>
          <w:p w:rsidR="00641FB0" w:rsidRPr="00CE6F35" w:rsidRDefault="00582028" w:rsidP="0025495B">
            <w:pPr>
              <w:widowControl/>
              <w:adjustRightInd w:val="0"/>
              <w:snapToGrid w:val="0"/>
              <w:jc w:val="center"/>
              <w:rPr>
                <w:rFonts w:ascii="Book Antiqua" w:hAnsi="Book Antiqua"/>
                <w:kern w:val="0"/>
                <w:szCs w:val="24"/>
              </w:rPr>
            </w:pPr>
            <w:r w:rsidRPr="00CE6F35">
              <w:rPr>
                <w:rFonts w:ascii="Book Antiqua" w:hAnsi="Book Antiqua"/>
                <w:kern w:val="0"/>
                <w:szCs w:val="24"/>
              </w:rPr>
              <w:t>-</w:t>
            </w: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Reference</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45.4</w:t>
            </w:r>
          </w:p>
        </w:tc>
        <w:tc>
          <w:tcPr>
            <w:tcW w:w="833" w:type="dxa"/>
            <w:noWrap/>
            <w:vAlign w:val="center"/>
          </w:tcPr>
          <w:p w:rsidR="00641FB0" w:rsidRPr="00CE6F35" w:rsidRDefault="00582028" w:rsidP="0025495B">
            <w:pPr>
              <w:widowControl/>
              <w:adjustRightInd w:val="0"/>
              <w:snapToGrid w:val="0"/>
              <w:jc w:val="center"/>
              <w:rPr>
                <w:rFonts w:ascii="Book Antiqua" w:hAnsi="Book Antiqua"/>
                <w:kern w:val="0"/>
                <w:szCs w:val="24"/>
              </w:rPr>
            </w:pPr>
            <w:r w:rsidRPr="00CE6F35">
              <w:rPr>
                <w:rFonts w:ascii="Book Antiqua" w:hAnsi="Book Antiqua"/>
                <w:kern w:val="0"/>
                <w:szCs w:val="24"/>
              </w:rPr>
              <w:t>-</w:t>
            </w: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Reference</w:t>
            </w: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CTTG</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33.6</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33.7</w:t>
            </w:r>
          </w:p>
        </w:tc>
        <w:tc>
          <w:tcPr>
            <w:tcW w:w="92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0.946</w:t>
            </w: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1.0 (0.85-1.16)</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28.7</w:t>
            </w:r>
          </w:p>
        </w:tc>
        <w:tc>
          <w:tcPr>
            <w:tcW w:w="833"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0.407</w:t>
            </w: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0.9 (0.63-1.21)</w:t>
            </w:r>
          </w:p>
        </w:tc>
      </w:tr>
      <w:tr w:rsidR="00641FB0" w:rsidRPr="00CE6F35" w:rsidTr="00522AA8">
        <w:trPr>
          <w:trHeight w:val="285"/>
        </w:trPr>
        <w:tc>
          <w:tcPr>
            <w:tcW w:w="1242" w:type="dxa"/>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CCTG</w:t>
            </w:r>
          </w:p>
        </w:tc>
        <w:tc>
          <w:tcPr>
            <w:tcW w:w="134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11.4</w:t>
            </w:r>
          </w:p>
        </w:tc>
        <w:tc>
          <w:tcPr>
            <w:tcW w:w="1344"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10.2</w:t>
            </w:r>
          </w:p>
        </w:tc>
        <w:tc>
          <w:tcPr>
            <w:tcW w:w="924"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0.382</w:t>
            </w:r>
          </w:p>
        </w:tc>
        <w:tc>
          <w:tcPr>
            <w:tcW w:w="1637"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0.9 (0.71-1.14)</w:t>
            </w:r>
          </w:p>
        </w:tc>
        <w:tc>
          <w:tcPr>
            <w:tcW w:w="142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17.7</w:t>
            </w:r>
          </w:p>
        </w:tc>
        <w:tc>
          <w:tcPr>
            <w:tcW w:w="833" w:type="dxa"/>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0.072</w:t>
            </w:r>
          </w:p>
        </w:tc>
        <w:tc>
          <w:tcPr>
            <w:tcW w:w="1711" w:type="dxa"/>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1.6 (0.99-2.37)</w:t>
            </w:r>
          </w:p>
        </w:tc>
      </w:tr>
      <w:tr w:rsidR="00641FB0" w:rsidRPr="00CE6F35" w:rsidTr="00522AA8">
        <w:trPr>
          <w:trHeight w:val="285"/>
        </w:trPr>
        <w:tc>
          <w:tcPr>
            <w:tcW w:w="1242" w:type="dxa"/>
            <w:tcBorders>
              <w:bottom w:val="single" w:sz="12" w:space="0" w:color="008000"/>
            </w:tcBorders>
            <w:noWrap/>
            <w:vAlign w:val="center"/>
          </w:tcPr>
          <w:p w:rsidR="00641FB0" w:rsidRPr="00CE6F35" w:rsidRDefault="00641FB0" w:rsidP="0025495B">
            <w:pPr>
              <w:widowControl/>
              <w:adjustRightInd w:val="0"/>
              <w:snapToGrid w:val="0"/>
              <w:jc w:val="left"/>
              <w:rPr>
                <w:rFonts w:ascii="Book Antiqua" w:hAnsi="Book Antiqua"/>
                <w:kern w:val="0"/>
                <w:szCs w:val="24"/>
              </w:rPr>
            </w:pPr>
            <w:r w:rsidRPr="00CE6F35">
              <w:rPr>
                <w:rFonts w:ascii="Book Antiqua" w:hAnsi="Book Antiqua"/>
                <w:kern w:val="0"/>
                <w:szCs w:val="24"/>
              </w:rPr>
              <w:t>CCdel</w:t>
            </w:r>
          </w:p>
        </w:tc>
        <w:tc>
          <w:tcPr>
            <w:tcW w:w="1344" w:type="dxa"/>
            <w:tcBorders>
              <w:bottom w:val="single" w:sz="12" w:space="0" w:color="008000"/>
            </w:tcBorders>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8.0</w:t>
            </w:r>
          </w:p>
        </w:tc>
        <w:tc>
          <w:tcPr>
            <w:tcW w:w="1344" w:type="dxa"/>
            <w:tcBorders>
              <w:bottom w:val="single" w:sz="12" w:space="0" w:color="008000"/>
            </w:tcBorders>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9.1</w:t>
            </w:r>
          </w:p>
        </w:tc>
        <w:tc>
          <w:tcPr>
            <w:tcW w:w="924" w:type="dxa"/>
            <w:tcBorders>
              <w:bottom w:val="single" w:sz="12" w:space="0" w:color="008000"/>
            </w:tcBorders>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0.370</w:t>
            </w:r>
          </w:p>
        </w:tc>
        <w:tc>
          <w:tcPr>
            <w:tcW w:w="1637" w:type="dxa"/>
            <w:tcBorders>
              <w:bottom w:val="single" w:sz="12" w:space="0" w:color="008000"/>
            </w:tcBorders>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1.1 (0.87-1.46)</w:t>
            </w:r>
          </w:p>
        </w:tc>
        <w:tc>
          <w:tcPr>
            <w:tcW w:w="1421" w:type="dxa"/>
            <w:tcBorders>
              <w:bottom w:val="single" w:sz="12" w:space="0" w:color="008000"/>
            </w:tcBorders>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7.7</w:t>
            </w:r>
          </w:p>
        </w:tc>
        <w:tc>
          <w:tcPr>
            <w:tcW w:w="833" w:type="dxa"/>
            <w:tcBorders>
              <w:bottom w:val="single" w:sz="12" w:space="0" w:color="008000"/>
            </w:tcBorders>
            <w:noWrap/>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0.919</w:t>
            </w:r>
          </w:p>
        </w:tc>
        <w:tc>
          <w:tcPr>
            <w:tcW w:w="1711" w:type="dxa"/>
            <w:tcBorders>
              <w:bottom w:val="single" w:sz="12" w:space="0" w:color="008000"/>
            </w:tcBorders>
            <w:vAlign w:val="center"/>
          </w:tcPr>
          <w:p w:rsidR="00641FB0" w:rsidRPr="00CE6F35" w:rsidRDefault="00641FB0" w:rsidP="0025495B">
            <w:pPr>
              <w:widowControl/>
              <w:adjustRightInd w:val="0"/>
              <w:snapToGrid w:val="0"/>
              <w:jc w:val="center"/>
              <w:rPr>
                <w:rFonts w:ascii="Book Antiqua" w:hAnsi="Book Antiqua"/>
                <w:kern w:val="0"/>
                <w:szCs w:val="24"/>
              </w:rPr>
            </w:pPr>
            <w:r w:rsidRPr="00CE6F35">
              <w:rPr>
                <w:rFonts w:ascii="Book Antiqua" w:hAnsi="Book Antiqua"/>
                <w:kern w:val="0"/>
                <w:szCs w:val="24"/>
              </w:rPr>
              <w:t>1.0 (0.56-1.67)</w:t>
            </w:r>
          </w:p>
        </w:tc>
      </w:tr>
    </w:tbl>
    <w:bookmarkEnd w:id="542"/>
    <w:p w:rsidR="00641FB0" w:rsidRPr="00CE6F35" w:rsidRDefault="00641FB0" w:rsidP="00F24268">
      <w:pPr>
        <w:adjustRightInd w:val="0"/>
        <w:snapToGrid w:val="0"/>
        <w:rPr>
          <w:rFonts w:ascii="Book Antiqua" w:hAnsi="Book Antiqua"/>
          <w:szCs w:val="24"/>
        </w:rPr>
        <w:sectPr w:rsidR="00641FB0" w:rsidRPr="00CE6F35" w:rsidSect="00522AA8">
          <w:pgSz w:w="16838" w:h="11906" w:orient="landscape"/>
          <w:pgMar w:top="1077" w:right="1440" w:bottom="851" w:left="1440" w:header="851" w:footer="567" w:gutter="0"/>
          <w:cols w:space="425"/>
          <w:docGrid w:type="linesAndChars" w:linePitch="326"/>
        </w:sectPr>
      </w:pPr>
      <w:r w:rsidRPr="00CE6F35">
        <w:rPr>
          <w:rFonts w:ascii="Book Antiqua" w:hAnsi="Book Antiqua" w:cs="Arial"/>
          <w:szCs w:val="24"/>
        </w:rPr>
        <w:t>Data are presented as frequency counts (percentage of total).</w:t>
      </w:r>
      <w:r w:rsidR="00582028" w:rsidRPr="00CE6F35">
        <w:rPr>
          <w:rFonts w:ascii="Book Antiqua" w:hAnsi="Book Antiqua" w:hint="eastAsia"/>
          <w:szCs w:val="24"/>
        </w:rPr>
        <w:t xml:space="preserve"> </w:t>
      </w:r>
      <w:r w:rsidR="00582028" w:rsidRPr="00CE6F35">
        <w:rPr>
          <w:rFonts w:ascii="Book Antiqua" w:hAnsi="Book Antiqua" w:hint="eastAsia"/>
          <w:szCs w:val="24"/>
          <w:vertAlign w:val="superscript"/>
        </w:rPr>
        <w:t>1</w:t>
      </w:r>
      <w:r w:rsidRPr="00CE6F35">
        <w:rPr>
          <w:rFonts w:ascii="Book Antiqua" w:hAnsi="Book Antiqua"/>
          <w:szCs w:val="24"/>
        </w:rPr>
        <w:t xml:space="preserve">ORs of the genotypes were calculated adjusting for age, sex and </w:t>
      </w:r>
      <w:r w:rsidRPr="00CE6F35">
        <w:rPr>
          <w:rFonts w:ascii="Book Antiqua" w:hAnsi="Book Antiqua"/>
          <w:i/>
          <w:szCs w:val="24"/>
        </w:rPr>
        <w:t>H. pylori</w:t>
      </w:r>
      <w:r w:rsidR="00793D7F">
        <w:rPr>
          <w:rFonts w:ascii="Book Antiqua" w:hAnsi="Book Antiqua" w:hint="eastAsia"/>
          <w:i/>
          <w:szCs w:val="24"/>
        </w:rPr>
        <w:t xml:space="preserve"> </w:t>
      </w:r>
      <w:r w:rsidRPr="00CE6F35">
        <w:rPr>
          <w:rFonts w:ascii="Book Antiqua" w:hAnsi="Book Antiqua"/>
          <w:szCs w:val="24"/>
        </w:rPr>
        <w:t>infection in logistic regression model</w:t>
      </w:r>
      <w:r w:rsidR="00582028" w:rsidRPr="00CE6F35">
        <w:rPr>
          <w:rFonts w:ascii="Book Antiqua" w:hAnsi="Book Antiqua" w:hint="eastAsia"/>
          <w:szCs w:val="24"/>
        </w:rPr>
        <w:t xml:space="preserve">; </w:t>
      </w:r>
      <w:r w:rsidR="00582028" w:rsidRPr="00CE6F35">
        <w:rPr>
          <w:rFonts w:ascii="Book Antiqua" w:hAnsi="Book Antiqua" w:hint="eastAsia"/>
          <w:szCs w:val="24"/>
          <w:vertAlign w:val="superscript"/>
        </w:rPr>
        <w:t>2</w:t>
      </w:r>
      <w:r w:rsidRPr="00CE6F35">
        <w:rPr>
          <w:rFonts w:ascii="Book Antiqua" w:hAnsi="Book Antiqua"/>
          <w:szCs w:val="24"/>
        </w:rPr>
        <w:t>The haplotype was lined with P-534, P170 and P1527 and displayed as percentage.</w:t>
      </w:r>
      <w:r w:rsidRPr="00CE6F35">
        <w:rPr>
          <w:rFonts w:ascii="Book Antiqua" w:hAnsi="Book Antiqua"/>
          <w:szCs w:val="24"/>
        </w:rPr>
        <w:br w:type="page"/>
      </w:r>
    </w:p>
    <w:p w:rsidR="00641FB0" w:rsidRPr="00CE6F35" w:rsidRDefault="00641FB0" w:rsidP="00F24268">
      <w:pPr>
        <w:adjustRightInd w:val="0"/>
        <w:snapToGrid w:val="0"/>
        <w:rPr>
          <w:rFonts w:ascii="Book Antiqua" w:hAnsi="Book Antiqua"/>
          <w:b/>
          <w:szCs w:val="24"/>
        </w:rPr>
      </w:pPr>
      <w:r w:rsidRPr="00CE6F35">
        <w:rPr>
          <w:rFonts w:ascii="Book Antiqua" w:hAnsi="Book Antiqua"/>
          <w:b/>
          <w:szCs w:val="24"/>
        </w:rPr>
        <w:lastRenderedPageBreak/>
        <w:t xml:space="preserve">Table 4 Distributions of genotypes according to clinical parameters in </w:t>
      </w:r>
      <w:r w:rsidR="00582028" w:rsidRPr="00CE6F35">
        <w:rPr>
          <w:rFonts w:ascii="Book Antiqua" w:hAnsi="Book Antiqua" w:hint="eastAsia"/>
          <w:b/>
          <w:szCs w:val="24"/>
        </w:rPr>
        <w:t>gastric cancer</w:t>
      </w:r>
      <w:r w:rsidRPr="00CE6F35">
        <w:rPr>
          <w:rFonts w:ascii="Book Antiqua" w:hAnsi="Book Antiqua"/>
          <w:b/>
          <w:szCs w:val="24"/>
        </w:rPr>
        <w:t xml:space="preserve"> cases</w:t>
      </w:r>
    </w:p>
    <w:tbl>
      <w:tblPr>
        <w:tblW w:w="0" w:type="auto"/>
        <w:jc w:val="center"/>
        <w:tblBorders>
          <w:top w:val="single" w:sz="12" w:space="0" w:color="008000"/>
          <w:bottom w:val="single" w:sz="12" w:space="0" w:color="008000"/>
        </w:tblBorders>
        <w:tblLook w:val="00A0" w:firstRow="1" w:lastRow="0" w:firstColumn="1" w:lastColumn="0" w:noHBand="0" w:noVBand="0"/>
      </w:tblPr>
      <w:tblGrid>
        <w:gridCol w:w="2424"/>
        <w:gridCol w:w="1085"/>
        <w:gridCol w:w="1086"/>
        <w:gridCol w:w="1265"/>
        <w:gridCol w:w="926"/>
        <w:gridCol w:w="1086"/>
        <w:gridCol w:w="1206"/>
        <w:gridCol w:w="1086"/>
        <w:gridCol w:w="756"/>
        <w:gridCol w:w="1122"/>
        <w:gridCol w:w="1206"/>
        <w:gridCol w:w="926"/>
      </w:tblGrid>
      <w:tr w:rsidR="00641FB0" w:rsidRPr="00CE6F35" w:rsidTr="00522AA8">
        <w:trPr>
          <w:jc w:val="center"/>
        </w:trPr>
        <w:tc>
          <w:tcPr>
            <w:tcW w:w="0" w:type="auto"/>
            <w:vMerge w:val="restart"/>
            <w:tcBorders>
              <w:top w:val="single" w:sz="12" w:space="0" w:color="008000"/>
              <w:bottom w:val="single" w:sz="6" w:space="0" w:color="008000"/>
            </w:tcBorders>
            <w:vAlign w:val="center"/>
          </w:tcPr>
          <w:p w:rsidR="00641FB0" w:rsidRPr="00CE6F35" w:rsidRDefault="00641FB0" w:rsidP="00582028">
            <w:pPr>
              <w:autoSpaceDE w:val="0"/>
              <w:autoSpaceDN w:val="0"/>
              <w:adjustRightInd w:val="0"/>
              <w:snapToGrid w:val="0"/>
              <w:jc w:val="left"/>
              <w:rPr>
                <w:rFonts w:ascii="Book Antiqua" w:hAnsi="Book Antiqua"/>
                <w:b/>
                <w:kern w:val="0"/>
                <w:szCs w:val="24"/>
              </w:rPr>
            </w:pPr>
          </w:p>
        </w:tc>
        <w:tc>
          <w:tcPr>
            <w:tcW w:w="0" w:type="auto"/>
            <w:gridSpan w:val="3"/>
            <w:tcBorders>
              <w:top w:val="single" w:sz="12" w:space="0" w:color="008000"/>
              <w:bottom w:val="single" w:sz="6" w:space="0" w:color="008000"/>
            </w:tcBorders>
          </w:tcPr>
          <w:p w:rsidR="00641FB0" w:rsidRPr="00CE6F35" w:rsidRDefault="00641FB0" w:rsidP="00582028">
            <w:pPr>
              <w:autoSpaceDE w:val="0"/>
              <w:autoSpaceDN w:val="0"/>
              <w:adjustRightInd w:val="0"/>
              <w:snapToGrid w:val="0"/>
              <w:jc w:val="center"/>
              <w:rPr>
                <w:rFonts w:ascii="Book Antiqua" w:hAnsi="Book Antiqua"/>
                <w:b/>
                <w:kern w:val="0"/>
                <w:szCs w:val="24"/>
              </w:rPr>
            </w:pPr>
            <w:r w:rsidRPr="00CE6F35">
              <w:rPr>
                <w:rFonts w:ascii="Book Antiqua" w:hAnsi="Book Antiqua"/>
                <w:b/>
                <w:kern w:val="0"/>
                <w:szCs w:val="24"/>
              </w:rPr>
              <w:t>P534</w:t>
            </w:r>
          </w:p>
        </w:tc>
        <w:tc>
          <w:tcPr>
            <w:tcW w:w="0" w:type="auto"/>
            <w:vMerge w:val="restart"/>
            <w:tcBorders>
              <w:top w:val="single" w:sz="12" w:space="0" w:color="008000"/>
            </w:tcBorders>
            <w:vAlign w:val="center"/>
          </w:tcPr>
          <w:p w:rsidR="00641FB0" w:rsidRPr="00CE6F35" w:rsidRDefault="00641FB0" w:rsidP="00582028">
            <w:pPr>
              <w:autoSpaceDE w:val="0"/>
              <w:autoSpaceDN w:val="0"/>
              <w:adjustRightInd w:val="0"/>
              <w:snapToGrid w:val="0"/>
              <w:jc w:val="center"/>
              <w:rPr>
                <w:rFonts w:ascii="Book Antiqua" w:hAnsi="Book Antiqua"/>
                <w:b/>
                <w:kern w:val="0"/>
                <w:szCs w:val="24"/>
              </w:rPr>
            </w:pPr>
            <w:r w:rsidRPr="00CE6F35">
              <w:rPr>
                <w:rFonts w:ascii="Book Antiqua" w:hAnsi="Book Antiqua"/>
                <w:b/>
                <w:bCs/>
                <w:i/>
                <w:iCs/>
                <w:kern w:val="0"/>
                <w:szCs w:val="24"/>
              </w:rPr>
              <w:t>P</w:t>
            </w:r>
            <w:r w:rsidR="00582028" w:rsidRPr="00CE6F35">
              <w:rPr>
                <w:rFonts w:ascii="Book Antiqua" w:hAnsi="Book Antiqua" w:hint="eastAsia"/>
                <w:b/>
                <w:bCs/>
                <w:i/>
                <w:iCs/>
                <w:kern w:val="0"/>
                <w:szCs w:val="24"/>
              </w:rPr>
              <w:t xml:space="preserve"> </w:t>
            </w:r>
            <w:r w:rsidR="00582028" w:rsidRPr="00CE6F35">
              <w:rPr>
                <w:rFonts w:ascii="Book Antiqua" w:hAnsi="Book Antiqua" w:hint="eastAsia"/>
                <w:b/>
                <w:bCs/>
                <w:iCs/>
                <w:kern w:val="0"/>
                <w:szCs w:val="24"/>
              </w:rPr>
              <w:t>value</w:t>
            </w:r>
          </w:p>
        </w:tc>
        <w:tc>
          <w:tcPr>
            <w:tcW w:w="0" w:type="auto"/>
            <w:gridSpan w:val="3"/>
            <w:tcBorders>
              <w:top w:val="single" w:sz="12" w:space="0" w:color="008000"/>
              <w:bottom w:val="single" w:sz="6" w:space="0" w:color="008000"/>
            </w:tcBorders>
            <w:vAlign w:val="center"/>
          </w:tcPr>
          <w:p w:rsidR="00641FB0" w:rsidRPr="00CE6F35" w:rsidRDefault="00641FB0" w:rsidP="00582028">
            <w:pPr>
              <w:autoSpaceDE w:val="0"/>
              <w:autoSpaceDN w:val="0"/>
              <w:adjustRightInd w:val="0"/>
              <w:snapToGrid w:val="0"/>
              <w:jc w:val="center"/>
              <w:rPr>
                <w:rFonts w:ascii="Book Antiqua" w:hAnsi="Book Antiqua"/>
                <w:b/>
                <w:kern w:val="0"/>
                <w:szCs w:val="24"/>
              </w:rPr>
            </w:pPr>
            <w:r w:rsidRPr="00CE6F35">
              <w:rPr>
                <w:rFonts w:ascii="Book Antiqua" w:hAnsi="Book Antiqua"/>
                <w:b/>
                <w:kern w:val="0"/>
                <w:szCs w:val="24"/>
              </w:rPr>
              <w:t>P170</w:t>
            </w:r>
          </w:p>
        </w:tc>
        <w:tc>
          <w:tcPr>
            <w:tcW w:w="0" w:type="auto"/>
            <w:vMerge w:val="restart"/>
            <w:tcBorders>
              <w:top w:val="single" w:sz="12" w:space="0" w:color="008000"/>
              <w:bottom w:val="single" w:sz="6" w:space="0" w:color="008000"/>
            </w:tcBorders>
            <w:vAlign w:val="center"/>
          </w:tcPr>
          <w:p w:rsidR="00641FB0" w:rsidRPr="00CE6F35" w:rsidRDefault="00641FB0" w:rsidP="00582028">
            <w:pPr>
              <w:autoSpaceDE w:val="0"/>
              <w:autoSpaceDN w:val="0"/>
              <w:adjustRightInd w:val="0"/>
              <w:snapToGrid w:val="0"/>
              <w:jc w:val="center"/>
              <w:rPr>
                <w:rFonts w:ascii="Book Antiqua" w:hAnsi="Book Antiqua"/>
                <w:b/>
                <w:kern w:val="0"/>
                <w:szCs w:val="24"/>
              </w:rPr>
            </w:pPr>
            <w:r w:rsidRPr="00CE6F35">
              <w:rPr>
                <w:rFonts w:ascii="Book Antiqua" w:hAnsi="Book Antiqua"/>
                <w:b/>
                <w:bCs/>
                <w:i/>
                <w:iCs/>
                <w:kern w:val="0"/>
                <w:szCs w:val="24"/>
              </w:rPr>
              <w:t>P</w:t>
            </w:r>
          </w:p>
        </w:tc>
        <w:tc>
          <w:tcPr>
            <w:tcW w:w="0" w:type="auto"/>
            <w:gridSpan w:val="2"/>
            <w:tcBorders>
              <w:top w:val="single" w:sz="12" w:space="0" w:color="008000"/>
              <w:bottom w:val="single" w:sz="6" w:space="0" w:color="008000"/>
            </w:tcBorders>
            <w:vAlign w:val="center"/>
          </w:tcPr>
          <w:p w:rsidR="00641FB0" w:rsidRPr="00CE6F35" w:rsidRDefault="00641FB0" w:rsidP="00582028">
            <w:pPr>
              <w:autoSpaceDE w:val="0"/>
              <w:autoSpaceDN w:val="0"/>
              <w:adjustRightInd w:val="0"/>
              <w:snapToGrid w:val="0"/>
              <w:jc w:val="center"/>
              <w:rPr>
                <w:rFonts w:ascii="Book Antiqua" w:hAnsi="Book Antiqua"/>
                <w:b/>
                <w:kern w:val="0"/>
                <w:szCs w:val="24"/>
              </w:rPr>
            </w:pPr>
            <w:r w:rsidRPr="00CE6F35">
              <w:rPr>
                <w:rFonts w:ascii="Book Antiqua" w:hAnsi="Book Antiqua"/>
                <w:b/>
                <w:kern w:val="0"/>
                <w:szCs w:val="24"/>
              </w:rPr>
              <w:t>P1527</w:t>
            </w:r>
          </w:p>
        </w:tc>
        <w:tc>
          <w:tcPr>
            <w:tcW w:w="0" w:type="auto"/>
            <w:vMerge w:val="restart"/>
            <w:tcBorders>
              <w:top w:val="single" w:sz="12" w:space="0" w:color="008000"/>
              <w:bottom w:val="single" w:sz="6" w:space="0" w:color="008000"/>
            </w:tcBorders>
            <w:vAlign w:val="center"/>
          </w:tcPr>
          <w:p w:rsidR="00641FB0" w:rsidRPr="00CE6F35" w:rsidRDefault="00641FB0" w:rsidP="00582028">
            <w:pPr>
              <w:autoSpaceDE w:val="0"/>
              <w:autoSpaceDN w:val="0"/>
              <w:adjustRightInd w:val="0"/>
              <w:snapToGrid w:val="0"/>
              <w:jc w:val="center"/>
              <w:rPr>
                <w:rFonts w:ascii="Book Antiqua" w:hAnsi="Book Antiqua"/>
                <w:b/>
                <w:kern w:val="0"/>
                <w:szCs w:val="24"/>
              </w:rPr>
            </w:pPr>
            <w:r w:rsidRPr="00CE6F35">
              <w:rPr>
                <w:rFonts w:ascii="Book Antiqua" w:hAnsi="Book Antiqua"/>
                <w:b/>
                <w:bCs/>
                <w:i/>
                <w:iCs/>
                <w:kern w:val="0"/>
                <w:szCs w:val="24"/>
              </w:rPr>
              <w:t>P</w:t>
            </w:r>
            <w:r w:rsidR="00582028" w:rsidRPr="00CE6F35">
              <w:rPr>
                <w:rFonts w:ascii="Book Antiqua" w:hAnsi="Book Antiqua" w:hint="eastAsia"/>
                <w:b/>
                <w:bCs/>
                <w:i/>
                <w:iCs/>
                <w:kern w:val="0"/>
                <w:szCs w:val="24"/>
              </w:rPr>
              <w:t xml:space="preserve"> </w:t>
            </w:r>
            <w:r w:rsidR="00582028" w:rsidRPr="00CE6F35">
              <w:rPr>
                <w:rFonts w:ascii="Book Antiqua" w:hAnsi="Book Antiqua" w:hint="eastAsia"/>
                <w:b/>
                <w:bCs/>
                <w:iCs/>
                <w:kern w:val="0"/>
                <w:szCs w:val="24"/>
              </w:rPr>
              <w:t>value</w:t>
            </w:r>
          </w:p>
        </w:tc>
      </w:tr>
      <w:tr w:rsidR="00641FB0" w:rsidRPr="00CE6F35" w:rsidTr="00582028">
        <w:trPr>
          <w:trHeight w:val="505"/>
          <w:jc w:val="center"/>
        </w:trPr>
        <w:tc>
          <w:tcPr>
            <w:tcW w:w="0" w:type="auto"/>
            <w:vMerge/>
            <w:tcBorders>
              <w:bottom w:val="single" w:sz="8" w:space="0" w:color="117916"/>
            </w:tcBorders>
            <w:vAlign w:val="center"/>
          </w:tcPr>
          <w:p w:rsidR="00641FB0" w:rsidRPr="00CE6F35" w:rsidRDefault="00641FB0" w:rsidP="00582028">
            <w:pPr>
              <w:autoSpaceDE w:val="0"/>
              <w:autoSpaceDN w:val="0"/>
              <w:adjustRightInd w:val="0"/>
              <w:snapToGrid w:val="0"/>
              <w:jc w:val="left"/>
              <w:rPr>
                <w:rFonts w:ascii="Book Antiqua" w:hAnsi="Book Antiqua"/>
                <w:kern w:val="0"/>
                <w:szCs w:val="24"/>
              </w:rPr>
            </w:pPr>
          </w:p>
        </w:tc>
        <w:tc>
          <w:tcPr>
            <w:tcW w:w="0" w:type="auto"/>
            <w:tcBorders>
              <w:bottom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b/>
                <w:kern w:val="0"/>
                <w:szCs w:val="24"/>
              </w:rPr>
            </w:pPr>
            <w:r w:rsidRPr="00CE6F35">
              <w:rPr>
                <w:rFonts w:ascii="Book Antiqua" w:hAnsi="Book Antiqua"/>
                <w:b/>
                <w:kern w:val="0"/>
                <w:szCs w:val="24"/>
              </w:rPr>
              <w:t>C/C</w:t>
            </w:r>
          </w:p>
        </w:tc>
        <w:tc>
          <w:tcPr>
            <w:tcW w:w="0" w:type="auto"/>
            <w:tcBorders>
              <w:bottom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b/>
                <w:kern w:val="0"/>
                <w:szCs w:val="24"/>
              </w:rPr>
            </w:pPr>
            <w:r w:rsidRPr="00CE6F35">
              <w:rPr>
                <w:rFonts w:ascii="Book Antiqua" w:hAnsi="Book Antiqua"/>
                <w:b/>
                <w:kern w:val="0"/>
                <w:szCs w:val="24"/>
              </w:rPr>
              <w:t>C/A</w:t>
            </w:r>
          </w:p>
        </w:tc>
        <w:tc>
          <w:tcPr>
            <w:tcW w:w="0" w:type="auto"/>
            <w:tcBorders>
              <w:bottom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b/>
                <w:kern w:val="0"/>
                <w:szCs w:val="24"/>
              </w:rPr>
            </w:pPr>
            <w:r w:rsidRPr="00CE6F35">
              <w:rPr>
                <w:rFonts w:ascii="Book Antiqua" w:hAnsi="Book Antiqua"/>
                <w:b/>
                <w:kern w:val="0"/>
                <w:szCs w:val="24"/>
              </w:rPr>
              <w:t>A/A</w:t>
            </w:r>
          </w:p>
        </w:tc>
        <w:tc>
          <w:tcPr>
            <w:tcW w:w="0" w:type="auto"/>
            <w:vMerge/>
            <w:tcBorders>
              <w:bottom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b/>
                <w:kern w:val="0"/>
                <w:szCs w:val="24"/>
              </w:rPr>
            </w:pPr>
          </w:p>
        </w:tc>
        <w:tc>
          <w:tcPr>
            <w:tcW w:w="0" w:type="auto"/>
            <w:tcBorders>
              <w:bottom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b/>
                <w:kern w:val="0"/>
                <w:szCs w:val="24"/>
              </w:rPr>
            </w:pPr>
            <w:r w:rsidRPr="00CE6F35">
              <w:rPr>
                <w:rFonts w:ascii="Book Antiqua" w:hAnsi="Book Antiqua"/>
                <w:b/>
                <w:kern w:val="0"/>
                <w:szCs w:val="24"/>
              </w:rPr>
              <w:t>C/C</w:t>
            </w:r>
          </w:p>
        </w:tc>
        <w:tc>
          <w:tcPr>
            <w:tcW w:w="0" w:type="auto"/>
            <w:tcBorders>
              <w:bottom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b/>
                <w:kern w:val="0"/>
                <w:szCs w:val="24"/>
              </w:rPr>
            </w:pPr>
            <w:r w:rsidRPr="00CE6F35">
              <w:rPr>
                <w:rFonts w:ascii="Book Antiqua" w:hAnsi="Book Antiqua"/>
                <w:b/>
                <w:kern w:val="0"/>
                <w:szCs w:val="24"/>
              </w:rPr>
              <w:t>C/T</w:t>
            </w:r>
          </w:p>
        </w:tc>
        <w:tc>
          <w:tcPr>
            <w:tcW w:w="0" w:type="auto"/>
            <w:tcBorders>
              <w:bottom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b/>
                <w:kern w:val="0"/>
                <w:szCs w:val="24"/>
              </w:rPr>
            </w:pPr>
            <w:r w:rsidRPr="00CE6F35">
              <w:rPr>
                <w:rFonts w:ascii="Book Antiqua" w:hAnsi="Book Antiqua"/>
                <w:b/>
                <w:kern w:val="0"/>
                <w:szCs w:val="24"/>
              </w:rPr>
              <w:t>T/T</w:t>
            </w:r>
          </w:p>
        </w:tc>
        <w:tc>
          <w:tcPr>
            <w:tcW w:w="0" w:type="auto"/>
            <w:vMerge/>
            <w:tcBorders>
              <w:bottom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b/>
                <w:kern w:val="0"/>
                <w:szCs w:val="24"/>
              </w:rPr>
            </w:pPr>
          </w:p>
        </w:tc>
        <w:tc>
          <w:tcPr>
            <w:tcW w:w="0" w:type="auto"/>
            <w:tcBorders>
              <w:bottom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b/>
                <w:kern w:val="0"/>
                <w:szCs w:val="24"/>
              </w:rPr>
            </w:pPr>
            <w:r w:rsidRPr="00CE6F35">
              <w:rPr>
                <w:rFonts w:ascii="Book Antiqua" w:hAnsi="Book Antiqua"/>
                <w:b/>
                <w:kern w:val="0"/>
                <w:szCs w:val="24"/>
              </w:rPr>
              <w:t>TG/TG</w:t>
            </w:r>
          </w:p>
        </w:tc>
        <w:tc>
          <w:tcPr>
            <w:tcW w:w="0" w:type="auto"/>
            <w:tcBorders>
              <w:bottom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b/>
                <w:kern w:val="0"/>
                <w:szCs w:val="24"/>
              </w:rPr>
            </w:pPr>
            <w:r w:rsidRPr="00CE6F35">
              <w:rPr>
                <w:rFonts w:ascii="Book Antiqua" w:hAnsi="Book Antiqua"/>
                <w:b/>
                <w:kern w:val="0"/>
                <w:szCs w:val="24"/>
              </w:rPr>
              <w:t>TG/del</w:t>
            </w:r>
          </w:p>
        </w:tc>
        <w:tc>
          <w:tcPr>
            <w:tcW w:w="0" w:type="auto"/>
            <w:vMerge/>
            <w:tcBorders>
              <w:bottom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r>
      <w:tr w:rsidR="00641FB0" w:rsidRPr="00CE6F35" w:rsidTr="00522AA8">
        <w:trPr>
          <w:jc w:val="center"/>
        </w:trPr>
        <w:tc>
          <w:tcPr>
            <w:tcW w:w="0" w:type="auto"/>
            <w:tcBorders>
              <w:top w:val="single" w:sz="8" w:space="0" w:color="117916"/>
            </w:tcBorders>
            <w:vAlign w:val="center"/>
          </w:tcPr>
          <w:p w:rsidR="00641FB0" w:rsidRPr="00CE6F35" w:rsidRDefault="00582028" w:rsidP="00582028">
            <w:pPr>
              <w:autoSpaceDE w:val="0"/>
              <w:autoSpaceDN w:val="0"/>
              <w:adjustRightInd w:val="0"/>
              <w:snapToGrid w:val="0"/>
              <w:jc w:val="left"/>
              <w:rPr>
                <w:rFonts w:ascii="Book Antiqua" w:hAnsi="Book Antiqua"/>
                <w:i/>
                <w:kern w:val="0"/>
                <w:szCs w:val="24"/>
              </w:rPr>
            </w:pPr>
            <w:r w:rsidRPr="00CE6F35">
              <w:rPr>
                <w:rFonts w:ascii="Book Antiqua" w:hAnsi="Book Antiqua" w:hint="eastAsia"/>
                <w:i/>
                <w:kern w:val="0"/>
                <w:szCs w:val="24"/>
              </w:rPr>
              <w:t>n</w:t>
            </w:r>
          </w:p>
        </w:tc>
        <w:tc>
          <w:tcPr>
            <w:tcW w:w="0" w:type="auto"/>
            <w:tcBorders>
              <w:top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181</w:t>
            </w:r>
          </w:p>
        </w:tc>
        <w:tc>
          <w:tcPr>
            <w:tcW w:w="0" w:type="auto"/>
            <w:tcBorders>
              <w:top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358</w:t>
            </w:r>
          </w:p>
        </w:tc>
        <w:tc>
          <w:tcPr>
            <w:tcW w:w="0" w:type="auto"/>
            <w:tcBorders>
              <w:top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140</w:t>
            </w:r>
          </w:p>
        </w:tc>
        <w:tc>
          <w:tcPr>
            <w:tcW w:w="0" w:type="auto"/>
            <w:tcBorders>
              <w:top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tcBorders>
              <w:top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295</w:t>
            </w:r>
          </w:p>
        </w:tc>
        <w:tc>
          <w:tcPr>
            <w:tcW w:w="0" w:type="auto"/>
            <w:tcBorders>
              <w:top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308</w:t>
            </w:r>
          </w:p>
        </w:tc>
        <w:tc>
          <w:tcPr>
            <w:tcW w:w="0" w:type="auto"/>
            <w:tcBorders>
              <w:top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76</w:t>
            </w:r>
          </w:p>
        </w:tc>
        <w:tc>
          <w:tcPr>
            <w:tcW w:w="0" w:type="auto"/>
            <w:tcBorders>
              <w:top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tcBorders>
              <w:top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559</w:t>
            </w:r>
          </w:p>
        </w:tc>
        <w:tc>
          <w:tcPr>
            <w:tcW w:w="0" w:type="auto"/>
            <w:tcBorders>
              <w:top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120</w:t>
            </w:r>
          </w:p>
        </w:tc>
        <w:tc>
          <w:tcPr>
            <w:tcW w:w="0" w:type="auto"/>
            <w:tcBorders>
              <w:top w:val="single" w:sz="8" w:space="0" w:color="117916"/>
            </w:tcBorders>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r>
      <w:tr w:rsidR="00641FB0" w:rsidRPr="00CE6F35" w:rsidTr="00522AA8">
        <w:trPr>
          <w:jc w:val="center"/>
        </w:trPr>
        <w:tc>
          <w:tcPr>
            <w:tcW w:w="0" w:type="auto"/>
            <w:vAlign w:val="center"/>
          </w:tcPr>
          <w:p w:rsidR="00641FB0" w:rsidRPr="00CE6F35" w:rsidRDefault="00582028" w:rsidP="00582028">
            <w:pPr>
              <w:widowControl/>
              <w:autoSpaceDE w:val="0"/>
              <w:autoSpaceDN w:val="0"/>
              <w:adjustRightInd w:val="0"/>
              <w:snapToGrid w:val="0"/>
              <w:jc w:val="left"/>
              <w:rPr>
                <w:rFonts w:ascii="Book Antiqua" w:hAnsi="Book Antiqua"/>
                <w:kern w:val="0"/>
                <w:szCs w:val="24"/>
              </w:rPr>
            </w:pPr>
            <w:r w:rsidRPr="00CE6F35">
              <w:rPr>
                <w:rFonts w:ascii="Book Antiqua" w:hAnsi="Book Antiqua"/>
                <w:kern w:val="0"/>
                <w:szCs w:val="24"/>
              </w:rPr>
              <w:t>Age</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60 (53-70)</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61 (54-71)</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61 (55-70)</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0.715</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61 (53-71)</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61 (54-70)</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63 (56-70)</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0.658</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61 (54-70)</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60 (51-71)</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0.307</w:t>
            </w:r>
          </w:p>
        </w:tc>
      </w:tr>
      <w:tr w:rsidR="00641FB0" w:rsidRPr="00CE6F35" w:rsidTr="00522AA8">
        <w:trPr>
          <w:jc w:val="center"/>
        </w:trPr>
        <w:tc>
          <w:tcPr>
            <w:tcW w:w="0" w:type="auto"/>
            <w:vAlign w:val="center"/>
          </w:tcPr>
          <w:p w:rsidR="00641FB0" w:rsidRPr="00CE6F35" w:rsidRDefault="00641FB0" w:rsidP="00582028">
            <w:pPr>
              <w:autoSpaceDE w:val="0"/>
              <w:autoSpaceDN w:val="0"/>
              <w:adjustRightInd w:val="0"/>
              <w:snapToGrid w:val="0"/>
              <w:jc w:val="left"/>
              <w:rPr>
                <w:rFonts w:ascii="Book Antiqua" w:hAnsi="Book Antiqua"/>
                <w:kern w:val="0"/>
                <w:szCs w:val="24"/>
              </w:rPr>
            </w:pPr>
            <w:r w:rsidRPr="00CE6F35">
              <w:rPr>
                <w:rFonts w:ascii="Book Antiqua" w:hAnsi="Book Antiqua"/>
                <w:kern w:val="0"/>
                <w:szCs w:val="24"/>
              </w:rPr>
              <w:t>Sex</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r>
      <w:tr w:rsidR="00641FB0" w:rsidRPr="00CE6F35" w:rsidTr="00522AA8">
        <w:trPr>
          <w:jc w:val="center"/>
        </w:trPr>
        <w:tc>
          <w:tcPr>
            <w:tcW w:w="0" w:type="auto"/>
            <w:vAlign w:val="center"/>
          </w:tcPr>
          <w:p w:rsidR="00641FB0" w:rsidRPr="00CE6F35" w:rsidRDefault="00641FB0" w:rsidP="00582028">
            <w:pPr>
              <w:autoSpaceDE w:val="0"/>
              <w:autoSpaceDN w:val="0"/>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Male</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27.3</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50.3</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22.4</w:t>
            </w:r>
          </w:p>
        </w:tc>
        <w:tc>
          <w:tcPr>
            <w:tcW w:w="0" w:type="auto"/>
            <w:vMerge w:val="restart"/>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0.092</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43.9</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44.2</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11.9</w:t>
            </w:r>
          </w:p>
        </w:tc>
        <w:tc>
          <w:tcPr>
            <w:tcW w:w="0" w:type="auto"/>
            <w:vMerge w:val="restart"/>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0.485</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83.6</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16.4</w:t>
            </w:r>
          </w:p>
        </w:tc>
        <w:tc>
          <w:tcPr>
            <w:tcW w:w="0" w:type="auto"/>
            <w:vMerge w:val="restart"/>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0.172</w:t>
            </w:r>
          </w:p>
        </w:tc>
      </w:tr>
      <w:tr w:rsidR="00641FB0" w:rsidRPr="00CE6F35" w:rsidTr="00522AA8">
        <w:trPr>
          <w:jc w:val="center"/>
        </w:trPr>
        <w:tc>
          <w:tcPr>
            <w:tcW w:w="0" w:type="auto"/>
            <w:vAlign w:val="center"/>
          </w:tcPr>
          <w:p w:rsidR="00641FB0" w:rsidRPr="00CE6F35" w:rsidRDefault="00582028" w:rsidP="00582028">
            <w:pPr>
              <w:autoSpaceDE w:val="0"/>
              <w:autoSpaceDN w:val="0"/>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Female</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25.0</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58.9</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16.1</w:t>
            </w:r>
          </w:p>
        </w:tc>
        <w:tc>
          <w:tcPr>
            <w:tcW w:w="0" w:type="auto"/>
            <w:vMerge/>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42.2</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48.4</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9.4</w:t>
            </w:r>
          </w:p>
        </w:tc>
        <w:tc>
          <w:tcPr>
            <w:tcW w:w="0" w:type="auto"/>
            <w:vMerge/>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79.2</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20.8</w:t>
            </w:r>
          </w:p>
        </w:tc>
        <w:tc>
          <w:tcPr>
            <w:tcW w:w="0" w:type="auto"/>
            <w:vMerge/>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r>
      <w:tr w:rsidR="00641FB0" w:rsidRPr="00CE6F35" w:rsidTr="00522AA8">
        <w:trPr>
          <w:jc w:val="center"/>
        </w:trPr>
        <w:tc>
          <w:tcPr>
            <w:tcW w:w="0" w:type="auto"/>
            <w:vAlign w:val="center"/>
          </w:tcPr>
          <w:p w:rsidR="00641FB0" w:rsidRPr="00CE6F35" w:rsidRDefault="00641FB0" w:rsidP="00582028">
            <w:pPr>
              <w:widowControl/>
              <w:autoSpaceDE w:val="0"/>
              <w:autoSpaceDN w:val="0"/>
              <w:adjustRightInd w:val="0"/>
              <w:snapToGrid w:val="0"/>
              <w:jc w:val="left"/>
              <w:rPr>
                <w:rFonts w:ascii="Book Antiqua" w:hAnsi="Book Antiqua"/>
                <w:i/>
                <w:iCs/>
                <w:kern w:val="0"/>
                <w:szCs w:val="24"/>
              </w:rPr>
            </w:pPr>
            <w:r w:rsidRPr="00CE6F35">
              <w:rPr>
                <w:rFonts w:ascii="Book Antiqua" w:hAnsi="Book Antiqua"/>
                <w:i/>
                <w:kern w:val="0"/>
                <w:szCs w:val="24"/>
              </w:rPr>
              <w:t>H. pylori</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r>
      <w:tr w:rsidR="00641FB0" w:rsidRPr="00CE6F35" w:rsidTr="00522AA8">
        <w:trPr>
          <w:jc w:val="center"/>
        </w:trPr>
        <w:tc>
          <w:tcPr>
            <w:tcW w:w="0" w:type="auto"/>
            <w:vAlign w:val="center"/>
          </w:tcPr>
          <w:p w:rsidR="00641FB0" w:rsidRPr="00CE6F35" w:rsidRDefault="00582028" w:rsidP="00582028">
            <w:pPr>
              <w:widowControl/>
              <w:autoSpaceDE w:val="0"/>
              <w:autoSpaceDN w:val="0"/>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Positive</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26.3</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53.4</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20.3</w:t>
            </w:r>
          </w:p>
        </w:tc>
        <w:tc>
          <w:tcPr>
            <w:tcW w:w="0" w:type="auto"/>
            <w:vMerge w:val="restart"/>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0.905</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42.6</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46.1</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11.3</w:t>
            </w:r>
          </w:p>
        </w:tc>
        <w:tc>
          <w:tcPr>
            <w:tcW w:w="0" w:type="auto"/>
            <w:vMerge w:val="restart"/>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0.769</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82.3</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17.7</w:t>
            </w:r>
          </w:p>
        </w:tc>
        <w:tc>
          <w:tcPr>
            <w:tcW w:w="0" w:type="auto"/>
            <w:vMerge w:val="restart"/>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0.996</w:t>
            </w:r>
          </w:p>
        </w:tc>
      </w:tr>
      <w:tr w:rsidR="00641FB0" w:rsidRPr="00CE6F35" w:rsidTr="00522AA8">
        <w:trPr>
          <w:jc w:val="center"/>
        </w:trPr>
        <w:tc>
          <w:tcPr>
            <w:tcW w:w="0" w:type="auto"/>
            <w:vAlign w:val="center"/>
          </w:tcPr>
          <w:p w:rsidR="00641FB0" w:rsidRPr="00CE6F35" w:rsidRDefault="00582028" w:rsidP="00582028">
            <w:pPr>
              <w:widowControl/>
              <w:autoSpaceDE w:val="0"/>
              <w:autoSpaceDN w:val="0"/>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Negative</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27.0</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51.6</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21.4</w:t>
            </w:r>
          </w:p>
        </w:tc>
        <w:tc>
          <w:tcPr>
            <w:tcW w:w="0" w:type="auto"/>
            <w:vMerge/>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45.6</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43.7</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10.7</w:t>
            </w:r>
          </w:p>
        </w:tc>
        <w:tc>
          <w:tcPr>
            <w:tcW w:w="0" w:type="auto"/>
            <w:vMerge/>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82.3</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17.7</w:t>
            </w:r>
          </w:p>
        </w:tc>
        <w:tc>
          <w:tcPr>
            <w:tcW w:w="0" w:type="auto"/>
            <w:vMerge/>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r>
      <w:tr w:rsidR="00641FB0" w:rsidRPr="00CE6F35" w:rsidTr="00522AA8">
        <w:trPr>
          <w:jc w:val="center"/>
        </w:trPr>
        <w:tc>
          <w:tcPr>
            <w:tcW w:w="0" w:type="auto"/>
            <w:vAlign w:val="center"/>
          </w:tcPr>
          <w:p w:rsidR="00641FB0" w:rsidRPr="00CE6F35" w:rsidRDefault="00641FB0" w:rsidP="00582028">
            <w:pPr>
              <w:autoSpaceDE w:val="0"/>
              <w:autoSpaceDN w:val="0"/>
              <w:adjustRightInd w:val="0"/>
              <w:snapToGrid w:val="0"/>
              <w:jc w:val="left"/>
              <w:rPr>
                <w:rFonts w:ascii="Book Antiqua" w:hAnsi="Book Antiqua"/>
                <w:kern w:val="0"/>
                <w:szCs w:val="24"/>
              </w:rPr>
            </w:pPr>
            <w:r w:rsidRPr="00CE6F35">
              <w:rPr>
                <w:rFonts w:ascii="Book Antiqua" w:hAnsi="Book Antiqua"/>
                <w:kern w:val="0"/>
                <w:szCs w:val="24"/>
              </w:rPr>
              <w:t>Differentiation</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r>
      <w:tr w:rsidR="00641FB0" w:rsidRPr="00CE6F35" w:rsidTr="00522AA8">
        <w:trPr>
          <w:jc w:val="center"/>
        </w:trPr>
        <w:tc>
          <w:tcPr>
            <w:tcW w:w="0" w:type="auto"/>
            <w:vAlign w:val="center"/>
          </w:tcPr>
          <w:p w:rsidR="00641FB0" w:rsidRPr="00CE6F35" w:rsidRDefault="00582028" w:rsidP="00582028">
            <w:pPr>
              <w:autoSpaceDE w:val="0"/>
              <w:autoSpaceDN w:val="0"/>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Poor</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24.7</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55.8</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19.5</w:t>
            </w:r>
          </w:p>
        </w:tc>
        <w:tc>
          <w:tcPr>
            <w:tcW w:w="0" w:type="auto"/>
            <w:vMerge w:val="restart"/>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0.070</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43.5</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47.4</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9.2</w:t>
            </w:r>
          </w:p>
        </w:tc>
        <w:tc>
          <w:tcPr>
            <w:tcW w:w="0" w:type="auto"/>
            <w:vMerge w:val="restart"/>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0.055</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81.5</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18.5</w:t>
            </w:r>
          </w:p>
        </w:tc>
        <w:tc>
          <w:tcPr>
            <w:tcW w:w="0" w:type="auto"/>
            <w:vMerge w:val="restart"/>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0.500</w:t>
            </w:r>
          </w:p>
        </w:tc>
      </w:tr>
      <w:tr w:rsidR="00641FB0" w:rsidRPr="00CE6F35" w:rsidTr="00522AA8">
        <w:trPr>
          <w:jc w:val="center"/>
        </w:trPr>
        <w:tc>
          <w:tcPr>
            <w:tcW w:w="0" w:type="auto"/>
            <w:vAlign w:val="center"/>
          </w:tcPr>
          <w:p w:rsidR="00641FB0" w:rsidRPr="00CE6F35" w:rsidRDefault="00641FB0" w:rsidP="00582028">
            <w:pPr>
              <w:autoSpaceDE w:val="0"/>
              <w:autoSpaceDN w:val="0"/>
              <w:adjustRightInd w:val="0"/>
              <w:snapToGrid w:val="0"/>
              <w:ind w:firstLineChars="50" w:firstLine="120"/>
              <w:jc w:val="left"/>
              <w:rPr>
                <w:rFonts w:ascii="Book Antiqua" w:hAnsi="Book Antiqua"/>
                <w:kern w:val="0"/>
                <w:szCs w:val="24"/>
              </w:rPr>
            </w:pPr>
            <w:r w:rsidRPr="00CE6F35">
              <w:rPr>
                <w:rFonts w:ascii="Book Antiqua" w:hAnsi="Book Antiqua"/>
                <w:kern w:val="0"/>
                <w:szCs w:val="24"/>
              </w:rPr>
              <w:t>Moderate to well</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30.2</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46.0</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23.8</w:t>
            </w:r>
          </w:p>
        </w:tc>
        <w:tc>
          <w:tcPr>
            <w:tcW w:w="0" w:type="auto"/>
            <w:vMerge/>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45.0</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40.1</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14.8</w:t>
            </w:r>
          </w:p>
        </w:tc>
        <w:tc>
          <w:tcPr>
            <w:tcW w:w="0" w:type="auto"/>
            <w:vMerge/>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83.7</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16.3</w:t>
            </w:r>
          </w:p>
        </w:tc>
        <w:tc>
          <w:tcPr>
            <w:tcW w:w="0" w:type="auto"/>
            <w:vMerge/>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r>
      <w:tr w:rsidR="00641FB0" w:rsidRPr="00CE6F35" w:rsidTr="00522AA8">
        <w:trPr>
          <w:jc w:val="center"/>
        </w:trPr>
        <w:tc>
          <w:tcPr>
            <w:tcW w:w="0" w:type="auto"/>
            <w:vAlign w:val="center"/>
          </w:tcPr>
          <w:p w:rsidR="00641FB0" w:rsidRPr="00CE6F35" w:rsidRDefault="00641FB0" w:rsidP="00582028">
            <w:pPr>
              <w:autoSpaceDE w:val="0"/>
              <w:autoSpaceDN w:val="0"/>
              <w:adjustRightInd w:val="0"/>
              <w:snapToGrid w:val="0"/>
              <w:jc w:val="left"/>
              <w:rPr>
                <w:rFonts w:ascii="Book Antiqua" w:hAnsi="Book Antiqua"/>
                <w:kern w:val="0"/>
                <w:szCs w:val="24"/>
              </w:rPr>
            </w:pPr>
            <w:r w:rsidRPr="00CE6F35">
              <w:rPr>
                <w:rFonts w:ascii="Book Antiqua" w:hAnsi="Book Antiqua"/>
                <w:kern w:val="0"/>
                <w:szCs w:val="24"/>
              </w:rPr>
              <w:t>TNM stage</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r>
      <w:tr w:rsidR="00641FB0" w:rsidRPr="00CE6F35" w:rsidTr="00522AA8">
        <w:trPr>
          <w:jc w:val="center"/>
        </w:trPr>
        <w:tc>
          <w:tcPr>
            <w:tcW w:w="0" w:type="auto"/>
            <w:vAlign w:val="center"/>
          </w:tcPr>
          <w:p w:rsidR="00641FB0" w:rsidRPr="00CE6F35" w:rsidRDefault="00641FB0" w:rsidP="00582028">
            <w:pPr>
              <w:autoSpaceDE w:val="0"/>
              <w:autoSpaceDN w:val="0"/>
              <w:adjustRightInd w:val="0"/>
              <w:snapToGrid w:val="0"/>
              <w:ind w:firstLineChars="50" w:firstLine="120"/>
              <w:jc w:val="left"/>
              <w:rPr>
                <w:rFonts w:ascii="Book Antiqua" w:hAnsi="Book Antiqua"/>
                <w:kern w:val="0"/>
                <w:szCs w:val="24"/>
              </w:rPr>
            </w:pPr>
            <w:r w:rsidRPr="00CE6F35">
              <w:rPr>
                <w:rFonts w:ascii="SimSun" w:eastAsia="SimSun" w:hAnsi="SimSun" w:cs="SimSun" w:hint="eastAsia"/>
                <w:kern w:val="0"/>
                <w:szCs w:val="24"/>
              </w:rPr>
              <w:t>Ⅰ</w:t>
            </w:r>
            <w:r w:rsidRPr="00CE6F35">
              <w:rPr>
                <w:rFonts w:ascii="Book Antiqua" w:hAnsi="Book Antiqua"/>
                <w:kern w:val="0"/>
                <w:szCs w:val="24"/>
              </w:rPr>
              <w:t>-</w:t>
            </w:r>
            <w:r w:rsidRPr="00CE6F35">
              <w:rPr>
                <w:rFonts w:ascii="SimSun" w:eastAsia="SimSun" w:hAnsi="SimSun" w:cs="SimSun" w:hint="eastAsia"/>
                <w:kern w:val="0"/>
                <w:szCs w:val="24"/>
              </w:rPr>
              <w:t>Ⅱ</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26.2</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52.8</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21.0</w:t>
            </w:r>
          </w:p>
        </w:tc>
        <w:tc>
          <w:tcPr>
            <w:tcW w:w="0" w:type="auto"/>
            <w:vMerge w:val="restart"/>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0.999</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45.1</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44.7</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10.2</w:t>
            </w:r>
          </w:p>
        </w:tc>
        <w:tc>
          <w:tcPr>
            <w:tcW w:w="0" w:type="auto"/>
            <w:vMerge w:val="restart"/>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0.695</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82.4</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17.6</w:t>
            </w:r>
          </w:p>
        </w:tc>
        <w:tc>
          <w:tcPr>
            <w:tcW w:w="0" w:type="auto"/>
            <w:vMerge w:val="restart"/>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0.986</w:t>
            </w:r>
          </w:p>
        </w:tc>
      </w:tr>
      <w:tr w:rsidR="00641FB0" w:rsidRPr="00CE6F35" w:rsidTr="00522AA8">
        <w:trPr>
          <w:jc w:val="center"/>
        </w:trPr>
        <w:tc>
          <w:tcPr>
            <w:tcW w:w="0" w:type="auto"/>
            <w:vAlign w:val="center"/>
          </w:tcPr>
          <w:p w:rsidR="00641FB0" w:rsidRPr="00CE6F35" w:rsidRDefault="00641FB0" w:rsidP="00582028">
            <w:pPr>
              <w:autoSpaceDE w:val="0"/>
              <w:autoSpaceDN w:val="0"/>
              <w:adjustRightInd w:val="0"/>
              <w:snapToGrid w:val="0"/>
              <w:ind w:firstLineChars="50" w:firstLine="120"/>
              <w:jc w:val="left"/>
              <w:rPr>
                <w:rFonts w:ascii="Book Antiqua" w:hAnsi="Book Antiqua"/>
                <w:kern w:val="0"/>
                <w:szCs w:val="24"/>
              </w:rPr>
            </w:pPr>
            <w:r w:rsidRPr="00CE6F35">
              <w:rPr>
                <w:rFonts w:ascii="SimSun" w:eastAsia="SimSun" w:hAnsi="SimSun" w:cs="SimSun" w:hint="eastAsia"/>
                <w:kern w:val="0"/>
                <w:szCs w:val="24"/>
              </w:rPr>
              <w:t>Ⅲ</w:t>
            </w:r>
            <w:r w:rsidRPr="00CE6F35">
              <w:rPr>
                <w:rFonts w:ascii="Book Antiqua" w:hAnsi="Book Antiqua"/>
                <w:kern w:val="0"/>
                <w:szCs w:val="24"/>
              </w:rPr>
              <w:t>-</w:t>
            </w:r>
            <w:r w:rsidRPr="00CE6F35">
              <w:rPr>
                <w:rFonts w:ascii="SimSun" w:eastAsia="SimSun" w:hAnsi="SimSun" w:cs="SimSun" w:hint="eastAsia"/>
                <w:kern w:val="0"/>
                <w:szCs w:val="24"/>
              </w:rPr>
              <w:t>Ⅳ</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26.3</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52.6</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21.1</w:t>
            </w:r>
          </w:p>
        </w:tc>
        <w:tc>
          <w:tcPr>
            <w:tcW w:w="0" w:type="auto"/>
            <w:vMerge/>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42.7</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45.2</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12.1</w:t>
            </w:r>
          </w:p>
        </w:tc>
        <w:tc>
          <w:tcPr>
            <w:tcW w:w="0" w:type="auto"/>
            <w:vMerge/>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82.4</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r w:rsidRPr="00CE6F35">
              <w:rPr>
                <w:rFonts w:ascii="Book Antiqua" w:hAnsi="Book Antiqua"/>
                <w:kern w:val="0"/>
                <w:szCs w:val="24"/>
              </w:rPr>
              <w:t>17.6</w:t>
            </w:r>
          </w:p>
        </w:tc>
        <w:tc>
          <w:tcPr>
            <w:tcW w:w="0" w:type="auto"/>
            <w:vMerge/>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r>
      <w:tr w:rsidR="00641FB0" w:rsidRPr="00CE6F35" w:rsidTr="00522AA8">
        <w:trPr>
          <w:jc w:val="center"/>
        </w:trPr>
        <w:tc>
          <w:tcPr>
            <w:tcW w:w="0" w:type="auto"/>
            <w:vAlign w:val="center"/>
          </w:tcPr>
          <w:p w:rsidR="00641FB0" w:rsidRPr="00CE6F35" w:rsidRDefault="00641FB0" w:rsidP="00582028">
            <w:pPr>
              <w:autoSpaceDE w:val="0"/>
              <w:autoSpaceDN w:val="0"/>
              <w:adjustRightInd w:val="0"/>
              <w:snapToGrid w:val="0"/>
              <w:jc w:val="left"/>
              <w:rPr>
                <w:rFonts w:ascii="Book Antiqua" w:hAnsi="Book Antiqua"/>
                <w:kern w:val="0"/>
                <w:szCs w:val="24"/>
              </w:rPr>
            </w:pPr>
            <w:r w:rsidRPr="00CE6F35">
              <w:rPr>
                <w:rFonts w:ascii="Book Antiqua" w:hAnsi="Book Antiqua"/>
                <w:kern w:val="0"/>
                <w:szCs w:val="24"/>
              </w:rPr>
              <w:t xml:space="preserve">Pathologic </w:t>
            </w:r>
            <w:r w:rsidR="00582028" w:rsidRPr="00CE6F35">
              <w:rPr>
                <w:rFonts w:ascii="Book Antiqua" w:hAnsi="Book Antiqua"/>
                <w:kern w:val="0"/>
                <w:szCs w:val="24"/>
              </w:rPr>
              <w:t>type</w:t>
            </w: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c>
          <w:tcPr>
            <w:tcW w:w="0" w:type="auto"/>
            <w:vAlign w:val="center"/>
          </w:tcPr>
          <w:p w:rsidR="00641FB0" w:rsidRPr="00CE6F35" w:rsidRDefault="00641FB0" w:rsidP="00582028">
            <w:pPr>
              <w:autoSpaceDE w:val="0"/>
              <w:autoSpaceDN w:val="0"/>
              <w:adjustRightInd w:val="0"/>
              <w:snapToGrid w:val="0"/>
              <w:jc w:val="center"/>
              <w:rPr>
                <w:rFonts w:ascii="Book Antiqua" w:hAnsi="Book Antiqua"/>
                <w:kern w:val="0"/>
                <w:szCs w:val="24"/>
              </w:rPr>
            </w:pPr>
          </w:p>
        </w:tc>
      </w:tr>
      <w:tr w:rsidR="00641FB0" w:rsidRPr="00CE6F35" w:rsidTr="00522AA8">
        <w:trPr>
          <w:jc w:val="center"/>
        </w:trPr>
        <w:tc>
          <w:tcPr>
            <w:tcW w:w="0" w:type="auto"/>
            <w:vAlign w:val="center"/>
          </w:tcPr>
          <w:p w:rsidR="00641FB0" w:rsidRPr="00CE6F35" w:rsidRDefault="00641FB0" w:rsidP="00582028">
            <w:pPr>
              <w:autoSpaceDE w:val="0"/>
              <w:autoSpaceDN w:val="0"/>
              <w:adjustRightInd w:val="0"/>
              <w:snapToGrid w:val="0"/>
              <w:ind w:firstLineChars="50" w:firstLine="120"/>
              <w:rPr>
                <w:rFonts w:ascii="Book Antiqua" w:hAnsi="Book Antiqua"/>
                <w:kern w:val="0"/>
                <w:szCs w:val="24"/>
              </w:rPr>
            </w:pPr>
            <w:r w:rsidRPr="00CE6F35">
              <w:rPr>
                <w:rFonts w:ascii="Book Antiqua" w:hAnsi="Book Antiqua"/>
                <w:kern w:val="0"/>
                <w:szCs w:val="24"/>
              </w:rPr>
              <w:lastRenderedPageBreak/>
              <w:t>Tubular adenocarcinoma</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26.4</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52.3</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21.3</w:t>
            </w:r>
          </w:p>
        </w:tc>
        <w:tc>
          <w:tcPr>
            <w:tcW w:w="0" w:type="auto"/>
            <w:vMerge w:val="restart"/>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0.754</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45.0</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43.9</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11.2</w:t>
            </w:r>
          </w:p>
        </w:tc>
        <w:tc>
          <w:tcPr>
            <w:tcW w:w="0" w:type="auto"/>
            <w:vMerge w:val="restart"/>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0.173</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82.8</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17.2</w:t>
            </w:r>
          </w:p>
        </w:tc>
        <w:tc>
          <w:tcPr>
            <w:tcW w:w="0" w:type="auto"/>
            <w:vMerge w:val="restart"/>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0.751</w:t>
            </w:r>
          </w:p>
        </w:tc>
      </w:tr>
      <w:tr w:rsidR="00641FB0" w:rsidRPr="00CE6F35" w:rsidTr="00522AA8">
        <w:trPr>
          <w:jc w:val="center"/>
        </w:trPr>
        <w:tc>
          <w:tcPr>
            <w:tcW w:w="0" w:type="auto"/>
            <w:vAlign w:val="center"/>
          </w:tcPr>
          <w:p w:rsidR="00641FB0" w:rsidRPr="00CE6F35" w:rsidRDefault="00641FB0" w:rsidP="00582028">
            <w:pPr>
              <w:autoSpaceDE w:val="0"/>
              <w:autoSpaceDN w:val="0"/>
              <w:adjustRightInd w:val="0"/>
              <w:snapToGrid w:val="0"/>
              <w:ind w:firstLineChars="50" w:firstLine="120"/>
              <w:rPr>
                <w:rFonts w:ascii="Book Antiqua" w:hAnsi="Book Antiqua"/>
                <w:kern w:val="0"/>
                <w:szCs w:val="24"/>
              </w:rPr>
            </w:pPr>
            <w:r w:rsidRPr="00CE6F35">
              <w:rPr>
                <w:rFonts w:ascii="Book Antiqua" w:hAnsi="Book Antiqua"/>
                <w:kern w:val="0"/>
                <w:szCs w:val="24"/>
              </w:rPr>
              <w:t>Signet ring cell</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26.0</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60.0</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14.0</w:t>
            </w:r>
          </w:p>
        </w:tc>
        <w:tc>
          <w:tcPr>
            <w:tcW w:w="0" w:type="auto"/>
            <w:vMerge/>
            <w:vAlign w:val="center"/>
          </w:tcPr>
          <w:p w:rsidR="00641FB0" w:rsidRPr="00CE6F35" w:rsidRDefault="00641FB0" w:rsidP="00F24268">
            <w:pPr>
              <w:autoSpaceDE w:val="0"/>
              <w:autoSpaceDN w:val="0"/>
              <w:adjustRightInd w:val="0"/>
              <w:snapToGrid w:val="0"/>
              <w:rPr>
                <w:rFonts w:ascii="Book Antiqua" w:hAnsi="Book Antiqua"/>
                <w:kern w:val="0"/>
                <w:szCs w:val="24"/>
              </w:rPr>
            </w:pP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34.0</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60.0</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6.0</w:t>
            </w:r>
          </w:p>
        </w:tc>
        <w:tc>
          <w:tcPr>
            <w:tcW w:w="0" w:type="auto"/>
            <w:vMerge/>
            <w:vAlign w:val="center"/>
          </w:tcPr>
          <w:p w:rsidR="00641FB0" w:rsidRPr="00CE6F35" w:rsidRDefault="00641FB0" w:rsidP="00F24268">
            <w:pPr>
              <w:autoSpaceDE w:val="0"/>
              <w:autoSpaceDN w:val="0"/>
              <w:adjustRightInd w:val="0"/>
              <w:snapToGrid w:val="0"/>
              <w:rPr>
                <w:rFonts w:ascii="Book Antiqua" w:hAnsi="Book Antiqua"/>
                <w:kern w:val="0"/>
                <w:szCs w:val="24"/>
              </w:rPr>
            </w:pP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80.0</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20.0</w:t>
            </w:r>
          </w:p>
        </w:tc>
        <w:tc>
          <w:tcPr>
            <w:tcW w:w="0" w:type="auto"/>
            <w:vMerge/>
            <w:vAlign w:val="center"/>
          </w:tcPr>
          <w:p w:rsidR="00641FB0" w:rsidRPr="00CE6F35" w:rsidRDefault="00641FB0" w:rsidP="00F24268">
            <w:pPr>
              <w:autoSpaceDE w:val="0"/>
              <w:autoSpaceDN w:val="0"/>
              <w:adjustRightInd w:val="0"/>
              <w:snapToGrid w:val="0"/>
              <w:rPr>
                <w:rFonts w:ascii="Book Antiqua" w:hAnsi="Book Antiqua"/>
                <w:kern w:val="0"/>
                <w:szCs w:val="24"/>
              </w:rPr>
            </w:pPr>
          </w:p>
        </w:tc>
      </w:tr>
      <w:tr w:rsidR="00641FB0" w:rsidRPr="00CE6F35" w:rsidTr="00522AA8">
        <w:trPr>
          <w:jc w:val="center"/>
        </w:trPr>
        <w:tc>
          <w:tcPr>
            <w:tcW w:w="0" w:type="auto"/>
            <w:vAlign w:val="center"/>
          </w:tcPr>
          <w:p w:rsidR="00641FB0" w:rsidRPr="00CE6F35" w:rsidRDefault="00582028" w:rsidP="00582028">
            <w:pPr>
              <w:autoSpaceDE w:val="0"/>
              <w:autoSpaceDN w:val="0"/>
              <w:adjustRightInd w:val="0"/>
              <w:snapToGrid w:val="0"/>
              <w:ind w:firstLineChars="50" w:firstLine="120"/>
              <w:rPr>
                <w:rFonts w:ascii="Book Antiqua" w:hAnsi="Book Antiqua"/>
                <w:kern w:val="0"/>
                <w:szCs w:val="24"/>
              </w:rPr>
            </w:pPr>
            <w:r w:rsidRPr="00CE6F35">
              <w:rPr>
                <w:rFonts w:ascii="Book Antiqua" w:hAnsi="Book Antiqua"/>
                <w:kern w:val="0"/>
                <w:szCs w:val="24"/>
              </w:rPr>
              <w:t>Other</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27.9</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50.0</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22.1</w:t>
            </w:r>
          </w:p>
        </w:tc>
        <w:tc>
          <w:tcPr>
            <w:tcW w:w="0" w:type="auto"/>
            <w:vMerge/>
            <w:vAlign w:val="center"/>
          </w:tcPr>
          <w:p w:rsidR="00641FB0" w:rsidRPr="00CE6F35" w:rsidRDefault="00641FB0" w:rsidP="00F24268">
            <w:pPr>
              <w:autoSpaceDE w:val="0"/>
              <w:autoSpaceDN w:val="0"/>
              <w:adjustRightInd w:val="0"/>
              <w:snapToGrid w:val="0"/>
              <w:rPr>
                <w:rFonts w:ascii="Book Antiqua" w:hAnsi="Book Antiqua"/>
                <w:kern w:val="0"/>
                <w:szCs w:val="24"/>
              </w:rPr>
            </w:pP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38.2</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47.1</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14.7</w:t>
            </w:r>
          </w:p>
        </w:tc>
        <w:tc>
          <w:tcPr>
            <w:tcW w:w="0" w:type="auto"/>
            <w:vMerge/>
            <w:vAlign w:val="center"/>
          </w:tcPr>
          <w:p w:rsidR="00641FB0" w:rsidRPr="00CE6F35" w:rsidRDefault="00641FB0" w:rsidP="00F24268">
            <w:pPr>
              <w:autoSpaceDE w:val="0"/>
              <w:autoSpaceDN w:val="0"/>
              <w:adjustRightInd w:val="0"/>
              <w:snapToGrid w:val="0"/>
              <w:rPr>
                <w:rFonts w:ascii="Book Antiqua" w:hAnsi="Book Antiqua"/>
                <w:kern w:val="0"/>
                <w:szCs w:val="24"/>
              </w:rPr>
            </w:pP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85.3</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14.7</w:t>
            </w:r>
          </w:p>
        </w:tc>
        <w:tc>
          <w:tcPr>
            <w:tcW w:w="0" w:type="auto"/>
            <w:vMerge/>
            <w:vAlign w:val="center"/>
          </w:tcPr>
          <w:p w:rsidR="00641FB0" w:rsidRPr="00CE6F35" w:rsidRDefault="00641FB0" w:rsidP="00F24268">
            <w:pPr>
              <w:autoSpaceDE w:val="0"/>
              <w:autoSpaceDN w:val="0"/>
              <w:adjustRightInd w:val="0"/>
              <w:snapToGrid w:val="0"/>
              <w:rPr>
                <w:rFonts w:ascii="Book Antiqua" w:hAnsi="Book Antiqua"/>
                <w:kern w:val="0"/>
                <w:szCs w:val="24"/>
              </w:rPr>
            </w:pPr>
          </w:p>
        </w:tc>
      </w:tr>
      <w:tr w:rsidR="00641FB0" w:rsidRPr="00CE6F35" w:rsidTr="00522AA8">
        <w:trPr>
          <w:jc w:val="center"/>
        </w:trPr>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Distant metastasis</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p>
        </w:tc>
      </w:tr>
      <w:tr w:rsidR="00641FB0" w:rsidRPr="00CE6F35" w:rsidTr="00522AA8">
        <w:trPr>
          <w:jc w:val="center"/>
        </w:trPr>
        <w:tc>
          <w:tcPr>
            <w:tcW w:w="0" w:type="auto"/>
            <w:vAlign w:val="center"/>
          </w:tcPr>
          <w:p w:rsidR="00641FB0" w:rsidRPr="00CE6F35" w:rsidRDefault="00582028" w:rsidP="00582028">
            <w:pPr>
              <w:widowControl/>
              <w:autoSpaceDE w:val="0"/>
              <w:autoSpaceDN w:val="0"/>
              <w:adjustRightInd w:val="0"/>
              <w:snapToGrid w:val="0"/>
              <w:ind w:firstLineChars="50" w:firstLine="120"/>
              <w:rPr>
                <w:rFonts w:ascii="Book Antiqua" w:hAnsi="Book Antiqua"/>
                <w:kern w:val="0"/>
                <w:szCs w:val="24"/>
              </w:rPr>
            </w:pPr>
            <w:r w:rsidRPr="00CE6F35">
              <w:rPr>
                <w:rFonts w:ascii="Book Antiqua" w:hAnsi="Book Antiqua"/>
                <w:kern w:val="0"/>
                <w:szCs w:val="24"/>
              </w:rPr>
              <w:t>Positive</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32.3</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48.5</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19.2</w:t>
            </w:r>
          </w:p>
        </w:tc>
        <w:tc>
          <w:tcPr>
            <w:tcW w:w="0" w:type="auto"/>
            <w:vMerge w:val="restart"/>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0.323</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40.4</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44.4</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15.1</w:t>
            </w:r>
          </w:p>
        </w:tc>
        <w:tc>
          <w:tcPr>
            <w:tcW w:w="0" w:type="auto"/>
            <w:vMerge w:val="restart"/>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0.374</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79.8</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20.2</w:t>
            </w:r>
          </w:p>
        </w:tc>
        <w:tc>
          <w:tcPr>
            <w:tcW w:w="0" w:type="auto"/>
            <w:vMerge w:val="restart"/>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0.454</w:t>
            </w:r>
          </w:p>
        </w:tc>
      </w:tr>
      <w:tr w:rsidR="00641FB0" w:rsidRPr="00CE6F35" w:rsidTr="00522AA8">
        <w:trPr>
          <w:jc w:val="center"/>
        </w:trPr>
        <w:tc>
          <w:tcPr>
            <w:tcW w:w="0" w:type="auto"/>
            <w:vAlign w:val="center"/>
          </w:tcPr>
          <w:p w:rsidR="00641FB0" w:rsidRPr="00CE6F35" w:rsidRDefault="00582028" w:rsidP="00582028">
            <w:pPr>
              <w:widowControl/>
              <w:autoSpaceDE w:val="0"/>
              <w:autoSpaceDN w:val="0"/>
              <w:adjustRightInd w:val="0"/>
              <w:snapToGrid w:val="0"/>
              <w:ind w:firstLineChars="50" w:firstLine="120"/>
              <w:rPr>
                <w:rFonts w:ascii="Book Antiqua" w:hAnsi="Book Antiqua"/>
                <w:kern w:val="0"/>
                <w:szCs w:val="24"/>
              </w:rPr>
            </w:pPr>
            <w:r w:rsidRPr="00CE6F35">
              <w:rPr>
                <w:rFonts w:ascii="Book Antiqua" w:hAnsi="Book Antiqua"/>
                <w:kern w:val="0"/>
                <w:szCs w:val="24"/>
              </w:rPr>
              <w:t>Negative</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25.1</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53.9</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20.9</w:t>
            </w:r>
          </w:p>
        </w:tc>
        <w:tc>
          <w:tcPr>
            <w:tcW w:w="0" w:type="auto"/>
            <w:vMerge/>
            <w:vAlign w:val="center"/>
          </w:tcPr>
          <w:p w:rsidR="00641FB0" w:rsidRPr="00CE6F35" w:rsidRDefault="00641FB0" w:rsidP="00F24268">
            <w:pPr>
              <w:autoSpaceDE w:val="0"/>
              <w:autoSpaceDN w:val="0"/>
              <w:adjustRightInd w:val="0"/>
              <w:snapToGrid w:val="0"/>
              <w:rPr>
                <w:rFonts w:ascii="Book Antiqua" w:hAnsi="Book Antiqua"/>
                <w:kern w:val="0"/>
                <w:szCs w:val="24"/>
              </w:rPr>
            </w:pP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44.3</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45.2</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10.5</w:t>
            </w:r>
          </w:p>
        </w:tc>
        <w:tc>
          <w:tcPr>
            <w:tcW w:w="0" w:type="auto"/>
            <w:vMerge/>
            <w:vAlign w:val="center"/>
          </w:tcPr>
          <w:p w:rsidR="00641FB0" w:rsidRPr="00CE6F35" w:rsidRDefault="00641FB0" w:rsidP="00F24268">
            <w:pPr>
              <w:autoSpaceDE w:val="0"/>
              <w:autoSpaceDN w:val="0"/>
              <w:adjustRightInd w:val="0"/>
              <w:snapToGrid w:val="0"/>
              <w:rPr>
                <w:rFonts w:ascii="Book Antiqua" w:hAnsi="Book Antiqua"/>
                <w:kern w:val="0"/>
                <w:szCs w:val="24"/>
              </w:rPr>
            </w:pP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82.9</w:t>
            </w:r>
          </w:p>
        </w:tc>
        <w:tc>
          <w:tcPr>
            <w:tcW w:w="0" w:type="auto"/>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17.1</w:t>
            </w:r>
          </w:p>
        </w:tc>
        <w:tc>
          <w:tcPr>
            <w:tcW w:w="0" w:type="auto"/>
            <w:vMerge/>
            <w:vAlign w:val="center"/>
          </w:tcPr>
          <w:p w:rsidR="00641FB0" w:rsidRPr="00CE6F35" w:rsidRDefault="00641FB0" w:rsidP="00F24268">
            <w:pPr>
              <w:autoSpaceDE w:val="0"/>
              <w:autoSpaceDN w:val="0"/>
              <w:adjustRightInd w:val="0"/>
              <w:snapToGrid w:val="0"/>
              <w:rPr>
                <w:rFonts w:ascii="Book Antiqua" w:hAnsi="Book Antiqua"/>
                <w:kern w:val="0"/>
                <w:szCs w:val="24"/>
              </w:rPr>
            </w:pPr>
          </w:p>
        </w:tc>
      </w:tr>
      <w:tr w:rsidR="00641FB0" w:rsidRPr="00CE6F35" w:rsidTr="00522AA8">
        <w:trPr>
          <w:jc w:val="center"/>
        </w:trPr>
        <w:tc>
          <w:tcPr>
            <w:tcW w:w="0" w:type="auto"/>
            <w:tcBorders>
              <w:bottom w:val="single" w:sz="12" w:space="0" w:color="008000"/>
            </w:tcBorders>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CD24 staining</w:t>
            </w:r>
          </w:p>
        </w:tc>
        <w:tc>
          <w:tcPr>
            <w:tcW w:w="0" w:type="auto"/>
            <w:tcBorders>
              <w:bottom w:val="single" w:sz="12" w:space="0" w:color="008000"/>
            </w:tcBorders>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60 (0-120)</w:t>
            </w:r>
          </w:p>
        </w:tc>
        <w:tc>
          <w:tcPr>
            <w:tcW w:w="0" w:type="auto"/>
            <w:tcBorders>
              <w:bottom w:val="single" w:sz="12" w:space="0" w:color="008000"/>
            </w:tcBorders>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60 (0-120)</w:t>
            </w:r>
          </w:p>
        </w:tc>
        <w:tc>
          <w:tcPr>
            <w:tcW w:w="0" w:type="auto"/>
            <w:tcBorders>
              <w:bottom w:val="single" w:sz="12" w:space="0" w:color="008000"/>
            </w:tcBorders>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100 (20-140)</w:t>
            </w:r>
          </w:p>
        </w:tc>
        <w:tc>
          <w:tcPr>
            <w:tcW w:w="0" w:type="auto"/>
            <w:tcBorders>
              <w:bottom w:val="single" w:sz="12" w:space="0" w:color="008000"/>
            </w:tcBorders>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0.215</w:t>
            </w:r>
          </w:p>
        </w:tc>
        <w:tc>
          <w:tcPr>
            <w:tcW w:w="0" w:type="auto"/>
            <w:tcBorders>
              <w:bottom w:val="single" w:sz="12" w:space="0" w:color="008000"/>
            </w:tcBorders>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60 (0-120)</w:t>
            </w:r>
          </w:p>
        </w:tc>
        <w:tc>
          <w:tcPr>
            <w:tcW w:w="0" w:type="auto"/>
            <w:tcBorders>
              <w:bottom w:val="single" w:sz="12" w:space="0" w:color="008000"/>
            </w:tcBorders>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60 (20-120)</w:t>
            </w:r>
          </w:p>
        </w:tc>
        <w:tc>
          <w:tcPr>
            <w:tcW w:w="0" w:type="auto"/>
            <w:tcBorders>
              <w:bottom w:val="single" w:sz="12" w:space="0" w:color="008000"/>
            </w:tcBorders>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40 (0-100)</w:t>
            </w:r>
          </w:p>
        </w:tc>
        <w:tc>
          <w:tcPr>
            <w:tcW w:w="0" w:type="auto"/>
            <w:tcBorders>
              <w:bottom w:val="single" w:sz="12" w:space="0" w:color="008000"/>
            </w:tcBorders>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0.482</w:t>
            </w:r>
          </w:p>
        </w:tc>
        <w:tc>
          <w:tcPr>
            <w:tcW w:w="0" w:type="auto"/>
            <w:tcBorders>
              <w:bottom w:val="single" w:sz="12" w:space="0" w:color="008000"/>
            </w:tcBorders>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60 (0-120)</w:t>
            </w:r>
          </w:p>
        </w:tc>
        <w:tc>
          <w:tcPr>
            <w:tcW w:w="0" w:type="auto"/>
            <w:tcBorders>
              <w:bottom w:val="single" w:sz="12" w:space="0" w:color="008000"/>
            </w:tcBorders>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60 (40-100)</w:t>
            </w:r>
          </w:p>
        </w:tc>
        <w:tc>
          <w:tcPr>
            <w:tcW w:w="0" w:type="auto"/>
            <w:tcBorders>
              <w:bottom w:val="single" w:sz="12" w:space="0" w:color="008000"/>
            </w:tcBorders>
            <w:vAlign w:val="center"/>
          </w:tcPr>
          <w:p w:rsidR="00641FB0" w:rsidRPr="00CE6F35" w:rsidRDefault="00641FB0" w:rsidP="00F24268">
            <w:pPr>
              <w:autoSpaceDE w:val="0"/>
              <w:autoSpaceDN w:val="0"/>
              <w:adjustRightInd w:val="0"/>
              <w:snapToGrid w:val="0"/>
              <w:rPr>
                <w:rFonts w:ascii="Book Antiqua" w:hAnsi="Book Antiqua"/>
                <w:kern w:val="0"/>
                <w:szCs w:val="24"/>
              </w:rPr>
            </w:pPr>
            <w:r w:rsidRPr="00CE6F35">
              <w:rPr>
                <w:rFonts w:ascii="Book Antiqua" w:hAnsi="Book Antiqua"/>
                <w:kern w:val="0"/>
                <w:szCs w:val="24"/>
              </w:rPr>
              <w:t>0.922</w:t>
            </w:r>
          </w:p>
        </w:tc>
      </w:tr>
    </w:tbl>
    <w:p w:rsidR="00641FB0" w:rsidRPr="00CE6F35" w:rsidRDefault="00641FB0" w:rsidP="00F24268">
      <w:pPr>
        <w:adjustRightInd w:val="0"/>
        <w:snapToGrid w:val="0"/>
        <w:rPr>
          <w:rFonts w:ascii="Book Antiqua" w:hAnsi="Book Antiqua"/>
          <w:szCs w:val="24"/>
        </w:rPr>
      </w:pPr>
      <w:r w:rsidRPr="00CE6F35">
        <w:rPr>
          <w:rFonts w:ascii="Book Antiqua" w:hAnsi="Book Antiqua" w:cs="Arial"/>
          <w:szCs w:val="24"/>
        </w:rPr>
        <w:t>Data are presented as percentage of total or median (</w:t>
      </w:r>
      <w:r w:rsidR="00584289" w:rsidRPr="00CE6F35">
        <w:rPr>
          <w:rFonts w:ascii="Book Antiqua" w:hAnsi="Book Antiqua" w:cs="Arial"/>
          <w:szCs w:val="24"/>
        </w:rPr>
        <w:t>25</w:t>
      </w:r>
      <w:r w:rsidR="00584289" w:rsidRPr="00CE6F35">
        <w:rPr>
          <w:rFonts w:ascii="Book Antiqua" w:hAnsi="Book Antiqua" w:cs="Arial"/>
          <w:szCs w:val="24"/>
          <w:vertAlign w:val="superscript"/>
        </w:rPr>
        <w:t>th</w:t>
      </w:r>
      <w:r w:rsidR="00584289" w:rsidRPr="00CE6F35">
        <w:rPr>
          <w:rFonts w:ascii="Book Antiqua" w:hAnsi="Book Antiqua" w:cs="Arial"/>
          <w:szCs w:val="24"/>
        </w:rPr>
        <w:t xml:space="preserve"> to 75</w:t>
      </w:r>
      <w:r w:rsidR="00584289" w:rsidRPr="00CE6F35">
        <w:rPr>
          <w:rFonts w:ascii="Book Antiqua" w:hAnsi="Book Antiqua" w:cs="Arial"/>
          <w:szCs w:val="24"/>
          <w:vertAlign w:val="superscript"/>
        </w:rPr>
        <w:t>th</w:t>
      </w:r>
      <w:r w:rsidR="00584289" w:rsidRPr="00CE6F35">
        <w:rPr>
          <w:rFonts w:ascii="Book Antiqua" w:hAnsi="Book Antiqua" w:cs="Arial"/>
          <w:szCs w:val="24"/>
        </w:rPr>
        <w:t xml:space="preserve"> percentiles</w:t>
      </w:r>
      <w:r w:rsidRPr="00CE6F35">
        <w:rPr>
          <w:rFonts w:ascii="Book Antiqua" w:hAnsi="Book Antiqua" w:cs="Arial"/>
          <w:szCs w:val="24"/>
        </w:rPr>
        <w:t>).</w:t>
      </w:r>
    </w:p>
    <w:p w:rsidR="00641FB0" w:rsidRPr="00CE6F35" w:rsidRDefault="00641FB0" w:rsidP="00F24268">
      <w:pPr>
        <w:widowControl/>
        <w:adjustRightInd w:val="0"/>
        <w:snapToGrid w:val="0"/>
        <w:rPr>
          <w:rFonts w:ascii="Book Antiqua" w:hAnsi="Book Antiqua"/>
          <w:szCs w:val="24"/>
        </w:rPr>
      </w:pPr>
      <w:r w:rsidRPr="00CE6F35">
        <w:rPr>
          <w:rFonts w:ascii="Book Antiqua" w:hAnsi="Book Antiqua"/>
          <w:szCs w:val="24"/>
        </w:rPr>
        <w:br w:type="page"/>
      </w:r>
    </w:p>
    <w:p w:rsidR="00641FB0" w:rsidRPr="00CE6F35" w:rsidRDefault="00641FB0" w:rsidP="00F24268">
      <w:pPr>
        <w:widowControl/>
        <w:adjustRightInd w:val="0"/>
        <w:snapToGrid w:val="0"/>
        <w:rPr>
          <w:rFonts w:ascii="Book Antiqua" w:hAnsi="Book Antiqua"/>
          <w:b/>
          <w:szCs w:val="24"/>
        </w:rPr>
      </w:pPr>
      <w:r w:rsidRPr="00CE6F35">
        <w:rPr>
          <w:rFonts w:ascii="Book Antiqua" w:hAnsi="Book Antiqua"/>
          <w:b/>
          <w:szCs w:val="24"/>
        </w:rPr>
        <w:lastRenderedPageBreak/>
        <w:t>Table 5 Results of multivariate Cox regression analysis</w:t>
      </w:r>
    </w:p>
    <w:tbl>
      <w:tblPr>
        <w:tblStyle w:val="a0"/>
        <w:tblW w:w="9194" w:type="dxa"/>
        <w:tblLook w:val="04A0" w:firstRow="1" w:lastRow="0" w:firstColumn="1" w:lastColumn="0" w:noHBand="0" w:noVBand="1"/>
      </w:tblPr>
      <w:tblGrid>
        <w:gridCol w:w="1976"/>
        <w:gridCol w:w="2796"/>
        <w:gridCol w:w="1376"/>
        <w:gridCol w:w="1836"/>
        <w:gridCol w:w="1376"/>
      </w:tblGrid>
      <w:tr w:rsidR="00641FB0" w:rsidRPr="00CE6F35" w:rsidTr="00522AA8">
        <w:trPr>
          <w:cnfStyle w:val="100000000000" w:firstRow="1" w:lastRow="0" w:firstColumn="0" w:lastColumn="0" w:oddVBand="0" w:evenVBand="0" w:oddHBand="0" w:evenHBand="0" w:firstRowFirstColumn="0" w:firstRowLastColumn="0" w:lastRowFirstColumn="0" w:lastRowLastColumn="0"/>
          <w:trHeight w:val="270"/>
        </w:trPr>
        <w:tc>
          <w:tcPr>
            <w:tcW w:w="1976" w:type="dxa"/>
            <w:noWrap/>
            <w:hideMark/>
          </w:tcPr>
          <w:p w:rsidR="00641FB0" w:rsidRPr="00CE6F35" w:rsidRDefault="00641FB0" w:rsidP="00584289">
            <w:pPr>
              <w:widowControl/>
              <w:adjustRightInd w:val="0"/>
              <w:snapToGrid w:val="0"/>
              <w:spacing w:line="360" w:lineRule="auto"/>
              <w:rPr>
                <w:rFonts w:ascii="Book Antiqua" w:eastAsia="SimSun" w:hAnsi="Book Antiqua" w:cs="SimSun"/>
                <w:b/>
                <w:sz w:val="24"/>
                <w:szCs w:val="24"/>
              </w:rPr>
            </w:pPr>
          </w:p>
        </w:tc>
        <w:tc>
          <w:tcPr>
            <w:tcW w:w="279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b/>
                <w:sz w:val="24"/>
                <w:szCs w:val="24"/>
              </w:rPr>
            </w:pPr>
          </w:p>
        </w:tc>
        <w:tc>
          <w:tcPr>
            <w:tcW w:w="137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b/>
                <w:i/>
                <w:sz w:val="24"/>
                <w:szCs w:val="24"/>
              </w:rPr>
            </w:pPr>
            <w:r w:rsidRPr="00CE6F35">
              <w:rPr>
                <w:rFonts w:ascii="Book Antiqua" w:eastAsia="SimSun" w:hAnsi="Book Antiqua" w:cs="SimSun"/>
                <w:b/>
                <w:i/>
                <w:sz w:val="24"/>
                <w:szCs w:val="24"/>
              </w:rPr>
              <w:t>P</w:t>
            </w:r>
            <w:r w:rsidR="00584289" w:rsidRPr="00CE6F35">
              <w:rPr>
                <w:rFonts w:ascii="Book Antiqua" w:eastAsia="SimSun" w:hAnsi="Book Antiqua" w:cs="SimSun" w:hint="eastAsia"/>
                <w:b/>
                <w:i/>
                <w:sz w:val="24"/>
                <w:szCs w:val="24"/>
              </w:rPr>
              <w:t xml:space="preserve"> </w:t>
            </w:r>
            <w:r w:rsidR="00584289" w:rsidRPr="00CE6F35">
              <w:rPr>
                <w:rFonts w:ascii="Book Antiqua" w:eastAsia="SimSun" w:hAnsi="Book Antiqua" w:cs="SimSun" w:hint="eastAsia"/>
                <w:b/>
                <w:sz w:val="24"/>
                <w:szCs w:val="24"/>
              </w:rPr>
              <w:t>value</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b/>
                <w:sz w:val="24"/>
                <w:szCs w:val="24"/>
              </w:rPr>
            </w:pPr>
            <w:r w:rsidRPr="00CE6F35">
              <w:rPr>
                <w:rFonts w:ascii="Book Antiqua" w:eastAsia="SimSun" w:hAnsi="Book Antiqua" w:cs="SimSun"/>
                <w:b/>
                <w:sz w:val="24"/>
                <w:szCs w:val="24"/>
              </w:rPr>
              <w:t>HR</w:t>
            </w:r>
          </w:p>
        </w:tc>
        <w:tc>
          <w:tcPr>
            <w:tcW w:w="1210" w:type="dxa"/>
            <w:noWrap/>
            <w:hideMark/>
          </w:tcPr>
          <w:p w:rsidR="00641FB0" w:rsidRPr="00CE6F35" w:rsidRDefault="00584289" w:rsidP="00584289">
            <w:pPr>
              <w:widowControl/>
              <w:adjustRightInd w:val="0"/>
              <w:snapToGrid w:val="0"/>
              <w:spacing w:line="360" w:lineRule="auto"/>
              <w:jc w:val="center"/>
              <w:rPr>
                <w:rFonts w:ascii="Book Antiqua" w:eastAsia="SimSun" w:hAnsi="Book Antiqua" w:cs="SimSun"/>
                <w:b/>
                <w:sz w:val="24"/>
                <w:szCs w:val="24"/>
              </w:rPr>
            </w:pPr>
            <w:r w:rsidRPr="00CE6F35">
              <w:rPr>
                <w:rFonts w:ascii="Book Antiqua" w:eastAsia="SimSun" w:hAnsi="Book Antiqua" w:cs="SimSun"/>
                <w:b/>
                <w:sz w:val="24"/>
                <w:szCs w:val="24"/>
              </w:rPr>
              <w:t>95%</w:t>
            </w:r>
            <w:r w:rsidR="00641FB0" w:rsidRPr="00CE6F35">
              <w:rPr>
                <w:rFonts w:ascii="Book Antiqua" w:eastAsia="SimSun" w:hAnsi="Book Antiqua" w:cs="SimSun"/>
                <w:b/>
                <w:sz w:val="24"/>
                <w:szCs w:val="24"/>
              </w:rPr>
              <w:t>CI</w:t>
            </w:r>
          </w:p>
        </w:tc>
      </w:tr>
      <w:tr w:rsidR="00641FB0" w:rsidRPr="00CE6F35" w:rsidTr="00522AA8">
        <w:trPr>
          <w:trHeight w:val="270"/>
        </w:trPr>
        <w:tc>
          <w:tcPr>
            <w:tcW w:w="1976" w:type="dxa"/>
            <w:noWrap/>
            <w:hideMark/>
          </w:tcPr>
          <w:p w:rsidR="00641FB0" w:rsidRPr="00CE6F35" w:rsidRDefault="00641FB0" w:rsidP="00584289">
            <w:pPr>
              <w:widowControl/>
              <w:adjustRightInd w:val="0"/>
              <w:snapToGrid w:val="0"/>
              <w:spacing w:line="360" w:lineRule="auto"/>
              <w:rPr>
                <w:rFonts w:ascii="Book Antiqua" w:eastAsia="SimSun" w:hAnsi="Book Antiqua" w:cs="SimSun"/>
                <w:sz w:val="24"/>
                <w:szCs w:val="24"/>
              </w:rPr>
            </w:pPr>
            <w:r w:rsidRPr="00CE6F35">
              <w:rPr>
                <w:rFonts w:ascii="Book Antiqua" w:eastAsia="SimSun" w:hAnsi="Book Antiqua" w:cs="SimSun"/>
                <w:sz w:val="24"/>
                <w:szCs w:val="24"/>
              </w:rPr>
              <w:t>P534</w:t>
            </w:r>
          </w:p>
        </w:tc>
        <w:tc>
          <w:tcPr>
            <w:tcW w:w="279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C/C+C/A</w:t>
            </w:r>
          </w:p>
        </w:tc>
        <w:tc>
          <w:tcPr>
            <w:tcW w:w="1376" w:type="dxa"/>
            <w:noWrap/>
            <w:hideMark/>
          </w:tcPr>
          <w:p w:rsidR="00641FB0" w:rsidRPr="00CE6F35" w:rsidRDefault="00582028"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1.00</w:t>
            </w:r>
          </w:p>
        </w:tc>
        <w:tc>
          <w:tcPr>
            <w:tcW w:w="1210" w:type="dxa"/>
            <w:noWrap/>
            <w:hideMark/>
          </w:tcPr>
          <w:p w:rsidR="00641FB0" w:rsidRPr="00CE6F35" w:rsidRDefault="00582028"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w:t>
            </w:r>
          </w:p>
        </w:tc>
      </w:tr>
      <w:tr w:rsidR="00641FB0" w:rsidRPr="00CE6F35" w:rsidTr="00522AA8">
        <w:trPr>
          <w:trHeight w:val="270"/>
        </w:trPr>
        <w:tc>
          <w:tcPr>
            <w:tcW w:w="1976" w:type="dxa"/>
            <w:noWrap/>
            <w:hideMark/>
          </w:tcPr>
          <w:p w:rsidR="00641FB0" w:rsidRPr="00CE6F35" w:rsidRDefault="00641FB0" w:rsidP="00584289">
            <w:pPr>
              <w:widowControl/>
              <w:adjustRightInd w:val="0"/>
              <w:snapToGrid w:val="0"/>
              <w:spacing w:line="360" w:lineRule="auto"/>
              <w:rPr>
                <w:rFonts w:ascii="Book Antiqua" w:eastAsia="SimSun" w:hAnsi="Book Antiqua" w:cs="SimSun"/>
                <w:sz w:val="24"/>
                <w:szCs w:val="24"/>
              </w:rPr>
            </w:pPr>
          </w:p>
        </w:tc>
        <w:tc>
          <w:tcPr>
            <w:tcW w:w="279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A/A</w:t>
            </w:r>
          </w:p>
        </w:tc>
        <w:tc>
          <w:tcPr>
            <w:tcW w:w="137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0.0416</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1.38</w:t>
            </w:r>
          </w:p>
        </w:tc>
        <w:tc>
          <w:tcPr>
            <w:tcW w:w="1210"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1.01-1.88</w:t>
            </w:r>
          </w:p>
        </w:tc>
      </w:tr>
      <w:tr w:rsidR="00641FB0" w:rsidRPr="00CE6F35" w:rsidTr="00522AA8">
        <w:trPr>
          <w:trHeight w:val="270"/>
        </w:trPr>
        <w:tc>
          <w:tcPr>
            <w:tcW w:w="1976" w:type="dxa"/>
            <w:noWrap/>
            <w:hideMark/>
          </w:tcPr>
          <w:p w:rsidR="00641FB0" w:rsidRPr="00CE6F35" w:rsidRDefault="00041455" w:rsidP="00584289">
            <w:pPr>
              <w:widowControl/>
              <w:adjustRightInd w:val="0"/>
              <w:snapToGrid w:val="0"/>
              <w:spacing w:line="360" w:lineRule="auto"/>
              <w:rPr>
                <w:rFonts w:ascii="Book Antiqua" w:eastAsia="SimSun" w:hAnsi="Book Antiqua" w:cs="SimSun"/>
                <w:sz w:val="24"/>
                <w:szCs w:val="24"/>
              </w:rPr>
            </w:pPr>
            <w:r w:rsidRPr="00CE6F35">
              <w:rPr>
                <w:rFonts w:ascii="Book Antiqua" w:eastAsia="SimSun" w:hAnsi="Book Antiqua" w:cs="SimSun"/>
                <w:sz w:val="24"/>
                <w:szCs w:val="24"/>
              </w:rPr>
              <w:t>Age</w:t>
            </w:r>
          </w:p>
        </w:tc>
        <w:tc>
          <w:tcPr>
            <w:tcW w:w="279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p>
        </w:tc>
        <w:tc>
          <w:tcPr>
            <w:tcW w:w="137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0.1875</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1.01</w:t>
            </w:r>
          </w:p>
        </w:tc>
        <w:tc>
          <w:tcPr>
            <w:tcW w:w="1210"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1.00-1.02</w:t>
            </w:r>
          </w:p>
        </w:tc>
      </w:tr>
      <w:tr w:rsidR="00641FB0" w:rsidRPr="00CE6F35" w:rsidTr="00522AA8">
        <w:trPr>
          <w:trHeight w:val="270"/>
        </w:trPr>
        <w:tc>
          <w:tcPr>
            <w:tcW w:w="1976" w:type="dxa"/>
            <w:noWrap/>
            <w:hideMark/>
          </w:tcPr>
          <w:p w:rsidR="00641FB0" w:rsidRPr="00CE6F35" w:rsidRDefault="00041455" w:rsidP="00584289">
            <w:pPr>
              <w:widowControl/>
              <w:adjustRightInd w:val="0"/>
              <w:snapToGrid w:val="0"/>
              <w:spacing w:line="360" w:lineRule="auto"/>
              <w:rPr>
                <w:rFonts w:ascii="Book Antiqua" w:eastAsia="SimSun" w:hAnsi="Book Antiqua" w:cs="SimSun"/>
                <w:sz w:val="24"/>
                <w:szCs w:val="24"/>
              </w:rPr>
            </w:pPr>
            <w:r w:rsidRPr="00CE6F35">
              <w:rPr>
                <w:rFonts w:ascii="Book Antiqua" w:eastAsia="SimSun" w:hAnsi="Book Antiqua" w:cs="SimSun"/>
                <w:sz w:val="24"/>
                <w:szCs w:val="24"/>
              </w:rPr>
              <w:t>Sex</w:t>
            </w:r>
          </w:p>
        </w:tc>
        <w:tc>
          <w:tcPr>
            <w:tcW w:w="2796" w:type="dxa"/>
            <w:noWrap/>
            <w:hideMark/>
          </w:tcPr>
          <w:p w:rsidR="00641FB0" w:rsidRPr="00CE6F35" w:rsidRDefault="00041455"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Male</w:t>
            </w:r>
          </w:p>
        </w:tc>
        <w:tc>
          <w:tcPr>
            <w:tcW w:w="1376" w:type="dxa"/>
            <w:noWrap/>
            <w:hideMark/>
          </w:tcPr>
          <w:p w:rsidR="00641FB0" w:rsidRPr="00CE6F35" w:rsidRDefault="00582028"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1.00</w:t>
            </w:r>
          </w:p>
        </w:tc>
        <w:tc>
          <w:tcPr>
            <w:tcW w:w="1210" w:type="dxa"/>
            <w:noWrap/>
            <w:hideMark/>
          </w:tcPr>
          <w:p w:rsidR="00641FB0" w:rsidRPr="00CE6F35" w:rsidRDefault="00582028"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w:t>
            </w:r>
          </w:p>
        </w:tc>
      </w:tr>
      <w:tr w:rsidR="00641FB0" w:rsidRPr="00CE6F35" w:rsidTr="00522AA8">
        <w:trPr>
          <w:trHeight w:val="270"/>
        </w:trPr>
        <w:tc>
          <w:tcPr>
            <w:tcW w:w="1976" w:type="dxa"/>
            <w:noWrap/>
            <w:hideMark/>
          </w:tcPr>
          <w:p w:rsidR="00641FB0" w:rsidRPr="00CE6F35" w:rsidRDefault="00641FB0" w:rsidP="00584289">
            <w:pPr>
              <w:widowControl/>
              <w:adjustRightInd w:val="0"/>
              <w:snapToGrid w:val="0"/>
              <w:spacing w:line="360" w:lineRule="auto"/>
              <w:rPr>
                <w:rFonts w:ascii="Book Antiqua" w:eastAsia="SimSun" w:hAnsi="Book Antiqua" w:cs="SimSun"/>
                <w:sz w:val="24"/>
                <w:szCs w:val="24"/>
              </w:rPr>
            </w:pPr>
          </w:p>
        </w:tc>
        <w:tc>
          <w:tcPr>
            <w:tcW w:w="2796" w:type="dxa"/>
            <w:noWrap/>
            <w:hideMark/>
          </w:tcPr>
          <w:p w:rsidR="00641FB0" w:rsidRPr="00CE6F35" w:rsidRDefault="00041455"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Female</w:t>
            </w:r>
          </w:p>
        </w:tc>
        <w:tc>
          <w:tcPr>
            <w:tcW w:w="137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0.2315</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0.83</w:t>
            </w:r>
          </w:p>
        </w:tc>
        <w:tc>
          <w:tcPr>
            <w:tcW w:w="1210"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0.61-1.13</w:t>
            </w:r>
          </w:p>
        </w:tc>
      </w:tr>
      <w:tr w:rsidR="00641FB0" w:rsidRPr="00CE6F35" w:rsidTr="00522AA8">
        <w:trPr>
          <w:trHeight w:val="270"/>
        </w:trPr>
        <w:tc>
          <w:tcPr>
            <w:tcW w:w="1976" w:type="dxa"/>
            <w:noWrap/>
            <w:hideMark/>
          </w:tcPr>
          <w:p w:rsidR="00641FB0" w:rsidRPr="00CE6F35" w:rsidRDefault="00641FB0" w:rsidP="00584289">
            <w:pPr>
              <w:widowControl/>
              <w:adjustRightInd w:val="0"/>
              <w:snapToGrid w:val="0"/>
              <w:spacing w:line="360" w:lineRule="auto"/>
              <w:rPr>
                <w:rFonts w:ascii="Book Antiqua" w:eastAsia="SimSun" w:hAnsi="Book Antiqua" w:cs="SimSun"/>
                <w:sz w:val="24"/>
                <w:szCs w:val="24"/>
              </w:rPr>
            </w:pPr>
            <w:r w:rsidRPr="00CE6F35">
              <w:rPr>
                <w:rFonts w:ascii="Book Antiqua" w:eastAsia="SimSun" w:hAnsi="Book Antiqua" w:cs="SimSun"/>
                <w:sz w:val="24"/>
                <w:szCs w:val="24"/>
              </w:rPr>
              <w:t>Differentiation</w:t>
            </w:r>
          </w:p>
        </w:tc>
        <w:tc>
          <w:tcPr>
            <w:tcW w:w="279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Moderate to well</w:t>
            </w:r>
          </w:p>
        </w:tc>
        <w:tc>
          <w:tcPr>
            <w:tcW w:w="1376" w:type="dxa"/>
            <w:noWrap/>
            <w:hideMark/>
          </w:tcPr>
          <w:p w:rsidR="00641FB0" w:rsidRPr="00CE6F35" w:rsidRDefault="00582028"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1.00</w:t>
            </w:r>
          </w:p>
        </w:tc>
        <w:tc>
          <w:tcPr>
            <w:tcW w:w="1210" w:type="dxa"/>
            <w:noWrap/>
            <w:hideMark/>
          </w:tcPr>
          <w:p w:rsidR="00641FB0" w:rsidRPr="00CE6F35" w:rsidRDefault="00582028"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w:t>
            </w:r>
          </w:p>
        </w:tc>
      </w:tr>
      <w:tr w:rsidR="00641FB0" w:rsidRPr="00CE6F35" w:rsidTr="00522AA8">
        <w:trPr>
          <w:trHeight w:val="270"/>
        </w:trPr>
        <w:tc>
          <w:tcPr>
            <w:tcW w:w="1976" w:type="dxa"/>
            <w:noWrap/>
            <w:hideMark/>
          </w:tcPr>
          <w:p w:rsidR="00641FB0" w:rsidRPr="00CE6F35" w:rsidRDefault="00641FB0" w:rsidP="00584289">
            <w:pPr>
              <w:widowControl/>
              <w:adjustRightInd w:val="0"/>
              <w:snapToGrid w:val="0"/>
              <w:spacing w:line="360" w:lineRule="auto"/>
              <w:rPr>
                <w:rFonts w:ascii="Book Antiqua" w:eastAsia="SimSun" w:hAnsi="Book Antiqua" w:cs="SimSun"/>
                <w:sz w:val="24"/>
                <w:szCs w:val="24"/>
              </w:rPr>
            </w:pPr>
          </w:p>
        </w:tc>
        <w:tc>
          <w:tcPr>
            <w:tcW w:w="2796" w:type="dxa"/>
            <w:noWrap/>
            <w:hideMark/>
          </w:tcPr>
          <w:p w:rsidR="00641FB0" w:rsidRPr="00CE6F35" w:rsidRDefault="00041455"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Poor</w:t>
            </w:r>
          </w:p>
        </w:tc>
        <w:tc>
          <w:tcPr>
            <w:tcW w:w="137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0.0089</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1.50</w:t>
            </w:r>
          </w:p>
        </w:tc>
        <w:tc>
          <w:tcPr>
            <w:tcW w:w="1210"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1.11-2.04</w:t>
            </w:r>
          </w:p>
        </w:tc>
      </w:tr>
      <w:tr w:rsidR="00641FB0" w:rsidRPr="00CE6F35" w:rsidTr="00522AA8">
        <w:trPr>
          <w:trHeight w:val="270"/>
        </w:trPr>
        <w:tc>
          <w:tcPr>
            <w:tcW w:w="1976" w:type="dxa"/>
            <w:noWrap/>
            <w:hideMark/>
          </w:tcPr>
          <w:p w:rsidR="00641FB0" w:rsidRPr="00CE6F35" w:rsidRDefault="00641FB0" w:rsidP="00584289">
            <w:pPr>
              <w:widowControl/>
              <w:adjustRightInd w:val="0"/>
              <w:snapToGrid w:val="0"/>
              <w:spacing w:line="360" w:lineRule="auto"/>
              <w:rPr>
                <w:rFonts w:ascii="Book Antiqua" w:eastAsia="SimSun" w:hAnsi="Book Antiqua" w:cs="SimSun"/>
                <w:sz w:val="24"/>
                <w:szCs w:val="24"/>
              </w:rPr>
            </w:pPr>
            <w:r w:rsidRPr="00CE6F35">
              <w:rPr>
                <w:rFonts w:ascii="Book Antiqua" w:eastAsia="SimSun" w:hAnsi="Book Antiqua" w:cs="SimSun"/>
                <w:sz w:val="24"/>
                <w:szCs w:val="24"/>
              </w:rPr>
              <w:t xml:space="preserve">Pathologic </w:t>
            </w:r>
            <w:r w:rsidR="00041455" w:rsidRPr="00CE6F35">
              <w:rPr>
                <w:rFonts w:ascii="Book Antiqua" w:eastAsia="SimSun" w:hAnsi="Book Antiqua" w:cs="SimSun"/>
                <w:sz w:val="24"/>
                <w:szCs w:val="24"/>
              </w:rPr>
              <w:t>type</w:t>
            </w:r>
          </w:p>
        </w:tc>
        <w:tc>
          <w:tcPr>
            <w:tcW w:w="279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Tubular adenocarcinoma</w:t>
            </w:r>
          </w:p>
        </w:tc>
        <w:tc>
          <w:tcPr>
            <w:tcW w:w="1376" w:type="dxa"/>
            <w:noWrap/>
            <w:hideMark/>
          </w:tcPr>
          <w:p w:rsidR="00641FB0" w:rsidRPr="00CE6F35" w:rsidRDefault="00582028"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1.00</w:t>
            </w:r>
          </w:p>
        </w:tc>
        <w:tc>
          <w:tcPr>
            <w:tcW w:w="1210" w:type="dxa"/>
            <w:noWrap/>
            <w:hideMark/>
          </w:tcPr>
          <w:p w:rsidR="00641FB0" w:rsidRPr="00CE6F35" w:rsidRDefault="00582028"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w:t>
            </w:r>
          </w:p>
        </w:tc>
      </w:tr>
      <w:tr w:rsidR="00641FB0" w:rsidRPr="00CE6F35" w:rsidTr="00522AA8">
        <w:trPr>
          <w:trHeight w:val="270"/>
        </w:trPr>
        <w:tc>
          <w:tcPr>
            <w:tcW w:w="1976" w:type="dxa"/>
            <w:noWrap/>
            <w:hideMark/>
          </w:tcPr>
          <w:p w:rsidR="00641FB0" w:rsidRPr="00CE6F35" w:rsidRDefault="00641FB0" w:rsidP="00584289">
            <w:pPr>
              <w:widowControl/>
              <w:adjustRightInd w:val="0"/>
              <w:snapToGrid w:val="0"/>
              <w:spacing w:line="360" w:lineRule="auto"/>
              <w:rPr>
                <w:rFonts w:ascii="Book Antiqua" w:eastAsia="SimSun" w:hAnsi="Book Antiqua" w:cs="SimSun"/>
                <w:sz w:val="24"/>
                <w:szCs w:val="24"/>
              </w:rPr>
            </w:pPr>
          </w:p>
        </w:tc>
        <w:tc>
          <w:tcPr>
            <w:tcW w:w="279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Signet ring cell</w:t>
            </w:r>
          </w:p>
        </w:tc>
        <w:tc>
          <w:tcPr>
            <w:tcW w:w="137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0.4750</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0.83</w:t>
            </w:r>
          </w:p>
        </w:tc>
        <w:tc>
          <w:tcPr>
            <w:tcW w:w="1210"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0.50-1.39</w:t>
            </w:r>
          </w:p>
        </w:tc>
      </w:tr>
      <w:tr w:rsidR="00641FB0" w:rsidRPr="00CE6F35" w:rsidTr="00522AA8">
        <w:trPr>
          <w:trHeight w:val="270"/>
        </w:trPr>
        <w:tc>
          <w:tcPr>
            <w:tcW w:w="1976" w:type="dxa"/>
            <w:noWrap/>
            <w:hideMark/>
          </w:tcPr>
          <w:p w:rsidR="00641FB0" w:rsidRPr="00CE6F35" w:rsidRDefault="00641FB0" w:rsidP="00584289">
            <w:pPr>
              <w:widowControl/>
              <w:adjustRightInd w:val="0"/>
              <w:snapToGrid w:val="0"/>
              <w:spacing w:line="360" w:lineRule="auto"/>
              <w:rPr>
                <w:rFonts w:ascii="Book Antiqua" w:eastAsia="SimSun" w:hAnsi="Book Antiqua" w:cs="SimSun"/>
                <w:sz w:val="24"/>
                <w:szCs w:val="24"/>
              </w:rPr>
            </w:pPr>
          </w:p>
        </w:tc>
        <w:tc>
          <w:tcPr>
            <w:tcW w:w="2796" w:type="dxa"/>
            <w:noWrap/>
            <w:hideMark/>
          </w:tcPr>
          <w:p w:rsidR="00641FB0" w:rsidRPr="00CE6F35" w:rsidRDefault="00041455"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Other</w:t>
            </w:r>
          </w:p>
        </w:tc>
        <w:tc>
          <w:tcPr>
            <w:tcW w:w="137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0.9469</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1.01</w:t>
            </w:r>
          </w:p>
        </w:tc>
        <w:tc>
          <w:tcPr>
            <w:tcW w:w="1210"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0.67-1.53</w:t>
            </w:r>
          </w:p>
        </w:tc>
      </w:tr>
      <w:tr w:rsidR="00641FB0" w:rsidRPr="00CE6F35" w:rsidTr="00522AA8">
        <w:trPr>
          <w:trHeight w:val="270"/>
        </w:trPr>
        <w:tc>
          <w:tcPr>
            <w:tcW w:w="1976" w:type="dxa"/>
            <w:noWrap/>
            <w:hideMark/>
          </w:tcPr>
          <w:p w:rsidR="00641FB0" w:rsidRPr="00CE6F35" w:rsidRDefault="00641FB0" w:rsidP="00584289">
            <w:pPr>
              <w:widowControl/>
              <w:adjustRightInd w:val="0"/>
              <w:snapToGrid w:val="0"/>
              <w:spacing w:line="360" w:lineRule="auto"/>
              <w:rPr>
                <w:rFonts w:ascii="Book Antiqua" w:eastAsia="SimSun" w:hAnsi="Book Antiqua" w:cs="SimSun"/>
                <w:sz w:val="24"/>
                <w:szCs w:val="24"/>
              </w:rPr>
            </w:pPr>
            <w:r w:rsidRPr="00CE6F35">
              <w:rPr>
                <w:rFonts w:ascii="Book Antiqua" w:eastAsia="SimSun" w:hAnsi="Book Antiqua" w:cs="SimSun"/>
                <w:sz w:val="24"/>
                <w:szCs w:val="24"/>
              </w:rPr>
              <w:t>TNM stage</w:t>
            </w:r>
          </w:p>
        </w:tc>
        <w:tc>
          <w:tcPr>
            <w:tcW w:w="279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I</w:t>
            </w:r>
          </w:p>
        </w:tc>
        <w:tc>
          <w:tcPr>
            <w:tcW w:w="1376" w:type="dxa"/>
            <w:noWrap/>
            <w:hideMark/>
          </w:tcPr>
          <w:p w:rsidR="00641FB0" w:rsidRPr="00CE6F35" w:rsidRDefault="00582028"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1.00</w:t>
            </w:r>
          </w:p>
        </w:tc>
        <w:tc>
          <w:tcPr>
            <w:tcW w:w="1210" w:type="dxa"/>
            <w:noWrap/>
            <w:hideMark/>
          </w:tcPr>
          <w:p w:rsidR="00641FB0" w:rsidRPr="00CE6F35" w:rsidRDefault="00582028"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w:t>
            </w:r>
          </w:p>
        </w:tc>
      </w:tr>
      <w:tr w:rsidR="00641FB0" w:rsidRPr="00CE6F35" w:rsidTr="00522AA8">
        <w:trPr>
          <w:trHeight w:val="270"/>
        </w:trPr>
        <w:tc>
          <w:tcPr>
            <w:tcW w:w="1976" w:type="dxa"/>
            <w:noWrap/>
            <w:hideMark/>
          </w:tcPr>
          <w:p w:rsidR="00641FB0" w:rsidRPr="00CE6F35" w:rsidRDefault="00641FB0" w:rsidP="00584289">
            <w:pPr>
              <w:widowControl/>
              <w:adjustRightInd w:val="0"/>
              <w:snapToGrid w:val="0"/>
              <w:spacing w:line="360" w:lineRule="auto"/>
              <w:rPr>
                <w:rFonts w:ascii="Book Antiqua" w:eastAsia="SimSun" w:hAnsi="Book Antiqua" w:cs="SimSun"/>
                <w:sz w:val="24"/>
                <w:szCs w:val="24"/>
              </w:rPr>
            </w:pPr>
          </w:p>
        </w:tc>
        <w:tc>
          <w:tcPr>
            <w:tcW w:w="279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II</w:t>
            </w:r>
          </w:p>
        </w:tc>
        <w:tc>
          <w:tcPr>
            <w:tcW w:w="137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0.0003</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5.50</w:t>
            </w:r>
          </w:p>
        </w:tc>
        <w:tc>
          <w:tcPr>
            <w:tcW w:w="1210"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2.18-13.86</w:t>
            </w:r>
          </w:p>
        </w:tc>
      </w:tr>
      <w:tr w:rsidR="00641FB0" w:rsidRPr="00CE6F35" w:rsidTr="00522AA8">
        <w:trPr>
          <w:trHeight w:val="270"/>
        </w:trPr>
        <w:tc>
          <w:tcPr>
            <w:tcW w:w="1976" w:type="dxa"/>
            <w:noWrap/>
            <w:hideMark/>
          </w:tcPr>
          <w:p w:rsidR="00641FB0" w:rsidRPr="00CE6F35" w:rsidRDefault="00641FB0" w:rsidP="00584289">
            <w:pPr>
              <w:widowControl/>
              <w:adjustRightInd w:val="0"/>
              <w:snapToGrid w:val="0"/>
              <w:spacing w:line="360" w:lineRule="auto"/>
              <w:rPr>
                <w:rFonts w:ascii="Book Antiqua" w:eastAsia="SimSun" w:hAnsi="Book Antiqua" w:cs="SimSun"/>
                <w:sz w:val="24"/>
                <w:szCs w:val="24"/>
              </w:rPr>
            </w:pPr>
          </w:p>
        </w:tc>
        <w:tc>
          <w:tcPr>
            <w:tcW w:w="279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III</w:t>
            </w:r>
          </w:p>
        </w:tc>
        <w:tc>
          <w:tcPr>
            <w:tcW w:w="137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&lt;</w:t>
            </w:r>
            <w:r w:rsidR="00041455" w:rsidRPr="00CE6F35">
              <w:rPr>
                <w:rFonts w:ascii="Book Antiqua" w:eastAsia="SimSun" w:hAnsi="Book Antiqua" w:cs="SimSun" w:hint="eastAsia"/>
                <w:sz w:val="24"/>
                <w:szCs w:val="24"/>
              </w:rPr>
              <w:t xml:space="preserve"> 0</w:t>
            </w:r>
            <w:r w:rsidRPr="00CE6F35">
              <w:rPr>
                <w:rFonts w:ascii="Book Antiqua" w:eastAsia="SimSun" w:hAnsi="Book Antiqua" w:cs="SimSun"/>
                <w:sz w:val="24"/>
                <w:szCs w:val="24"/>
              </w:rPr>
              <w:t>.0001</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22.29</w:t>
            </w:r>
          </w:p>
        </w:tc>
        <w:tc>
          <w:tcPr>
            <w:tcW w:w="1210"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9.05-54.89</w:t>
            </w:r>
          </w:p>
        </w:tc>
      </w:tr>
      <w:tr w:rsidR="00641FB0" w:rsidRPr="00CE6F35" w:rsidTr="00522AA8">
        <w:trPr>
          <w:trHeight w:val="270"/>
        </w:trPr>
        <w:tc>
          <w:tcPr>
            <w:tcW w:w="1976" w:type="dxa"/>
            <w:noWrap/>
            <w:hideMark/>
          </w:tcPr>
          <w:p w:rsidR="00641FB0" w:rsidRPr="00CE6F35" w:rsidRDefault="00641FB0" w:rsidP="00584289">
            <w:pPr>
              <w:widowControl/>
              <w:adjustRightInd w:val="0"/>
              <w:snapToGrid w:val="0"/>
              <w:spacing w:line="360" w:lineRule="auto"/>
              <w:rPr>
                <w:rFonts w:ascii="Book Antiqua" w:eastAsia="SimSun" w:hAnsi="Book Antiqua" w:cs="SimSun"/>
                <w:sz w:val="24"/>
                <w:szCs w:val="24"/>
              </w:rPr>
            </w:pPr>
          </w:p>
        </w:tc>
        <w:tc>
          <w:tcPr>
            <w:tcW w:w="279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IV</w:t>
            </w:r>
          </w:p>
        </w:tc>
        <w:tc>
          <w:tcPr>
            <w:tcW w:w="137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&lt;</w:t>
            </w:r>
            <w:r w:rsidR="00041455" w:rsidRPr="00CE6F35">
              <w:rPr>
                <w:rFonts w:ascii="Book Antiqua" w:eastAsia="SimSun" w:hAnsi="Book Antiqua" w:cs="SimSun" w:hint="eastAsia"/>
                <w:sz w:val="24"/>
                <w:szCs w:val="24"/>
              </w:rPr>
              <w:t xml:space="preserve"> 0</w:t>
            </w:r>
            <w:r w:rsidRPr="00CE6F35">
              <w:rPr>
                <w:rFonts w:ascii="Book Antiqua" w:eastAsia="SimSun" w:hAnsi="Book Antiqua" w:cs="SimSun"/>
                <w:sz w:val="24"/>
                <w:szCs w:val="24"/>
              </w:rPr>
              <w:t>.0001</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32.12</w:t>
            </w:r>
          </w:p>
        </w:tc>
        <w:tc>
          <w:tcPr>
            <w:tcW w:w="1210"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12.63-81.70</w:t>
            </w:r>
          </w:p>
        </w:tc>
      </w:tr>
      <w:tr w:rsidR="00641FB0" w:rsidRPr="00CE6F35" w:rsidTr="00522AA8">
        <w:trPr>
          <w:trHeight w:val="270"/>
        </w:trPr>
        <w:tc>
          <w:tcPr>
            <w:tcW w:w="1976" w:type="dxa"/>
            <w:noWrap/>
            <w:hideMark/>
          </w:tcPr>
          <w:p w:rsidR="00641FB0" w:rsidRPr="00CE6F35" w:rsidRDefault="00641FB0" w:rsidP="00584289">
            <w:pPr>
              <w:widowControl/>
              <w:adjustRightInd w:val="0"/>
              <w:snapToGrid w:val="0"/>
              <w:spacing w:line="360" w:lineRule="auto"/>
              <w:rPr>
                <w:rFonts w:ascii="Book Antiqua" w:eastAsia="SimSun" w:hAnsi="Book Antiqua" w:cs="SimSun"/>
                <w:sz w:val="24"/>
                <w:szCs w:val="24"/>
              </w:rPr>
            </w:pPr>
            <w:bookmarkStart w:id="543" w:name="_Hlk426373238"/>
            <w:r w:rsidRPr="00CE6F35">
              <w:rPr>
                <w:rFonts w:ascii="Book Antiqua" w:eastAsia="SimSun" w:hAnsi="Book Antiqua" w:cs="SimSun"/>
                <w:sz w:val="24"/>
                <w:szCs w:val="24"/>
              </w:rPr>
              <w:t>Chemotherapy</w:t>
            </w:r>
          </w:p>
        </w:tc>
        <w:tc>
          <w:tcPr>
            <w:tcW w:w="2796" w:type="dxa"/>
            <w:noWrap/>
            <w:hideMark/>
          </w:tcPr>
          <w:p w:rsidR="00641FB0" w:rsidRPr="00CE6F35" w:rsidRDefault="00041455"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No</w:t>
            </w:r>
          </w:p>
        </w:tc>
        <w:tc>
          <w:tcPr>
            <w:tcW w:w="1376" w:type="dxa"/>
            <w:noWrap/>
            <w:hideMark/>
          </w:tcPr>
          <w:p w:rsidR="00641FB0" w:rsidRPr="00CE6F35" w:rsidRDefault="00582028"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1.00</w:t>
            </w:r>
          </w:p>
        </w:tc>
        <w:tc>
          <w:tcPr>
            <w:tcW w:w="1210" w:type="dxa"/>
            <w:noWrap/>
            <w:hideMark/>
          </w:tcPr>
          <w:p w:rsidR="00641FB0" w:rsidRPr="00CE6F35" w:rsidRDefault="00582028"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w:t>
            </w:r>
          </w:p>
        </w:tc>
      </w:tr>
      <w:tr w:rsidR="00641FB0" w:rsidRPr="00CE6F35" w:rsidTr="00522AA8">
        <w:trPr>
          <w:trHeight w:val="270"/>
        </w:trPr>
        <w:tc>
          <w:tcPr>
            <w:tcW w:w="1976" w:type="dxa"/>
            <w:noWrap/>
            <w:hideMark/>
          </w:tcPr>
          <w:p w:rsidR="00641FB0" w:rsidRPr="00CE6F35" w:rsidRDefault="00641FB0" w:rsidP="00F24268">
            <w:pPr>
              <w:widowControl/>
              <w:adjustRightInd w:val="0"/>
              <w:snapToGrid w:val="0"/>
              <w:spacing w:line="360" w:lineRule="auto"/>
              <w:jc w:val="both"/>
              <w:rPr>
                <w:rFonts w:ascii="Book Antiqua" w:eastAsia="SimSun" w:hAnsi="Book Antiqua" w:cs="SimSun"/>
                <w:sz w:val="24"/>
                <w:szCs w:val="24"/>
              </w:rPr>
            </w:pPr>
          </w:p>
        </w:tc>
        <w:tc>
          <w:tcPr>
            <w:tcW w:w="279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FOLFOX-4</w:t>
            </w:r>
          </w:p>
        </w:tc>
        <w:tc>
          <w:tcPr>
            <w:tcW w:w="137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0.0195</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0.64</w:t>
            </w:r>
          </w:p>
        </w:tc>
        <w:tc>
          <w:tcPr>
            <w:tcW w:w="1210"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0.45-0.93</w:t>
            </w:r>
          </w:p>
        </w:tc>
      </w:tr>
      <w:tr w:rsidR="00641FB0" w:rsidRPr="00CE6F35" w:rsidTr="00522AA8">
        <w:trPr>
          <w:trHeight w:val="270"/>
        </w:trPr>
        <w:tc>
          <w:tcPr>
            <w:tcW w:w="1976" w:type="dxa"/>
            <w:noWrap/>
            <w:hideMark/>
          </w:tcPr>
          <w:p w:rsidR="00641FB0" w:rsidRPr="00CE6F35" w:rsidRDefault="00641FB0" w:rsidP="00F24268">
            <w:pPr>
              <w:widowControl/>
              <w:adjustRightInd w:val="0"/>
              <w:snapToGrid w:val="0"/>
              <w:spacing w:line="360" w:lineRule="auto"/>
              <w:jc w:val="both"/>
              <w:rPr>
                <w:rFonts w:ascii="Book Antiqua" w:eastAsia="SimSun" w:hAnsi="Book Antiqua" w:cs="SimSun"/>
                <w:sz w:val="24"/>
                <w:szCs w:val="24"/>
              </w:rPr>
            </w:pPr>
          </w:p>
        </w:tc>
        <w:tc>
          <w:tcPr>
            <w:tcW w:w="279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XELOX</w:t>
            </w:r>
          </w:p>
        </w:tc>
        <w:tc>
          <w:tcPr>
            <w:tcW w:w="137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0.0021</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0.43</w:t>
            </w:r>
          </w:p>
        </w:tc>
        <w:tc>
          <w:tcPr>
            <w:tcW w:w="1210"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0.25-0.74</w:t>
            </w:r>
          </w:p>
        </w:tc>
      </w:tr>
      <w:tr w:rsidR="00641FB0" w:rsidRPr="00CE6F35" w:rsidTr="00522AA8">
        <w:trPr>
          <w:trHeight w:val="270"/>
        </w:trPr>
        <w:tc>
          <w:tcPr>
            <w:tcW w:w="1976" w:type="dxa"/>
            <w:noWrap/>
            <w:hideMark/>
          </w:tcPr>
          <w:p w:rsidR="00641FB0" w:rsidRPr="00CE6F35" w:rsidRDefault="00641FB0" w:rsidP="00F24268">
            <w:pPr>
              <w:widowControl/>
              <w:adjustRightInd w:val="0"/>
              <w:snapToGrid w:val="0"/>
              <w:spacing w:line="360" w:lineRule="auto"/>
              <w:jc w:val="both"/>
              <w:rPr>
                <w:rFonts w:ascii="Book Antiqua" w:eastAsia="SimSun" w:hAnsi="Book Antiqua" w:cs="SimSun"/>
                <w:sz w:val="24"/>
                <w:szCs w:val="24"/>
              </w:rPr>
            </w:pPr>
          </w:p>
        </w:tc>
        <w:tc>
          <w:tcPr>
            <w:tcW w:w="279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Other</w:t>
            </w:r>
          </w:p>
        </w:tc>
        <w:tc>
          <w:tcPr>
            <w:tcW w:w="137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0.0004</w:t>
            </w:r>
          </w:p>
        </w:tc>
        <w:tc>
          <w:tcPr>
            <w:tcW w:w="1836"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0.45</w:t>
            </w:r>
          </w:p>
        </w:tc>
        <w:tc>
          <w:tcPr>
            <w:tcW w:w="1210" w:type="dxa"/>
            <w:noWrap/>
            <w:hideMark/>
          </w:tcPr>
          <w:p w:rsidR="00641FB0" w:rsidRPr="00CE6F35" w:rsidRDefault="00641FB0" w:rsidP="00584289">
            <w:pPr>
              <w:widowControl/>
              <w:adjustRightInd w:val="0"/>
              <w:snapToGrid w:val="0"/>
              <w:spacing w:line="360" w:lineRule="auto"/>
              <w:jc w:val="center"/>
              <w:rPr>
                <w:rFonts w:ascii="Book Antiqua" w:eastAsia="SimSun" w:hAnsi="Book Antiqua" w:cs="SimSun"/>
                <w:sz w:val="24"/>
                <w:szCs w:val="24"/>
              </w:rPr>
            </w:pPr>
            <w:r w:rsidRPr="00CE6F35">
              <w:rPr>
                <w:rFonts w:ascii="Book Antiqua" w:eastAsia="SimSun" w:hAnsi="Book Antiqua" w:cs="SimSun"/>
                <w:sz w:val="24"/>
                <w:szCs w:val="24"/>
              </w:rPr>
              <w:t>0.29-0.70</w:t>
            </w:r>
          </w:p>
        </w:tc>
      </w:tr>
      <w:bookmarkEnd w:id="543"/>
    </w:tbl>
    <w:p w:rsidR="00641FB0" w:rsidRPr="00CE6F35" w:rsidRDefault="00641FB0" w:rsidP="00F24268">
      <w:pPr>
        <w:widowControl/>
        <w:adjustRightInd w:val="0"/>
        <w:snapToGrid w:val="0"/>
        <w:rPr>
          <w:rFonts w:ascii="Book Antiqua" w:hAnsi="Book Antiqua"/>
          <w:szCs w:val="24"/>
        </w:rPr>
        <w:sectPr w:rsidR="00641FB0" w:rsidRPr="00CE6F35" w:rsidSect="00522AA8">
          <w:pgSz w:w="16838" w:h="11906" w:orient="landscape"/>
          <w:pgMar w:top="1304" w:right="1440" w:bottom="1304" w:left="1440" w:header="851" w:footer="992" w:gutter="0"/>
          <w:cols w:space="425"/>
          <w:docGrid w:type="linesAndChars" w:linePitch="312"/>
        </w:sectPr>
      </w:pPr>
    </w:p>
    <w:p w:rsidR="00641FB0" w:rsidRPr="00CE6F35" w:rsidRDefault="00641FB0" w:rsidP="00F24268">
      <w:pPr>
        <w:adjustRightInd w:val="0"/>
        <w:snapToGrid w:val="0"/>
        <w:rPr>
          <w:rFonts w:ascii="Book Antiqua" w:hAnsi="Book Antiqua"/>
          <w:b/>
          <w:szCs w:val="24"/>
        </w:rPr>
      </w:pPr>
    </w:p>
    <w:p w:rsidR="00641FB0" w:rsidRPr="00CE6F35" w:rsidRDefault="00641FB0" w:rsidP="00F24268">
      <w:pPr>
        <w:widowControl/>
        <w:adjustRightInd w:val="0"/>
        <w:snapToGrid w:val="0"/>
        <w:rPr>
          <w:rFonts w:ascii="Book Antiqua" w:hAnsi="Book Antiqua"/>
          <w:b/>
          <w:szCs w:val="24"/>
        </w:rPr>
      </w:pPr>
    </w:p>
    <w:sectPr w:rsidR="00641FB0" w:rsidRPr="00CE6F35" w:rsidSect="00522AA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817" w:rsidRDefault="00D54817" w:rsidP="00A77AD5">
      <w:pPr>
        <w:spacing w:line="240" w:lineRule="auto"/>
      </w:pPr>
      <w:r>
        <w:separator/>
      </w:r>
    </w:p>
  </w:endnote>
  <w:endnote w:type="continuationSeparator" w:id="0">
    <w:p w:rsidR="00D54817" w:rsidRDefault="00D54817" w:rsidP="00A77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78229"/>
      <w:docPartObj>
        <w:docPartGallery w:val="Page Numbers (Bottom of Page)"/>
        <w:docPartUnique/>
      </w:docPartObj>
    </w:sdtPr>
    <w:sdtEndPr/>
    <w:sdtContent>
      <w:p w:rsidR="00041455" w:rsidRDefault="00041455">
        <w:pPr>
          <w:pStyle w:val="Footer"/>
          <w:jc w:val="center"/>
        </w:pPr>
        <w:r>
          <w:fldChar w:fldCharType="begin"/>
        </w:r>
        <w:r>
          <w:instrText xml:space="preserve"> PAGE   \* MERGEFORMAT </w:instrText>
        </w:r>
        <w:r>
          <w:fldChar w:fldCharType="separate"/>
        </w:r>
        <w:r w:rsidR="00A541DE" w:rsidRPr="00A541DE">
          <w:rPr>
            <w:noProof/>
            <w:lang w:val="zh-CN"/>
          </w:rPr>
          <w:t>36</w:t>
        </w:r>
        <w:r>
          <w:rPr>
            <w:noProof/>
            <w:lang w:val="zh-CN"/>
          </w:rPr>
          <w:fldChar w:fldCharType="end"/>
        </w:r>
      </w:p>
    </w:sdtContent>
  </w:sdt>
  <w:p w:rsidR="00041455" w:rsidRDefault="000414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817" w:rsidRDefault="00D54817" w:rsidP="00A77AD5">
      <w:pPr>
        <w:spacing w:line="240" w:lineRule="auto"/>
      </w:pPr>
      <w:r>
        <w:separator/>
      </w:r>
    </w:p>
  </w:footnote>
  <w:footnote w:type="continuationSeparator" w:id="0">
    <w:p w:rsidR="00D54817" w:rsidRDefault="00D54817" w:rsidP="00A77AD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C626C8"/>
    <w:multiLevelType w:val="hybridMultilevel"/>
    <w:tmpl w:val="11CC1FC4"/>
    <w:lvl w:ilvl="0" w:tplc="2A427AD0">
      <w:start w:val="4"/>
      <w:numFmt w:val="bullet"/>
      <w:lvlText w:val=""/>
      <w:lvlJc w:val="left"/>
      <w:pPr>
        <w:ind w:left="360" w:hanging="360"/>
      </w:pPr>
      <w:rPr>
        <w:rFonts w:ascii="Wingdings" w:eastAsia="SimSun"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41FB0"/>
    <w:rsid w:val="00041455"/>
    <w:rsid w:val="00044EBB"/>
    <w:rsid w:val="000770B8"/>
    <w:rsid w:val="000B3A84"/>
    <w:rsid w:val="00182007"/>
    <w:rsid w:val="00192AC8"/>
    <w:rsid w:val="001A37EC"/>
    <w:rsid w:val="001B2A9B"/>
    <w:rsid w:val="001E2583"/>
    <w:rsid w:val="00213F36"/>
    <w:rsid w:val="0025495B"/>
    <w:rsid w:val="00275888"/>
    <w:rsid w:val="00286C50"/>
    <w:rsid w:val="0029542B"/>
    <w:rsid w:val="002B27A4"/>
    <w:rsid w:val="00315AF4"/>
    <w:rsid w:val="00325FA4"/>
    <w:rsid w:val="00334CD1"/>
    <w:rsid w:val="003C7C6A"/>
    <w:rsid w:val="004247BB"/>
    <w:rsid w:val="00445711"/>
    <w:rsid w:val="00455DA8"/>
    <w:rsid w:val="004607EA"/>
    <w:rsid w:val="004B36AF"/>
    <w:rsid w:val="004C5265"/>
    <w:rsid w:val="004D373B"/>
    <w:rsid w:val="00516840"/>
    <w:rsid w:val="00522AA8"/>
    <w:rsid w:val="00562A2E"/>
    <w:rsid w:val="00582028"/>
    <w:rsid w:val="00584289"/>
    <w:rsid w:val="005B3BD5"/>
    <w:rsid w:val="005B454A"/>
    <w:rsid w:val="00606FAD"/>
    <w:rsid w:val="00612CDF"/>
    <w:rsid w:val="00641FB0"/>
    <w:rsid w:val="006534DB"/>
    <w:rsid w:val="00680626"/>
    <w:rsid w:val="00692E8D"/>
    <w:rsid w:val="006E3DD8"/>
    <w:rsid w:val="00793D7F"/>
    <w:rsid w:val="007C6F13"/>
    <w:rsid w:val="007F4C73"/>
    <w:rsid w:val="00807FE1"/>
    <w:rsid w:val="00811E16"/>
    <w:rsid w:val="008154EB"/>
    <w:rsid w:val="008210D7"/>
    <w:rsid w:val="00827BDC"/>
    <w:rsid w:val="008E787A"/>
    <w:rsid w:val="00921133"/>
    <w:rsid w:val="00954D40"/>
    <w:rsid w:val="009734BA"/>
    <w:rsid w:val="009B4F0D"/>
    <w:rsid w:val="00A40BDF"/>
    <w:rsid w:val="00A541DE"/>
    <w:rsid w:val="00A7465B"/>
    <w:rsid w:val="00A76753"/>
    <w:rsid w:val="00A77AD5"/>
    <w:rsid w:val="00A8033D"/>
    <w:rsid w:val="00AF608D"/>
    <w:rsid w:val="00B054D4"/>
    <w:rsid w:val="00B73EB5"/>
    <w:rsid w:val="00B83B04"/>
    <w:rsid w:val="00B96B51"/>
    <w:rsid w:val="00C0326B"/>
    <w:rsid w:val="00C84B23"/>
    <w:rsid w:val="00CC1F5D"/>
    <w:rsid w:val="00CD32CB"/>
    <w:rsid w:val="00CE035D"/>
    <w:rsid w:val="00CE6F35"/>
    <w:rsid w:val="00D0720A"/>
    <w:rsid w:val="00D07729"/>
    <w:rsid w:val="00D54817"/>
    <w:rsid w:val="00DC0081"/>
    <w:rsid w:val="00E164CB"/>
    <w:rsid w:val="00E73204"/>
    <w:rsid w:val="00E86C88"/>
    <w:rsid w:val="00EB0D31"/>
    <w:rsid w:val="00ED1D9E"/>
    <w:rsid w:val="00F128EC"/>
    <w:rsid w:val="00F24268"/>
    <w:rsid w:val="00F6176C"/>
    <w:rsid w:val="00FE14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docId w15:val="{588D18FF-2FB1-4C8B-850D-DA1A09D1A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kern w:val="2"/>
        <w:sz w:val="24"/>
        <w:szCs w:val="22"/>
        <w:lang w:val="en-US" w:eastAsia="zh-CN"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FB0"/>
    <w:pPr>
      <w:widowControl w:val="0"/>
    </w:pPr>
    <w:rPr>
      <w:rFonts w:ascii="Calibri" w:hAnsi="Calibri" w:cs="Times New Roman"/>
    </w:rPr>
  </w:style>
  <w:style w:type="paragraph" w:styleId="Heading1">
    <w:name w:val="heading 1"/>
    <w:basedOn w:val="Normal"/>
    <w:next w:val="Normal"/>
    <w:link w:val="Heading1Char"/>
    <w:qFormat/>
    <w:rsid w:val="00641FB0"/>
    <w:pPr>
      <w:keepNext/>
      <w:keepLines/>
      <w:spacing w:before="340" w:after="330" w:line="578" w:lineRule="auto"/>
      <w:outlineLvl w:val="0"/>
    </w:pPr>
    <w:rPr>
      <w:b/>
      <w:bCs/>
      <w:kern w:val="44"/>
      <w:sz w:val="44"/>
      <w:szCs w:val="44"/>
    </w:rPr>
  </w:style>
  <w:style w:type="paragraph" w:styleId="Heading3">
    <w:name w:val="heading 3"/>
    <w:basedOn w:val="Normal"/>
    <w:link w:val="Heading3Char"/>
    <w:uiPriority w:val="9"/>
    <w:qFormat/>
    <w:rsid w:val="00641FB0"/>
    <w:pPr>
      <w:widowControl/>
      <w:spacing w:before="100" w:beforeAutospacing="1" w:after="100" w:afterAutospacing="1" w:line="240" w:lineRule="auto"/>
      <w:jc w:val="left"/>
      <w:outlineLvl w:val="2"/>
    </w:pPr>
    <w:rPr>
      <w:rFonts w:ascii="SimSun" w:hAnsi="SimSun" w:cs="SimSu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
    <w:name w:val="统计表格"/>
    <w:basedOn w:val="TableSimple1"/>
    <w:uiPriority w:val="99"/>
    <w:rsid w:val="00641FB0"/>
    <w:pPr>
      <w:autoSpaceDE w:val="0"/>
      <w:autoSpaceDN w:val="0"/>
      <w:adjustRightInd w:val="0"/>
    </w:pPr>
    <w:rPr>
      <w:sz w:val="21"/>
    </w:rP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rsid w:val="00641FB0"/>
    <w:pPr>
      <w:widowControl w:val="0"/>
      <w:spacing w:line="240" w:lineRule="auto"/>
      <w:jc w:val="left"/>
    </w:pPr>
    <w:rPr>
      <w:rFonts w:ascii="Calibri" w:hAnsi="Calibri" w:cs="Times New Roman"/>
      <w:kern w:val="0"/>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Heading1Char">
    <w:name w:val="Heading 1 Char"/>
    <w:basedOn w:val="DefaultParagraphFont"/>
    <w:link w:val="Heading1"/>
    <w:rsid w:val="00641FB0"/>
    <w:rPr>
      <w:rFonts w:ascii="Calibri" w:hAnsi="Calibri" w:cs="Times New Roman"/>
      <w:b/>
      <w:bCs/>
      <w:kern w:val="44"/>
      <w:sz w:val="44"/>
      <w:szCs w:val="44"/>
    </w:rPr>
  </w:style>
  <w:style w:type="character" w:customStyle="1" w:styleId="Heading3Char">
    <w:name w:val="Heading 3 Char"/>
    <w:basedOn w:val="DefaultParagraphFont"/>
    <w:link w:val="Heading3"/>
    <w:uiPriority w:val="9"/>
    <w:rsid w:val="00641FB0"/>
    <w:rPr>
      <w:rFonts w:ascii="SimSun" w:hAnsi="SimSun" w:cs="SimSun"/>
      <w:b/>
      <w:bCs/>
      <w:kern w:val="0"/>
      <w:sz w:val="27"/>
      <w:szCs w:val="27"/>
    </w:rPr>
  </w:style>
  <w:style w:type="paragraph" w:styleId="Header">
    <w:name w:val="header"/>
    <w:basedOn w:val="Normal"/>
    <w:link w:val="HeaderChar"/>
    <w:uiPriority w:val="99"/>
    <w:semiHidden/>
    <w:rsid w:val="00641FB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641FB0"/>
    <w:rPr>
      <w:rFonts w:ascii="Calibri" w:hAnsi="Calibri" w:cs="Times New Roman"/>
      <w:sz w:val="18"/>
      <w:szCs w:val="18"/>
    </w:rPr>
  </w:style>
  <w:style w:type="paragraph" w:styleId="Footer">
    <w:name w:val="footer"/>
    <w:basedOn w:val="Normal"/>
    <w:link w:val="FooterChar"/>
    <w:uiPriority w:val="99"/>
    <w:rsid w:val="00641FB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41FB0"/>
    <w:rPr>
      <w:rFonts w:ascii="Calibri" w:hAnsi="Calibri" w:cs="Times New Roman"/>
      <w:sz w:val="18"/>
      <w:szCs w:val="18"/>
    </w:rPr>
  </w:style>
  <w:style w:type="table" w:styleId="TableGrid">
    <w:name w:val="Table Grid"/>
    <w:basedOn w:val="TableNormal"/>
    <w:uiPriority w:val="99"/>
    <w:rsid w:val="00641FB0"/>
    <w:pPr>
      <w:spacing w:line="240" w:lineRule="auto"/>
      <w:jc w:val="left"/>
    </w:pPr>
    <w:rPr>
      <w:rFonts w:ascii="Calibri"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0">
    <w:name w:val="统计表"/>
    <w:basedOn w:val="TableSimple1"/>
    <w:uiPriority w:val="99"/>
    <w:qFormat/>
    <w:rsid w:val="00641FB0"/>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styleId="Hyperlink">
    <w:name w:val="Hyperlink"/>
    <w:basedOn w:val="DefaultParagraphFont"/>
    <w:uiPriority w:val="99"/>
    <w:rsid w:val="00641FB0"/>
    <w:rPr>
      <w:rFonts w:cs="Times New Roman"/>
      <w:color w:val="0000FF"/>
      <w:u w:val="single"/>
    </w:rPr>
  </w:style>
  <w:style w:type="paragraph" w:styleId="ListParagraph">
    <w:name w:val="List Paragraph"/>
    <w:basedOn w:val="Normal"/>
    <w:uiPriority w:val="99"/>
    <w:qFormat/>
    <w:rsid w:val="00641FB0"/>
    <w:pPr>
      <w:ind w:firstLineChars="200" w:firstLine="420"/>
    </w:pPr>
  </w:style>
  <w:style w:type="character" w:styleId="FollowedHyperlink">
    <w:name w:val="FollowedHyperlink"/>
    <w:basedOn w:val="DefaultParagraphFont"/>
    <w:uiPriority w:val="99"/>
    <w:semiHidden/>
    <w:rsid w:val="00641FB0"/>
    <w:rPr>
      <w:rFonts w:cs="Times New Roman"/>
      <w:color w:val="800080"/>
      <w:u w:val="single"/>
    </w:rPr>
  </w:style>
  <w:style w:type="character" w:customStyle="1" w:styleId="highlight">
    <w:name w:val="highlight"/>
    <w:basedOn w:val="DefaultParagraphFont"/>
    <w:uiPriority w:val="99"/>
    <w:rsid w:val="00641FB0"/>
    <w:rPr>
      <w:rFonts w:cs="Times New Roman"/>
    </w:rPr>
  </w:style>
  <w:style w:type="character" w:customStyle="1" w:styleId="apple-converted-space">
    <w:name w:val="apple-converted-space"/>
    <w:basedOn w:val="DefaultParagraphFont"/>
    <w:uiPriority w:val="99"/>
    <w:rsid w:val="00641FB0"/>
    <w:rPr>
      <w:rFonts w:cs="Times New Roman"/>
    </w:rPr>
  </w:style>
  <w:style w:type="character" w:styleId="Emphasis">
    <w:name w:val="Emphasis"/>
    <w:basedOn w:val="DefaultParagraphFont"/>
    <w:uiPriority w:val="99"/>
    <w:qFormat/>
    <w:rsid w:val="00641FB0"/>
    <w:rPr>
      <w:rFonts w:cs="Times New Roman"/>
      <w:i/>
      <w:iCs/>
    </w:rPr>
  </w:style>
  <w:style w:type="paragraph" w:styleId="BalloonText">
    <w:name w:val="Balloon Text"/>
    <w:basedOn w:val="Normal"/>
    <w:link w:val="BalloonTextChar"/>
    <w:uiPriority w:val="99"/>
    <w:semiHidden/>
    <w:rsid w:val="00641FB0"/>
    <w:pPr>
      <w:spacing w:line="240" w:lineRule="auto"/>
    </w:pPr>
    <w:rPr>
      <w:sz w:val="18"/>
      <w:szCs w:val="18"/>
    </w:rPr>
  </w:style>
  <w:style w:type="character" w:customStyle="1" w:styleId="BalloonTextChar">
    <w:name w:val="Balloon Text Char"/>
    <w:basedOn w:val="DefaultParagraphFont"/>
    <w:link w:val="BalloonText"/>
    <w:uiPriority w:val="99"/>
    <w:semiHidden/>
    <w:rsid w:val="00641FB0"/>
    <w:rPr>
      <w:rFonts w:ascii="Calibri" w:hAnsi="Calibri" w:cs="Times New Roman"/>
      <w:sz w:val="18"/>
      <w:szCs w:val="18"/>
    </w:rPr>
  </w:style>
  <w:style w:type="character" w:customStyle="1" w:styleId="def">
    <w:name w:val="def"/>
    <w:basedOn w:val="DefaultParagraphFont"/>
    <w:uiPriority w:val="99"/>
    <w:rsid w:val="00641FB0"/>
    <w:rPr>
      <w:rFonts w:cs="Times New Roman"/>
    </w:rPr>
  </w:style>
  <w:style w:type="character" w:styleId="CommentReference">
    <w:name w:val="annotation reference"/>
    <w:basedOn w:val="DefaultParagraphFont"/>
    <w:uiPriority w:val="99"/>
    <w:semiHidden/>
    <w:rsid w:val="00641FB0"/>
    <w:rPr>
      <w:rFonts w:cs="Times New Roman"/>
      <w:sz w:val="21"/>
      <w:szCs w:val="21"/>
    </w:rPr>
  </w:style>
  <w:style w:type="paragraph" w:styleId="CommentText">
    <w:name w:val="annotation text"/>
    <w:basedOn w:val="Normal"/>
    <w:link w:val="CommentTextChar"/>
    <w:uiPriority w:val="99"/>
    <w:rsid w:val="00641FB0"/>
    <w:pPr>
      <w:jc w:val="left"/>
    </w:pPr>
  </w:style>
  <w:style w:type="character" w:customStyle="1" w:styleId="CommentTextChar">
    <w:name w:val="Comment Text Char"/>
    <w:basedOn w:val="DefaultParagraphFont"/>
    <w:link w:val="CommentText"/>
    <w:uiPriority w:val="99"/>
    <w:rsid w:val="00641FB0"/>
    <w:rPr>
      <w:rFonts w:ascii="Calibri" w:hAnsi="Calibri" w:cs="Times New Roman"/>
    </w:rPr>
  </w:style>
  <w:style w:type="paragraph" w:styleId="CommentSubject">
    <w:name w:val="annotation subject"/>
    <w:basedOn w:val="CommentText"/>
    <w:next w:val="CommentText"/>
    <w:link w:val="CommentSubjectChar"/>
    <w:uiPriority w:val="99"/>
    <w:semiHidden/>
    <w:rsid w:val="00641FB0"/>
    <w:rPr>
      <w:b/>
      <w:bCs/>
    </w:rPr>
  </w:style>
  <w:style w:type="character" w:customStyle="1" w:styleId="CommentSubjectChar">
    <w:name w:val="Comment Subject Char"/>
    <w:basedOn w:val="CommentTextChar"/>
    <w:link w:val="CommentSubject"/>
    <w:uiPriority w:val="99"/>
    <w:semiHidden/>
    <w:rsid w:val="00641FB0"/>
    <w:rPr>
      <w:rFonts w:ascii="Calibri" w:hAnsi="Calibri" w:cs="Times New Roman"/>
      <w:b/>
      <w:bCs/>
    </w:rPr>
  </w:style>
  <w:style w:type="paragraph" w:customStyle="1" w:styleId="EndNoteBibliographyTitle">
    <w:name w:val="EndNote Bibliography Title"/>
    <w:basedOn w:val="Normal"/>
    <w:link w:val="EndNoteBibliographyTitleChar"/>
    <w:rsid w:val="00641FB0"/>
    <w:pPr>
      <w:jc w:val="center"/>
    </w:pPr>
    <w:rPr>
      <w:rFonts w:ascii="Times New Roman" w:hAnsi="Times New Roman"/>
      <w:noProof/>
    </w:rPr>
  </w:style>
  <w:style w:type="character" w:customStyle="1" w:styleId="EndNoteBibliographyTitleChar">
    <w:name w:val="EndNote Bibliography Title Char"/>
    <w:basedOn w:val="DefaultParagraphFont"/>
    <w:link w:val="EndNoteBibliographyTitle"/>
    <w:rsid w:val="00641FB0"/>
    <w:rPr>
      <w:rFonts w:cs="Times New Roman"/>
      <w:noProof/>
    </w:rPr>
  </w:style>
  <w:style w:type="paragraph" w:customStyle="1" w:styleId="EndNoteBibliography">
    <w:name w:val="EndNote Bibliography"/>
    <w:basedOn w:val="Normal"/>
    <w:link w:val="EndNoteBibliographyChar"/>
    <w:rsid w:val="00641FB0"/>
    <w:pPr>
      <w:spacing w:line="240" w:lineRule="auto"/>
    </w:pPr>
    <w:rPr>
      <w:rFonts w:ascii="Times New Roman" w:hAnsi="Times New Roman"/>
      <w:noProof/>
    </w:rPr>
  </w:style>
  <w:style w:type="character" w:customStyle="1" w:styleId="EndNoteBibliographyChar">
    <w:name w:val="EndNote Bibliography Char"/>
    <w:basedOn w:val="DefaultParagraphFont"/>
    <w:link w:val="EndNoteBibliography"/>
    <w:rsid w:val="00641FB0"/>
    <w:rPr>
      <w:rFonts w:cs="Times New Roman"/>
      <w:noProof/>
    </w:rPr>
  </w:style>
  <w:style w:type="paragraph" w:styleId="Revision">
    <w:name w:val="Revision"/>
    <w:hidden/>
    <w:uiPriority w:val="99"/>
    <w:semiHidden/>
    <w:rsid w:val="00641FB0"/>
    <w:pPr>
      <w:spacing w:line="240" w:lineRule="auto"/>
      <w:jc w:val="left"/>
    </w:pPr>
    <w:rPr>
      <w:rFonts w:ascii="Calibri" w:hAnsi="Calibri" w:cs="Times New Roman"/>
    </w:rPr>
  </w:style>
  <w:style w:type="character" w:styleId="PlaceholderText">
    <w:name w:val="Placeholder Text"/>
    <w:basedOn w:val="DefaultParagraphFont"/>
    <w:uiPriority w:val="99"/>
    <w:semiHidden/>
    <w:rsid w:val="00641F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74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6852</Words>
  <Characters>39062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45823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c:creator>
  <cp:lastModifiedBy>LS Ma</cp:lastModifiedBy>
  <cp:revision>2</cp:revision>
  <dcterms:created xsi:type="dcterms:W3CDTF">2015-11-30T01:59:00Z</dcterms:created>
  <dcterms:modified xsi:type="dcterms:W3CDTF">2015-11-30T01:59:00Z</dcterms:modified>
</cp:coreProperties>
</file>