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98" w:rsidRPr="006B0F5E" w:rsidRDefault="00704FE2" w:rsidP="00BD6F98">
      <w:pPr>
        <w:rPr>
          <w:rFonts w:ascii="Book Antiqua" w:hAnsi="Book Antiqua"/>
          <w:b/>
          <w:color w:val="0070C0"/>
          <w:sz w:val="28"/>
          <w:szCs w:val="28"/>
        </w:rPr>
      </w:pPr>
      <w:r w:rsidRPr="00704F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8pt;margin-top:-7.8pt;width:97.5pt;height:87.75pt;z-index:1">
            <v:imagedata r:id="rId7" o:title="Baishideng-logo"/>
            <w10:wrap type="square"/>
          </v:shape>
        </w:pict>
      </w:r>
      <w:r w:rsidR="006B0F5E" w:rsidRPr="006B0F5E">
        <w:rPr>
          <w:rFonts w:ascii="Arial" w:hAnsi="Arial" w:cs="Arial"/>
          <w:b/>
          <w:sz w:val="28"/>
          <w:szCs w:val="28"/>
        </w:rPr>
        <w:t xml:space="preserve"> </w:t>
      </w:r>
      <w:r w:rsidR="006B0F5E" w:rsidRPr="006B0F5E">
        <w:rPr>
          <w:rFonts w:ascii="Arial" w:hAnsi="Arial" w:cs="Arial"/>
          <w:b/>
          <w:color w:val="0070C0"/>
          <w:sz w:val="28"/>
          <w:szCs w:val="28"/>
        </w:rPr>
        <w:t>RESPONSES TO THE REVIEWERS</w:t>
      </w:r>
    </w:p>
    <w:p w:rsidR="00BD6F98" w:rsidRPr="002163F4" w:rsidRDefault="00BD6F98" w:rsidP="003A1C4C">
      <w:pPr>
        <w:rPr>
          <w:szCs w:val="21"/>
        </w:rPr>
      </w:pPr>
    </w:p>
    <w:p w:rsidR="004271D8" w:rsidRPr="002C773B" w:rsidRDefault="000F0A2C" w:rsidP="003A1C4C">
      <w:pPr>
        <w:spacing w:line="280" w:lineRule="exact"/>
        <w:rPr>
          <w:rFonts w:eastAsiaTheme="minorEastAsia"/>
          <w:szCs w:val="21"/>
          <w:lang w:eastAsia="ja-JP"/>
        </w:rPr>
      </w:pPr>
      <w:r w:rsidRPr="002C773B">
        <w:rPr>
          <w:rFonts w:eastAsiaTheme="minorEastAsia"/>
          <w:szCs w:val="21"/>
          <w:lang w:eastAsia="ja-JP"/>
        </w:rPr>
        <w:t>February</w:t>
      </w:r>
      <w:r w:rsidR="004271D8" w:rsidRPr="002C773B">
        <w:rPr>
          <w:szCs w:val="21"/>
        </w:rPr>
        <w:t xml:space="preserve"> </w:t>
      </w:r>
      <w:r w:rsidR="00F607E4">
        <w:rPr>
          <w:rFonts w:eastAsiaTheme="minorEastAsia" w:hint="eastAsia"/>
          <w:szCs w:val="21"/>
          <w:lang w:eastAsia="ja-JP"/>
        </w:rPr>
        <w:t>14</w:t>
      </w:r>
      <w:r w:rsidR="004271D8" w:rsidRPr="002C773B">
        <w:rPr>
          <w:szCs w:val="21"/>
        </w:rPr>
        <w:t>, 201</w:t>
      </w:r>
      <w:r w:rsidRPr="002C773B">
        <w:rPr>
          <w:rFonts w:eastAsiaTheme="minorEastAsia"/>
          <w:szCs w:val="21"/>
          <w:lang w:eastAsia="ja-JP"/>
        </w:rPr>
        <w:t>3</w:t>
      </w:r>
    </w:p>
    <w:p w:rsidR="004271D8" w:rsidRPr="002C773B" w:rsidRDefault="004271D8" w:rsidP="003A1C4C">
      <w:pPr>
        <w:spacing w:line="280" w:lineRule="exact"/>
        <w:rPr>
          <w:szCs w:val="21"/>
        </w:rPr>
      </w:pPr>
    </w:p>
    <w:p w:rsidR="003A1C4C" w:rsidRPr="004930B2" w:rsidRDefault="003A1C4C" w:rsidP="003A1C4C">
      <w:pPr>
        <w:spacing w:line="280" w:lineRule="exact"/>
        <w:rPr>
          <w:rFonts w:eastAsiaTheme="minorEastAsia"/>
          <w:szCs w:val="21"/>
          <w:lang w:eastAsia="ja-JP"/>
        </w:rPr>
      </w:pPr>
    </w:p>
    <w:p w:rsidR="003A1C4C" w:rsidRPr="002C773B" w:rsidRDefault="003A1C4C" w:rsidP="003A1C4C">
      <w:pPr>
        <w:spacing w:line="280" w:lineRule="exact"/>
        <w:rPr>
          <w:rFonts w:eastAsiaTheme="minorEastAsia"/>
          <w:szCs w:val="21"/>
          <w:lang w:eastAsia="ja-JP"/>
        </w:rPr>
      </w:pPr>
      <w:r w:rsidRPr="002C773B">
        <w:rPr>
          <w:b/>
          <w:bCs/>
          <w:szCs w:val="21"/>
        </w:rPr>
        <w:t>Title:</w:t>
      </w:r>
      <w:r w:rsidR="00311910" w:rsidRPr="002C773B">
        <w:rPr>
          <w:szCs w:val="21"/>
        </w:rPr>
        <w:t xml:space="preserve"> </w:t>
      </w:r>
      <w:r w:rsidR="00E13D8C" w:rsidRPr="002C773B">
        <w:rPr>
          <w:bCs/>
          <w:kern w:val="0"/>
          <w:szCs w:val="21"/>
        </w:rPr>
        <w:t xml:space="preserve">An herbal medicine “Rikkunshito” improved </w:t>
      </w:r>
      <w:proofErr w:type="spellStart"/>
      <w:r w:rsidR="00E13D8C" w:rsidRPr="002C773B">
        <w:rPr>
          <w:bCs/>
          <w:kern w:val="0"/>
          <w:szCs w:val="21"/>
        </w:rPr>
        <w:t>globus</w:t>
      </w:r>
      <w:proofErr w:type="spellEnd"/>
      <w:r w:rsidR="00E13D8C" w:rsidRPr="002C773B">
        <w:rPr>
          <w:bCs/>
          <w:kern w:val="0"/>
          <w:szCs w:val="21"/>
        </w:rPr>
        <w:t xml:space="preserve"> sensation by stimulation of gastric emptying</w:t>
      </w:r>
      <w:r w:rsidR="00E13D8C" w:rsidRPr="002C773B">
        <w:rPr>
          <w:kern w:val="0"/>
          <w:szCs w:val="21"/>
        </w:rPr>
        <w:t xml:space="preserve"> in patients with proton pump inhibitor-refracto</w:t>
      </w:r>
      <w:bookmarkStart w:id="0" w:name="_GoBack"/>
      <w:bookmarkEnd w:id="0"/>
      <w:r w:rsidR="00E13D8C" w:rsidRPr="002C773B">
        <w:rPr>
          <w:kern w:val="0"/>
          <w:szCs w:val="21"/>
        </w:rPr>
        <w:t xml:space="preserve">ry </w:t>
      </w:r>
      <w:proofErr w:type="spellStart"/>
      <w:r w:rsidR="00E13D8C" w:rsidRPr="002C773B">
        <w:rPr>
          <w:kern w:val="0"/>
          <w:szCs w:val="21"/>
        </w:rPr>
        <w:t>laryngopharyngeal</w:t>
      </w:r>
      <w:proofErr w:type="spellEnd"/>
      <w:r w:rsidR="00E13D8C" w:rsidRPr="002C773B">
        <w:rPr>
          <w:kern w:val="0"/>
          <w:szCs w:val="21"/>
        </w:rPr>
        <w:t xml:space="preserve"> reflux</w:t>
      </w:r>
      <w:r w:rsidRPr="002C773B">
        <w:rPr>
          <w:szCs w:val="21"/>
        </w:rPr>
        <w:t xml:space="preserve"> </w:t>
      </w:r>
    </w:p>
    <w:p w:rsidR="00E13D8C" w:rsidRPr="002C773B" w:rsidRDefault="00E13D8C" w:rsidP="003A1C4C">
      <w:pPr>
        <w:spacing w:line="280" w:lineRule="exact"/>
        <w:rPr>
          <w:rFonts w:eastAsiaTheme="minorEastAsia"/>
          <w:szCs w:val="21"/>
          <w:lang w:eastAsia="ja-JP"/>
        </w:rPr>
      </w:pPr>
      <w:r w:rsidRPr="002C773B">
        <w:rPr>
          <w:rFonts w:eastAsiaTheme="minorEastAsia"/>
          <w:szCs w:val="21"/>
          <w:lang w:eastAsia="ja-JP"/>
        </w:rPr>
        <w:t>-Original article-</w:t>
      </w:r>
    </w:p>
    <w:p w:rsidR="00E13D8C" w:rsidRPr="002C773B" w:rsidRDefault="00E13D8C" w:rsidP="003A1C4C">
      <w:pPr>
        <w:spacing w:line="280" w:lineRule="exact"/>
        <w:rPr>
          <w:rFonts w:eastAsiaTheme="minorEastAsia"/>
          <w:szCs w:val="21"/>
          <w:lang w:eastAsia="ja-JP"/>
        </w:rPr>
      </w:pPr>
    </w:p>
    <w:p w:rsidR="003A1C4C" w:rsidRPr="002C773B" w:rsidRDefault="003A1C4C" w:rsidP="003A1C4C">
      <w:pPr>
        <w:spacing w:line="280" w:lineRule="exact"/>
        <w:rPr>
          <w:szCs w:val="21"/>
        </w:rPr>
      </w:pPr>
      <w:r w:rsidRPr="002C773B">
        <w:rPr>
          <w:b/>
          <w:bCs/>
          <w:szCs w:val="21"/>
        </w:rPr>
        <w:t xml:space="preserve">Author: </w:t>
      </w:r>
      <w:proofErr w:type="spellStart"/>
      <w:r w:rsidR="00E13D8C" w:rsidRPr="002C773B">
        <w:rPr>
          <w:kern w:val="0"/>
          <w:szCs w:val="21"/>
        </w:rPr>
        <w:t>Ryoji</w:t>
      </w:r>
      <w:proofErr w:type="spellEnd"/>
      <w:r w:rsidR="00E13D8C" w:rsidRPr="002C773B">
        <w:rPr>
          <w:kern w:val="0"/>
          <w:szCs w:val="21"/>
        </w:rPr>
        <w:t xml:space="preserve"> </w:t>
      </w:r>
      <w:proofErr w:type="spellStart"/>
      <w:r w:rsidR="00E13D8C" w:rsidRPr="002C773B">
        <w:rPr>
          <w:kern w:val="0"/>
          <w:szCs w:val="21"/>
        </w:rPr>
        <w:t>Tokashiki</w:t>
      </w:r>
      <w:proofErr w:type="spellEnd"/>
      <w:r w:rsidR="00E13D8C" w:rsidRPr="002C773B">
        <w:rPr>
          <w:kern w:val="0"/>
          <w:szCs w:val="21"/>
        </w:rPr>
        <w:t xml:space="preserve">, </w:t>
      </w:r>
      <w:proofErr w:type="spellStart"/>
      <w:r w:rsidR="00E13D8C" w:rsidRPr="002C773B">
        <w:rPr>
          <w:kern w:val="0"/>
          <w:szCs w:val="21"/>
        </w:rPr>
        <w:t>Isaku</w:t>
      </w:r>
      <w:proofErr w:type="spellEnd"/>
      <w:r w:rsidR="00E13D8C" w:rsidRPr="002C773B">
        <w:rPr>
          <w:kern w:val="0"/>
          <w:szCs w:val="21"/>
        </w:rPr>
        <w:t xml:space="preserve"> Okamoto, Nobutoshi </w:t>
      </w:r>
      <w:proofErr w:type="spellStart"/>
      <w:r w:rsidR="00E13D8C" w:rsidRPr="002C773B">
        <w:rPr>
          <w:kern w:val="0"/>
          <w:szCs w:val="21"/>
        </w:rPr>
        <w:t>Funato</w:t>
      </w:r>
      <w:proofErr w:type="spellEnd"/>
      <w:r w:rsidR="00E13D8C" w:rsidRPr="002C773B">
        <w:rPr>
          <w:kern w:val="0"/>
          <w:szCs w:val="21"/>
        </w:rPr>
        <w:t>, Mamoru Suzuki</w:t>
      </w:r>
    </w:p>
    <w:p w:rsidR="005B04A6" w:rsidRPr="002C773B" w:rsidRDefault="005B04A6" w:rsidP="003A1C4C">
      <w:pPr>
        <w:spacing w:line="280" w:lineRule="exact"/>
        <w:rPr>
          <w:szCs w:val="21"/>
        </w:rPr>
      </w:pPr>
    </w:p>
    <w:p w:rsidR="003A1C4C" w:rsidRPr="002C773B" w:rsidRDefault="005B04A6" w:rsidP="003A1C4C">
      <w:pPr>
        <w:spacing w:line="280" w:lineRule="exact"/>
        <w:rPr>
          <w:i/>
          <w:szCs w:val="21"/>
        </w:rPr>
      </w:pPr>
      <w:r w:rsidRPr="002C773B">
        <w:rPr>
          <w:b/>
          <w:szCs w:val="21"/>
        </w:rPr>
        <w:t>Name of Journal:</w:t>
      </w:r>
      <w:r w:rsidR="00553521" w:rsidRPr="002C773B">
        <w:rPr>
          <w:b/>
          <w:szCs w:val="21"/>
        </w:rPr>
        <w:t xml:space="preserve"> </w:t>
      </w:r>
      <w:r w:rsidR="00553521" w:rsidRPr="002C773B">
        <w:rPr>
          <w:i/>
          <w:szCs w:val="21"/>
        </w:rPr>
        <w:t>World Journal of Gastroenterology</w:t>
      </w:r>
    </w:p>
    <w:p w:rsidR="005B04A6" w:rsidRPr="002C773B" w:rsidRDefault="005B04A6" w:rsidP="003A1C4C">
      <w:pPr>
        <w:spacing w:line="280" w:lineRule="exact"/>
        <w:rPr>
          <w:szCs w:val="21"/>
        </w:rPr>
      </w:pPr>
    </w:p>
    <w:p w:rsidR="003A1C4C" w:rsidRPr="002C773B" w:rsidRDefault="004271D8" w:rsidP="003A1C4C">
      <w:pPr>
        <w:spacing w:line="280" w:lineRule="exact"/>
        <w:rPr>
          <w:rFonts w:eastAsiaTheme="minorEastAsia"/>
          <w:szCs w:val="21"/>
          <w:lang w:eastAsia="ja-JP"/>
        </w:rPr>
      </w:pPr>
      <w:r w:rsidRPr="002C773B">
        <w:rPr>
          <w:b/>
          <w:bCs/>
          <w:szCs w:val="21"/>
        </w:rPr>
        <w:t>ESPS Manuscript NO</w:t>
      </w:r>
      <w:r w:rsidR="003A1C4C" w:rsidRPr="002C773B">
        <w:rPr>
          <w:b/>
          <w:bCs/>
          <w:szCs w:val="21"/>
        </w:rPr>
        <w:t xml:space="preserve">: </w:t>
      </w:r>
      <w:r w:rsidR="00E13D8C" w:rsidRPr="002C773B">
        <w:rPr>
          <w:rFonts w:eastAsiaTheme="minorEastAsia"/>
          <w:szCs w:val="21"/>
          <w:lang w:eastAsia="ja-JP"/>
        </w:rPr>
        <w:t>1972</w:t>
      </w:r>
    </w:p>
    <w:p w:rsidR="003A1C4C" w:rsidRDefault="003A1C4C" w:rsidP="003A1C4C">
      <w:pPr>
        <w:spacing w:line="280" w:lineRule="exact"/>
        <w:rPr>
          <w:rFonts w:eastAsiaTheme="minorEastAsia"/>
          <w:szCs w:val="21"/>
          <w:lang w:eastAsia="ja-JP"/>
        </w:rPr>
      </w:pPr>
    </w:p>
    <w:p w:rsidR="004930B2" w:rsidRDefault="004930B2" w:rsidP="003A1C4C">
      <w:pPr>
        <w:spacing w:line="280" w:lineRule="exact"/>
        <w:rPr>
          <w:rFonts w:eastAsiaTheme="minorEastAsia"/>
          <w:szCs w:val="21"/>
          <w:lang w:eastAsia="ja-JP"/>
        </w:rPr>
      </w:pPr>
    </w:p>
    <w:p w:rsidR="004930B2" w:rsidRPr="0088554F" w:rsidRDefault="004930B2" w:rsidP="004930B2">
      <w:pPr>
        <w:spacing w:line="280" w:lineRule="exact"/>
        <w:rPr>
          <w:szCs w:val="21"/>
        </w:rPr>
      </w:pPr>
      <w:r w:rsidRPr="0088554F">
        <w:rPr>
          <w:szCs w:val="21"/>
        </w:rPr>
        <w:t>Dear Editor,</w:t>
      </w:r>
    </w:p>
    <w:p w:rsidR="004930B2" w:rsidRPr="0088554F" w:rsidRDefault="004930B2" w:rsidP="003A1C4C">
      <w:pPr>
        <w:spacing w:line="280" w:lineRule="exact"/>
        <w:rPr>
          <w:rFonts w:eastAsiaTheme="minorEastAsia"/>
          <w:szCs w:val="21"/>
          <w:lang w:eastAsia="ja-JP"/>
        </w:rPr>
      </w:pPr>
    </w:p>
    <w:p w:rsidR="004930B2" w:rsidRPr="0088554F" w:rsidRDefault="004930B2" w:rsidP="004930B2">
      <w:pPr>
        <w:autoSpaceDE w:val="0"/>
        <w:autoSpaceDN w:val="0"/>
        <w:adjustRightInd w:val="0"/>
        <w:jc w:val="left"/>
        <w:rPr>
          <w:b/>
          <w:kern w:val="0"/>
          <w:szCs w:val="21"/>
        </w:rPr>
      </w:pPr>
      <w:r w:rsidRPr="0088554F">
        <w:rPr>
          <w:szCs w:val="21"/>
        </w:rPr>
        <w:t xml:space="preserve">We have enclosed our revised manuscript, </w:t>
      </w:r>
      <w:r w:rsidRPr="0088554F">
        <w:rPr>
          <w:b/>
          <w:szCs w:val="21"/>
        </w:rPr>
        <w:t>“</w:t>
      </w:r>
      <w:r w:rsidRPr="0088554F">
        <w:rPr>
          <w:b/>
          <w:bCs/>
          <w:kern w:val="0"/>
          <w:szCs w:val="21"/>
        </w:rPr>
        <w:t xml:space="preserve">Rikkunshito improves </w:t>
      </w:r>
      <w:proofErr w:type="spellStart"/>
      <w:r w:rsidRPr="0088554F">
        <w:rPr>
          <w:b/>
          <w:bCs/>
          <w:kern w:val="0"/>
          <w:szCs w:val="21"/>
        </w:rPr>
        <w:t>globus</w:t>
      </w:r>
      <w:proofErr w:type="spellEnd"/>
      <w:r w:rsidRPr="0088554F">
        <w:rPr>
          <w:b/>
          <w:bCs/>
          <w:kern w:val="0"/>
          <w:szCs w:val="21"/>
        </w:rPr>
        <w:t xml:space="preserve"> sensation </w:t>
      </w:r>
      <w:r w:rsidRPr="0088554F">
        <w:rPr>
          <w:b/>
          <w:kern w:val="0"/>
          <w:szCs w:val="21"/>
        </w:rPr>
        <w:t xml:space="preserve">in patients with proton pump inhibitor-refractory </w:t>
      </w:r>
      <w:proofErr w:type="spellStart"/>
      <w:r w:rsidRPr="0088554F">
        <w:rPr>
          <w:b/>
          <w:kern w:val="0"/>
          <w:szCs w:val="21"/>
        </w:rPr>
        <w:t>laryngopharyngeal</w:t>
      </w:r>
      <w:proofErr w:type="spellEnd"/>
      <w:r w:rsidRPr="0088554F">
        <w:rPr>
          <w:b/>
          <w:kern w:val="0"/>
          <w:szCs w:val="21"/>
        </w:rPr>
        <w:t xml:space="preserve"> reflux”</w:t>
      </w:r>
      <w:r w:rsidRPr="0088554F">
        <w:rPr>
          <w:kern w:val="0"/>
          <w:szCs w:val="21"/>
        </w:rPr>
        <w:t>,</w:t>
      </w:r>
      <w:r w:rsidRPr="0088554F">
        <w:rPr>
          <w:szCs w:val="21"/>
        </w:rPr>
        <w:t xml:space="preserve"> in Word format (1972-revise.doc), which we resubmit for your further consideration for publication as an original article in </w:t>
      </w:r>
      <w:r w:rsidRPr="0088554F">
        <w:rPr>
          <w:i/>
          <w:szCs w:val="21"/>
        </w:rPr>
        <w:t>World Journal of Gastroenterology</w:t>
      </w:r>
      <w:r w:rsidRPr="0088554F">
        <w:rPr>
          <w:szCs w:val="21"/>
        </w:rPr>
        <w:t>.</w:t>
      </w:r>
    </w:p>
    <w:p w:rsidR="004930B2" w:rsidRPr="0088554F" w:rsidRDefault="004930B2" w:rsidP="004930B2">
      <w:pPr>
        <w:spacing w:line="280" w:lineRule="exact"/>
        <w:rPr>
          <w:szCs w:val="21"/>
        </w:rPr>
      </w:pPr>
    </w:p>
    <w:p w:rsidR="004930B2" w:rsidRPr="0088554F" w:rsidRDefault="004930B2" w:rsidP="004930B2">
      <w:pPr>
        <w:rPr>
          <w:rFonts w:eastAsiaTheme="minorEastAsia"/>
          <w:szCs w:val="21"/>
          <w:lang w:eastAsia="ja-JP"/>
        </w:rPr>
      </w:pPr>
      <w:r w:rsidRPr="0088554F">
        <w:rPr>
          <w:szCs w:val="21"/>
        </w:rPr>
        <w:t>We revised our initial manuscript (</w:t>
      </w:r>
      <w:r w:rsidRPr="0088554F">
        <w:rPr>
          <w:bCs/>
          <w:szCs w:val="21"/>
        </w:rPr>
        <w:t xml:space="preserve">ESPS Manuscript # </w:t>
      </w:r>
      <w:r w:rsidRPr="0088554F">
        <w:rPr>
          <w:szCs w:val="21"/>
        </w:rPr>
        <w:t>1972) according to the reviewers’ suggestions. We have updated the format of the manuscript, and we provide point-by-point responses to the comments of reviewer 2 in this letter.</w:t>
      </w:r>
      <w:r w:rsidR="0088554F" w:rsidRPr="0088554F">
        <w:rPr>
          <w:rFonts w:eastAsiaTheme="minorEastAsia" w:hAnsi="Arial"/>
          <w:szCs w:val="21"/>
          <w:lang w:eastAsia="ja-JP"/>
        </w:rPr>
        <w:t xml:space="preserve">　</w:t>
      </w:r>
      <w:r w:rsidR="0088554F" w:rsidRPr="0088554F">
        <w:rPr>
          <w:rFonts w:eastAsiaTheme="minorEastAsia"/>
          <w:szCs w:val="21"/>
          <w:lang w:eastAsia="ja-JP"/>
        </w:rPr>
        <w:t>We have</w:t>
      </w:r>
      <w:r w:rsidR="0088554F">
        <w:rPr>
          <w:rFonts w:eastAsiaTheme="minorEastAsia" w:hint="eastAsia"/>
          <w:szCs w:val="21"/>
          <w:lang w:eastAsia="ja-JP"/>
        </w:rPr>
        <w:t xml:space="preserve"> </w:t>
      </w:r>
      <w:r w:rsidR="0088554F">
        <w:rPr>
          <w:rFonts w:eastAsiaTheme="minorEastAsia"/>
          <w:szCs w:val="21"/>
          <w:lang w:eastAsia="ja-JP"/>
        </w:rPr>
        <w:t>changed</w:t>
      </w:r>
      <w:r w:rsidR="0088554F">
        <w:rPr>
          <w:rFonts w:eastAsiaTheme="minorEastAsia" w:hint="eastAsia"/>
          <w:szCs w:val="21"/>
          <w:lang w:eastAsia="ja-JP"/>
        </w:rPr>
        <w:t xml:space="preserve"> manuscript title (12 words) </w:t>
      </w:r>
      <w:r w:rsidR="0088554F">
        <w:rPr>
          <w:rFonts w:eastAsiaTheme="minorEastAsia"/>
          <w:szCs w:val="21"/>
          <w:lang w:eastAsia="ja-JP"/>
        </w:rPr>
        <w:t>according</w:t>
      </w:r>
      <w:r w:rsidR="0088554F">
        <w:rPr>
          <w:rFonts w:eastAsiaTheme="minorEastAsia" w:hint="eastAsia"/>
          <w:szCs w:val="21"/>
          <w:lang w:eastAsia="ja-JP"/>
        </w:rPr>
        <w:t xml:space="preserve"> to BPG</w:t>
      </w:r>
      <w:r w:rsidR="0088554F">
        <w:rPr>
          <w:rFonts w:eastAsiaTheme="minorEastAsia"/>
          <w:szCs w:val="21"/>
          <w:lang w:eastAsia="ja-JP"/>
        </w:rPr>
        <w:t>’</w:t>
      </w:r>
      <w:r w:rsidR="0088554F">
        <w:rPr>
          <w:rFonts w:eastAsiaTheme="minorEastAsia" w:hint="eastAsia"/>
          <w:szCs w:val="21"/>
          <w:lang w:eastAsia="ja-JP"/>
        </w:rPr>
        <w:t>s revision policies for original article.</w:t>
      </w:r>
    </w:p>
    <w:p w:rsidR="004930B2" w:rsidRPr="0088554F" w:rsidRDefault="004930B2" w:rsidP="004930B2">
      <w:pPr>
        <w:spacing w:line="280" w:lineRule="exact"/>
        <w:rPr>
          <w:szCs w:val="21"/>
        </w:rPr>
      </w:pPr>
    </w:p>
    <w:p w:rsidR="004930B2" w:rsidRPr="0088554F" w:rsidRDefault="004930B2" w:rsidP="004930B2">
      <w:pPr>
        <w:rPr>
          <w:rFonts w:eastAsia="HGSｺﾞｼｯｸM"/>
          <w:i/>
          <w:iCs/>
          <w:spacing w:val="-10"/>
          <w:szCs w:val="21"/>
        </w:rPr>
      </w:pPr>
      <w:r w:rsidRPr="0088554F">
        <w:rPr>
          <w:rFonts w:eastAsia="HGSｺﾞｼｯｸM"/>
          <w:spacing w:val="-10"/>
          <w:szCs w:val="21"/>
        </w:rPr>
        <w:t xml:space="preserve">Thank you for the opportunity to resubmit our manuscript, and hope you will find it worthy of publication in </w:t>
      </w:r>
      <w:r w:rsidRPr="0088554F">
        <w:rPr>
          <w:rFonts w:eastAsia="HGSｺﾞｼｯｸM"/>
          <w:i/>
          <w:iCs/>
          <w:spacing w:val="-10"/>
          <w:szCs w:val="21"/>
        </w:rPr>
        <w:t>World Journal of Gastroenterology.</w:t>
      </w:r>
    </w:p>
    <w:p w:rsidR="004930B2" w:rsidRPr="0088554F" w:rsidRDefault="004930B2" w:rsidP="004930B2">
      <w:pPr>
        <w:spacing w:line="280" w:lineRule="exact"/>
        <w:rPr>
          <w:rFonts w:eastAsia="HGSｺﾞｼｯｸM"/>
          <w:szCs w:val="21"/>
        </w:rPr>
      </w:pPr>
    </w:p>
    <w:p w:rsidR="004930B2" w:rsidRPr="0088554F" w:rsidRDefault="004930B2" w:rsidP="004930B2">
      <w:pPr>
        <w:spacing w:line="280" w:lineRule="exact"/>
        <w:rPr>
          <w:rFonts w:eastAsia="HGSｺﾞｼｯｸM"/>
          <w:szCs w:val="21"/>
        </w:rPr>
      </w:pPr>
    </w:p>
    <w:p w:rsidR="004930B2" w:rsidRPr="0088554F" w:rsidRDefault="004930B2" w:rsidP="004930B2">
      <w:pPr>
        <w:spacing w:line="280" w:lineRule="exact"/>
        <w:rPr>
          <w:rFonts w:eastAsia="HGSｺﾞｼｯｸM"/>
          <w:szCs w:val="21"/>
        </w:rPr>
      </w:pPr>
      <w:r w:rsidRPr="0088554F">
        <w:rPr>
          <w:rFonts w:eastAsia="HGSｺﾞｼｯｸM"/>
          <w:szCs w:val="21"/>
        </w:rPr>
        <w:t>Sincerely yours,</w:t>
      </w:r>
    </w:p>
    <w:p w:rsidR="004930B2" w:rsidRPr="0088554F" w:rsidRDefault="004930B2" w:rsidP="004930B2">
      <w:pPr>
        <w:spacing w:line="280" w:lineRule="exact"/>
        <w:rPr>
          <w:rFonts w:eastAsiaTheme="minorEastAsia"/>
          <w:szCs w:val="21"/>
          <w:lang w:eastAsia="ja-JP"/>
        </w:rPr>
      </w:pPr>
    </w:p>
    <w:p w:rsidR="004930B2" w:rsidRPr="0088554F" w:rsidRDefault="004930B2" w:rsidP="004930B2">
      <w:pPr>
        <w:spacing w:line="280" w:lineRule="exact"/>
        <w:rPr>
          <w:rFonts w:eastAsiaTheme="minorEastAsia"/>
          <w:szCs w:val="21"/>
          <w:lang w:eastAsia="ja-JP"/>
        </w:rPr>
      </w:pPr>
    </w:p>
    <w:p w:rsidR="004930B2" w:rsidRPr="0088554F" w:rsidRDefault="004930B2" w:rsidP="004930B2">
      <w:pPr>
        <w:autoSpaceDE w:val="0"/>
        <w:autoSpaceDN w:val="0"/>
        <w:adjustRightInd w:val="0"/>
        <w:jc w:val="left"/>
        <w:rPr>
          <w:rFonts w:eastAsiaTheme="minorEastAsia"/>
          <w:kern w:val="0"/>
          <w:szCs w:val="21"/>
          <w:lang w:eastAsia="ja-JP"/>
        </w:rPr>
      </w:pPr>
      <w:proofErr w:type="spellStart"/>
      <w:r w:rsidRPr="0088554F">
        <w:rPr>
          <w:kern w:val="0"/>
          <w:szCs w:val="21"/>
        </w:rPr>
        <w:t>Ryoji</w:t>
      </w:r>
      <w:proofErr w:type="spellEnd"/>
      <w:r w:rsidRPr="0088554F">
        <w:rPr>
          <w:kern w:val="0"/>
          <w:szCs w:val="21"/>
        </w:rPr>
        <w:t xml:space="preserve"> </w:t>
      </w:r>
      <w:proofErr w:type="spellStart"/>
      <w:r w:rsidRPr="0088554F">
        <w:rPr>
          <w:kern w:val="0"/>
          <w:szCs w:val="21"/>
        </w:rPr>
        <w:t>Tokashiki</w:t>
      </w:r>
      <w:proofErr w:type="spellEnd"/>
      <w:r w:rsidRPr="0088554F">
        <w:rPr>
          <w:kern w:val="0"/>
          <w:szCs w:val="21"/>
        </w:rPr>
        <w:t xml:space="preserve"> </w:t>
      </w:r>
    </w:p>
    <w:p w:rsidR="004930B2" w:rsidRPr="0088554F" w:rsidRDefault="004930B2" w:rsidP="004930B2">
      <w:pPr>
        <w:autoSpaceDE w:val="0"/>
        <w:autoSpaceDN w:val="0"/>
        <w:adjustRightInd w:val="0"/>
        <w:jc w:val="left"/>
        <w:rPr>
          <w:rFonts w:eastAsiaTheme="minorEastAsia"/>
          <w:kern w:val="0"/>
          <w:szCs w:val="21"/>
          <w:lang w:eastAsia="ja-JP"/>
        </w:rPr>
      </w:pPr>
    </w:p>
    <w:p w:rsidR="004930B2" w:rsidRPr="0088554F" w:rsidRDefault="004930B2" w:rsidP="004930B2">
      <w:pPr>
        <w:autoSpaceDE w:val="0"/>
        <w:autoSpaceDN w:val="0"/>
        <w:adjustRightInd w:val="0"/>
        <w:jc w:val="left"/>
        <w:rPr>
          <w:rFonts w:eastAsiaTheme="minorEastAsia"/>
          <w:kern w:val="0"/>
          <w:szCs w:val="21"/>
          <w:lang w:eastAsia="ja-JP"/>
        </w:rPr>
      </w:pPr>
      <w:r w:rsidRPr="0088554F">
        <w:rPr>
          <w:kern w:val="0"/>
          <w:szCs w:val="21"/>
        </w:rPr>
        <w:t xml:space="preserve">Department of Otolaryngology, </w:t>
      </w:r>
    </w:p>
    <w:p w:rsidR="004930B2" w:rsidRPr="0088554F" w:rsidRDefault="004930B2" w:rsidP="004930B2">
      <w:pPr>
        <w:autoSpaceDE w:val="0"/>
        <w:autoSpaceDN w:val="0"/>
        <w:adjustRightInd w:val="0"/>
        <w:jc w:val="left"/>
        <w:rPr>
          <w:kern w:val="0"/>
          <w:szCs w:val="21"/>
        </w:rPr>
      </w:pPr>
      <w:r w:rsidRPr="0088554F">
        <w:rPr>
          <w:kern w:val="0"/>
          <w:szCs w:val="21"/>
        </w:rPr>
        <w:t>Tokyo Medical University,</w:t>
      </w:r>
    </w:p>
    <w:p w:rsidR="004930B2" w:rsidRPr="0088554F" w:rsidRDefault="004930B2" w:rsidP="004930B2">
      <w:pPr>
        <w:autoSpaceDE w:val="0"/>
        <w:autoSpaceDN w:val="0"/>
        <w:adjustRightInd w:val="0"/>
        <w:jc w:val="left"/>
        <w:rPr>
          <w:rFonts w:eastAsiaTheme="minorEastAsia"/>
          <w:kern w:val="0"/>
          <w:szCs w:val="21"/>
          <w:lang w:eastAsia="ja-JP"/>
        </w:rPr>
      </w:pPr>
      <w:r w:rsidRPr="0088554F">
        <w:rPr>
          <w:kern w:val="0"/>
          <w:szCs w:val="21"/>
        </w:rPr>
        <w:t xml:space="preserve">6-7-1 </w:t>
      </w:r>
      <w:proofErr w:type="spellStart"/>
      <w:r w:rsidRPr="0088554F">
        <w:rPr>
          <w:kern w:val="0"/>
          <w:szCs w:val="21"/>
        </w:rPr>
        <w:t>Nishishinjuku</w:t>
      </w:r>
      <w:proofErr w:type="spellEnd"/>
      <w:r w:rsidRPr="0088554F">
        <w:rPr>
          <w:kern w:val="0"/>
          <w:szCs w:val="21"/>
        </w:rPr>
        <w:t xml:space="preserve">, </w:t>
      </w:r>
      <w:proofErr w:type="spellStart"/>
      <w:r w:rsidRPr="0088554F">
        <w:rPr>
          <w:kern w:val="0"/>
          <w:szCs w:val="21"/>
        </w:rPr>
        <w:t>Shinkjyukuku</w:t>
      </w:r>
      <w:proofErr w:type="spellEnd"/>
      <w:r w:rsidRPr="0088554F">
        <w:rPr>
          <w:kern w:val="0"/>
          <w:szCs w:val="21"/>
        </w:rPr>
        <w:t xml:space="preserve">, Tokyo </w:t>
      </w:r>
    </w:p>
    <w:p w:rsidR="004930B2" w:rsidRPr="0088554F" w:rsidRDefault="004930B2" w:rsidP="004930B2">
      <w:pPr>
        <w:autoSpaceDE w:val="0"/>
        <w:autoSpaceDN w:val="0"/>
        <w:adjustRightInd w:val="0"/>
        <w:jc w:val="left"/>
        <w:rPr>
          <w:kern w:val="0"/>
          <w:szCs w:val="21"/>
        </w:rPr>
      </w:pPr>
      <w:r w:rsidRPr="0088554F">
        <w:rPr>
          <w:kern w:val="0"/>
          <w:szCs w:val="21"/>
        </w:rPr>
        <w:t>160-0023, Japan</w:t>
      </w:r>
    </w:p>
    <w:p w:rsidR="004930B2" w:rsidRPr="0088554F" w:rsidRDefault="004930B2" w:rsidP="004930B2">
      <w:pPr>
        <w:widowControl/>
        <w:jc w:val="left"/>
        <w:rPr>
          <w:kern w:val="0"/>
          <w:szCs w:val="21"/>
        </w:rPr>
      </w:pPr>
      <w:r w:rsidRPr="0088554F">
        <w:rPr>
          <w:kern w:val="0"/>
          <w:szCs w:val="21"/>
        </w:rPr>
        <w:t>FAX: +81-3-3346-9275</w:t>
      </w:r>
    </w:p>
    <w:p w:rsidR="004930B2" w:rsidRPr="0088554F" w:rsidRDefault="004930B2" w:rsidP="004930B2">
      <w:pPr>
        <w:rPr>
          <w:szCs w:val="21"/>
        </w:rPr>
      </w:pPr>
      <w:r w:rsidRPr="0088554F">
        <w:rPr>
          <w:kern w:val="0"/>
          <w:szCs w:val="21"/>
        </w:rPr>
        <w:t>E-mail: tokachanman@yahoo.co.jp</w:t>
      </w:r>
    </w:p>
    <w:p w:rsidR="004930B2" w:rsidRPr="0088554F" w:rsidRDefault="004930B2" w:rsidP="004930B2">
      <w:pPr>
        <w:spacing w:line="280" w:lineRule="exact"/>
        <w:rPr>
          <w:rFonts w:eastAsiaTheme="minorEastAsia"/>
          <w:szCs w:val="21"/>
          <w:lang w:eastAsia="ja-JP"/>
        </w:rPr>
      </w:pPr>
    </w:p>
    <w:p w:rsidR="004930B2" w:rsidRPr="0088554F" w:rsidRDefault="004930B2" w:rsidP="004930B2">
      <w:pPr>
        <w:spacing w:line="280" w:lineRule="exact"/>
        <w:rPr>
          <w:rFonts w:eastAsiaTheme="minorEastAsia"/>
          <w:szCs w:val="21"/>
          <w:lang w:eastAsia="ja-JP"/>
        </w:rPr>
      </w:pPr>
    </w:p>
    <w:p w:rsidR="004930B2" w:rsidRPr="0088554F" w:rsidRDefault="004930B2" w:rsidP="004930B2">
      <w:pPr>
        <w:spacing w:line="360" w:lineRule="auto"/>
        <w:rPr>
          <w:szCs w:val="21"/>
          <w:u w:val="single"/>
        </w:rPr>
      </w:pPr>
      <w:r w:rsidRPr="0088554F">
        <w:rPr>
          <w:szCs w:val="21"/>
          <w:u w:val="single"/>
        </w:rPr>
        <w:t>Reviewer 02441737</w:t>
      </w:r>
    </w:p>
    <w:p w:rsidR="004930B2" w:rsidRPr="0088554F" w:rsidRDefault="004930B2" w:rsidP="004930B2">
      <w:pPr>
        <w:spacing w:line="360" w:lineRule="auto"/>
        <w:rPr>
          <w:szCs w:val="21"/>
        </w:rPr>
      </w:pPr>
      <w:r w:rsidRPr="0088554F">
        <w:rPr>
          <w:rFonts w:eastAsia="ＭＳ Ｐゴシック"/>
          <w:kern w:val="0"/>
          <w:szCs w:val="21"/>
        </w:rPr>
        <w:t xml:space="preserve">In accordance with the reviewer’s suggestion, </w:t>
      </w:r>
      <w:r w:rsidRPr="0088554F">
        <w:rPr>
          <w:bCs/>
          <w:szCs w:val="21"/>
        </w:rPr>
        <w:t>we have reconstructed Table 2 in the revised manuscript. Furthermore, we</w:t>
      </w:r>
      <w:r w:rsidRPr="0088554F">
        <w:rPr>
          <w:rFonts w:eastAsia="ＭＳ Ｐゴシック"/>
          <w:kern w:val="0"/>
          <w:szCs w:val="21"/>
        </w:rPr>
        <w:t xml:space="preserve"> </w:t>
      </w:r>
      <w:r w:rsidRPr="0088554F">
        <w:rPr>
          <w:szCs w:val="21"/>
        </w:rPr>
        <w:t xml:space="preserve">added information concerning the biochemical mechanisms of rikkunshito to the Discussion </w:t>
      </w:r>
      <w:r w:rsidRPr="0088554F">
        <w:rPr>
          <w:szCs w:val="21"/>
        </w:rPr>
        <w:lastRenderedPageBreak/>
        <w:t>section, as follows:</w:t>
      </w:r>
    </w:p>
    <w:p w:rsidR="004930B2" w:rsidRPr="0088554F" w:rsidRDefault="004930B2" w:rsidP="004930B2">
      <w:pPr>
        <w:spacing w:line="360" w:lineRule="auto"/>
        <w:rPr>
          <w:szCs w:val="21"/>
        </w:rPr>
      </w:pPr>
    </w:p>
    <w:p w:rsidR="004930B2" w:rsidRPr="004930B2" w:rsidRDefault="004930B2" w:rsidP="004930B2">
      <w:pPr>
        <w:spacing w:line="360" w:lineRule="auto"/>
        <w:rPr>
          <w:szCs w:val="21"/>
        </w:rPr>
      </w:pPr>
      <w:r w:rsidRPr="004930B2">
        <w:rPr>
          <w:kern w:val="0"/>
          <w:szCs w:val="21"/>
        </w:rPr>
        <w:t xml:space="preserve">“Furthermore, </w:t>
      </w:r>
      <w:r w:rsidRPr="004930B2">
        <w:rPr>
          <w:rFonts w:eastAsia="AdvOT863180fb"/>
          <w:kern w:val="0"/>
          <w:szCs w:val="21"/>
        </w:rPr>
        <w:t xml:space="preserve">rikkunshito and </w:t>
      </w:r>
      <w:proofErr w:type="spellStart"/>
      <w:r w:rsidRPr="004930B2">
        <w:rPr>
          <w:rFonts w:eastAsia="AdvOT863180fb"/>
          <w:kern w:val="0"/>
          <w:szCs w:val="21"/>
        </w:rPr>
        <w:t>atractylodin</w:t>
      </w:r>
      <w:proofErr w:type="spellEnd"/>
      <w:r w:rsidRPr="004930B2">
        <w:rPr>
          <w:rFonts w:eastAsia="AdvOT863180fb"/>
          <w:kern w:val="0"/>
          <w:szCs w:val="21"/>
        </w:rPr>
        <w:t xml:space="preserve"> enhance reactivity of the</w:t>
      </w:r>
      <w:r w:rsidRPr="004930B2">
        <w:rPr>
          <w:kern w:val="0"/>
          <w:szCs w:val="21"/>
        </w:rPr>
        <w:t xml:space="preserve"> ghrelin</w:t>
      </w:r>
      <w:r w:rsidRPr="004930B2">
        <w:rPr>
          <w:rFonts w:eastAsia="AdvOT863180fb"/>
          <w:kern w:val="0"/>
          <w:szCs w:val="21"/>
        </w:rPr>
        <w:t xml:space="preserve"> receptor </w:t>
      </w:r>
      <w:r w:rsidRPr="004930B2">
        <w:rPr>
          <w:kern w:val="0"/>
          <w:szCs w:val="21"/>
          <w:vertAlign w:val="superscript"/>
        </w:rPr>
        <w:t>[23]</w:t>
      </w:r>
      <w:r w:rsidRPr="004930B2">
        <w:rPr>
          <w:rFonts w:eastAsia="AdvOT863180fb"/>
          <w:kern w:val="0"/>
          <w:szCs w:val="21"/>
        </w:rPr>
        <w:t xml:space="preserve">. </w:t>
      </w:r>
      <w:proofErr w:type="spellStart"/>
      <w:r w:rsidRPr="004930B2">
        <w:rPr>
          <w:rFonts w:eastAsia="AdvOT863180fb"/>
          <w:kern w:val="0"/>
          <w:szCs w:val="21"/>
        </w:rPr>
        <w:t>Nahata</w:t>
      </w:r>
      <w:proofErr w:type="spellEnd"/>
      <w:r w:rsidRPr="004930B2">
        <w:rPr>
          <w:rFonts w:eastAsia="AdvOT863180fb"/>
          <w:kern w:val="0"/>
          <w:szCs w:val="21"/>
        </w:rPr>
        <w:t xml:space="preserve"> </w:t>
      </w:r>
      <w:r w:rsidRPr="004930B2">
        <w:rPr>
          <w:rFonts w:eastAsia="AdvOT863180fb"/>
          <w:i/>
          <w:kern w:val="0"/>
          <w:szCs w:val="21"/>
        </w:rPr>
        <w:t>et al</w:t>
      </w:r>
      <w:proofErr w:type="gramStart"/>
      <w:r w:rsidRPr="004930B2">
        <w:rPr>
          <w:rFonts w:eastAsia="AdvOT863180fb"/>
          <w:kern w:val="0"/>
          <w:szCs w:val="21"/>
        </w:rPr>
        <w:t>.</w:t>
      </w:r>
      <w:r w:rsidRPr="004930B2">
        <w:rPr>
          <w:kern w:val="0"/>
          <w:szCs w:val="21"/>
          <w:vertAlign w:val="superscript"/>
        </w:rPr>
        <w:t>[</w:t>
      </w:r>
      <w:proofErr w:type="gramEnd"/>
      <w:r w:rsidRPr="004930B2">
        <w:rPr>
          <w:kern w:val="0"/>
          <w:szCs w:val="21"/>
          <w:vertAlign w:val="superscript"/>
        </w:rPr>
        <w:t>24]</w:t>
      </w:r>
      <w:r w:rsidRPr="004930B2">
        <w:rPr>
          <w:rFonts w:eastAsia="AdvOT863180fb"/>
          <w:kern w:val="0"/>
          <w:szCs w:val="21"/>
        </w:rPr>
        <w:t xml:space="preserve"> found an association between impaired ghrelin signaling and gastrointestinal motility dysfunction and demonstrated that rikkunshito restored gastrointestinal motility by improving the ghrelin response in rat GERD models.”</w:t>
      </w:r>
    </w:p>
    <w:p w:rsidR="004930B2" w:rsidRPr="004930B2" w:rsidRDefault="004930B2" w:rsidP="004930B2">
      <w:pPr>
        <w:spacing w:line="360" w:lineRule="auto"/>
        <w:rPr>
          <w:szCs w:val="21"/>
        </w:rPr>
      </w:pPr>
    </w:p>
    <w:p w:rsidR="004930B2" w:rsidRPr="004930B2" w:rsidRDefault="004930B2" w:rsidP="004930B2">
      <w:pPr>
        <w:spacing w:line="360" w:lineRule="auto"/>
        <w:rPr>
          <w:szCs w:val="21"/>
          <w:u w:val="single"/>
        </w:rPr>
      </w:pPr>
      <w:r w:rsidRPr="004930B2">
        <w:rPr>
          <w:szCs w:val="21"/>
          <w:u w:val="single"/>
        </w:rPr>
        <w:t>Reviewer 00051367</w:t>
      </w:r>
    </w:p>
    <w:p w:rsidR="004930B2" w:rsidRPr="004930B2" w:rsidRDefault="004930B2" w:rsidP="004930B2">
      <w:pPr>
        <w:numPr>
          <w:ilvl w:val="0"/>
          <w:numId w:val="2"/>
        </w:numPr>
        <w:spacing w:line="360" w:lineRule="auto"/>
        <w:rPr>
          <w:szCs w:val="21"/>
        </w:rPr>
      </w:pPr>
      <w:r w:rsidRPr="004930B2">
        <w:rPr>
          <w:szCs w:val="21"/>
        </w:rPr>
        <w:t xml:space="preserve">The authors MUST describe what </w:t>
      </w:r>
      <w:proofErr w:type="gramStart"/>
      <w:r w:rsidRPr="004930B2">
        <w:rPr>
          <w:szCs w:val="21"/>
        </w:rPr>
        <w:t>is this kind of medicine</w:t>
      </w:r>
      <w:proofErr w:type="gramEnd"/>
      <w:r w:rsidRPr="004930B2">
        <w:rPr>
          <w:szCs w:val="21"/>
        </w:rPr>
        <w:t xml:space="preserve">. A partial description is provided in the discussion, nevertheless at least in the method section a description of more relevant chemical ingredients and clinical effects should be provided. </w:t>
      </w:r>
    </w:p>
    <w:p w:rsidR="004930B2" w:rsidRPr="004930B2" w:rsidRDefault="004930B2" w:rsidP="004930B2">
      <w:pPr>
        <w:spacing w:line="360" w:lineRule="auto"/>
        <w:rPr>
          <w:szCs w:val="21"/>
        </w:rPr>
      </w:pPr>
    </w:p>
    <w:p w:rsidR="004930B2" w:rsidRPr="004930B2" w:rsidRDefault="004930B2" w:rsidP="004930B2">
      <w:pPr>
        <w:spacing w:line="360" w:lineRule="auto"/>
        <w:rPr>
          <w:szCs w:val="21"/>
        </w:rPr>
      </w:pPr>
      <w:r w:rsidRPr="004930B2">
        <w:rPr>
          <w:kern w:val="0"/>
          <w:szCs w:val="21"/>
        </w:rPr>
        <w:t>Thank you for your comment. According to your suggestion, we added the following paragraph to</w:t>
      </w:r>
      <w:r w:rsidRPr="004930B2">
        <w:rPr>
          <w:szCs w:val="21"/>
        </w:rPr>
        <w:t xml:space="preserve"> the </w:t>
      </w:r>
      <w:r w:rsidRPr="004930B2">
        <w:rPr>
          <w:bCs/>
          <w:i/>
          <w:szCs w:val="21"/>
        </w:rPr>
        <w:t>Study procedures</w:t>
      </w:r>
      <w:r w:rsidRPr="004930B2">
        <w:rPr>
          <w:kern w:val="0"/>
          <w:szCs w:val="21"/>
        </w:rPr>
        <w:t xml:space="preserve"> under the Materials and Methods section</w:t>
      </w:r>
      <w:r w:rsidRPr="004930B2">
        <w:rPr>
          <w:szCs w:val="21"/>
        </w:rPr>
        <w:t>.</w:t>
      </w:r>
    </w:p>
    <w:p w:rsidR="004930B2" w:rsidRPr="004930B2" w:rsidRDefault="004930B2" w:rsidP="004930B2">
      <w:pPr>
        <w:spacing w:line="360" w:lineRule="auto"/>
        <w:rPr>
          <w:szCs w:val="21"/>
        </w:rPr>
      </w:pPr>
    </w:p>
    <w:p w:rsidR="004930B2" w:rsidRPr="004930B2" w:rsidRDefault="004930B2" w:rsidP="004930B2">
      <w:pPr>
        <w:spacing w:line="360" w:lineRule="auto"/>
        <w:ind w:firstLineChars="50" w:firstLine="105"/>
        <w:jc w:val="left"/>
        <w:rPr>
          <w:szCs w:val="21"/>
        </w:rPr>
      </w:pPr>
      <w:r w:rsidRPr="004930B2">
        <w:rPr>
          <w:kern w:val="0"/>
          <w:szCs w:val="21"/>
        </w:rPr>
        <w:t xml:space="preserve">“We used a powdered extract of rikkunshito </w:t>
      </w:r>
      <w:r w:rsidRPr="004930B2">
        <w:rPr>
          <w:szCs w:val="21"/>
        </w:rPr>
        <w:t>(</w:t>
      </w:r>
      <w:r w:rsidRPr="004930B2">
        <w:rPr>
          <w:kern w:val="0"/>
          <w:szCs w:val="21"/>
        </w:rPr>
        <w:t xml:space="preserve">Tsumura &amp; Co., Tokyo, Japan) obtained by spray drying a hot water extract mixture of the following eight crude herbs: </w:t>
      </w:r>
      <w:proofErr w:type="spellStart"/>
      <w:r w:rsidRPr="004930B2">
        <w:rPr>
          <w:i/>
          <w:iCs/>
          <w:kern w:val="0"/>
          <w:szCs w:val="21"/>
        </w:rPr>
        <w:t>Atractylodis</w:t>
      </w:r>
      <w:proofErr w:type="spellEnd"/>
      <w:r w:rsidRPr="004930B2">
        <w:rPr>
          <w:i/>
          <w:iCs/>
          <w:kern w:val="0"/>
          <w:szCs w:val="21"/>
        </w:rPr>
        <w:t xml:space="preserve"> </w:t>
      </w:r>
      <w:proofErr w:type="spellStart"/>
      <w:r w:rsidRPr="004930B2">
        <w:rPr>
          <w:i/>
          <w:iCs/>
          <w:kern w:val="0"/>
          <w:szCs w:val="21"/>
        </w:rPr>
        <w:t>lanceae</w:t>
      </w:r>
      <w:proofErr w:type="spellEnd"/>
      <w:r w:rsidRPr="004930B2">
        <w:rPr>
          <w:i/>
          <w:iCs/>
          <w:kern w:val="0"/>
          <w:szCs w:val="21"/>
        </w:rPr>
        <w:t xml:space="preserve"> </w:t>
      </w:r>
      <w:proofErr w:type="spellStart"/>
      <w:r w:rsidRPr="004930B2">
        <w:rPr>
          <w:i/>
          <w:iCs/>
          <w:kern w:val="0"/>
          <w:szCs w:val="21"/>
        </w:rPr>
        <w:t>Rhizoma</w:t>
      </w:r>
      <w:proofErr w:type="spellEnd"/>
      <w:r w:rsidRPr="004930B2">
        <w:rPr>
          <w:kern w:val="0"/>
          <w:szCs w:val="21"/>
        </w:rPr>
        <w:t xml:space="preserve"> (4.0 g), </w:t>
      </w:r>
      <w:r w:rsidRPr="004930B2">
        <w:rPr>
          <w:i/>
          <w:iCs/>
          <w:kern w:val="0"/>
          <w:szCs w:val="21"/>
        </w:rPr>
        <w:t xml:space="preserve">Ginseng radix </w:t>
      </w:r>
      <w:r w:rsidRPr="004930B2">
        <w:rPr>
          <w:kern w:val="0"/>
          <w:szCs w:val="21"/>
        </w:rPr>
        <w:t xml:space="preserve">(4.0 g), </w:t>
      </w:r>
      <w:proofErr w:type="spellStart"/>
      <w:r w:rsidRPr="004930B2">
        <w:rPr>
          <w:i/>
          <w:iCs/>
          <w:kern w:val="0"/>
          <w:szCs w:val="21"/>
        </w:rPr>
        <w:t>Pinelliae</w:t>
      </w:r>
      <w:proofErr w:type="spellEnd"/>
      <w:r w:rsidRPr="004930B2">
        <w:rPr>
          <w:i/>
          <w:iCs/>
          <w:kern w:val="0"/>
          <w:szCs w:val="21"/>
        </w:rPr>
        <w:t xml:space="preserve"> tuber </w:t>
      </w:r>
      <w:r w:rsidRPr="004930B2">
        <w:rPr>
          <w:kern w:val="0"/>
          <w:szCs w:val="21"/>
        </w:rPr>
        <w:t xml:space="preserve">(4.0 g), </w:t>
      </w:r>
      <w:proofErr w:type="spellStart"/>
      <w:r w:rsidRPr="004930B2">
        <w:rPr>
          <w:i/>
          <w:iCs/>
          <w:kern w:val="0"/>
          <w:szCs w:val="21"/>
        </w:rPr>
        <w:t>Hoelen</w:t>
      </w:r>
      <w:proofErr w:type="spellEnd"/>
      <w:r w:rsidRPr="004930B2">
        <w:rPr>
          <w:i/>
          <w:iCs/>
          <w:kern w:val="0"/>
          <w:szCs w:val="21"/>
        </w:rPr>
        <w:t xml:space="preserve"> </w:t>
      </w:r>
      <w:r w:rsidRPr="004930B2">
        <w:rPr>
          <w:kern w:val="0"/>
          <w:szCs w:val="21"/>
        </w:rPr>
        <w:t xml:space="preserve">(4.0 g), </w:t>
      </w:r>
      <w:proofErr w:type="spellStart"/>
      <w:r w:rsidRPr="004930B2">
        <w:rPr>
          <w:i/>
          <w:iCs/>
          <w:kern w:val="0"/>
          <w:szCs w:val="21"/>
        </w:rPr>
        <w:t>Zizyphi</w:t>
      </w:r>
      <w:proofErr w:type="spellEnd"/>
      <w:r w:rsidRPr="004930B2">
        <w:rPr>
          <w:i/>
          <w:iCs/>
          <w:kern w:val="0"/>
          <w:szCs w:val="21"/>
        </w:rPr>
        <w:t xml:space="preserve"> </w:t>
      </w:r>
      <w:proofErr w:type="spellStart"/>
      <w:r w:rsidRPr="004930B2">
        <w:rPr>
          <w:i/>
          <w:iCs/>
          <w:kern w:val="0"/>
          <w:szCs w:val="21"/>
        </w:rPr>
        <w:t>fructus</w:t>
      </w:r>
      <w:proofErr w:type="spellEnd"/>
      <w:r w:rsidRPr="004930B2">
        <w:rPr>
          <w:i/>
          <w:iCs/>
          <w:kern w:val="0"/>
          <w:szCs w:val="21"/>
        </w:rPr>
        <w:t xml:space="preserve"> </w:t>
      </w:r>
      <w:r w:rsidRPr="004930B2">
        <w:rPr>
          <w:kern w:val="0"/>
          <w:szCs w:val="21"/>
        </w:rPr>
        <w:t xml:space="preserve">(2.0 g), </w:t>
      </w:r>
      <w:proofErr w:type="spellStart"/>
      <w:r w:rsidRPr="004930B2">
        <w:rPr>
          <w:i/>
          <w:iCs/>
          <w:kern w:val="0"/>
          <w:szCs w:val="21"/>
        </w:rPr>
        <w:t>Aurantii</w:t>
      </w:r>
      <w:proofErr w:type="spellEnd"/>
      <w:r w:rsidRPr="004930B2">
        <w:rPr>
          <w:i/>
          <w:iCs/>
          <w:kern w:val="0"/>
          <w:szCs w:val="21"/>
        </w:rPr>
        <w:t xml:space="preserve"> </w:t>
      </w:r>
      <w:proofErr w:type="spellStart"/>
      <w:r w:rsidRPr="004930B2">
        <w:rPr>
          <w:i/>
          <w:iCs/>
          <w:kern w:val="0"/>
          <w:szCs w:val="21"/>
        </w:rPr>
        <w:t>nobilis</w:t>
      </w:r>
      <w:proofErr w:type="spellEnd"/>
      <w:r w:rsidRPr="004930B2">
        <w:rPr>
          <w:i/>
          <w:iCs/>
          <w:kern w:val="0"/>
          <w:szCs w:val="21"/>
        </w:rPr>
        <w:t xml:space="preserve"> </w:t>
      </w:r>
      <w:proofErr w:type="spellStart"/>
      <w:r w:rsidRPr="004930B2">
        <w:rPr>
          <w:i/>
          <w:iCs/>
          <w:kern w:val="0"/>
          <w:szCs w:val="21"/>
        </w:rPr>
        <w:t>pericarpium</w:t>
      </w:r>
      <w:proofErr w:type="spellEnd"/>
      <w:r w:rsidRPr="004930B2">
        <w:rPr>
          <w:i/>
          <w:iCs/>
          <w:kern w:val="0"/>
          <w:szCs w:val="21"/>
        </w:rPr>
        <w:t xml:space="preserve"> </w:t>
      </w:r>
      <w:r w:rsidRPr="004930B2">
        <w:rPr>
          <w:kern w:val="0"/>
          <w:szCs w:val="21"/>
        </w:rPr>
        <w:t xml:space="preserve">(2.0 g), </w:t>
      </w:r>
      <w:proofErr w:type="spellStart"/>
      <w:r w:rsidRPr="004930B2">
        <w:rPr>
          <w:i/>
          <w:iCs/>
          <w:kern w:val="0"/>
          <w:szCs w:val="21"/>
        </w:rPr>
        <w:t>Glycyrrhizae</w:t>
      </w:r>
      <w:proofErr w:type="spellEnd"/>
      <w:r w:rsidRPr="004930B2">
        <w:rPr>
          <w:i/>
          <w:iCs/>
          <w:kern w:val="0"/>
          <w:szCs w:val="21"/>
        </w:rPr>
        <w:t xml:space="preserve"> radix </w:t>
      </w:r>
      <w:r w:rsidRPr="004930B2">
        <w:rPr>
          <w:kern w:val="0"/>
          <w:szCs w:val="21"/>
        </w:rPr>
        <w:t xml:space="preserve">(1.0 g), and </w:t>
      </w:r>
      <w:proofErr w:type="spellStart"/>
      <w:r w:rsidRPr="004930B2">
        <w:rPr>
          <w:i/>
          <w:iCs/>
          <w:kern w:val="0"/>
          <w:szCs w:val="21"/>
        </w:rPr>
        <w:t>Zingiberis</w:t>
      </w:r>
      <w:proofErr w:type="spellEnd"/>
      <w:r w:rsidRPr="004930B2">
        <w:rPr>
          <w:i/>
          <w:iCs/>
          <w:kern w:val="0"/>
          <w:szCs w:val="21"/>
        </w:rPr>
        <w:t xml:space="preserve"> </w:t>
      </w:r>
      <w:proofErr w:type="spellStart"/>
      <w:r w:rsidRPr="004930B2">
        <w:rPr>
          <w:i/>
          <w:iCs/>
          <w:kern w:val="0"/>
          <w:szCs w:val="21"/>
        </w:rPr>
        <w:t>rhizoma</w:t>
      </w:r>
      <w:proofErr w:type="spellEnd"/>
      <w:r w:rsidRPr="004930B2">
        <w:rPr>
          <w:i/>
          <w:iCs/>
          <w:kern w:val="0"/>
          <w:szCs w:val="21"/>
        </w:rPr>
        <w:t xml:space="preserve"> </w:t>
      </w:r>
      <w:r w:rsidRPr="004930B2">
        <w:rPr>
          <w:kern w:val="0"/>
          <w:szCs w:val="21"/>
        </w:rPr>
        <w:t>(0.5 g).”</w:t>
      </w:r>
    </w:p>
    <w:p w:rsidR="004930B2" w:rsidRPr="004930B2" w:rsidRDefault="004930B2" w:rsidP="004930B2">
      <w:pPr>
        <w:spacing w:line="360" w:lineRule="auto"/>
        <w:rPr>
          <w:szCs w:val="21"/>
        </w:rPr>
      </w:pPr>
    </w:p>
    <w:p w:rsidR="004930B2" w:rsidRPr="004930B2" w:rsidRDefault="004930B2" w:rsidP="004930B2">
      <w:pPr>
        <w:numPr>
          <w:ilvl w:val="0"/>
          <w:numId w:val="2"/>
        </w:numPr>
        <w:spacing w:line="360" w:lineRule="auto"/>
        <w:rPr>
          <w:szCs w:val="21"/>
        </w:rPr>
      </w:pPr>
      <w:r w:rsidRPr="004930B2">
        <w:rPr>
          <w:szCs w:val="21"/>
        </w:rPr>
        <w:t xml:space="preserve">Refractory is defined as symptoms persisting despite therapy with a standard dose of PPI for 2 weeks or more. Most definitions of refractory GERD symptoms refer to higher dosage for more times. This inclusion could generate bias. </w:t>
      </w:r>
    </w:p>
    <w:p w:rsidR="004930B2" w:rsidRPr="004930B2" w:rsidRDefault="004930B2" w:rsidP="004930B2">
      <w:pPr>
        <w:spacing w:line="360" w:lineRule="auto"/>
        <w:rPr>
          <w:szCs w:val="21"/>
        </w:rPr>
      </w:pPr>
    </w:p>
    <w:p w:rsidR="004930B2" w:rsidRPr="004930B2" w:rsidRDefault="004930B2" w:rsidP="004930B2">
      <w:pPr>
        <w:spacing w:line="360" w:lineRule="auto"/>
        <w:rPr>
          <w:szCs w:val="21"/>
        </w:rPr>
      </w:pPr>
      <w:r w:rsidRPr="004930B2">
        <w:rPr>
          <w:szCs w:val="21"/>
        </w:rPr>
        <w:t xml:space="preserve">Thank you for your comment. We agree that the duration and dose of PPI administration are important. </w:t>
      </w:r>
      <w:r w:rsidRPr="004930B2">
        <w:rPr>
          <w:kern w:val="0"/>
          <w:szCs w:val="21"/>
        </w:rPr>
        <w:t xml:space="preserve">All patients were administered a standard dose PPI for 2 or more weeks before written informed consent to participate in the study was obtained. </w:t>
      </w:r>
      <w:r w:rsidR="00465303" w:rsidRPr="00465303">
        <w:rPr>
          <w:kern w:val="0"/>
          <w:szCs w:val="21"/>
        </w:rPr>
        <w:t>Following</w:t>
      </w:r>
      <w:r w:rsidR="00465303" w:rsidRPr="00465303">
        <w:rPr>
          <w:rFonts w:hint="eastAsia"/>
          <w:kern w:val="0"/>
          <w:szCs w:val="21"/>
        </w:rPr>
        <w:t xml:space="preserve"> treatment </w:t>
      </w:r>
      <w:r w:rsidR="00465303" w:rsidRPr="00465303">
        <w:rPr>
          <w:kern w:val="0"/>
          <w:szCs w:val="21"/>
        </w:rPr>
        <w:t>with</w:t>
      </w:r>
      <w:r w:rsidR="00465303" w:rsidRPr="00465303">
        <w:rPr>
          <w:rFonts w:hint="eastAsia"/>
          <w:kern w:val="0"/>
          <w:szCs w:val="21"/>
        </w:rPr>
        <w:t xml:space="preserve"> </w:t>
      </w:r>
      <w:r w:rsidR="00465303" w:rsidRPr="00465303">
        <w:rPr>
          <w:kern w:val="0"/>
          <w:szCs w:val="21"/>
        </w:rPr>
        <w:t xml:space="preserve">the PPI, </w:t>
      </w:r>
      <w:proofErr w:type="spellStart"/>
      <w:r w:rsidR="00465303" w:rsidRPr="00465303">
        <w:rPr>
          <w:rFonts w:hint="eastAsia"/>
          <w:kern w:val="0"/>
          <w:szCs w:val="21"/>
        </w:rPr>
        <w:t>lansoprazole</w:t>
      </w:r>
      <w:proofErr w:type="spellEnd"/>
      <w:r w:rsidR="00465303" w:rsidRPr="00465303">
        <w:rPr>
          <w:rFonts w:hint="eastAsia"/>
          <w:kern w:val="0"/>
          <w:szCs w:val="21"/>
        </w:rPr>
        <w:t xml:space="preserve"> (30</w:t>
      </w:r>
      <w:r w:rsidR="00465303" w:rsidRPr="00465303">
        <w:rPr>
          <w:kern w:val="0"/>
          <w:szCs w:val="21"/>
        </w:rPr>
        <w:t> </w:t>
      </w:r>
      <w:r w:rsidR="00465303" w:rsidRPr="00465303">
        <w:rPr>
          <w:rFonts w:hint="eastAsia"/>
          <w:kern w:val="0"/>
          <w:szCs w:val="21"/>
        </w:rPr>
        <w:t xml:space="preserve">mg/day, </w:t>
      </w:r>
      <w:r w:rsidR="00465303" w:rsidRPr="00465303">
        <w:rPr>
          <w:kern w:val="0"/>
          <w:szCs w:val="21"/>
        </w:rPr>
        <w:t>QD</w:t>
      </w:r>
      <w:r w:rsidR="00465303" w:rsidRPr="00465303">
        <w:rPr>
          <w:rFonts w:hint="eastAsia"/>
          <w:kern w:val="0"/>
          <w:szCs w:val="21"/>
        </w:rPr>
        <w:t>)</w:t>
      </w:r>
      <w:r w:rsidR="00465303" w:rsidRPr="00465303">
        <w:rPr>
          <w:kern w:val="0"/>
          <w:szCs w:val="21"/>
        </w:rPr>
        <w:t>,</w:t>
      </w:r>
      <w:r w:rsidR="00465303" w:rsidRPr="00465303">
        <w:rPr>
          <w:rFonts w:hint="eastAsia"/>
          <w:kern w:val="0"/>
          <w:szCs w:val="21"/>
        </w:rPr>
        <w:t xml:space="preserve"> for </w:t>
      </w:r>
      <w:r w:rsidR="00465303" w:rsidRPr="00465303">
        <w:rPr>
          <w:kern w:val="0"/>
          <w:szCs w:val="21"/>
        </w:rPr>
        <w:t xml:space="preserve">at least </w:t>
      </w:r>
      <w:r w:rsidR="00465303" w:rsidRPr="00465303">
        <w:rPr>
          <w:rFonts w:hint="eastAsia"/>
          <w:kern w:val="0"/>
          <w:szCs w:val="21"/>
        </w:rPr>
        <w:t xml:space="preserve">2 weeks, </w:t>
      </w:r>
      <w:r w:rsidR="00465303" w:rsidRPr="00465303">
        <w:rPr>
          <w:kern w:val="0"/>
          <w:szCs w:val="21"/>
        </w:rPr>
        <w:t>patients</w:t>
      </w:r>
      <w:r w:rsidR="00465303" w:rsidRPr="00465303">
        <w:rPr>
          <w:rFonts w:hint="eastAsia"/>
          <w:kern w:val="0"/>
          <w:szCs w:val="21"/>
        </w:rPr>
        <w:t xml:space="preserve"> with </w:t>
      </w:r>
      <w:r w:rsidR="00465303" w:rsidRPr="00465303">
        <w:rPr>
          <w:kern w:val="0"/>
          <w:szCs w:val="21"/>
        </w:rPr>
        <w:t xml:space="preserve">PPI-refractory </w:t>
      </w:r>
      <w:r w:rsidR="00465303" w:rsidRPr="00465303">
        <w:rPr>
          <w:rFonts w:hint="eastAsia"/>
          <w:kern w:val="0"/>
          <w:szCs w:val="21"/>
        </w:rPr>
        <w:t>LP</w:t>
      </w:r>
      <w:r w:rsidR="00465303" w:rsidRPr="00465303">
        <w:rPr>
          <w:kern w:val="0"/>
          <w:szCs w:val="21"/>
        </w:rPr>
        <w:t>R</w:t>
      </w:r>
      <w:r w:rsidR="00465303" w:rsidRPr="00465303">
        <w:rPr>
          <w:rFonts w:hint="eastAsia"/>
          <w:kern w:val="0"/>
          <w:szCs w:val="21"/>
        </w:rPr>
        <w:t xml:space="preserve"> </w:t>
      </w:r>
      <w:r w:rsidR="00465303" w:rsidRPr="00465303">
        <w:rPr>
          <w:kern w:val="0"/>
          <w:szCs w:val="21"/>
        </w:rPr>
        <w:t>who met the inclusion and none of the exclusion criteria</w:t>
      </w:r>
      <w:r w:rsidR="00465303" w:rsidRPr="00465303">
        <w:rPr>
          <w:rFonts w:hint="eastAsia"/>
          <w:kern w:val="0"/>
          <w:szCs w:val="21"/>
        </w:rPr>
        <w:t xml:space="preserve"> </w:t>
      </w:r>
      <w:r w:rsidR="00465303" w:rsidRPr="00465303">
        <w:rPr>
          <w:kern w:val="0"/>
          <w:szCs w:val="21"/>
        </w:rPr>
        <w:t>were enrolled in the study.</w:t>
      </w:r>
      <w:r w:rsidR="00465303">
        <w:rPr>
          <w:rFonts w:eastAsiaTheme="minorEastAsia" w:hint="eastAsia"/>
          <w:kern w:val="0"/>
          <w:szCs w:val="21"/>
          <w:lang w:eastAsia="ja-JP"/>
        </w:rPr>
        <w:t xml:space="preserve"> </w:t>
      </w:r>
      <w:r w:rsidRPr="004930B2">
        <w:rPr>
          <w:kern w:val="0"/>
          <w:szCs w:val="21"/>
        </w:rPr>
        <w:t xml:space="preserve">Thus, all patients received PPI </w:t>
      </w:r>
      <w:proofErr w:type="spellStart"/>
      <w:r w:rsidRPr="004930B2">
        <w:rPr>
          <w:kern w:val="0"/>
          <w:szCs w:val="21"/>
        </w:rPr>
        <w:t>monotherapy</w:t>
      </w:r>
      <w:proofErr w:type="spellEnd"/>
      <w:r w:rsidRPr="004930B2">
        <w:rPr>
          <w:kern w:val="0"/>
          <w:szCs w:val="21"/>
        </w:rPr>
        <w:t xml:space="preserve"> for at least </w:t>
      </w:r>
      <w:r w:rsidR="00465303">
        <w:rPr>
          <w:rFonts w:eastAsiaTheme="minorEastAsia" w:hint="eastAsia"/>
          <w:kern w:val="0"/>
          <w:szCs w:val="21"/>
          <w:lang w:eastAsia="ja-JP"/>
        </w:rPr>
        <w:t>4</w:t>
      </w:r>
      <w:r w:rsidRPr="004930B2">
        <w:rPr>
          <w:kern w:val="0"/>
          <w:szCs w:val="21"/>
        </w:rPr>
        <w:t xml:space="preserve"> weeks.</w:t>
      </w:r>
      <w:r w:rsidRPr="004930B2">
        <w:rPr>
          <w:szCs w:val="21"/>
        </w:rPr>
        <w:t xml:space="preserve"> We provide this information in </w:t>
      </w:r>
      <w:r w:rsidRPr="004930B2">
        <w:rPr>
          <w:bCs/>
          <w:i/>
          <w:szCs w:val="21"/>
        </w:rPr>
        <w:t>Study procedures</w:t>
      </w:r>
      <w:r w:rsidRPr="004930B2">
        <w:rPr>
          <w:kern w:val="0"/>
          <w:szCs w:val="21"/>
        </w:rPr>
        <w:t xml:space="preserve"> in the Materials and Method</w:t>
      </w:r>
      <w:r w:rsidRPr="004930B2">
        <w:rPr>
          <w:szCs w:val="21"/>
        </w:rPr>
        <w:t>s section.</w:t>
      </w:r>
    </w:p>
    <w:p w:rsidR="004930B2" w:rsidRPr="004930B2" w:rsidRDefault="004930B2" w:rsidP="004930B2">
      <w:pPr>
        <w:spacing w:line="360" w:lineRule="auto"/>
        <w:rPr>
          <w:szCs w:val="21"/>
        </w:rPr>
      </w:pPr>
    </w:p>
    <w:p w:rsidR="004930B2" w:rsidRPr="004930B2" w:rsidRDefault="004930B2" w:rsidP="004930B2">
      <w:pPr>
        <w:numPr>
          <w:ilvl w:val="0"/>
          <w:numId w:val="2"/>
        </w:numPr>
        <w:spacing w:line="360" w:lineRule="auto"/>
        <w:rPr>
          <w:szCs w:val="21"/>
        </w:rPr>
      </w:pPr>
      <w:r w:rsidRPr="004930B2">
        <w:rPr>
          <w:szCs w:val="21"/>
        </w:rPr>
        <w:t xml:space="preserve">The number of subjects of the study is very small. In particular the section about VAS scores refers to very </w:t>
      </w:r>
      <w:r w:rsidRPr="004930B2">
        <w:rPr>
          <w:szCs w:val="21"/>
        </w:rPr>
        <w:lastRenderedPageBreak/>
        <w:t xml:space="preserve">few subjects and should be omitted. </w:t>
      </w:r>
    </w:p>
    <w:p w:rsidR="004930B2" w:rsidRPr="004930B2" w:rsidRDefault="004930B2" w:rsidP="004930B2">
      <w:pPr>
        <w:spacing w:line="360" w:lineRule="auto"/>
        <w:rPr>
          <w:szCs w:val="21"/>
        </w:rPr>
      </w:pPr>
    </w:p>
    <w:p w:rsidR="004930B2" w:rsidRPr="004930B2" w:rsidRDefault="004930B2" w:rsidP="004930B2">
      <w:pPr>
        <w:spacing w:line="360" w:lineRule="auto"/>
        <w:ind w:firstLineChars="50" w:firstLine="105"/>
        <w:rPr>
          <w:rFonts w:eastAsiaTheme="minorEastAsia"/>
          <w:szCs w:val="21"/>
          <w:lang w:eastAsia="ja-JP"/>
        </w:rPr>
      </w:pPr>
      <w:r w:rsidRPr="004930B2">
        <w:rPr>
          <w:szCs w:val="21"/>
        </w:rPr>
        <w:t>We have changed the Fig. 2 into Table 2.</w:t>
      </w:r>
    </w:p>
    <w:p w:rsidR="004930B2" w:rsidRPr="004930B2" w:rsidRDefault="004930B2" w:rsidP="004930B2">
      <w:pPr>
        <w:spacing w:line="360" w:lineRule="auto"/>
        <w:rPr>
          <w:szCs w:val="21"/>
        </w:rPr>
      </w:pPr>
    </w:p>
    <w:p w:rsidR="004930B2" w:rsidRPr="004930B2" w:rsidRDefault="004930B2" w:rsidP="004930B2">
      <w:pPr>
        <w:numPr>
          <w:ilvl w:val="0"/>
          <w:numId w:val="2"/>
        </w:numPr>
        <w:spacing w:line="360" w:lineRule="auto"/>
        <w:rPr>
          <w:szCs w:val="21"/>
        </w:rPr>
      </w:pPr>
      <w:r w:rsidRPr="004930B2">
        <w:rPr>
          <w:szCs w:val="21"/>
        </w:rPr>
        <w:t xml:space="preserve">Patients are exclude if on therapy with </w:t>
      </w:r>
      <w:proofErr w:type="spellStart"/>
      <w:r w:rsidRPr="004930B2">
        <w:rPr>
          <w:szCs w:val="21"/>
        </w:rPr>
        <w:t>antipsycothic</w:t>
      </w:r>
      <w:proofErr w:type="spellEnd"/>
      <w:r w:rsidRPr="004930B2">
        <w:rPr>
          <w:szCs w:val="21"/>
        </w:rPr>
        <w:t xml:space="preserve"> drugs, but none is written about the inclusion/exclusion of neurological patients (i.e. Parkinson’s Disease) </w:t>
      </w:r>
    </w:p>
    <w:p w:rsidR="004930B2" w:rsidRPr="004930B2" w:rsidRDefault="004930B2" w:rsidP="004930B2">
      <w:pPr>
        <w:spacing w:line="360" w:lineRule="auto"/>
        <w:rPr>
          <w:szCs w:val="21"/>
        </w:rPr>
      </w:pPr>
    </w:p>
    <w:p w:rsidR="004930B2" w:rsidRPr="004930B2" w:rsidRDefault="004930B2" w:rsidP="004930B2">
      <w:pPr>
        <w:spacing w:line="360" w:lineRule="auto"/>
        <w:rPr>
          <w:szCs w:val="21"/>
        </w:rPr>
      </w:pPr>
      <w:r w:rsidRPr="004930B2">
        <w:rPr>
          <w:szCs w:val="21"/>
        </w:rPr>
        <w:t xml:space="preserve">We agree. However, the study protocol cannot be changed at this point. Neurological patients were excluded from the present study, and although not specifically mentioned, the exclusion criterion “patients who were considered unsuitable by the chief investigator” included neurological patients. </w:t>
      </w:r>
    </w:p>
    <w:p w:rsidR="004930B2" w:rsidRPr="004930B2" w:rsidRDefault="004930B2" w:rsidP="004930B2">
      <w:pPr>
        <w:spacing w:line="360" w:lineRule="auto"/>
        <w:rPr>
          <w:szCs w:val="21"/>
        </w:rPr>
      </w:pPr>
    </w:p>
    <w:p w:rsidR="004930B2" w:rsidRPr="004930B2" w:rsidRDefault="004930B2" w:rsidP="004930B2">
      <w:pPr>
        <w:numPr>
          <w:ilvl w:val="0"/>
          <w:numId w:val="2"/>
        </w:numPr>
        <w:spacing w:line="360" w:lineRule="auto"/>
        <w:rPr>
          <w:szCs w:val="21"/>
        </w:rPr>
      </w:pPr>
      <w:r w:rsidRPr="004930B2">
        <w:rPr>
          <w:szCs w:val="21"/>
        </w:rPr>
        <w:t xml:space="preserve">Gastric emptying technique (page 7). The </w:t>
      </w:r>
      <w:proofErr w:type="gramStart"/>
      <w:r w:rsidRPr="004930B2">
        <w:rPr>
          <w:szCs w:val="21"/>
        </w:rPr>
        <w:t>drugs is</w:t>
      </w:r>
      <w:proofErr w:type="gramEnd"/>
      <w:r w:rsidRPr="004930B2">
        <w:rPr>
          <w:szCs w:val="21"/>
        </w:rPr>
        <w:t xml:space="preserve"> taken 3 times/day: which was the temporal relationship between drug intake and gastric emptying study?</w:t>
      </w:r>
    </w:p>
    <w:p w:rsidR="004930B2" w:rsidRPr="004930B2" w:rsidRDefault="004930B2" w:rsidP="004930B2">
      <w:pPr>
        <w:spacing w:line="360" w:lineRule="auto"/>
        <w:rPr>
          <w:szCs w:val="21"/>
        </w:rPr>
      </w:pPr>
    </w:p>
    <w:p w:rsidR="004930B2" w:rsidRPr="004930B2" w:rsidRDefault="004930B2" w:rsidP="004930B2">
      <w:pPr>
        <w:spacing w:line="360" w:lineRule="auto"/>
        <w:rPr>
          <w:szCs w:val="21"/>
        </w:rPr>
      </w:pPr>
      <w:r w:rsidRPr="004930B2">
        <w:rPr>
          <w:szCs w:val="21"/>
        </w:rPr>
        <w:t>Thank you for your comment. We do not fully understand your suggestion; however, r</w:t>
      </w:r>
      <w:r w:rsidRPr="004930B2">
        <w:rPr>
          <w:kern w:val="0"/>
          <w:szCs w:val="21"/>
        </w:rPr>
        <w:t xml:space="preserve">adio-opaque markers were used to evaluate gastric emptying, according to the method proposed by </w:t>
      </w:r>
      <w:proofErr w:type="spellStart"/>
      <w:r w:rsidRPr="004930B2">
        <w:rPr>
          <w:kern w:val="0"/>
          <w:szCs w:val="21"/>
        </w:rPr>
        <w:t>Cremonini</w:t>
      </w:r>
      <w:proofErr w:type="spellEnd"/>
      <w:r w:rsidRPr="004930B2">
        <w:rPr>
          <w:kern w:val="0"/>
          <w:szCs w:val="21"/>
        </w:rPr>
        <w:t xml:space="preserve"> </w:t>
      </w:r>
      <w:r w:rsidRPr="004930B2">
        <w:rPr>
          <w:i/>
          <w:kern w:val="0"/>
          <w:szCs w:val="21"/>
        </w:rPr>
        <w:t>et al</w:t>
      </w:r>
      <w:r w:rsidRPr="004930B2">
        <w:rPr>
          <w:kern w:val="0"/>
          <w:szCs w:val="21"/>
        </w:rPr>
        <w:t>. (</w:t>
      </w:r>
      <w:r w:rsidRPr="004930B2">
        <w:rPr>
          <w:bCs/>
          <w:szCs w:val="21"/>
        </w:rPr>
        <w:t xml:space="preserve">Aliment. </w:t>
      </w:r>
      <w:proofErr w:type="spellStart"/>
      <w:proofErr w:type="gramStart"/>
      <w:r w:rsidRPr="004930B2">
        <w:rPr>
          <w:bCs/>
          <w:szCs w:val="21"/>
        </w:rPr>
        <w:t>Pharmacol</w:t>
      </w:r>
      <w:proofErr w:type="spellEnd"/>
      <w:r w:rsidRPr="004930B2">
        <w:rPr>
          <w:bCs/>
          <w:szCs w:val="21"/>
        </w:rPr>
        <w:t>.</w:t>
      </w:r>
      <w:proofErr w:type="gramEnd"/>
      <w:r w:rsidRPr="004930B2">
        <w:rPr>
          <w:bCs/>
          <w:szCs w:val="21"/>
        </w:rPr>
        <w:t xml:space="preserve"> </w:t>
      </w:r>
      <w:proofErr w:type="spellStart"/>
      <w:proofErr w:type="gramStart"/>
      <w:r w:rsidRPr="004930B2">
        <w:rPr>
          <w:bCs/>
          <w:szCs w:val="21"/>
        </w:rPr>
        <w:t>Ther</w:t>
      </w:r>
      <w:proofErr w:type="spellEnd"/>
      <w:r w:rsidRPr="004930B2">
        <w:rPr>
          <w:bCs/>
          <w:szCs w:val="21"/>
        </w:rPr>
        <w:t>.</w:t>
      </w:r>
      <w:proofErr w:type="gramEnd"/>
      <w:r w:rsidRPr="004930B2">
        <w:rPr>
          <w:bCs/>
          <w:szCs w:val="21"/>
        </w:rPr>
        <w:t xml:space="preserve"> 2002</w:t>
      </w:r>
      <w:proofErr w:type="gramStart"/>
      <w:r w:rsidRPr="004930B2">
        <w:rPr>
          <w:bCs/>
          <w:szCs w:val="21"/>
        </w:rPr>
        <w:t>;16:1781</w:t>
      </w:r>
      <w:proofErr w:type="gramEnd"/>
      <w:r w:rsidRPr="004930B2">
        <w:rPr>
          <w:bCs/>
          <w:szCs w:val="21"/>
        </w:rPr>
        <w:t>–1790</w:t>
      </w:r>
      <w:r w:rsidRPr="004930B2">
        <w:rPr>
          <w:kern w:val="0"/>
          <w:szCs w:val="21"/>
        </w:rPr>
        <w:t xml:space="preserve">) and Metcalf </w:t>
      </w:r>
      <w:r w:rsidRPr="004930B2">
        <w:rPr>
          <w:i/>
          <w:kern w:val="0"/>
          <w:szCs w:val="21"/>
        </w:rPr>
        <w:t xml:space="preserve">et al. </w:t>
      </w:r>
      <w:r w:rsidRPr="004930B2">
        <w:rPr>
          <w:kern w:val="0"/>
          <w:szCs w:val="21"/>
        </w:rPr>
        <w:t>(Gastroenterology 1987;92:40</w:t>
      </w:r>
      <w:r w:rsidRPr="004930B2">
        <w:rPr>
          <w:bCs/>
          <w:szCs w:val="21"/>
        </w:rPr>
        <w:t>–</w:t>
      </w:r>
      <w:r w:rsidRPr="004930B2">
        <w:rPr>
          <w:kern w:val="0"/>
          <w:szCs w:val="21"/>
        </w:rPr>
        <w:t>47).</w:t>
      </w:r>
      <w:r w:rsidRPr="004930B2">
        <w:rPr>
          <w:i/>
          <w:kern w:val="0"/>
          <w:szCs w:val="21"/>
        </w:rPr>
        <w:t xml:space="preserve"> </w:t>
      </w:r>
      <w:r w:rsidRPr="004930B2">
        <w:rPr>
          <w:kern w:val="0"/>
          <w:szCs w:val="21"/>
        </w:rPr>
        <w:t>Because gastric emptying was examined after a meal, it was not thought to be affected by drug dose.</w:t>
      </w:r>
      <w:r w:rsidRPr="004930B2">
        <w:rPr>
          <w:color w:val="0070C0"/>
          <w:kern w:val="0"/>
          <w:szCs w:val="21"/>
        </w:rPr>
        <w:t xml:space="preserve"> </w:t>
      </w:r>
    </w:p>
    <w:p w:rsidR="004930B2" w:rsidRPr="004930B2" w:rsidRDefault="004930B2" w:rsidP="004930B2">
      <w:pPr>
        <w:spacing w:line="280" w:lineRule="exact"/>
        <w:rPr>
          <w:szCs w:val="21"/>
        </w:rPr>
      </w:pPr>
    </w:p>
    <w:p w:rsidR="004930B2" w:rsidRPr="004930B2" w:rsidRDefault="004930B2" w:rsidP="004930B2">
      <w:pPr>
        <w:spacing w:line="280" w:lineRule="exact"/>
        <w:rPr>
          <w:rFonts w:eastAsia="HGSｺﾞｼｯｸM"/>
          <w:szCs w:val="21"/>
        </w:rPr>
      </w:pPr>
    </w:p>
    <w:p w:rsidR="004930B2" w:rsidRPr="004930B2" w:rsidRDefault="004930B2" w:rsidP="004930B2">
      <w:pPr>
        <w:spacing w:line="280" w:lineRule="exact"/>
        <w:rPr>
          <w:rFonts w:eastAsia="HGSｺﾞｼｯｸM"/>
          <w:szCs w:val="21"/>
        </w:rPr>
      </w:pPr>
      <w:r w:rsidRPr="004930B2">
        <w:rPr>
          <w:rFonts w:eastAsia="HGSｺﾞｼｯｸM"/>
          <w:szCs w:val="21"/>
        </w:rPr>
        <w:t>References and typesetting have been corrected.</w:t>
      </w:r>
    </w:p>
    <w:p w:rsidR="004930B2" w:rsidRPr="00346F0D" w:rsidRDefault="004930B2" w:rsidP="004930B2">
      <w:pPr>
        <w:spacing w:line="360" w:lineRule="auto"/>
        <w:rPr>
          <w:rFonts w:eastAsia="HGSｺﾞｼｯｸM"/>
          <w:sz w:val="24"/>
          <w:szCs w:val="21"/>
          <w:lang w:eastAsia="ja-JP"/>
        </w:rPr>
      </w:pPr>
    </w:p>
    <w:p w:rsidR="004930B2" w:rsidRPr="004930B2" w:rsidRDefault="004930B2" w:rsidP="004930B2">
      <w:pPr>
        <w:pStyle w:val="HTML"/>
        <w:spacing w:line="360" w:lineRule="auto"/>
        <w:jc w:val="both"/>
        <w:rPr>
          <w:rFonts w:ascii="Times New Roman" w:hAnsi="Times New Roman"/>
          <w:color w:val="000000"/>
          <w:sz w:val="21"/>
          <w:szCs w:val="21"/>
        </w:rPr>
      </w:pPr>
      <w:r w:rsidRPr="004930B2">
        <w:rPr>
          <w:rFonts w:ascii="Times New Roman" w:hAnsi="Times New Roman"/>
          <w:color w:val="000000"/>
          <w:sz w:val="21"/>
          <w:szCs w:val="21"/>
        </w:rPr>
        <w:t xml:space="preserve">The English in this document has been checked by at least two professional editors, both native speakers of English. For a certificate, please see:  </w:t>
      </w:r>
    </w:p>
    <w:p w:rsidR="004930B2" w:rsidRPr="004930B2" w:rsidRDefault="004930B2" w:rsidP="004930B2">
      <w:pPr>
        <w:pStyle w:val="HTML"/>
        <w:spacing w:line="360" w:lineRule="auto"/>
        <w:jc w:val="both"/>
        <w:rPr>
          <w:rFonts w:ascii="Times New Roman" w:hAnsi="Times New Roman"/>
          <w:color w:val="000000"/>
          <w:sz w:val="21"/>
          <w:szCs w:val="21"/>
        </w:rPr>
      </w:pPr>
    </w:p>
    <w:p w:rsidR="004930B2" w:rsidRPr="004930B2" w:rsidRDefault="004930B2" w:rsidP="004930B2">
      <w:pPr>
        <w:pStyle w:val="HTML"/>
        <w:spacing w:line="360" w:lineRule="auto"/>
        <w:jc w:val="both"/>
        <w:rPr>
          <w:rFonts w:ascii="Times New Roman" w:hAnsi="Times New Roman"/>
          <w:color w:val="000000"/>
          <w:sz w:val="21"/>
          <w:szCs w:val="21"/>
        </w:rPr>
      </w:pPr>
      <w:r w:rsidRPr="004930B2">
        <w:rPr>
          <w:rFonts w:ascii="Times New Roman" w:hAnsi="Times New Roman"/>
          <w:color w:val="000000"/>
          <w:sz w:val="21"/>
          <w:szCs w:val="21"/>
        </w:rPr>
        <w:t>http://www.textcheck.com/certificate/ATR4iG</w:t>
      </w:r>
    </w:p>
    <w:p w:rsidR="00557A29" w:rsidRDefault="00557A29" w:rsidP="003A1C4C">
      <w:pPr>
        <w:spacing w:line="280" w:lineRule="exact"/>
        <w:rPr>
          <w:rFonts w:eastAsia="HGSｺﾞｼｯｸM"/>
          <w:iCs/>
          <w:szCs w:val="21"/>
          <w:lang w:eastAsia="ja-JP"/>
        </w:rPr>
      </w:pPr>
    </w:p>
    <w:p w:rsidR="004930B2" w:rsidRPr="004930B2" w:rsidRDefault="004930B2" w:rsidP="003A1C4C">
      <w:pPr>
        <w:spacing w:line="280" w:lineRule="exact"/>
        <w:rPr>
          <w:rFonts w:eastAsia="HGSｺﾞｼｯｸM"/>
          <w:iCs/>
          <w:szCs w:val="21"/>
          <w:lang w:eastAsia="ja-JP"/>
        </w:rPr>
      </w:pPr>
    </w:p>
    <w:p w:rsidR="002C773B" w:rsidRPr="00F429C5" w:rsidRDefault="002C773B" w:rsidP="003A1C4C">
      <w:pPr>
        <w:spacing w:line="280" w:lineRule="exact"/>
        <w:rPr>
          <w:rFonts w:eastAsiaTheme="minorEastAsia"/>
          <w:iCs/>
          <w:szCs w:val="21"/>
          <w:lang w:eastAsia="ja-JP"/>
        </w:rPr>
      </w:pPr>
    </w:p>
    <w:sectPr w:rsidR="002C773B" w:rsidRPr="00F429C5" w:rsidSect="00902F15">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B16" w:rsidRDefault="00196B16" w:rsidP="004271D8">
      <w:r>
        <w:separator/>
      </w:r>
    </w:p>
  </w:endnote>
  <w:endnote w:type="continuationSeparator" w:id="0">
    <w:p w:rsidR="00196B16" w:rsidRDefault="00196B16" w:rsidP="00427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AdvOT863180fb">
    <w:altName w:val="Arial Unicode MS"/>
    <w:panose1 w:val="00000000000000000000"/>
    <w:charset w:val="80"/>
    <w:family w:val="auto"/>
    <w:notTrueType/>
    <w:pitch w:val="default"/>
    <w:sig w:usb0="00000000"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B16" w:rsidRDefault="00196B16" w:rsidP="004271D8">
      <w:r>
        <w:separator/>
      </w:r>
    </w:p>
  </w:footnote>
  <w:footnote w:type="continuationSeparator" w:id="0">
    <w:p w:rsidR="00196B16" w:rsidRDefault="00196B16" w:rsidP="00427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A4F6A"/>
    <w:multiLevelType w:val="hybridMultilevel"/>
    <w:tmpl w:val="6E1206A4"/>
    <w:lvl w:ilvl="0" w:tplc="38D47426">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CC76BC"/>
    <w:multiLevelType w:val="hybridMultilevel"/>
    <w:tmpl w:val="A942BDD0"/>
    <w:lvl w:ilvl="0" w:tplc="E9341E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C4C"/>
    <w:rsid w:val="000779EE"/>
    <w:rsid w:val="000B040C"/>
    <w:rsid w:val="000D04EB"/>
    <w:rsid w:val="000D05F9"/>
    <w:rsid w:val="000F0A2C"/>
    <w:rsid w:val="00104E7C"/>
    <w:rsid w:val="0012091B"/>
    <w:rsid w:val="00196B16"/>
    <w:rsid w:val="001C1E38"/>
    <w:rsid w:val="001E158F"/>
    <w:rsid w:val="002111D1"/>
    <w:rsid w:val="002163F4"/>
    <w:rsid w:val="00267522"/>
    <w:rsid w:val="002A018D"/>
    <w:rsid w:val="002A61DA"/>
    <w:rsid w:val="002C773B"/>
    <w:rsid w:val="00311910"/>
    <w:rsid w:val="003A1C4C"/>
    <w:rsid w:val="004271D8"/>
    <w:rsid w:val="00432A55"/>
    <w:rsid w:val="00465303"/>
    <w:rsid w:val="004834B8"/>
    <w:rsid w:val="00483BC3"/>
    <w:rsid w:val="004930B2"/>
    <w:rsid w:val="004E30E5"/>
    <w:rsid w:val="004F22E6"/>
    <w:rsid w:val="00516DEF"/>
    <w:rsid w:val="00546954"/>
    <w:rsid w:val="00553521"/>
    <w:rsid w:val="00557A29"/>
    <w:rsid w:val="00564791"/>
    <w:rsid w:val="00586DF4"/>
    <w:rsid w:val="005B04A6"/>
    <w:rsid w:val="005B4BA3"/>
    <w:rsid w:val="00621D10"/>
    <w:rsid w:val="006B0F5E"/>
    <w:rsid w:val="00704FE2"/>
    <w:rsid w:val="007B7257"/>
    <w:rsid w:val="00810F37"/>
    <w:rsid w:val="008249DB"/>
    <w:rsid w:val="0088554F"/>
    <w:rsid w:val="00902F15"/>
    <w:rsid w:val="009B770D"/>
    <w:rsid w:val="009C714C"/>
    <w:rsid w:val="00A619B7"/>
    <w:rsid w:val="00AC376A"/>
    <w:rsid w:val="00AD7E78"/>
    <w:rsid w:val="00B969DC"/>
    <w:rsid w:val="00BD6F98"/>
    <w:rsid w:val="00BE3B57"/>
    <w:rsid w:val="00C42D01"/>
    <w:rsid w:val="00C60872"/>
    <w:rsid w:val="00CE210F"/>
    <w:rsid w:val="00D16775"/>
    <w:rsid w:val="00D27CD2"/>
    <w:rsid w:val="00D47DBF"/>
    <w:rsid w:val="00D97D3F"/>
    <w:rsid w:val="00DA76A4"/>
    <w:rsid w:val="00E13D8C"/>
    <w:rsid w:val="00E25F36"/>
    <w:rsid w:val="00EE7061"/>
    <w:rsid w:val="00F351AA"/>
    <w:rsid w:val="00F429C5"/>
    <w:rsid w:val="00F607E4"/>
    <w:rsid w:val="00FC3F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C4C"/>
    <w:pPr>
      <w:widowControl w:val="0"/>
      <w:jc w:val="both"/>
    </w:pPr>
    <w:rPr>
      <w:kern w:val="2"/>
      <w:sz w:val="21"/>
      <w:szCs w:val="24"/>
      <w:lang w:eastAsia="zh-CN"/>
    </w:rPr>
  </w:style>
  <w:style w:type="paragraph" w:styleId="1">
    <w:name w:val="heading 1"/>
    <w:basedOn w:val="a"/>
    <w:next w:val="a"/>
    <w:qFormat/>
    <w:rsid w:val="003A1C4C"/>
    <w:pPr>
      <w:keepNex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1C4C"/>
    <w:rPr>
      <w:color w:val="0000FF"/>
      <w:u w:val="single"/>
    </w:rPr>
  </w:style>
  <w:style w:type="paragraph" w:styleId="a4">
    <w:name w:val="Body Text"/>
    <w:basedOn w:val="a"/>
    <w:rsid w:val="003A1C4C"/>
    <w:rPr>
      <w:spacing w:val="-10"/>
      <w:sz w:val="24"/>
    </w:rPr>
  </w:style>
  <w:style w:type="paragraph" w:styleId="a5">
    <w:name w:val="header"/>
    <w:basedOn w:val="a"/>
    <w:link w:val="a6"/>
    <w:rsid w:val="004271D8"/>
    <w:pPr>
      <w:tabs>
        <w:tab w:val="center" w:pos="4320"/>
        <w:tab w:val="right" w:pos="8640"/>
      </w:tabs>
    </w:pPr>
    <w:rPr>
      <w:lang/>
    </w:rPr>
  </w:style>
  <w:style w:type="character" w:customStyle="1" w:styleId="a6">
    <w:name w:val="ヘッダー (文字)"/>
    <w:link w:val="a5"/>
    <w:rsid w:val="004271D8"/>
    <w:rPr>
      <w:kern w:val="2"/>
      <w:sz w:val="21"/>
      <w:szCs w:val="24"/>
    </w:rPr>
  </w:style>
  <w:style w:type="paragraph" w:styleId="a7">
    <w:name w:val="footer"/>
    <w:basedOn w:val="a"/>
    <w:link w:val="a8"/>
    <w:rsid w:val="004271D8"/>
    <w:pPr>
      <w:tabs>
        <w:tab w:val="center" w:pos="4320"/>
        <w:tab w:val="right" w:pos="8640"/>
      </w:tabs>
    </w:pPr>
    <w:rPr>
      <w:lang/>
    </w:rPr>
  </w:style>
  <w:style w:type="character" w:customStyle="1" w:styleId="a8">
    <w:name w:val="フッター (文字)"/>
    <w:link w:val="a7"/>
    <w:rsid w:val="004271D8"/>
    <w:rPr>
      <w:kern w:val="2"/>
      <w:sz w:val="21"/>
      <w:szCs w:val="24"/>
    </w:rPr>
  </w:style>
  <w:style w:type="paragraph" w:styleId="HTML">
    <w:name w:val="HTML Preformatted"/>
    <w:basedOn w:val="a"/>
    <w:link w:val="HTML0"/>
    <w:uiPriority w:val="99"/>
    <w:unhideWhenUsed/>
    <w:rsid w:val="00493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kern w:val="0"/>
      <w:sz w:val="20"/>
      <w:szCs w:val="20"/>
    </w:rPr>
  </w:style>
  <w:style w:type="character" w:customStyle="1" w:styleId="HTML0">
    <w:name w:val="HTML 書式付き (文字)"/>
    <w:basedOn w:val="a0"/>
    <w:link w:val="HTML"/>
    <w:uiPriority w:val="99"/>
    <w:rsid w:val="004930B2"/>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761</Words>
  <Characters>4338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15th of July 2004</vt:lpstr>
    </vt:vector>
  </TitlesOfParts>
  <Company>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subject/>
  <dc:creator> </dc:creator>
  <cp:keywords/>
  <dc:description/>
  <cp:lastModifiedBy>tsumura</cp:lastModifiedBy>
  <cp:revision>4</cp:revision>
  <dcterms:created xsi:type="dcterms:W3CDTF">2013-02-14T04:46:00Z</dcterms:created>
  <dcterms:modified xsi:type="dcterms:W3CDTF">2013-02-14T05:03:00Z</dcterms:modified>
</cp:coreProperties>
</file>