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14" w:rsidRPr="0035292D" w:rsidRDefault="00A60314" w:rsidP="00AA43C5">
      <w:pPr>
        <w:adjustRightInd w:val="0"/>
        <w:snapToGrid w:val="0"/>
        <w:spacing w:line="360" w:lineRule="auto"/>
        <w:jc w:val="both"/>
        <w:rPr>
          <w:rFonts w:ascii="Book Antiqua" w:eastAsia="Times New Roman" w:hAnsi="Book Antiqua" w:cs="SimSun"/>
          <w:b/>
          <w:sz w:val="24"/>
        </w:rPr>
      </w:pPr>
      <w:bookmarkStart w:id="0" w:name="OLE_LINK545"/>
      <w:bookmarkStart w:id="1" w:name="OLE_LINK546"/>
      <w:r w:rsidRPr="009F19CA">
        <w:rPr>
          <w:rFonts w:ascii="Book Antiqua" w:eastAsia="Times New Roman" w:hAnsi="Book Antiqua" w:cs="SimSun"/>
          <w:b/>
          <w:sz w:val="24"/>
        </w:rPr>
        <w:t xml:space="preserve">Name of journal: </w:t>
      </w:r>
      <w:bookmarkStart w:id="2" w:name="OLE_LINK718"/>
      <w:bookmarkStart w:id="3" w:name="OLE_LINK719"/>
      <w:bookmarkStart w:id="4" w:name="OLE_LINK645"/>
      <w:bookmarkStart w:id="5" w:name="OLE_LINK661"/>
      <w:bookmarkStart w:id="6" w:name="OLE_LINK1068"/>
      <w:r w:rsidRPr="0035292D">
        <w:rPr>
          <w:rFonts w:ascii="Book Antiqua" w:eastAsia="Times New Roman" w:hAnsi="Book Antiqua" w:cs="SimSun"/>
          <w:b/>
          <w:sz w:val="24"/>
        </w:rPr>
        <w:t xml:space="preserve">World Journal of </w:t>
      </w:r>
      <w:bookmarkStart w:id="7" w:name="OLE_LINK1222"/>
      <w:bookmarkStart w:id="8" w:name="OLE_LINK1223"/>
      <w:r w:rsidRPr="0035292D">
        <w:rPr>
          <w:rFonts w:ascii="Book Antiqua" w:eastAsia="Times New Roman" w:hAnsi="Book Antiqua" w:cs="SimSun"/>
          <w:b/>
          <w:sz w:val="24"/>
        </w:rPr>
        <w:t>Gastroenterology</w:t>
      </w:r>
      <w:bookmarkEnd w:id="2"/>
      <w:bookmarkEnd w:id="3"/>
      <w:bookmarkEnd w:id="4"/>
      <w:bookmarkEnd w:id="5"/>
      <w:bookmarkEnd w:id="6"/>
      <w:bookmarkEnd w:id="7"/>
      <w:bookmarkEnd w:id="8"/>
    </w:p>
    <w:p w:rsidR="00A60314" w:rsidRPr="009F19CA" w:rsidRDefault="00A60314" w:rsidP="00AA43C5">
      <w:pPr>
        <w:adjustRightInd w:val="0"/>
        <w:snapToGrid w:val="0"/>
        <w:spacing w:line="360" w:lineRule="auto"/>
        <w:jc w:val="both"/>
        <w:rPr>
          <w:rFonts w:ascii="Book Antiqua" w:hAnsi="Book Antiqua" w:cs="Arial"/>
          <w:sz w:val="24"/>
          <w:lang w:eastAsia="zh-CN"/>
        </w:rPr>
      </w:pPr>
      <w:r w:rsidRPr="009F19CA">
        <w:rPr>
          <w:rFonts w:ascii="Book Antiqua" w:hAnsi="Book Antiqua" w:cs="Arial"/>
          <w:b/>
          <w:sz w:val="24"/>
        </w:rPr>
        <w:t xml:space="preserve">ESPS Manuscript NO: </w:t>
      </w:r>
      <w:r>
        <w:rPr>
          <w:rFonts w:ascii="Book Antiqua" w:hAnsi="Book Antiqua" w:cs="Arial" w:hint="eastAsia"/>
          <w:b/>
          <w:sz w:val="24"/>
          <w:lang w:eastAsia="zh-CN"/>
        </w:rPr>
        <w:t>19281</w:t>
      </w:r>
    </w:p>
    <w:p w:rsidR="00A60314" w:rsidRDefault="00A60314" w:rsidP="00AA43C5">
      <w:pPr>
        <w:spacing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00AA43C5" w:rsidRPr="000616FF">
        <w:rPr>
          <w:rFonts w:ascii="Book Antiqua" w:hAnsi="Book Antiqua"/>
          <w:b/>
          <w:sz w:val="24"/>
        </w:rPr>
        <w:t>FRONTIER</w:t>
      </w:r>
    </w:p>
    <w:p w:rsidR="00A60314" w:rsidRDefault="00A60314" w:rsidP="00AA43C5">
      <w:pPr>
        <w:spacing w:line="360" w:lineRule="auto"/>
        <w:jc w:val="both"/>
        <w:rPr>
          <w:rFonts w:ascii="Book Antiqua" w:hAnsi="Book Antiqua"/>
          <w:b/>
          <w:sz w:val="24"/>
          <w:lang w:eastAsia="zh-CN"/>
        </w:rPr>
      </w:pPr>
    </w:p>
    <w:bookmarkEnd w:id="0"/>
    <w:bookmarkEnd w:id="1"/>
    <w:p w:rsidR="00A60314" w:rsidRPr="00341695" w:rsidRDefault="00A60314" w:rsidP="00AA43C5">
      <w:pPr>
        <w:spacing w:after="0" w:line="360" w:lineRule="auto"/>
        <w:jc w:val="both"/>
        <w:rPr>
          <w:rFonts w:ascii="Book Antiqua" w:hAnsi="Book Antiqua"/>
          <w:b/>
          <w:sz w:val="24"/>
          <w:szCs w:val="24"/>
        </w:rPr>
      </w:pPr>
      <w:r>
        <w:rPr>
          <w:rFonts w:ascii="Book Antiqua" w:hAnsi="Book Antiqua"/>
          <w:b/>
          <w:sz w:val="24"/>
          <w:szCs w:val="24"/>
        </w:rPr>
        <w:t>Molecular genetics and targeted therapeutics</w:t>
      </w:r>
      <w:r w:rsidRPr="00341695">
        <w:rPr>
          <w:rFonts w:ascii="Book Antiqua" w:hAnsi="Book Antiqua"/>
          <w:b/>
          <w:sz w:val="24"/>
          <w:szCs w:val="24"/>
        </w:rPr>
        <w:t xml:space="preserve"> in biliary tract carcinoma</w:t>
      </w:r>
    </w:p>
    <w:p w:rsidR="00A60314" w:rsidRPr="00341695" w:rsidRDefault="00A60314" w:rsidP="00AA43C5">
      <w:pPr>
        <w:spacing w:after="0" w:line="360" w:lineRule="auto"/>
        <w:jc w:val="both"/>
        <w:rPr>
          <w:rFonts w:ascii="Book Antiqua" w:eastAsia="Times New Roman" w:hAnsi="Book Antiqua"/>
          <w:sz w:val="24"/>
          <w:szCs w:val="24"/>
        </w:rPr>
      </w:pPr>
    </w:p>
    <w:p w:rsidR="00A60314" w:rsidRPr="00341695" w:rsidRDefault="00AA43C5" w:rsidP="00AA43C5">
      <w:pPr>
        <w:spacing w:line="360" w:lineRule="auto"/>
        <w:jc w:val="both"/>
        <w:rPr>
          <w:rFonts w:ascii="Book Antiqua" w:eastAsia="Times New Roman" w:hAnsi="Book Antiqua"/>
          <w:sz w:val="24"/>
          <w:szCs w:val="24"/>
        </w:rPr>
      </w:pPr>
      <w:r w:rsidRPr="000616FF">
        <w:rPr>
          <w:rFonts w:ascii="Book Antiqua" w:hAnsi="Book Antiqua"/>
          <w:sz w:val="24"/>
          <w:szCs w:val="24"/>
        </w:rPr>
        <w:t>Marks</w:t>
      </w:r>
      <w:r w:rsidRPr="00341695" w:rsidDel="00AA43C5">
        <w:rPr>
          <w:rFonts w:ascii="Book Antiqua" w:hAnsi="Book Antiqua"/>
          <w:sz w:val="24"/>
          <w:szCs w:val="24"/>
        </w:rPr>
        <w:t xml:space="preserve"> </w:t>
      </w:r>
      <w:r>
        <w:rPr>
          <w:rFonts w:ascii="Book Antiqua" w:hAnsi="Book Antiqua" w:hint="eastAsia"/>
          <w:sz w:val="24"/>
          <w:szCs w:val="24"/>
          <w:lang w:eastAsia="zh-CN"/>
        </w:rPr>
        <w:t xml:space="preserve">EI </w:t>
      </w:r>
      <w:r w:rsidRPr="00AA43C5">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A60314">
        <w:rPr>
          <w:rFonts w:ascii="Book Antiqua" w:hAnsi="Book Antiqua"/>
          <w:sz w:val="24"/>
          <w:szCs w:val="24"/>
        </w:rPr>
        <w:t>Targeted therapy in</w:t>
      </w:r>
      <w:r w:rsidR="00A60314" w:rsidRPr="00341695">
        <w:rPr>
          <w:rFonts w:ascii="Book Antiqua" w:hAnsi="Book Antiqua"/>
          <w:sz w:val="24"/>
          <w:szCs w:val="24"/>
        </w:rPr>
        <w:t xml:space="preserve"> biliary </w:t>
      </w:r>
      <w:r w:rsidR="00A60314">
        <w:rPr>
          <w:rFonts w:ascii="Book Antiqua" w:hAnsi="Book Antiqua"/>
          <w:sz w:val="24"/>
          <w:szCs w:val="24"/>
        </w:rPr>
        <w:t>cancer</w:t>
      </w:r>
    </w:p>
    <w:p w:rsidR="00A60314" w:rsidRPr="00341695" w:rsidRDefault="00A60314" w:rsidP="00AA43C5">
      <w:pPr>
        <w:spacing w:after="0" w:line="360" w:lineRule="auto"/>
        <w:jc w:val="both"/>
        <w:rPr>
          <w:rFonts w:ascii="Book Antiqua" w:hAnsi="Book Antiqua"/>
          <w:sz w:val="24"/>
          <w:szCs w:val="24"/>
        </w:rPr>
      </w:pPr>
    </w:p>
    <w:p w:rsidR="00A60314" w:rsidRDefault="00A60314" w:rsidP="00AA43C5">
      <w:pPr>
        <w:spacing w:after="0" w:line="360" w:lineRule="auto"/>
        <w:jc w:val="both"/>
        <w:rPr>
          <w:rFonts w:ascii="Book Antiqua" w:hAnsi="Book Antiqua"/>
          <w:sz w:val="24"/>
          <w:szCs w:val="24"/>
          <w:lang w:eastAsia="zh-CN"/>
        </w:rPr>
      </w:pPr>
      <w:r w:rsidRPr="000616FF">
        <w:rPr>
          <w:rFonts w:ascii="Book Antiqua" w:hAnsi="Book Antiqua"/>
          <w:sz w:val="24"/>
          <w:szCs w:val="24"/>
        </w:rPr>
        <w:t>Eric I Marks</w:t>
      </w:r>
      <w:r w:rsidRPr="000616FF">
        <w:rPr>
          <w:rFonts w:ascii="Book Antiqua" w:hAnsi="Book Antiqua" w:hint="eastAsia"/>
          <w:sz w:val="24"/>
          <w:szCs w:val="24"/>
          <w:lang w:eastAsia="zh-CN"/>
        </w:rPr>
        <w:t xml:space="preserve">, </w:t>
      </w:r>
      <w:r w:rsidRPr="000616FF">
        <w:rPr>
          <w:rFonts w:ascii="Book Antiqua" w:hAnsi="Book Antiqua"/>
          <w:sz w:val="24"/>
          <w:szCs w:val="24"/>
        </w:rPr>
        <w:t>Nelson S Yee</w:t>
      </w:r>
    </w:p>
    <w:p w:rsidR="00A60314" w:rsidRPr="00341695" w:rsidRDefault="00A60314" w:rsidP="00AA43C5">
      <w:pPr>
        <w:pStyle w:val="BodyText2"/>
        <w:spacing w:after="0" w:line="360" w:lineRule="auto"/>
        <w:jc w:val="both"/>
        <w:rPr>
          <w:rFonts w:ascii="Book Antiqua" w:hAnsi="Book Antiqua"/>
          <w:b/>
          <w:sz w:val="24"/>
          <w:szCs w:val="24"/>
          <w:lang w:eastAsia="zh-CN"/>
        </w:rPr>
      </w:pPr>
    </w:p>
    <w:p w:rsidR="00A60314" w:rsidRDefault="00A60314" w:rsidP="00AA43C5">
      <w:pPr>
        <w:pStyle w:val="BodyText2"/>
        <w:spacing w:after="0" w:line="360" w:lineRule="auto"/>
        <w:jc w:val="both"/>
        <w:rPr>
          <w:rFonts w:ascii="Book Antiqua" w:hAnsi="Book Antiqua"/>
          <w:sz w:val="24"/>
          <w:szCs w:val="24"/>
          <w:lang w:eastAsia="zh-CN"/>
        </w:rPr>
      </w:pPr>
      <w:r w:rsidRPr="00341695">
        <w:rPr>
          <w:rFonts w:ascii="Book Antiqua" w:hAnsi="Book Antiqua"/>
          <w:b/>
          <w:sz w:val="24"/>
          <w:szCs w:val="24"/>
        </w:rPr>
        <w:t>Eric I Marks</w:t>
      </w:r>
      <w:r w:rsidRPr="00341695">
        <w:rPr>
          <w:rFonts w:ascii="Book Antiqua" w:hAnsi="Book Antiqua"/>
          <w:sz w:val="24"/>
          <w:szCs w:val="24"/>
        </w:rPr>
        <w:t>,</w:t>
      </w:r>
      <w:r w:rsidRPr="00341695">
        <w:rPr>
          <w:rFonts w:ascii="Book Antiqua" w:hAnsi="Book Antiqua"/>
          <w:sz w:val="24"/>
          <w:szCs w:val="24"/>
          <w:vertAlign w:val="superscript"/>
        </w:rPr>
        <w:t xml:space="preserve"> </w:t>
      </w:r>
      <w:r w:rsidRPr="00341695">
        <w:rPr>
          <w:rFonts w:ascii="Book Antiqua" w:hAnsi="Book Antiqua"/>
          <w:sz w:val="24"/>
          <w:szCs w:val="24"/>
        </w:rPr>
        <w:t xml:space="preserve">Department of Medicine, Penn State Milton S. Hershey Medical Center, Hershey, </w:t>
      </w:r>
      <w:r w:rsidR="00AA43C5">
        <w:rPr>
          <w:rFonts w:ascii="Book Antiqua" w:eastAsiaTheme="minorEastAsia" w:hAnsi="Book Antiqua" w:hint="eastAsia"/>
          <w:sz w:val="24"/>
          <w:szCs w:val="24"/>
          <w:lang w:eastAsia="zh-CN"/>
        </w:rPr>
        <w:t>PA</w:t>
      </w:r>
      <w:r w:rsidR="00AA43C5" w:rsidRPr="00341695">
        <w:rPr>
          <w:rFonts w:ascii="Book Antiqua" w:hAnsi="Book Antiqua"/>
          <w:sz w:val="24"/>
          <w:szCs w:val="24"/>
        </w:rPr>
        <w:t xml:space="preserve"> </w:t>
      </w:r>
      <w:r w:rsidRPr="00341695">
        <w:rPr>
          <w:rFonts w:ascii="Book Antiqua" w:hAnsi="Book Antiqua"/>
          <w:sz w:val="24"/>
          <w:szCs w:val="24"/>
        </w:rPr>
        <w:t>17033, United States</w:t>
      </w:r>
    </w:p>
    <w:p w:rsidR="00A60314" w:rsidRPr="00AA43C5" w:rsidRDefault="00A60314" w:rsidP="00AA43C5">
      <w:pPr>
        <w:pStyle w:val="BodyText2"/>
        <w:spacing w:after="0" w:line="360" w:lineRule="auto"/>
        <w:jc w:val="both"/>
        <w:rPr>
          <w:rFonts w:ascii="Book Antiqua" w:hAnsi="Book Antiqua"/>
          <w:sz w:val="24"/>
          <w:szCs w:val="24"/>
          <w:lang w:eastAsia="zh-CN"/>
        </w:rPr>
      </w:pPr>
    </w:p>
    <w:p w:rsidR="00AA43C5" w:rsidRPr="00AA43C5" w:rsidRDefault="00AA43C5" w:rsidP="00AA43C5">
      <w:pPr>
        <w:pStyle w:val="CommentText"/>
        <w:spacing w:after="0" w:line="360" w:lineRule="auto"/>
        <w:jc w:val="both"/>
        <w:rPr>
          <w:rFonts w:ascii="Book Antiqua" w:eastAsiaTheme="minorEastAsia" w:hAnsi="Book Antiqua"/>
          <w:sz w:val="24"/>
          <w:szCs w:val="24"/>
          <w:lang w:eastAsia="zh-CN"/>
        </w:rPr>
      </w:pPr>
      <w:r w:rsidRPr="00341695">
        <w:rPr>
          <w:rFonts w:ascii="Book Antiqua" w:hAnsi="Book Antiqua"/>
          <w:b/>
          <w:sz w:val="24"/>
          <w:szCs w:val="24"/>
        </w:rPr>
        <w:t>Nelson S Yee</w:t>
      </w:r>
      <w:r w:rsidRPr="00341695">
        <w:rPr>
          <w:rFonts w:ascii="Book Antiqua" w:hAnsi="Book Antiqua"/>
          <w:sz w:val="24"/>
          <w:szCs w:val="24"/>
        </w:rPr>
        <w:t>,</w:t>
      </w:r>
      <w:r w:rsidR="00A60314" w:rsidRPr="00341695">
        <w:rPr>
          <w:rFonts w:ascii="Book Antiqua" w:hAnsi="Book Antiqua"/>
          <w:sz w:val="24"/>
          <w:szCs w:val="24"/>
          <w:vertAlign w:val="superscript"/>
        </w:rPr>
        <w:t xml:space="preserve"> </w:t>
      </w:r>
      <w:r w:rsidR="00A60314" w:rsidRPr="00341695">
        <w:rPr>
          <w:rFonts w:ascii="Book Antiqua" w:hAnsi="Book Antiqua"/>
          <w:sz w:val="24"/>
          <w:szCs w:val="24"/>
        </w:rPr>
        <w:t>Division of Hematology-Oncology, Department of Medicine, Penn State Hershey Medical Center</w:t>
      </w:r>
      <w:r>
        <w:rPr>
          <w:rFonts w:ascii="Book Antiqua" w:eastAsiaTheme="minorEastAsia" w:hAnsi="Book Antiqua" w:hint="eastAsia"/>
          <w:sz w:val="24"/>
          <w:szCs w:val="24"/>
          <w:lang w:eastAsia="zh-CN"/>
        </w:rPr>
        <w:t>,</w:t>
      </w:r>
      <w:r w:rsidRPr="00AA43C5">
        <w:rPr>
          <w:rFonts w:ascii="Book Antiqua" w:hAnsi="Book Antiqua"/>
          <w:sz w:val="24"/>
          <w:szCs w:val="24"/>
        </w:rPr>
        <w:t xml:space="preserve"> </w:t>
      </w:r>
      <w:r>
        <w:rPr>
          <w:rFonts w:ascii="Book Antiqua" w:hAnsi="Book Antiqua"/>
          <w:sz w:val="24"/>
          <w:szCs w:val="24"/>
        </w:rPr>
        <w:t xml:space="preserve">Hershey, </w:t>
      </w:r>
      <w:r>
        <w:rPr>
          <w:rFonts w:ascii="Book Antiqua" w:eastAsiaTheme="minorEastAsia" w:hAnsi="Book Antiqua" w:hint="eastAsia"/>
          <w:sz w:val="24"/>
          <w:szCs w:val="24"/>
          <w:lang w:eastAsia="zh-CN"/>
        </w:rPr>
        <w:t>PA</w:t>
      </w:r>
      <w:r w:rsidRPr="00341695">
        <w:rPr>
          <w:rFonts w:ascii="Book Antiqua" w:hAnsi="Book Antiqua"/>
          <w:sz w:val="24"/>
          <w:szCs w:val="24"/>
        </w:rPr>
        <w:t xml:space="preserve"> 17033, United States</w:t>
      </w:r>
    </w:p>
    <w:p w:rsidR="00AA43C5" w:rsidRDefault="00AA43C5" w:rsidP="00AA43C5">
      <w:pPr>
        <w:pStyle w:val="CommentText"/>
        <w:spacing w:after="0" w:line="360" w:lineRule="auto"/>
        <w:jc w:val="both"/>
        <w:rPr>
          <w:rFonts w:ascii="Book Antiqua" w:eastAsiaTheme="minorEastAsia" w:hAnsi="Book Antiqua"/>
          <w:sz w:val="24"/>
          <w:szCs w:val="24"/>
          <w:lang w:eastAsia="zh-CN"/>
        </w:rPr>
      </w:pPr>
    </w:p>
    <w:p w:rsidR="00A60314" w:rsidRPr="00341695" w:rsidRDefault="00AA43C5" w:rsidP="00AA43C5">
      <w:pPr>
        <w:pStyle w:val="CommentText"/>
        <w:spacing w:after="0" w:line="360" w:lineRule="auto"/>
        <w:jc w:val="both"/>
        <w:rPr>
          <w:rFonts w:ascii="Book Antiqua" w:eastAsia="Times New Roman" w:hAnsi="Book Antiqua"/>
          <w:sz w:val="24"/>
          <w:szCs w:val="24"/>
        </w:rPr>
      </w:pPr>
      <w:r w:rsidRPr="00341695">
        <w:rPr>
          <w:rFonts w:ascii="Book Antiqua" w:hAnsi="Book Antiqua"/>
          <w:b/>
          <w:sz w:val="24"/>
          <w:szCs w:val="24"/>
        </w:rPr>
        <w:t>Nelson S Yee</w:t>
      </w:r>
      <w:r w:rsidRPr="00341695">
        <w:rPr>
          <w:rFonts w:ascii="Book Antiqua" w:hAnsi="Book Antiqua"/>
          <w:sz w:val="24"/>
          <w:szCs w:val="24"/>
        </w:rPr>
        <w:t>,</w:t>
      </w:r>
      <w:r>
        <w:rPr>
          <w:rFonts w:ascii="Book Antiqua" w:eastAsiaTheme="minorEastAsia" w:hAnsi="Book Antiqua" w:hint="eastAsia"/>
          <w:sz w:val="24"/>
          <w:szCs w:val="24"/>
          <w:lang w:eastAsia="zh-CN"/>
        </w:rPr>
        <w:t xml:space="preserve"> </w:t>
      </w:r>
      <w:r w:rsidR="00A60314" w:rsidRPr="00341695">
        <w:rPr>
          <w:rFonts w:ascii="Book Antiqua" w:hAnsi="Book Antiqua"/>
          <w:sz w:val="24"/>
          <w:szCs w:val="24"/>
        </w:rPr>
        <w:t xml:space="preserve">Program of Experimental Therapeutics, Penn State Hershey Cancer Institute, </w:t>
      </w:r>
      <w:r w:rsidR="00A60314">
        <w:rPr>
          <w:rFonts w:ascii="Book Antiqua" w:hAnsi="Book Antiqua"/>
          <w:sz w:val="24"/>
          <w:szCs w:val="24"/>
        </w:rPr>
        <w:t xml:space="preserve">Hershey, </w:t>
      </w:r>
      <w:r>
        <w:rPr>
          <w:rFonts w:ascii="Book Antiqua" w:eastAsiaTheme="minorEastAsia" w:hAnsi="Book Antiqua" w:hint="eastAsia"/>
          <w:sz w:val="24"/>
          <w:szCs w:val="24"/>
          <w:lang w:eastAsia="zh-CN"/>
        </w:rPr>
        <w:t>PA</w:t>
      </w:r>
      <w:r w:rsidR="00A60314" w:rsidRPr="00341695">
        <w:rPr>
          <w:rFonts w:ascii="Book Antiqua" w:hAnsi="Book Antiqua"/>
          <w:sz w:val="24"/>
          <w:szCs w:val="24"/>
        </w:rPr>
        <w:t xml:space="preserve"> 17033, United States</w:t>
      </w:r>
    </w:p>
    <w:p w:rsidR="00A60314" w:rsidRPr="000616FF" w:rsidRDefault="00A60314" w:rsidP="00AA43C5">
      <w:pPr>
        <w:spacing w:after="0" w:line="360" w:lineRule="auto"/>
        <w:jc w:val="both"/>
        <w:rPr>
          <w:rFonts w:ascii="Book Antiqua" w:eastAsiaTheme="minorEastAsia" w:hAnsi="Book Antiqua"/>
          <w:sz w:val="24"/>
          <w:szCs w:val="24"/>
          <w:lang w:eastAsia="zh-CN"/>
        </w:rPr>
      </w:pPr>
    </w:p>
    <w:p w:rsidR="00A60314" w:rsidRPr="00341695" w:rsidRDefault="00A60314" w:rsidP="00AA43C5">
      <w:pPr>
        <w:spacing w:after="0" w:line="360" w:lineRule="auto"/>
        <w:jc w:val="both"/>
        <w:rPr>
          <w:rFonts w:ascii="Book Antiqua" w:eastAsia="Times New Roman" w:hAnsi="Book Antiqua"/>
          <w:sz w:val="24"/>
          <w:szCs w:val="24"/>
        </w:rPr>
      </w:pPr>
      <w:r w:rsidRPr="00341695">
        <w:rPr>
          <w:rFonts w:ascii="Book Antiqua" w:eastAsia="Times New Roman" w:hAnsi="Book Antiqua"/>
          <w:b/>
          <w:sz w:val="24"/>
          <w:szCs w:val="24"/>
        </w:rPr>
        <w:t>Author contributions:</w:t>
      </w:r>
      <w:r w:rsidR="009D686C">
        <w:rPr>
          <w:rFonts w:ascii="Book Antiqua" w:eastAsiaTheme="minorEastAsia" w:hAnsi="Book Antiqua" w:hint="eastAsia"/>
          <w:sz w:val="24"/>
          <w:szCs w:val="24"/>
          <w:lang w:eastAsia="zh-CN"/>
        </w:rPr>
        <w:t xml:space="preserve"> </w:t>
      </w:r>
      <w:r w:rsidRPr="00341695">
        <w:rPr>
          <w:rFonts w:ascii="Book Antiqua" w:eastAsia="Times New Roman" w:hAnsi="Book Antiqua"/>
          <w:sz w:val="24"/>
          <w:szCs w:val="24"/>
        </w:rPr>
        <w:t xml:space="preserve">Marks EI and Yee NS conceived and designed the study, </w:t>
      </w:r>
      <w:r>
        <w:rPr>
          <w:rFonts w:ascii="Book Antiqua" w:eastAsia="Times New Roman" w:hAnsi="Book Antiqua"/>
          <w:sz w:val="24"/>
          <w:szCs w:val="24"/>
        </w:rPr>
        <w:t xml:space="preserve">reviewed the literature, </w:t>
      </w:r>
      <w:r w:rsidRPr="00341695">
        <w:rPr>
          <w:rFonts w:ascii="Book Antiqua" w:eastAsia="Times New Roman" w:hAnsi="Book Antiqua"/>
          <w:sz w:val="24"/>
          <w:szCs w:val="24"/>
        </w:rPr>
        <w:t>collected and analyzed the data, and wrote the paper.</w:t>
      </w:r>
    </w:p>
    <w:p w:rsidR="00A60314" w:rsidRPr="00341695" w:rsidRDefault="00A60314" w:rsidP="00AA43C5">
      <w:pPr>
        <w:spacing w:after="0" w:line="360" w:lineRule="auto"/>
        <w:jc w:val="both"/>
        <w:rPr>
          <w:rFonts w:ascii="Book Antiqua" w:eastAsia="Times New Roman" w:hAnsi="Book Antiqua"/>
          <w:sz w:val="24"/>
          <w:szCs w:val="24"/>
        </w:rPr>
      </w:pPr>
    </w:p>
    <w:p w:rsidR="00A60314" w:rsidRDefault="00A60314" w:rsidP="00AA43C5">
      <w:pPr>
        <w:autoSpaceDE w:val="0"/>
        <w:autoSpaceDN w:val="0"/>
        <w:adjustRightInd w:val="0"/>
        <w:spacing w:line="360" w:lineRule="auto"/>
        <w:jc w:val="both"/>
        <w:rPr>
          <w:rFonts w:ascii="Book Antiqua" w:hAnsi="Book Antiqua" w:cs="TimesNewRomanPS-BoldItalicMT"/>
          <w:bCs/>
          <w:iCs/>
          <w:sz w:val="24"/>
          <w:lang w:eastAsia="zh-CN"/>
        </w:rPr>
      </w:pPr>
      <w:bookmarkStart w:id="9" w:name="OLE_LINK526"/>
      <w:bookmarkStart w:id="10" w:name="OLE_LINK527"/>
      <w:r w:rsidRPr="00BB4403">
        <w:rPr>
          <w:rFonts w:ascii="Book Antiqua" w:hAnsi="Book Antiqua" w:cs="TimesNewRomanPS-BoldItalicMT"/>
          <w:b/>
          <w:bCs/>
          <w:iCs/>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sz w:val="24"/>
        </w:rPr>
        <w:t>:</w:t>
      </w:r>
      <w:r w:rsidR="00D14B93">
        <w:rPr>
          <w:rFonts w:ascii="Book Antiqua" w:hAnsi="Book Antiqua" w:cs="TimesNewRomanPS-BoldItalicMT"/>
          <w:b/>
          <w:bCs/>
          <w:iCs/>
          <w:sz w:val="24"/>
        </w:rPr>
        <w:t xml:space="preserve">  </w:t>
      </w:r>
      <w:r w:rsidR="00D14B93" w:rsidRPr="00AA43C5">
        <w:rPr>
          <w:rFonts w:ascii="Book Antiqua" w:hAnsi="Book Antiqua" w:cs="TimesNewRomanPS-BoldItalicMT"/>
          <w:bCs/>
          <w:iCs/>
          <w:sz w:val="24"/>
        </w:rPr>
        <w:t>The authors Marks EI and Yee NS declare no conflicting interests that are related to this article.</w:t>
      </w:r>
    </w:p>
    <w:p w:rsidR="00AA43C5" w:rsidRPr="00AA43C5" w:rsidRDefault="00AA43C5" w:rsidP="00AA43C5">
      <w:pPr>
        <w:autoSpaceDE w:val="0"/>
        <w:autoSpaceDN w:val="0"/>
        <w:adjustRightInd w:val="0"/>
        <w:spacing w:line="360" w:lineRule="auto"/>
        <w:jc w:val="both"/>
        <w:rPr>
          <w:rFonts w:ascii="Book Antiqua" w:hAnsi="Book Antiqua" w:cs="TimesNewRomanPS-BoldItalicMT"/>
          <w:bCs/>
          <w:iCs/>
          <w:sz w:val="24"/>
          <w:lang w:eastAsia="zh-CN"/>
        </w:rPr>
      </w:pPr>
    </w:p>
    <w:p w:rsidR="00A60314" w:rsidRPr="00164EDB" w:rsidRDefault="00A60314" w:rsidP="00AA43C5">
      <w:pPr>
        <w:spacing w:line="360" w:lineRule="auto"/>
        <w:jc w:val="both"/>
        <w:rPr>
          <w:rFonts w:ascii="Book Antiqua" w:hAnsi="Book Antiqua"/>
          <w:b/>
          <w:sz w:val="24"/>
        </w:rPr>
      </w:pPr>
      <w:bookmarkStart w:id="11" w:name="OLE_LINK155"/>
      <w:bookmarkStart w:id="12" w:name="OLE_LINK183"/>
      <w:bookmarkEnd w:id="9"/>
      <w:bookmarkEnd w:id="10"/>
      <w:r w:rsidRPr="00164EDB">
        <w:rPr>
          <w:rFonts w:ascii="Book Antiqua" w:hAnsi="Book Antiqua"/>
          <w:b/>
          <w:sz w:val="24"/>
        </w:rPr>
        <w:lastRenderedPageBreak/>
        <w:t xml:space="preserve">Open-Access: </w:t>
      </w:r>
      <w:r w:rsidRPr="00164ED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rsidR="00A60314" w:rsidRPr="00341695" w:rsidRDefault="00A60314" w:rsidP="00AA43C5">
      <w:pPr>
        <w:spacing w:after="0" w:line="360" w:lineRule="auto"/>
        <w:jc w:val="both"/>
        <w:rPr>
          <w:rFonts w:ascii="Book Antiqua" w:eastAsia="Times New Roman" w:hAnsi="Book Antiqua"/>
          <w:b/>
          <w:sz w:val="24"/>
          <w:szCs w:val="24"/>
        </w:rPr>
      </w:pPr>
    </w:p>
    <w:p w:rsidR="00A60314" w:rsidRPr="00AA43C5" w:rsidRDefault="00A60314" w:rsidP="00AA43C5">
      <w:pPr>
        <w:spacing w:after="0" w:line="360" w:lineRule="auto"/>
        <w:jc w:val="both"/>
        <w:rPr>
          <w:rFonts w:ascii="Book Antiqua" w:hAnsi="Book Antiqua"/>
          <w:sz w:val="24"/>
          <w:szCs w:val="24"/>
        </w:rPr>
      </w:pPr>
      <w:r w:rsidRPr="00341695">
        <w:rPr>
          <w:rFonts w:ascii="Book Antiqua" w:eastAsia="Times New Roman" w:hAnsi="Book Antiqua"/>
          <w:b/>
          <w:sz w:val="24"/>
          <w:szCs w:val="24"/>
        </w:rPr>
        <w:t>Correspondence to</w:t>
      </w:r>
      <w:r w:rsidR="00AA43C5">
        <w:rPr>
          <w:rFonts w:ascii="Book Antiqua" w:eastAsiaTheme="minorEastAsia" w:hAnsi="Book Antiqua" w:hint="eastAsia"/>
          <w:b/>
          <w:sz w:val="24"/>
          <w:szCs w:val="24"/>
          <w:lang w:eastAsia="zh-CN"/>
        </w:rPr>
        <w:t>:</w:t>
      </w:r>
      <w:r w:rsidRPr="00341695">
        <w:rPr>
          <w:rFonts w:ascii="Book Antiqua" w:eastAsia="Times New Roman" w:hAnsi="Book Antiqua"/>
          <w:b/>
          <w:sz w:val="24"/>
          <w:szCs w:val="24"/>
        </w:rPr>
        <w:t xml:space="preserve"> </w:t>
      </w:r>
      <w:r w:rsidR="00AA43C5">
        <w:rPr>
          <w:rFonts w:ascii="Book Antiqua" w:hAnsi="Book Antiqua"/>
          <w:b/>
          <w:sz w:val="24"/>
          <w:szCs w:val="24"/>
        </w:rPr>
        <w:t>Nelson S Yee, MD, PhD</w:t>
      </w:r>
      <w:r w:rsidRPr="00341695">
        <w:rPr>
          <w:rFonts w:ascii="Book Antiqua" w:hAnsi="Book Antiqua"/>
          <w:sz w:val="24"/>
          <w:szCs w:val="24"/>
        </w:rPr>
        <w:t xml:space="preserve">, </w:t>
      </w:r>
      <w:r w:rsidR="00AA43C5" w:rsidRPr="00341695">
        <w:rPr>
          <w:rFonts w:ascii="Book Antiqua" w:hAnsi="Book Antiqua"/>
          <w:sz w:val="24"/>
          <w:szCs w:val="24"/>
        </w:rPr>
        <w:t xml:space="preserve">Program of Experimental Therapeutics, </w:t>
      </w:r>
      <w:r w:rsidRPr="00341695">
        <w:rPr>
          <w:rFonts w:ascii="Book Antiqua" w:hAnsi="Book Antiqua"/>
          <w:sz w:val="24"/>
          <w:szCs w:val="24"/>
        </w:rPr>
        <w:t>Penn State Hershey Cancer Institute</w:t>
      </w:r>
      <w:r w:rsidR="00AA43C5">
        <w:rPr>
          <w:rFonts w:ascii="Book Antiqua" w:hAnsi="Book Antiqua" w:hint="eastAsia"/>
          <w:sz w:val="24"/>
          <w:szCs w:val="24"/>
          <w:lang w:eastAsia="zh-CN"/>
        </w:rPr>
        <w:t xml:space="preserve">, </w:t>
      </w:r>
      <w:r w:rsidRPr="00341695">
        <w:rPr>
          <w:rFonts w:ascii="Book Antiqua" w:hAnsi="Book Antiqua"/>
          <w:sz w:val="24"/>
          <w:szCs w:val="24"/>
        </w:rPr>
        <w:t xml:space="preserve">500 University Drive, Hershey, </w:t>
      </w:r>
      <w:r w:rsidR="00AA43C5">
        <w:rPr>
          <w:rFonts w:ascii="Book Antiqua" w:eastAsiaTheme="minorEastAsia" w:hAnsi="Book Antiqua" w:hint="eastAsia"/>
          <w:sz w:val="24"/>
          <w:szCs w:val="24"/>
          <w:lang w:eastAsia="zh-CN"/>
        </w:rPr>
        <w:t>PA</w:t>
      </w:r>
      <w:r w:rsidR="00AA43C5" w:rsidRPr="00341695">
        <w:rPr>
          <w:rFonts w:ascii="Book Antiqua" w:hAnsi="Book Antiqua"/>
          <w:sz w:val="24"/>
          <w:szCs w:val="24"/>
        </w:rPr>
        <w:t xml:space="preserve"> </w:t>
      </w:r>
      <w:r w:rsidR="00AA43C5">
        <w:rPr>
          <w:rFonts w:ascii="Book Antiqua" w:hAnsi="Book Antiqua"/>
          <w:sz w:val="24"/>
          <w:szCs w:val="24"/>
        </w:rPr>
        <w:t>17033-0850, United State</w:t>
      </w:r>
      <w:r w:rsidRPr="00341695">
        <w:rPr>
          <w:rFonts w:ascii="Book Antiqua" w:hAnsi="Book Antiqua"/>
          <w:sz w:val="24"/>
          <w:szCs w:val="24"/>
        </w:rPr>
        <w:t>.</w:t>
      </w:r>
      <w:r w:rsidR="00AA43C5">
        <w:rPr>
          <w:rFonts w:ascii="Book Antiqua" w:hAnsi="Book Antiqua" w:hint="eastAsia"/>
          <w:sz w:val="24"/>
          <w:szCs w:val="24"/>
          <w:lang w:eastAsia="zh-CN"/>
        </w:rPr>
        <w:t xml:space="preserve"> </w:t>
      </w:r>
      <w:hyperlink r:id="rId8" w:history="1">
        <w:r w:rsidRPr="00AA43C5">
          <w:rPr>
            <w:rStyle w:val="Hyperlink"/>
            <w:rFonts w:ascii="Book Antiqua" w:hAnsi="Book Antiqua"/>
            <w:sz w:val="24"/>
            <w:szCs w:val="24"/>
            <w:u w:val="none"/>
          </w:rPr>
          <w:t>nyee@hmc.psu.edu</w:t>
        </w:r>
      </w:hyperlink>
    </w:p>
    <w:p w:rsidR="00AA43C5" w:rsidRDefault="00A60314" w:rsidP="00AA43C5">
      <w:pPr>
        <w:pStyle w:val="CommentText"/>
        <w:spacing w:after="0" w:line="360" w:lineRule="auto"/>
        <w:jc w:val="both"/>
        <w:rPr>
          <w:rFonts w:ascii="Book Antiqua" w:eastAsiaTheme="minorEastAsia" w:hAnsi="Book Antiqua"/>
          <w:sz w:val="24"/>
          <w:szCs w:val="24"/>
          <w:lang w:eastAsia="zh-CN"/>
        </w:rPr>
      </w:pPr>
      <w:r w:rsidRPr="00AA43C5">
        <w:rPr>
          <w:rFonts w:ascii="Book Antiqua" w:hAnsi="Book Antiqua"/>
          <w:b/>
          <w:sz w:val="24"/>
          <w:szCs w:val="24"/>
        </w:rPr>
        <w:t>Telephone</w:t>
      </w:r>
      <w:r w:rsidRPr="00341695">
        <w:rPr>
          <w:rFonts w:ascii="Book Antiqua" w:hAnsi="Book Antiqua"/>
          <w:sz w:val="24"/>
          <w:szCs w:val="24"/>
        </w:rPr>
        <w:t>: +1</w:t>
      </w:r>
      <w:r w:rsidR="00AA43C5">
        <w:rPr>
          <w:rFonts w:ascii="Book Antiqua" w:eastAsiaTheme="minorEastAsia" w:hAnsi="Book Antiqua" w:hint="eastAsia"/>
          <w:sz w:val="24"/>
          <w:szCs w:val="24"/>
          <w:lang w:eastAsia="zh-CN"/>
        </w:rPr>
        <w:t>-</w:t>
      </w:r>
      <w:r w:rsidRPr="00341695">
        <w:rPr>
          <w:rFonts w:ascii="Book Antiqua" w:hAnsi="Book Antiqua"/>
          <w:sz w:val="24"/>
          <w:szCs w:val="24"/>
        </w:rPr>
        <w:t>717</w:t>
      </w:r>
      <w:r w:rsidR="00AA43C5">
        <w:rPr>
          <w:rFonts w:ascii="Book Antiqua" w:eastAsiaTheme="minorEastAsia" w:hAnsi="Book Antiqua" w:hint="eastAsia"/>
          <w:sz w:val="24"/>
          <w:szCs w:val="24"/>
          <w:lang w:eastAsia="zh-CN"/>
        </w:rPr>
        <w:t>-</w:t>
      </w:r>
      <w:r w:rsidR="00AA43C5">
        <w:rPr>
          <w:rFonts w:ascii="Book Antiqua" w:hAnsi="Book Antiqua"/>
          <w:sz w:val="24"/>
          <w:szCs w:val="24"/>
        </w:rPr>
        <w:t>531</w:t>
      </w:r>
      <w:r w:rsidRPr="00341695">
        <w:rPr>
          <w:rFonts w:ascii="Book Antiqua" w:hAnsi="Book Antiqua"/>
          <w:sz w:val="24"/>
          <w:szCs w:val="24"/>
        </w:rPr>
        <w:t>0003</w:t>
      </w:r>
      <w:r w:rsidRPr="00341695">
        <w:rPr>
          <w:rFonts w:ascii="Book Antiqua" w:eastAsia="Times New Roman" w:hAnsi="Book Antiqua"/>
          <w:sz w:val="24"/>
          <w:szCs w:val="24"/>
        </w:rPr>
        <w:tab/>
      </w:r>
    </w:p>
    <w:p w:rsidR="00A60314" w:rsidRPr="00341695" w:rsidRDefault="00A60314" w:rsidP="00AA43C5">
      <w:pPr>
        <w:pStyle w:val="CommentText"/>
        <w:spacing w:after="0" w:line="360" w:lineRule="auto"/>
        <w:jc w:val="both"/>
        <w:rPr>
          <w:rFonts w:ascii="Book Antiqua" w:eastAsia="Times New Roman" w:hAnsi="Book Antiqua"/>
          <w:sz w:val="24"/>
          <w:szCs w:val="24"/>
        </w:rPr>
      </w:pPr>
      <w:r w:rsidRPr="00AA43C5">
        <w:rPr>
          <w:rFonts w:ascii="Book Antiqua" w:hAnsi="Book Antiqua"/>
          <w:b/>
          <w:sz w:val="24"/>
          <w:szCs w:val="24"/>
        </w:rPr>
        <w:t>Fax</w:t>
      </w:r>
      <w:r w:rsidR="00AA43C5">
        <w:rPr>
          <w:rFonts w:ascii="Book Antiqua" w:hAnsi="Book Antiqua"/>
          <w:sz w:val="24"/>
          <w:szCs w:val="24"/>
        </w:rPr>
        <w:t xml:space="preserve">: </w:t>
      </w:r>
      <w:r w:rsidRPr="00341695">
        <w:rPr>
          <w:rFonts w:ascii="Book Antiqua" w:hAnsi="Book Antiqua"/>
          <w:sz w:val="24"/>
          <w:szCs w:val="24"/>
        </w:rPr>
        <w:t>+1</w:t>
      </w:r>
      <w:r w:rsidR="00AA43C5">
        <w:rPr>
          <w:rFonts w:ascii="Book Antiqua" w:eastAsiaTheme="minorEastAsia" w:hAnsi="Book Antiqua" w:hint="eastAsia"/>
          <w:sz w:val="24"/>
          <w:szCs w:val="24"/>
          <w:lang w:eastAsia="zh-CN"/>
        </w:rPr>
        <w:t>-</w:t>
      </w:r>
      <w:r w:rsidRPr="00341695">
        <w:rPr>
          <w:rFonts w:ascii="Book Antiqua" w:hAnsi="Book Antiqua"/>
          <w:sz w:val="24"/>
          <w:szCs w:val="24"/>
        </w:rPr>
        <w:t>717</w:t>
      </w:r>
      <w:r w:rsidR="00AA43C5">
        <w:rPr>
          <w:rFonts w:ascii="Book Antiqua" w:eastAsiaTheme="minorEastAsia" w:hAnsi="Book Antiqua" w:hint="eastAsia"/>
          <w:sz w:val="24"/>
          <w:szCs w:val="24"/>
          <w:lang w:eastAsia="zh-CN"/>
        </w:rPr>
        <w:t>-</w:t>
      </w:r>
      <w:r w:rsidR="00AA43C5">
        <w:rPr>
          <w:rFonts w:ascii="Book Antiqua" w:hAnsi="Book Antiqua"/>
          <w:sz w:val="24"/>
          <w:szCs w:val="24"/>
        </w:rPr>
        <w:t>531</w:t>
      </w:r>
      <w:r w:rsidRPr="00341695">
        <w:rPr>
          <w:rFonts w:ascii="Book Antiqua" w:hAnsi="Book Antiqua"/>
          <w:sz w:val="24"/>
          <w:szCs w:val="24"/>
        </w:rPr>
        <w:t>5076</w:t>
      </w:r>
    </w:p>
    <w:p w:rsidR="00A60314" w:rsidRDefault="00A60314" w:rsidP="00AA43C5">
      <w:pPr>
        <w:spacing w:line="360" w:lineRule="auto"/>
        <w:jc w:val="both"/>
        <w:rPr>
          <w:rFonts w:ascii="Book Antiqua" w:eastAsia="Times New Roman" w:hAnsi="Book Antiqua"/>
          <w:sz w:val="20"/>
        </w:rPr>
      </w:pPr>
    </w:p>
    <w:p w:rsidR="00A60314" w:rsidRPr="00AA43C5" w:rsidRDefault="00A60314" w:rsidP="00AA43C5">
      <w:pPr>
        <w:spacing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Pr>
          <w:rFonts w:ascii="Book Antiqua" w:hAnsi="Book Antiqua"/>
          <w:b/>
          <w:sz w:val="24"/>
        </w:rPr>
        <w:t>Received:</w:t>
      </w:r>
      <w:r w:rsidR="00AA43C5">
        <w:rPr>
          <w:rFonts w:ascii="Book Antiqua" w:hAnsi="Book Antiqua" w:hint="eastAsia"/>
          <w:b/>
          <w:sz w:val="24"/>
          <w:lang w:eastAsia="zh-CN"/>
        </w:rPr>
        <w:t xml:space="preserve"> </w:t>
      </w:r>
      <w:r w:rsidR="00AA43C5" w:rsidRPr="00AA43C5">
        <w:rPr>
          <w:rFonts w:ascii="Book Antiqua" w:hAnsi="Book Antiqua" w:hint="eastAsia"/>
          <w:sz w:val="24"/>
          <w:lang w:eastAsia="zh-CN"/>
        </w:rPr>
        <w:t>May 22, 2015</w:t>
      </w:r>
    </w:p>
    <w:p w:rsidR="00A60314" w:rsidRPr="00AA43C5" w:rsidRDefault="00A60314" w:rsidP="00AA43C5">
      <w:pPr>
        <w:spacing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AA43C5">
        <w:rPr>
          <w:rFonts w:ascii="Book Antiqua" w:hAnsi="Book Antiqua" w:hint="eastAsia"/>
          <w:b/>
          <w:sz w:val="24"/>
          <w:lang w:eastAsia="zh-CN"/>
        </w:rPr>
        <w:t xml:space="preserve"> </w:t>
      </w:r>
      <w:r w:rsidR="00AA43C5" w:rsidRPr="00AA43C5">
        <w:rPr>
          <w:rFonts w:ascii="Book Antiqua" w:hAnsi="Book Antiqua" w:hint="eastAsia"/>
          <w:sz w:val="24"/>
          <w:lang w:eastAsia="zh-CN"/>
        </w:rPr>
        <w:t xml:space="preserve">May </w:t>
      </w:r>
      <w:r w:rsidR="00AA43C5">
        <w:rPr>
          <w:rFonts w:ascii="Book Antiqua" w:hAnsi="Book Antiqua" w:hint="eastAsia"/>
          <w:sz w:val="24"/>
          <w:lang w:eastAsia="zh-CN"/>
        </w:rPr>
        <w:t>23</w:t>
      </w:r>
      <w:r w:rsidR="00AA43C5" w:rsidRPr="00AA43C5">
        <w:rPr>
          <w:rFonts w:ascii="Book Antiqua" w:hAnsi="Book Antiqua" w:hint="eastAsia"/>
          <w:sz w:val="24"/>
          <w:lang w:eastAsia="zh-CN"/>
        </w:rPr>
        <w:t>, 2015</w:t>
      </w:r>
    </w:p>
    <w:p w:rsidR="00A60314" w:rsidRPr="00AA43C5" w:rsidRDefault="00A60314" w:rsidP="00AA43C5">
      <w:pPr>
        <w:spacing w:line="360" w:lineRule="auto"/>
        <w:jc w:val="both"/>
        <w:rPr>
          <w:rFonts w:ascii="Book Antiqua" w:hAnsi="Book Antiqua"/>
          <w:sz w:val="24"/>
          <w:lang w:eastAsia="zh-CN"/>
        </w:rPr>
      </w:pPr>
      <w:r w:rsidRPr="009659DA">
        <w:rPr>
          <w:rFonts w:ascii="Book Antiqua" w:hAnsi="Book Antiqua"/>
          <w:b/>
          <w:sz w:val="24"/>
        </w:rPr>
        <w:t>First decision:</w:t>
      </w:r>
      <w:r w:rsidR="00AA43C5">
        <w:rPr>
          <w:rFonts w:ascii="Book Antiqua" w:hAnsi="Book Antiqua" w:hint="eastAsia"/>
          <w:b/>
          <w:sz w:val="24"/>
          <w:lang w:eastAsia="zh-CN"/>
        </w:rPr>
        <w:t xml:space="preserve"> </w:t>
      </w:r>
      <w:r w:rsidR="00AA43C5" w:rsidRPr="00AA43C5">
        <w:rPr>
          <w:rFonts w:ascii="Book Antiqua" w:hAnsi="Book Antiqua" w:hint="eastAsia"/>
          <w:sz w:val="24"/>
          <w:lang w:eastAsia="zh-CN"/>
        </w:rPr>
        <w:t>September 29, 2015</w:t>
      </w:r>
    </w:p>
    <w:p w:rsidR="00A60314" w:rsidRPr="00AA43C5" w:rsidRDefault="00A60314" w:rsidP="00AA43C5">
      <w:pPr>
        <w:spacing w:line="360" w:lineRule="auto"/>
        <w:jc w:val="both"/>
        <w:rPr>
          <w:rFonts w:ascii="Book Antiqua" w:hAnsi="Book Antiqua"/>
          <w:sz w:val="24"/>
          <w:lang w:eastAsia="zh-CN"/>
        </w:rPr>
      </w:pPr>
      <w:r>
        <w:rPr>
          <w:rFonts w:ascii="Book Antiqua" w:hAnsi="Book Antiqua"/>
          <w:b/>
          <w:sz w:val="24"/>
        </w:rPr>
        <w:t>Revised:</w:t>
      </w:r>
      <w:r w:rsidR="00AA43C5">
        <w:rPr>
          <w:rFonts w:ascii="Book Antiqua" w:hAnsi="Book Antiqua" w:hint="eastAsia"/>
          <w:b/>
          <w:sz w:val="24"/>
          <w:lang w:eastAsia="zh-CN"/>
        </w:rPr>
        <w:t xml:space="preserve"> </w:t>
      </w:r>
      <w:r w:rsidR="00AA43C5" w:rsidRPr="00AA43C5">
        <w:rPr>
          <w:rFonts w:ascii="Book Antiqua" w:hAnsi="Book Antiqua" w:hint="eastAsia"/>
          <w:sz w:val="24"/>
          <w:lang w:eastAsia="zh-CN"/>
        </w:rPr>
        <w:t>October 29, 2015</w:t>
      </w:r>
    </w:p>
    <w:p w:rsidR="00A60314" w:rsidRPr="00FA0829" w:rsidRDefault="00A60314" w:rsidP="00FA0829">
      <w:pPr>
        <w:spacing w:line="360" w:lineRule="auto"/>
        <w:rPr>
          <w:rFonts w:ascii="Book Antiqua" w:hAnsi="Book Antiqua"/>
          <w:sz w:val="24"/>
        </w:rPr>
      </w:pPr>
      <w:r>
        <w:rPr>
          <w:rFonts w:ascii="Book Antiqua" w:hAnsi="Book Antiqua"/>
          <w:b/>
          <w:sz w:val="24"/>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8"/>
      <w:bookmarkStart w:id="25" w:name="OLE_LINK119"/>
      <w:bookmarkStart w:id="26" w:name="OLE_LINK120"/>
      <w:bookmarkStart w:id="27" w:name="OLE_LINK121"/>
      <w:bookmarkStart w:id="28" w:name="OLE_LINK122"/>
      <w:bookmarkStart w:id="29" w:name="OLE_LINK125"/>
      <w:bookmarkStart w:id="30" w:name="OLE_LINK126"/>
      <w:bookmarkStart w:id="31" w:name="OLE_LINK127"/>
      <w:bookmarkStart w:id="32" w:name="OLE_LINK129"/>
      <w:bookmarkStart w:id="33" w:name="OLE_LINK135"/>
      <w:bookmarkStart w:id="34" w:name="OLE_LINK136"/>
      <w:bookmarkStart w:id="35" w:name="OLE_LINK137"/>
      <w:bookmarkStart w:id="36" w:name="OLE_LINK138"/>
      <w:bookmarkStart w:id="37" w:name="OLE_LINK139"/>
      <w:bookmarkStart w:id="38" w:name="OLE_LINK141"/>
      <w:bookmarkStart w:id="39" w:name="OLE_LINK142"/>
      <w:r w:rsidR="00FA0829" w:rsidRPr="00FA0829">
        <w:rPr>
          <w:rFonts w:ascii="Book Antiqua" w:hAnsi="Book Antiqua"/>
          <w:sz w:val="24"/>
        </w:rPr>
        <w:t xml:space="preserve"> </w:t>
      </w:r>
      <w:r w:rsidR="00FA0829">
        <w:rPr>
          <w:rFonts w:ascii="Book Antiqua" w:hAnsi="Book Antiqua"/>
          <w:sz w:val="24"/>
        </w:rPr>
        <w:t>November 19, 2015</w:t>
      </w:r>
      <w:bookmarkStart w:id="40"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Book Antiqua" w:hAnsi="Book Antiqua" w:hint="eastAsia"/>
          <w:b/>
          <w:sz w:val="24"/>
        </w:rPr>
        <w:t xml:space="preserve">  </w:t>
      </w:r>
    </w:p>
    <w:p w:rsidR="00A60314" w:rsidRDefault="00A60314" w:rsidP="00AA43C5">
      <w:pPr>
        <w:spacing w:line="360" w:lineRule="auto"/>
        <w:jc w:val="both"/>
        <w:rPr>
          <w:rFonts w:ascii="Book Antiqua" w:hAnsi="Book Antiqua"/>
          <w:b/>
          <w:sz w:val="24"/>
        </w:rPr>
      </w:pPr>
      <w:r w:rsidRPr="009659DA">
        <w:rPr>
          <w:rFonts w:ascii="Book Antiqua" w:hAnsi="Book Antiqua"/>
          <w:b/>
          <w:sz w:val="24"/>
        </w:rPr>
        <w:t>Article in press:</w:t>
      </w:r>
    </w:p>
    <w:p w:rsidR="00A60314" w:rsidRPr="00ED7CB9" w:rsidRDefault="00A60314" w:rsidP="00AA43C5">
      <w:pPr>
        <w:spacing w:line="360" w:lineRule="auto"/>
        <w:jc w:val="both"/>
        <w:rPr>
          <w:rFonts w:ascii="Book Antiqua" w:hAnsi="Book Antiqua"/>
          <w:b/>
          <w:sz w:val="24"/>
        </w:rPr>
      </w:pPr>
      <w:r>
        <w:rPr>
          <w:rFonts w:ascii="Book Antiqua" w:hAnsi="Book Antiqua"/>
          <w:b/>
          <w:sz w:val="24"/>
        </w:rPr>
        <w:t>Published online:</w:t>
      </w:r>
    </w:p>
    <w:bookmarkEnd w:id="13"/>
    <w:bookmarkEnd w:id="14"/>
    <w:bookmarkEnd w:id="15"/>
    <w:bookmarkEnd w:id="16"/>
    <w:bookmarkEnd w:id="17"/>
    <w:p w:rsidR="00E25F9B" w:rsidRPr="00100F3A" w:rsidRDefault="00E25F9B" w:rsidP="00AA43C5">
      <w:pPr>
        <w:pStyle w:val="BodyText2"/>
        <w:spacing w:after="0" w:line="360" w:lineRule="auto"/>
        <w:jc w:val="both"/>
        <w:rPr>
          <w:rFonts w:ascii="Book Antiqua" w:hAnsi="Book Antiqua"/>
          <w:b/>
          <w:color w:val="auto"/>
          <w:sz w:val="24"/>
        </w:rPr>
      </w:pP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E25F9B" w:rsidP="00AA43C5">
      <w:pPr>
        <w:spacing w:after="0" w:line="360" w:lineRule="auto"/>
        <w:jc w:val="both"/>
        <w:rPr>
          <w:rFonts w:ascii="Book Antiqua" w:eastAsia="Times New Roman" w:hAnsi="Book Antiqua"/>
          <w:b/>
          <w:color w:val="auto"/>
          <w:sz w:val="24"/>
        </w:rPr>
      </w:pPr>
    </w:p>
    <w:p w:rsidR="00E25F9B" w:rsidRPr="00100F3A" w:rsidRDefault="00CF6F81" w:rsidP="00AA43C5">
      <w:pPr>
        <w:spacing w:line="360" w:lineRule="auto"/>
        <w:jc w:val="both"/>
        <w:rPr>
          <w:rFonts w:ascii="Book Antiqua" w:eastAsia="Times New Roman Bold" w:hAnsi="Book Antiqua"/>
          <w:b/>
          <w:color w:val="auto"/>
          <w:sz w:val="24"/>
        </w:rPr>
      </w:pPr>
      <w:r w:rsidRPr="00100F3A">
        <w:rPr>
          <w:rFonts w:ascii="Book Antiqua" w:eastAsia="Times New Roman" w:hAnsi="Book Antiqua"/>
          <w:color w:val="auto"/>
          <w:sz w:val="20"/>
        </w:rPr>
        <w:br w:type="page"/>
      </w:r>
      <w:r w:rsidRPr="00100F3A">
        <w:rPr>
          <w:rFonts w:ascii="Book Antiqua" w:hAnsi="Book Antiqua"/>
          <w:b/>
          <w:color w:val="auto"/>
          <w:sz w:val="24"/>
        </w:rPr>
        <w:lastRenderedPageBreak/>
        <w:t>Abstract</w:t>
      </w:r>
    </w:p>
    <w:p w:rsidR="00E25F9B" w:rsidRPr="00100F3A" w:rsidRDefault="00CF6F81" w:rsidP="00AA43C5">
      <w:pPr>
        <w:spacing w:line="360" w:lineRule="auto"/>
        <w:jc w:val="both"/>
        <w:rPr>
          <w:rFonts w:ascii="Book Antiqua" w:hAnsi="Book Antiqua"/>
          <w:color w:val="auto"/>
          <w:sz w:val="24"/>
        </w:rPr>
      </w:pPr>
      <w:r w:rsidRPr="00100F3A">
        <w:rPr>
          <w:rFonts w:ascii="Book Antiqua" w:eastAsia="Times New Roman" w:hAnsi="Book Antiqua"/>
          <w:color w:val="auto"/>
          <w:sz w:val="24"/>
        </w:rPr>
        <w:t xml:space="preserve">The primary malignancies of the biliary tract, cholangiocarcinoma and gallbladder cancer, often present at an advanced stage and are marginally sensitive to radiation and chemotherapy. Accumulating evidence indicates that molecularly targeted agents may provide new hope for improving treatment response in </w:t>
      </w:r>
      <w:r w:rsidRPr="00100F3A">
        <w:rPr>
          <w:rFonts w:ascii="Book Antiqua" w:hAnsi="Book Antiqua"/>
          <w:color w:val="auto"/>
          <w:sz w:val="24"/>
        </w:rPr>
        <w:t>biliary tract carcinoma (</w:t>
      </w:r>
      <w:r w:rsidRPr="00100F3A">
        <w:rPr>
          <w:rFonts w:ascii="Book Antiqua" w:eastAsia="Times New Roman" w:hAnsi="Book Antiqua"/>
          <w:color w:val="auto"/>
          <w:sz w:val="24"/>
        </w:rPr>
        <w:t xml:space="preserve">BTC). </w:t>
      </w:r>
      <w:r w:rsidRPr="00100F3A">
        <w:rPr>
          <w:rFonts w:ascii="Book Antiqua" w:hAnsi="Book Antiqua"/>
          <w:color w:val="auto"/>
          <w:sz w:val="24"/>
        </w:rPr>
        <w:t xml:space="preserve">In this article, we provide a critical review of the pathogenesis and genetic abnormalities of biliary tract neoplasms, in addition to discussing the current and emerging targeted therapeutics in BTC. </w:t>
      </w:r>
      <w:r w:rsidRPr="00100F3A">
        <w:rPr>
          <w:rFonts w:ascii="Book Antiqua" w:eastAsia="Times New Roman" w:hAnsi="Book Antiqua"/>
          <w:color w:val="auto"/>
          <w:sz w:val="24"/>
        </w:rPr>
        <w:t xml:space="preserve">Genetic studies of biliary tumors have identified the </w:t>
      </w:r>
      <w:r w:rsidRPr="00100F3A">
        <w:rPr>
          <w:rFonts w:ascii="Book Antiqua" w:hAnsi="Book Antiqua"/>
          <w:color w:val="auto"/>
          <w:sz w:val="24"/>
        </w:rPr>
        <w:t>growth factors and receptors as well as their downstream signaling pathways that control the growth and survival of biliary epithelia. Target-specific monoclonal antibodies and small molecules inhibitors directed against the signaling pathways that drive BTC growth and invasion have been developed. Numerous clinical trials designed to test these agents as either monotherapy or in combination with conventional chemotherapy have been completed or are currently underway. Research focusing on understanding the molecular basis of biliary tumorigenesis will continue to identify for targeted therapy the key mutations that drive growth and invasion of biliary neoplasms. Additional strategies that have emerged for treating this malignant disease include targeting the epigenetic alterations of BTC and immunotherapy. By integrating targeted therapy with molecular profiles of biliary tumor, we hope to provide precision treatment for patients with malignant diseases of the biliary tract.</w:t>
      </w:r>
    </w:p>
    <w:p w:rsidR="00E25F9B" w:rsidRPr="00100F3A" w:rsidRDefault="00E25F9B" w:rsidP="00AA43C5">
      <w:pPr>
        <w:spacing w:line="360" w:lineRule="auto"/>
        <w:jc w:val="both"/>
        <w:rPr>
          <w:rFonts w:ascii="Book Antiqua" w:hAnsi="Book Antiqua"/>
          <w:color w:val="auto"/>
          <w:sz w:val="24"/>
        </w:rPr>
      </w:pPr>
    </w:p>
    <w:p w:rsidR="00E25F9B" w:rsidRDefault="00CF6F81" w:rsidP="00AA43C5">
      <w:pPr>
        <w:spacing w:after="0" w:line="360" w:lineRule="auto"/>
        <w:jc w:val="both"/>
        <w:rPr>
          <w:rFonts w:ascii="Book Antiqua" w:hAnsi="Book Antiqua"/>
          <w:color w:val="auto"/>
          <w:sz w:val="24"/>
        </w:rPr>
      </w:pPr>
      <w:r w:rsidRPr="00100F3A">
        <w:rPr>
          <w:rFonts w:ascii="Book Antiqua" w:hAnsi="Book Antiqua"/>
          <w:b/>
          <w:color w:val="auto"/>
          <w:sz w:val="24"/>
        </w:rPr>
        <w:t>Key</w:t>
      </w:r>
      <w:r w:rsidR="009D686C">
        <w:rPr>
          <w:rFonts w:ascii="Book Antiqua" w:hAnsi="Book Antiqua" w:hint="eastAsia"/>
          <w:b/>
          <w:color w:val="auto"/>
          <w:sz w:val="24"/>
          <w:lang w:eastAsia="zh-CN"/>
        </w:rPr>
        <w:t xml:space="preserve"> </w:t>
      </w:r>
      <w:r w:rsidRPr="00100F3A">
        <w:rPr>
          <w:rFonts w:ascii="Book Antiqua" w:hAnsi="Book Antiqua"/>
          <w:b/>
          <w:color w:val="auto"/>
          <w:sz w:val="24"/>
        </w:rPr>
        <w:t>words</w:t>
      </w:r>
      <w:r w:rsidR="009D686C">
        <w:rPr>
          <w:rFonts w:ascii="Book Antiqua" w:hAnsi="Book Antiqua"/>
          <w:color w:val="auto"/>
          <w:sz w:val="24"/>
        </w:rPr>
        <w:t>:</w:t>
      </w:r>
      <w:r w:rsidR="009D686C">
        <w:rPr>
          <w:rFonts w:ascii="Book Antiqua" w:hAnsi="Book Antiqua" w:hint="eastAsia"/>
          <w:color w:val="auto"/>
          <w:sz w:val="24"/>
          <w:lang w:eastAsia="zh-CN"/>
        </w:rPr>
        <w:t xml:space="preserve"> </w:t>
      </w:r>
      <w:r w:rsidR="00AA43C5" w:rsidRPr="00100F3A">
        <w:rPr>
          <w:rFonts w:ascii="Book Antiqua" w:hAnsi="Book Antiqua"/>
          <w:color w:val="auto"/>
          <w:sz w:val="24"/>
        </w:rPr>
        <w:t xml:space="preserve">Biliary </w:t>
      </w:r>
      <w:r w:rsidRPr="00100F3A">
        <w:rPr>
          <w:rFonts w:ascii="Book Antiqua" w:hAnsi="Book Antiqua"/>
          <w:color w:val="auto"/>
          <w:sz w:val="24"/>
        </w:rPr>
        <w:t>tract carcinoma</w:t>
      </w:r>
      <w:r w:rsidR="00AA43C5">
        <w:rPr>
          <w:rFonts w:ascii="Book Antiqua" w:hAnsi="Book Antiqua" w:hint="eastAsia"/>
          <w:color w:val="auto"/>
          <w:sz w:val="24"/>
          <w:lang w:eastAsia="zh-CN"/>
        </w:rPr>
        <w:t>;</w:t>
      </w:r>
      <w:r w:rsidRPr="00100F3A">
        <w:rPr>
          <w:rFonts w:ascii="Book Antiqua" w:hAnsi="Book Antiqua"/>
          <w:color w:val="auto"/>
          <w:sz w:val="24"/>
        </w:rPr>
        <w:t xml:space="preserve"> </w:t>
      </w:r>
      <w:r w:rsidR="00AA43C5" w:rsidRPr="00100F3A">
        <w:rPr>
          <w:rFonts w:ascii="Book Antiqua" w:hAnsi="Book Antiqua"/>
          <w:color w:val="auto"/>
          <w:sz w:val="24"/>
        </w:rPr>
        <w:t>Cholangiocarcinoma</w:t>
      </w:r>
      <w:r w:rsidR="00AA43C5">
        <w:rPr>
          <w:rFonts w:ascii="Book Antiqua" w:hAnsi="Book Antiqua" w:hint="eastAsia"/>
          <w:color w:val="auto"/>
          <w:sz w:val="24"/>
          <w:lang w:eastAsia="zh-CN"/>
        </w:rPr>
        <w:t>;</w:t>
      </w:r>
      <w:r w:rsidRPr="00100F3A">
        <w:rPr>
          <w:rFonts w:ascii="Book Antiqua" w:hAnsi="Book Antiqua"/>
          <w:color w:val="auto"/>
          <w:sz w:val="24"/>
        </w:rPr>
        <w:t xml:space="preserve"> </w:t>
      </w:r>
      <w:r w:rsidR="00AA43C5" w:rsidRPr="00100F3A">
        <w:rPr>
          <w:rFonts w:ascii="Book Antiqua" w:hAnsi="Book Antiqua"/>
          <w:color w:val="auto"/>
          <w:sz w:val="24"/>
        </w:rPr>
        <w:t xml:space="preserve">Gallbladder </w:t>
      </w:r>
      <w:r w:rsidRPr="00100F3A">
        <w:rPr>
          <w:rFonts w:ascii="Book Antiqua" w:hAnsi="Book Antiqua"/>
          <w:color w:val="auto"/>
          <w:sz w:val="24"/>
        </w:rPr>
        <w:t>carcinoma</w:t>
      </w:r>
      <w:r w:rsidR="00AA43C5">
        <w:rPr>
          <w:rFonts w:ascii="Book Antiqua" w:hAnsi="Book Antiqua" w:hint="eastAsia"/>
          <w:color w:val="auto"/>
          <w:sz w:val="24"/>
          <w:lang w:eastAsia="zh-CN"/>
        </w:rPr>
        <w:t xml:space="preserve">; </w:t>
      </w:r>
      <w:r w:rsidR="00AA43C5" w:rsidRPr="00100F3A">
        <w:rPr>
          <w:rFonts w:ascii="Book Antiqua" w:hAnsi="Book Antiqua"/>
          <w:color w:val="auto"/>
          <w:sz w:val="24"/>
        </w:rPr>
        <w:t xml:space="preserve">Molecular </w:t>
      </w:r>
      <w:r w:rsidRPr="00100F3A">
        <w:rPr>
          <w:rFonts w:ascii="Book Antiqua" w:hAnsi="Book Antiqua"/>
          <w:color w:val="auto"/>
          <w:sz w:val="24"/>
        </w:rPr>
        <w:t>genetics</w:t>
      </w:r>
      <w:r w:rsidR="00AA43C5">
        <w:rPr>
          <w:rFonts w:ascii="Book Antiqua" w:hAnsi="Book Antiqua" w:hint="eastAsia"/>
          <w:color w:val="auto"/>
          <w:sz w:val="24"/>
          <w:lang w:eastAsia="zh-CN"/>
        </w:rPr>
        <w:t>;</w:t>
      </w:r>
      <w:r w:rsidRPr="00100F3A">
        <w:rPr>
          <w:rFonts w:ascii="Book Antiqua" w:hAnsi="Book Antiqua"/>
          <w:color w:val="auto"/>
          <w:sz w:val="24"/>
        </w:rPr>
        <w:t xml:space="preserve"> </w:t>
      </w:r>
      <w:r w:rsidR="00AA43C5" w:rsidRPr="00100F3A">
        <w:rPr>
          <w:rFonts w:ascii="Book Antiqua" w:hAnsi="Book Antiqua"/>
          <w:color w:val="auto"/>
          <w:sz w:val="24"/>
        </w:rPr>
        <w:t xml:space="preserve">Personalized </w:t>
      </w:r>
      <w:r w:rsidRPr="00100F3A">
        <w:rPr>
          <w:rFonts w:ascii="Book Antiqua" w:hAnsi="Book Antiqua"/>
          <w:color w:val="auto"/>
          <w:sz w:val="24"/>
        </w:rPr>
        <w:t>treatment</w:t>
      </w:r>
      <w:r w:rsidR="00AA43C5">
        <w:rPr>
          <w:rFonts w:ascii="Book Antiqua" w:hAnsi="Book Antiqua" w:hint="eastAsia"/>
          <w:color w:val="auto"/>
          <w:sz w:val="24"/>
          <w:lang w:eastAsia="zh-CN"/>
        </w:rPr>
        <w:t>;</w:t>
      </w:r>
      <w:r w:rsidRPr="00100F3A">
        <w:rPr>
          <w:rFonts w:ascii="Book Antiqua" w:hAnsi="Book Antiqua"/>
          <w:color w:val="auto"/>
          <w:sz w:val="24"/>
        </w:rPr>
        <w:t xml:space="preserve"> </w:t>
      </w:r>
      <w:r w:rsidR="00AA43C5" w:rsidRPr="00100F3A">
        <w:rPr>
          <w:rFonts w:ascii="Book Antiqua" w:hAnsi="Book Antiqua"/>
          <w:color w:val="auto"/>
          <w:sz w:val="24"/>
        </w:rPr>
        <w:t xml:space="preserve">Precision </w:t>
      </w:r>
      <w:r w:rsidRPr="00100F3A">
        <w:rPr>
          <w:rFonts w:ascii="Book Antiqua" w:hAnsi="Book Antiqua"/>
          <w:color w:val="auto"/>
          <w:sz w:val="24"/>
        </w:rPr>
        <w:t>therapy</w:t>
      </w:r>
      <w:r w:rsidR="00AA43C5">
        <w:rPr>
          <w:rFonts w:ascii="Book Antiqua" w:hAnsi="Book Antiqua" w:hint="eastAsia"/>
          <w:color w:val="auto"/>
          <w:sz w:val="24"/>
          <w:lang w:eastAsia="zh-CN"/>
        </w:rPr>
        <w:t>;</w:t>
      </w:r>
      <w:r w:rsidRPr="00100F3A">
        <w:rPr>
          <w:rFonts w:ascii="Book Antiqua" w:hAnsi="Book Antiqua"/>
          <w:color w:val="auto"/>
          <w:sz w:val="24"/>
        </w:rPr>
        <w:t xml:space="preserve"> </w:t>
      </w:r>
      <w:r w:rsidR="00AA43C5" w:rsidRPr="00100F3A">
        <w:rPr>
          <w:rFonts w:ascii="Book Antiqua" w:hAnsi="Book Antiqua"/>
          <w:color w:val="auto"/>
          <w:sz w:val="24"/>
        </w:rPr>
        <w:t xml:space="preserve">Targeted </w:t>
      </w:r>
      <w:r w:rsidRPr="00100F3A">
        <w:rPr>
          <w:rFonts w:ascii="Book Antiqua" w:hAnsi="Book Antiqua"/>
          <w:color w:val="auto"/>
          <w:sz w:val="24"/>
        </w:rPr>
        <w:t xml:space="preserve">therapy  </w:t>
      </w:r>
    </w:p>
    <w:p w:rsidR="00A60314" w:rsidRDefault="00A60314" w:rsidP="00AA43C5">
      <w:pPr>
        <w:spacing w:after="0" w:line="360" w:lineRule="auto"/>
        <w:jc w:val="both"/>
        <w:rPr>
          <w:rFonts w:ascii="Book Antiqua" w:hAnsi="Book Antiqua"/>
          <w:color w:val="auto"/>
          <w:sz w:val="24"/>
        </w:rPr>
      </w:pPr>
    </w:p>
    <w:p w:rsidR="00A60314" w:rsidRDefault="00A60314" w:rsidP="00AA43C5">
      <w:pPr>
        <w:spacing w:line="360" w:lineRule="auto"/>
        <w:jc w:val="both"/>
        <w:rPr>
          <w:rFonts w:ascii="Book Antiqua" w:hAnsi="Book Antiqua" w:cs="Arial"/>
          <w:sz w:val="24"/>
        </w:rPr>
      </w:pPr>
      <w:bookmarkStart w:id="41" w:name="OLE_LINK55"/>
      <w:bookmarkStart w:id="42" w:name="OLE_LINK56"/>
      <w:bookmarkStart w:id="43" w:name="OLE_LINK105"/>
      <w:bookmarkStart w:id="44" w:name="OLE_LINK116"/>
      <w:bookmarkStart w:id="45" w:name="OLE_LINK89"/>
      <w:r w:rsidRPr="0071780A">
        <w:rPr>
          <w:rFonts w:ascii="Book Antiqua" w:hAnsi="Book Antiqua"/>
          <w:b/>
          <w:sz w:val="24"/>
        </w:rPr>
        <w:t>©</w:t>
      </w:r>
      <w:bookmarkEnd w:id="41"/>
      <w:bookmarkEnd w:id="42"/>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43"/>
    <w:bookmarkEnd w:id="44"/>
    <w:bookmarkEnd w:id="45"/>
    <w:p w:rsidR="00A60314" w:rsidRPr="00100F3A" w:rsidRDefault="00A60314" w:rsidP="00AA43C5">
      <w:pPr>
        <w:spacing w:after="0" w:line="360" w:lineRule="auto"/>
        <w:jc w:val="both"/>
        <w:rPr>
          <w:rFonts w:ascii="Book Antiqua" w:hAnsi="Book Antiqua"/>
          <w:color w:val="auto"/>
          <w:sz w:val="24"/>
        </w:rPr>
      </w:pPr>
    </w:p>
    <w:p w:rsidR="00E25F9B" w:rsidRPr="00100F3A" w:rsidRDefault="00E25F9B" w:rsidP="00AA43C5">
      <w:pPr>
        <w:spacing w:line="360" w:lineRule="auto"/>
        <w:jc w:val="both"/>
        <w:rPr>
          <w:rFonts w:ascii="Book Antiqua" w:eastAsia="Times New Roman" w:hAnsi="Book Antiqua"/>
          <w:color w:val="auto"/>
          <w:sz w:val="24"/>
        </w:rPr>
      </w:pPr>
    </w:p>
    <w:p w:rsidR="00A60314" w:rsidRDefault="00CF6F81" w:rsidP="00AA43C5">
      <w:pPr>
        <w:pStyle w:val="Heading1"/>
        <w:spacing w:line="360" w:lineRule="auto"/>
        <w:jc w:val="both"/>
        <w:rPr>
          <w:rFonts w:ascii="Book Antiqua" w:hAnsi="Book Antiqua"/>
          <w:b w:val="0"/>
          <w:color w:val="auto"/>
          <w:sz w:val="24"/>
          <w:bdr w:val="none" w:sz="0" w:space="0" w:color="auto" w:frame="1"/>
        </w:rPr>
      </w:pPr>
      <w:r w:rsidRPr="00A60314">
        <w:rPr>
          <w:rFonts w:ascii="Book Antiqua" w:eastAsia="Times New Roman Bold" w:hAnsi="Book Antiqua"/>
          <w:color w:val="auto"/>
          <w:sz w:val="24"/>
        </w:rPr>
        <w:t xml:space="preserve">Core </w:t>
      </w:r>
      <w:r w:rsidR="00AA43C5" w:rsidRPr="00A60314">
        <w:rPr>
          <w:rFonts w:ascii="Book Antiqua" w:eastAsia="Times New Roman Bold" w:hAnsi="Book Antiqua"/>
          <w:color w:val="auto"/>
          <w:sz w:val="24"/>
        </w:rPr>
        <w:t>tip</w:t>
      </w:r>
      <w:r w:rsidRPr="00A60314">
        <w:rPr>
          <w:rFonts w:ascii="Book Antiqua" w:eastAsia="Times New Roman Bold" w:hAnsi="Book Antiqua"/>
          <w:color w:val="auto"/>
          <w:sz w:val="24"/>
        </w:rPr>
        <w:t>:</w:t>
      </w:r>
      <w:r w:rsidRPr="00100F3A">
        <w:rPr>
          <w:rFonts w:ascii="Book Antiqua" w:eastAsia="Times New Roman Bold" w:hAnsi="Book Antiqua"/>
          <w:b w:val="0"/>
          <w:color w:val="auto"/>
          <w:sz w:val="24"/>
        </w:rPr>
        <w:t xml:space="preserve"> </w:t>
      </w:r>
      <w:r w:rsidRPr="00A60314">
        <w:rPr>
          <w:rFonts w:ascii="Book Antiqua" w:hAnsi="Book Antiqua"/>
          <w:b w:val="0"/>
          <w:color w:val="auto"/>
          <w:sz w:val="24"/>
        </w:rPr>
        <w:t>For patients with cholangiocarcinoma and gallbladder carcinoma, targeted therapeutics provide new opportunity of treatment that is potentially less toxic and more effective. These t</w:t>
      </w:r>
      <w:r w:rsidRPr="00A60314">
        <w:rPr>
          <w:rFonts w:ascii="Book Antiqua" w:hAnsi="Book Antiqua"/>
          <w:b w:val="0"/>
          <w:color w:val="auto"/>
          <w:sz w:val="24"/>
          <w:bdr w:val="none" w:sz="0" w:space="0" w:color="auto" w:frame="1"/>
        </w:rPr>
        <w:t>arget-specific monoclonal antibodies and small molecule inhibitors are directed against the signaling pathways that drive the progression of biliary tract cancers. This article provides an updated review of the molecular pathogenesis of these malignant neoplasms as the framework for describing the mechanisms by which targeted agents work. The preclinical and clinical data from investigation of targeted therapeutics in biliary tract cancer are discussed.</w:t>
      </w:r>
    </w:p>
    <w:p w:rsidR="00A60314" w:rsidRPr="00712F63" w:rsidRDefault="00A60314" w:rsidP="00AA43C5">
      <w:pPr>
        <w:adjustRightInd w:val="0"/>
        <w:snapToGrid w:val="0"/>
        <w:spacing w:line="360" w:lineRule="auto"/>
        <w:jc w:val="both"/>
        <w:rPr>
          <w:rFonts w:ascii="Book Antiqua" w:hAnsi="Book Antiqua" w:cs="Tahoma"/>
          <w:sz w:val="24"/>
        </w:rPr>
      </w:pPr>
      <w:bookmarkStart w:id="46" w:name="OLE_LINK130"/>
      <w:bookmarkStart w:id="47" w:name="OLE_LINK134"/>
      <w:bookmarkStart w:id="48" w:name="OLE_LINK455"/>
      <w:bookmarkStart w:id="49" w:name="OLE_LINK464"/>
      <w:bookmarkStart w:id="50" w:name="OLE_LINK73"/>
      <w:bookmarkStart w:id="51" w:name="OLE_LINK74"/>
    </w:p>
    <w:p w:rsidR="00A60314" w:rsidRPr="00AA43C5" w:rsidRDefault="00AA43C5" w:rsidP="00AA43C5">
      <w:pPr>
        <w:spacing w:after="0" w:line="360" w:lineRule="auto"/>
        <w:jc w:val="both"/>
        <w:rPr>
          <w:rFonts w:ascii="Book Antiqua" w:hAnsi="Book Antiqua"/>
          <w:sz w:val="24"/>
          <w:szCs w:val="24"/>
          <w:lang w:eastAsia="zh-CN"/>
        </w:rPr>
      </w:pPr>
      <w:bookmarkStart w:id="52" w:name="OLE_LINK424"/>
      <w:bookmarkStart w:id="53" w:name="OLE_LINK425"/>
      <w:r w:rsidRPr="000616FF">
        <w:rPr>
          <w:rFonts w:ascii="Book Antiqua" w:hAnsi="Book Antiqua"/>
          <w:sz w:val="24"/>
          <w:szCs w:val="24"/>
        </w:rPr>
        <w:t>Marks</w:t>
      </w:r>
      <w:r>
        <w:rPr>
          <w:rFonts w:ascii="Book Antiqua" w:hAnsi="Book Antiqua" w:hint="eastAsia"/>
          <w:sz w:val="24"/>
          <w:szCs w:val="24"/>
          <w:lang w:eastAsia="zh-CN"/>
        </w:rPr>
        <w:t xml:space="preserve"> EI, </w:t>
      </w:r>
      <w:r w:rsidRPr="000616FF">
        <w:rPr>
          <w:rFonts w:ascii="Book Antiqua" w:hAnsi="Book Antiqua"/>
          <w:sz w:val="24"/>
          <w:szCs w:val="24"/>
        </w:rPr>
        <w:t>Yee</w:t>
      </w:r>
      <w:r>
        <w:rPr>
          <w:rFonts w:ascii="Book Antiqua" w:hAnsi="Book Antiqua" w:hint="eastAsia"/>
          <w:sz w:val="24"/>
          <w:szCs w:val="24"/>
          <w:lang w:eastAsia="zh-CN"/>
        </w:rPr>
        <w:t xml:space="preserve"> NS. </w:t>
      </w:r>
      <w:r w:rsidRPr="00AA43C5">
        <w:rPr>
          <w:rFonts w:ascii="Book Antiqua" w:hAnsi="Book Antiqua"/>
          <w:sz w:val="24"/>
          <w:szCs w:val="24"/>
          <w:lang w:eastAsia="zh-CN"/>
        </w:rPr>
        <w:t>Molecular genetics and targeted therapeutics in biliary tract carcinoma</w:t>
      </w:r>
      <w:r>
        <w:rPr>
          <w:rFonts w:ascii="Book Antiqua" w:hAnsi="Book Antiqua" w:hint="eastAsia"/>
          <w:sz w:val="24"/>
          <w:szCs w:val="24"/>
          <w:lang w:eastAsia="zh-CN"/>
        </w:rPr>
        <w:t xml:space="preserve">. </w:t>
      </w:r>
      <w:r w:rsidR="00A60314" w:rsidRPr="00712F63">
        <w:rPr>
          <w:rFonts w:ascii="Book Antiqua" w:hAnsi="Book Antiqua"/>
          <w:i/>
          <w:sz w:val="24"/>
        </w:rPr>
        <w:t>World J Gastroenterol</w:t>
      </w:r>
      <w:r w:rsidR="00A60314" w:rsidRPr="00712F63">
        <w:rPr>
          <w:rFonts w:ascii="Book Antiqua" w:hAnsi="Book Antiqua"/>
          <w:sz w:val="24"/>
        </w:rPr>
        <w:t xml:space="preserve"> 201</w:t>
      </w:r>
      <w:r w:rsidR="00A60314">
        <w:rPr>
          <w:rFonts w:ascii="Book Antiqua" w:hAnsi="Book Antiqua" w:hint="eastAsia"/>
          <w:sz w:val="24"/>
        </w:rPr>
        <w:t>5</w:t>
      </w:r>
      <w:r w:rsidR="00A60314" w:rsidRPr="00712F63">
        <w:rPr>
          <w:rFonts w:ascii="Book Antiqua" w:hAnsi="Book Antiqua"/>
          <w:sz w:val="24"/>
        </w:rPr>
        <w:t xml:space="preserve">; </w:t>
      </w:r>
      <w:bookmarkStart w:id="54" w:name="OLE_LINK1689"/>
      <w:bookmarkStart w:id="55" w:name="OLE_LINK1298"/>
      <w:bookmarkStart w:id="56" w:name="OLE_LINK1297"/>
      <w:r w:rsidR="00A60314" w:rsidRPr="00712F63">
        <w:rPr>
          <w:rFonts w:ascii="Book Antiqua" w:hAnsi="Book Antiqua"/>
          <w:sz w:val="24"/>
        </w:rPr>
        <w:t>In press</w:t>
      </w:r>
      <w:bookmarkEnd w:id="54"/>
      <w:bookmarkEnd w:id="55"/>
      <w:bookmarkEnd w:id="56"/>
    </w:p>
    <w:bookmarkEnd w:id="46"/>
    <w:bookmarkEnd w:id="47"/>
    <w:bookmarkEnd w:id="48"/>
    <w:bookmarkEnd w:id="49"/>
    <w:bookmarkEnd w:id="50"/>
    <w:bookmarkEnd w:id="51"/>
    <w:bookmarkEnd w:id="52"/>
    <w:bookmarkEnd w:id="53"/>
    <w:p w:rsidR="00E25F9B" w:rsidRPr="00100F3A" w:rsidRDefault="00CF6F81" w:rsidP="00AA43C5">
      <w:pPr>
        <w:pStyle w:val="Heading1"/>
        <w:spacing w:line="360" w:lineRule="auto"/>
        <w:jc w:val="both"/>
        <w:rPr>
          <w:rFonts w:ascii="Book Antiqua" w:eastAsia="Times New Roman" w:hAnsi="Book Antiqua"/>
          <w:color w:val="auto"/>
          <w:sz w:val="24"/>
        </w:rPr>
      </w:pPr>
      <w:r w:rsidRPr="00100F3A">
        <w:rPr>
          <w:rFonts w:ascii="Book Antiqua" w:hAnsi="Book Antiqua"/>
          <w:color w:val="auto"/>
          <w:sz w:val="24"/>
          <w:bdr w:val="none" w:sz="0" w:space="0" w:color="auto" w:frame="1"/>
        </w:rPr>
        <w:t xml:space="preserve"> </w:t>
      </w:r>
      <w:r w:rsidRPr="00100F3A">
        <w:rPr>
          <w:rFonts w:ascii="Book Antiqua" w:eastAsia="Times New Roman Bold" w:hAnsi="Book Antiqua"/>
          <w:color w:val="auto"/>
          <w:sz w:val="24"/>
        </w:rPr>
        <w:br w:type="page"/>
      </w:r>
      <w:r w:rsidRPr="00100F3A">
        <w:rPr>
          <w:rFonts w:ascii="Book Antiqua" w:hAnsi="Book Antiqua"/>
          <w:color w:val="auto"/>
          <w:sz w:val="24"/>
        </w:rPr>
        <w:lastRenderedPageBreak/>
        <w:t xml:space="preserve">INTRODUCTION </w:t>
      </w:r>
    </w:p>
    <w:p w:rsidR="00E25F9B" w:rsidRPr="00AA43C5" w:rsidRDefault="00CF6F81" w:rsidP="00AA43C5">
      <w:pPr>
        <w:spacing w:after="120" w:line="360" w:lineRule="auto"/>
        <w:jc w:val="both"/>
        <w:rPr>
          <w:rFonts w:ascii="Book Antiqua" w:hAnsi="Book Antiqua"/>
          <w:color w:val="auto"/>
          <w:sz w:val="24"/>
          <w:lang w:eastAsia="zh-CN"/>
        </w:rPr>
      </w:pPr>
      <w:r w:rsidRPr="00100F3A">
        <w:rPr>
          <w:rFonts w:ascii="Book Antiqua" w:eastAsia="Times New Roman" w:hAnsi="Book Antiqua"/>
          <w:color w:val="auto"/>
          <w:sz w:val="24"/>
        </w:rPr>
        <w:t>Cholangiocarcinoma and gallbladder ca</w:t>
      </w:r>
      <w:r w:rsidRPr="00100F3A">
        <w:rPr>
          <w:rFonts w:ascii="Book Antiqua" w:hAnsi="Book Antiqua"/>
          <w:color w:val="auto"/>
          <w:sz w:val="24"/>
        </w:rPr>
        <w:t>rcinoma are relatively rare malignancies that are collectively referred to as biliary tract ca</w:t>
      </w:r>
      <w:r w:rsidR="009D686C">
        <w:rPr>
          <w:rFonts w:ascii="Book Antiqua" w:hAnsi="Book Antiqua"/>
          <w:color w:val="auto"/>
          <w:sz w:val="24"/>
        </w:rPr>
        <w:t>rcinoma (BTC). Approximately 10</w:t>
      </w:r>
      <w:r w:rsidRPr="00100F3A">
        <w:rPr>
          <w:rFonts w:ascii="Book Antiqua" w:hAnsi="Book Antiqua"/>
          <w:color w:val="auto"/>
          <w:sz w:val="24"/>
        </w:rPr>
        <w:t>000 new cases of BTC arise within the United States each year, nearly two-thirds of which are gallbladder carcinoma</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Pr="00100F3A">
        <w:rPr>
          <w:rFonts w:ascii="Book Antiqua" w:hAnsi="Book Antiqua"/>
          <w:color w:val="auto"/>
          <w:sz w:val="24"/>
        </w:rPr>
        <w:t>. These tumors generally present with insidious onset of non-specific abdominal symptoms that seldom prompt patients to seek timely medical evaluation. As a result, approximately 90% of BTC is not diagnosed until the disease has become locally advanced or metastatic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Pr="00100F3A">
        <w:rPr>
          <w:rFonts w:ascii="Book Antiqua" w:hAnsi="Book Antiqua"/>
          <w:color w:val="auto"/>
          <w:sz w:val="24"/>
        </w:rPr>
        <w:t xml:space="preserve">. The relative frequency of each BTC subtype is provided in Table 1, along with the stereotypical risk factors, clinical features, and diagnostic studies that are commonly utilized. </w:t>
      </w:r>
    </w:p>
    <w:p w:rsidR="00E25F9B" w:rsidRPr="00100F3A" w:rsidRDefault="00CF6F81" w:rsidP="00AA43C5">
      <w:pPr>
        <w:spacing w:after="120" w:line="360" w:lineRule="auto"/>
        <w:ind w:firstLine="720"/>
        <w:jc w:val="both"/>
        <w:rPr>
          <w:rFonts w:ascii="Book Antiqua" w:hAnsi="Book Antiqua"/>
          <w:color w:val="auto"/>
          <w:sz w:val="24"/>
        </w:rPr>
      </w:pPr>
      <w:r w:rsidRPr="00100F3A">
        <w:rPr>
          <w:rFonts w:ascii="Book Antiqua" w:eastAsia="Times New Roman" w:hAnsi="Book Antiqua"/>
          <w:color w:val="auto"/>
          <w:sz w:val="24"/>
        </w:rPr>
        <w:t>When patients present with a localized biliary tumor that has not macroscopically invaded the adjacent vasculature, surgical resection may be attempted with curative intent</w:t>
      </w:r>
      <w:r w:rsidR="00AA43C5" w:rsidRPr="00AA43C5">
        <w:rPr>
          <w:rFonts w:ascii="Book Antiqua" w:eastAsia="Times New Roman" w:hAnsi="Book Antiqua"/>
          <w:color w:val="auto"/>
          <w:sz w:val="24"/>
          <w:vertAlign w:val="superscript"/>
        </w:rPr>
        <w:t>[</w:t>
      </w:r>
      <w:r w:rsidRPr="00100F3A">
        <w:rPr>
          <w:rFonts w:ascii="Book Antiqua" w:hAnsi="Book Antiqua"/>
          <w:color w:val="auto"/>
          <w:sz w:val="24"/>
          <w:vertAlign w:val="superscript"/>
        </w:rPr>
        <w:t>3]</w:t>
      </w:r>
      <w:r w:rsidRPr="00100F3A">
        <w:rPr>
          <w:rFonts w:ascii="Book Antiqua" w:hAnsi="Book Antiqua"/>
          <w:color w:val="auto"/>
          <w:sz w:val="24"/>
        </w:rPr>
        <w:t>. However, even patients who receive an R0 resection will often experience recurrence of their disease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4]</w:t>
      </w:r>
      <w:r w:rsidRPr="00100F3A">
        <w:rPr>
          <w:rFonts w:ascii="Book Antiqua" w:hAnsi="Book Antiqua"/>
          <w:color w:val="auto"/>
          <w:sz w:val="24"/>
        </w:rPr>
        <w:t>. The management of patients with recurrent tumor, as well as those with locally advanced or metastatic disease at presentation, consists of locoregional treatments, systemic chemotherapy, and symptomatic control</w:t>
      </w:r>
      <w:r w:rsidR="00AA43C5">
        <w:rPr>
          <w:rFonts w:ascii="Book Antiqua" w:hAnsi="Book Antiqua" w:hint="eastAsia"/>
          <w:color w:val="auto"/>
          <w:sz w:val="24"/>
          <w:lang w:eastAsia="zh-CN"/>
        </w:rPr>
        <w:t xml:space="preserve"> (T</w:t>
      </w:r>
      <w:r w:rsidR="00AA43C5">
        <w:rPr>
          <w:rFonts w:ascii="Book Antiqua" w:hAnsi="Book Antiqua"/>
          <w:color w:val="auto"/>
          <w:sz w:val="24"/>
          <w:lang w:eastAsia="zh-CN"/>
        </w:rPr>
        <w:t>able</w:t>
      </w:r>
      <w:r w:rsidR="00AA43C5">
        <w:rPr>
          <w:rFonts w:ascii="Book Antiqua" w:hAnsi="Book Antiqua" w:hint="eastAsia"/>
          <w:color w:val="auto"/>
          <w:sz w:val="24"/>
          <w:lang w:eastAsia="zh-CN"/>
        </w:rPr>
        <w:t xml:space="preserve"> 1)</w:t>
      </w:r>
      <w:r w:rsidRPr="00100F3A">
        <w:rPr>
          <w:rFonts w:ascii="Book Antiqua" w:hAnsi="Book Antiqua"/>
          <w:color w:val="auto"/>
          <w:sz w:val="24"/>
        </w:rPr>
        <w:t xml:space="preserve">. </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hAnsi="Book Antiqua"/>
          <w:color w:val="auto"/>
          <w:sz w:val="24"/>
        </w:rPr>
        <w:t>For patients with BTC that is locally advanced or metastatic, the current standard of care involves a combination of gemcitabine and cisplatin</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AA43C5">
        <w:rPr>
          <w:rFonts w:ascii="Book Antiqua" w:hAnsi="Book Antiqua"/>
          <w:color w:val="auto"/>
          <w:sz w:val="24"/>
        </w:rPr>
        <w:t xml:space="preserve">. </w:t>
      </w:r>
      <w:r w:rsidRPr="00100F3A">
        <w:rPr>
          <w:rFonts w:ascii="Book Antiqua" w:hAnsi="Book Antiqua"/>
          <w:color w:val="auto"/>
          <w:sz w:val="24"/>
        </w:rPr>
        <w:t>Alternative regimens that are employed against GBC, intrahepatic cholangiocarcinoma (IHCC), and extrahepatic cholangiocarcinoma (EHCC) include GEMOX (gemcitabine and oxaliplatin), CAPOX (capecitabine and oxaliplatin), and monotherapy with either gemcitabine, capecitabine, or 5-fluorouracil</w:t>
      </w:r>
      <w:r w:rsidR="00AA43C5" w:rsidRPr="00AA43C5">
        <w:rPr>
          <w:rFonts w:ascii="Book Antiqua" w:hAnsi="Book Antiqua"/>
          <w:color w:val="auto"/>
          <w:sz w:val="24"/>
          <w:vertAlign w:val="superscript"/>
        </w:rPr>
        <w:t>[</w:t>
      </w:r>
      <w:r w:rsidR="00AA43C5">
        <w:rPr>
          <w:rFonts w:ascii="Book Antiqua" w:hAnsi="Book Antiqua"/>
          <w:color w:val="auto"/>
          <w:sz w:val="24"/>
          <w:vertAlign w:val="superscript"/>
        </w:rPr>
        <w:t>2,</w:t>
      </w:r>
      <w:r w:rsidRPr="00100F3A">
        <w:rPr>
          <w:rFonts w:ascii="Book Antiqua" w:hAnsi="Book Antiqua"/>
          <w:color w:val="auto"/>
          <w:sz w:val="24"/>
          <w:vertAlign w:val="superscript"/>
        </w:rPr>
        <w:t>3]</w:t>
      </w:r>
      <w:r w:rsidRPr="00100F3A">
        <w:rPr>
          <w:rFonts w:ascii="Book Antiqua" w:hAnsi="Book Antiqua"/>
          <w:color w:val="auto"/>
          <w:sz w:val="24"/>
        </w:rPr>
        <w:t xml:space="preserve">. </w:t>
      </w:r>
      <w:r w:rsidRPr="00100F3A">
        <w:rPr>
          <w:rFonts w:ascii="Book Antiqua" w:eastAsia="Times New Roman" w:hAnsi="Book Antiqua"/>
          <w:color w:val="auto"/>
          <w:sz w:val="24"/>
        </w:rPr>
        <w:t>Despite these interventions, the clinical outcomes of patients with BTC are generally poor. Five years after diagnosis, approximately 1</w:t>
      </w:r>
      <w:r w:rsidR="00AB3D89">
        <w:rPr>
          <w:rFonts w:ascii="Book Antiqua" w:eastAsia="Times New Roman" w:hAnsi="Book Antiqua"/>
          <w:color w:val="auto"/>
          <w:sz w:val="24"/>
        </w:rPr>
        <w:t>8</w:t>
      </w:r>
      <w:r w:rsidRPr="00100F3A">
        <w:rPr>
          <w:rFonts w:ascii="Book Antiqua" w:eastAsia="Times New Roman" w:hAnsi="Book Antiqua"/>
          <w:color w:val="auto"/>
          <w:sz w:val="24"/>
        </w:rPr>
        <w:t>% of patients with GBC or CC remain alive</w:t>
      </w:r>
      <w:r w:rsidR="00AA43C5" w:rsidRPr="00AA43C5">
        <w:rPr>
          <w:rFonts w:ascii="Book Antiqua" w:eastAsia="Times New Roman" w:hAnsi="Book Antiqua"/>
          <w:color w:val="auto"/>
          <w:sz w:val="24"/>
          <w:vertAlign w:val="superscript"/>
        </w:rPr>
        <w:t>[</w:t>
      </w:r>
      <w:r w:rsidRPr="00100F3A">
        <w:rPr>
          <w:rFonts w:ascii="Book Antiqua" w:hAnsi="Book Antiqua"/>
          <w:color w:val="auto"/>
          <w:sz w:val="24"/>
          <w:vertAlign w:val="superscript"/>
        </w:rPr>
        <w:t>6]</w:t>
      </w:r>
      <w:r w:rsidRPr="00100F3A">
        <w:rPr>
          <w:rFonts w:ascii="Book Antiqua" w:hAnsi="Book Antiqua"/>
          <w:color w:val="auto"/>
          <w:sz w:val="24"/>
        </w:rPr>
        <w:t>. Patients with stage III or IV disease at initial presentation seldom survive longer than one year following diagnosis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Pr="00100F3A">
        <w:rPr>
          <w:rFonts w:ascii="Book Antiqua" w:hAnsi="Book Antiqua"/>
          <w:color w:val="auto"/>
          <w:sz w:val="24"/>
        </w:rPr>
        <w:t xml:space="preserve">. The recent development of targeted therapeutics directed against the pathways that drive biliary tumor development and growth provides additional treatment options. These targeted </w:t>
      </w:r>
      <w:r w:rsidRPr="00100F3A">
        <w:rPr>
          <w:rFonts w:ascii="Book Antiqua" w:hAnsi="Book Antiqua"/>
          <w:color w:val="auto"/>
          <w:sz w:val="24"/>
        </w:rPr>
        <w:lastRenderedPageBreak/>
        <w:t xml:space="preserve">therapies tend to be selective for the malignant cells, thus potentially improving the efficacy and tolerability of treatment. </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eastAsia="Times New Roman" w:hAnsi="Book Antiqua"/>
          <w:color w:val="auto"/>
          <w:sz w:val="24"/>
        </w:rPr>
        <w:t xml:space="preserve">Genetic studies of BTC have shed new insights upon the pathogenic mechanisms of this disease and the signaling pathways that drive its progression. Multiple elements of these pathways have been identified </w:t>
      </w:r>
      <w:r w:rsidRPr="00100F3A">
        <w:rPr>
          <w:rFonts w:ascii="Book Antiqua" w:hAnsi="Book Antiqua"/>
          <w:color w:val="auto"/>
          <w:sz w:val="24"/>
        </w:rPr>
        <w:t xml:space="preserve">and targeted by this new generation of therapeutics. In this article, we provide an updated review of the molecular genetics of CC and GBC.  The pathogenesis and cellular patho-physiology of these malignancies are described, with emphasis on those molecular abnormalities that could be targeted for intervention.  The mechanism of action of each targeted agent under investigation for treating BTC is discussed, as well as data from pre-clinical and clinical studies. Ongoing clinical trials of these molecularly targeted agents in BTC are also presented.  We hope this article will help stimulate further research with the goal of developing precision treatment for patients with this malignant disease.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Bold" w:hAnsi="Book Antiqua"/>
          <w:color w:val="auto"/>
          <w:sz w:val="24"/>
        </w:rPr>
      </w:pPr>
      <w:r w:rsidRPr="00100F3A">
        <w:rPr>
          <w:rFonts w:ascii="Book Antiqua" w:hAnsi="Book Antiqua"/>
          <w:b/>
          <w:color w:val="auto"/>
          <w:sz w:val="24"/>
        </w:rPr>
        <w:t>PATHOGENESIS OF BILIARY TRACT CARCINOMA</w:t>
      </w:r>
    </w:p>
    <w:p w:rsidR="00E25F9B" w:rsidRPr="00100F3A" w:rsidRDefault="00CF6F81" w:rsidP="00AA43C5">
      <w:pPr>
        <w:pStyle w:val="BodyTextIndent2"/>
        <w:spacing w:line="360" w:lineRule="auto"/>
        <w:ind w:firstLine="0"/>
        <w:jc w:val="both"/>
        <w:rPr>
          <w:rFonts w:ascii="Book Antiqua" w:hAnsi="Book Antiqua"/>
          <w:color w:val="auto"/>
          <w:sz w:val="24"/>
        </w:rPr>
      </w:pPr>
      <w:r w:rsidRPr="00100F3A">
        <w:rPr>
          <w:rFonts w:ascii="Book Antiqua" w:hAnsi="Book Antiqua"/>
          <w:color w:val="auto"/>
          <w:sz w:val="24"/>
        </w:rPr>
        <w:t>Understanding the pathogenetic mechanism that underlies the development of biliary tumors is important for determining the significance of the molecular alterations that occur in this disease and thereby directs the development of targeted therapeutics. Both CC and GBC arise from malignant transformation of biliary epithelium, typically occurring in the setting of chronic inflammation. These cancers may also arise from macroscopic polypous adenomas that exist within the gallbladder or bile ducts of approximately 0.3</w:t>
      </w:r>
      <w:r w:rsidR="00AA43C5">
        <w:rPr>
          <w:rFonts w:ascii="Book Antiqua" w:hAnsi="Book Antiqua" w:hint="eastAsia"/>
          <w:color w:val="auto"/>
          <w:sz w:val="24"/>
          <w:lang w:eastAsia="zh-CN"/>
        </w:rPr>
        <w:t>%</w:t>
      </w:r>
      <w:r w:rsidRPr="00100F3A">
        <w:rPr>
          <w:rFonts w:ascii="Book Antiqua" w:hAnsi="Book Antiqua"/>
          <w:color w:val="auto"/>
          <w:sz w:val="24"/>
        </w:rPr>
        <w:t>-0.5% of the population</w:t>
      </w:r>
      <w:r w:rsidR="00AA43C5" w:rsidRPr="00AA43C5">
        <w:rPr>
          <w:rFonts w:ascii="Book Antiqua" w:hAnsi="Book Antiqua"/>
          <w:color w:val="auto"/>
          <w:sz w:val="24"/>
          <w:vertAlign w:val="superscript"/>
        </w:rPr>
        <w:t>[</w:t>
      </w:r>
      <w:r w:rsidR="00863C08" w:rsidRPr="00100F3A">
        <w:rPr>
          <w:rFonts w:ascii="Book Antiqua" w:hAnsi="Book Antiqua"/>
          <w:color w:val="auto"/>
          <w:sz w:val="24"/>
          <w:vertAlign w:val="superscript"/>
        </w:rPr>
        <w:t>7]</w:t>
      </w:r>
      <w:r w:rsidRPr="00100F3A">
        <w:rPr>
          <w:rFonts w:ascii="Book Antiqua" w:hAnsi="Book Antiqua"/>
          <w:color w:val="auto"/>
          <w:sz w:val="24"/>
        </w:rPr>
        <w:t xml:space="preserve">. The precise rate at which these lesions transform into BTC is not known, but is believed to be low. </w:t>
      </w:r>
    </w:p>
    <w:p w:rsidR="00E25F9B" w:rsidRPr="00100F3A" w:rsidRDefault="00CF6F81" w:rsidP="00AA43C5">
      <w:pPr>
        <w:pStyle w:val="BodyTextIndent2"/>
        <w:spacing w:line="360" w:lineRule="auto"/>
        <w:jc w:val="both"/>
        <w:rPr>
          <w:rFonts w:ascii="Book Antiqua" w:hAnsi="Book Antiqua"/>
          <w:color w:val="auto"/>
          <w:sz w:val="24"/>
        </w:rPr>
      </w:pPr>
      <w:r w:rsidRPr="00100F3A">
        <w:rPr>
          <w:rFonts w:ascii="Book Antiqua" w:hAnsi="Book Antiqua"/>
          <w:color w:val="auto"/>
          <w:sz w:val="24"/>
        </w:rPr>
        <w:t>Aside from these fundamental similarities, the processes by which CC</w:t>
      </w:r>
      <w:r w:rsidR="00B80E77" w:rsidRPr="00100F3A">
        <w:rPr>
          <w:rFonts w:ascii="Book Antiqua" w:hAnsi="Book Antiqua"/>
          <w:color w:val="auto"/>
          <w:sz w:val="24"/>
        </w:rPr>
        <w:t xml:space="preserve"> </w:t>
      </w:r>
      <w:r w:rsidRPr="00100F3A">
        <w:rPr>
          <w:rFonts w:ascii="Book Antiqua" w:hAnsi="Book Antiqua"/>
          <w:color w:val="auto"/>
          <w:sz w:val="24"/>
        </w:rPr>
        <w:t xml:space="preserve">and GBC develop are disparate. The molecular and histological pathogenesis of these malignancies </w:t>
      </w:r>
      <w:r w:rsidR="00AA43C5" w:rsidRPr="00100F3A">
        <w:rPr>
          <w:rFonts w:ascii="Book Antiqua" w:hAnsi="Book Antiqua"/>
          <w:color w:val="auto"/>
          <w:sz w:val="24"/>
        </w:rPr>
        <w:t>is</w:t>
      </w:r>
      <w:r w:rsidRPr="00100F3A">
        <w:rPr>
          <w:rFonts w:ascii="Book Antiqua" w:hAnsi="Book Antiqua"/>
          <w:color w:val="auto"/>
          <w:sz w:val="24"/>
        </w:rPr>
        <w:t xml:space="preserve"> described separately. A schematic diagram that represents these processes is provided in Figure 1. </w:t>
      </w:r>
    </w:p>
    <w:p w:rsidR="00E25F9B" w:rsidRPr="00100F3A" w:rsidRDefault="00CF6F81" w:rsidP="00AA43C5">
      <w:pPr>
        <w:spacing w:line="360" w:lineRule="auto"/>
        <w:jc w:val="both"/>
        <w:rPr>
          <w:rFonts w:ascii="Book Antiqua" w:eastAsia="Times New Roman" w:hAnsi="Book Antiqua"/>
          <w:b/>
          <w:i/>
          <w:color w:val="auto"/>
          <w:sz w:val="24"/>
        </w:rPr>
      </w:pPr>
      <w:r w:rsidRPr="00100F3A">
        <w:rPr>
          <w:rFonts w:ascii="Book Antiqua" w:hAnsi="Book Antiqua"/>
          <w:color w:val="auto"/>
          <w:sz w:val="24"/>
        </w:rPr>
        <w:br w:type="page"/>
      </w:r>
      <w:r w:rsidRPr="00100F3A">
        <w:rPr>
          <w:rFonts w:ascii="Book Antiqua" w:hAnsi="Book Antiqua"/>
          <w:b/>
          <w:i/>
          <w:color w:val="auto"/>
          <w:sz w:val="24"/>
        </w:rPr>
        <w:lastRenderedPageBreak/>
        <w:t>Cholangiocarcinoma</w:t>
      </w:r>
    </w:p>
    <w:p w:rsidR="00E25F9B" w:rsidRPr="00100F3A" w:rsidRDefault="00CF6F81" w:rsidP="00AA43C5">
      <w:pPr>
        <w:spacing w:line="360" w:lineRule="auto"/>
        <w:jc w:val="both"/>
        <w:rPr>
          <w:rFonts w:ascii="Book Antiqua" w:eastAsia="Times New Roman" w:hAnsi="Book Antiqua"/>
          <w:color w:val="auto"/>
          <w:sz w:val="24"/>
        </w:rPr>
      </w:pPr>
      <w:r w:rsidRPr="00100F3A">
        <w:rPr>
          <w:rFonts w:ascii="Book Antiqua" w:eastAsia="Times New Roman" w:hAnsi="Book Antiqua"/>
          <w:color w:val="auto"/>
          <w:sz w:val="24"/>
        </w:rPr>
        <w:t>CC</w:t>
      </w:r>
      <w:r w:rsidR="00D14B93">
        <w:rPr>
          <w:rFonts w:ascii="Book Antiqua" w:eastAsia="Times New Roman" w:hAnsi="Book Antiqua"/>
          <w:color w:val="auto"/>
          <w:sz w:val="24"/>
        </w:rPr>
        <w:t xml:space="preserve"> </w:t>
      </w:r>
      <w:r w:rsidRPr="00100F3A">
        <w:rPr>
          <w:rFonts w:ascii="Book Antiqua" w:eastAsia="Times New Roman" w:hAnsi="Book Antiqua"/>
          <w:color w:val="auto"/>
          <w:sz w:val="24"/>
        </w:rPr>
        <w:t>generally develops from two distinct types of precursor lesions, biliary intraepithelial neoplasm (BilIN) and intraductal papillary neoplasm of the bile duct (IPNB)</w:t>
      </w:r>
      <w:r w:rsidR="00AA43C5" w:rsidRPr="00AA43C5">
        <w:rPr>
          <w:rFonts w:ascii="Book Antiqua" w:eastAsia="Times New Roman" w:hAnsi="Book Antiqua"/>
          <w:color w:val="auto"/>
          <w:sz w:val="24"/>
          <w:vertAlign w:val="superscript"/>
        </w:rPr>
        <w:t>[</w:t>
      </w:r>
      <w:r w:rsidR="00696C26" w:rsidRPr="00100F3A">
        <w:rPr>
          <w:rFonts w:ascii="Book Antiqua" w:eastAsia="Times New Roman"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From a molecular and histologic perspective, these lesions are very similar to pancreatic intraepithelial neoplasm (PanIN) and intraductal papillary mucinous neoplasm (IPMN) – two precursors of pancreatic adenocarcinoma</w:t>
      </w:r>
      <w:r w:rsidR="00AA43C5" w:rsidRPr="00AA43C5">
        <w:rPr>
          <w:rFonts w:ascii="Book Antiqua" w:hAnsi="Book Antiqua"/>
          <w:color w:val="auto"/>
          <w:sz w:val="24"/>
          <w:vertAlign w:val="superscript"/>
        </w:rPr>
        <w:t>[</w:t>
      </w:r>
      <w:r w:rsidR="00696C26" w:rsidRPr="00100F3A">
        <w:rPr>
          <w:rFonts w:ascii="Book Antiqua" w:hAnsi="Book Antiqua"/>
          <w:color w:val="auto"/>
          <w:sz w:val="24"/>
          <w:vertAlign w:val="superscript"/>
        </w:rPr>
        <w:t>8</w:t>
      </w:r>
      <w:r w:rsidR="00AA43C5">
        <w:rPr>
          <w:rFonts w:ascii="Book Antiqua" w:hAnsi="Book Antiqua"/>
          <w:color w:val="auto"/>
          <w:sz w:val="24"/>
          <w:vertAlign w:val="superscript"/>
        </w:rPr>
        <w:t>,</w:t>
      </w:r>
      <w:r w:rsidR="00696C26"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00AA43C5">
        <w:rPr>
          <w:rFonts w:ascii="Book Antiqua" w:hAnsi="Book Antiqua"/>
          <w:color w:val="auto"/>
          <w:sz w:val="24"/>
        </w:rPr>
        <w:t xml:space="preserve">. </w:t>
      </w:r>
      <w:r w:rsidRPr="00100F3A">
        <w:rPr>
          <w:rFonts w:ascii="Book Antiqua" w:hAnsi="Book Antiqua"/>
          <w:color w:val="auto"/>
          <w:sz w:val="24"/>
        </w:rPr>
        <w:t>The similarities between pancreatic and biliary lesions have been exploited for developing a model of cholangiocarcinogenesis.  Since CC</w:t>
      </w:r>
      <w:r w:rsidR="00B80E77" w:rsidRPr="00100F3A">
        <w:rPr>
          <w:rFonts w:ascii="Book Antiqua" w:hAnsi="Book Antiqua"/>
          <w:color w:val="auto"/>
          <w:sz w:val="24"/>
        </w:rPr>
        <w:t xml:space="preserve"> </w:t>
      </w:r>
      <w:r w:rsidRPr="00100F3A">
        <w:rPr>
          <w:rFonts w:ascii="Book Antiqua" w:hAnsi="Book Antiqua"/>
          <w:color w:val="auto"/>
          <w:sz w:val="24"/>
        </w:rPr>
        <w:t xml:space="preserve">is seldom discovered early in its development, there is limited data on its pathogenesis. Therefore, data obtained from studies of pancreatic adenocarcinoma have been used to generate working models of BTC. </w:t>
      </w:r>
    </w:p>
    <w:p w:rsidR="00E25F9B" w:rsidRPr="00100F3A" w:rsidRDefault="00CF6F81" w:rsidP="00AA43C5">
      <w:pPr>
        <w:spacing w:line="360" w:lineRule="auto"/>
        <w:jc w:val="both"/>
        <w:rPr>
          <w:rFonts w:ascii="Book Antiqua" w:eastAsia="Times New Roman" w:hAnsi="Book Antiqua"/>
          <w:color w:val="auto"/>
          <w:sz w:val="24"/>
        </w:rPr>
      </w:pPr>
      <w:r w:rsidRPr="00100F3A">
        <w:rPr>
          <w:rFonts w:ascii="Book Antiqua" w:eastAsia="Times New Roman" w:hAnsi="Book Antiqua"/>
          <w:color w:val="auto"/>
          <w:sz w:val="24"/>
        </w:rPr>
        <w:tab/>
        <w:t>The more common of the precursor lesions, BilIN, is a microscopic papillary proliferation of atypical biliary epithelia. These lesions are discovered almost exclusively in the large bile ducts and typically give rise to EHCC</w:t>
      </w:r>
      <w:r w:rsidR="00AA43C5" w:rsidRPr="00AA43C5">
        <w:rPr>
          <w:rFonts w:ascii="Book Antiqua" w:eastAsia="Times New Roman" w:hAnsi="Book Antiqua"/>
          <w:color w:val="auto"/>
          <w:sz w:val="24"/>
          <w:vertAlign w:val="superscript"/>
        </w:rPr>
        <w:t>[</w:t>
      </w:r>
      <w:r w:rsidR="00696C26" w:rsidRPr="00100F3A">
        <w:rPr>
          <w:rFonts w:ascii="Book Antiqua" w:eastAsia="Times New Roman" w:hAnsi="Book Antiqua"/>
          <w:color w:val="auto"/>
          <w:sz w:val="24"/>
          <w:vertAlign w:val="superscript"/>
        </w:rPr>
        <w:t>8</w:t>
      </w:r>
      <w:r w:rsidRPr="00100F3A">
        <w:rPr>
          <w:rFonts w:ascii="Book Antiqua" w:eastAsia="Times New Roman" w:hAnsi="Book Antiqua"/>
          <w:color w:val="auto"/>
          <w:sz w:val="24"/>
          <w:vertAlign w:val="superscript"/>
        </w:rPr>
        <w:t>]</w:t>
      </w:r>
      <w:r w:rsidRPr="00100F3A">
        <w:rPr>
          <w:rFonts w:ascii="Book Antiqua" w:eastAsia="Times New Roman" w:hAnsi="Book Antiqua"/>
          <w:color w:val="auto"/>
          <w:sz w:val="24"/>
        </w:rPr>
        <w:t>. Histologically, BilIN is graded from I to III on the basis of cellular atypia and loss of polarity, much like PanIN lesions</w:t>
      </w:r>
      <w:r w:rsidR="00AA43C5" w:rsidRPr="00AA43C5">
        <w:rPr>
          <w:rFonts w:ascii="Book Antiqua" w:eastAsia="Times New Roman" w:hAnsi="Book Antiqua"/>
          <w:color w:val="auto"/>
          <w:sz w:val="24"/>
          <w:vertAlign w:val="superscript"/>
        </w:rPr>
        <w:t>[</w:t>
      </w:r>
      <w:r w:rsidR="00696C26" w:rsidRPr="00100F3A">
        <w:rPr>
          <w:rFonts w:ascii="Book Antiqua" w:eastAsia="Times New Roman" w:hAnsi="Book Antiqua"/>
          <w:color w:val="auto"/>
          <w:sz w:val="24"/>
          <w:vertAlign w:val="superscript"/>
        </w:rPr>
        <w:t>10</w:t>
      </w:r>
      <w:r w:rsidRPr="00100F3A">
        <w:rPr>
          <w:rFonts w:ascii="Book Antiqua" w:hAnsi="Book Antiqua"/>
          <w:color w:val="auto"/>
          <w:sz w:val="24"/>
          <w:vertAlign w:val="superscript"/>
        </w:rPr>
        <w:t>]</w:t>
      </w:r>
      <w:r w:rsidRPr="00100F3A">
        <w:rPr>
          <w:rFonts w:ascii="Book Antiqua" w:hAnsi="Book Antiqua"/>
          <w:color w:val="auto"/>
          <w:sz w:val="24"/>
        </w:rPr>
        <w:t>. The initial stages of BilIN development often occur in the setting of chronic inflammation, where inflammatory cytokines stimulate expression of inducible nitric oxide synthase (iNOS) and cyclooxygenase-2 (COX2)</w:t>
      </w:r>
      <w:r w:rsidR="00AA43C5" w:rsidRPr="00AA43C5">
        <w:rPr>
          <w:rFonts w:ascii="Book Antiqua" w:hAnsi="Book Antiqua"/>
          <w:color w:val="auto"/>
          <w:sz w:val="24"/>
          <w:vertAlign w:val="superscript"/>
        </w:rPr>
        <w:t>[</w:t>
      </w:r>
      <w:r w:rsidR="009D686C">
        <w:rPr>
          <w:rFonts w:ascii="Book Antiqua" w:hAnsi="Book Antiqua"/>
          <w:color w:val="auto"/>
          <w:sz w:val="24"/>
          <w:vertAlign w:val="superscript"/>
        </w:rPr>
        <w:t>11,</w:t>
      </w:r>
      <w:r w:rsidR="00696C26" w:rsidRPr="00100F3A">
        <w:rPr>
          <w:rFonts w:ascii="Book Antiqua" w:hAnsi="Book Antiqua"/>
          <w:color w:val="auto"/>
          <w:sz w:val="24"/>
          <w:vertAlign w:val="superscript"/>
        </w:rPr>
        <w:t>12</w:t>
      </w:r>
      <w:r w:rsidRPr="00100F3A">
        <w:rPr>
          <w:rFonts w:ascii="Book Antiqua" w:hAnsi="Book Antiqua"/>
          <w:color w:val="auto"/>
          <w:sz w:val="24"/>
          <w:vertAlign w:val="superscript"/>
        </w:rPr>
        <w:t>]</w:t>
      </w:r>
      <w:r w:rsidRPr="00100F3A">
        <w:rPr>
          <w:rFonts w:ascii="Book Antiqua" w:hAnsi="Book Antiqua"/>
          <w:color w:val="auto"/>
          <w:sz w:val="24"/>
        </w:rPr>
        <w:t>. Nitric oxide, produced by iNOS, causes oxidative damage to DNA and limits the cellular ability to repair such damage</w:t>
      </w:r>
      <w:r w:rsidR="00AA43C5" w:rsidRPr="00AA43C5">
        <w:rPr>
          <w:rFonts w:ascii="Book Antiqua" w:hAnsi="Book Antiqua"/>
          <w:color w:val="auto"/>
          <w:sz w:val="24"/>
          <w:vertAlign w:val="superscript"/>
        </w:rPr>
        <w:t>[</w:t>
      </w:r>
      <w:r w:rsidR="00696C26" w:rsidRPr="00100F3A">
        <w:rPr>
          <w:rFonts w:ascii="Book Antiqua" w:hAnsi="Book Antiqua"/>
          <w:color w:val="auto"/>
          <w:sz w:val="24"/>
          <w:vertAlign w:val="superscript"/>
        </w:rPr>
        <w:t>11</w:t>
      </w:r>
      <w:r w:rsidRPr="00100F3A">
        <w:rPr>
          <w:rFonts w:ascii="Book Antiqua" w:hAnsi="Book Antiqua"/>
          <w:color w:val="auto"/>
          <w:sz w:val="24"/>
          <w:vertAlign w:val="superscript"/>
        </w:rPr>
        <w:t>]</w:t>
      </w:r>
      <w:r w:rsidR="00AA43C5">
        <w:rPr>
          <w:rFonts w:ascii="Book Antiqua" w:hAnsi="Book Antiqua"/>
          <w:color w:val="auto"/>
          <w:sz w:val="24"/>
        </w:rPr>
        <w:t>.</w:t>
      </w:r>
      <w:r w:rsidRPr="00100F3A">
        <w:rPr>
          <w:rFonts w:ascii="Book Antiqua" w:hAnsi="Book Antiqua"/>
          <w:color w:val="auto"/>
          <w:sz w:val="24"/>
        </w:rPr>
        <w:t xml:space="preserve"> This is further compounded by over-expression of COX2, which drives cellular growth by synthesizing prostaglandin E2 (PGE2)</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696C26" w:rsidRPr="00100F3A">
        <w:rPr>
          <w:rFonts w:ascii="Book Antiqua" w:hAnsi="Book Antiqua"/>
          <w:color w:val="auto"/>
          <w:sz w:val="24"/>
          <w:vertAlign w:val="superscript"/>
        </w:rPr>
        <w:t>3</w:t>
      </w:r>
      <w:r w:rsidRPr="00100F3A">
        <w:rPr>
          <w:rFonts w:ascii="Book Antiqua" w:hAnsi="Book Antiqua"/>
          <w:color w:val="auto"/>
          <w:sz w:val="24"/>
          <w:vertAlign w:val="superscript"/>
        </w:rPr>
        <w:t>]</w:t>
      </w:r>
      <w:r w:rsidRPr="00100F3A">
        <w:rPr>
          <w:rFonts w:ascii="Book Antiqua" w:hAnsi="Book Antiqua"/>
          <w:color w:val="auto"/>
          <w:sz w:val="24"/>
        </w:rPr>
        <w:t xml:space="preserve">. </w:t>
      </w:r>
      <w:r w:rsidRPr="00100F3A">
        <w:rPr>
          <w:rFonts w:ascii="Book Antiqua" w:eastAsia="Times New Roman" w:hAnsi="Book Antiqua"/>
          <w:color w:val="auto"/>
          <w:sz w:val="24"/>
        </w:rPr>
        <w:t>As the lesion advances from BilIN1 to BilIN3, additional genetic and molecular abnormalities accumulate. Increased expression of mucin core protein 5AC (MUC5AC), p21</w:t>
      </w:r>
      <w:r w:rsidRPr="00100F3A">
        <w:rPr>
          <w:rFonts w:ascii="Book Antiqua" w:eastAsia="Times New Roman" w:hAnsi="Book Antiqua"/>
          <w:color w:val="auto"/>
          <w:sz w:val="24"/>
          <w:vertAlign w:val="superscript"/>
        </w:rPr>
        <w:t>CDKN2A</w:t>
      </w:r>
      <w:r w:rsidRPr="00100F3A">
        <w:rPr>
          <w:rFonts w:ascii="Book Antiqua" w:eastAsia="Times New Roman" w:hAnsi="Book Antiqua"/>
          <w:color w:val="auto"/>
          <w:sz w:val="24"/>
        </w:rPr>
        <w:t>, and S100p is generally observed during this progression</w:t>
      </w:r>
      <w:r w:rsidR="00AA43C5" w:rsidRPr="00AA43C5">
        <w:rPr>
          <w:rFonts w:ascii="Book Antiqua" w:eastAsia="Times New Roman" w:hAnsi="Book Antiqua"/>
          <w:color w:val="auto"/>
          <w:sz w:val="24"/>
          <w:vertAlign w:val="superscript"/>
        </w:rPr>
        <w:t>[</w:t>
      </w:r>
      <w:r w:rsidRPr="00100F3A">
        <w:rPr>
          <w:rFonts w:ascii="Book Antiqua" w:hAnsi="Book Antiqua"/>
          <w:color w:val="auto"/>
          <w:sz w:val="24"/>
          <w:vertAlign w:val="superscript"/>
        </w:rPr>
        <w:t>1</w:t>
      </w:r>
      <w:r w:rsidR="00696C26" w:rsidRPr="00100F3A">
        <w:rPr>
          <w:rFonts w:ascii="Book Antiqua" w:hAnsi="Book Antiqua"/>
          <w:color w:val="auto"/>
          <w:sz w:val="24"/>
          <w:vertAlign w:val="superscript"/>
        </w:rPr>
        <w:t>4</w:t>
      </w:r>
      <w:r w:rsidRPr="00100F3A">
        <w:rPr>
          <w:rFonts w:ascii="Book Antiqua" w:hAnsi="Book Antiqua"/>
          <w:color w:val="auto"/>
          <w:sz w:val="24"/>
          <w:vertAlign w:val="superscript"/>
        </w:rPr>
        <w:t>]</w:t>
      </w:r>
      <w:r w:rsidRPr="00100F3A">
        <w:rPr>
          <w:rFonts w:ascii="Book Antiqua" w:hAnsi="Book Antiqua"/>
          <w:color w:val="auto"/>
          <w:sz w:val="24"/>
        </w:rPr>
        <w:t>. On the other hand, the tumor suppressor p16</w:t>
      </w:r>
      <w:r w:rsidRPr="00100F3A">
        <w:rPr>
          <w:rFonts w:ascii="Book Antiqua" w:hAnsi="Book Antiqua"/>
          <w:color w:val="auto"/>
          <w:sz w:val="24"/>
          <w:vertAlign w:val="superscript"/>
        </w:rPr>
        <w:t>INK4A</w:t>
      </w:r>
      <w:r w:rsidRPr="00100F3A">
        <w:rPr>
          <w:rFonts w:ascii="Book Antiqua" w:hAnsi="Book Antiqua"/>
          <w:color w:val="auto"/>
          <w:sz w:val="24"/>
        </w:rPr>
        <w:t xml:space="preserve"> is markedly decreased in advanced BilIN and CC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696C26" w:rsidRPr="00100F3A">
        <w:rPr>
          <w:rFonts w:ascii="Book Antiqua" w:hAnsi="Book Antiqua"/>
          <w:color w:val="auto"/>
          <w:sz w:val="24"/>
          <w:vertAlign w:val="superscript"/>
        </w:rPr>
        <w:t>4</w:t>
      </w:r>
      <w:r w:rsidRPr="00100F3A">
        <w:rPr>
          <w:rFonts w:ascii="Book Antiqua" w:hAnsi="Book Antiqua"/>
          <w:color w:val="auto"/>
          <w:sz w:val="24"/>
          <w:vertAlign w:val="superscript"/>
        </w:rPr>
        <w:t>]</w:t>
      </w:r>
      <w:r w:rsidRPr="00100F3A">
        <w:rPr>
          <w:rFonts w:ascii="Book Antiqua" w:hAnsi="Book Antiqua"/>
          <w:color w:val="auto"/>
          <w:sz w:val="24"/>
        </w:rPr>
        <w:t xml:space="preserve">.  Similar abnormalities of p21 and p16 are observed in the progression of PanIN, with the exception of pancreatic lesions being more likely to also harbor </w:t>
      </w:r>
      <w:r w:rsidRPr="00100F3A">
        <w:rPr>
          <w:rFonts w:ascii="Book Antiqua" w:hAnsi="Book Antiqua"/>
          <w:i/>
          <w:color w:val="auto"/>
          <w:sz w:val="24"/>
        </w:rPr>
        <w:t>KRAS</w:t>
      </w:r>
      <w:r w:rsidRPr="00100F3A">
        <w:rPr>
          <w:rFonts w:ascii="Book Antiqua" w:hAnsi="Book Antiqua"/>
          <w:color w:val="auto"/>
          <w:sz w:val="24"/>
        </w:rPr>
        <w:t xml:space="preserve"> mutations or overexpress p54</w:t>
      </w:r>
      <w:r w:rsidR="00AA43C5" w:rsidRPr="00AA43C5">
        <w:rPr>
          <w:rFonts w:ascii="Book Antiqua" w:hAnsi="Book Antiqua"/>
          <w:color w:val="auto"/>
          <w:sz w:val="24"/>
          <w:vertAlign w:val="superscript"/>
        </w:rPr>
        <w:t>[</w:t>
      </w:r>
      <w:r w:rsidR="00696C26" w:rsidRPr="00100F3A">
        <w:rPr>
          <w:rFonts w:ascii="Book Antiqua" w:hAnsi="Book Antiqua"/>
          <w:color w:val="auto"/>
          <w:sz w:val="24"/>
          <w:vertAlign w:val="superscript"/>
        </w:rPr>
        <w:t>8</w:t>
      </w:r>
      <w:r w:rsidR="00AA43C5">
        <w:rPr>
          <w:rFonts w:ascii="Book Antiqua" w:hAnsi="Book Antiqua"/>
          <w:color w:val="auto"/>
          <w:sz w:val="24"/>
          <w:vertAlign w:val="superscript"/>
        </w:rPr>
        <w:t>,</w:t>
      </w:r>
      <w:r w:rsidR="00696C26" w:rsidRPr="00100F3A">
        <w:rPr>
          <w:rFonts w:ascii="Book Antiqua" w:hAnsi="Book Antiqua"/>
          <w:color w:val="auto"/>
          <w:sz w:val="24"/>
          <w:vertAlign w:val="superscript"/>
        </w:rPr>
        <w:t>15</w:t>
      </w:r>
      <w:r w:rsidR="00AA43C5">
        <w:rPr>
          <w:rFonts w:ascii="Book Antiqua" w:hAnsi="Book Antiqua"/>
          <w:color w:val="auto"/>
          <w:sz w:val="24"/>
          <w:vertAlign w:val="superscript"/>
        </w:rPr>
        <w:t>,</w:t>
      </w:r>
      <w:r w:rsidR="00696C26" w:rsidRPr="00100F3A">
        <w:rPr>
          <w:rFonts w:ascii="Book Antiqua" w:hAnsi="Book Antiqua"/>
          <w:color w:val="auto"/>
          <w:sz w:val="24"/>
          <w:vertAlign w:val="superscript"/>
        </w:rPr>
        <w:t>16</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CF6F81" w:rsidP="00AA43C5">
      <w:pPr>
        <w:spacing w:after="120" w:line="360" w:lineRule="auto"/>
        <w:jc w:val="both"/>
        <w:rPr>
          <w:rFonts w:ascii="Book Antiqua" w:eastAsia="Times New Roman" w:hAnsi="Book Antiqua"/>
          <w:color w:val="auto"/>
          <w:sz w:val="24"/>
        </w:rPr>
      </w:pPr>
      <w:r w:rsidRPr="00100F3A">
        <w:rPr>
          <w:rFonts w:ascii="Book Antiqua" w:eastAsia="Times New Roman" w:hAnsi="Book Antiqua"/>
          <w:color w:val="auto"/>
          <w:sz w:val="24"/>
        </w:rPr>
        <w:lastRenderedPageBreak/>
        <w:tab/>
        <w:t>The other class of precursor to cholangiocarcinoma is intraductal papillary neoplasm of the bile duct (IPNB). Arising preferentially within the intrahepatic bile ducts, IPNB is characterized as a macroscopic papillary growth of biliary epithelia that is supported by cores of fibrovascular tissue</w:t>
      </w:r>
      <w:r w:rsidR="00AA43C5" w:rsidRPr="00AA43C5">
        <w:rPr>
          <w:rFonts w:ascii="Book Antiqua" w:eastAsia="Times New Roman" w:hAnsi="Book Antiqua"/>
          <w:color w:val="auto"/>
          <w:sz w:val="24"/>
          <w:vertAlign w:val="superscript"/>
        </w:rPr>
        <w:t>[</w:t>
      </w:r>
      <w:r w:rsidR="00AA43C5">
        <w:rPr>
          <w:rFonts w:ascii="Book Antiqua" w:hAnsi="Book Antiqua"/>
          <w:color w:val="auto"/>
          <w:sz w:val="24"/>
          <w:vertAlign w:val="superscript"/>
        </w:rPr>
        <w:t>17,</w:t>
      </w:r>
      <w:r w:rsidR="00696C26" w:rsidRPr="00100F3A">
        <w:rPr>
          <w:rFonts w:ascii="Book Antiqua" w:hAnsi="Book Antiqua"/>
          <w:color w:val="auto"/>
          <w:sz w:val="24"/>
          <w:vertAlign w:val="superscript"/>
        </w:rPr>
        <w:t>18</w:t>
      </w:r>
      <w:r w:rsidRPr="00100F3A">
        <w:rPr>
          <w:rFonts w:ascii="Book Antiqua" w:hAnsi="Book Antiqua"/>
          <w:color w:val="auto"/>
          <w:sz w:val="24"/>
          <w:vertAlign w:val="superscript"/>
        </w:rPr>
        <w:t>]</w:t>
      </w:r>
      <w:r w:rsidRPr="00100F3A">
        <w:rPr>
          <w:rFonts w:ascii="Book Antiqua" w:hAnsi="Book Antiqua"/>
          <w:color w:val="auto"/>
          <w:sz w:val="24"/>
        </w:rPr>
        <w:t>. Immunohistochemical staining of the associated mucin further classifies IPNB lesions into pancreaticobiliary, intestinal, gastric, or oncocytic subtypes. In this working model, these lesions are assumed to develop in a sequence similar to that observed in pancreatic IPMN</w:t>
      </w:r>
      <w:r w:rsidR="00AA43C5" w:rsidRPr="00AA43C5">
        <w:rPr>
          <w:rFonts w:ascii="Book Antiqua" w:hAnsi="Book Antiqua"/>
          <w:color w:val="auto"/>
          <w:sz w:val="24"/>
          <w:vertAlign w:val="superscript"/>
        </w:rPr>
        <w:t>[</w:t>
      </w:r>
      <w:r w:rsidR="00696C26"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009D686C">
        <w:rPr>
          <w:rFonts w:ascii="Book Antiqua" w:hAnsi="Book Antiqua"/>
          <w:color w:val="auto"/>
          <w:sz w:val="24"/>
        </w:rPr>
        <w:t>.</w:t>
      </w:r>
      <w:r w:rsidR="009D686C">
        <w:rPr>
          <w:rFonts w:ascii="Book Antiqua" w:hAnsi="Book Antiqua" w:hint="eastAsia"/>
          <w:color w:val="auto"/>
          <w:sz w:val="24"/>
          <w:lang w:eastAsia="zh-CN"/>
        </w:rPr>
        <w:t xml:space="preserve"> </w:t>
      </w:r>
      <w:r w:rsidRPr="00100F3A">
        <w:rPr>
          <w:rFonts w:ascii="Book Antiqua" w:hAnsi="Book Antiqua"/>
          <w:color w:val="auto"/>
          <w:sz w:val="24"/>
        </w:rPr>
        <w:t xml:space="preserve">Activating mutations of </w:t>
      </w:r>
      <w:r w:rsidRPr="00100F3A">
        <w:rPr>
          <w:rFonts w:ascii="Book Antiqua" w:hAnsi="Book Antiqua"/>
          <w:i/>
          <w:color w:val="auto"/>
          <w:sz w:val="24"/>
        </w:rPr>
        <w:t>KRAS</w:t>
      </w:r>
      <w:r w:rsidRPr="00100F3A">
        <w:rPr>
          <w:rFonts w:ascii="Book Antiqua" w:hAnsi="Book Antiqua"/>
          <w:color w:val="auto"/>
          <w:sz w:val="24"/>
        </w:rPr>
        <w:t xml:space="preserve"> are believed to be among the earliest changes, along with loss of function of the tumor suppressors p53 and p16</w:t>
      </w:r>
      <w:r w:rsidRPr="00100F3A">
        <w:rPr>
          <w:rFonts w:ascii="Book Antiqua" w:hAnsi="Book Antiqua"/>
          <w:color w:val="auto"/>
          <w:sz w:val="24"/>
          <w:vertAlign w:val="superscript"/>
        </w:rPr>
        <w:t>INK4A</w:t>
      </w:r>
      <w:r w:rsidR="00AA43C5" w:rsidRPr="00AA43C5">
        <w:rPr>
          <w:rFonts w:ascii="Book Antiqua" w:hAnsi="Book Antiqua"/>
          <w:color w:val="auto"/>
          <w:sz w:val="24"/>
          <w:vertAlign w:val="superscript"/>
        </w:rPr>
        <w:t>[</w:t>
      </w:r>
      <w:r w:rsidR="00696C26" w:rsidRPr="00100F3A">
        <w:rPr>
          <w:rFonts w:ascii="Book Antiqua" w:hAnsi="Book Antiqua"/>
          <w:color w:val="auto"/>
          <w:sz w:val="24"/>
          <w:vertAlign w:val="superscript"/>
        </w:rPr>
        <w:t>18</w:t>
      </w:r>
      <w:r w:rsidRPr="00100F3A">
        <w:rPr>
          <w:rFonts w:ascii="Book Antiqua" w:hAnsi="Book Antiqua"/>
          <w:color w:val="auto"/>
          <w:sz w:val="24"/>
          <w:vertAlign w:val="superscript"/>
        </w:rPr>
        <w:t>]</w:t>
      </w:r>
      <w:r w:rsidR="009D686C">
        <w:rPr>
          <w:rFonts w:ascii="Book Antiqua" w:hAnsi="Book Antiqua"/>
          <w:color w:val="auto"/>
          <w:sz w:val="24"/>
        </w:rPr>
        <w:t xml:space="preserve">. </w:t>
      </w:r>
      <w:r w:rsidRPr="00100F3A">
        <w:rPr>
          <w:rFonts w:ascii="Book Antiqua" w:hAnsi="Book Antiqua"/>
          <w:color w:val="auto"/>
          <w:sz w:val="24"/>
        </w:rPr>
        <w:t>This is followed by loss of PTEN and SMAD4 function, with the latter being thought to drive the progression to invasive malignancy</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696C26"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i/>
          <w:color w:val="auto"/>
          <w:sz w:val="24"/>
        </w:rPr>
      </w:pPr>
      <w:r w:rsidRPr="00100F3A">
        <w:rPr>
          <w:rFonts w:ascii="Book Antiqua" w:hAnsi="Book Antiqua"/>
          <w:b/>
          <w:i/>
          <w:color w:val="auto"/>
          <w:sz w:val="24"/>
        </w:rPr>
        <w:t xml:space="preserve">Gallbladder </w:t>
      </w:r>
      <w:r w:rsidR="00AA43C5" w:rsidRPr="00100F3A">
        <w:rPr>
          <w:rFonts w:ascii="Book Antiqua" w:hAnsi="Book Antiqua"/>
          <w:b/>
          <w:i/>
          <w:color w:val="auto"/>
          <w:sz w:val="24"/>
        </w:rPr>
        <w:t>carcinoma</w:t>
      </w:r>
    </w:p>
    <w:p w:rsidR="00E25F9B" w:rsidRPr="00100F3A" w:rsidRDefault="00CF6F81" w:rsidP="00AA43C5">
      <w:pPr>
        <w:spacing w:after="120" w:line="360" w:lineRule="auto"/>
        <w:jc w:val="both"/>
        <w:rPr>
          <w:rFonts w:ascii="Book Antiqua" w:eastAsia="Times New Roman" w:hAnsi="Book Antiqua"/>
          <w:color w:val="auto"/>
          <w:sz w:val="24"/>
        </w:rPr>
      </w:pPr>
      <w:r w:rsidRPr="00100F3A">
        <w:rPr>
          <w:rFonts w:ascii="Book Antiqua" w:hAnsi="Book Antiqua"/>
          <w:color w:val="auto"/>
          <w:sz w:val="24"/>
        </w:rPr>
        <w:t xml:space="preserve">The present model of gallbladder carcinogenesis is built upon information gained from studying this malignancy, as well as colorectal cancer and </w:t>
      </w:r>
      <w:r w:rsidRPr="00100F3A">
        <w:rPr>
          <w:rFonts w:ascii="Book Antiqua" w:hAnsi="Book Antiqua"/>
          <w:i/>
          <w:color w:val="auto"/>
          <w:sz w:val="24"/>
        </w:rPr>
        <w:t>in vitro</w:t>
      </w:r>
      <w:r w:rsidRPr="00100F3A">
        <w:rPr>
          <w:rFonts w:ascii="Book Antiqua" w:hAnsi="Book Antiqua"/>
          <w:color w:val="auto"/>
          <w:sz w:val="24"/>
        </w:rPr>
        <w:t xml:space="preserve"> studies of epithelial inflammation</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696C26"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In this model, normal epithelium sequentially becomes metaplastic</w:t>
      </w:r>
      <w:r w:rsidR="00692FDF">
        <w:rPr>
          <w:rFonts w:ascii="Book Antiqua" w:hAnsi="Book Antiqua"/>
          <w:color w:val="auto"/>
          <w:sz w:val="24"/>
        </w:rPr>
        <w:t xml:space="preserve"> or less commonly hyperplastic, then </w:t>
      </w:r>
      <w:r w:rsidRPr="00100F3A">
        <w:rPr>
          <w:rFonts w:ascii="Book Antiqua" w:hAnsi="Book Antiqua"/>
          <w:color w:val="auto"/>
          <w:sz w:val="24"/>
        </w:rPr>
        <w:t xml:space="preserve">dysplastic /intraepithelial neoplasia, and carcinoma in situ, before eventually becoming an invasive malignancy. </w:t>
      </w:r>
    </w:p>
    <w:p w:rsidR="00E25F9B" w:rsidRPr="00100F3A" w:rsidRDefault="00CF6F81" w:rsidP="00AA43C5">
      <w:pPr>
        <w:spacing w:after="120" w:line="360" w:lineRule="auto"/>
        <w:ind w:firstLine="720"/>
        <w:jc w:val="both"/>
        <w:rPr>
          <w:rFonts w:ascii="Book Antiqua" w:eastAsia="Times New Roman" w:hAnsi="Book Antiqua"/>
          <w:color w:val="auto"/>
          <w:sz w:val="24"/>
        </w:rPr>
      </w:pPr>
      <w:r w:rsidRPr="00100F3A">
        <w:rPr>
          <w:rFonts w:ascii="Book Antiqua" w:hAnsi="Book Antiqua"/>
          <w:color w:val="auto"/>
          <w:sz w:val="24"/>
        </w:rPr>
        <w:t>Much like cholangiocarcinoma, the development of gallbladder tumors is generally preceded by chronic inflammation</w:t>
      </w:r>
      <w:r w:rsidR="00AA43C5" w:rsidRPr="00AA43C5">
        <w:rPr>
          <w:rFonts w:ascii="Book Antiqua" w:hAnsi="Book Antiqua"/>
          <w:color w:val="auto"/>
          <w:sz w:val="24"/>
          <w:vertAlign w:val="superscript"/>
        </w:rPr>
        <w:t>[</w:t>
      </w:r>
      <w:r w:rsidR="00DD604E" w:rsidRPr="00100F3A">
        <w:rPr>
          <w:rFonts w:ascii="Book Antiqua" w:hAnsi="Book Antiqua"/>
          <w:color w:val="auto"/>
          <w:sz w:val="24"/>
          <w:vertAlign w:val="superscript"/>
        </w:rPr>
        <w:t>20</w:t>
      </w:r>
      <w:r w:rsidRPr="00100F3A">
        <w:rPr>
          <w:rFonts w:ascii="Book Antiqua" w:hAnsi="Book Antiqua"/>
          <w:color w:val="auto"/>
          <w:sz w:val="24"/>
          <w:vertAlign w:val="superscript"/>
        </w:rPr>
        <w:t>]</w:t>
      </w:r>
      <w:r w:rsidR="009D686C">
        <w:rPr>
          <w:rFonts w:ascii="Book Antiqua" w:hAnsi="Book Antiqua"/>
          <w:color w:val="auto"/>
          <w:sz w:val="24"/>
        </w:rPr>
        <w:t xml:space="preserve">. </w:t>
      </w:r>
      <w:r w:rsidRPr="00100F3A">
        <w:rPr>
          <w:rFonts w:ascii="Book Antiqua" w:hAnsi="Book Antiqua"/>
          <w:color w:val="auto"/>
          <w:sz w:val="24"/>
        </w:rPr>
        <w:t>Inflammatory cytokines cause over-expression of COX2 and epigenetic inhibition of tumor suppressor genes. Mutations of TP53 and mitochondrial DNA are also commonly observed at this early stage</w:t>
      </w:r>
      <w:r w:rsidR="00AA43C5" w:rsidRPr="00AA43C5">
        <w:rPr>
          <w:rFonts w:ascii="Book Antiqua" w:hAnsi="Book Antiqua"/>
          <w:color w:val="auto"/>
          <w:sz w:val="24"/>
          <w:vertAlign w:val="superscript"/>
        </w:rPr>
        <w:t>[</w:t>
      </w:r>
      <w:r w:rsidR="00AA43C5">
        <w:rPr>
          <w:rFonts w:ascii="Book Antiqua" w:hAnsi="Book Antiqua"/>
          <w:color w:val="auto"/>
          <w:sz w:val="24"/>
          <w:vertAlign w:val="superscript"/>
        </w:rPr>
        <w:t>21,</w:t>
      </w:r>
      <w:r w:rsidR="00DD604E" w:rsidRPr="00100F3A">
        <w:rPr>
          <w:rFonts w:ascii="Book Antiqua" w:hAnsi="Book Antiqua"/>
          <w:color w:val="auto"/>
          <w:sz w:val="24"/>
          <w:vertAlign w:val="superscript"/>
        </w:rPr>
        <w:t>22</w:t>
      </w:r>
      <w:r w:rsidRPr="00100F3A">
        <w:rPr>
          <w:rFonts w:ascii="Book Antiqua" w:hAnsi="Book Antiqua"/>
          <w:color w:val="auto"/>
          <w:sz w:val="24"/>
          <w:vertAlign w:val="superscript"/>
        </w:rPr>
        <w:t>]</w:t>
      </w:r>
      <w:r w:rsidRPr="00100F3A">
        <w:rPr>
          <w:rFonts w:ascii="Book Antiqua" w:hAnsi="Book Antiqua"/>
          <w:color w:val="auto"/>
          <w:sz w:val="24"/>
        </w:rPr>
        <w:t xml:space="preserve">.  These molecular changes drive the transformation of initially normal epithelium into metaplastic cells. </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hAnsi="Book Antiqua"/>
          <w:color w:val="auto"/>
          <w:sz w:val="24"/>
        </w:rPr>
        <w:t>The next step in malignant transformation is defined histologically by the appearance of intraepithelial neoplasia. This is generally associated with a loss of heterozygosity at loci 3p and 8p</w:t>
      </w:r>
      <w:r w:rsidR="00AA43C5" w:rsidRPr="00AA43C5">
        <w:rPr>
          <w:rFonts w:ascii="Book Antiqua" w:hAnsi="Book Antiqua"/>
          <w:color w:val="auto"/>
          <w:sz w:val="24"/>
          <w:vertAlign w:val="superscript"/>
        </w:rPr>
        <w:t>[</w:t>
      </w:r>
      <w:r w:rsidR="00DD604E" w:rsidRPr="00100F3A">
        <w:rPr>
          <w:rFonts w:ascii="Book Antiqua" w:hAnsi="Book Antiqua"/>
          <w:color w:val="auto"/>
          <w:sz w:val="24"/>
          <w:vertAlign w:val="superscript"/>
        </w:rPr>
        <w:t>23</w:t>
      </w:r>
      <w:r w:rsidRPr="00100F3A">
        <w:rPr>
          <w:rFonts w:ascii="Book Antiqua" w:hAnsi="Book Antiqua"/>
          <w:color w:val="auto"/>
          <w:sz w:val="24"/>
          <w:vertAlign w:val="superscript"/>
        </w:rPr>
        <w:t>]</w:t>
      </w:r>
      <w:r w:rsidRPr="00100F3A">
        <w:rPr>
          <w:rFonts w:ascii="Book Antiqua" w:hAnsi="Book Antiqua"/>
          <w:color w:val="auto"/>
          <w:sz w:val="24"/>
        </w:rPr>
        <w:t>, as well as over-expression of the cell surface receptor HER2</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4</w:t>
      </w:r>
      <w:r w:rsidRPr="00100F3A">
        <w:rPr>
          <w:rFonts w:ascii="Book Antiqua" w:hAnsi="Book Antiqua"/>
          <w:color w:val="auto"/>
          <w:sz w:val="24"/>
          <w:vertAlign w:val="superscript"/>
        </w:rPr>
        <w:t>]</w:t>
      </w:r>
      <w:r w:rsidRPr="00100F3A">
        <w:rPr>
          <w:rFonts w:ascii="Book Antiqua" w:hAnsi="Book Antiqua"/>
          <w:color w:val="auto"/>
          <w:sz w:val="24"/>
        </w:rPr>
        <w:t xml:space="preserve">. The lesion then develops into carcinoma in situ, at which point </w:t>
      </w:r>
      <w:r w:rsidRPr="00100F3A">
        <w:rPr>
          <w:rFonts w:ascii="Book Antiqua" w:hAnsi="Book Antiqua"/>
          <w:color w:val="auto"/>
          <w:sz w:val="24"/>
        </w:rPr>
        <w:lastRenderedPageBreak/>
        <w:t>mutations of fragile histidine triad (FHT) and cyclin-dependent kinase inhibitor 2A (CDKN2A) arise. Loss of heterozygosity at 9q, 18q, 22q, 5q, and 17p may also be observed at this stage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DD604E" w:rsidRPr="00100F3A">
        <w:rPr>
          <w:rFonts w:ascii="Book Antiqua" w:hAnsi="Book Antiqua"/>
          <w:color w:val="auto"/>
          <w:sz w:val="24"/>
          <w:vertAlign w:val="superscript"/>
        </w:rPr>
        <w:t>9</w:t>
      </w:r>
      <w:r w:rsidR="00AA43C5">
        <w:rPr>
          <w:rFonts w:ascii="Book Antiqua" w:hAnsi="Book Antiqua"/>
          <w:color w:val="auto"/>
          <w:sz w:val="24"/>
          <w:vertAlign w:val="superscript"/>
        </w:rPr>
        <w:t>,25,</w:t>
      </w:r>
      <w:r w:rsidR="00DD604E" w:rsidRPr="00100F3A">
        <w:rPr>
          <w:rFonts w:ascii="Book Antiqua" w:hAnsi="Book Antiqua"/>
          <w:color w:val="auto"/>
          <w:sz w:val="24"/>
          <w:vertAlign w:val="superscript"/>
        </w:rPr>
        <w:t>26</w:t>
      </w:r>
      <w:r w:rsidRPr="00100F3A">
        <w:rPr>
          <w:rFonts w:ascii="Book Antiqua" w:hAnsi="Book Antiqua"/>
          <w:color w:val="auto"/>
          <w:sz w:val="24"/>
          <w:vertAlign w:val="superscript"/>
        </w:rPr>
        <w:t>]</w:t>
      </w:r>
      <w:r w:rsidRPr="00100F3A">
        <w:rPr>
          <w:rFonts w:ascii="Book Antiqua" w:hAnsi="Book Antiqua"/>
          <w:color w:val="auto"/>
          <w:sz w:val="24"/>
        </w:rPr>
        <w:t xml:space="preserve">. Subsequently, the lesion accumulates mutations of </w:t>
      </w:r>
      <w:r w:rsidRPr="00100F3A">
        <w:rPr>
          <w:rFonts w:ascii="Book Antiqua" w:hAnsi="Book Antiqua"/>
          <w:i/>
          <w:color w:val="auto"/>
          <w:sz w:val="24"/>
        </w:rPr>
        <w:t>KRAS</w:t>
      </w:r>
      <w:r w:rsidRPr="00100F3A">
        <w:rPr>
          <w:rFonts w:ascii="Book Antiqua" w:hAnsi="Book Antiqua"/>
          <w:color w:val="auto"/>
          <w:sz w:val="24"/>
        </w:rPr>
        <w:t xml:space="preserve"> and loss of heterozygosity at 9q, 13q, and 18q</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1</w:t>
      </w:r>
      <w:r w:rsidR="00DD604E" w:rsidRPr="00100F3A">
        <w:rPr>
          <w:rFonts w:ascii="Book Antiqua" w:hAnsi="Book Antiqua"/>
          <w:color w:val="auto"/>
          <w:sz w:val="24"/>
          <w:vertAlign w:val="superscript"/>
        </w:rPr>
        <w:t>9</w:t>
      </w:r>
      <w:r w:rsid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5</w:t>
      </w:r>
      <w:r w:rsidRPr="00100F3A">
        <w:rPr>
          <w:rFonts w:ascii="Book Antiqua" w:hAnsi="Book Antiqua"/>
          <w:color w:val="auto"/>
          <w:sz w:val="24"/>
          <w:vertAlign w:val="superscript"/>
        </w:rPr>
        <w:t>]</w:t>
      </w:r>
      <w:r w:rsidRPr="00100F3A">
        <w:rPr>
          <w:rFonts w:ascii="Book Antiqua" w:hAnsi="Book Antiqua"/>
          <w:color w:val="auto"/>
          <w:sz w:val="24"/>
        </w:rPr>
        <w:t xml:space="preserve">.  These latter genetic aberrations are believed to drive the lesion to develop into an invasive carcinoma.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color w:val="auto"/>
          <w:sz w:val="24"/>
        </w:rPr>
      </w:pPr>
      <w:r w:rsidRPr="00100F3A">
        <w:rPr>
          <w:rFonts w:ascii="Book Antiqua" w:hAnsi="Book Antiqua"/>
          <w:b/>
          <w:color w:val="auto"/>
          <w:sz w:val="24"/>
        </w:rPr>
        <w:t xml:space="preserve">GENETIC TARGETS OF BILIARY TRACT CARCINOMA </w:t>
      </w:r>
    </w:p>
    <w:p w:rsidR="00E25F9B" w:rsidRPr="00100F3A" w:rsidRDefault="00CF6F81" w:rsidP="00AA43C5">
      <w:pPr>
        <w:spacing w:line="360" w:lineRule="auto"/>
        <w:jc w:val="both"/>
        <w:rPr>
          <w:rFonts w:ascii="Book Antiqua" w:hAnsi="Book Antiqua"/>
          <w:color w:val="auto"/>
          <w:sz w:val="24"/>
        </w:rPr>
      </w:pPr>
      <w:r w:rsidRPr="00100F3A">
        <w:rPr>
          <w:rFonts w:ascii="Book Antiqua" w:eastAsia="Times New Roman" w:hAnsi="Book Antiqua"/>
          <w:color w:val="auto"/>
          <w:sz w:val="24"/>
        </w:rPr>
        <w:t>The malignant behaviors exhibited by BTC are caused largely by dysregulation of cellular signaling networks</w:t>
      </w:r>
      <w:r w:rsidRPr="00100F3A">
        <w:rPr>
          <w:rFonts w:ascii="Book Antiqua" w:hAnsi="Book Antiqua"/>
          <w:color w:val="auto"/>
          <w:sz w:val="24"/>
        </w:rPr>
        <w:t xml:space="preserve"> that normally control cell growth, survival, and differentiation</w:t>
      </w:r>
      <w:r w:rsidRPr="00100F3A">
        <w:rPr>
          <w:rFonts w:ascii="Book Antiqua" w:eastAsia="Times New Roman" w:hAnsi="Book Antiqua"/>
          <w:color w:val="auto"/>
          <w:sz w:val="24"/>
        </w:rPr>
        <w:t>.</w:t>
      </w:r>
      <w:r w:rsidRPr="00100F3A">
        <w:rPr>
          <w:rFonts w:ascii="Book Antiqua" w:hAnsi="Book Antiqua"/>
          <w:color w:val="auto"/>
          <w:sz w:val="24"/>
        </w:rPr>
        <w:t xml:space="preserve"> </w:t>
      </w:r>
      <w:r w:rsidRPr="00100F3A">
        <w:rPr>
          <w:rFonts w:ascii="Book Antiqua" w:eastAsia="Times New Roman" w:hAnsi="Book Antiqua"/>
          <w:color w:val="auto"/>
          <w:sz w:val="24"/>
        </w:rPr>
        <w:t xml:space="preserve">These involve cell-surface receptors, including epidermal growth factor receptor (EGFR), human epidermal growth factor receptor 2 (HER2), vascular endothelial growth factor receptor (VEGFR), and hepatocyte growth factor receptor (MET).  Intracellular signaling cascades, namely the RAS-RAF-MEK and PI3K-AKT-mTOR axes also play important functional roles. </w:t>
      </w:r>
      <w:r w:rsidRPr="00100F3A">
        <w:rPr>
          <w:rFonts w:ascii="Book Antiqua" w:hAnsi="Book Antiqua"/>
          <w:color w:val="auto"/>
          <w:sz w:val="24"/>
        </w:rPr>
        <w:t xml:space="preserve">The genetic abnormalities that arise in each subtype of BTC have been identified and the frequency of each is summarized in Table 2. </w:t>
      </w:r>
    </w:p>
    <w:p w:rsidR="00E25F9B" w:rsidRPr="00100F3A" w:rsidRDefault="00E25F9B" w:rsidP="00AA43C5">
      <w:pPr>
        <w:spacing w:line="360" w:lineRule="auto"/>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color w:val="auto"/>
          <w:sz w:val="24"/>
        </w:rPr>
      </w:pPr>
      <w:r w:rsidRPr="00100F3A">
        <w:rPr>
          <w:rFonts w:ascii="Book Antiqua" w:hAnsi="Book Antiqua"/>
          <w:b/>
          <w:i/>
          <w:color w:val="auto"/>
          <w:sz w:val="24"/>
        </w:rPr>
        <w:t xml:space="preserve">Growth </w:t>
      </w:r>
      <w:r w:rsidR="00AA43C5" w:rsidRPr="00100F3A">
        <w:rPr>
          <w:rFonts w:ascii="Book Antiqua" w:hAnsi="Book Antiqua"/>
          <w:b/>
          <w:i/>
          <w:color w:val="auto"/>
          <w:sz w:val="24"/>
        </w:rPr>
        <w:t>factors and receptors</w:t>
      </w:r>
      <w:r w:rsidR="00AA43C5" w:rsidRPr="00100F3A">
        <w:rPr>
          <w:rFonts w:ascii="Book Antiqua" w:hAnsi="Book Antiqua"/>
          <w:b/>
          <w:color w:val="auto"/>
          <w:sz w:val="24"/>
        </w:rPr>
        <w:t xml:space="preserve"> </w:t>
      </w:r>
    </w:p>
    <w:p w:rsidR="00E25F9B" w:rsidRPr="00100F3A" w:rsidRDefault="00CF6F81" w:rsidP="00AA43C5">
      <w:pPr>
        <w:spacing w:line="360" w:lineRule="auto"/>
        <w:jc w:val="both"/>
        <w:rPr>
          <w:rFonts w:ascii="Book Antiqua" w:eastAsia="Times New Roman" w:hAnsi="Book Antiqua"/>
          <w:color w:val="auto"/>
          <w:sz w:val="24"/>
        </w:rPr>
      </w:pPr>
      <w:r w:rsidRPr="00100F3A">
        <w:rPr>
          <w:rFonts w:ascii="Book Antiqua" w:hAnsi="Book Antiqua"/>
          <w:color w:val="auto"/>
          <w:sz w:val="24"/>
        </w:rPr>
        <w:t xml:space="preserve">Tumors of the biliary tract often harbor activating mutations of growth factor receptors or over-produce ligand, thus effectively hijacking the receptor and its downstream signaling pathways. Such receptors include EGFR, HER2, VEGFR, and MET.  </w:t>
      </w:r>
    </w:p>
    <w:p w:rsidR="00E25F9B" w:rsidRPr="00100F3A" w:rsidRDefault="00CF6F81" w:rsidP="00AA43C5">
      <w:pPr>
        <w:spacing w:line="360" w:lineRule="auto"/>
        <w:jc w:val="both"/>
        <w:rPr>
          <w:rFonts w:ascii="Book Antiqua" w:hAnsi="Book Antiqua"/>
          <w:color w:val="auto"/>
          <w:sz w:val="24"/>
        </w:rPr>
      </w:pPr>
      <w:r w:rsidRPr="00100F3A">
        <w:rPr>
          <w:rFonts w:ascii="Book Antiqua" w:eastAsia="Times New Roman" w:hAnsi="Book Antiqua"/>
          <w:color w:val="auto"/>
          <w:sz w:val="24"/>
        </w:rPr>
        <w:tab/>
        <w:t>The prototypical member of the ErbB family of receptors, EGFR, consists of an extracellular ligand-binding domain and an intracellular domain with tyrosine kinase activity.  Although EGFR is normally present within the plasma membrane of many types of normal cells, it is commonly over-expressed or over-activated in malignant cells. When active, it stimulates intracellular pathways that promote cell proliferation and angiogenesis, in addition to evasion of apoptosis</w:t>
      </w:r>
      <w:r w:rsidR="00AA43C5" w:rsidRPr="00AA43C5">
        <w:rPr>
          <w:rFonts w:ascii="Book Antiqua" w:eastAsia="Times New Roman"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7</w:t>
      </w:r>
      <w:r w:rsidRPr="00100F3A">
        <w:rPr>
          <w:rFonts w:ascii="Book Antiqua" w:hAnsi="Book Antiqua"/>
          <w:color w:val="auto"/>
          <w:sz w:val="24"/>
          <w:vertAlign w:val="superscript"/>
        </w:rPr>
        <w:t>]</w:t>
      </w:r>
      <w:r w:rsidRPr="00100F3A">
        <w:rPr>
          <w:rFonts w:ascii="Book Antiqua" w:hAnsi="Book Antiqua"/>
          <w:color w:val="auto"/>
          <w:sz w:val="24"/>
        </w:rPr>
        <w:t xml:space="preserve">. Increased activation of EGFR is </w:t>
      </w:r>
      <w:r w:rsidRPr="00100F3A">
        <w:rPr>
          <w:rFonts w:ascii="Book Antiqua" w:hAnsi="Book Antiqua"/>
          <w:color w:val="auto"/>
          <w:sz w:val="24"/>
        </w:rPr>
        <w:lastRenderedPageBreak/>
        <w:t>associated with impaired overall survival in patients with IHCC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xml:space="preserve"> and suggests the presence of lymph node metastases in EHCC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Pooling together all subtypes of BTC, EGFR mutation is strongly predictive of increased mortality</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(Table 2). Some of these mutations alter the tyrosine kinase domain in a manner that is known to confer responsivity to small molecule inhibitors</w:t>
      </w:r>
      <w:r w:rsidR="00AA43C5" w:rsidRPr="00AA43C5">
        <w:rPr>
          <w:rFonts w:ascii="Book Antiqua" w:hAnsi="Book Antiqua"/>
          <w:color w:val="auto"/>
          <w:sz w:val="24"/>
          <w:vertAlign w:val="superscript"/>
        </w:rPr>
        <w:t>[</w:t>
      </w:r>
      <w:r w:rsidR="00DD604E" w:rsidRPr="00100F3A">
        <w:rPr>
          <w:rFonts w:ascii="Book Antiqua" w:hAnsi="Book Antiqua"/>
          <w:color w:val="auto"/>
          <w:sz w:val="24"/>
          <w:vertAlign w:val="superscript"/>
        </w:rPr>
        <w:t>30</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CF6F81" w:rsidP="00AA43C5">
      <w:pPr>
        <w:spacing w:line="360" w:lineRule="auto"/>
        <w:jc w:val="both"/>
        <w:rPr>
          <w:rFonts w:ascii="Book Antiqua" w:eastAsia="Times New Roman" w:hAnsi="Book Antiqua"/>
          <w:color w:val="auto"/>
          <w:sz w:val="24"/>
        </w:rPr>
      </w:pPr>
      <w:r w:rsidRPr="00100F3A">
        <w:rPr>
          <w:rFonts w:ascii="Book Antiqua" w:eastAsia="Times New Roman" w:hAnsi="Book Antiqua"/>
          <w:color w:val="auto"/>
          <w:sz w:val="24"/>
        </w:rPr>
        <w:tab/>
        <w:t>Another receptor that is often implicated in biliary tract malignancies is HER2, a member of the ErbB family. Similar to EGFR, stimulation of HER2 activates intracellular pathways that promote cell growth, survival, and motility. Indeed, HER2 is a more potent activator of these pathways than other receptors, stimulating prolonged and more effective signaling</w:t>
      </w:r>
      <w:r w:rsidR="00AA43C5" w:rsidRPr="00AA43C5">
        <w:rPr>
          <w:rFonts w:ascii="Book Antiqua" w:eastAsia="Times New Roman" w:hAnsi="Book Antiqua"/>
          <w:color w:val="auto"/>
          <w:sz w:val="24"/>
          <w:vertAlign w:val="superscript"/>
        </w:rPr>
        <w:t>[</w:t>
      </w:r>
      <w:r w:rsidR="00DD604E" w:rsidRPr="00100F3A">
        <w:rPr>
          <w:rFonts w:ascii="Book Antiqua" w:eastAsia="Times New Roman" w:hAnsi="Book Antiqua"/>
          <w:color w:val="auto"/>
          <w:sz w:val="24"/>
          <w:vertAlign w:val="superscript"/>
        </w:rPr>
        <w:t>31</w:t>
      </w:r>
      <w:r w:rsidRPr="00100F3A">
        <w:rPr>
          <w:rFonts w:ascii="Book Antiqua" w:hAnsi="Book Antiqua"/>
          <w:color w:val="auto"/>
          <w:sz w:val="24"/>
          <w:vertAlign w:val="superscript"/>
        </w:rPr>
        <w:t>]</w:t>
      </w:r>
      <w:r w:rsidRPr="00100F3A">
        <w:rPr>
          <w:rFonts w:ascii="Book Antiqua" w:hAnsi="Book Antiqua"/>
          <w:color w:val="auto"/>
          <w:sz w:val="24"/>
        </w:rPr>
        <w:t>. While it would appear that HER2 mutation should translate into poorer outcomes, clinical studies indicate quite the opposite. Patients with EHCC tumors that over-express HER2 are less likely to have metastatic disease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xml:space="preserve">, suggesting that it may indicate a relatively favorable prognosis. Increased expression of this receptor is quite common in biliary tumors (Table 2). </w:t>
      </w:r>
    </w:p>
    <w:p w:rsidR="00E25F9B" w:rsidRPr="00100F3A" w:rsidRDefault="00CF6F81" w:rsidP="00AA43C5">
      <w:pPr>
        <w:spacing w:after="120" w:line="360" w:lineRule="auto"/>
        <w:ind w:firstLine="720"/>
        <w:jc w:val="both"/>
        <w:rPr>
          <w:rFonts w:ascii="Book Antiqua" w:eastAsia="Times New Roman" w:hAnsi="Book Antiqua"/>
          <w:color w:val="auto"/>
          <w:sz w:val="24"/>
        </w:rPr>
      </w:pPr>
      <w:r w:rsidRPr="00100F3A">
        <w:rPr>
          <w:rFonts w:ascii="Book Antiqua" w:hAnsi="Book Antiqua"/>
          <w:color w:val="auto"/>
          <w:sz w:val="24"/>
        </w:rPr>
        <w:t>Many biliary tract malignancies exploit VEGFR through increased production of its endogenous ligand, VEGF (Table 2)</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D604E" w:rsidRPr="00100F3A">
        <w:rPr>
          <w:rFonts w:ascii="Book Antiqua" w:hAnsi="Book Antiqua"/>
          <w:color w:val="auto"/>
          <w:sz w:val="24"/>
          <w:vertAlign w:val="superscript"/>
        </w:rPr>
        <w:t>8</w:t>
      </w:r>
      <w:r w:rsidR="00AA43C5">
        <w:rPr>
          <w:rFonts w:ascii="Book Antiqua" w:hAnsi="Book Antiqua"/>
          <w:color w:val="auto"/>
          <w:sz w:val="24"/>
          <w:vertAlign w:val="superscript"/>
        </w:rPr>
        <w:t>,</w:t>
      </w:r>
      <w:r w:rsidR="00704E1B" w:rsidRPr="00100F3A">
        <w:rPr>
          <w:rFonts w:ascii="Book Antiqua" w:hAnsi="Book Antiqua"/>
          <w:color w:val="auto"/>
          <w:sz w:val="24"/>
          <w:vertAlign w:val="superscript"/>
        </w:rPr>
        <w:t>32</w:t>
      </w:r>
      <w:r w:rsidRPr="00100F3A">
        <w:rPr>
          <w:rFonts w:ascii="Book Antiqua" w:hAnsi="Book Antiqua"/>
          <w:color w:val="auto"/>
          <w:sz w:val="24"/>
          <w:vertAlign w:val="superscript"/>
        </w:rPr>
        <w:t>]</w:t>
      </w:r>
      <w:r w:rsidRPr="00100F3A">
        <w:rPr>
          <w:rFonts w:ascii="Book Antiqua" w:hAnsi="Book Antiqua"/>
          <w:color w:val="auto"/>
          <w:sz w:val="24"/>
        </w:rPr>
        <w:t>.  A potent stimulator of angiogenesis, VEGF signaling fuels the production of vascular endothelia and directs their migration to the developing vessels</w:t>
      </w:r>
      <w:r w:rsidR="00AA43C5" w:rsidRPr="00AA43C5">
        <w:rPr>
          <w:rFonts w:ascii="Book Antiqua" w:hAnsi="Book Antiqua"/>
          <w:color w:val="auto"/>
          <w:sz w:val="24"/>
          <w:vertAlign w:val="superscript"/>
        </w:rPr>
        <w:t>[</w:t>
      </w:r>
      <w:r w:rsidR="00704E1B" w:rsidRPr="00100F3A">
        <w:rPr>
          <w:rFonts w:ascii="Book Antiqua" w:hAnsi="Book Antiqua"/>
          <w:color w:val="auto"/>
          <w:sz w:val="24"/>
          <w:vertAlign w:val="superscript"/>
        </w:rPr>
        <w:t>33</w:t>
      </w:r>
      <w:r w:rsidRPr="00100F3A">
        <w:rPr>
          <w:rFonts w:ascii="Book Antiqua" w:hAnsi="Book Antiqua"/>
          <w:color w:val="auto"/>
          <w:sz w:val="24"/>
          <w:vertAlign w:val="superscript"/>
        </w:rPr>
        <w:t>]</w:t>
      </w:r>
      <w:r w:rsidRPr="00100F3A">
        <w:rPr>
          <w:rFonts w:ascii="Book Antiqua" w:hAnsi="Book Antiqua"/>
          <w:color w:val="auto"/>
          <w:sz w:val="24"/>
        </w:rPr>
        <w:t>. The new vasculature provides the tumor with more oxygen and nutrients than could be supplied by the pre-existing vascular supply, thereby promoting tumor growth. This expanded access to vasculature also facilitates the hematogenous spread of disease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704E1B" w:rsidRPr="00100F3A">
        <w:rPr>
          <w:rFonts w:ascii="Book Antiqua" w:hAnsi="Book Antiqua"/>
          <w:color w:val="auto"/>
          <w:sz w:val="24"/>
          <w:vertAlign w:val="superscript"/>
        </w:rPr>
        <w:t>8</w:t>
      </w:r>
      <w:r w:rsidRPr="00100F3A">
        <w:rPr>
          <w:rFonts w:ascii="Book Antiqua" w:hAnsi="Book Antiqua"/>
          <w:color w:val="auto"/>
          <w:sz w:val="24"/>
          <w:vertAlign w:val="superscript"/>
        </w:rPr>
        <w:t xml:space="preserve">] </w:t>
      </w:r>
      <w:r w:rsidRPr="00100F3A">
        <w:rPr>
          <w:rFonts w:ascii="Book Antiqua" w:hAnsi="Book Antiqua"/>
          <w:color w:val="auto"/>
          <w:sz w:val="24"/>
        </w:rPr>
        <w:t>and suggests increased probability of metastatic disease in patients with GBC</w:t>
      </w:r>
      <w:r w:rsidR="00AA43C5" w:rsidRPr="00AA43C5">
        <w:rPr>
          <w:rFonts w:ascii="Book Antiqua" w:hAnsi="Book Antiqua"/>
          <w:color w:val="auto"/>
          <w:sz w:val="24"/>
          <w:vertAlign w:val="superscript"/>
        </w:rPr>
        <w:t>[</w:t>
      </w:r>
      <w:r w:rsidR="00704E1B" w:rsidRPr="00100F3A">
        <w:rPr>
          <w:rFonts w:ascii="Book Antiqua" w:hAnsi="Book Antiqua"/>
          <w:color w:val="auto"/>
          <w:sz w:val="24"/>
          <w:vertAlign w:val="superscript"/>
        </w:rPr>
        <w:t>34</w:t>
      </w:r>
      <w:r w:rsidRPr="00100F3A">
        <w:rPr>
          <w:rFonts w:ascii="Book Antiqua" w:hAnsi="Book Antiqua"/>
          <w:color w:val="auto"/>
          <w:sz w:val="24"/>
          <w:vertAlign w:val="superscript"/>
        </w:rPr>
        <w:t>]</w:t>
      </w:r>
      <w:r w:rsidRPr="00100F3A">
        <w:rPr>
          <w:rFonts w:ascii="Book Antiqua" w:hAnsi="Book Antiqua"/>
          <w:color w:val="auto"/>
          <w:sz w:val="24"/>
        </w:rPr>
        <w:t>. Over-production of VEGF is observed in various subtypes of BTC (Table 2).</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hAnsi="Book Antiqua"/>
          <w:color w:val="auto"/>
          <w:sz w:val="24"/>
        </w:rPr>
        <w:t>Recently, MET has been recognized for its role in biliary tract malignancies.  Also referred to as the scatter receptor, its activation promotes the invasion (or scatter) of tumor cells by degrading intercellular junctions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3</w:t>
      </w:r>
      <w:r w:rsidR="00704E1B" w:rsidRPr="00100F3A">
        <w:rPr>
          <w:rFonts w:ascii="Book Antiqua" w:hAnsi="Book Antiqua"/>
          <w:color w:val="auto"/>
          <w:sz w:val="24"/>
          <w:vertAlign w:val="superscript"/>
        </w:rPr>
        <w:t>5</w:t>
      </w:r>
      <w:r w:rsidRPr="00100F3A">
        <w:rPr>
          <w:rFonts w:ascii="Book Antiqua" w:hAnsi="Book Antiqua"/>
          <w:color w:val="auto"/>
          <w:sz w:val="24"/>
          <w:vertAlign w:val="superscript"/>
        </w:rPr>
        <w:t>]</w:t>
      </w:r>
      <w:r w:rsidRPr="00100F3A">
        <w:rPr>
          <w:rFonts w:ascii="Book Antiqua" w:hAnsi="Book Antiqua"/>
          <w:color w:val="auto"/>
          <w:sz w:val="24"/>
        </w:rPr>
        <w:t>.  This is further underscored by MET expression being most concentrated at the invasive front of biliary tumors (Table 2)</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3</w:t>
      </w:r>
      <w:r w:rsidR="00704E1B" w:rsidRPr="00100F3A">
        <w:rPr>
          <w:rFonts w:ascii="Book Antiqua" w:hAnsi="Book Antiqua"/>
          <w:color w:val="auto"/>
          <w:sz w:val="24"/>
          <w:vertAlign w:val="superscript"/>
        </w:rPr>
        <w:t>6</w:t>
      </w:r>
      <w:r w:rsidR="00AA43C5">
        <w:rPr>
          <w:rFonts w:ascii="Book Antiqua" w:hAnsi="Book Antiqua"/>
          <w:color w:val="auto"/>
          <w:sz w:val="24"/>
          <w:vertAlign w:val="superscript"/>
        </w:rPr>
        <w:t>,</w:t>
      </w:r>
      <w:r w:rsidRPr="00100F3A">
        <w:rPr>
          <w:rFonts w:ascii="Book Antiqua" w:hAnsi="Book Antiqua"/>
          <w:color w:val="auto"/>
          <w:sz w:val="24"/>
          <w:vertAlign w:val="superscript"/>
        </w:rPr>
        <w:t>3</w:t>
      </w:r>
      <w:r w:rsidR="00704E1B" w:rsidRPr="00100F3A">
        <w:rPr>
          <w:rFonts w:ascii="Book Antiqua" w:hAnsi="Book Antiqua"/>
          <w:color w:val="auto"/>
          <w:sz w:val="24"/>
          <w:vertAlign w:val="superscript"/>
        </w:rPr>
        <w:t>7</w:t>
      </w:r>
      <w:r w:rsidRPr="00100F3A">
        <w:rPr>
          <w:rFonts w:ascii="Book Antiqua" w:hAnsi="Book Antiqua"/>
          <w:color w:val="auto"/>
          <w:sz w:val="24"/>
          <w:vertAlign w:val="superscript"/>
        </w:rPr>
        <w:t>]</w:t>
      </w:r>
      <w:r w:rsidRPr="00100F3A">
        <w:rPr>
          <w:rFonts w:ascii="Book Antiqua" w:hAnsi="Book Antiqua"/>
          <w:color w:val="auto"/>
          <w:sz w:val="24"/>
        </w:rPr>
        <w:t xml:space="preserve">.  MET signaling also promotes angiogenesis by acting directly on the vascular endothelia </w:t>
      </w:r>
      <w:r w:rsidRPr="00100F3A">
        <w:rPr>
          <w:rFonts w:ascii="Book Antiqua" w:hAnsi="Book Antiqua"/>
          <w:color w:val="auto"/>
          <w:sz w:val="24"/>
        </w:rPr>
        <w:lastRenderedPageBreak/>
        <w:t>and provokes the synthesis of VEGF and interleukin-8 (IL-8)</w:t>
      </w:r>
      <w:r w:rsidR="00AA43C5" w:rsidRPr="00AA43C5">
        <w:rPr>
          <w:rFonts w:ascii="Book Antiqua" w:hAnsi="Book Antiqua"/>
          <w:color w:val="auto"/>
          <w:sz w:val="24"/>
          <w:vertAlign w:val="superscript"/>
        </w:rPr>
        <w:t>[</w:t>
      </w:r>
      <w:r w:rsidR="00704E1B" w:rsidRPr="00100F3A">
        <w:rPr>
          <w:rFonts w:ascii="Book Antiqua" w:hAnsi="Book Antiqua"/>
          <w:color w:val="auto"/>
          <w:sz w:val="24"/>
          <w:vertAlign w:val="superscript"/>
        </w:rPr>
        <w:t>35</w:t>
      </w:r>
      <w:r w:rsidRPr="00100F3A">
        <w:rPr>
          <w:rFonts w:ascii="Book Antiqua" w:hAnsi="Book Antiqua"/>
          <w:color w:val="auto"/>
          <w:sz w:val="24"/>
          <w:vertAlign w:val="superscript"/>
        </w:rPr>
        <w:t>]</w:t>
      </w:r>
      <w:r w:rsidRPr="00100F3A">
        <w:rPr>
          <w:rFonts w:ascii="Book Antiqua" w:hAnsi="Book Antiqua"/>
          <w:color w:val="auto"/>
          <w:sz w:val="24"/>
        </w:rPr>
        <w:t>.  Increased expression of c-MET within GBC generally indicates a poor prognosis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3</w:t>
      </w:r>
      <w:r w:rsidR="00704E1B" w:rsidRPr="00100F3A">
        <w:rPr>
          <w:rFonts w:ascii="Book Antiqua" w:hAnsi="Book Antiqua"/>
          <w:color w:val="auto"/>
          <w:sz w:val="24"/>
          <w:vertAlign w:val="superscript"/>
        </w:rPr>
        <w:t>6</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after="120" w:line="360" w:lineRule="auto"/>
        <w:jc w:val="both"/>
        <w:rPr>
          <w:rFonts w:ascii="Book Antiqua" w:eastAsia="Times New Roman" w:hAnsi="Book Antiqua"/>
          <w:b/>
          <w:i/>
          <w:color w:val="auto"/>
          <w:sz w:val="24"/>
        </w:rPr>
      </w:pPr>
      <w:r w:rsidRPr="00100F3A">
        <w:rPr>
          <w:rFonts w:ascii="Book Antiqua" w:hAnsi="Book Antiqua"/>
          <w:b/>
          <w:i/>
          <w:color w:val="auto"/>
          <w:sz w:val="24"/>
        </w:rPr>
        <w:t>RAS-RAF-MEK-MAPK Pathway</w:t>
      </w:r>
    </w:p>
    <w:p w:rsidR="00E25F9B" w:rsidRPr="00100F3A" w:rsidRDefault="00CF6F81" w:rsidP="00AA43C5">
      <w:pPr>
        <w:spacing w:after="0" w:line="360" w:lineRule="auto"/>
        <w:jc w:val="both"/>
        <w:rPr>
          <w:rFonts w:ascii="Book Antiqua" w:hAnsi="Book Antiqua"/>
          <w:color w:val="auto"/>
          <w:sz w:val="24"/>
        </w:rPr>
      </w:pPr>
      <w:r w:rsidRPr="00100F3A">
        <w:rPr>
          <w:rFonts w:ascii="Book Antiqua" w:eastAsia="Times New Roman" w:hAnsi="Book Antiqua"/>
          <w:color w:val="auto"/>
          <w:sz w:val="24"/>
        </w:rPr>
        <w:t>In biliary cancers, the RAS-RAF-MEK-MAPK signaling axis is a crucial driver of growth of invasive carcinoma. Through a complex web of interactions with cell-cycle regulatory proteins such as p53, p16</w:t>
      </w:r>
      <w:r w:rsidRPr="00100F3A">
        <w:rPr>
          <w:rFonts w:ascii="Book Antiqua" w:eastAsia="Times New Roman" w:hAnsi="Book Antiqua"/>
          <w:color w:val="auto"/>
          <w:sz w:val="24"/>
          <w:vertAlign w:val="superscript"/>
        </w:rPr>
        <w:t>INK4A</w:t>
      </w:r>
      <w:r w:rsidRPr="00100F3A">
        <w:rPr>
          <w:rFonts w:ascii="Book Antiqua" w:eastAsia="Times New Roman" w:hAnsi="Book Antiqua"/>
          <w:color w:val="auto"/>
          <w:sz w:val="24"/>
        </w:rPr>
        <w:t>, p21</w:t>
      </w:r>
      <w:r w:rsidRPr="00100F3A">
        <w:rPr>
          <w:rFonts w:ascii="Book Antiqua" w:eastAsia="Times New Roman" w:hAnsi="Book Antiqua"/>
          <w:color w:val="auto"/>
          <w:sz w:val="24"/>
          <w:vertAlign w:val="superscript"/>
        </w:rPr>
        <w:t>CDKN2A</w:t>
      </w:r>
      <w:r w:rsidRPr="00100F3A">
        <w:rPr>
          <w:rFonts w:ascii="Book Antiqua" w:eastAsia="Times New Roman" w:hAnsi="Book Antiqua"/>
          <w:color w:val="auto"/>
          <w:sz w:val="24"/>
        </w:rPr>
        <w:t>, this pathway can propel progression through the cell cycle</w:t>
      </w:r>
      <w:r w:rsidR="00AA43C5" w:rsidRPr="00AA43C5">
        <w:rPr>
          <w:rFonts w:ascii="Book Antiqua" w:eastAsia="Times New Roman" w:hAnsi="Book Antiqua"/>
          <w:color w:val="auto"/>
          <w:sz w:val="24"/>
          <w:vertAlign w:val="superscript"/>
        </w:rPr>
        <w:t>[</w:t>
      </w:r>
      <w:r w:rsidRPr="00100F3A">
        <w:rPr>
          <w:rFonts w:ascii="Book Antiqua" w:hAnsi="Book Antiqua"/>
          <w:color w:val="auto"/>
          <w:sz w:val="24"/>
          <w:vertAlign w:val="superscript"/>
        </w:rPr>
        <w:t>3</w:t>
      </w:r>
      <w:r w:rsidR="00D860DB"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Crosstalk between this pathway and the PI3K-AKT signaling axis also enables these cells to evade apoptosis, often via BCL-2 signaling. The first component of this pathway, KRAS, is of particular importance due to its ability to cross-stimulate the PI3K-AKT pathway in addition to propagating a signal down the RAS-RAF-MEK-MAPK sequence. Despite its theoretical importance and relatively high frequency in biliary tumors (Table 2), KRAS mutation status has not been found to correlate with clinical outcomes in either CC</w:t>
      </w:r>
      <w:r w:rsidR="00672699" w:rsidRPr="00100F3A">
        <w:rPr>
          <w:rFonts w:ascii="Book Antiqua" w:hAnsi="Book Antiqua"/>
          <w:color w:val="auto"/>
          <w:sz w:val="24"/>
        </w:rPr>
        <w:t xml:space="preserve"> </w:t>
      </w:r>
      <w:r w:rsidRPr="00100F3A">
        <w:rPr>
          <w:rFonts w:ascii="Book Antiqua" w:hAnsi="Book Antiqua"/>
          <w:color w:val="auto"/>
          <w:sz w:val="24"/>
        </w:rPr>
        <w:t>or BTC as a whole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860DB" w:rsidRPr="00100F3A">
        <w:rPr>
          <w:rFonts w:ascii="Book Antiqua" w:hAnsi="Book Antiqua"/>
          <w:color w:val="auto"/>
          <w:sz w:val="24"/>
          <w:vertAlign w:val="superscript"/>
        </w:rPr>
        <w:t>9</w:t>
      </w:r>
      <w:r w:rsidR="00AA43C5">
        <w:rPr>
          <w:rFonts w:ascii="Book Antiqua" w:hAnsi="Book Antiqua"/>
          <w:color w:val="auto"/>
          <w:sz w:val="24"/>
          <w:vertAlign w:val="superscript"/>
        </w:rPr>
        <w:t>,</w:t>
      </w:r>
      <w:r w:rsidRPr="00100F3A">
        <w:rPr>
          <w:rFonts w:ascii="Book Antiqua" w:hAnsi="Book Antiqua"/>
          <w:color w:val="auto"/>
          <w:sz w:val="24"/>
          <w:vertAlign w:val="superscript"/>
        </w:rPr>
        <w:t>3</w:t>
      </w:r>
      <w:r w:rsidR="00D860DB"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w:t>
      </w:r>
      <w:r w:rsidRPr="00100F3A">
        <w:rPr>
          <w:rFonts w:ascii="Book Antiqua" w:eastAsia="Times New Roman" w:hAnsi="Book Antiqua"/>
          <w:color w:val="auto"/>
          <w:sz w:val="24"/>
        </w:rPr>
        <w:t>The protein kinase BRAF, the direct downstream target of KRAS, is also mutated in a subset of bi</w:t>
      </w:r>
      <w:r w:rsidR="00AA43C5">
        <w:rPr>
          <w:rFonts w:ascii="Book Antiqua" w:eastAsia="Times New Roman" w:hAnsi="Book Antiqua"/>
          <w:color w:val="auto"/>
          <w:sz w:val="24"/>
        </w:rPr>
        <w:t xml:space="preserve">liary tract cancers (Table 2). </w:t>
      </w:r>
      <w:r w:rsidRPr="00100F3A">
        <w:rPr>
          <w:rFonts w:ascii="Book Antiqua" w:eastAsia="Times New Roman" w:hAnsi="Book Antiqua"/>
          <w:color w:val="auto"/>
          <w:sz w:val="24"/>
        </w:rPr>
        <w:t>The frequency of BRAF mutation demonstrates considerable geographic variability, with about 20% of biliary tumors harboring such mutations in England</w:t>
      </w:r>
      <w:r w:rsidR="00AA43C5" w:rsidRPr="00AA43C5">
        <w:rPr>
          <w:rFonts w:ascii="Book Antiqua" w:eastAsia="Times New Roman" w:hAnsi="Book Antiqua"/>
          <w:color w:val="auto"/>
          <w:sz w:val="24"/>
          <w:vertAlign w:val="superscript"/>
        </w:rPr>
        <w:t>[</w:t>
      </w:r>
      <w:r w:rsidRPr="00100F3A">
        <w:rPr>
          <w:rFonts w:ascii="Book Antiqua" w:eastAsia="Times New Roman" w:hAnsi="Book Antiqua"/>
          <w:color w:val="auto"/>
          <w:sz w:val="24"/>
          <w:vertAlign w:val="superscript"/>
        </w:rPr>
        <w:t>3</w:t>
      </w:r>
      <w:r w:rsidR="00D860DB" w:rsidRPr="00100F3A">
        <w:rPr>
          <w:rFonts w:ascii="Book Antiqua" w:eastAsia="Times New Roman"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and Germany</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40</w:t>
      </w:r>
      <w:r w:rsidRPr="00100F3A">
        <w:rPr>
          <w:rFonts w:ascii="Book Antiqua" w:hAnsi="Book Antiqua"/>
          <w:color w:val="auto"/>
          <w:sz w:val="24"/>
          <w:vertAlign w:val="superscript"/>
        </w:rPr>
        <w:t>]</w:t>
      </w:r>
      <w:r w:rsidRPr="00100F3A">
        <w:rPr>
          <w:rFonts w:ascii="Book Antiqua" w:hAnsi="Book Antiqua"/>
          <w:color w:val="auto"/>
          <w:sz w:val="24"/>
        </w:rPr>
        <w:t xml:space="preserve"> compared to less than 1% in Taiwan</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2</w:t>
      </w:r>
      <w:r w:rsidR="00D860DB"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and 0% in Chile</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41</w:t>
      </w:r>
      <w:r w:rsidRPr="00100F3A">
        <w:rPr>
          <w:rFonts w:ascii="Book Antiqua" w:hAnsi="Book Antiqua"/>
          <w:color w:val="auto"/>
          <w:sz w:val="24"/>
          <w:vertAlign w:val="superscript"/>
        </w:rPr>
        <w:t>]</w:t>
      </w:r>
      <w:r w:rsidRPr="00100F3A">
        <w:rPr>
          <w:rFonts w:ascii="Book Antiqua" w:hAnsi="Book Antiqua"/>
          <w:color w:val="auto"/>
          <w:sz w:val="24"/>
        </w:rPr>
        <w:t>.  Similar to KRAS, the mutation status of BRAF is not considered to be prognostic of clinical outcomes in BTC</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39</w:t>
      </w:r>
      <w:r w:rsidRPr="00100F3A">
        <w:rPr>
          <w:rFonts w:ascii="Book Antiqua" w:hAnsi="Book Antiqua"/>
          <w:color w:val="auto"/>
          <w:sz w:val="24"/>
          <w:vertAlign w:val="superscript"/>
        </w:rPr>
        <w:t>]</w:t>
      </w:r>
      <w:r w:rsidR="00AA43C5">
        <w:rPr>
          <w:rFonts w:ascii="Book Antiqua" w:hAnsi="Book Antiqua"/>
          <w:color w:val="auto"/>
          <w:sz w:val="24"/>
        </w:rPr>
        <w:t>.</w:t>
      </w:r>
      <w:r w:rsidR="00AA43C5">
        <w:rPr>
          <w:rFonts w:ascii="Book Antiqua" w:hAnsi="Book Antiqua" w:hint="eastAsia"/>
          <w:color w:val="auto"/>
          <w:sz w:val="24"/>
          <w:lang w:eastAsia="zh-CN"/>
        </w:rPr>
        <w:t xml:space="preserve"> </w:t>
      </w:r>
      <w:r w:rsidRPr="00100F3A">
        <w:rPr>
          <w:rFonts w:ascii="Book Antiqua" w:hAnsi="Book Antiqua"/>
          <w:color w:val="auto"/>
          <w:sz w:val="24"/>
        </w:rPr>
        <w:t>The third element of this pathway is mitogen-activated pr</w:t>
      </w:r>
      <w:r w:rsidR="00AA43C5">
        <w:rPr>
          <w:rFonts w:ascii="Book Antiqua" w:hAnsi="Book Antiqua"/>
          <w:color w:val="auto"/>
          <w:sz w:val="24"/>
        </w:rPr>
        <w:t>otein kinase-kinase (MEK).</w:t>
      </w:r>
      <w:r w:rsidR="00AA43C5">
        <w:rPr>
          <w:rFonts w:ascii="Book Antiqua" w:hAnsi="Book Antiqua" w:hint="eastAsia"/>
          <w:color w:val="auto"/>
          <w:sz w:val="24"/>
          <w:lang w:eastAsia="zh-CN"/>
        </w:rPr>
        <w:t xml:space="preserve"> </w:t>
      </w:r>
      <w:r w:rsidRPr="00100F3A">
        <w:rPr>
          <w:rFonts w:ascii="Book Antiqua" w:hAnsi="Book Antiqua"/>
          <w:color w:val="auto"/>
          <w:sz w:val="24"/>
        </w:rPr>
        <w:t xml:space="preserve">Although the frequency of MEK mutation has not been established, it is likely to be quite low.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after="120" w:line="360" w:lineRule="auto"/>
        <w:jc w:val="both"/>
        <w:rPr>
          <w:rFonts w:ascii="Book Antiqua" w:eastAsia="Times New Roman" w:hAnsi="Book Antiqua"/>
          <w:b/>
          <w:i/>
          <w:color w:val="auto"/>
          <w:sz w:val="24"/>
        </w:rPr>
      </w:pPr>
      <w:r w:rsidRPr="00100F3A">
        <w:rPr>
          <w:rFonts w:ascii="Book Antiqua" w:hAnsi="Book Antiqua"/>
          <w:b/>
          <w:i/>
          <w:color w:val="auto"/>
          <w:sz w:val="24"/>
        </w:rPr>
        <w:t xml:space="preserve">PI3K-AKT-mTOR </w:t>
      </w:r>
      <w:r w:rsidR="00AA43C5" w:rsidRPr="00100F3A">
        <w:rPr>
          <w:rFonts w:ascii="Book Antiqua" w:hAnsi="Book Antiqua"/>
          <w:b/>
          <w:i/>
          <w:color w:val="auto"/>
          <w:sz w:val="24"/>
        </w:rPr>
        <w:t>pathway</w:t>
      </w:r>
    </w:p>
    <w:p w:rsidR="00E25F9B" w:rsidRPr="00100F3A" w:rsidRDefault="00CF6F81" w:rsidP="00AA43C5">
      <w:pPr>
        <w:spacing w:after="0" w:line="360" w:lineRule="auto"/>
        <w:jc w:val="both"/>
        <w:rPr>
          <w:rFonts w:ascii="Book Antiqua" w:eastAsia="Times New Roman" w:hAnsi="Book Antiqua"/>
          <w:color w:val="auto"/>
          <w:sz w:val="24"/>
        </w:rPr>
      </w:pPr>
      <w:r w:rsidRPr="00100F3A">
        <w:rPr>
          <w:rFonts w:ascii="Book Antiqua" w:hAnsi="Book Antiqua"/>
          <w:color w:val="auto"/>
          <w:sz w:val="24"/>
        </w:rPr>
        <w:t>The PI3K-AKT-mTOR signaling cascade demonstrates over-activity in nearly half of human cancers, including tumors of the biliary tract</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42</w:t>
      </w:r>
      <w:r w:rsidRPr="00100F3A">
        <w:rPr>
          <w:rFonts w:ascii="Book Antiqua" w:hAnsi="Book Antiqua"/>
          <w:color w:val="auto"/>
          <w:sz w:val="24"/>
          <w:vertAlign w:val="superscript"/>
        </w:rPr>
        <w:t>]</w:t>
      </w:r>
      <w:r w:rsidRPr="00100F3A">
        <w:rPr>
          <w:rFonts w:ascii="Book Antiqua" w:hAnsi="Book Antiqua"/>
          <w:color w:val="auto"/>
          <w:sz w:val="24"/>
        </w:rPr>
        <w:t xml:space="preserve"> (Table 2).  Like RAS-RAF-MEK, this pathway is stimulated by receptors for EGF, VEGF, and hepatocyte growth factor.  When active, it functions to protect neoplastic cells from apoptosis by stimulating BCL-</w:t>
      </w:r>
      <w:r w:rsidRPr="00100F3A">
        <w:rPr>
          <w:rFonts w:ascii="Book Antiqua" w:hAnsi="Book Antiqua"/>
          <w:color w:val="auto"/>
          <w:sz w:val="24"/>
        </w:rPr>
        <w:lastRenderedPageBreak/>
        <w:t>2 and blocking the activity of caspase-9, the "death protease"</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43</w:t>
      </w:r>
      <w:r w:rsidRPr="00100F3A">
        <w:rPr>
          <w:rFonts w:ascii="Book Antiqua" w:hAnsi="Book Antiqua"/>
          <w:color w:val="auto"/>
          <w:sz w:val="24"/>
          <w:vertAlign w:val="superscript"/>
        </w:rPr>
        <w:t>]</w:t>
      </w:r>
      <w:r w:rsidRPr="00100F3A">
        <w:rPr>
          <w:rFonts w:ascii="Book Antiqua" w:hAnsi="Book Antiqua"/>
          <w:color w:val="auto"/>
          <w:sz w:val="24"/>
        </w:rPr>
        <w:t>. This pathway also drives progression through the cell cycle and mediates the pro-angiogenic effects of VEGF signaling</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3</w:t>
      </w:r>
      <w:r w:rsidR="00D860DB"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There is also evidence that PI3K-AKT-mTOR signaling regulates the production of matrix metalloproteinases, which are instrumental in local invasion</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44</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hAnsi="Book Antiqua"/>
          <w:color w:val="auto"/>
          <w:sz w:val="24"/>
        </w:rPr>
        <w:t>The first component of this pathway is phosphoinositide-3-kinase (PI3K), which propagates its signal downstream through the activity of a phosphotidylinositol-3-kinase catalytic alpha (PIK3CA) domain.  Activating mutations of this kinase in BTC and other human malignancies typically occur at "hotspots" located within exons 9 and 20</w:t>
      </w:r>
      <w:r w:rsidR="00AA43C5" w:rsidRPr="00AA43C5">
        <w:rPr>
          <w:rFonts w:ascii="Book Antiqua" w:hAnsi="Book Antiqua"/>
          <w:color w:val="auto"/>
          <w:sz w:val="24"/>
          <w:vertAlign w:val="superscript"/>
        </w:rPr>
        <w:t>[</w:t>
      </w:r>
      <w:r w:rsidR="00D860DB" w:rsidRPr="00100F3A">
        <w:rPr>
          <w:rFonts w:ascii="Book Antiqua" w:hAnsi="Book Antiqua"/>
          <w:color w:val="auto"/>
          <w:sz w:val="24"/>
          <w:vertAlign w:val="superscript"/>
        </w:rPr>
        <w:t>45</w:t>
      </w:r>
      <w:r w:rsidR="00AA43C5">
        <w:rPr>
          <w:rFonts w:ascii="Book Antiqua" w:hAnsi="Book Antiqua"/>
          <w:color w:val="auto"/>
          <w:sz w:val="24"/>
          <w:vertAlign w:val="superscript"/>
        </w:rPr>
        <w:t>,</w:t>
      </w:r>
      <w:r w:rsidRPr="00100F3A">
        <w:rPr>
          <w:rFonts w:ascii="Book Antiqua" w:hAnsi="Book Antiqua"/>
          <w:color w:val="auto"/>
          <w:sz w:val="24"/>
          <w:vertAlign w:val="superscript"/>
        </w:rPr>
        <w:t>4</w:t>
      </w:r>
      <w:r w:rsidR="00D860DB" w:rsidRPr="00100F3A">
        <w:rPr>
          <w:rFonts w:ascii="Book Antiqua" w:hAnsi="Book Antiqua"/>
          <w:color w:val="auto"/>
          <w:sz w:val="24"/>
          <w:vertAlign w:val="superscript"/>
        </w:rPr>
        <w:t>6</w:t>
      </w:r>
      <w:r w:rsidRPr="00100F3A">
        <w:rPr>
          <w:rFonts w:ascii="Book Antiqua" w:hAnsi="Book Antiqua"/>
          <w:color w:val="auto"/>
          <w:sz w:val="24"/>
          <w:vertAlign w:val="superscript"/>
        </w:rPr>
        <w:t>]</w:t>
      </w:r>
      <w:r w:rsidRPr="00100F3A">
        <w:rPr>
          <w:rFonts w:ascii="Book Antiqua" w:hAnsi="Book Antiqua"/>
          <w:color w:val="auto"/>
          <w:sz w:val="24"/>
        </w:rPr>
        <w:t>. PI3K acts directly to stimulate AKT, which is strictly conserved in all subtypes of BTC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4</w:t>
      </w:r>
      <w:r w:rsidR="00084BDA" w:rsidRPr="00100F3A">
        <w:rPr>
          <w:rFonts w:ascii="Book Antiqua" w:hAnsi="Book Antiqua"/>
          <w:color w:val="auto"/>
          <w:sz w:val="24"/>
          <w:vertAlign w:val="superscript"/>
        </w:rPr>
        <w:t>7</w:t>
      </w:r>
      <w:r w:rsidRPr="00100F3A">
        <w:rPr>
          <w:rFonts w:ascii="Book Antiqua" w:hAnsi="Book Antiqua"/>
          <w:color w:val="auto"/>
          <w:sz w:val="24"/>
          <w:vertAlign w:val="superscript"/>
        </w:rPr>
        <w:t>]</w:t>
      </w:r>
      <w:r w:rsidRPr="00100F3A">
        <w:rPr>
          <w:rFonts w:ascii="Book Antiqua" w:hAnsi="Book Antiqua"/>
          <w:color w:val="auto"/>
          <w:sz w:val="24"/>
        </w:rPr>
        <w:t>. Downstream of AKT is the mammalian target of rapamycin (mTOR). In its activated state, mTOR works through a number of intermediates to facilitate key aspects of malignant behavior. It drives progression through the cell cycle by inhibiting the regulatory protein 4E-BP1</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4</w:t>
      </w:r>
      <w:r w:rsidR="00084BDA"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00AA43C5">
        <w:rPr>
          <w:rFonts w:ascii="Book Antiqua" w:hAnsi="Book Antiqua"/>
          <w:color w:val="auto"/>
          <w:sz w:val="24"/>
        </w:rPr>
        <w:t>.</w:t>
      </w:r>
      <w:r w:rsidR="00AA43C5">
        <w:rPr>
          <w:rFonts w:ascii="Book Antiqua" w:hAnsi="Book Antiqua" w:hint="eastAsia"/>
          <w:color w:val="auto"/>
          <w:sz w:val="24"/>
          <w:lang w:eastAsia="zh-CN"/>
        </w:rPr>
        <w:t xml:space="preserve"> </w:t>
      </w:r>
      <w:r w:rsidRPr="00100F3A">
        <w:rPr>
          <w:rFonts w:ascii="Book Antiqua" w:hAnsi="Book Antiqua"/>
          <w:color w:val="auto"/>
          <w:sz w:val="24"/>
        </w:rPr>
        <w:t>Its other functions include accelerating cell proliferation and promoting angiogenesis via production of hypoxia inducible factor</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4</w:t>
      </w:r>
      <w:r w:rsidR="00084BDA" w:rsidRPr="00100F3A">
        <w:rPr>
          <w:rFonts w:ascii="Book Antiqua" w:hAnsi="Book Antiqua"/>
          <w:color w:val="auto"/>
          <w:sz w:val="24"/>
          <w:vertAlign w:val="superscript"/>
        </w:rPr>
        <w:t>8</w:t>
      </w:r>
      <w:r w:rsidRPr="00100F3A">
        <w:rPr>
          <w:rFonts w:ascii="Book Antiqua" w:hAnsi="Book Antiqua"/>
          <w:color w:val="auto"/>
          <w:sz w:val="24"/>
          <w:vertAlign w:val="superscript"/>
        </w:rPr>
        <w:t>, 4</w:t>
      </w:r>
      <w:r w:rsidR="00084BDA"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Although it is rarely mutated in BTC, hyperactivity of mTOR is associated with shortened overall survival in CC</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0</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E25F9B" w:rsidP="00AA43C5">
      <w:pPr>
        <w:spacing w:after="0" w:line="360" w:lineRule="auto"/>
        <w:ind w:firstLine="720"/>
        <w:jc w:val="both"/>
        <w:rPr>
          <w:rFonts w:ascii="Book Antiqua" w:eastAsia="Times New Roman" w:hAnsi="Book Antiqua"/>
          <w:color w:val="auto"/>
          <w:sz w:val="24"/>
        </w:rPr>
      </w:pPr>
    </w:p>
    <w:p w:rsidR="00E25F9B" w:rsidRPr="00100F3A" w:rsidRDefault="00CF6F81" w:rsidP="00AA43C5">
      <w:pPr>
        <w:spacing w:after="120" w:line="360" w:lineRule="auto"/>
        <w:jc w:val="both"/>
        <w:rPr>
          <w:rFonts w:ascii="Book Antiqua" w:eastAsia="Times New Roman" w:hAnsi="Book Antiqua"/>
          <w:b/>
          <w:i/>
          <w:color w:val="auto"/>
          <w:sz w:val="24"/>
        </w:rPr>
      </w:pPr>
      <w:r w:rsidRPr="00100F3A">
        <w:rPr>
          <w:rFonts w:ascii="Book Antiqua" w:hAnsi="Book Antiqua"/>
          <w:b/>
          <w:i/>
          <w:color w:val="auto"/>
          <w:sz w:val="24"/>
        </w:rPr>
        <w:t xml:space="preserve">Inflammation-associated pathways </w:t>
      </w:r>
    </w:p>
    <w:p w:rsidR="00E25F9B" w:rsidRPr="00100F3A" w:rsidRDefault="00CF6F81" w:rsidP="00AA43C5">
      <w:pPr>
        <w:spacing w:after="0" w:line="360" w:lineRule="auto"/>
        <w:jc w:val="both"/>
        <w:rPr>
          <w:rFonts w:ascii="Book Antiqua" w:eastAsia="Times New Roman" w:hAnsi="Book Antiqua"/>
          <w:color w:val="auto"/>
          <w:sz w:val="24"/>
        </w:rPr>
      </w:pPr>
      <w:r w:rsidRPr="00100F3A">
        <w:rPr>
          <w:rFonts w:ascii="Book Antiqua" w:hAnsi="Book Antiqua"/>
          <w:color w:val="auto"/>
          <w:sz w:val="24"/>
        </w:rPr>
        <w:t>As described earlier, inflammation is often a key element in the pathogenesis of GBC, IHCC, and EHCC. The inflammatory cytokine, interleukin-6 (IL-6), is produced by malignant cholangiocytes and acts as a potent stimulator of CC growth and survival</w:t>
      </w:r>
      <w:r w:rsidR="00AA43C5" w:rsidRPr="00AA43C5">
        <w:rPr>
          <w:rFonts w:ascii="Book Antiqua" w:hAnsi="Book Antiqua"/>
          <w:color w:val="auto"/>
          <w:sz w:val="24"/>
          <w:vertAlign w:val="superscript"/>
        </w:rPr>
        <w:t>[</w:t>
      </w:r>
      <w:r w:rsidR="00084BDA" w:rsidRPr="00100F3A">
        <w:rPr>
          <w:rFonts w:ascii="Book Antiqua" w:hAnsi="Book Antiqua"/>
          <w:color w:val="auto"/>
          <w:sz w:val="24"/>
          <w:vertAlign w:val="superscript"/>
        </w:rPr>
        <w:t>51</w:t>
      </w:r>
      <w:r w:rsidR="00AA43C5">
        <w:rPr>
          <w:rFonts w:ascii="Book Antiqua" w:hAnsi="Book Antiqua"/>
          <w:color w:val="auto"/>
          <w:sz w:val="24"/>
          <w:vertAlign w:val="superscript"/>
        </w:rPr>
        <w:t>,</w:t>
      </w:r>
      <w:r w:rsidR="00084BDA" w:rsidRPr="00100F3A">
        <w:rPr>
          <w:rFonts w:ascii="Book Antiqua" w:hAnsi="Book Antiqua"/>
          <w:color w:val="auto"/>
          <w:sz w:val="24"/>
          <w:vertAlign w:val="superscript"/>
        </w:rPr>
        <w:t>52</w:t>
      </w:r>
      <w:r w:rsidRPr="00100F3A">
        <w:rPr>
          <w:rFonts w:ascii="Book Antiqua" w:hAnsi="Book Antiqua"/>
          <w:color w:val="auto"/>
          <w:sz w:val="24"/>
          <w:vertAlign w:val="superscript"/>
        </w:rPr>
        <w:t>]</w:t>
      </w:r>
      <w:r w:rsidRPr="00100F3A">
        <w:rPr>
          <w:rFonts w:ascii="Book Antiqua" w:hAnsi="Book Antiqua"/>
          <w:color w:val="auto"/>
          <w:sz w:val="24"/>
        </w:rPr>
        <w:t>. IL-6 functions predominantly through activation of STAT3, a transcription factor that promotes expression of the anti-apoptotic protein Mcl-1</w:t>
      </w:r>
      <w:r w:rsidR="00AA43C5" w:rsidRPr="00AA43C5">
        <w:rPr>
          <w:rFonts w:ascii="Book Antiqua" w:hAnsi="Book Antiqua"/>
          <w:color w:val="auto"/>
          <w:sz w:val="24"/>
          <w:vertAlign w:val="superscript"/>
        </w:rPr>
        <w:t>[</w:t>
      </w:r>
      <w:r w:rsidR="00084BDA" w:rsidRPr="00100F3A">
        <w:rPr>
          <w:rFonts w:ascii="Book Antiqua" w:hAnsi="Book Antiqua"/>
          <w:color w:val="auto"/>
          <w:sz w:val="24"/>
          <w:vertAlign w:val="superscript"/>
        </w:rPr>
        <w:t>52</w:t>
      </w:r>
      <w:r w:rsidRPr="00100F3A">
        <w:rPr>
          <w:rFonts w:ascii="Book Antiqua" w:hAnsi="Book Antiqua"/>
          <w:color w:val="auto"/>
          <w:sz w:val="24"/>
          <w:vertAlign w:val="superscript"/>
        </w:rPr>
        <w:t>]</w:t>
      </w:r>
      <w:r w:rsidRPr="00100F3A">
        <w:rPr>
          <w:rFonts w:ascii="Book Antiqua" w:hAnsi="Book Antiqua"/>
          <w:color w:val="auto"/>
          <w:sz w:val="24"/>
        </w:rPr>
        <w:t>. This induces resistance to TNF-related apoptosis-inducing ligand (TRAIL) mediated apoptosis, a major mechanism by which apoptosis is induced in normal cells. In a study using human cholangiocarcinoma cell lines, the multi-kinase inhibitor sorafenib was found to induce STAT3 dephosphorylation and reduce expression of Mcl-1</w:t>
      </w:r>
      <w:r w:rsidR="00AA43C5" w:rsidRPr="00AA43C5">
        <w:rPr>
          <w:rFonts w:ascii="Book Antiqua" w:hAnsi="Book Antiqua"/>
          <w:color w:val="auto"/>
          <w:sz w:val="24"/>
          <w:vertAlign w:val="superscript"/>
        </w:rPr>
        <w:t>[</w:t>
      </w:r>
      <w:r w:rsidR="00084BDA" w:rsidRPr="00100F3A">
        <w:rPr>
          <w:rFonts w:ascii="Book Antiqua" w:hAnsi="Book Antiqua"/>
          <w:color w:val="auto"/>
          <w:sz w:val="24"/>
          <w:vertAlign w:val="superscript"/>
        </w:rPr>
        <w:t>53</w:t>
      </w:r>
      <w:r w:rsidRPr="00100F3A">
        <w:rPr>
          <w:rFonts w:ascii="Book Antiqua" w:hAnsi="Book Antiqua"/>
          <w:color w:val="auto"/>
          <w:sz w:val="24"/>
          <w:vertAlign w:val="superscript"/>
        </w:rPr>
        <w:t>]</w:t>
      </w:r>
      <w:r w:rsidRPr="00100F3A">
        <w:rPr>
          <w:rFonts w:ascii="Book Antiqua" w:hAnsi="Book Antiqua"/>
          <w:color w:val="auto"/>
          <w:sz w:val="24"/>
        </w:rPr>
        <w:t>. Increased serum concentration of IL-6 is present in nearly all patients with cholangiocarcinoma</w:t>
      </w:r>
      <w:r w:rsidR="00AA43C5" w:rsidRPr="00AA43C5">
        <w:rPr>
          <w:rFonts w:ascii="Book Antiqua" w:hAnsi="Book Antiqua"/>
          <w:color w:val="auto"/>
          <w:sz w:val="24"/>
          <w:vertAlign w:val="superscript"/>
        </w:rPr>
        <w:t>[</w:t>
      </w:r>
      <w:r w:rsidR="00084BDA" w:rsidRPr="00100F3A">
        <w:rPr>
          <w:rFonts w:ascii="Book Antiqua" w:hAnsi="Book Antiqua"/>
          <w:color w:val="auto"/>
          <w:sz w:val="24"/>
          <w:vertAlign w:val="superscript"/>
        </w:rPr>
        <w:t>5</w:t>
      </w:r>
      <w:r w:rsidRPr="00100F3A">
        <w:rPr>
          <w:rFonts w:ascii="Book Antiqua" w:hAnsi="Book Antiqua"/>
          <w:color w:val="auto"/>
          <w:sz w:val="24"/>
          <w:vertAlign w:val="superscript"/>
        </w:rPr>
        <w:t>4]</w:t>
      </w:r>
      <w:r w:rsidRPr="00100F3A">
        <w:rPr>
          <w:rFonts w:ascii="Book Antiqua" w:hAnsi="Book Antiqua"/>
          <w:color w:val="auto"/>
          <w:sz w:val="24"/>
        </w:rPr>
        <w:t>, whereas 62% display constitutive activation of STAT3</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5</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D14B93" w:rsidRDefault="00E25F9B" w:rsidP="00AA43C5">
      <w:pPr>
        <w:spacing w:after="120" w:line="360" w:lineRule="auto"/>
        <w:jc w:val="both"/>
        <w:rPr>
          <w:rFonts w:ascii="Book Antiqua" w:eastAsia="Times New Roman" w:hAnsi="Book Antiqua"/>
          <w:color w:val="auto"/>
          <w:sz w:val="24"/>
        </w:rPr>
      </w:pPr>
    </w:p>
    <w:p w:rsidR="00E25F9B" w:rsidRDefault="00CF6F81" w:rsidP="00AA43C5">
      <w:pPr>
        <w:spacing w:after="0" w:line="360" w:lineRule="auto"/>
        <w:jc w:val="both"/>
        <w:rPr>
          <w:rFonts w:ascii="Book Antiqua" w:hAnsi="Book Antiqua"/>
          <w:color w:val="auto"/>
          <w:sz w:val="24"/>
          <w:lang w:eastAsia="zh-CN"/>
        </w:rPr>
      </w:pPr>
      <w:r w:rsidRPr="00100F3A">
        <w:rPr>
          <w:rFonts w:ascii="Book Antiqua" w:eastAsia="Times New Roman" w:hAnsi="Book Antiqua"/>
          <w:color w:val="auto"/>
          <w:sz w:val="24"/>
        </w:rPr>
        <w:tab/>
        <w:t>Another mediator of inflammation, cyclooxygenase 2 (COX2), is normally involved in the synthesis of inflammatory cytokines and growth factors. In neoplastic cells, however, it also promotes angiogenesis by increasing the expression of VEGF</w:t>
      </w:r>
      <w:r w:rsidR="00AA43C5" w:rsidRPr="00AA43C5">
        <w:rPr>
          <w:rFonts w:ascii="Book Antiqua" w:eastAsia="Times New Roman" w:hAnsi="Book Antiqua"/>
          <w:color w:val="auto"/>
          <w:sz w:val="24"/>
          <w:vertAlign w:val="superscript"/>
        </w:rPr>
        <w:t>[</w:t>
      </w:r>
      <w:r w:rsidRPr="00100F3A">
        <w:rPr>
          <w:rFonts w:ascii="Book Antiqua" w:eastAsia="Times New Roman" w:hAnsi="Book Antiqua"/>
          <w:color w:val="auto"/>
          <w:sz w:val="24"/>
          <w:vertAlign w:val="superscript"/>
        </w:rPr>
        <w:t>5</w:t>
      </w:r>
      <w:r w:rsidR="00084BDA" w:rsidRPr="00100F3A">
        <w:rPr>
          <w:rFonts w:ascii="Book Antiqua" w:eastAsia="Times New Roman" w:hAnsi="Book Antiqua"/>
          <w:color w:val="auto"/>
          <w:sz w:val="24"/>
          <w:vertAlign w:val="superscript"/>
        </w:rPr>
        <w:t>6</w:t>
      </w:r>
      <w:r w:rsidRPr="00100F3A">
        <w:rPr>
          <w:rFonts w:ascii="Book Antiqua" w:hAnsi="Book Antiqua"/>
          <w:color w:val="auto"/>
          <w:sz w:val="24"/>
          <w:vertAlign w:val="superscript"/>
        </w:rPr>
        <w:t>]</w:t>
      </w:r>
      <w:r w:rsidRPr="00100F3A">
        <w:rPr>
          <w:rFonts w:ascii="Book Antiqua" w:hAnsi="Book Antiqua"/>
          <w:color w:val="auto"/>
          <w:sz w:val="24"/>
        </w:rPr>
        <w:t>.  COX2 also contributes to local invasion via the synthesis of matrix metalloproteinases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7</w:t>
      </w:r>
      <w:r w:rsidRPr="00100F3A">
        <w:rPr>
          <w:rFonts w:ascii="Book Antiqua" w:hAnsi="Book Antiqua"/>
          <w:color w:val="auto"/>
          <w:sz w:val="24"/>
          <w:vertAlign w:val="superscript"/>
        </w:rPr>
        <w:t>]</w:t>
      </w:r>
      <w:r w:rsidRPr="00100F3A">
        <w:rPr>
          <w:rFonts w:ascii="Book Antiqua" w:hAnsi="Book Antiqua"/>
          <w:color w:val="auto"/>
          <w:sz w:val="24"/>
        </w:rPr>
        <w:t>.  Clinically, COX2 over-expression is commonly observed in GBC and it suggests shortened overall survival as well as increased likelihood of metastases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7</w:t>
      </w:r>
      <w:r w:rsidR="00C027CF">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Research in animal models of CC has shown that COX2 inhibition suppresses tumor growth and induces apoptosis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5</w:t>
      </w:r>
      <w:r w:rsidR="00084BDA"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AA43C5" w:rsidRDefault="00E25F9B" w:rsidP="00AA43C5">
      <w:pPr>
        <w:spacing w:line="360" w:lineRule="auto"/>
        <w:jc w:val="both"/>
        <w:rPr>
          <w:rFonts w:ascii="Book Antiqua" w:eastAsiaTheme="minorEastAsia" w:hAnsi="Book Antiqua"/>
          <w:b/>
          <w:color w:val="auto"/>
          <w:sz w:val="24"/>
          <w:lang w:eastAsia="zh-CN"/>
        </w:rPr>
      </w:pPr>
    </w:p>
    <w:p w:rsidR="00E25F9B" w:rsidRPr="00100F3A" w:rsidRDefault="00CF6F81" w:rsidP="00AA43C5">
      <w:pPr>
        <w:pStyle w:val="Heading2"/>
        <w:spacing w:after="120"/>
        <w:jc w:val="both"/>
        <w:rPr>
          <w:rFonts w:eastAsia="Times New Roman Bold"/>
          <w:color w:val="auto"/>
        </w:rPr>
      </w:pPr>
      <w:bookmarkStart w:id="57" w:name="_ENREF_1"/>
      <w:r w:rsidRPr="00100F3A">
        <w:rPr>
          <w:color w:val="auto"/>
        </w:rPr>
        <w:t>TARGETED THERAPEUTICS IN BILIARY TRACT CARCINOMA</w:t>
      </w:r>
    </w:p>
    <w:p w:rsidR="00E25F9B" w:rsidRPr="00100F3A" w:rsidRDefault="00CF6F81" w:rsidP="00AA43C5">
      <w:pPr>
        <w:spacing w:after="0" w:line="360" w:lineRule="auto"/>
        <w:jc w:val="both"/>
        <w:rPr>
          <w:rFonts w:ascii="Book Antiqua" w:eastAsia="Times New Roman" w:hAnsi="Book Antiqua"/>
          <w:color w:val="auto"/>
          <w:sz w:val="24"/>
        </w:rPr>
      </w:pPr>
      <w:r w:rsidRPr="00100F3A">
        <w:rPr>
          <w:rFonts w:ascii="Book Antiqua" w:hAnsi="Book Antiqua"/>
          <w:color w:val="auto"/>
          <w:sz w:val="24"/>
        </w:rPr>
        <w:t xml:space="preserve">Many of the growth factors receptors and signaling pathways have become targeted for therapy in BTC. </w:t>
      </w:r>
      <w:r w:rsidR="00AA43C5" w:rsidRPr="00100F3A">
        <w:rPr>
          <w:rFonts w:ascii="Book Antiqua" w:hAnsi="Book Antiqua"/>
          <w:color w:val="auto"/>
          <w:sz w:val="24"/>
        </w:rPr>
        <w:t>This</w:t>
      </w:r>
      <w:r w:rsidRPr="00100F3A">
        <w:rPr>
          <w:rFonts w:ascii="Book Antiqua" w:hAnsi="Book Antiqua"/>
          <w:color w:val="auto"/>
          <w:sz w:val="24"/>
        </w:rPr>
        <w:t xml:space="preserve"> targeted therapeutics, typically monoclonal antibodies or tyrosine kinase inhibitors, seek to block the signaling networks that promote tumor survival, growth, and invasion. The mechanism of action, efficacy, and safety of each targeted agent is discussed as follows. The sites of action for the targeted drugs are illustrated in Figure 2. In addition, the outcome data for the combination regimens of targeted agents investigated in clinical trials of BTC are described in Table 3.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color w:val="auto"/>
          <w:sz w:val="24"/>
        </w:rPr>
      </w:pPr>
      <w:r w:rsidRPr="00100F3A">
        <w:rPr>
          <w:rFonts w:ascii="Book Antiqua" w:hAnsi="Book Antiqua"/>
          <w:b/>
          <w:i/>
          <w:color w:val="auto"/>
          <w:sz w:val="24"/>
        </w:rPr>
        <w:t>EGFR inhibitors</w:t>
      </w:r>
      <w:r w:rsidRPr="00100F3A">
        <w:rPr>
          <w:rFonts w:ascii="Book Antiqua" w:eastAsia="Times New Roman" w:hAnsi="Book Antiqua"/>
          <w:b/>
          <w:color w:val="auto"/>
          <w:sz w:val="24"/>
        </w:rPr>
        <w:tab/>
      </w:r>
    </w:p>
    <w:p w:rsidR="00E25F9B" w:rsidRPr="00100F3A" w:rsidRDefault="00CF6F81" w:rsidP="00AA43C5">
      <w:pPr>
        <w:spacing w:line="360" w:lineRule="auto"/>
        <w:jc w:val="both"/>
        <w:rPr>
          <w:rFonts w:ascii="Book Antiqua" w:eastAsia="Times New Roman" w:hAnsi="Book Antiqua"/>
          <w:color w:val="auto"/>
          <w:sz w:val="24"/>
        </w:rPr>
      </w:pPr>
      <w:r w:rsidRPr="00100F3A">
        <w:rPr>
          <w:rFonts w:ascii="Book Antiqua" w:hAnsi="Book Antiqua"/>
          <w:color w:val="auto"/>
          <w:sz w:val="24"/>
        </w:rPr>
        <w:t>Erlotinib is a tyrosine kinase inhibitor (TKI) that prevents activation of EGFR through reversible blockade of the receptor's ATP binding site. This results in the receptor being unable to activate its effector pathways such as RAS-RAF-MEK and PI3K-AKT-mTOR. Initial studies of erlotinib as a monotherapy demonstrated activity against BTC in general</w:t>
      </w:r>
      <w:r w:rsidR="00AA43C5" w:rsidRPr="00AA43C5">
        <w:rPr>
          <w:rFonts w:ascii="Book Antiqua" w:hAnsi="Book Antiqua"/>
          <w:color w:val="auto"/>
          <w:sz w:val="24"/>
          <w:vertAlign w:val="superscript"/>
        </w:rPr>
        <w:t>[</w:t>
      </w:r>
      <w:r w:rsidR="00786689" w:rsidRPr="00100F3A">
        <w:rPr>
          <w:rFonts w:ascii="Book Antiqua" w:hAnsi="Book Antiqua"/>
          <w:color w:val="auto"/>
          <w:sz w:val="24"/>
          <w:vertAlign w:val="superscript"/>
        </w:rPr>
        <w:t>60</w:t>
      </w:r>
      <w:r w:rsidRPr="00100F3A">
        <w:rPr>
          <w:rFonts w:ascii="Book Antiqua" w:hAnsi="Book Antiqua"/>
          <w:color w:val="auto"/>
          <w:sz w:val="24"/>
          <w:vertAlign w:val="superscript"/>
        </w:rPr>
        <w:t>]</w:t>
      </w:r>
      <w:r w:rsidRPr="00100F3A">
        <w:rPr>
          <w:rFonts w:ascii="Book Antiqua" w:hAnsi="Book Antiqua"/>
          <w:color w:val="auto"/>
          <w:sz w:val="24"/>
        </w:rPr>
        <w:t>, but subsequent investigations of this agent in combination with other drugs have thus far been disappointing. Erlotinib has been studied as an adjunct to either GEMOX (gemcitabine and oxaliplatin)</w:t>
      </w:r>
      <w:r w:rsidR="00AA43C5" w:rsidRPr="00AA43C5">
        <w:rPr>
          <w:rFonts w:ascii="Book Antiqua" w:hAnsi="Book Antiqua"/>
          <w:color w:val="auto"/>
          <w:sz w:val="24"/>
          <w:vertAlign w:val="superscript"/>
        </w:rPr>
        <w:t>[</w:t>
      </w:r>
      <w:r w:rsidR="00D1262D" w:rsidRPr="00100F3A">
        <w:rPr>
          <w:rFonts w:ascii="Book Antiqua" w:hAnsi="Book Antiqua"/>
          <w:color w:val="auto"/>
          <w:sz w:val="24"/>
          <w:vertAlign w:val="superscript"/>
        </w:rPr>
        <w:t>61</w:t>
      </w:r>
      <w:r w:rsidRPr="00100F3A">
        <w:rPr>
          <w:rFonts w:ascii="Book Antiqua" w:hAnsi="Book Antiqua"/>
          <w:color w:val="auto"/>
          <w:sz w:val="24"/>
          <w:vertAlign w:val="superscript"/>
        </w:rPr>
        <w:t>]</w:t>
      </w:r>
      <w:r w:rsidRPr="00100F3A">
        <w:rPr>
          <w:rFonts w:ascii="Book Antiqua" w:hAnsi="Book Antiqua"/>
          <w:color w:val="auto"/>
          <w:sz w:val="24"/>
        </w:rPr>
        <w:t>, or the VEGF inhibitor bevacizumab</w:t>
      </w:r>
      <w:r w:rsidR="00AA43C5" w:rsidRPr="00AA43C5">
        <w:rPr>
          <w:rFonts w:ascii="Book Antiqua" w:hAnsi="Book Antiqua"/>
          <w:color w:val="auto"/>
          <w:sz w:val="24"/>
          <w:vertAlign w:val="superscript"/>
        </w:rPr>
        <w:t>[</w:t>
      </w:r>
      <w:r w:rsidR="00D1262D" w:rsidRPr="00100F3A">
        <w:rPr>
          <w:rFonts w:ascii="Book Antiqua" w:hAnsi="Book Antiqua"/>
          <w:color w:val="auto"/>
          <w:sz w:val="24"/>
          <w:vertAlign w:val="superscript"/>
        </w:rPr>
        <w:t>62</w:t>
      </w:r>
      <w:r w:rsidRPr="00100F3A">
        <w:rPr>
          <w:rFonts w:ascii="Book Antiqua" w:hAnsi="Book Antiqua"/>
          <w:color w:val="auto"/>
          <w:sz w:val="24"/>
          <w:vertAlign w:val="superscript"/>
        </w:rPr>
        <w:t>]</w:t>
      </w:r>
      <w:r w:rsidRPr="00100F3A">
        <w:rPr>
          <w:rFonts w:ascii="Book Antiqua" w:hAnsi="Book Antiqua"/>
          <w:color w:val="auto"/>
          <w:sz w:val="24"/>
        </w:rPr>
        <w:t xml:space="preserve">. Aside </w:t>
      </w:r>
      <w:r w:rsidRPr="00100F3A">
        <w:rPr>
          <w:rFonts w:ascii="Book Antiqua" w:hAnsi="Book Antiqua"/>
          <w:color w:val="auto"/>
          <w:sz w:val="24"/>
        </w:rPr>
        <w:lastRenderedPageBreak/>
        <w:t xml:space="preserve">from a slight improvement in progression free survival (PFS) when added to GEMOX in the treatment of CC, the addition of erlotinib fails to prolong survival beyond that which would be expected from GEMOX or bevacizumab alone in patients with CC or GBC. Despite this, erlotinib displayed activity as a monotherapy and is consistently well tolerated, thus suggesting that it may carve out a niche in treating BTC. At the present time, there are several studies of erlotinib in combination with both traditional chemotherapy and targeted agents underway. </w:t>
      </w:r>
    </w:p>
    <w:p w:rsidR="00E25F9B" w:rsidRPr="00100F3A" w:rsidRDefault="00CF6F81" w:rsidP="00AA43C5">
      <w:pPr>
        <w:spacing w:after="0" w:line="360" w:lineRule="auto"/>
        <w:ind w:firstLine="720"/>
        <w:jc w:val="both"/>
        <w:rPr>
          <w:rFonts w:ascii="Book Antiqua" w:eastAsia="Times New Roman" w:hAnsi="Book Antiqua"/>
          <w:color w:val="auto"/>
          <w:sz w:val="24"/>
        </w:rPr>
      </w:pPr>
      <w:r w:rsidRPr="00100F3A">
        <w:rPr>
          <w:rFonts w:ascii="Book Antiqua" w:hAnsi="Book Antiqua"/>
          <w:color w:val="auto"/>
          <w:sz w:val="24"/>
        </w:rPr>
        <w:t>Evidence regarding the use of monoclonal antibodies against EGFR has been similarly mixed. Cetuximab and panitumumab are monoclonal antibodies that selectively block the extracellular ligand-binding domain of the receptor, thereby preventing its activation (Figure 2).  In combination with GEMOX, cetuximab was found to increase the rate of 4 month progression-free survival in patients with BTC without significant increase in toxicity</w:t>
      </w:r>
      <w:r w:rsidR="00AA43C5" w:rsidRPr="00AA43C5">
        <w:rPr>
          <w:rFonts w:ascii="Book Antiqua" w:hAnsi="Book Antiqua"/>
          <w:color w:val="auto"/>
          <w:sz w:val="24"/>
          <w:vertAlign w:val="superscript"/>
        </w:rPr>
        <w:t>[</w:t>
      </w:r>
      <w:r w:rsidR="00D1262D" w:rsidRPr="00100F3A">
        <w:rPr>
          <w:rFonts w:ascii="Book Antiqua" w:hAnsi="Book Antiqua"/>
          <w:color w:val="auto"/>
          <w:sz w:val="24"/>
          <w:vertAlign w:val="superscript"/>
        </w:rPr>
        <w:t>63</w:t>
      </w:r>
      <w:r w:rsidRPr="00100F3A">
        <w:rPr>
          <w:rFonts w:ascii="Book Antiqua" w:hAnsi="Book Antiqua"/>
          <w:color w:val="auto"/>
          <w:sz w:val="24"/>
          <w:vertAlign w:val="superscript"/>
        </w:rPr>
        <w:t>]</w:t>
      </w:r>
      <w:r w:rsidRPr="00100F3A">
        <w:rPr>
          <w:rFonts w:ascii="Book Antiqua" w:hAnsi="Book Antiqua"/>
          <w:color w:val="auto"/>
          <w:sz w:val="24"/>
        </w:rPr>
        <w:t xml:space="preserve">. This response was short lived, however, and the final analysis failed to demonstrate a benefit of progression-free or overall survival. Panitumumab, on the other hand, has consistently produced a survival benefit in patients with BTC. A single arm study of 35 patients with CC  that received treatment with gemcitabine, irinotecan, and panitumumab boasted a median progression-free survival (PFS) and overall survival (OS) of 9.7 </w:t>
      </w:r>
      <w:r w:rsidR="00AA43C5">
        <w:rPr>
          <w:rFonts w:ascii="Book Antiqua" w:hAnsi="Book Antiqua"/>
          <w:color w:val="auto"/>
          <w:sz w:val="24"/>
          <w:lang w:eastAsia="zh-CN"/>
        </w:rPr>
        <w:t>mo</w:t>
      </w:r>
      <w:r w:rsidR="00AA43C5" w:rsidRPr="00100F3A">
        <w:rPr>
          <w:rFonts w:ascii="Book Antiqua" w:hAnsi="Book Antiqua"/>
          <w:color w:val="auto"/>
          <w:sz w:val="24"/>
        </w:rPr>
        <w:t xml:space="preserve"> </w:t>
      </w:r>
      <w:r w:rsidRPr="00100F3A">
        <w:rPr>
          <w:rFonts w:ascii="Book Antiqua" w:hAnsi="Book Antiqua"/>
          <w:color w:val="auto"/>
          <w:sz w:val="24"/>
        </w:rPr>
        <w:t>and 12.9</w:t>
      </w:r>
      <w:r w:rsidR="00AA43C5" w:rsidRPr="00100F3A">
        <w:rPr>
          <w:rFonts w:ascii="Book Antiqua" w:hAnsi="Book Antiqua"/>
          <w:color w:val="auto"/>
          <w:sz w:val="24"/>
        </w:rPr>
        <w:t xml:space="preserve"> </w:t>
      </w:r>
      <w:r w:rsidR="00AA43C5">
        <w:rPr>
          <w:rFonts w:ascii="Book Antiqua" w:hAnsi="Book Antiqua"/>
          <w:color w:val="auto"/>
          <w:sz w:val="24"/>
          <w:lang w:eastAsia="zh-CN"/>
        </w:rPr>
        <w:t>mo</w:t>
      </w:r>
      <w:r w:rsidRPr="00100F3A">
        <w:rPr>
          <w:rFonts w:ascii="Book Antiqua" w:hAnsi="Book Antiqua"/>
          <w:color w:val="auto"/>
          <w:sz w:val="24"/>
        </w:rPr>
        <w:t>, respectively – the strongest survival data of targeted agents in treating BTC to date</w:t>
      </w:r>
      <w:r w:rsidR="00AA43C5" w:rsidRPr="00AA43C5">
        <w:rPr>
          <w:rFonts w:ascii="Book Antiqua" w:hAnsi="Book Antiqua"/>
          <w:color w:val="auto"/>
          <w:sz w:val="24"/>
          <w:vertAlign w:val="superscript"/>
        </w:rPr>
        <w:t>[</w:t>
      </w:r>
      <w:r w:rsidR="00D1262D" w:rsidRPr="00100F3A">
        <w:rPr>
          <w:rFonts w:ascii="Book Antiqua" w:hAnsi="Book Antiqua"/>
          <w:color w:val="auto"/>
          <w:sz w:val="24"/>
          <w:vertAlign w:val="superscript"/>
        </w:rPr>
        <w:t>64</w:t>
      </w:r>
      <w:r w:rsidRPr="00100F3A">
        <w:rPr>
          <w:rFonts w:ascii="Book Antiqua" w:hAnsi="Book Antiqua"/>
          <w:color w:val="auto"/>
          <w:sz w:val="24"/>
          <w:vertAlign w:val="superscript"/>
        </w:rPr>
        <w:t>]</w:t>
      </w:r>
      <w:r w:rsidRPr="00100F3A">
        <w:rPr>
          <w:rFonts w:ascii="Book Antiqua" w:hAnsi="Book Antiqua"/>
          <w:color w:val="auto"/>
          <w:sz w:val="24"/>
        </w:rPr>
        <w:t>. A separate single arm trial of patients with IHCC or EHCC demonstrated similarly encouraging survival data when panitumumab was administered in tandem with GEMOX followed by capecitabine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6</w:t>
      </w:r>
      <w:r w:rsidR="00AA6A85" w:rsidRPr="00100F3A">
        <w:rPr>
          <w:rFonts w:ascii="Book Antiqua" w:hAnsi="Book Antiqua"/>
          <w:color w:val="auto"/>
          <w:sz w:val="24"/>
          <w:vertAlign w:val="superscript"/>
        </w:rPr>
        <w:t>5</w:t>
      </w:r>
      <w:r w:rsidRPr="00100F3A">
        <w:rPr>
          <w:rFonts w:ascii="Book Antiqua" w:hAnsi="Book Antiqua"/>
          <w:color w:val="auto"/>
          <w:sz w:val="24"/>
          <w:vertAlign w:val="superscript"/>
        </w:rPr>
        <w:t>]</w:t>
      </w:r>
      <w:r w:rsidRPr="00100F3A">
        <w:rPr>
          <w:rFonts w:ascii="Book Antiqua" w:hAnsi="Book Antiqua"/>
          <w:color w:val="auto"/>
          <w:sz w:val="24"/>
        </w:rPr>
        <w:t xml:space="preserve">. The results of these trials, while promising, were demonstrated in relatively small studies that both lacked a control group for comparison. As such, further confirmation is certainly necessary. In addition, future studies should seek to identify biomarkers, such as mutations in EGFR, KRAS, and BRAF, which predict response to cetuximab and panitumumab. Similar studies in colorectal adenocarcinoma discovered that KRAS mutational analysis allowed identification of a subset of patients who derive real benefit from these agents – a relationship that has not been well studied </w:t>
      </w:r>
      <w:r w:rsidRPr="00100F3A">
        <w:rPr>
          <w:rFonts w:ascii="Book Antiqua" w:hAnsi="Book Antiqua"/>
          <w:color w:val="auto"/>
          <w:sz w:val="24"/>
        </w:rPr>
        <w:lastRenderedPageBreak/>
        <w:t xml:space="preserve">in BTC. Currently, clinical trials are ongoing that seek to evaluate panitumumab in combination with either GEMOX (NCT01206049, NCT01389414) or cisplatin plus gemcitabine (NCT01320254).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color w:val="auto"/>
          <w:sz w:val="24"/>
        </w:rPr>
      </w:pPr>
      <w:r w:rsidRPr="00100F3A">
        <w:rPr>
          <w:rFonts w:ascii="Book Antiqua" w:hAnsi="Book Antiqua"/>
          <w:b/>
          <w:i/>
          <w:color w:val="auto"/>
          <w:sz w:val="24"/>
        </w:rPr>
        <w:t xml:space="preserve">HER2 inhibitors </w:t>
      </w:r>
      <w:r w:rsidRPr="00100F3A">
        <w:rPr>
          <w:rFonts w:ascii="Book Antiqua" w:eastAsia="Times New Roman" w:hAnsi="Book Antiqua"/>
          <w:b/>
          <w:color w:val="auto"/>
          <w:sz w:val="24"/>
        </w:rPr>
        <w:tab/>
      </w:r>
    </w:p>
    <w:p w:rsidR="00E25F9B" w:rsidRPr="00100F3A" w:rsidRDefault="00CF6F81" w:rsidP="00AA43C5">
      <w:pPr>
        <w:spacing w:after="0" w:line="360" w:lineRule="auto"/>
        <w:jc w:val="both"/>
        <w:rPr>
          <w:rFonts w:ascii="Book Antiqua" w:eastAsia="Times New Roman" w:hAnsi="Book Antiqua"/>
          <w:color w:val="auto"/>
          <w:sz w:val="24"/>
        </w:rPr>
      </w:pPr>
      <w:r w:rsidRPr="00100F3A">
        <w:rPr>
          <w:rFonts w:ascii="Book Antiqua" w:hAnsi="Book Antiqua"/>
          <w:color w:val="auto"/>
          <w:sz w:val="24"/>
        </w:rPr>
        <w:t>Despite the successes of HER2 inhibition in treating other malignancies such as breast and gastric carcinoma, blockade of this receptor seems to be of little benefit in biliary tract cancers.  Lapatinib is a reversible TKI that prevents the activation of both EGFR and HER2</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6</w:t>
      </w:r>
      <w:r w:rsidR="006A665A" w:rsidRPr="00100F3A">
        <w:rPr>
          <w:rFonts w:ascii="Book Antiqua" w:hAnsi="Book Antiqua"/>
          <w:color w:val="auto"/>
          <w:sz w:val="24"/>
          <w:vertAlign w:val="superscript"/>
        </w:rPr>
        <w:t>6</w:t>
      </w:r>
      <w:r w:rsidRPr="00100F3A">
        <w:rPr>
          <w:rFonts w:ascii="Book Antiqua" w:hAnsi="Book Antiqua"/>
          <w:color w:val="auto"/>
          <w:sz w:val="24"/>
          <w:vertAlign w:val="superscript"/>
        </w:rPr>
        <w:t>]</w:t>
      </w:r>
      <w:r w:rsidRPr="00100F3A">
        <w:rPr>
          <w:rFonts w:ascii="Book Antiqua" w:hAnsi="Book Antiqua"/>
          <w:color w:val="auto"/>
          <w:sz w:val="24"/>
        </w:rPr>
        <w:t xml:space="preserve"> (Figure 2). To date, there have been two separate phase II trials of lapatinib monotherapy in patients with biliary malignancies, both of which failed to register a single objective response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6</w:t>
      </w:r>
      <w:r w:rsidR="006A665A" w:rsidRPr="00100F3A">
        <w:rPr>
          <w:rFonts w:ascii="Book Antiqua" w:hAnsi="Book Antiqua"/>
          <w:color w:val="auto"/>
          <w:sz w:val="24"/>
          <w:vertAlign w:val="superscript"/>
        </w:rPr>
        <w:t>7</w:t>
      </w:r>
      <w:r w:rsidR="00AA43C5">
        <w:rPr>
          <w:rFonts w:ascii="Book Antiqua" w:hAnsi="Book Antiqua"/>
          <w:color w:val="auto"/>
          <w:sz w:val="24"/>
          <w:vertAlign w:val="superscript"/>
        </w:rPr>
        <w:t>,</w:t>
      </w:r>
      <w:r w:rsidRPr="00100F3A">
        <w:rPr>
          <w:rFonts w:ascii="Book Antiqua" w:hAnsi="Book Antiqua"/>
          <w:color w:val="auto"/>
          <w:sz w:val="24"/>
          <w:vertAlign w:val="superscript"/>
        </w:rPr>
        <w:t>6</w:t>
      </w:r>
      <w:r w:rsidR="006A665A"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Although preclinical evidence suggests that HER2 blockade may enhance the efficacy of gemcitabine</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6</w:t>
      </w:r>
      <w:r w:rsidR="006A665A"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this has yet to be investigated in a clinical setting.  Given the lack of success of lapatinib thus far, it is quite possible that this will remain unexamined, as there are not currently any clinic trials using lapatinib in BTC. There has not yet been a clinical trial of the anti-HER2 monoclonal antibody trastuzumab in treating biliary tract tumors, although a single case report suggests that it may have activity against GBC</w:t>
      </w:r>
      <w:r w:rsidR="00AA43C5" w:rsidRPr="00AA43C5">
        <w:rPr>
          <w:rFonts w:ascii="Book Antiqua" w:hAnsi="Book Antiqua"/>
          <w:color w:val="auto"/>
          <w:sz w:val="24"/>
          <w:vertAlign w:val="superscript"/>
        </w:rPr>
        <w:t>[</w:t>
      </w:r>
      <w:r w:rsidR="006A665A" w:rsidRPr="00100F3A">
        <w:rPr>
          <w:rFonts w:ascii="Book Antiqua" w:hAnsi="Book Antiqua"/>
          <w:color w:val="auto"/>
          <w:sz w:val="24"/>
          <w:vertAlign w:val="superscript"/>
        </w:rPr>
        <w:t>70</w:t>
      </w:r>
      <w:r w:rsidRPr="00100F3A">
        <w:rPr>
          <w:rFonts w:ascii="Book Antiqua" w:hAnsi="Book Antiqua"/>
          <w:color w:val="auto"/>
          <w:sz w:val="24"/>
          <w:vertAlign w:val="superscript"/>
        </w:rPr>
        <w:t>]</w:t>
      </w:r>
      <w:r w:rsidRPr="00100F3A">
        <w:rPr>
          <w:rFonts w:ascii="Book Antiqua" w:hAnsi="Book Antiqua"/>
          <w:color w:val="auto"/>
          <w:sz w:val="24"/>
        </w:rPr>
        <w:t xml:space="preserve">.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i/>
          <w:color w:val="auto"/>
          <w:sz w:val="24"/>
        </w:rPr>
      </w:pPr>
      <w:r w:rsidRPr="00100F3A">
        <w:rPr>
          <w:rFonts w:ascii="Book Antiqua" w:hAnsi="Book Antiqua"/>
          <w:b/>
          <w:i/>
          <w:color w:val="auto"/>
          <w:sz w:val="24"/>
        </w:rPr>
        <w:t>VEGF inhibitors</w:t>
      </w:r>
    </w:p>
    <w:p w:rsidR="00E25F9B" w:rsidRPr="00100F3A" w:rsidRDefault="00CF6F81" w:rsidP="00AA43C5">
      <w:pPr>
        <w:spacing w:after="0" w:line="360" w:lineRule="auto"/>
        <w:jc w:val="both"/>
        <w:rPr>
          <w:rFonts w:ascii="Book Antiqua" w:hAnsi="Book Antiqua"/>
          <w:color w:val="auto"/>
          <w:sz w:val="24"/>
        </w:rPr>
      </w:pPr>
      <w:r w:rsidRPr="00100F3A">
        <w:rPr>
          <w:rFonts w:ascii="Book Antiqua" w:eastAsia="Times New Roman" w:hAnsi="Book Antiqua"/>
          <w:color w:val="auto"/>
          <w:sz w:val="24"/>
        </w:rPr>
        <w:t xml:space="preserve">Bevacizumab is a humanized monoclonal antibody that binds VEGF, preventing it from stimulating the VEGF receptor (Figure 2). This agent has been studied as an adjunct to combination chemotherapy with promising results. A single arm phase II study of bevacizumab with GEMOX demonstrated good efficacy against BTC, with median PFS of 7 months and OS of 12.7 </w:t>
      </w:r>
      <w:r w:rsidR="00AA43C5">
        <w:rPr>
          <w:rFonts w:ascii="Book Antiqua" w:eastAsiaTheme="minorEastAsia" w:hAnsi="Book Antiqua" w:hint="eastAsia"/>
          <w:color w:val="auto"/>
          <w:sz w:val="24"/>
          <w:lang w:eastAsia="zh-CN"/>
        </w:rPr>
        <w:t>mo</w:t>
      </w:r>
      <w:r w:rsidR="00AA43C5" w:rsidRPr="00AA43C5">
        <w:rPr>
          <w:rFonts w:ascii="Book Antiqua" w:eastAsia="Times New Roman" w:hAnsi="Book Antiqua"/>
          <w:color w:val="auto"/>
          <w:sz w:val="24"/>
          <w:vertAlign w:val="superscript"/>
        </w:rPr>
        <w:t>[</w:t>
      </w:r>
      <w:r w:rsidR="006A665A" w:rsidRPr="00100F3A">
        <w:rPr>
          <w:rFonts w:ascii="Book Antiqua" w:eastAsia="Times New Roman" w:hAnsi="Book Antiqua"/>
          <w:color w:val="auto"/>
          <w:sz w:val="24"/>
          <w:vertAlign w:val="superscript"/>
        </w:rPr>
        <w:t>71</w:t>
      </w:r>
      <w:r w:rsidRPr="00100F3A">
        <w:rPr>
          <w:rFonts w:ascii="Book Antiqua" w:hAnsi="Book Antiqua"/>
          <w:color w:val="auto"/>
          <w:sz w:val="24"/>
          <w:vertAlign w:val="superscript"/>
        </w:rPr>
        <w:t>]</w:t>
      </w:r>
      <w:r w:rsidR="00AA43C5">
        <w:rPr>
          <w:rFonts w:ascii="Book Antiqua" w:hAnsi="Book Antiqua"/>
          <w:color w:val="auto"/>
          <w:sz w:val="24"/>
        </w:rPr>
        <w:t xml:space="preserve">. </w:t>
      </w:r>
      <w:r w:rsidRPr="00100F3A">
        <w:rPr>
          <w:rFonts w:ascii="Book Antiqua" w:hAnsi="Book Antiqua"/>
          <w:color w:val="auto"/>
          <w:sz w:val="24"/>
        </w:rPr>
        <w:t xml:space="preserve">This regimen was well tolerated by the majority of patients, although one patient did suffer grade IV cardiac ischemia during the study. Among other patients, the most common grade III or IV events were neutropenia (20%), neuropathy (14%), and hypertension (14%). These results, while encouraging, should be approached with some skepticism as the known efficacy of GEMOX and absence of an </w:t>
      </w:r>
      <w:r w:rsidRPr="00100F3A">
        <w:rPr>
          <w:rFonts w:ascii="Book Antiqua" w:hAnsi="Book Antiqua"/>
          <w:color w:val="auto"/>
          <w:sz w:val="24"/>
        </w:rPr>
        <w:lastRenderedPageBreak/>
        <w:t xml:space="preserve">internal control group makes it difficult to estimate the true benefit conferred by bevacizumab.  In addition, it is necessary to further characterize the risks of such treatment. Further study of bevacizumab in combination with GEMOX and other chemotherapy regimens is certainly warranted.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CF6F81" w:rsidP="00AA43C5">
      <w:pPr>
        <w:spacing w:line="360" w:lineRule="auto"/>
        <w:jc w:val="both"/>
        <w:rPr>
          <w:rFonts w:ascii="Book Antiqua" w:eastAsia="Times New Roman" w:hAnsi="Book Antiqua"/>
          <w:b/>
          <w:i/>
          <w:color w:val="auto"/>
          <w:sz w:val="24"/>
        </w:rPr>
      </w:pPr>
      <w:r w:rsidRPr="00100F3A">
        <w:rPr>
          <w:rFonts w:ascii="Book Antiqua" w:hAnsi="Book Antiqua"/>
          <w:b/>
          <w:i/>
          <w:color w:val="auto"/>
          <w:sz w:val="24"/>
        </w:rPr>
        <w:t>MEK inhibitors</w:t>
      </w:r>
    </w:p>
    <w:p w:rsidR="00E25F9B" w:rsidRPr="00100F3A" w:rsidRDefault="00CF6F81" w:rsidP="00AA43C5">
      <w:pPr>
        <w:spacing w:after="0" w:line="360" w:lineRule="auto"/>
        <w:jc w:val="both"/>
        <w:rPr>
          <w:rFonts w:ascii="Book Antiqua" w:eastAsia="Times New Roman" w:hAnsi="Book Antiqua"/>
          <w:color w:val="auto"/>
          <w:sz w:val="24"/>
        </w:rPr>
      </w:pPr>
      <w:r w:rsidRPr="00100F3A">
        <w:rPr>
          <w:rFonts w:ascii="Book Antiqua" w:eastAsia="Times New Roman" w:hAnsi="Book Antiqua"/>
          <w:color w:val="auto"/>
          <w:sz w:val="24"/>
        </w:rPr>
        <w:t xml:space="preserve">One of the newer targeted therapeutics being clinically used is selumetinib, a small molecule inhibitor of the protein kinase MEK </w:t>
      </w:r>
      <w:r w:rsidRPr="00100F3A">
        <w:rPr>
          <w:rFonts w:ascii="Book Antiqua" w:hAnsi="Book Antiqua"/>
          <w:color w:val="auto"/>
          <w:sz w:val="24"/>
        </w:rPr>
        <w:t>(Figure 2)</w:t>
      </w:r>
      <w:r w:rsidRPr="00100F3A">
        <w:rPr>
          <w:rFonts w:ascii="Book Antiqua" w:eastAsia="Times New Roman" w:hAnsi="Book Antiqua"/>
          <w:color w:val="auto"/>
          <w:sz w:val="24"/>
        </w:rPr>
        <w:t>.  Selumetinib binds selectively to an allosteric regulatory site on MEK, locking the protein into a configuration that renders it unable to utilize ATP</w:t>
      </w:r>
      <w:r w:rsidR="00AA43C5" w:rsidRPr="00AA43C5">
        <w:rPr>
          <w:rFonts w:ascii="Book Antiqua" w:eastAsia="Times New Roman" w:hAnsi="Book Antiqua"/>
          <w:color w:val="auto"/>
          <w:sz w:val="24"/>
          <w:vertAlign w:val="superscript"/>
        </w:rPr>
        <w:t>[</w:t>
      </w:r>
      <w:r w:rsidR="00EB7CE2" w:rsidRPr="00100F3A">
        <w:rPr>
          <w:rFonts w:ascii="Book Antiqua" w:eastAsia="Times New Roman" w:hAnsi="Book Antiqua"/>
          <w:color w:val="auto"/>
          <w:sz w:val="24"/>
          <w:vertAlign w:val="superscript"/>
        </w:rPr>
        <w:t>72</w:t>
      </w:r>
      <w:r w:rsidRPr="00100F3A">
        <w:rPr>
          <w:rFonts w:ascii="Book Antiqua" w:hAnsi="Book Antiqua"/>
          <w:color w:val="auto"/>
          <w:sz w:val="24"/>
          <w:vertAlign w:val="superscript"/>
        </w:rPr>
        <w:t>]</w:t>
      </w:r>
      <w:r w:rsidRPr="00100F3A">
        <w:rPr>
          <w:rFonts w:ascii="Book Antiqua" w:hAnsi="Book Antiqua"/>
          <w:color w:val="auto"/>
          <w:sz w:val="24"/>
        </w:rPr>
        <w:t>.  In a clinical trial of selumetinib monotherapy, this drug demonstrated moderate anti-tumor activity against BTC in general, producing stable disease in approximately two-thirds of patients with a highly favorable toxicity profile</w:t>
      </w:r>
      <w:r w:rsidR="00AA43C5" w:rsidRPr="00AA43C5">
        <w:rPr>
          <w:rFonts w:ascii="Book Antiqua" w:hAnsi="Book Antiqua"/>
          <w:color w:val="auto"/>
          <w:sz w:val="24"/>
          <w:vertAlign w:val="superscript"/>
        </w:rPr>
        <w:t>[</w:t>
      </w:r>
      <w:r w:rsidR="00EB7CE2" w:rsidRPr="00100F3A">
        <w:rPr>
          <w:rFonts w:ascii="Book Antiqua" w:hAnsi="Book Antiqua"/>
          <w:color w:val="auto"/>
          <w:sz w:val="24"/>
          <w:vertAlign w:val="superscript"/>
        </w:rPr>
        <w:t>73</w:t>
      </w:r>
      <w:r w:rsidRPr="00100F3A">
        <w:rPr>
          <w:rFonts w:ascii="Book Antiqua" w:hAnsi="Book Antiqua"/>
          <w:color w:val="auto"/>
          <w:sz w:val="24"/>
          <w:vertAlign w:val="superscript"/>
        </w:rPr>
        <w:t>]</w:t>
      </w:r>
      <w:r w:rsidRPr="00100F3A">
        <w:rPr>
          <w:rFonts w:ascii="Book Antiqua" w:hAnsi="Book Antiqua"/>
          <w:color w:val="auto"/>
          <w:sz w:val="24"/>
        </w:rPr>
        <w:t xml:space="preserve">. The only grade IV toxicity observed was a single report of fatigue. This favorable balance of risk and benefit could be further modified by identifying subsets of patients who are most likely to benefit from selumetinib. Previous </w:t>
      </w:r>
      <w:r w:rsidRPr="00100F3A">
        <w:rPr>
          <w:rFonts w:ascii="Book Antiqua" w:hAnsi="Book Antiqua"/>
          <w:i/>
          <w:color w:val="auto"/>
          <w:sz w:val="24"/>
        </w:rPr>
        <w:t>in vitro</w:t>
      </w:r>
      <w:r w:rsidRPr="00100F3A">
        <w:rPr>
          <w:rFonts w:ascii="Book Antiqua" w:hAnsi="Book Antiqua"/>
          <w:color w:val="auto"/>
          <w:sz w:val="24"/>
        </w:rPr>
        <w:t xml:space="preserve"> studies of human melanoma and colorectal cancer cell lines have suggested that tumors with activating mutations of BRAF are uniquely sensitive to MEK inhibition</w:t>
      </w:r>
      <w:r w:rsidR="00AA43C5" w:rsidRPr="00AA43C5">
        <w:rPr>
          <w:rFonts w:ascii="Book Antiqua" w:hAnsi="Book Antiqua"/>
          <w:color w:val="auto"/>
          <w:sz w:val="24"/>
          <w:vertAlign w:val="superscript"/>
        </w:rPr>
        <w:t>[</w:t>
      </w:r>
      <w:r w:rsidR="00EB7CE2" w:rsidRPr="00100F3A">
        <w:rPr>
          <w:rFonts w:ascii="Book Antiqua" w:hAnsi="Book Antiqua"/>
          <w:color w:val="auto"/>
          <w:sz w:val="24"/>
          <w:vertAlign w:val="superscript"/>
        </w:rPr>
        <w:t>74</w:t>
      </w:r>
      <w:r w:rsidRPr="00100F3A">
        <w:rPr>
          <w:rFonts w:ascii="Book Antiqua" w:hAnsi="Book Antiqua"/>
          <w:color w:val="auto"/>
          <w:sz w:val="24"/>
          <w:vertAlign w:val="superscript"/>
        </w:rPr>
        <w:t>]</w:t>
      </w:r>
      <w:r w:rsidRPr="00100F3A">
        <w:rPr>
          <w:rFonts w:ascii="Book Antiqua" w:hAnsi="Book Antiqua"/>
          <w:color w:val="auto"/>
          <w:sz w:val="24"/>
        </w:rPr>
        <w:t xml:space="preserve">. This association has not yet been investigated in BTC. At the present time, there are several additional trials of selumetinib, further investigating its activity when given in combination with cisplatin/gemcitabine (NCT01242605, NCT01949870).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CF6F81" w:rsidP="00AA43C5">
      <w:pPr>
        <w:spacing w:after="120" w:line="360" w:lineRule="auto"/>
        <w:jc w:val="both"/>
        <w:rPr>
          <w:rFonts w:ascii="Book Antiqua" w:eastAsia="Times New Roman" w:hAnsi="Book Antiqua"/>
          <w:b/>
          <w:i/>
          <w:color w:val="auto"/>
          <w:sz w:val="24"/>
        </w:rPr>
      </w:pPr>
      <w:r w:rsidRPr="00100F3A">
        <w:rPr>
          <w:rFonts w:ascii="Book Antiqua" w:hAnsi="Book Antiqua"/>
          <w:b/>
          <w:i/>
          <w:color w:val="auto"/>
          <w:sz w:val="24"/>
        </w:rPr>
        <w:t xml:space="preserve">Multi-kinase inhibitors </w:t>
      </w:r>
    </w:p>
    <w:p w:rsidR="00E25F9B" w:rsidRPr="00100F3A" w:rsidRDefault="00CF6F81" w:rsidP="00AA43C5">
      <w:pPr>
        <w:spacing w:line="360" w:lineRule="auto"/>
        <w:jc w:val="both"/>
        <w:rPr>
          <w:rFonts w:ascii="Book Antiqua" w:eastAsia="Times New Roman" w:hAnsi="Book Antiqua"/>
          <w:b/>
          <w:color w:val="auto"/>
          <w:sz w:val="24"/>
        </w:rPr>
      </w:pPr>
      <w:r w:rsidRPr="00100F3A">
        <w:rPr>
          <w:rFonts w:ascii="Book Antiqua" w:hAnsi="Book Antiqua"/>
          <w:color w:val="auto"/>
          <w:sz w:val="24"/>
        </w:rPr>
        <w:t>Sorafenib is a multi-kinase inhibitor that blocks several targets both within malignant cells and their microenvironment (Figure 2). Targets of sorafenib include the pro-angiogenic receptors VEGFR and PDGFR, in addition to BRAF</w:t>
      </w:r>
      <w:r w:rsidR="00AA43C5" w:rsidRPr="00AA43C5">
        <w:rPr>
          <w:rFonts w:ascii="Book Antiqua" w:hAnsi="Book Antiqua"/>
          <w:color w:val="auto"/>
          <w:sz w:val="24"/>
          <w:vertAlign w:val="superscript"/>
        </w:rPr>
        <w:t>[</w:t>
      </w:r>
      <w:r w:rsidR="00EB7CE2" w:rsidRPr="00100F3A">
        <w:rPr>
          <w:rFonts w:ascii="Book Antiqua" w:hAnsi="Book Antiqua"/>
          <w:color w:val="auto"/>
          <w:sz w:val="24"/>
          <w:vertAlign w:val="superscript"/>
        </w:rPr>
        <w:t>75</w:t>
      </w:r>
      <w:r w:rsidRPr="00100F3A">
        <w:rPr>
          <w:rFonts w:ascii="Book Antiqua" w:hAnsi="Book Antiqua"/>
          <w:color w:val="auto"/>
          <w:sz w:val="24"/>
          <w:vertAlign w:val="superscript"/>
        </w:rPr>
        <w:t>]</w:t>
      </w:r>
      <w:r w:rsidRPr="00100F3A">
        <w:rPr>
          <w:rFonts w:ascii="Book Antiqua" w:hAnsi="Book Antiqua"/>
          <w:color w:val="auto"/>
          <w:sz w:val="24"/>
        </w:rPr>
        <w:t>. Despite inhibiting several important mediators of malignant behavior, sorafenib has failed to consistently improve outcomes in BTC. Previous trials have investigated sorafenib as a monotherapy</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7</w:t>
      </w:r>
      <w:r w:rsidR="00EB7CE2" w:rsidRPr="00100F3A">
        <w:rPr>
          <w:rFonts w:ascii="Book Antiqua" w:hAnsi="Book Antiqua"/>
          <w:color w:val="auto"/>
          <w:sz w:val="24"/>
          <w:vertAlign w:val="superscript"/>
        </w:rPr>
        <w:t>6</w:t>
      </w:r>
      <w:r w:rsidRPr="00100F3A">
        <w:rPr>
          <w:rFonts w:ascii="Book Antiqua" w:hAnsi="Book Antiqua"/>
          <w:color w:val="auto"/>
          <w:sz w:val="24"/>
          <w:vertAlign w:val="superscript"/>
        </w:rPr>
        <w:t>]</w:t>
      </w:r>
      <w:r w:rsidRPr="00100F3A">
        <w:rPr>
          <w:rFonts w:ascii="Book Antiqua" w:hAnsi="Book Antiqua"/>
          <w:color w:val="auto"/>
          <w:sz w:val="24"/>
        </w:rPr>
        <w:t>, as well as in combination with gemcitabine plus cisplatin</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7</w:t>
      </w:r>
      <w:r w:rsidR="00EB7CE2" w:rsidRPr="00100F3A">
        <w:rPr>
          <w:rFonts w:ascii="Book Antiqua" w:hAnsi="Book Antiqua"/>
          <w:color w:val="auto"/>
          <w:sz w:val="24"/>
          <w:vertAlign w:val="superscript"/>
        </w:rPr>
        <w:t>7</w:t>
      </w:r>
      <w:r w:rsidRPr="00100F3A">
        <w:rPr>
          <w:rFonts w:ascii="Book Antiqua" w:hAnsi="Book Antiqua"/>
          <w:color w:val="auto"/>
          <w:sz w:val="24"/>
          <w:vertAlign w:val="superscript"/>
        </w:rPr>
        <w:t>]</w:t>
      </w:r>
      <w:r w:rsidRPr="00100F3A">
        <w:rPr>
          <w:rFonts w:ascii="Book Antiqua" w:hAnsi="Book Antiqua"/>
          <w:color w:val="auto"/>
          <w:sz w:val="24"/>
        </w:rPr>
        <w:t xml:space="preserve">, and </w:t>
      </w:r>
      <w:r w:rsidRPr="00100F3A">
        <w:rPr>
          <w:rFonts w:ascii="Book Antiqua" w:hAnsi="Book Antiqua"/>
          <w:color w:val="auto"/>
          <w:sz w:val="24"/>
        </w:rPr>
        <w:lastRenderedPageBreak/>
        <w:t>capecitabine plus oxaliplatin</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7</w:t>
      </w:r>
      <w:r w:rsidR="00EB7CE2" w:rsidRPr="00100F3A">
        <w:rPr>
          <w:rFonts w:ascii="Book Antiqua" w:hAnsi="Book Antiqua"/>
          <w:color w:val="auto"/>
          <w:sz w:val="24"/>
          <w:vertAlign w:val="superscript"/>
        </w:rPr>
        <w:t>8</w:t>
      </w:r>
      <w:r w:rsidRPr="00100F3A">
        <w:rPr>
          <w:rFonts w:ascii="Book Antiqua" w:hAnsi="Book Antiqua"/>
          <w:color w:val="auto"/>
          <w:sz w:val="24"/>
          <w:vertAlign w:val="superscript"/>
        </w:rPr>
        <w:t>]</w:t>
      </w:r>
      <w:r w:rsidRPr="00100F3A">
        <w:rPr>
          <w:rFonts w:ascii="Book Antiqua" w:hAnsi="Book Antiqua"/>
          <w:color w:val="auto"/>
          <w:sz w:val="24"/>
        </w:rPr>
        <w:t>. In these studies, the addition of sorafenib did not produce a survival benefit over the backbone regimen. Despite its shortcomings as a systemic therapy, sorafenib may fill a niche as a locoregional treatment. Preclinical studies of sorafenib-loaded biliary stents have shown strong activity against human cholangiocarcinoma cell lines</w:t>
      </w:r>
      <w:r w:rsidR="00AA43C5" w:rsidRPr="00AA43C5">
        <w:rPr>
          <w:rFonts w:ascii="Book Antiqua" w:hAnsi="Book Antiqua"/>
          <w:color w:val="auto"/>
          <w:sz w:val="24"/>
          <w:vertAlign w:val="superscript"/>
        </w:rPr>
        <w:t>[</w:t>
      </w:r>
      <w:r w:rsidRPr="00100F3A">
        <w:rPr>
          <w:rFonts w:ascii="Book Antiqua" w:hAnsi="Book Antiqua"/>
          <w:color w:val="auto"/>
          <w:sz w:val="24"/>
          <w:vertAlign w:val="superscript"/>
        </w:rPr>
        <w:t>7</w:t>
      </w:r>
      <w:r w:rsidR="00EB7CE2" w:rsidRPr="00100F3A">
        <w:rPr>
          <w:rFonts w:ascii="Book Antiqua" w:hAnsi="Book Antiqua"/>
          <w:color w:val="auto"/>
          <w:sz w:val="24"/>
          <w:vertAlign w:val="superscript"/>
        </w:rPr>
        <w:t>9</w:t>
      </w:r>
      <w:r w:rsidRPr="00100F3A">
        <w:rPr>
          <w:rFonts w:ascii="Book Antiqua" w:hAnsi="Book Antiqua"/>
          <w:color w:val="auto"/>
          <w:sz w:val="24"/>
          <w:vertAlign w:val="superscript"/>
        </w:rPr>
        <w:t>]</w:t>
      </w:r>
      <w:r w:rsidRPr="00100F3A">
        <w:rPr>
          <w:rFonts w:ascii="Book Antiqua" w:hAnsi="Book Antiqua"/>
          <w:color w:val="auto"/>
          <w:sz w:val="24"/>
        </w:rPr>
        <w:t xml:space="preserve"> </w:t>
      </w:r>
      <w:r w:rsidR="00A05316">
        <w:rPr>
          <w:rFonts w:ascii="Book Antiqua" w:hAnsi="Book Antiqua" w:hint="eastAsia"/>
          <w:color w:val="auto"/>
          <w:sz w:val="24"/>
          <w:lang w:eastAsia="zh-CN"/>
        </w:rPr>
        <w:t>-</w:t>
      </w:r>
      <w:r w:rsidRPr="00100F3A">
        <w:rPr>
          <w:rFonts w:ascii="Book Antiqua" w:hAnsi="Book Antiqua"/>
          <w:color w:val="auto"/>
          <w:sz w:val="24"/>
        </w:rPr>
        <w:t xml:space="preserve"> a finding that should be further investigated in a clinical study. </w:t>
      </w:r>
    </w:p>
    <w:p w:rsidR="00E25F9B" w:rsidRPr="00100F3A" w:rsidRDefault="00E25F9B" w:rsidP="00AA43C5">
      <w:pPr>
        <w:spacing w:after="120" w:line="360" w:lineRule="auto"/>
        <w:jc w:val="both"/>
        <w:rPr>
          <w:rFonts w:ascii="Book Antiqua" w:eastAsia="Times New Roman" w:hAnsi="Book Antiqua"/>
          <w:color w:val="auto"/>
          <w:sz w:val="24"/>
        </w:rPr>
      </w:pPr>
    </w:p>
    <w:p w:rsidR="00E25F9B" w:rsidRPr="00100F3A" w:rsidRDefault="00CF6F81" w:rsidP="00AA43C5">
      <w:pPr>
        <w:spacing w:after="120" w:line="360" w:lineRule="auto"/>
        <w:jc w:val="both"/>
        <w:rPr>
          <w:rFonts w:ascii="Book Antiqua" w:eastAsia="Times New Roman Bold" w:hAnsi="Book Antiqua"/>
          <w:b/>
          <w:color w:val="auto"/>
          <w:sz w:val="24"/>
        </w:rPr>
      </w:pPr>
      <w:r w:rsidRPr="00100F3A">
        <w:rPr>
          <w:rFonts w:ascii="Book Antiqua" w:hAnsi="Book Antiqua"/>
          <w:color w:val="auto"/>
          <w:sz w:val="24"/>
        </w:rPr>
        <w:t xml:space="preserve"> </w:t>
      </w:r>
      <w:r w:rsidRPr="00100F3A">
        <w:rPr>
          <w:rFonts w:ascii="Book Antiqua" w:hAnsi="Book Antiqua"/>
          <w:b/>
          <w:color w:val="auto"/>
          <w:sz w:val="24"/>
        </w:rPr>
        <w:t>CURRENT CLINICAL TRIALS IN BILIARY TRACT CARCINOMA</w:t>
      </w:r>
    </w:p>
    <w:p w:rsidR="00E25F9B" w:rsidRPr="00100F3A" w:rsidRDefault="00CF6F81" w:rsidP="00AA43C5">
      <w:pPr>
        <w:spacing w:line="360" w:lineRule="auto"/>
        <w:jc w:val="both"/>
        <w:rPr>
          <w:rFonts w:ascii="Book Antiqua" w:hAnsi="Book Antiqua"/>
          <w:color w:val="auto"/>
          <w:sz w:val="24"/>
        </w:rPr>
      </w:pPr>
      <w:r w:rsidRPr="00100F3A">
        <w:rPr>
          <w:rFonts w:ascii="Book Antiqua" w:hAnsi="Book Antiqua"/>
          <w:color w:val="auto"/>
          <w:sz w:val="24"/>
        </w:rPr>
        <w:t xml:space="preserve">A number of clinical trials of targeted therapeutics in the treatment of BTC are currently underway. These studies seek to investigate the use of targeted agents as a monotherapy, in combination with chemotherapy, and in tandem with other targeted drugs. Some of the ongoing clinical trials of targeted agents in BTC are listed in Table 4. </w:t>
      </w:r>
    </w:p>
    <w:p w:rsidR="00E25F9B" w:rsidRPr="00100F3A" w:rsidRDefault="00E25F9B" w:rsidP="00AA43C5">
      <w:pPr>
        <w:spacing w:after="0" w:line="360" w:lineRule="auto"/>
        <w:jc w:val="both"/>
        <w:rPr>
          <w:rFonts w:ascii="Book Antiqua" w:eastAsia="Times New Roman" w:hAnsi="Book Antiqua"/>
          <w:color w:val="auto"/>
          <w:sz w:val="24"/>
        </w:rPr>
      </w:pPr>
    </w:p>
    <w:p w:rsidR="00E25F9B" w:rsidRPr="00100F3A" w:rsidRDefault="00AA43C5" w:rsidP="00AA43C5">
      <w:pPr>
        <w:pStyle w:val="Heading2"/>
        <w:spacing w:after="120"/>
        <w:jc w:val="both"/>
        <w:rPr>
          <w:rFonts w:eastAsia="Times New Roman Bold"/>
          <w:color w:val="auto"/>
          <w:lang w:eastAsia="zh-CN"/>
        </w:rPr>
      </w:pPr>
      <w:r>
        <w:rPr>
          <w:color w:val="auto"/>
        </w:rPr>
        <w:t>CONCLUSION</w:t>
      </w:r>
    </w:p>
    <w:p w:rsidR="00E25F9B" w:rsidRPr="00100F3A" w:rsidRDefault="00CF6F81" w:rsidP="00AA43C5">
      <w:pPr>
        <w:spacing w:after="120" w:line="360" w:lineRule="auto"/>
        <w:jc w:val="both"/>
        <w:rPr>
          <w:rFonts w:ascii="Book Antiqua" w:eastAsia="Times New Roman" w:hAnsi="Book Antiqua"/>
          <w:color w:val="auto"/>
          <w:sz w:val="24"/>
        </w:rPr>
      </w:pPr>
      <w:r w:rsidRPr="00100F3A">
        <w:rPr>
          <w:rFonts w:ascii="Book Antiqua" w:hAnsi="Book Antiqua"/>
          <w:color w:val="auto"/>
          <w:sz w:val="24"/>
        </w:rPr>
        <w:t>Cancers of the biliary tract are relatively uncommon malignancies associated with high mortality rate, and the options of systemic treatment are very limited. Though the molecular basis of biliary tract tumorigenesis is poorly understood, working models have been established to help elucidate the pathogenetic mechanisms underlying development and progression of BTC. The growth factors and receptors, signaling pathways, and transcription factors that promote biliary tumor cell survival, proliferation, and invasion have been identified. Targeted therapeutics that selectively inhibit these mediators of malignant neoplasia have demonstra</w:t>
      </w:r>
      <w:r w:rsidR="00AA43C5">
        <w:rPr>
          <w:rFonts w:ascii="Book Antiqua" w:hAnsi="Book Antiqua"/>
          <w:color w:val="auto"/>
          <w:sz w:val="24"/>
        </w:rPr>
        <w:t xml:space="preserve">ted potential benefits in BTC. </w:t>
      </w:r>
      <w:r w:rsidRPr="00100F3A">
        <w:rPr>
          <w:rFonts w:ascii="Book Antiqua" w:hAnsi="Book Antiqua"/>
          <w:color w:val="auto"/>
          <w:sz w:val="24"/>
        </w:rPr>
        <w:t xml:space="preserve">Further investigations regarding their efficacy and safety in treating this malignant disease are ongoing. </w:t>
      </w:r>
    </w:p>
    <w:p w:rsidR="00E25F9B" w:rsidRPr="00100F3A" w:rsidRDefault="00CF6F81" w:rsidP="00AA43C5">
      <w:pPr>
        <w:spacing w:line="360" w:lineRule="auto"/>
        <w:ind w:firstLine="720"/>
        <w:jc w:val="both"/>
        <w:rPr>
          <w:rFonts w:ascii="Book Antiqua" w:hAnsi="Book Antiqua"/>
          <w:color w:val="auto"/>
          <w:sz w:val="24"/>
        </w:rPr>
      </w:pPr>
      <w:r w:rsidRPr="00100F3A">
        <w:rPr>
          <w:rFonts w:ascii="Book Antiqua" w:hAnsi="Book Antiqua"/>
          <w:color w:val="auto"/>
          <w:sz w:val="24"/>
        </w:rPr>
        <w:t xml:space="preserve">Despite the considerable progress that has been made towards molecularly profiling BTC, there remain considerable gaps in our understanding. The cause-and-effect relationship between the molecular changes and transformation of normal biliary </w:t>
      </w:r>
      <w:r w:rsidRPr="00100F3A">
        <w:rPr>
          <w:rFonts w:ascii="Book Antiqua" w:hAnsi="Book Antiqua"/>
          <w:color w:val="auto"/>
          <w:sz w:val="24"/>
        </w:rPr>
        <w:lastRenderedPageBreak/>
        <w:t>epithelium to invasive malignancy is lacking. There remains an incomplete understanding of the interactions among the various signaling pathways and components that produce the cancer cell phenotypes. It is likely that these complex interactions hold the key to deepening our understanding of the basis of cancer heterogeneity and predicting susceptibility of individual tumors to specific treatments.  This notion is supported by the evidence that combining multiple targeted agents may delay the development of resistance and improve efficacy</w:t>
      </w:r>
      <w:r w:rsidR="00AA43C5" w:rsidRPr="00AA43C5">
        <w:rPr>
          <w:rFonts w:ascii="Book Antiqua" w:hAnsi="Book Antiqua"/>
          <w:color w:val="auto"/>
          <w:sz w:val="24"/>
          <w:vertAlign w:val="superscript"/>
        </w:rPr>
        <w:t>[</w:t>
      </w:r>
      <w:r w:rsidR="00100F3A" w:rsidRPr="00100F3A">
        <w:rPr>
          <w:rFonts w:ascii="Book Antiqua" w:hAnsi="Book Antiqua"/>
          <w:color w:val="auto"/>
          <w:sz w:val="24"/>
          <w:vertAlign w:val="superscript"/>
        </w:rPr>
        <w:t>80</w:t>
      </w:r>
      <w:r w:rsidRPr="00100F3A">
        <w:rPr>
          <w:rFonts w:ascii="Book Antiqua" w:hAnsi="Book Antiqua"/>
          <w:color w:val="auto"/>
          <w:sz w:val="24"/>
          <w:vertAlign w:val="superscript"/>
        </w:rPr>
        <w:t>]</w:t>
      </w:r>
      <w:r w:rsidRPr="00100F3A">
        <w:rPr>
          <w:rFonts w:ascii="Book Antiqua" w:hAnsi="Book Antiqua"/>
          <w:color w:val="auto"/>
          <w:sz w:val="24"/>
        </w:rPr>
        <w:t>.</w:t>
      </w:r>
    </w:p>
    <w:p w:rsidR="00E25F9B" w:rsidRPr="00100F3A" w:rsidRDefault="00CF6F81" w:rsidP="00AA43C5">
      <w:pPr>
        <w:spacing w:line="360" w:lineRule="auto"/>
        <w:ind w:firstLine="720"/>
        <w:jc w:val="both"/>
        <w:rPr>
          <w:rFonts w:ascii="Book Antiqua" w:eastAsia="Times New Roman" w:hAnsi="Book Antiqua"/>
          <w:color w:val="auto"/>
          <w:sz w:val="24"/>
        </w:rPr>
      </w:pPr>
      <w:r w:rsidRPr="00100F3A">
        <w:rPr>
          <w:rFonts w:ascii="Book Antiqua" w:hAnsi="Book Antiqua"/>
          <w:color w:val="auto"/>
          <w:sz w:val="24"/>
        </w:rPr>
        <w:t>In addition, a variety of therapeutic strategies have emerged that focus upon the epigenetic alterations that commonly occur in CC, such as hypermethylation of particular genes and altered microRNA expression</w:t>
      </w:r>
      <w:r w:rsidR="00AA43C5" w:rsidRPr="00AA43C5">
        <w:rPr>
          <w:rFonts w:ascii="Book Antiqua" w:hAnsi="Book Antiqua"/>
          <w:color w:val="auto"/>
          <w:sz w:val="24"/>
          <w:vertAlign w:val="superscript"/>
        </w:rPr>
        <w:t>[</w:t>
      </w:r>
      <w:r w:rsidR="00100F3A" w:rsidRPr="00100F3A">
        <w:rPr>
          <w:rFonts w:ascii="Book Antiqua" w:hAnsi="Book Antiqua"/>
          <w:color w:val="auto"/>
          <w:sz w:val="24"/>
          <w:vertAlign w:val="superscript"/>
        </w:rPr>
        <w:t>81</w:t>
      </w:r>
      <w:r w:rsidRPr="00100F3A">
        <w:rPr>
          <w:rFonts w:ascii="Book Antiqua" w:hAnsi="Book Antiqua"/>
          <w:color w:val="auto"/>
          <w:sz w:val="24"/>
          <w:vertAlign w:val="superscript"/>
        </w:rPr>
        <w:t>]</w:t>
      </w:r>
      <w:r w:rsidRPr="00100F3A">
        <w:rPr>
          <w:rFonts w:ascii="Book Antiqua" w:hAnsi="Book Antiqua"/>
          <w:color w:val="auto"/>
          <w:sz w:val="24"/>
        </w:rPr>
        <w:t>. Improved understanding of the epigenetic mechanisms in biliary tumorigenesis is expected to generate novel targets for therapy. Recent advances in immunotherapy may also provide new opportunities for treating BTC. Data from clinical trials of peptide-based and dendritic cell-based vaccines against BTC suggest that this treatment approach may confer therapeutic benefit</w:t>
      </w:r>
      <w:r w:rsidR="00AA43C5" w:rsidRPr="00AA43C5">
        <w:rPr>
          <w:rFonts w:ascii="Book Antiqua" w:hAnsi="Book Antiqua"/>
          <w:color w:val="auto"/>
          <w:sz w:val="24"/>
          <w:vertAlign w:val="superscript"/>
        </w:rPr>
        <w:t>[</w:t>
      </w:r>
      <w:r w:rsidR="00100F3A" w:rsidRPr="00100F3A">
        <w:rPr>
          <w:rFonts w:ascii="Book Antiqua" w:hAnsi="Book Antiqua"/>
          <w:color w:val="auto"/>
          <w:sz w:val="24"/>
          <w:vertAlign w:val="superscript"/>
        </w:rPr>
        <w:t>82</w:t>
      </w:r>
      <w:r w:rsidR="00A05316">
        <w:rPr>
          <w:rFonts w:ascii="Book Antiqua" w:hAnsi="Book Antiqua"/>
          <w:color w:val="auto"/>
          <w:sz w:val="24"/>
          <w:vertAlign w:val="superscript"/>
        </w:rPr>
        <w:t>,</w:t>
      </w:r>
      <w:r w:rsidRPr="00100F3A">
        <w:rPr>
          <w:rFonts w:ascii="Book Antiqua" w:hAnsi="Book Antiqua"/>
          <w:color w:val="auto"/>
          <w:sz w:val="24"/>
          <w:vertAlign w:val="superscript"/>
        </w:rPr>
        <w:t>8</w:t>
      </w:r>
      <w:r w:rsidR="00100F3A" w:rsidRPr="00100F3A">
        <w:rPr>
          <w:rFonts w:ascii="Book Antiqua" w:hAnsi="Book Antiqua"/>
          <w:color w:val="auto"/>
          <w:sz w:val="24"/>
          <w:vertAlign w:val="superscript"/>
        </w:rPr>
        <w:t>3</w:t>
      </w:r>
      <w:r w:rsidRPr="00A05316">
        <w:rPr>
          <w:rFonts w:ascii="Book Antiqua" w:hAnsi="Book Antiqua"/>
          <w:color w:val="auto"/>
          <w:sz w:val="24"/>
          <w:vertAlign w:val="superscript"/>
        </w:rPr>
        <w:t>]</w:t>
      </w:r>
      <w:r w:rsidRPr="00100F3A">
        <w:rPr>
          <w:rFonts w:ascii="Book Antiqua" w:hAnsi="Book Antiqua"/>
          <w:color w:val="auto"/>
          <w:sz w:val="24"/>
        </w:rPr>
        <w:t>.  Antibodies that block immune checkpoint molecules such as programmed death receptor (PD-1) or ligand (PD-L1) may enhance treatment response when combined with chemotherapy, targeted therapy, or vaccines in BTC.  Furthermore, recent advances in molecular profiling of BTC may enable prediction of treatment response of individual patients to particular therapeutic agents</w:t>
      </w:r>
      <w:r w:rsidR="00AA43C5" w:rsidRPr="00AA43C5">
        <w:rPr>
          <w:rFonts w:ascii="Book Antiqua" w:hAnsi="Book Antiqua"/>
          <w:color w:val="auto"/>
          <w:sz w:val="24"/>
          <w:vertAlign w:val="superscript"/>
        </w:rPr>
        <w:t>[</w:t>
      </w:r>
      <w:r w:rsidR="00100F3A" w:rsidRPr="00100F3A">
        <w:rPr>
          <w:rFonts w:ascii="Book Antiqua" w:hAnsi="Book Antiqua"/>
          <w:color w:val="auto"/>
          <w:sz w:val="24"/>
          <w:vertAlign w:val="superscript"/>
        </w:rPr>
        <w:t>84-86</w:t>
      </w:r>
      <w:r w:rsidRPr="00100F3A">
        <w:rPr>
          <w:rFonts w:ascii="Book Antiqua" w:hAnsi="Book Antiqua"/>
          <w:color w:val="auto"/>
          <w:sz w:val="24"/>
          <w:vertAlign w:val="superscript"/>
        </w:rPr>
        <w:t>]</w:t>
      </w:r>
      <w:r w:rsidRPr="00100F3A">
        <w:rPr>
          <w:rFonts w:ascii="Book Antiqua" w:hAnsi="Book Antiqua"/>
          <w:color w:val="auto"/>
          <w:sz w:val="24"/>
        </w:rPr>
        <w:t>. Ultimately, by integrating targeted therapy with the molecular profiles of tumor, we hope to accomplish the goal of precision treatment of patients with malignant diseases of the biliary tract.</w:t>
      </w:r>
    </w:p>
    <w:bookmarkEnd w:id="57"/>
    <w:p w:rsidR="00100F3A" w:rsidRDefault="00100F3A" w:rsidP="00AA43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Book Antiqua" w:eastAsia="Times New Roman" w:hAnsi="Book Antiqua"/>
          <w:b/>
          <w:bCs/>
          <w:color w:val="auto"/>
          <w:sz w:val="24"/>
          <w:szCs w:val="24"/>
        </w:rPr>
      </w:pPr>
      <w:r>
        <w:rPr>
          <w:rFonts w:ascii="Book Antiqua" w:eastAsia="Times New Roman" w:hAnsi="Book Antiqua"/>
          <w:color w:val="auto"/>
        </w:rPr>
        <w:br w:type="page"/>
      </w:r>
    </w:p>
    <w:p w:rsidR="00100F3A" w:rsidRPr="001271E3" w:rsidRDefault="00100F3A" w:rsidP="00AA43C5">
      <w:pPr>
        <w:pStyle w:val="BodyTextIndent"/>
        <w:spacing w:after="120" w:line="360" w:lineRule="auto"/>
        <w:ind w:firstLine="0"/>
        <w:jc w:val="both"/>
        <w:rPr>
          <w:rFonts w:ascii="Book Antiqua" w:eastAsia="Times New Roman" w:hAnsi="Book Antiqua"/>
          <w:color w:val="auto"/>
        </w:rPr>
      </w:pPr>
      <w:r w:rsidRPr="001271E3">
        <w:rPr>
          <w:rFonts w:ascii="Book Antiqua" w:hAnsi="Book Antiqua"/>
          <w:color w:val="auto"/>
        </w:rPr>
        <w:lastRenderedPageBreak/>
        <w:t>REFERENCES</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 xml:space="preserve">1 </w:t>
      </w:r>
      <w:r w:rsidRPr="00F678D2">
        <w:rPr>
          <w:rFonts w:ascii="Book Antiqua" w:eastAsia="SimSun" w:hAnsi="Book Antiqua" w:cs="SimSun"/>
          <w:b/>
          <w:sz w:val="24"/>
          <w:szCs w:val="24"/>
        </w:rPr>
        <w:t>American Cancer Society.</w:t>
      </w:r>
      <w:r w:rsidRPr="00600B69">
        <w:rPr>
          <w:rFonts w:ascii="Book Antiqua" w:eastAsia="SimSun" w:hAnsi="Book Antiqua" w:cs="SimSun"/>
          <w:sz w:val="24"/>
          <w:szCs w:val="24"/>
        </w:rPr>
        <w:t xml:space="preserve"> What are the key statistics about gallbladder cancer? Available from: URL: http: //www.cancer.org/cancer/gallbladdercancer/detailedg</w:t>
      </w:r>
      <w:r>
        <w:rPr>
          <w:rFonts w:ascii="Book Antiqua" w:eastAsia="SimSun" w:hAnsi="Book Antiqua" w:cs="SimSun"/>
          <w:sz w:val="24"/>
          <w:szCs w:val="24"/>
        </w:rPr>
        <w:t>uide/gallbladder-key-statistics</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2 </w:t>
      </w:r>
      <w:r w:rsidRPr="00600B69">
        <w:rPr>
          <w:rFonts w:ascii="Book Antiqua" w:eastAsia="SimSun" w:hAnsi="Book Antiqua" w:cs="SimSun"/>
          <w:b/>
          <w:bCs/>
          <w:sz w:val="24"/>
          <w:szCs w:val="24"/>
        </w:rPr>
        <w:t>Hezel AF</w:t>
      </w:r>
      <w:r w:rsidRPr="00600B69">
        <w:rPr>
          <w:rFonts w:ascii="Book Antiqua" w:eastAsia="SimSun" w:hAnsi="Book Antiqua" w:cs="SimSun"/>
          <w:sz w:val="24"/>
          <w:szCs w:val="24"/>
        </w:rPr>
        <w:t>, Zhu AX. Systemic therapy for biliary tract cancers. </w:t>
      </w:r>
      <w:r w:rsidRPr="00600B69">
        <w:rPr>
          <w:rFonts w:ascii="Book Antiqua" w:eastAsia="SimSun" w:hAnsi="Book Antiqua" w:cs="SimSun"/>
          <w:i/>
          <w:iCs/>
          <w:sz w:val="24"/>
          <w:szCs w:val="24"/>
        </w:rPr>
        <w:t>Oncologist</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13</w:t>
      </w:r>
      <w:r w:rsidRPr="00600B69">
        <w:rPr>
          <w:rFonts w:ascii="Book Antiqua" w:eastAsia="SimSun" w:hAnsi="Book Antiqua" w:cs="SimSun"/>
          <w:sz w:val="24"/>
          <w:szCs w:val="24"/>
        </w:rPr>
        <w:t>: 415-423 [PMID: 18448556 DOI: 10.1634/theoncologist.2007-0252]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w:t>
      </w:r>
      <w:r w:rsidRPr="00600B69">
        <w:rPr>
          <w:rFonts w:ascii="Book Antiqua" w:eastAsia="SimSun" w:hAnsi="Book Antiqua" w:cs="SimSun"/>
          <w:b/>
          <w:sz w:val="24"/>
          <w:szCs w:val="24"/>
        </w:rPr>
        <w:t xml:space="preserve"> Benson A,</w:t>
      </w:r>
      <w:r w:rsidRPr="00600B69">
        <w:rPr>
          <w:rFonts w:ascii="Book Antiqua" w:eastAsia="SimSun" w:hAnsi="Book Antiqua" w:cs="SimSun"/>
          <w:sz w:val="24"/>
          <w:szCs w:val="24"/>
        </w:rPr>
        <w:t xml:space="preserve"> D'Angelica M, Abrams T, Are C, Bloomston PM, Chang D, Clary BM, Covey AM, Ensminger WD, Iyer R, Kelley RK, Linehan D, Malafa MP, Meranze SG, Park JO, Pawlik T, Posey JA, Scaife C, Schefter T, Sigurdson ER, Tian GG, Vauthey JN, Venook AP, Yen Y, Zhu AX. Hepatobiliary Cancers: National</w:t>
      </w:r>
      <w:r>
        <w:rPr>
          <w:rFonts w:ascii="Book Antiqua" w:eastAsia="SimSun" w:hAnsi="Book Antiqua" w:cs="SimSun"/>
          <w:sz w:val="24"/>
          <w:szCs w:val="24"/>
        </w:rPr>
        <w:t xml:space="preserve"> Comprehensive Cancer Network.</w:t>
      </w:r>
      <w:r>
        <w:rPr>
          <w:rFonts w:ascii="Book Antiqua" w:eastAsia="SimSun" w:hAnsi="Book Antiqua" w:cs="SimSun" w:hint="eastAsia"/>
          <w:sz w:val="24"/>
          <w:szCs w:val="24"/>
        </w:rPr>
        <w:t xml:space="preserve"> </w:t>
      </w:r>
      <w:r w:rsidRPr="00600B69">
        <w:rPr>
          <w:rFonts w:ascii="Book Antiqua" w:eastAsia="SimSun" w:hAnsi="Book Antiqua" w:cs="SimSun"/>
          <w:sz w:val="24"/>
          <w:szCs w:val="24"/>
        </w:rPr>
        <w:t>Available from: URL:</w:t>
      </w:r>
      <w:r>
        <w:rPr>
          <w:rFonts w:ascii="Book Antiqua" w:eastAsia="SimSun" w:hAnsi="Book Antiqua" w:cs="SimSun" w:hint="eastAsia"/>
          <w:sz w:val="24"/>
          <w:szCs w:val="24"/>
        </w:rPr>
        <w:t xml:space="preserve"> </w:t>
      </w:r>
      <w:r w:rsidRPr="00600B69">
        <w:rPr>
          <w:rFonts w:ascii="Book Antiqua" w:eastAsia="SimSun" w:hAnsi="Book Antiqua" w:cs="SimSun"/>
          <w:sz w:val="24"/>
          <w:szCs w:val="24"/>
        </w:rPr>
        <w:t>http: //www.nccn.org/professionals/phys</w:t>
      </w:r>
      <w:r>
        <w:rPr>
          <w:rFonts w:ascii="Book Antiqua" w:eastAsia="SimSun" w:hAnsi="Book Antiqua" w:cs="SimSun"/>
          <w:sz w:val="24"/>
          <w:szCs w:val="24"/>
        </w:rPr>
        <w:t>ician_gls/pdf/hepatobiliary.pdf</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4 </w:t>
      </w:r>
      <w:r w:rsidRPr="00600B69">
        <w:rPr>
          <w:rFonts w:ascii="Book Antiqua" w:eastAsia="SimSun" w:hAnsi="Book Antiqua" w:cs="SimSun"/>
          <w:b/>
          <w:bCs/>
          <w:sz w:val="24"/>
          <w:szCs w:val="24"/>
        </w:rPr>
        <w:t>Silva MA</w:t>
      </w:r>
      <w:r w:rsidRPr="00600B69">
        <w:rPr>
          <w:rFonts w:ascii="Book Antiqua" w:eastAsia="SimSun" w:hAnsi="Book Antiqua" w:cs="SimSun"/>
          <w:sz w:val="24"/>
          <w:szCs w:val="24"/>
        </w:rPr>
        <w:t>, Tekin K, Aytekin F, Bramhall SR, Buckels JA, Mirza DF. Surgery for hilar cholangiocarcinoma; a 10 year experience of a tertiary referral centre in the UK. </w:t>
      </w:r>
      <w:r w:rsidRPr="00600B69">
        <w:rPr>
          <w:rFonts w:ascii="Book Antiqua" w:eastAsia="SimSun" w:hAnsi="Book Antiqua" w:cs="SimSun"/>
          <w:i/>
          <w:iCs/>
          <w:sz w:val="24"/>
          <w:szCs w:val="24"/>
        </w:rPr>
        <w:t>Eur J Surg Oncol</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31</w:t>
      </w:r>
      <w:r w:rsidRPr="00600B69">
        <w:rPr>
          <w:rFonts w:ascii="Book Antiqua" w:eastAsia="SimSun" w:hAnsi="Book Antiqua" w:cs="SimSun"/>
          <w:sz w:val="24"/>
          <w:szCs w:val="24"/>
        </w:rPr>
        <w:t>: 533-539 [PMID: 15922889 DOI: 10.1016/j.ejso.2005.02.021]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5 </w:t>
      </w:r>
      <w:r w:rsidRPr="00600B69">
        <w:rPr>
          <w:rFonts w:ascii="Book Antiqua" w:eastAsia="SimSun" w:hAnsi="Book Antiqua" w:cs="SimSun"/>
          <w:b/>
          <w:bCs/>
          <w:sz w:val="24"/>
          <w:szCs w:val="24"/>
        </w:rPr>
        <w:t>Valle J</w:t>
      </w:r>
      <w:r w:rsidRPr="00600B69">
        <w:rPr>
          <w:rFonts w:ascii="Book Antiqua" w:eastAsia="SimSun" w:hAnsi="Book Antiqua" w:cs="SimSun"/>
          <w:sz w:val="24"/>
          <w:szCs w:val="24"/>
        </w:rPr>
        <w:t>, Wasan H, Palmer DH, Cunningham D, Anthoney A, Maraveyas A, Madhusudan S, Iveson T, Hughes S, Pereira SP, Roughton M, Bridgewater J. Cisplatin plus gemcitabine versus gemcitabine for biliary tract cancer. </w:t>
      </w:r>
      <w:r w:rsidRPr="00600B69">
        <w:rPr>
          <w:rFonts w:ascii="Book Antiqua" w:eastAsia="SimSun" w:hAnsi="Book Antiqua" w:cs="SimSun"/>
          <w:i/>
          <w:iCs/>
          <w:sz w:val="24"/>
          <w:szCs w:val="24"/>
        </w:rPr>
        <w:t>N Engl J Med</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362</w:t>
      </w:r>
      <w:r w:rsidRPr="00600B69">
        <w:rPr>
          <w:rFonts w:ascii="Book Antiqua" w:eastAsia="SimSun" w:hAnsi="Book Antiqua" w:cs="SimSun"/>
          <w:sz w:val="24"/>
          <w:szCs w:val="24"/>
        </w:rPr>
        <w:t>: 1273-1281 [PMID: 20375404 DOI: 10.1056/NEJMoa0908721]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6 </w:t>
      </w:r>
      <w:r w:rsidRPr="00600B69">
        <w:rPr>
          <w:rFonts w:ascii="Book Antiqua" w:eastAsia="SimSun" w:hAnsi="Book Antiqua" w:cs="SimSun"/>
          <w:b/>
          <w:bCs/>
          <w:sz w:val="24"/>
          <w:szCs w:val="24"/>
        </w:rPr>
        <w:t>Siegel RL</w:t>
      </w:r>
      <w:r w:rsidRPr="00600B69">
        <w:rPr>
          <w:rFonts w:ascii="Book Antiqua" w:eastAsia="SimSun" w:hAnsi="Book Antiqua" w:cs="SimSun"/>
          <w:sz w:val="24"/>
          <w:szCs w:val="24"/>
        </w:rPr>
        <w:t>, Miller KD, Jemal A. Cancer statistics, 2015. </w:t>
      </w:r>
      <w:r w:rsidRPr="00600B69">
        <w:rPr>
          <w:rFonts w:ascii="Book Antiqua" w:eastAsia="SimSun" w:hAnsi="Book Antiqua" w:cs="SimSun"/>
          <w:i/>
          <w:iCs/>
          <w:sz w:val="24"/>
          <w:szCs w:val="24"/>
        </w:rPr>
        <w:t>CA Cancer J Clin</w:t>
      </w:r>
      <w:r w:rsidRPr="00600B69">
        <w:rPr>
          <w:rFonts w:ascii="Book Antiqua" w:eastAsia="SimSun" w:hAnsi="Book Antiqua" w:cs="SimSun"/>
          <w:sz w:val="24"/>
          <w:szCs w:val="24"/>
        </w:rPr>
        <w:t> </w:t>
      </w:r>
      <w:r>
        <w:rPr>
          <w:rFonts w:ascii="Book Antiqua" w:eastAsia="SimSun" w:hAnsi="Book Antiqua" w:cs="SimSun" w:hint="eastAsia"/>
          <w:sz w:val="24"/>
          <w:szCs w:val="24"/>
        </w:rPr>
        <w:t>2015</w:t>
      </w:r>
      <w:r w:rsidRPr="00600B69">
        <w:rPr>
          <w:rFonts w:ascii="Book Antiqua" w:eastAsia="SimSun" w:hAnsi="Book Antiqua" w:cs="SimSun"/>
          <w:sz w:val="24"/>
          <w:szCs w:val="24"/>
        </w:rPr>
        <w:t>; </w:t>
      </w:r>
      <w:r w:rsidRPr="00600B69">
        <w:rPr>
          <w:rFonts w:ascii="Book Antiqua" w:eastAsia="SimSun" w:hAnsi="Book Antiqua" w:cs="SimSun"/>
          <w:b/>
          <w:bCs/>
          <w:sz w:val="24"/>
          <w:szCs w:val="24"/>
        </w:rPr>
        <w:t>65</w:t>
      </w:r>
      <w:r w:rsidRPr="00600B69">
        <w:rPr>
          <w:rFonts w:ascii="Book Antiqua" w:eastAsia="SimSun" w:hAnsi="Book Antiqua" w:cs="SimSun"/>
          <w:sz w:val="24"/>
          <w:szCs w:val="24"/>
        </w:rPr>
        <w:t>: 5-29 [PMID: 25559415 DOI: 10.3322/caac.21254]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 xml:space="preserve">7 </w:t>
      </w:r>
      <w:r w:rsidRPr="00600B69">
        <w:rPr>
          <w:rFonts w:ascii="Book Antiqua" w:eastAsia="SimSun" w:hAnsi="Book Antiqua" w:cs="SimSun"/>
          <w:b/>
          <w:sz w:val="24"/>
          <w:szCs w:val="24"/>
        </w:rPr>
        <w:t xml:space="preserve">Hamilton SR, </w:t>
      </w:r>
      <w:r w:rsidRPr="00600B69">
        <w:rPr>
          <w:rFonts w:ascii="Book Antiqua" w:eastAsia="SimSun" w:hAnsi="Book Antiqua" w:cs="SimSun"/>
          <w:sz w:val="24"/>
          <w:szCs w:val="24"/>
        </w:rPr>
        <w:t>Aaltonen LA. World Health Organization Classification of Tumours. Pathology and Genetics of Tumours of the Digestive System 2000. Available from: URL:</w:t>
      </w:r>
      <w:r>
        <w:rPr>
          <w:rFonts w:ascii="Book Antiqua" w:eastAsia="SimSun" w:hAnsi="Book Antiqua" w:cs="SimSun" w:hint="eastAsia"/>
          <w:sz w:val="24"/>
          <w:szCs w:val="24"/>
        </w:rPr>
        <w:t xml:space="preserve"> </w:t>
      </w:r>
      <w:r w:rsidRPr="00600B69">
        <w:rPr>
          <w:rFonts w:ascii="Book Antiqua" w:eastAsia="SimSun" w:hAnsi="Book Antiqua" w:cs="SimSun"/>
          <w:sz w:val="24"/>
          <w:szCs w:val="24"/>
        </w:rPr>
        <w:t xml:space="preserve"> http: //www.iarc.fr/en/publications/pdfs-online/pat-gen/bb2/BB2.pdf</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8 </w:t>
      </w:r>
      <w:r w:rsidRPr="00600B69">
        <w:rPr>
          <w:rFonts w:ascii="Book Antiqua" w:eastAsia="SimSun" w:hAnsi="Book Antiqua" w:cs="SimSun"/>
          <w:b/>
          <w:bCs/>
          <w:sz w:val="24"/>
          <w:szCs w:val="24"/>
        </w:rPr>
        <w:t>Aishima S</w:t>
      </w:r>
      <w:r w:rsidRPr="00600B69">
        <w:rPr>
          <w:rFonts w:ascii="Book Antiqua" w:eastAsia="SimSun" w:hAnsi="Book Antiqua" w:cs="SimSun"/>
          <w:sz w:val="24"/>
          <w:szCs w:val="24"/>
        </w:rPr>
        <w:t>, Kubo Y, Tanaka Y, Oda Y. Histological features of precancerous and early cancerous lesions of biliary tract carcinoma. </w:t>
      </w:r>
      <w:r w:rsidRPr="00600B69">
        <w:rPr>
          <w:rFonts w:ascii="Book Antiqua" w:eastAsia="SimSun" w:hAnsi="Book Antiqua" w:cs="SimSun"/>
          <w:i/>
          <w:iCs/>
          <w:sz w:val="24"/>
          <w:szCs w:val="24"/>
        </w:rPr>
        <w:t>J Hepatobiliary Pancreat Sci</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21</w:t>
      </w:r>
      <w:r w:rsidRPr="00600B69">
        <w:rPr>
          <w:rFonts w:ascii="Book Antiqua" w:eastAsia="SimSun" w:hAnsi="Book Antiqua" w:cs="SimSun"/>
          <w:sz w:val="24"/>
          <w:szCs w:val="24"/>
        </w:rPr>
        <w:t>: 448-452 [PMID: 24446428 DOI: 10.1002/jhbp.71]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9 </w:t>
      </w:r>
      <w:r w:rsidRPr="00600B69">
        <w:rPr>
          <w:rFonts w:ascii="Book Antiqua" w:eastAsia="SimSun" w:hAnsi="Book Antiqua" w:cs="SimSun"/>
          <w:b/>
          <w:bCs/>
          <w:sz w:val="24"/>
          <w:szCs w:val="24"/>
        </w:rPr>
        <w:t>Hezel AF</w:t>
      </w:r>
      <w:r w:rsidRPr="00600B69">
        <w:rPr>
          <w:rFonts w:ascii="Book Antiqua" w:eastAsia="SimSun" w:hAnsi="Book Antiqua" w:cs="SimSun"/>
          <w:sz w:val="24"/>
          <w:szCs w:val="24"/>
        </w:rPr>
        <w:t>, Deshpande V, Zhu AX. Genetics of biliary tract cancers and emerging targeted therapies. </w:t>
      </w:r>
      <w:r w:rsidRPr="00600B69">
        <w:rPr>
          <w:rFonts w:ascii="Book Antiqua" w:eastAsia="SimSun" w:hAnsi="Book Antiqua" w:cs="SimSun"/>
          <w:i/>
          <w:iCs/>
          <w:sz w:val="24"/>
          <w:szCs w:val="24"/>
        </w:rPr>
        <w:t>J Clin Oncol</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28</w:t>
      </w:r>
      <w:r w:rsidRPr="00600B69">
        <w:rPr>
          <w:rFonts w:ascii="Book Antiqua" w:eastAsia="SimSun" w:hAnsi="Book Antiqua" w:cs="SimSun"/>
          <w:sz w:val="24"/>
          <w:szCs w:val="24"/>
        </w:rPr>
        <w:t>: 3531-3540 [PMID: 20547994 DOI: 10.1200/JCO.2009.27.4787]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10 </w:t>
      </w:r>
      <w:r w:rsidRPr="00600B69">
        <w:rPr>
          <w:rFonts w:ascii="Book Antiqua" w:eastAsia="SimSun" w:hAnsi="Book Antiqua" w:cs="SimSun"/>
          <w:b/>
          <w:bCs/>
          <w:sz w:val="24"/>
          <w:szCs w:val="24"/>
        </w:rPr>
        <w:t>Zen Y</w:t>
      </w:r>
      <w:r w:rsidRPr="00600B69">
        <w:rPr>
          <w:rFonts w:ascii="Book Antiqua" w:eastAsia="SimSun" w:hAnsi="Book Antiqua" w:cs="SimSun"/>
          <w:sz w:val="24"/>
          <w:szCs w:val="24"/>
        </w:rPr>
        <w:t>, Adsay NV, Bardadin K, Colombari R, Ferrell L, Haga H, Hong SM, Hytiroglou P, Klöppel G, Lauwers GY, van Leeuwen DJ, Notohara K, Oshima K, Quaglia A, Sasaki M, Sessa F, Suriawinata A, Tsui W, Atomi Y, Nakanuma Y. Biliary intraepithelial neoplasia: an international interobserver agreement study and proposal for diagnostic criteria. </w:t>
      </w:r>
      <w:r w:rsidRPr="00600B69">
        <w:rPr>
          <w:rFonts w:ascii="Book Antiqua" w:eastAsia="SimSun" w:hAnsi="Book Antiqua" w:cs="SimSun"/>
          <w:i/>
          <w:iCs/>
          <w:sz w:val="24"/>
          <w:szCs w:val="24"/>
        </w:rPr>
        <w:t>Mod Pathol</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20</w:t>
      </w:r>
      <w:r w:rsidRPr="00600B69">
        <w:rPr>
          <w:rFonts w:ascii="Book Antiqua" w:eastAsia="SimSun" w:hAnsi="Book Antiqua" w:cs="SimSun"/>
          <w:sz w:val="24"/>
          <w:szCs w:val="24"/>
        </w:rPr>
        <w:t>: 701-709 [PMID: 17431410 DOI: 10.1038/modpathol.3800788]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11 </w:t>
      </w:r>
      <w:r w:rsidRPr="00600B69">
        <w:rPr>
          <w:rFonts w:ascii="Book Antiqua" w:eastAsia="SimSun" w:hAnsi="Book Antiqua" w:cs="SimSun"/>
          <w:b/>
          <w:bCs/>
          <w:sz w:val="24"/>
          <w:szCs w:val="24"/>
        </w:rPr>
        <w:t>Kawanishi S</w:t>
      </w:r>
      <w:r w:rsidRPr="00600B69">
        <w:rPr>
          <w:rFonts w:ascii="Book Antiqua" w:eastAsia="SimSun" w:hAnsi="Book Antiqua" w:cs="SimSun"/>
          <w:sz w:val="24"/>
          <w:szCs w:val="24"/>
        </w:rPr>
        <w:t>, Hiraku Y, Pinlaor S, Ma N. Oxidative and nitrative DNA damage in animals and patients with inflammatory diseases in relation to inflammation-related carcinogenesis. </w:t>
      </w:r>
      <w:r w:rsidRPr="00600B69">
        <w:rPr>
          <w:rFonts w:ascii="Book Antiqua" w:eastAsia="SimSun" w:hAnsi="Book Antiqua" w:cs="SimSun"/>
          <w:i/>
          <w:iCs/>
          <w:sz w:val="24"/>
          <w:szCs w:val="24"/>
        </w:rPr>
        <w:t>Biol Chem</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387</w:t>
      </w:r>
      <w:r w:rsidRPr="00600B69">
        <w:rPr>
          <w:rFonts w:ascii="Book Antiqua" w:eastAsia="SimSun" w:hAnsi="Book Antiqua" w:cs="SimSun"/>
          <w:sz w:val="24"/>
          <w:szCs w:val="24"/>
        </w:rPr>
        <w:t>: 365-372 [PMID: 16606333 DOI: 10.1515/BC.2006.049]</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12 </w:t>
      </w:r>
      <w:r w:rsidRPr="00600B69">
        <w:rPr>
          <w:rFonts w:ascii="Book Antiqua" w:eastAsia="SimSun" w:hAnsi="Book Antiqua" w:cs="SimSun"/>
          <w:b/>
          <w:bCs/>
          <w:sz w:val="24"/>
          <w:szCs w:val="24"/>
        </w:rPr>
        <w:t>Aishima S</w:t>
      </w:r>
      <w:r w:rsidRPr="00600B69">
        <w:rPr>
          <w:rFonts w:ascii="Book Antiqua" w:eastAsia="SimSun" w:hAnsi="Book Antiqua" w:cs="SimSun"/>
          <w:sz w:val="24"/>
          <w:szCs w:val="24"/>
        </w:rPr>
        <w:t>, Mano Y, Tanaka Y, Kubo Y, Shirabe K, Maehara Y, Oda Y. Different roles of inducible nitric oxide synthase and cyclooxygenase-2 in carcinogenesis and metastasis of intrahepatic cholangiocarcinoma. </w:t>
      </w:r>
      <w:r w:rsidRPr="00600B69">
        <w:rPr>
          <w:rFonts w:ascii="Book Antiqua" w:eastAsia="SimSun" w:hAnsi="Book Antiqua" w:cs="SimSun"/>
          <w:i/>
          <w:iCs/>
          <w:sz w:val="24"/>
          <w:szCs w:val="24"/>
        </w:rPr>
        <w:t>Hum Pathol</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44</w:t>
      </w:r>
      <w:r w:rsidRPr="00600B69">
        <w:rPr>
          <w:rFonts w:ascii="Book Antiqua" w:eastAsia="SimSun" w:hAnsi="Book Antiqua" w:cs="SimSun"/>
          <w:sz w:val="24"/>
          <w:szCs w:val="24"/>
        </w:rPr>
        <w:t>: 1031-1037 [PMID: 23260331 DOI: 10.1016/j.humpath.2012.09.004]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13 </w:t>
      </w:r>
      <w:r w:rsidRPr="00600B69">
        <w:rPr>
          <w:rFonts w:ascii="Book Antiqua" w:eastAsia="SimSun" w:hAnsi="Book Antiqua" w:cs="SimSun"/>
          <w:b/>
          <w:bCs/>
          <w:sz w:val="24"/>
          <w:szCs w:val="24"/>
        </w:rPr>
        <w:t>Sia D</w:t>
      </w:r>
      <w:r w:rsidRPr="00600B69">
        <w:rPr>
          <w:rFonts w:ascii="Book Antiqua" w:eastAsia="SimSun" w:hAnsi="Book Antiqua" w:cs="SimSun"/>
          <w:sz w:val="24"/>
          <w:szCs w:val="24"/>
        </w:rPr>
        <w:t>, Tovar V, Moeini A, Llovet JM. Intrahepatic cholangiocarcinoma: pathogenesis and rationale for molecular therapies. </w:t>
      </w:r>
      <w:r w:rsidRPr="00600B69">
        <w:rPr>
          <w:rFonts w:ascii="Book Antiqua" w:eastAsia="SimSun" w:hAnsi="Book Antiqua" w:cs="SimSun"/>
          <w:i/>
          <w:iCs/>
          <w:sz w:val="24"/>
          <w:szCs w:val="24"/>
        </w:rPr>
        <w:t>Oncogene</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32</w:t>
      </w:r>
      <w:r w:rsidRPr="00600B69">
        <w:rPr>
          <w:rFonts w:ascii="Book Antiqua" w:eastAsia="SimSun" w:hAnsi="Book Antiqua" w:cs="SimSun"/>
          <w:sz w:val="24"/>
          <w:szCs w:val="24"/>
        </w:rPr>
        <w:t>: 4861-4870 [PMID: 23318457 DOI: 10.1038/onc.2012.617]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14 </w:t>
      </w:r>
      <w:r w:rsidRPr="00600B69">
        <w:rPr>
          <w:rFonts w:ascii="Book Antiqua" w:eastAsia="SimSun" w:hAnsi="Book Antiqua" w:cs="SimSun"/>
          <w:b/>
          <w:bCs/>
          <w:sz w:val="24"/>
          <w:szCs w:val="24"/>
        </w:rPr>
        <w:t>Aishima S</w:t>
      </w:r>
      <w:r w:rsidRPr="00600B69">
        <w:rPr>
          <w:rFonts w:ascii="Book Antiqua" w:eastAsia="SimSun" w:hAnsi="Book Antiqua" w:cs="SimSun"/>
          <w:sz w:val="24"/>
          <w:szCs w:val="24"/>
        </w:rPr>
        <w:t>, Iguchi T, Fujita N, Taketomi A, Maehara Y, Tsuneyoshi M, Oda Y. Histological and immunohistological findings in biliary intraepithelial neoplasia arising from a background of chronic biliary disease compared with liver cirrhosis of non-</w:t>
      </w:r>
      <w:r w:rsidRPr="00600B69">
        <w:rPr>
          <w:rFonts w:ascii="Book Antiqua" w:eastAsia="SimSun" w:hAnsi="Book Antiqua" w:cs="SimSun"/>
          <w:sz w:val="24"/>
          <w:szCs w:val="24"/>
        </w:rPr>
        <w:lastRenderedPageBreak/>
        <w:t>biliary aetiology. </w:t>
      </w:r>
      <w:r w:rsidRPr="00600B69">
        <w:rPr>
          <w:rFonts w:ascii="Book Antiqua" w:eastAsia="SimSun" w:hAnsi="Book Antiqua" w:cs="SimSun"/>
          <w:i/>
          <w:iCs/>
          <w:sz w:val="24"/>
          <w:szCs w:val="24"/>
        </w:rPr>
        <w:t>Histopathology</w:t>
      </w:r>
      <w:r w:rsidRPr="00600B69">
        <w:rPr>
          <w:rFonts w:ascii="Book Antiqua" w:eastAsia="SimSun" w:hAnsi="Book Antiqua" w:cs="SimSun"/>
          <w:sz w:val="24"/>
          <w:szCs w:val="24"/>
        </w:rPr>
        <w:t> 2011; </w:t>
      </w:r>
      <w:r w:rsidRPr="00600B69">
        <w:rPr>
          <w:rFonts w:ascii="Book Antiqua" w:eastAsia="SimSun" w:hAnsi="Book Antiqua" w:cs="SimSun"/>
          <w:b/>
          <w:bCs/>
          <w:sz w:val="24"/>
          <w:szCs w:val="24"/>
        </w:rPr>
        <w:t>59</w:t>
      </w:r>
      <w:r w:rsidRPr="00600B69">
        <w:rPr>
          <w:rFonts w:ascii="Book Antiqua" w:eastAsia="SimSun" w:hAnsi="Book Antiqua" w:cs="SimSun"/>
          <w:sz w:val="24"/>
          <w:szCs w:val="24"/>
        </w:rPr>
        <w:t>: 867-875 [PMID: 22092398 DOI: 10.1111/j.1365-2559.2011.04011.x]</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15 </w:t>
      </w:r>
      <w:r w:rsidRPr="00600B69">
        <w:rPr>
          <w:rFonts w:ascii="Book Antiqua" w:eastAsia="SimSun" w:hAnsi="Book Antiqua" w:cs="SimSun"/>
          <w:b/>
          <w:bCs/>
          <w:sz w:val="24"/>
          <w:szCs w:val="24"/>
        </w:rPr>
        <w:t>Hsu M</w:t>
      </w:r>
      <w:r w:rsidRPr="00600B69">
        <w:rPr>
          <w:rFonts w:ascii="Book Antiqua" w:eastAsia="SimSun" w:hAnsi="Book Antiqua" w:cs="SimSun"/>
          <w:sz w:val="24"/>
          <w:szCs w:val="24"/>
        </w:rPr>
        <w:t>, Sasaki M, Igarashi S, Sato Y, Nakanuma Y. KRAS and GNAS mutations and p53 overexpression in biliary intraepithelial neoplasia and intrahepatic cholangiocarcinomas. </w:t>
      </w:r>
      <w:r w:rsidRPr="00600B69">
        <w:rPr>
          <w:rFonts w:ascii="Book Antiqua" w:eastAsia="SimSun" w:hAnsi="Book Antiqua" w:cs="SimSun"/>
          <w:i/>
          <w:iCs/>
          <w:sz w:val="24"/>
          <w:szCs w:val="24"/>
        </w:rPr>
        <w:t>Cancer</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119</w:t>
      </w:r>
      <w:r w:rsidRPr="00600B69">
        <w:rPr>
          <w:rFonts w:ascii="Book Antiqua" w:eastAsia="SimSun" w:hAnsi="Book Antiqua" w:cs="SimSun"/>
          <w:sz w:val="24"/>
          <w:szCs w:val="24"/>
        </w:rPr>
        <w:t>: 1669-1674 [PMID: 23335286 DOI: 10.1002/cncr.27955]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 xml:space="preserve">16 </w:t>
      </w:r>
      <w:r w:rsidRPr="00600B69">
        <w:rPr>
          <w:rFonts w:ascii="Book Antiqua" w:eastAsia="SimSun" w:hAnsi="Book Antiqua" w:cs="SimSun"/>
          <w:b/>
          <w:sz w:val="24"/>
          <w:szCs w:val="24"/>
        </w:rPr>
        <w:t xml:space="preserve">Nakanishi Y, </w:t>
      </w:r>
      <w:r w:rsidRPr="00600B69">
        <w:rPr>
          <w:rFonts w:ascii="Book Antiqua" w:eastAsia="SimSun" w:hAnsi="Book Antiqua" w:cs="SimSun"/>
          <w:sz w:val="24"/>
          <w:szCs w:val="24"/>
        </w:rPr>
        <w:t xml:space="preserve">Zen Y, Kondo S, Itoh T, Itatsu K, Nakanuma Y. Expression of cell cycle-related molecules in biliary premalignant lesions: biliary intraepithelial neoplasia and biliary intraductal papillary neoplasm. </w:t>
      </w:r>
      <w:r w:rsidRPr="00600B69">
        <w:rPr>
          <w:rFonts w:ascii="Book Antiqua" w:eastAsia="SimSun" w:hAnsi="Book Antiqua" w:cs="SimSun"/>
          <w:i/>
          <w:sz w:val="24"/>
          <w:szCs w:val="24"/>
        </w:rPr>
        <w:t xml:space="preserve">Hum Pathol </w:t>
      </w:r>
      <w:r w:rsidRPr="00600B69">
        <w:rPr>
          <w:rFonts w:ascii="Book Antiqua" w:eastAsia="SimSun" w:hAnsi="Book Antiqua" w:cs="SimSun"/>
          <w:sz w:val="24"/>
          <w:szCs w:val="24"/>
        </w:rPr>
        <w:t xml:space="preserve">2008; </w:t>
      </w:r>
      <w:r w:rsidRPr="00600B69">
        <w:rPr>
          <w:rFonts w:ascii="Book Antiqua" w:eastAsia="SimSun" w:hAnsi="Book Antiqua" w:cs="SimSun"/>
          <w:b/>
          <w:sz w:val="24"/>
          <w:szCs w:val="24"/>
        </w:rPr>
        <w:t>39</w:t>
      </w:r>
      <w:r w:rsidRPr="00600B69">
        <w:rPr>
          <w:rFonts w:ascii="Book Antiqua" w:eastAsia="SimSun" w:hAnsi="Book Antiqua" w:cs="SimSun"/>
          <w:sz w:val="24"/>
          <w:szCs w:val="24"/>
        </w:rPr>
        <w:t>: 1153-1161</w:t>
      </w:r>
      <w:r>
        <w:rPr>
          <w:rFonts w:ascii="Book Antiqua" w:eastAsia="SimSun" w:hAnsi="Book Antiqua" w:cs="SimSun" w:hint="eastAsia"/>
          <w:sz w:val="24"/>
          <w:szCs w:val="24"/>
        </w:rPr>
        <w:t xml:space="preserve"> </w:t>
      </w:r>
      <w:r w:rsidRPr="00600B69">
        <w:rPr>
          <w:rFonts w:ascii="Book Antiqua" w:eastAsia="SimSun" w:hAnsi="Book Antiqua" w:cs="SimSun"/>
          <w:sz w:val="24"/>
          <w:szCs w:val="24"/>
        </w:rPr>
        <w:t>[PMID</w:t>
      </w:r>
      <w:r>
        <w:rPr>
          <w:rFonts w:ascii="Book Antiqua" w:eastAsia="SimSun" w:hAnsi="Book Antiqua" w:cs="SimSun" w:hint="eastAsia"/>
          <w:sz w:val="24"/>
          <w:szCs w:val="24"/>
        </w:rPr>
        <w:t>:</w:t>
      </w:r>
      <w:r>
        <w:rPr>
          <w:rFonts w:ascii="Book Antiqua" w:eastAsia="SimSun" w:hAnsi="Book Antiqua" w:cs="SimSun"/>
          <w:sz w:val="24"/>
          <w:szCs w:val="24"/>
        </w:rPr>
        <w:t xml:space="preserve"> 18495210</w:t>
      </w:r>
      <w:r w:rsidRPr="00600B69">
        <w:rPr>
          <w:rFonts w:ascii="Book Antiqua" w:eastAsia="SimSun" w:hAnsi="Book Antiqua" w:cs="SimSun"/>
          <w:sz w:val="24"/>
          <w:szCs w:val="24"/>
        </w:rPr>
        <w:t xml:space="preserve"> DOI: 10.1016/j.humpath.2007.11.018</w:t>
      </w:r>
      <w:r>
        <w:rPr>
          <w:rFonts w:ascii="Book Antiqua" w:eastAsia="SimSun" w:hAnsi="Book Antiqua" w:cs="SimSun" w:hint="eastAsia"/>
          <w:sz w:val="24"/>
          <w:szCs w:val="24"/>
        </w:rPr>
        <w:t>]</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17 </w:t>
      </w:r>
      <w:r w:rsidRPr="00600B69">
        <w:rPr>
          <w:rFonts w:ascii="Book Antiqua" w:eastAsia="SimSun" w:hAnsi="Book Antiqua" w:cs="SimSun"/>
          <w:b/>
          <w:bCs/>
          <w:sz w:val="24"/>
          <w:szCs w:val="24"/>
        </w:rPr>
        <w:t>Furukawa T</w:t>
      </w:r>
      <w:r w:rsidRPr="00600B69">
        <w:rPr>
          <w:rFonts w:ascii="Book Antiqua" w:eastAsia="SimSun" w:hAnsi="Book Antiqua" w:cs="SimSun"/>
          <w:sz w:val="24"/>
          <w:szCs w:val="24"/>
        </w:rPr>
        <w:t>, Klöppel G, Volkan Adsay N, Albores-Saavedra J, Fukushima N, Horii A, Hruban RH, Kato Y, Klimstra DS, Longnecker DS, Lüttges J, Offerhaus GJ, Shimizu M, Sunamura M, Suriawinata A, Takaori K, Yonezawa S. Classification of types of intraductal papillary-mucinous neoplasm of the pancreas: a consensus study. </w:t>
      </w:r>
      <w:r w:rsidRPr="00600B69">
        <w:rPr>
          <w:rFonts w:ascii="Book Antiqua" w:eastAsia="SimSun" w:hAnsi="Book Antiqua" w:cs="SimSun"/>
          <w:i/>
          <w:iCs/>
          <w:sz w:val="24"/>
          <w:szCs w:val="24"/>
        </w:rPr>
        <w:t>Virchows Arch</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447</w:t>
      </w:r>
      <w:r w:rsidRPr="00600B69">
        <w:rPr>
          <w:rFonts w:ascii="Book Antiqua" w:eastAsia="SimSun" w:hAnsi="Book Antiqua" w:cs="SimSun"/>
          <w:sz w:val="24"/>
          <w:szCs w:val="24"/>
        </w:rPr>
        <w:t>: 794-799 [PMID: 16088402 DOI: 10.1007/s00428-005-0039-7]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18 </w:t>
      </w:r>
      <w:r w:rsidRPr="00600B69">
        <w:rPr>
          <w:rFonts w:ascii="Book Antiqua" w:eastAsia="SimSun" w:hAnsi="Book Antiqua" w:cs="SimSun"/>
          <w:b/>
          <w:bCs/>
          <w:sz w:val="24"/>
          <w:szCs w:val="24"/>
        </w:rPr>
        <w:t>Schlitter AM</w:t>
      </w:r>
      <w:r w:rsidRPr="00600B69">
        <w:rPr>
          <w:rFonts w:ascii="Book Antiqua" w:eastAsia="SimSun" w:hAnsi="Book Antiqua" w:cs="SimSun"/>
          <w:sz w:val="24"/>
          <w:szCs w:val="24"/>
        </w:rPr>
        <w:t>, Born D, Bettstetter M, Specht K, Kim-Fuchs C, Riener MO, Jeliazkova P, Sipos B, Siveke JT, Terris B, Zen Y, Schuster T, Höfler H, Perren A, Klöppel G, Esposito I. Intraductal papillary neoplasms of the bile duct: stepwise progression to carcinoma involves common molecular pathways. </w:t>
      </w:r>
      <w:r w:rsidRPr="00600B69">
        <w:rPr>
          <w:rFonts w:ascii="Book Antiqua" w:eastAsia="SimSun" w:hAnsi="Book Antiqua" w:cs="SimSun"/>
          <w:i/>
          <w:iCs/>
          <w:sz w:val="24"/>
          <w:szCs w:val="24"/>
        </w:rPr>
        <w:t>Mod Pathol</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27</w:t>
      </w:r>
      <w:r w:rsidRPr="00600B69">
        <w:rPr>
          <w:rFonts w:ascii="Book Antiqua" w:eastAsia="SimSun" w:hAnsi="Book Antiqua" w:cs="SimSun"/>
          <w:sz w:val="24"/>
          <w:szCs w:val="24"/>
        </w:rPr>
        <w:t>: 73-86 [PMID: 23828315 DOI: 10.1038/modpathol.2013.112]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19 </w:t>
      </w:r>
      <w:r w:rsidRPr="00600B69">
        <w:rPr>
          <w:rFonts w:ascii="Book Antiqua" w:eastAsia="SimSun" w:hAnsi="Book Antiqua" w:cs="SimSun"/>
          <w:b/>
          <w:bCs/>
          <w:sz w:val="24"/>
          <w:szCs w:val="24"/>
        </w:rPr>
        <w:t>Barreto SG</w:t>
      </w:r>
      <w:r w:rsidRPr="00600B69">
        <w:rPr>
          <w:rFonts w:ascii="Book Antiqua" w:eastAsia="SimSun" w:hAnsi="Book Antiqua" w:cs="SimSun"/>
          <w:sz w:val="24"/>
          <w:szCs w:val="24"/>
        </w:rPr>
        <w:t>, Dutt A, Chaudhary A. A genetic model for gallbladder carcinogenesis and its dissemination. </w:t>
      </w:r>
      <w:r w:rsidRPr="00600B69">
        <w:rPr>
          <w:rFonts w:ascii="Book Antiqua" w:eastAsia="SimSun" w:hAnsi="Book Antiqua" w:cs="SimSun"/>
          <w:i/>
          <w:iCs/>
          <w:sz w:val="24"/>
          <w:szCs w:val="24"/>
        </w:rPr>
        <w:t>Ann Oncol</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25</w:t>
      </w:r>
      <w:r w:rsidRPr="00600B69">
        <w:rPr>
          <w:rFonts w:ascii="Book Antiqua" w:eastAsia="SimSun" w:hAnsi="Book Antiqua" w:cs="SimSun"/>
          <w:sz w:val="24"/>
          <w:szCs w:val="24"/>
        </w:rPr>
        <w:t>: 1086-1097 [PMID: 24705974 DOI: 10.1093/annonc/mdu006]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20 </w:t>
      </w:r>
      <w:r w:rsidRPr="00600B69">
        <w:rPr>
          <w:rFonts w:ascii="Book Antiqua" w:eastAsia="SimSun" w:hAnsi="Book Antiqua" w:cs="SimSun"/>
          <w:b/>
          <w:bCs/>
          <w:sz w:val="24"/>
          <w:szCs w:val="24"/>
        </w:rPr>
        <w:t>Tazuma S</w:t>
      </w:r>
      <w:r w:rsidRPr="00600B69">
        <w:rPr>
          <w:rFonts w:ascii="Book Antiqua" w:eastAsia="SimSun" w:hAnsi="Book Antiqua" w:cs="SimSun"/>
          <w:sz w:val="24"/>
          <w:szCs w:val="24"/>
        </w:rPr>
        <w:t>, Kajiyama G. Carcinogenesis of malignant lesions of the gall bladder. The impact of chronic inflammation and gallstones. </w:t>
      </w:r>
      <w:r w:rsidRPr="00600B69">
        <w:rPr>
          <w:rFonts w:ascii="Book Antiqua" w:eastAsia="SimSun" w:hAnsi="Book Antiqua" w:cs="SimSun"/>
          <w:i/>
          <w:iCs/>
          <w:sz w:val="24"/>
          <w:szCs w:val="24"/>
        </w:rPr>
        <w:t>Langenbecks Arch Surg</w:t>
      </w:r>
      <w:r w:rsidRPr="00600B69">
        <w:rPr>
          <w:rFonts w:ascii="Book Antiqua" w:eastAsia="SimSun" w:hAnsi="Book Antiqua" w:cs="SimSun"/>
          <w:sz w:val="24"/>
          <w:szCs w:val="24"/>
        </w:rPr>
        <w:t> 2001; </w:t>
      </w:r>
      <w:r w:rsidRPr="00600B69">
        <w:rPr>
          <w:rFonts w:ascii="Book Antiqua" w:eastAsia="SimSun" w:hAnsi="Book Antiqua" w:cs="SimSun"/>
          <w:b/>
          <w:bCs/>
          <w:sz w:val="24"/>
          <w:szCs w:val="24"/>
        </w:rPr>
        <w:t>386</w:t>
      </w:r>
      <w:r w:rsidRPr="00600B69">
        <w:rPr>
          <w:rFonts w:ascii="Book Antiqua" w:eastAsia="SimSun" w:hAnsi="Book Antiqua" w:cs="SimSun"/>
          <w:sz w:val="24"/>
          <w:szCs w:val="24"/>
        </w:rPr>
        <w:t>: 224-229 [PMID: 11382326 DOI: 10.1007/s004230100220]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21 </w:t>
      </w:r>
      <w:r w:rsidRPr="00600B69">
        <w:rPr>
          <w:rFonts w:ascii="Book Antiqua" w:eastAsia="SimSun" w:hAnsi="Book Antiqua" w:cs="SimSun"/>
          <w:b/>
          <w:bCs/>
          <w:sz w:val="24"/>
          <w:szCs w:val="24"/>
        </w:rPr>
        <w:t>Legan M</w:t>
      </w:r>
      <w:r w:rsidRPr="00600B69">
        <w:rPr>
          <w:rFonts w:ascii="Book Antiqua" w:eastAsia="SimSun" w:hAnsi="Book Antiqua" w:cs="SimSun"/>
          <w:sz w:val="24"/>
          <w:szCs w:val="24"/>
        </w:rPr>
        <w:t>, Luzar B, Marolt VF, Cor A. Expression of cyclooxygenase-2 is associated with p53 accumulation in premalignant and malignant gallbladder lesions. </w:t>
      </w:r>
      <w:r w:rsidRPr="00600B69">
        <w:rPr>
          <w:rFonts w:ascii="Book Antiqua" w:eastAsia="SimSun" w:hAnsi="Book Antiqua" w:cs="SimSun"/>
          <w:i/>
          <w:iCs/>
          <w:sz w:val="24"/>
          <w:szCs w:val="24"/>
        </w:rPr>
        <w:t>World J Gastroenterol</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3425-3429 [PMID: 16733863]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22 </w:t>
      </w:r>
      <w:r w:rsidRPr="00600B69">
        <w:rPr>
          <w:rFonts w:ascii="Book Antiqua" w:eastAsia="SimSun" w:hAnsi="Book Antiqua" w:cs="SimSun"/>
          <w:b/>
          <w:bCs/>
          <w:sz w:val="24"/>
          <w:szCs w:val="24"/>
        </w:rPr>
        <w:t>Wistuba II</w:t>
      </w:r>
      <w:r w:rsidRPr="00600B69">
        <w:rPr>
          <w:rFonts w:ascii="Book Antiqua" w:eastAsia="SimSun" w:hAnsi="Book Antiqua" w:cs="SimSun"/>
          <w:sz w:val="24"/>
          <w:szCs w:val="24"/>
        </w:rPr>
        <w:t>, Albores-Saavedra J. Genetic abnormalities involved in the pathogenesis of gallbladder carcinoma. </w:t>
      </w:r>
      <w:r w:rsidRPr="00600B69">
        <w:rPr>
          <w:rFonts w:ascii="Book Antiqua" w:eastAsia="SimSun" w:hAnsi="Book Antiqua" w:cs="SimSun"/>
          <w:i/>
          <w:iCs/>
          <w:sz w:val="24"/>
          <w:szCs w:val="24"/>
        </w:rPr>
        <w:t>J Hepatobiliary Pancreat Surg</w:t>
      </w:r>
      <w:r w:rsidRPr="00600B69">
        <w:rPr>
          <w:rFonts w:ascii="Book Antiqua" w:eastAsia="SimSun" w:hAnsi="Book Antiqua" w:cs="SimSun"/>
          <w:sz w:val="24"/>
          <w:szCs w:val="24"/>
        </w:rPr>
        <w:t> 1999; </w:t>
      </w:r>
      <w:r w:rsidRPr="00600B69">
        <w:rPr>
          <w:rFonts w:ascii="Book Antiqua" w:eastAsia="SimSun" w:hAnsi="Book Antiqua" w:cs="SimSun"/>
          <w:b/>
          <w:bCs/>
          <w:sz w:val="24"/>
          <w:szCs w:val="24"/>
        </w:rPr>
        <w:t>6</w:t>
      </w:r>
      <w:r w:rsidRPr="00600B69">
        <w:rPr>
          <w:rFonts w:ascii="Book Antiqua" w:eastAsia="SimSun" w:hAnsi="Book Antiqua" w:cs="SimSun"/>
          <w:sz w:val="24"/>
          <w:szCs w:val="24"/>
        </w:rPr>
        <w:t>: 237-244 [PMID: 10526058 DOI: 10.1007/s005340050113]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23 </w:t>
      </w:r>
      <w:r w:rsidRPr="00600B69">
        <w:rPr>
          <w:rFonts w:ascii="Book Antiqua" w:eastAsia="SimSun" w:hAnsi="Book Antiqua" w:cs="SimSun"/>
          <w:b/>
          <w:bCs/>
          <w:sz w:val="24"/>
          <w:szCs w:val="24"/>
        </w:rPr>
        <w:t>Wistuba II</w:t>
      </w:r>
      <w:r w:rsidRPr="00600B69">
        <w:rPr>
          <w:rFonts w:ascii="Book Antiqua" w:eastAsia="SimSun" w:hAnsi="Book Antiqua" w:cs="SimSun"/>
          <w:sz w:val="24"/>
          <w:szCs w:val="24"/>
        </w:rPr>
        <w:t>, Maitra A, Carrasco R, Tang M, Troncoso P, Minna JD, Gazdar AF. High resolution chromosome 3p, 8p, 9q and 22q allelotyping analysis in the pathogenesis of gallbladder carcinoma. </w:t>
      </w:r>
      <w:r w:rsidRPr="00600B69">
        <w:rPr>
          <w:rFonts w:ascii="Book Antiqua" w:eastAsia="SimSun" w:hAnsi="Book Antiqua" w:cs="SimSun"/>
          <w:i/>
          <w:iCs/>
          <w:sz w:val="24"/>
          <w:szCs w:val="24"/>
        </w:rPr>
        <w:t>Br J Cancer</w:t>
      </w:r>
      <w:r w:rsidRPr="00600B69">
        <w:rPr>
          <w:rFonts w:ascii="Book Antiqua" w:eastAsia="SimSun" w:hAnsi="Book Antiqua" w:cs="SimSun"/>
          <w:sz w:val="24"/>
          <w:szCs w:val="24"/>
        </w:rPr>
        <w:t> 2002; </w:t>
      </w:r>
      <w:r w:rsidRPr="00600B69">
        <w:rPr>
          <w:rFonts w:ascii="Book Antiqua" w:eastAsia="SimSun" w:hAnsi="Book Antiqua" w:cs="SimSun"/>
          <w:b/>
          <w:bCs/>
          <w:sz w:val="24"/>
          <w:szCs w:val="24"/>
        </w:rPr>
        <w:t>87</w:t>
      </w:r>
      <w:r w:rsidRPr="00600B69">
        <w:rPr>
          <w:rFonts w:ascii="Book Antiqua" w:eastAsia="SimSun" w:hAnsi="Book Antiqua" w:cs="SimSun"/>
          <w:sz w:val="24"/>
          <w:szCs w:val="24"/>
        </w:rPr>
        <w:t>: 432-440 [PMID: 12177780 DOI: 10.1038/sj.bjc.6600490]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24 </w:t>
      </w:r>
      <w:r w:rsidRPr="00600B69">
        <w:rPr>
          <w:rFonts w:ascii="Book Antiqua" w:eastAsia="SimSun" w:hAnsi="Book Antiqua" w:cs="SimSun"/>
          <w:b/>
          <w:bCs/>
          <w:sz w:val="24"/>
          <w:szCs w:val="24"/>
        </w:rPr>
        <w:t>Chaube A</w:t>
      </w:r>
      <w:r w:rsidRPr="00600B69">
        <w:rPr>
          <w:rFonts w:ascii="Book Antiqua" w:eastAsia="SimSun" w:hAnsi="Book Antiqua" w:cs="SimSun"/>
          <w:sz w:val="24"/>
          <w:szCs w:val="24"/>
        </w:rPr>
        <w:t>, Tewari M, Garbyal RS, Singh U, Shukla HS. Preliminary study of p53 and c-erbB-2 expression in gallbladder cancer in Indian patients manuscript id: 8962091628764582. </w:t>
      </w:r>
      <w:r w:rsidRPr="00600B69">
        <w:rPr>
          <w:rFonts w:ascii="Book Antiqua" w:eastAsia="SimSun" w:hAnsi="Book Antiqua" w:cs="SimSun"/>
          <w:i/>
          <w:iCs/>
          <w:sz w:val="24"/>
          <w:szCs w:val="24"/>
        </w:rPr>
        <w:t>BMC Cancer</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6</w:t>
      </w:r>
      <w:r w:rsidRPr="00600B69">
        <w:rPr>
          <w:rFonts w:ascii="Book Antiqua" w:eastAsia="SimSun" w:hAnsi="Book Antiqua" w:cs="SimSun"/>
          <w:sz w:val="24"/>
          <w:szCs w:val="24"/>
        </w:rPr>
        <w:t>: 126 [PMID: 16686942 DOI: 10.1186/1471-2407-6-126]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25 </w:t>
      </w:r>
      <w:r w:rsidRPr="00600B69">
        <w:rPr>
          <w:rFonts w:ascii="Book Antiqua" w:eastAsia="SimSun" w:hAnsi="Book Antiqua" w:cs="SimSun"/>
          <w:b/>
          <w:bCs/>
          <w:sz w:val="24"/>
          <w:szCs w:val="24"/>
        </w:rPr>
        <w:t>Chang HJ</w:t>
      </w:r>
      <w:r w:rsidRPr="00600B69">
        <w:rPr>
          <w:rFonts w:ascii="Book Antiqua" w:eastAsia="SimSun" w:hAnsi="Book Antiqua" w:cs="SimSun"/>
          <w:sz w:val="24"/>
          <w:szCs w:val="24"/>
        </w:rPr>
        <w:t>, Kim SW, Kim YT, Kim WH. Loss of heterozygosity in dysplasia and carcinoma of the gallbladder. </w:t>
      </w:r>
      <w:r w:rsidRPr="00600B69">
        <w:rPr>
          <w:rFonts w:ascii="Book Antiqua" w:eastAsia="SimSun" w:hAnsi="Book Antiqua" w:cs="SimSun"/>
          <w:i/>
          <w:iCs/>
          <w:sz w:val="24"/>
          <w:szCs w:val="24"/>
        </w:rPr>
        <w:t>Mod Pathol</w:t>
      </w:r>
      <w:r w:rsidRPr="00600B69">
        <w:rPr>
          <w:rFonts w:ascii="Book Antiqua" w:eastAsia="SimSun" w:hAnsi="Book Antiqua" w:cs="SimSun"/>
          <w:sz w:val="24"/>
          <w:szCs w:val="24"/>
        </w:rPr>
        <w:t> 1999;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763-769 [PMID: 10463477]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26 </w:t>
      </w:r>
      <w:r w:rsidRPr="00600B69">
        <w:rPr>
          <w:rFonts w:ascii="Book Antiqua" w:eastAsia="SimSun" w:hAnsi="Book Antiqua" w:cs="SimSun"/>
          <w:b/>
          <w:bCs/>
          <w:sz w:val="24"/>
          <w:szCs w:val="24"/>
        </w:rPr>
        <w:t>Wistuba II</w:t>
      </w:r>
      <w:r w:rsidRPr="00600B69">
        <w:rPr>
          <w:rFonts w:ascii="Book Antiqua" w:eastAsia="SimSun" w:hAnsi="Book Antiqua" w:cs="SimSun"/>
          <w:sz w:val="24"/>
          <w:szCs w:val="24"/>
        </w:rPr>
        <w:t>, Ashfaq R, Maitra A, Alvarez H, Riquelme E, Gazdar AF. Fragile histidine triad gene abnormalities in the pathogenesis of gallbladder carcinoma. </w:t>
      </w:r>
      <w:r w:rsidRPr="00600B69">
        <w:rPr>
          <w:rFonts w:ascii="Book Antiqua" w:eastAsia="SimSun" w:hAnsi="Book Antiqua" w:cs="SimSun"/>
          <w:i/>
          <w:iCs/>
          <w:sz w:val="24"/>
          <w:szCs w:val="24"/>
        </w:rPr>
        <w:t>Am J Pathol</w:t>
      </w:r>
      <w:r w:rsidRPr="00600B69">
        <w:rPr>
          <w:rFonts w:ascii="Book Antiqua" w:eastAsia="SimSun" w:hAnsi="Book Antiqua" w:cs="SimSun"/>
          <w:sz w:val="24"/>
          <w:szCs w:val="24"/>
        </w:rPr>
        <w:t> 2002; </w:t>
      </w:r>
      <w:r w:rsidRPr="00600B69">
        <w:rPr>
          <w:rFonts w:ascii="Book Antiqua" w:eastAsia="SimSun" w:hAnsi="Book Antiqua" w:cs="SimSun"/>
          <w:b/>
          <w:bCs/>
          <w:sz w:val="24"/>
          <w:szCs w:val="24"/>
        </w:rPr>
        <w:t>160</w:t>
      </w:r>
      <w:r w:rsidRPr="00600B69">
        <w:rPr>
          <w:rFonts w:ascii="Book Antiqua" w:eastAsia="SimSun" w:hAnsi="Book Antiqua" w:cs="SimSun"/>
          <w:sz w:val="24"/>
          <w:szCs w:val="24"/>
        </w:rPr>
        <w:t>: 2073-2079 [PMID: 12057912 DOI: 10.1016/S0002-9440(10)61157-1]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27 </w:t>
      </w:r>
      <w:r w:rsidRPr="00600B69">
        <w:rPr>
          <w:rFonts w:ascii="Book Antiqua" w:eastAsia="SimSun" w:hAnsi="Book Antiqua" w:cs="SimSun"/>
          <w:b/>
          <w:bCs/>
          <w:sz w:val="24"/>
          <w:szCs w:val="24"/>
        </w:rPr>
        <w:t>Baselga J</w:t>
      </w:r>
      <w:r w:rsidRPr="00600B69">
        <w:rPr>
          <w:rFonts w:ascii="Book Antiqua" w:eastAsia="SimSun" w:hAnsi="Book Antiqua" w:cs="SimSun"/>
          <w:sz w:val="24"/>
          <w:szCs w:val="24"/>
        </w:rPr>
        <w:t>. Why the epidermal growth factor receptor? The rationale for cancer therapy. </w:t>
      </w:r>
      <w:r w:rsidRPr="00600B69">
        <w:rPr>
          <w:rFonts w:ascii="Book Antiqua" w:eastAsia="SimSun" w:hAnsi="Book Antiqua" w:cs="SimSun"/>
          <w:i/>
          <w:iCs/>
          <w:sz w:val="24"/>
          <w:szCs w:val="24"/>
        </w:rPr>
        <w:t>Oncologist</w:t>
      </w:r>
      <w:r w:rsidRPr="00600B69">
        <w:rPr>
          <w:rFonts w:ascii="Book Antiqua" w:eastAsia="SimSun" w:hAnsi="Book Antiqua" w:cs="SimSun"/>
          <w:sz w:val="24"/>
          <w:szCs w:val="24"/>
        </w:rPr>
        <w:t> 2002; </w:t>
      </w:r>
      <w:r w:rsidRPr="00600B69">
        <w:rPr>
          <w:rFonts w:ascii="Book Antiqua" w:eastAsia="SimSun" w:hAnsi="Book Antiqua" w:cs="SimSun"/>
          <w:b/>
          <w:bCs/>
          <w:sz w:val="24"/>
          <w:szCs w:val="24"/>
        </w:rPr>
        <w:t>7</w:t>
      </w:r>
      <w:r w:rsidRPr="00600B69">
        <w:rPr>
          <w:rFonts w:ascii="Book Antiqua" w:eastAsia="SimSun" w:hAnsi="Book Antiqua" w:cs="SimSun"/>
          <w:bCs/>
          <w:sz w:val="24"/>
          <w:szCs w:val="24"/>
        </w:rPr>
        <w:t xml:space="preserve"> Suppl 4</w:t>
      </w:r>
      <w:r w:rsidRPr="00600B69">
        <w:rPr>
          <w:rFonts w:ascii="Book Antiqua" w:eastAsia="SimSun" w:hAnsi="Book Antiqua" w:cs="SimSun"/>
          <w:sz w:val="24"/>
          <w:szCs w:val="24"/>
        </w:rPr>
        <w:t>: 2-8 [PMID: 12202782 DOI: 10.1634/theoncologist.7-suppl_4-2]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28 </w:t>
      </w:r>
      <w:r w:rsidRPr="00600B69">
        <w:rPr>
          <w:rFonts w:ascii="Book Antiqua" w:eastAsia="SimSun" w:hAnsi="Book Antiqua" w:cs="SimSun"/>
          <w:b/>
          <w:bCs/>
          <w:sz w:val="24"/>
          <w:szCs w:val="24"/>
        </w:rPr>
        <w:t>Yoshikawa D</w:t>
      </w:r>
      <w:r w:rsidRPr="00600B69">
        <w:rPr>
          <w:rFonts w:ascii="Book Antiqua" w:eastAsia="SimSun" w:hAnsi="Book Antiqua" w:cs="SimSun"/>
          <w:sz w:val="24"/>
          <w:szCs w:val="24"/>
        </w:rPr>
        <w:t>, Ojima H, Iwasaki M, Hiraoka N, Kosuge T, Kasai S, Hirohashi S, Shibata T. Clinicopathological and prognostic significance of EGFR, VEGF, and HER2 expression in cholangiocarcinoma. </w:t>
      </w:r>
      <w:r w:rsidRPr="00600B69">
        <w:rPr>
          <w:rFonts w:ascii="Book Antiqua" w:eastAsia="SimSun" w:hAnsi="Book Antiqua" w:cs="SimSun"/>
          <w:i/>
          <w:iCs/>
          <w:sz w:val="24"/>
          <w:szCs w:val="24"/>
        </w:rPr>
        <w:t>Br J Cancer</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98</w:t>
      </w:r>
      <w:r w:rsidRPr="00600B69">
        <w:rPr>
          <w:rFonts w:ascii="Book Antiqua" w:eastAsia="SimSun" w:hAnsi="Book Antiqua" w:cs="SimSun"/>
          <w:sz w:val="24"/>
          <w:szCs w:val="24"/>
        </w:rPr>
        <w:t>: 418-425 [PMID: 18087285 DOI: 10.1038/sj.bjc.6604129]</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29 </w:t>
      </w:r>
      <w:r w:rsidRPr="00600B69">
        <w:rPr>
          <w:rFonts w:ascii="Book Antiqua" w:eastAsia="SimSun" w:hAnsi="Book Antiqua" w:cs="SimSun"/>
          <w:b/>
          <w:bCs/>
          <w:sz w:val="24"/>
          <w:szCs w:val="24"/>
        </w:rPr>
        <w:t>Chang YT</w:t>
      </w:r>
      <w:r w:rsidRPr="00600B69">
        <w:rPr>
          <w:rFonts w:ascii="Book Antiqua" w:eastAsia="SimSun" w:hAnsi="Book Antiqua" w:cs="SimSun"/>
          <w:sz w:val="24"/>
          <w:szCs w:val="24"/>
        </w:rPr>
        <w:t>, Chang MC, Huang KW, Tung CC, Hsu C, Wong JM. Clinicopathological and prognostic significances of EGFR, KRAS and BRAF mutations in biliary tract carcinomas in Taiwan. </w:t>
      </w:r>
      <w:r w:rsidRPr="00600B69">
        <w:rPr>
          <w:rFonts w:ascii="Book Antiqua" w:eastAsia="SimSun" w:hAnsi="Book Antiqua" w:cs="SimSun"/>
          <w:i/>
          <w:iCs/>
          <w:sz w:val="24"/>
          <w:szCs w:val="24"/>
        </w:rPr>
        <w:t>J Gastroenterol Hepatol</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29</w:t>
      </w:r>
      <w:r w:rsidRPr="00600B69">
        <w:rPr>
          <w:rFonts w:ascii="Book Antiqua" w:eastAsia="SimSun" w:hAnsi="Book Antiqua" w:cs="SimSun"/>
          <w:sz w:val="24"/>
          <w:szCs w:val="24"/>
        </w:rPr>
        <w:t>: 1119-1125 [PMID: 24372748 DOI: 10.1111/jgh.12505]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30 </w:t>
      </w:r>
      <w:r w:rsidRPr="00600B69">
        <w:rPr>
          <w:rFonts w:ascii="Book Antiqua" w:eastAsia="SimSun" w:hAnsi="Book Antiqua" w:cs="SimSun"/>
          <w:b/>
          <w:bCs/>
          <w:sz w:val="24"/>
          <w:szCs w:val="24"/>
        </w:rPr>
        <w:t>Gwak GY</w:t>
      </w:r>
      <w:r w:rsidRPr="00600B69">
        <w:rPr>
          <w:rFonts w:ascii="Book Antiqua" w:eastAsia="SimSun" w:hAnsi="Book Antiqua" w:cs="SimSun"/>
          <w:sz w:val="24"/>
          <w:szCs w:val="24"/>
        </w:rPr>
        <w:t>, Yoon JH, Shin CM, Ahn YJ, Chung JK, Kim YA, Kim TY, Lee HS. Detection of response-predicting mutations in the kinase domain of the epidermal growth factor receptor gene in cholangiocarcinomas. </w:t>
      </w:r>
      <w:r w:rsidRPr="00600B69">
        <w:rPr>
          <w:rFonts w:ascii="Book Antiqua" w:eastAsia="SimSun" w:hAnsi="Book Antiqua" w:cs="SimSun"/>
          <w:i/>
          <w:iCs/>
          <w:sz w:val="24"/>
          <w:szCs w:val="24"/>
        </w:rPr>
        <w:t>J Cancer Res Clin Oncol</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131</w:t>
      </w:r>
      <w:r w:rsidRPr="00600B69">
        <w:rPr>
          <w:rFonts w:ascii="Book Antiqua" w:eastAsia="SimSun" w:hAnsi="Book Antiqua" w:cs="SimSun"/>
          <w:sz w:val="24"/>
          <w:szCs w:val="24"/>
        </w:rPr>
        <w:t>: 649-652 [PMID: 16032426 DOI: 10.1007/s00432-005-0016-1]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31 </w:t>
      </w:r>
      <w:r w:rsidRPr="00600B69">
        <w:rPr>
          <w:rFonts w:ascii="Book Antiqua" w:eastAsia="SimSun" w:hAnsi="Book Antiqua" w:cs="SimSun"/>
          <w:b/>
          <w:bCs/>
          <w:sz w:val="24"/>
          <w:szCs w:val="24"/>
        </w:rPr>
        <w:t>Zaczek A</w:t>
      </w:r>
      <w:r w:rsidRPr="00600B69">
        <w:rPr>
          <w:rFonts w:ascii="Book Antiqua" w:eastAsia="SimSun" w:hAnsi="Book Antiqua" w:cs="SimSun"/>
          <w:sz w:val="24"/>
          <w:szCs w:val="24"/>
        </w:rPr>
        <w:t>, Brandt B, Bielawski KP. The diverse signaling network of EGFR, HER2, HER3 and HER4 tyrosine kinase receptors and the consequences for therapeutic approaches. </w:t>
      </w:r>
      <w:r w:rsidRPr="00600B69">
        <w:rPr>
          <w:rFonts w:ascii="Book Antiqua" w:eastAsia="SimSun" w:hAnsi="Book Antiqua" w:cs="SimSun"/>
          <w:i/>
          <w:iCs/>
          <w:sz w:val="24"/>
          <w:szCs w:val="24"/>
        </w:rPr>
        <w:t>Histol Histopathol</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20</w:t>
      </w:r>
      <w:r w:rsidRPr="00600B69">
        <w:rPr>
          <w:rFonts w:ascii="Book Antiqua" w:eastAsia="SimSun" w:hAnsi="Book Antiqua" w:cs="SimSun"/>
          <w:sz w:val="24"/>
          <w:szCs w:val="24"/>
        </w:rPr>
        <w:t>: 1005-1015 [PMID: 15944951]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32 </w:t>
      </w:r>
      <w:r w:rsidRPr="00600B69">
        <w:rPr>
          <w:rFonts w:ascii="Book Antiqua" w:eastAsia="SimSun" w:hAnsi="Book Antiqua" w:cs="SimSun"/>
          <w:b/>
          <w:bCs/>
          <w:sz w:val="24"/>
          <w:szCs w:val="24"/>
        </w:rPr>
        <w:t>Giatromanolaki A</w:t>
      </w:r>
      <w:r w:rsidRPr="00600B69">
        <w:rPr>
          <w:rFonts w:ascii="Book Antiqua" w:eastAsia="SimSun" w:hAnsi="Book Antiqua" w:cs="SimSun"/>
          <w:sz w:val="24"/>
          <w:szCs w:val="24"/>
        </w:rPr>
        <w:t>, Sivridis E, Simopoulos C, Polychronidis A, Gatter KC, Harris AL, Koukourakis MI. Hypoxia inducible factors 1alpha and 2alpha are associated with VEGF expression and angiogenesis in gallbladder carcinomas. </w:t>
      </w:r>
      <w:r w:rsidRPr="00600B69">
        <w:rPr>
          <w:rFonts w:ascii="Book Antiqua" w:eastAsia="SimSun" w:hAnsi="Book Antiqua" w:cs="SimSun"/>
          <w:i/>
          <w:iCs/>
          <w:sz w:val="24"/>
          <w:szCs w:val="24"/>
        </w:rPr>
        <w:t>J Surg Oncol</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94</w:t>
      </w:r>
      <w:r w:rsidRPr="00600B69">
        <w:rPr>
          <w:rFonts w:ascii="Book Antiqua" w:eastAsia="SimSun" w:hAnsi="Book Antiqua" w:cs="SimSun"/>
          <w:sz w:val="24"/>
          <w:szCs w:val="24"/>
        </w:rPr>
        <w:t>: 242-247 [PMID: 16900513 DOI: 10.1002/jso.20443]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33 </w:t>
      </w:r>
      <w:r w:rsidRPr="00600B69">
        <w:rPr>
          <w:rFonts w:ascii="Book Antiqua" w:eastAsia="SimSun" w:hAnsi="Book Antiqua" w:cs="SimSun"/>
          <w:b/>
          <w:bCs/>
          <w:sz w:val="24"/>
          <w:szCs w:val="24"/>
        </w:rPr>
        <w:t>McMahon G</w:t>
      </w:r>
      <w:r w:rsidRPr="00600B69">
        <w:rPr>
          <w:rFonts w:ascii="Book Antiqua" w:eastAsia="SimSun" w:hAnsi="Book Antiqua" w:cs="SimSun"/>
          <w:sz w:val="24"/>
          <w:szCs w:val="24"/>
        </w:rPr>
        <w:t>. VEGF receptor signaling in tumor angiogenesis. </w:t>
      </w:r>
      <w:r w:rsidRPr="00600B69">
        <w:rPr>
          <w:rFonts w:ascii="Book Antiqua" w:eastAsia="SimSun" w:hAnsi="Book Antiqua" w:cs="SimSun"/>
          <w:i/>
          <w:iCs/>
          <w:sz w:val="24"/>
          <w:szCs w:val="24"/>
        </w:rPr>
        <w:t>Oncologist</w:t>
      </w:r>
      <w:r w:rsidRPr="00600B69">
        <w:rPr>
          <w:rFonts w:ascii="Book Antiqua" w:eastAsia="SimSun" w:hAnsi="Book Antiqua" w:cs="SimSun"/>
          <w:sz w:val="24"/>
          <w:szCs w:val="24"/>
        </w:rPr>
        <w:t> 2000; </w:t>
      </w:r>
      <w:r w:rsidRPr="00600B69">
        <w:rPr>
          <w:rFonts w:ascii="Book Antiqua" w:eastAsia="SimSun" w:hAnsi="Book Antiqua" w:cs="SimSun"/>
          <w:b/>
          <w:bCs/>
          <w:sz w:val="24"/>
          <w:szCs w:val="24"/>
        </w:rPr>
        <w:t>5</w:t>
      </w:r>
      <w:r w:rsidRPr="00600B69">
        <w:rPr>
          <w:rFonts w:ascii="Book Antiqua" w:eastAsia="SimSun" w:hAnsi="Book Antiqua" w:cs="SimSun"/>
          <w:bCs/>
          <w:sz w:val="24"/>
          <w:szCs w:val="24"/>
        </w:rPr>
        <w:t xml:space="preserve"> Suppl 1</w:t>
      </w:r>
      <w:r w:rsidRPr="00600B69">
        <w:rPr>
          <w:rFonts w:ascii="Book Antiqua" w:eastAsia="SimSun" w:hAnsi="Book Antiqua" w:cs="SimSun"/>
          <w:sz w:val="24"/>
          <w:szCs w:val="24"/>
        </w:rPr>
        <w:t>: 3-10 [PMID: 10804084 DOI: 10.1634/theoncologist.5-suppl_1-3]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34 </w:t>
      </w:r>
      <w:r w:rsidRPr="00600B69">
        <w:rPr>
          <w:rFonts w:ascii="Book Antiqua" w:eastAsia="SimSun" w:hAnsi="Book Antiqua" w:cs="SimSun"/>
          <w:b/>
          <w:bCs/>
          <w:sz w:val="24"/>
          <w:szCs w:val="24"/>
        </w:rPr>
        <w:t>Tian Y</w:t>
      </w:r>
      <w:r w:rsidRPr="00600B69">
        <w:rPr>
          <w:rFonts w:ascii="Book Antiqua" w:eastAsia="SimSun" w:hAnsi="Book Antiqua" w:cs="SimSun"/>
          <w:sz w:val="24"/>
          <w:szCs w:val="24"/>
        </w:rPr>
        <w:t>, Ding RY, Zhi YH, Guo RX, Wu SD. Analysis of p53 and vascular endothelial growth factor expression in human gallbladder carcinoma for the determination of tumor vascularity. </w:t>
      </w:r>
      <w:r w:rsidRPr="00600B69">
        <w:rPr>
          <w:rFonts w:ascii="Book Antiqua" w:eastAsia="SimSun" w:hAnsi="Book Antiqua" w:cs="SimSun"/>
          <w:i/>
          <w:iCs/>
          <w:sz w:val="24"/>
          <w:szCs w:val="24"/>
        </w:rPr>
        <w:t>World J Gastroenterol</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415-419 [PMID: 16489641]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35 </w:t>
      </w:r>
      <w:r w:rsidRPr="00600B69">
        <w:rPr>
          <w:rFonts w:ascii="Book Antiqua" w:eastAsia="SimSun" w:hAnsi="Book Antiqua" w:cs="SimSun"/>
          <w:b/>
          <w:bCs/>
          <w:sz w:val="24"/>
          <w:szCs w:val="24"/>
        </w:rPr>
        <w:t>Maulik G</w:t>
      </w:r>
      <w:r w:rsidRPr="00600B69">
        <w:rPr>
          <w:rFonts w:ascii="Book Antiqua" w:eastAsia="SimSun" w:hAnsi="Book Antiqua" w:cs="SimSun"/>
          <w:sz w:val="24"/>
          <w:szCs w:val="24"/>
        </w:rPr>
        <w:t>, Shrikhande A, Kijima T, Ma PC, Morrison PT, Salgia R. Role of the hepatocyte growth factor receptor, c-Met, in oncogenesis and potential for therapeutic inhibition. </w:t>
      </w:r>
      <w:r w:rsidRPr="00600B69">
        <w:rPr>
          <w:rFonts w:ascii="Book Antiqua" w:eastAsia="SimSun" w:hAnsi="Book Antiqua" w:cs="SimSun"/>
          <w:i/>
          <w:iCs/>
          <w:sz w:val="24"/>
          <w:szCs w:val="24"/>
        </w:rPr>
        <w:t>Cytokine Growth Factor Rev</w:t>
      </w:r>
      <w:r w:rsidRPr="00600B69">
        <w:rPr>
          <w:rFonts w:ascii="Book Antiqua" w:eastAsia="SimSun" w:hAnsi="Book Antiqua" w:cs="SimSun"/>
          <w:sz w:val="24"/>
          <w:szCs w:val="24"/>
        </w:rPr>
        <w:t> 2002; </w:t>
      </w:r>
      <w:r w:rsidRPr="00600B69">
        <w:rPr>
          <w:rFonts w:ascii="Book Antiqua" w:eastAsia="SimSun" w:hAnsi="Book Antiqua" w:cs="SimSun"/>
          <w:b/>
          <w:bCs/>
          <w:sz w:val="24"/>
          <w:szCs w:val="24"/>
        </w:rPr>
        <w:t>13</w:t>
      </w:r>
      <w:r w:rsidRPr="00600B69">
        <w:rPr>
          <w:rFonts w:ascii="Book Antiqua" w:eastAsia="SimSun" w:hAnsi="Book Antiqua" w:cs="SimSun"/>
          <w:sz w:val="24"/>
          <w:szCs w:val="24"/>
        </w:rPr>
        <w:t>: 41-59 [PMID: 11750879 DOI: 10.1016/S1359-6101(01)00029-6]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36 </w:t>
      </w:r>
      <w:r w:rsidRPr="00600B69">
        <w:rPr>
          <w:rFonts w:ascii="Book Antiqua" w:eastAsia="SimSun" w:hAnsi="Book Antiqua" w:cs="SimSun"/>
          <w:b/>
          <w:bCs/>
          <w:sz w:val="24"/>
          <w:szCs w:val="24"/>
        </w:rPr>
        <w:t>Yang L</w:t>
      </w:r>
      <w:r w:rsidRPr="00600B69">
        <w:rPr>
          <w:rFonts w:ascii="Book Antiqua" w:eastAsia="SimSun" w:hAnsi="Book Antiqua" w:cs="SimSun"/>
          <w:sz w:val="24"/>
          <w:szCs w:val="24"/>
        </w:rPr>
        <w:t>, Guo T, Jiang S, Yang Z. Expression of ezrin, HGF and c-met and its clinicopathological significance in the benign and malignant lesions of the gallbladder. </w:t>
      </w:r>
      <w:r w:rsidRPr="00600B69">
        <w:rPr>
          <w:rFonts w:ascii="Book Antiqua" w:eastAsia="SimSun" w:hAnsi="Book Antiqua" w:cs="SimSun"/>
          <w:i/>
          <w:iCs/>
          <w:sz w:val="24"/>
          <w:szCs w:val="24"/>
        </w:rPr>
        <w:t>Hepatogastroenterology</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59</w:t>
      </w:r>
      <w:r w:rsidRPr="00600B69">
        <w:rPr>
          <w:rFonts w:ascii="Book Antiqua" w:eastAsia="SimSun" w:hAnsi="Book Antiqua" w:cs="SimSun"/>
          <w:sz w:val="24"/>
          <w:szCs w:val="24"/>
        </w:rPr>
        <w:t>: 1769-1775 [PMID: 22172411]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37 </w:t>
      </w:r>
      <w:r w:rsidRPr="00600B69">
        <w:rPr>
          <w:rFonts w:ascii="Book Antiqua" w:eastAsia="SimSun" w:hAnsi="Book Antiqua" w:cs="SimSun"/>
          <w:b/>
          <w:bCs/>
          <w:sz w:val="24"/>
          <w:szCs w:val="24"/>
        </w:rPr>
        <w:t>Moon WS</w:t>
      </w:r>
      <w:r w:rsidRPr="00600B69">
        <w:rPr>
          <w:rFonts w:ascii="Book Antiqua" w:eastAsia="SimSun" w:hAnsi="Book Antiqua" w:cs="SimSun"/>
          <w:sz w:val="24"/>
          <w:szCs w:val="24"/>
        </w:rPr>
        <w:t>, Park HS, Lee H, Pai R, Tarnawski AS, Kim KR, Jang KY. Co-expression of cox-2, C-met and beta-catenin in cells forming invasive front of gallbladder cancer. </w:t>
      </w:r>
      <w:r w:rsidRPr="00600B69">
        <w:rPr>
          <w:rFonts w:ascii="Book Antiqua" w:eastAsia="SimSun" w:hAnsi="Book Antiqua" w:cs="SimSun"/>
          <w:i/>
          <w:iCs/>
          <w:sz w:val="24"/>
          <w:szCs w:val="24"/>
        </w:rPr>
        <w:t>Cancer Res Treat</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37</w:t>
      </w:r>
      <w:r w:rsidRPr="00600B69">
        <w:rPr>
          <w:rFonts w:ascii="Book Antiqua" w:eastAsia="SimSun" w:hAnsi="Book Antiqua" w:cs="SimSun"/>
          <w:sz w:val="24"/>
          <w:szCs w:val="24"/>
        </w:rPr>
        <w:t>: 171-176 [PMID: 19956499 DOI: 10.4143/crt.2005.37.3.171]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38 </w:t>
      </w:r>
      <w:r w:rsidRPr="00600B69">
        <w:rPr>
          <w:rFonts w:ascii="Book Antiqua" w:eastAsia="SimSun" w:hAnsi="Book Antiqua" w:cs="SimSun"/>
          <w:b/>
          <w:bCs/>
          <w:sz w:val="24"/>
          <w:szCs w:val="24"/>
        </w:rPr>
        <w:t>McCubrey JA</w:t>
      </w:r>
      <w:r w:rsidRPr="00600B69">
        <w:rPr>
          <w:rFonts w:ascii="Book Antiqua" w:eastAsia="SimSun" w:hAnsi="Book Antiqua" w:cs="SimSun"/>
          <w:sz w:val="24"/>
          <w:szCs w:val="24"/>
        </w:rPr>
        <w:t>, Steelman LS, Chappell WH, Abrams SL, Wong EW, Chang F, Lehmann B, Terrian DM, Milella M, Tafuri A, Stivala F, Libra M, Basecke J, Evangelisti C, Martelli AM, Franklin RA. Roles of the Raf/MEK/ERK pathway in cell growth, malignant transformation and drug resistance. </w:t>
      </w:r>
      <w:r w:rsidRPr="00600B69">
        <w:rPr>
          <w:rFonts w:ascii="Book Antiqua" w:eastAsia="SimSun" w:hAnsi="Book Antiqua" w:cs="SimSun"/>
          <w:i/>
          <w:iCs/>
          <w:sz w:val="24"/>
          <w:szCs w:val="24"/>
        </w:rPr>
        <w:t>Biochim Biophys Acta</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1773</w:t>
      </w:r>
      <w:r w:rsidRPr="00600B69">
        <w:rPr>
          <w:rFonts w:ascii="Book Antiqua" w:eastAsia="SimSun" w:hAnsi="Book Antiqua" w:cs="SimSun"/>
          <w:sz w:val="24"/>
          <w:szCs w:val="24"/>
        </w:rPr>
        <w:t>: 1263-1284 [PMID: 17126425]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39 </w:t>
      </w:r>
      <w:r w:rsidRPr="00600B69">
        <w:rPr>
          <w:rFonts w:ascii="Book Antiqua" w:eastAsia="SimSun" w:hAnsi="Book Antiqua" w:cs="SimSun"/>
          <w:b/>
          <w:bCs/>
          <w:sz w:val="24"/>
          <w:szCs w:val="24"/>
        </w:rPr>
        <w:t>Tannapfel A</w:t>
      </w:r>
      <w:r w:rsidRPr="00600B69">
        <w:rPr>
          <w:rFonts w:ascii="Book Antiqua" w:eastAsia="SimSun" w:hAnsi="Book Antiqua" w:cs="SimSun"/>
          <w:sz w:val="24"/>
          <w:szCs w:val="24"/>
        </w:rPr>
        <w:t>, Sommerer F, Benicke M, Katalinic A, Uhlmann D, Witzigmann H, Hauss J, Wittekind C. Mutations of the BRAF gene in cholangiocarcinoma but not in hepatocellular carcinoma. </w:t>
      </w:r>
      <w:r w:rsidRPr="00600B69">
        <w:rPr>
          <w:rFonts w:ascii="Book Antiqua" w:eastAsia="SimSun" w:hAnsi="Book Antiqua" w:cs="SimSun"/>
          <w:i/>
          <w:iCs/>
          <w:sz w:val="24"/>
          <w:szCs w:val="24"/>
        </w:rPr>
        <w:t>Gut</w:t>
      </w:r>
      <w:r w:rsidRPr="00600B69">
        <w:rPr>
          <w:rFonts w:ascii="Book Antiqua" w:eastAsia="SimSun" w:hAnsi="Book Antiqua" w:cs="SimSun"/>
          <w:sz w:val="24"/>
          <w:szCs w:val="24"/>
        </w:rPr>
        <w:t> 2003; </w:t>
      </w:r>
      <w:r w:rsidRPr="00600B69">
        <w:rPr>
          <w:rFonts w:ascii="Book Antiqua" w:eastAsia="SimSun" w:hAnsi="Book Antiqua" w:cs="SimSun"/>
          <w:b/>
          <w:bCs/>
          <w:sz w:val="24"/>
          <w:szCs w:val="24"/>
        </w:rPr>
        <w:t>52</w:t>
      </w:r>
      <w:r w:rsidRPr="00600B69">
        <w:rPr>
          <w:rFonts w:ascii="Book Antiqua" w:eastAsia="SimSun" w:hAnsi="Book Antiqua" w:cs="SimSun"/>
          <w:sz w:val="24"/>
          <w:szCs w:val="24"/>
        </w:rPr>
        <w:t>: 706-712 [PMID: 12692057 DOI: 10.1136/gut.52.5.706]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40 </w:t>
      </w:r>
      <w:r w:rsidRPr="00600B69">
        <w:rPr>
          <w:rFonts w:ascii="Book Antiqua" w:eastAsia="SimSun" w:hAnsi="Book Antiqua" w:cs="SimSun"/>
          <w:b/>
          <w:bCs/>
          <w:sz w:val="24"/>
          <w:szCs w:val="24"/>
        </w:rPr>
        <w:t>Saetta AA</w:t>
      </w:r>
      <w:r w:rsidRPr="00600B69">
        <w:rPr>
          <w:rFonts w:ascii="Book Antiqua" w:eastAsia="SimSun" w:hAnsi="Book Antiqua" w:cs="SimSun"/>
          <w:sz w:val="24"/>
          <w:szCs w:val="24"/>
        </w:rPr>
        <w:t>, Papanastasiou P, Michalopoulos NV, Gigelou F, Korkolopoulou P, Bei T, Patsouris E. Mutational analysis of BRAF in gallbladder carcinomas in association with K-ras and p53 mutations and microsatellite instability. </w:t>
      </w:r>
      <w:r w:rsidRPr="00600B69">
        <w:rPr>
          <w:rFonts w:ascii="Book Antiqua" w:eastAsia="SimSun" w:hAnsi="Book Antiqua" w:cs="SimSun"/>
          <w:i/>
          <w:iCs/>
          <w:sz w:val="24"/>
          <w:szCs w:val="24"/>
        </w:rPr>
        <w:t>Virchows Arch</w:t>
      </w:r>
      <w:r w:rsidRPr="00600B69">
        <w:rPr>
          <w:rFonts w:ascii="Book Antiqua" w:eastAsia="SimSun" w:hAnsi="Book Antiqua" w:cs="SimSun"/>
          <w:sz w:val="24"/>
          <w:szCs w:val="24"/>
        </w:rPr>
        <w:t> 2004; </w:t>
      </w:r>
      <w:r w:rsidRPr="00600B69">
        <w:rPr>
          <w:rFonts w:ascii="Book Antiqua" w:eastAsia="SimSun" w:hAnsi="Book Antiqua" w:cs="SimSun"/>
          <w:b/>
          <w:bCs/>
          <w:sz w:val="24"/>
          <w:szCs w:val="24"/>
        </w:rPr>
        <w:t>445</w:t>
      </w:r>
      <w:r w:rsidRPr="00600B69">
        <w:rPr>
          <w:rFonts w:ascii="Book Antiqua" w:eastAsia="SimSun" w:hAnsi="Book Antiqua" w:cs="SimSun"/>
          <w:sz w:val="24"/>
          <w:szCs w:val="24"/>
        </w:rPr>
        <w:t>: 179-182 [PMID: 15221372 DOI: 10.1007/s00428-004-1046-9]</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41 </w:t>
      </w:r>
      <w:r w:rsidRPr="00600B69">
        <w:rPr>
          <w:rFonts w:ascii="Book Antiqua" w:eastAsia="SimSun" w:hAnsi="Book Antiqua" w:cs="SimSun"/>
          <w:b/>
          <w:bCs/>
          <w:sz w:val="24"/>
          <w:szCs w:val="24"/>
        </w:rPr>
        <w:t>Goldenberg D</w:t>
      </w:r>
      <w:r w:rsidRPr="00600B69">
        <w:rPr>
          <w:rFonts w:ascii="Book Antiqua" w:eastAsia="SimSun" w:hAnsi="Book Antiqua" w:cs="SimSun"/>
          <w:sz w:val="24"/>
          <w:szCs w:val="24"/>
        </w:rPr>
        <w:t>, Rosenbaum E, Argani P, Wistuba II, Sidransky D, Thuluvath PJ, Hidalgo M, Califano J, Maitra A. The V599E BRAF mutation is uncommon in biliary tract cancers. </w:t>
      </w:r>
      <w:r w:rsidRPr="00600B69">
        <w:rPr>
          <w:rFonts w:ascii="Book Antiqua" w:eastAsia="SimSun" w:hAnsi="Book Antiqua" w:cs="SimSun"/>
          <w:i/>
          <w:iCs/>
          <w:sz w:val="24"/>
          <w:szCs w:val="24"/>
        </w:rPr>
        <w:t>Mod Pathol</w:t>
      </w:r>
      <w:r w:rsidRPr="00600B69">
        <w:rPr>
          <w:rFonts w:ascii="Book Antiqua" w:eastAsia="SimSun" w:hAnsi="Book Antiqua" w:cs="SimSun"/>
          <w:sz w:val="24"/>
          <w:szCs w:val="24"/>
        </w:rPr>
        <w:t> 2004; </w:t>
      </w:r>
      <w:r w:rsidRPr="00600B69">
        <w:rPr>
          <w:rFonts w:ascii="Book Antiqua" w:eastAsia="SimSun" w:hAnsi="Book Antiqua" w:cs="SimSun"/>
          <w:b/>
          <w:bCs/>
          <w:sz w:val="24"/>
          <w:szCs w:val="24"/>
        </w:rPr>
        <w:t>17</w:t>
      </w:r>
      <w:r w:rsidRPr="00600B69">
        <w:rPr>
          <w:rFonts w:ascii="Book Antiqua" w:eastAsia="SimSun" w:hAnsi="Book Antiqua" w:cs="SimSun"/>
          <w:sz w:val="24"/>
          <w:szCs w:val="24"/>
        </w:rPr>
        <w:t>: 1386-1391 [PMID: 15181454 DOI: 10.1038/modpathol.3800204]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42 </w:t>
      </w:r>
      <w:r w:rsidRPr="00600B69">
        <w:rPr>
          <w:rFonts w:ascii="Book Antiqua" w:eastAsia="SimSun" w:hAnsi="Book Antiqua" w:cs="SimSun"/>
          <w:b/>
          <w:bCs/>
          <w:sz w:val="24"/>
          <w:szCs w:val="24"/>
        </w:rPr>
        <w:t>Hansel DE</w:t>
      </w:r>
      <w:r w:rsidRPr="00600B69">
        <w:rPr>
          <w:rFonts w:ascii="Book Antiqua" w:eastAsia="SimSun" w:hAnsi="Book Antiqua" w:cs="SimSun"/>
          <w:sz w:val="24"/>
          <w:szCs w:val="24"/>
        </w:rPr>
        <w:t xml:space="preserve">, Rahman A, Hidalgo M, Thuluvath PJ, Lillemoe KD, Shulick R, Ku JL, Park JG, Miyazaki K, Ashfaq R, Wistuba II, Varma R, Hawthorne L, Geradts J, Argani P, </w:t>
      </w:r>
      <w:r w:rsidRPr="00600B69">
        <w:rPr>
          <w:rFonts w:ascii="Book Antiqua" w:eastAsia="SimSun" w:hAnsi="Book Antiqua" w:cs="SimSun"/>
          <w:sz w:val="24"/>
          <w:szCs w:val="24"/>
        </w:rPr>
        <w:lastRenderedPageBreak/>
        <w:t>Maitra A. Identification of novel cellular targets in biliary tract cancers using global gene expression technology. </w:t>
      </w:r>
      <w:r w:rsidRPr="00600B69">
        <w:rPr>
          <w:rFonts w:ascii="Book Antiqua" w:eastAsia="SimSun" w:hAnsi="Book Antiqua" w:cs="SimSun"/>
          <w:i/>
          <w:iCs/>
          <w:sz w:val="24"/>
          <w:szCs w:val="24"/>
        </w:rPr>
        <w:t>Am J Pathol</w:t>
      </w:r>
      <w:r w:rsidRPr="00600B69">
        <w:rPr>
          <w:rFonts w:ascii="Book Antiqua" w:eastAsia="SimSun" w:hAnsi="Book Antiqua" w:cs="SimSun"/>
          <w:sz w:val="24"/>
          <w:szCs w:val="24"/>
        </w:rPr>
        <w:t> 2003; </w:t>
      </w:r>
      <w:r w:rsidRPr="00600B69">
        <w:rPr>
          <w:rFonts w:ascii="Book Antiqua" w:eastAsia="SimSun" w:hAnsi="Book Antiqua" w:cs="SimSun"/>
          <w:b/>
          <w:bCs/>
          <w:sz w:val="24"/>
          <w:szCs w:val="24"/>
        </w:rPr>
        <w:t>163</w:t>
      </w:r>
      <w:r w:rsidRPr="00600B69">
        <w:rPr>
          <w:rFonts w:ascii="Book Antiqua" w:eastAsia="SimSun" w:hAnsi="Book Antiqua" w:cs="SimSun"/>
          <w:sz w:val="24"/>
          <w:szCs w:val="24"/>
        </w:rPr>
        <w:t>: 217-229 [PMID: 12819026 DOI: 10.1016/S0002-9440(10)63645-0]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43 </w:t>
      </w:r>
      <w:r w:rsidRPr="00600B69">
        <w:rPr>
          <w:rFonts w:ascii="Book Antiqua" w:eastAsia="SimSun" w:hAnsi="Book Antiqua" w:cs="SimSun"/>
          <w:b/>
          <w:bCs/>
          <w:sz w:val="24"/>
          <w:szCs w:val="24"/>
        </w:rPr>
        <w:t>Cardone MH</w:t>
      </w:r>
      <w:r w:rsidRPr="00600B69">
        <w:rPr>
          <w:rFonts w:ascii="Book Antiqua" w:eastAsia="SimSun" w:hAnsi="Book Antiqua" w:cs="SimSun"/>
          <w:sz w:val="24"/>
          <w:szCs w:val="24"/>
        </w:rPr>
        <w:t>, Roy N, Stennicke HR, Salvesen GS, Franke TF, Stanbridge E, Frisch S, Reed JC. Regulation of cell death protease caspase-9 by phosphorylation. </w:t>
      </w:r>
      <w:r w:rsidRPr="00600B69">
        <w:rPr>
          <w:rFonts w:ascii="Book Antiqua" w:eastAsia="SimSun" w:hAnsi="Book Antiqua" w:cs="SimSun"/>
          <w:i/>
          <w:iCs/>
          <w:sz w:val="24"/>
          <w:szCs w:val="24"/>
        </w:rPr>
        <w:t>Science</w:t>
      </w:r>
      <w:r w:rsidRPr="00600B69">
        <w:rPr>
          <w:rFonts w:ascii="Book Antiqua" w:eastAsia="SimSun" w:hAnsi="Book Antiqua" w:cs="SimSun"/>
          <w:sz w:val="24"/>
          <w:szCs w:val="24"/>
        </w:rPr>
        <w:t> 1998; </w:t>
      </w:r>
      <w:r w:rsidRPr="00600B69">
        <w:rPr>
          <w:rFonts w:ascii="Book Antiqua" w:eastAsia="SimSun" w:hAnsi="Book Antiqua" w:cs="SimSun"/>
          <w:b/>
          <w:bCs/>
          <w:sz w:val="24"/>
          <w:szCs w:val="24"/>
        </w:rPr>
        <w:t>282</w:t>
      </w:r>
      <w:r w:rsidRPr="00600B69">
        <w:rPr>
          <w:rFonts w:ascii="Book Antiqua" w:eastAsia="SimSun" w:hAnsi="Book Antiqua" w:cs="SimSun"/>
          <w:sz w:val="24"/>
          <w:szCs w:val="24"/>
        </w:rPr>
        <w:t>: 1318-1321 [PMID: 9812896 DOI: 10.1126/science.282.5392.1318]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44 </w:t>
      </w:r>
      <w:r w:rsidRPr="00600B69">
        <w:rPr>
          <w:rFonts w:ascii="Book Antiqua" w:eastAsia="SimSun" w:hAnsi="Book Antiqua" w:cs="SimSun"/>
          <w:b/>
          <w:bCs/>
          <w:sz w:val="24"/>
          <w:szCs w:val="24"/>
        </w:rPr>
        <w:t>Thant AA</w:t>
      </w:r>
      <w:r w:rsidRPr="00600B69">
        <w:rPr>
          <w:rFonts w:ascii="Book Antiqua" w:eastAsia="SimSun" w:hAnsi="Book Antiqua" w:cs="SimSun"/>
          <w:sz w:val="24"/>
          <w:szCs w:val="24"/>
        </w:rPr>
        <w:t>, Nawa A, Kikkawa F, Ichigotani Y, Zhang Y, Sein TT, Amin AR, Hamaguchi M. Fibronectin activates matrix metalloproteinase-9 secretion via the MEK1-MAPK and the PI3K-Akt pathways in ovarian cancer cells. </w:t>
      </w:r>
      <w:r w:rsidRPr="00600B69">
        <w:rPr>
          <w:rFonts w:ascii="Book Antiqua" w:eastAsia="SimSun" w:hAnsi="Book Antiqua" w:cs="SimSun"/>
          <w:i/>
          <w:iCs/>
          <w:sz w:val="24"/>
          <w:szCs w:val="24"/>
        </w:rPr>
        <w:t>Clin Exp Metastasis</w:t>
      </w:r>
      <w:r w:rsidRPr="00600B69">
        <w:rPr>
          <w:rFonts w:ascii="Book Antiqua" w:eastAsia="SimSun" w:hAnsi="Book Antiqua" w:cs="SimSun"/>
          <w:sz w:val="24"/>
          <w:szCs w:val="24"/>
        </w:rPr>
        <w:t> 2000; </w:t>
      </w:r>
      <w:r w:rsidRPr="00600B69">
        <w:rPr>
          <w:rFonts w:ascii="Book Antiqua" w:eastAsia="SimSun" w:hAnsi="Book Antiqua" w:cs="SimSun"/>
          <w:b/>
          <w:bCs/>
          <w:sz w:val="24"/>
          <w:szCs w:val="24"/>
        </w:rPr>
        <w:t>18</w:t>
      </w:r>
      <w:r w:rsidRPr="00600B69">
        <w:rPr>
          <w:rFonts w:ascii="Book Antiqua" w:eastAsia="SimSun" w:hAnsi="Book Antiqua" w:cs="SimSun"/>
          <w:sz w:val="24"/>
          <w:szCs w:val="24"/>
        </w:rPr>
        <w:t>: 423-428 [PMID: 11467775 DOI: 10.1023/A: 1010921730952]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45 </w:t>
      </w:r>
      <w:r w:rsidRPr="00600B69">
        <w:rPr>
          <w:rFonts w:ascii="Book Antiqua" w:eastAsia="SimSun" w:hAnsi="Book Antiqua" w:cs="SimSun"/>
          <w:b/>
          <w:bCs/>
          <w:sz w:val="24"/>
          <w:szCs w:val="24"/>
        </w:rPr>
        <w:t>Riener MO</w:t>
      </w:r>
      <w:r w:rsidRPr="00600B69">
        <w:rPr>
          <w:rFonts w:ascii="Book Antiqua" w:eastAsia="SimSun" w:hAnsi="Book Antiqua" w:cs="SimSun"/>
          <w:sz w:val="24"/>
          <w:szCs w:val="24"/>
        </w:rPr>
        <w:t>, Bawohl M, Clavien PA, Jochum W. Rare PIK3CA hotspot mutations in carcinomas of the biliary tract. </w:t>
      </w:r>
      <w:r w:rsidRPr="00600B69">
        <w:rPr>
          <w:rFonts w:ascii="Book Antiqua" w:eastAsia="SimSun" w:hAnsi="Book Antiqua" w:cs="SimSun"/>
          <w:i/>
          <w:iCs/>
          <w:sz w:val="24"/>
          <w:szCs w:val="24"/>
        </w:rPr>
        <w:t>Genes Chromosomes Cancer</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47</w:t>
      </w:r>
      <w:r w:rsidRPr="00600B69">
        <w:rPr>
          <w:rFonts w:ascii="Book Antiqua" w:eastAsia="SimSun" w:hAnsi="Book Antiqua" w:cs="SimSun"/>
          <w:sz w:val="24"/>
          <w:szCs w:val="24"/>
        </w:rPr>
        <w:t>: 363-367 [PMID: 18181165 DOI: 10.1002/gcc.20540]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46 </w:t>
      </w:r>
      <w:r w:rsidRPr="00600B69">
        <w:rPr>
          <w:rFonts w:ascii="Book Antiqua" w:eastAsia="SimSun" w:hAnsi="Book Antiqua" w:cs="SimSun"/>
          <w:b/>
          <w:bCs/>
          <w:sz w:val="24"/>
          <w:szCs w:val="24"/>
        </w:rPr>
        <w:t>Yuan TL</w:t>
      </w:r>
      <w:r w:rsidRPr="00600B69">
        <w:rPr>
          <w:rFonts w:ascii="Book Antiqua" w:eastAsia="SimSun" w:hAnsi="Book Antiqua" w:cs="SimSun"/>
          <w:sz w:val="24"/>
          <w:szCs w:val="24"/>
        </w:rPr>
        <w:t>, Cantley LC. PI3K pathway alterations in cancer: variations on a theme. </w:t>
      </w:r>
      <w:r w:rsidRPr="00600B69">
        <w:rPr>
          <w:rFonts w:ascii="Book Antiqua" w:eastAsia="SimSun" w:hAnsi="Book Antiqua" w:cs="SimSun"/>
          <w:i/>
          <w:iCs/>
          <w:sz w:val="24"/>
          <w:szCs w:val="24"/>
        </w:rPr>
        <w:t>Oncogene</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27</w:t>
      </w:r>
      <w:r w:rsidRPr="00600B69">
        <w:rPr>
          <w:rFonts w:ascii="Book Antiqua" w:eastAsia="SimSun" w:hAnsi="Book Antiqua" w:cs="SimSun"/>
          <w:sz w:val="24"/>
          <w:szCs w:val="24"/>
        </w:rPr>
        <w:t>: 5497-5510 [PMID: 18794884 DOI: 10.1038/onc.2008.245]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47 </w:t>
      </w:r>
      <w:r w:rsidRPr="00600B69">
        <w:rPr>
          <w:rFonts w:ascii="Book Antiqua" w:eastAsia="SimSun" w:hAnsi="Book Antiqua" w:cs="SimSun"/>
          <w:b/>
          <w:bCs/>
          <w:sz w:val="24"/>
          <w:szCs w:val="24"/>
        </w:rPr>
        <w:t>Geynisman DM</w:t>
      </w:r>
      <w:r w:rsidRPr="00600B69">
        <w:rPr>
          <w:rFonts w:ascii="Book Antiqua" w:eastAsia="SimSun" w:hAnsi="Book Antiqua" w:cs="SimSun"/>
          <w:sz w:val="24"/>
          <w:szCs w:val="24"/>
        </w:rPr>
        <w:t>, Catenacci DV. Toward personalized treatment of advanced biliary tract cancers. </w:t>
      </w:r>
      <w:r w:rsidRPr="00600B69">
        <w:rPr>
          <w:rFonts w:ascii="Book Antiqua" w:eastAsia="SimSun" w:hAnsi="Book Antiqua" w:cs="SimSun"/>
          <w:i/>
          <w:iCs/>
          <w:sz w:val="24"/>
          <w:szCs w:val="24"/>
        </w:rPr>
        <w:t>Discov Med</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14</w:t>
      </w:r>
      <w:r w:rsidRPr="00600B69">
        <w:rPr>
          <w:rFonts w:ascii="Book Antiqua" w:eastAsia="SimSun" w:hAnsi="Book Antiqua" w:cs="SimSun"/>
          <w:sz w:val="24"/>
          <w:szCs w:val="24"/>
        </w:rPr>
        <w:t>: 41-57 [PMID: 22846202]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48 </w:t>
      </w:r>
      <w:r w:rsidRPr="00600B69">
        <w:rPr>
          <w:rFonts w:ascii="Book Antiqua" w:eastAsia="SimSun" w:hAnsi="Book Antiqua" w:cs="SimSun"/>
          <w:b/>
          <w:bCs/>
          <w:sz w:val="24"/>
          <w:szCs w:val="24"/>
        </w:rPr>
        <w:t>Zoncu R</w:t>
      </w:r>
      <w:r w:rsidRPr="00600B69">
        <w:rPr>
          <w:rFonts w:ascii="Book Antiqua" w:eastAsia="SimSun" w:hAnsi="Book Antiqua" w:cs="SimSun"/>
          <w:sz w:val="24"/>
          <w:szCs w:val="24"/>
        </w:rPr>
        <w:t>, Efeyan A, Sabatini DM. mTOR: from growth signal integration to cancer, diabetes and ageing. </w:t>
      </w:r>
      <w:r w:rsidRPr="00600B69">
        <w:rPr>
          <w:rFonts w:ascii="Book Antiqua" w:eastAsia="SimSun" w:hAnsi="Book Antiqua" w:cs="SimSun"/>
          <w:i/>
          <w:iCs/>
          <w:sz w:val="24"/>
          <w:szCs w:val="24"/>
        </w:rPr>
        <w:t>Nat Rev Mol Cell Biol</w:t>
      </w:r>
      <w:r w:rsidRPr="00600B69">
        <w:rPr>
          <w:rFonts w:ascii="Book Antiqua" w:eastAsia="SimSun" w:hAnsi="Book Antiqua" w:cs="SimSun"/>
          <w:sz w:val="24"/>
          <w:szCs w:val="24"/>
        </w:rPr>
        <w:t> 2011;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21-35 [PMID: 21157483 DOI: 10.1038/nrm3025]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49 </w:t>
      </w:r>
      <w:r w:rsidRPr="00600B69">
        <w:rPr>
          <w:rFonts w:ascii="Book Antiqua" w:eastAsia="SimSun" w:hAnsi="Book Antiqua" w:cs="SimSun"/>
          <w:b/>
          <w:bCs/>
          <w:sz w:val="24"/>
          <w:szCs w:val="24"/>
        </w:rPr>
        <w:t>Menendez JA</w:t>
      </w:r>
      <w:r w:rsidRPr="00600B69">
        <w:rPr>
          <w:rFonts w:ascii="Book Antiqua" w:eastAsia="SimSun" w:hAnsi="Book Antiqua" w:cs="SimSun"/>
          <w:sz w:val="24"/>
          <w:szCs w:val="24"/>
        </w:rPr>
        <w:t>, Lupu R. Fatty acid synthase and the lipogenic phenotype in cancer pathogenesis. </w:t>
      </w:r>
      <w:r w:rsidRPr="00600B69">
        <w:rPr>
          <w:rFonts w:ascii="Book Antiqua" w:eastAsia="SimSun" w:hAnsi="Book Antiqua" w:cs="SimSun"/>
          <w:i/>
          <w:iCs/>
          <w:sz w:val="24"/>
          <w:szCs w:val="24"/>
        </w:rPr>
        <w:t>Nat Rev Cancer</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7</w:t>
      </w:r>
      <w:r w:rsidRPr="00600B69">
        <w:rPr>
          <w:rFonts w:ascii="Book Antiqua" w:eastAsia="SimSun" w:hAnsi="Book Antiqua" w:cs="SimSun"/>
          <w:sz w:val="24"/>
          <w:szCs w:val="24"/>
        </w:rPr>
        <w:t>: 763-777 [PMID: 17882277 DOI: 10.1038/nrc2222]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50 </w:t>
      </w:r>
      <w:r w:rsidRPr="00600B69">
        <w:rPr>
          <w:rFonts w:ascii="Book Antiqua" w:eastAsia="SimSun" w:hAnsi="Book Antiqua" w:cs="SimSun"/>
          <w:b/>
          <w:bCs/>
          <w:sz w:val="24"/>
          <w:szCs w:val="24"/>
        </w:rPr>
        <w:t>Herberger B</w:t>
      </w:r>
      <w:r w:rsidRPr="00600B69">
        <w:rPr>
          <w:rFonts w:ascii="Book Antiqua" w:eastAsia="SimSun" w:hAnsi="Book Antiqua" w:cs="SimSun"/>
          <w:sz w:val="24"/>
          <w:szCs w:val="24"/>
        </w:rPr>
        <w:t xml:space="preserve">, Puhalla H, Lehnert M, Wrba F, Novak S, Brandstetter A, Gruenberger B, Gruenberger T, Pirker R, Filipits M. Activated mammalian target of rapamycin is an </w:t>
      </w:r>
      <w:r w:rsidRPr="00600B69">
        <w:rPr>
          <w:rFonts w:ascii="Book Antiqua" w:eastAsia="SimSun" w:hAnsi="Book Antiqua" w:cs="SimSun"/>
          <w:sz w:val="24"/>
          <w:szCs w:val="24"/>
        </w:rPr>
        <w:lastRenderedPageBreak/>
        <w:t>adverse prognostic factor in patients with biliary tract adenocarcinoma. </w:t>
      </w:r>
      <w:r w:rsidRPr="00600B69">
        <w:rPr>
          <w:rFonts w:ascii="Book Antiqua" w:eastAsia="SimSun" w:hAnsi="Book Antiqua" w:cs="SimSun"/>
          <w:i/>
          <w:iCs/>
          <w:sz w:val="24"/>
          <w:szCs w:val="24"/>
        </w:rPr>
        <w:t>Clin Cancer Res</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13</w:t>
      </w:r>
      <w:r w:rsidRPr="00600B69">
        <w:rPr>
          <w:rFonts w:ascii="Book Antiqua" w:eastAsia="SimSun" w:hAnsi="Book Antiqua" w:cs="SimSun"/>
          <w:sz w:val="24"/>
          <w:szCs w:val="24"/>
        </w:rPr>
        <w:t>: 4795-4799 [PMID: 17699857 DOI: 10.1158/1078-0432.CCR-07-0738]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51 </w:t>
      </w:r>
      <w:r w:rsidRPr="00600B69">
        <w:rPr>
          <w:rFonts w:ascii="Book Antiqua" w:eastAsia="SimSun" w:hAnsi="Book Antiqua" w:cs="SimSun"/>
          <w:b/>
          <w:bCs/>
          <w:sz w:val="24"/>
          <w:szCs w:val="24"/>
        </w:rPr>
        <w:t>Okada K</w:t>
      </w:r>
      <w:r w:rsidRPr="00600B69">
        <w:rPr>
          <w:rFonts w:ascii="Book Antiqua" w:eastAsia="SimSun" w:hAnsi="Book Antiqua" w:cs="SimSun"/>
          <w:sz w:val="24"/>
          <w:szCs w:val="24"/>
        </w:rPr>
        <w:t>, Shimizu Y, Nambu S, Higuchi K, Watanabe A. Interleukin-6 functions as an autocrine growth factor in a cholangiocarcinoma cell line. </w:t>
      </w:r>
      <w:r w:rsidRPr="00600B69">
        <w:rPr>
          <w:rFonts w:ascii="Book Antiqua" w:eastAsia="SimSun" w:hAnsi="Book Antiqua" w:cs="SimSun"/>
          <w:i/>
          <w:iCs/>
          <w:sz w:val="24"/>
          <w:szCs w:val="24"/>
        </w:rPr>
        <w:t>J Gastroenterol Hepatol</w:t>
      </w:r>
      <w:r w:rsidRPr="00600B69">
        <w:rPr>
          <w:rFonts w:ascii="Book Antiqua" w:eastAsia="SimSun" w:hAnsi="Book Antiqua" w:cs="SimSun"/>
          <w:sz w:val="24"/>
          <w:szCs w:val="24"/>
        </w:rPr>
        <w:t> </w:t>
      </w:r>
      <w:r>
        <w:rPr>
          <w:rFonts w:ascii="Book Antiqua" w:eastAsia="SimSun" w:hAnsi="Book Antiqua" w:cs="SimSun" w:hint="eastAsia"/>
          <w:sz w:val="24"/>
          <w:szCs w:val="24"/>
        </w:rPr>
        <w:t>1994</w:t>
      </w:r>
      <w:r w:rsidRPr="00600B69">
        <w:rPr>
          <w:rFonts w:ascii="Book Antiqua" w:eastAsia="SimSun" w:hAnsi="Book Antiqua" w:cs="SimSun"/>
          <w:sz w:val="24"/>
          <w:szCs w:val="24"/>
        </w:rPr>
        <w:t>; </w:t>
      </w:r>
      <w:r w:rsidRPr="00600B69">
        <w:rPr>
          <w:rFonts w:ascii="Book Antiqua" w:eastAsia="SimSun" w:hAnsi="Book Antiqua" w:cs="SimSun"/>
          <w:b/>
          <w:bCs/>
          <w:sz w:val="24"/>
          <w:szCs w:val="24"/>
        </w:rPr>
        <w:t>9</w:t>
      </w:r>
      <w:r w:rsidRPr="00600B69">
        <w:rPr>
          <w:rFonts w:ascii="Book Antiqua" w:eastAsia="SimSun" w:hAnsi="Book Antiqua" w:cs="SimSun"/>
          <w:sz w:val="24"/>
          <w:szCs w:val="24"/>
        </w:rPr>
        <w:t xml:space="preserve">: 462-467 [PMID: </w:t>
      </w:r>
      <w:bookmarkStart w:id="58" w:name="OLE_LINK79"/>
      <w:bookmarkStart w:id="59" w:name="OLE_LINK80"/>
      <w:r w:rsidRPr="00600B69">
        <w:rPr>
          <w:rFonts w:ascii="Book Antiqua" w:eastAsia="SimSun" w:hAnsi="Book Antiqua" w:cs="SimSun"/>
          <w:sz w:val="24"/>
          <w:szCs w:val="24"/>
        </w:rPr>
        <w:t xml:space="preserve">7827297 </w:t>
      </w:r>
      <w:bookmarkEnd w:id="58"/>
      <w:bookmarkEnd w:id="59"/>
      <w:r w:rsidRPr="00600B69">
        <w:rPr>
          <w:rFonts w:ascii="Book Antiqua" w:eastAsia="SimSun" w:hAnsi="Book Antiqua" w:cs="SimSun"/>
          <w:sz w:val="24"/>
          <w:szCs w:val="24"/>
        </w:rPr>
        <w:t>DOI: 10.1111/j.1440-1746.1994.tb01275.x]</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52 </w:t>
      </w:r>
      <w:r w:rsidRPr="00600B69">
        <w:rPr>
          <w:rFonts w:ascii="Book Antiqua" w:eastAsia="SimSun" w:hAnsi="Book Antiqua" w:cs="SimSun"/>
          <w:b/>
          <w:bCs/>
          <w:sz w:val="24"/>
          <w:szCs w:val="24"/>
        </w:rPr>
        <w:t>Kobayashi S</w:t>
      </w:r>
      <w:r w:rsidRPr="00600B69">
        <w:rPr>
          <w:rFonts w:ascii="Book Antiqua" w:eastAsia="SimSun" w:hAnsi="Book Antiqua" w:cs="SimSun"/>
          <w:sz w:val="24"/>
          <w:szCs w:val="24"/>
        </w:rPr>
        <w:t>, Werneburg NW, Bronk SF, Kaufmann SH, Gores GJ. Interleukin-6 contributes to Mcl-1 up-regulation and TRAIL resistance via an Akt-signaling pathway in cholangiocarcinoma cells. </w:t>
      </w:r>
      <w:r w:rsidRPr="00600B69">
        <w:rPr>
          <w:rFonts w:ascii="Book Antiqua" w:eastAsia="SimSun" w:hAnsi="Book Antiqua" w:cs="SimSun"/>
          <w:i/>
          <w:iCs/>
          <w:sz w:val="24"/>
          <w:szCs w:val="24"/>
        </w:rPr>
        <w:t>Gastroenterology</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128</w:t>
      </w:r>
      <w:r w:rsidRPr="00600B69">
        <w:rPr>
          <w:rFonts w:ascii="Book Antiqua" w:eastAsia="SimSun" w:hAnsi="Book Antiqua" w:cs="SimSun"/>
          <w:sz w:val="24"/>
          <w:szCs w:val="24"/>
        </w:rPr>
        <w:t>: 2054-2065 [PMID: 15940637 DOI: 10.1053/j.gastro.2005.03.010]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53 </w:t>
      </w:r>
      <w:r w:rsidRPr="00600B69">
        <w:rPr>
          <w:rFonts w:ascii="Book Antiqua" w:eastAsia="SimSun" w:hAnsi="Book Antiqua" w:cs="SimSun"/>
          <w:b/>
          <w:bCs/>
          <w:sz w:val="24"/>
          <w:szCs w:val="24"/>
        </w:rPr>
        <w:t>Sugiyama H</w:t>
      </w:r>
      <w:r w:rsidRPr="00600B69">
        <w:rPr>
          <w:rFonts w:ascii="Book Antiqua" w:eastAsia="SimSun" w:hAnsi="Book Antiqua" w:cs="SimSun"/>
          <w:sz w:val="24"/>
          <w:szCs w:val="24"/>
        </w:rPr>
        <w:t>, Onuki K, Ishige K, Baba N, Ueda T, Matsuda S, Takeuchi K, Onodera M, Nakanuma Y, Yamato M, Yamamoto M, Hyodo I, Shoda J. Potent in vitro and in vivo antitumor activity of sorafenib against human intrahepatic cholangiocarcinoma cells. </w:t>
      </w:r>
      <w:r w:rsidRPr="00600B69">
        <w:rPr>
          <w:rFonts w:ascii="Book Antiqua" w:eastAsia="SimSun" w:hAnsi="Book Antiqua" w:cs="SimSun"/>
          <w:i/>
          <w:iCs/>
          <w:sz w:val="24"/>
          <w:szCs w:val="24"/>
        </w:rPr>
        <w:t>J Gastroenterol</w:t>
      </w:r>
      <w:r w:rsidRPr="00600B69">
        <w:rPr>
          <w:rFonts w:ascii="Book Antiqua" w:eastAsia="SimSun" w:hAnsi="Book Antiqua" w:cs="SimSun"/>
          <w:sz w:val="24"/>
          <w:szCs w:val="24"/>
        </w:rPr>
        <w:t> 2011; </w:t>
      </w:r>
      <w:r w:rsidRPr="00600B69">
        <w:rPr>
          <w:rFonts w:ascii="Book Antiqua" w:eastAsia="SimSun" w:hAnsi="Book Antiqua" w:cs="SimSun"/>
          <w:b/>
          <w:bCs/>
          <w:sz w:val="24"/>
          <w:szCs w:val="24"/>
        </w:rPr>
        <w:t>46</w:t>
      </w:r>
      <w:r w:rsidRPr="00600B69">
        <w:rPr>
          <w:rFonts w:ascii="Book Antiqua" w:eastAsia="SimSun" w:hAnsi="Book Antiqua" w:cs="SimSun"/>
          <w:sz w:val="24"/>
          <w:szCs w:val="24"/>
        </w:rPr>
        <w:t>: 779-789 [PMID: 21331764 DOI: 10.1007/s00535-011-0380-3]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54 </w:t>
      </w:r>
      <w:r w:rsidRPr="00600B69">
        <w:rPr>
          <w:rFonts w:ascii="Book Antiqua" w:eastAsia="SimSun" w:hAnsi="Book Antiqua" w:cs="SimSun"/>
          <w:b/>
          <w:bCs/>
          <w:sz w:val="24"/>
          <w:szCs w:val="24"/>
        </w:rPr>
        <w:t>Goydos JS</w:t>
      </w:r>
      <w:r w:rsidRPr="00600B69">
        <w:rPr>
          <w:rFonts w:ascii="Book Antiqua" w:eastAsia="SimSun" w:hAnsi="Book Antiqua" w:cs="SimSun"/>
          <w:sz w:val="24"/>
          <w:szCs w:val="24"/>
        </w:rPr>
        <w:t>, Brumfield AM, Frezza E, Booth A, Lotze MT, Carty SE. Marked elevation of serum interleukin-6 in patients with cholangiocarcinoma: validation of utility as a clinical marker. </w:t>
      </w:r>
      <w:r w:rsidRPr="00600B69">
        <w:rPr>
          <w:rFonts w:ascii="Book Antiqua" w:eastAsia="SimSun" w:hAnsi="Book Antiqua" w:cs="SimSun"/>
          <w:i/>
          <w:iCs/>
          <w:sz w:val="24"/>
          <w:szCs w:val="24"/>
        </w:rPr>
        <w:t>Ann Surg</w:t>
      </w:r>
      <w:r w:rsidRPr="00600B69">
        <w:rPr>
          <w:rFonts w:ascii="Book Antiqua" w:eastAsia="SimSun" w:hAnsi="Book Antiqua" w:cs="SimSun"/>
          <w:sz w:val="24"/>
          <w:szCs w:val="24"/>
        </w:rPr>
        <w:t> 1998; </w:t>
      </w:r>
      <w:r w:rsidRPr="00600B69">
        <w:rPr>
          <w:rFonts w:ascii="Book Antiqua" w:eastAsia="SimSun" w:hAnsi="Book Antiqua" w:cs="SimSun"/>
          <w:b/>
          <w:bCs/>
          <w:sz w:val="24"/>
          <w:szCs w:val="24"/>
        </w:rPr>
        <w:t>227</w:t>
      </w:r>
      <w:r w:rsidRPr="00600B69">
        <w:rPr>
          <w:rFonts w:ascii="Book Antiqua" w:eastAsia="SimSun" w:hAnsi="Book Antiqua" w:cs="SimSun"/>
          <w:sz w:val="24"/>
          <w:szCs w:val="24"/>
        </w:rPr>
        <w:t>: 398-404 [PMID: 9527063 DOI: 10.1097/00000658-199803000-00012]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55 </w:t>
      </w:r>
      <w:r w:rsidRPr="00600B69">
        <w:rPr>
          <w:rFonts w:ascii="Book Antiqua" w:eastAsia="SimSun" w:hAnsi="Book Antiqua" w:cs="SimSun"/>
          <w:b/>
          <w:bCs/>
          <w:sz w:val="24"/>
          <w:szCs w:val="24"/>
        </w:rPr>
        <w:t>Isomoto H</w:t>
      </w:r>
      <w:r w:rsidRPr="00600B69">
        <w:rPr>
          <w:rFonts w:ascii="Book Antiqua" w:eastAsia="SimSun" w:hAnsi="Book Antiqua" w:cs="SimSun"/>
          <w:sz w:val="24"/>
          <w:szCs w:val="24"/>
        </w:rPr>
        <w:t>, Mott JL, Kobayashi S, Werneburg NW, Bronk SF, Haan S, Gores GJ. Sustained IL-6/STAT-3 signaling in cholangiocarcinoma cells due to SOCS-3 epigenetic silencing. </w:t>
      </w:r>
      <w:r w:rsidRPr="00600B69">
        <w:rPr>
          <w:rFonts w:ascii="Book Antiqua" w:eastAsia="SimSun" w:hAnsi="Book Antiqua" w:cs="SimSun"/>
          <w:i/>
          <w:iCs/>
          <w:sz w:val="24"/>
          <w:szCs w:val="24"/>
        </w:rPr>
        <w:t>Gastroenterology</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132</w:t>
      </w:r>
      <w:r w:rsidRPr="00600B69">
        <w:rPr>
          <w:rFonts w:ascii="Book Antiqua" w:eastAsia="SimSun" w:hAnsi="Book Antiqua" w:cs="SimSun"/>
          <w:sz w:val="24"/>
          <w:szCs w:val="24"/>
        </w:rPr>
        <w:t>: 384-396 [PMID: 17241887 DOI: 10.1053/j.gastro.2006.10.037]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56 </w:t>
      </w:r>
      <w:r w:rsidRPr="00600B69">
        <w:rPr>
          <w:rFonts w:ascii="Book Antiqua" w:eastAsia="SimSun" w:hAnsi="Book Antiqua" w:cs="SimSun"/>
          <w:b/>
          <w:bCs/>
          <w:sz w:val="24"/>
          <w:szCs w:val="24"/>
        </w:rPr>
        <w:t>Zhi YH</w:t>
      </w:r>
      <w:r w:rsidRPr="00600B69">
        <w:rPr>
          <w:rFonts w:ascii="Book Antiqua" w:eastAsia="SimSun" w:hAnsi="Book Antiqua" w:cs="SimSun"/>
          <w:sz w:val="24"/>
          <w:szCs w:val="24"/>
        </w:rPr>
        <w:t>, Liu RS, Song MM, Tian Y, Long J, Tu W, Guo RX. Cyclooxygenase-2 promotes angiogenesis by increasing vascular endothelial growth factor and predicts prognosis in gallbladder carcinoma. </w:t>
      </w:r>
      <w:r w:rsidRPr="00600B69">
        <w:rPr>
          <w:rFonts w:ascii="Book Antiqua" w:eastAsia="SimSun" w:hAnsi="Book Antiqua" w:cs="SimSun"/>
          <w:i/>
          <w:iCs/>
          <w:sz w:val="24"/>
          <w:szCs w:val="24"/>
        </w:rPr>
        <w:t>World J Gastroenterol</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11</w:t>
      </w:r>
      <w:r w:rsidRPr="00600B69">
        <w:rPr>
          <w:rFonts w:ascii="Book Antiqua" w:eastAsia="SimSun" w:hAnsi="Book Antiqua" w:cs="SimSun"/>
          <w:sz w:val="24"/>
          <w:szCs w:val="24"/>
        </w:rPr>
        <w:t>: 3724-3728 [PMID: 15968728 DOI: 10.3748/wjg.v11.i24.3724]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57 </w:t>
      </w:r>
      <w:r w:rsidRPr="00600B69">
        <w:rPr>
          <w:rFonts w:ascii="Book Antiqua" w:eastAsia="SimSun" w:hAnsi="Book Antiqua" w:cs="SimSun"/>
          <w:b/>
          <w:bCs/>
          <w:sz w:val="24"/>
          <w:szCs w:val="24"/>
        </w:rPr>
        <w:t>Tsujii M</w:t>
      </w:r>
      <w:r w:rsidRPr="00600B69">
        <w:rPr>
          <w:rFonts w:ascii="Book Antiqua" w:eastAsia="SimSun" w:hAnsi="Book Antiqua" w:cs="SimSun"/>
          <w:sz w:val="24"/>
          <w:szCs w:val="24"/>
        </w:rPr>
        <w:t>, Kawano S, DuBois RN. Cyclooxygenase-2 expression in human colon cancer cells increases metastatic potential. </w:t>
      </w:r>
      <w:r w:rsidRPr="00600B69">
        <w:rPr>
          <w:rFonts w:ascii="Book Antiqua" w:eastAsia="SimSun" w:hAnsi="Book Antiqua" w:cs="SimSun"/>
          <w:i/>
          <w:iCs/>
          <w:sz w:val="24"/>
          <w:szCs w:val="24"/>
        </w:rPr>
        <w:t>Proc Natl Acad Sci U S A</w:t>
      </w:r>
      <w:r w:rsidRPr="00600B69">
        <w:rPr>
          <w:rFonts w:ascii="Book Antiqua" w:eastAsia="SimSun" w:hAnsi="Book Antiqua" w:cs="SimSun"/>
          <w:sz w:val="24"/>
          <w:szCs w:val="24"/>
        </w:rPr>
        <w:t> 1997; </w:t>
      </w:r>
      <w:r w:rsidRPr="00600B69">
        <w:rPr>
          <w:rFonts w:ascii="Book Antiqua" w:eastAsia="SimSun" w:hAnsi="Book Antiqua" w:cs="SimSun"/>
          <w:b/>
          <w:bCs/>
          <w:sz w:val="24"/>
          <w:szCs w:val="24"/>
        </w:rPr>
        <w:t>94</w:t>
      </w:r>
      <w:r w:rsidRPr="00600B69">
        <w:rPr>
          <w:rFonts w:ascii="Book Antiqua" w:eastAsia="SimSun" w:hAnsi="Book Antiqua" w:cs="SimSun"/>
          <w:sz w:val="24"/>
          <w:szCs w:val="24"/>
        </w:rPr>
        <w:t>: 3336-3340 [PMID: 9096394 DOI: 10.1073/pnas.94.7.3336]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58 </w:t>
      </w:r>
      <w:r w:rsidRPr="00600B69">
        <w:rPr>
          <w:rFonts w:ascii="Book Antiqua" w:eastAsia="SimSun" w:hAnsi="Book Antiqua" w:cs="SimSun"/>
          <w:b/>
          <w:bCs/>
          <w:sz w:val="24"/>
          <w:szCs w:val="24"/>
        </w:rPr>
        <w:t>Kim H</w:t>
      </w:r>
      <w:r w:rsidRPr="00600B69">
        <w:rPr>
          <w:rFonts w:ascii="Book Antiqua" w:eastAsia="SimSun" w:hAnsi="Book Antiqua" w:cs="SimSun"/>
          <w:sz w:val="24"/>
          <w:szCs w:val="24"/>
        </w:rPr>
        <w:t>, Song JY, Cho JY, Yoon YS, Han HS, Lee HS, Ryu HS, Choe G. Strong cytoplasmic expression of COX2 at the invasive fronts of gallbladder cancer is associated with a poor prognosis. </w:t>
      </w:r>
      <w:r w:rsidRPr="00600B69">
        <w:rPr>
          <w:rFonts w:ascii="Book Antiqua" w:eastAsia="SimSun" w:hAnsi="Book Antiqua" w:cs="SimSun"/>
          <w:i/>
          <w:iCs/>
          <w:sz w:val="24"/>
          <w:szCs w:val="24"/>
        </w:rPr>
        <w:t>J Clin Pathol</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63</w:t>
      </w:r>
      <w:r w:rsidRPr="00600B69">
        <w:rPr>
          <w:rFonts w:ascii="Book Antiqua" w:eastAsia="SimSun" w:hAnsi="Book Antiqua" w:cs="SimSun"/>
          <w:sz w:val="24"/>
          <w:szCs w:val="24"/>
        </w:rPr>
        <w:t>: 1048-1053 [PMID: 20924037 DOI: 10.1136/jcp.2010.080713]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59 </w:t>
      </w:r>
      <w:r w:rsidRPr="00600B69">
        <w:rPr>
          <w:rFonts w:ascii="Book Antiqua" w:eastAsia="SimSun" w:hAnsi="Book Antiqua" w:cs="SimSun"/>
          <w:b/>
          <w:bCs/>
          <w:sz w:val="24"/>
          <w:szCs w:val="24"/>
        </w:rPr>
        <w:t>Zhang Z</w:t>
      </w:r>
      <w:r w:rsidRPr="00600B69">
        <w:rPr>
          <w:rFonts w:ascii="Book Antiqua" w:eastAsia="SimSun" w:hAnsi="Book Antiqua" w:cs="SimSun"/>
          <w:sz w:val="24"/>
          <w:szCs w:val="24"/>
        </w:rPr>
        <w:t>, Lai GH, Sirica AE. Celecoxib-induced apoptosis in rat cholangiocarcinoma cells mediated by Akt inactivation and Bax translocation. </w:t>
      </w:r>
      <w:r w:rsidRPr="00600B69">
        <w:rPr>
          <w:rFonts w:ascii="Book Antiqua" w:eastAsia="SimSun" w:hAnsi="Book Antiqua" w:cs="SimSun"/>
          <w:i/>
          <w:iCs/>
          <w:sz w:val="24"/>
          <w:szCs w:val="24"/>
        </w:rPr>
        <w:t>Hepatology</w:t>
      </w:r>
      <w:r w:rsidRPr="00600B69">
        <w:rPr>
          <w:rFonts w:ascii="Book Antiqua" w:eastAsia="SimSun" w:hAnsi="Book Antiqua" w:cs="SimSun"/>
          <w:sz w:val="24"/>
          <w:szCs w:val="24"/>
        </w:rPr>
        <w:t> 2004; </w:t>
      </w:r>
      <w:r w:rsidRPr="00600B69">
        <w:rPr>
          <w:rFonts w:ascii="Book Antiqua" w:eastAsia="SimSun" w:hAnsi="Book Antiqua" w:cs="SimSun"/>
          <w:b/>
          <w:bCs/>
          <w:sz w:val="24"/>
          <w:szCs w:val="24"/>
        </w:rPr>
        <w:t>39</w:t>
      </w:r>
      <w:r w:rsidRPr="00600B69">
        <w:rPr>
          <w:rFonts w:ascii="Book Antiqua" w:eastAsia="SimSun" w:hAnsi="Book Antiqua" w:cs="SimSun"/>
          <w:sz w:val="24"/>
          <w:szCs w:val="24"/>
        </w:rPr>
        <w:t>: 1028-1037 [PMID: 15057907 DOI: 10.1002/hep.20143]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60 </w:t>
      </w:r>
      <w:r w:rsidRPr="00600B69">
        <w:rPr>
          <w:rFonts w:ascii="Book Antiqua" w:eastAsia="SimSun" w:hAnsi="Book Antiqua" w:cs="SimSun"/>
          <w:b/>
          <w:bCs/>
          <w:sz w:val="24"/>
          <w:szCs w:val="24"/>
        </w:rPr>
        <w:t>Philip PA</w:t>
      </w:r>
      <w:r w:rsidRPr="00600B69">
        <w:rPr>
          <w:rFonts w:ascii="Book Antiqua" w:eastAsia="SimSun" w:hAnsi="Book Antiqua" w:cs="SimSun"/>
          <w:sz w:val="24"/>
          <w:szCs w:val="24"/>
        </w:rPr>
        <w:t>, Mahoney MR, Allmer C, Thomas J, Pitot HC, Kim G, Donehower RC, Fitch T, Picus J, Erlichman C. Phase II study of erlotinib in patients with advanced biliary cancer. </w:t>
      </w:r>
      <w:r w:rsidRPr="00600B69">
        <w:rPr>
          <w:rFonts w:ascii="Book Antiqua" w:eastAsia="SimSun" w:hAnsi="Book Antiqua" w:cs="SimSun"/>
          <w:i/>
          <w:iCs/>
          <w:sz w:val="24"/>
          <w:szCs w:val="24"/>
        </w:rPr>
        <w:t>J Clin Oncol</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24</w:t>
      </w:r>
      <w:r w:rsidRPr="00600B69">
        <w:rPr>
          <w:rFonts w:ascii="Book Antiqua" w:eastAsia="SimSun" w:hAnsi="Book Antiqua" w:cs="SimSun"/>
          <w:sz w:val="24"/>
          <w:szCs w:val="24"/>
        </w:rPr>
        <w:t>: 3069-3074 [PMID: 16809731 DOI: 10.1200/JCO.2005.05.3579]</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61 </w:t>
      </w:r>
      <w:r w:rsidRPr="00600B69">
        <w:rPr>
          <w:rFonts w:ascii="Book Antiqua" w:eastAsia="SimSun" w:hAnsi="Book Antiqua" w:cs="SimSun"/>
          <w:b/>
          <w:bCs/>
          <w:sz w:val="24"/>
          <w:szCs w:val="24"/>
        </w:rPr>
        <w:t>Lee J</w:t>
      </w:r>
      <w:r w:rsidRPr="00600B69">
        <w:rPr>
          <w:rFonts w:ascii="Book Antiqua" w:eastAsia="SimSun" w:hAnsi="Book Antiqua" w:cs="SimSun"/>
          <w:sz w:val="24"/>
          <w:szCs w:val="24"/>
        </w:rPr>
        <w:t>, Park SH, Chang HM, Kim JS, Choi HJ, Lee MA, Jang JS, Jeung HC, Kang JH, Lee HW, Shin DB, Kang HJ, Sun JM, Park JO, Park YS, Kang WK, Lim HY. Gemcitabine and oxaliplatin with or without erlotinib in advanced biliary-tract cancer: a multicentre, open-label, randomised, phase 3 study. </w:t>
      </w:r>
      <w:r w:rsidRPr="00600B69">
        <w:rPr>
          <w:rFonts w:ascii="Book Antiqua" w:eastAsia="SimSun" w:hAnsi="Book Antiqua" w:cs="SimSun"/>
          <w:i/>
          <w:iCs/>
          <w:sz w:val="24"/>
          <w:szCs w:val="24"/>
        </w:rPr>
        <w:t>Lancet Oncol</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13</w:t>
      </w:r>
      <w:r w:rsidRPr="00600B69">
        <w:rPr>
          <w:rFonts w:ascii="Book Antiqua" w:eastAsia="SimSun" w:hAnsi="Book Antiqua" w:cs="SimSun"/>
          <w:sz w:val="24"/>
          <w:szCs w:val="24"/>
        </w:rPr>
        <w:t>: 181-188 [PMID: 22192731 DOI: 10.1016/S1470-2045(11)70301-1]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62 </w:t>
      </w:r>
      <w:r w:rsidRPr="00600B69">
        <w:rPr>
          <w:rFonts w:ascii="Book Antiqua" w:eastAsia="SimSun" w:hAnsi="Book Antiqua" w:cs="SimSun"/>
          <w:b/>
          <w:bCs/>
          <w:sz w:val="24"/>
          <w:szCs w:val="24"/>
        </w:rPr>
        <w:t>Lubner SJ</w:t>
      </w:r>
      <w:r w:rsidRPr="00600B69">
        <w:rPr>
          <w:rFonts w:ascii="Book Antiqua" w:eastAsia="SimSun" w:hAnsi="Book Antiqua" w:cs="SimSun"/>
          <w:sz w:val="24"/>
          <w:szCs w:val="24"/>
        </w:rPr>
        <w:t>, Mahoney MR, Kolesar JL, Loconte NK, Kim GP, Pitot HC, Philip PA, Picus J, Yong WP, Horvath L, Van Hazel G, Erlichman CE, Holen KD. Report of a multicenter phase II trial testing a combination of biweekly bevacizumab and daily erlotinib in patients with unresectable biliary cancer: a phase II Consortium study. </w:t>
      </w:r>
      <w:r w:rsidRPr="00600B69">
        <w:rPr>
          <w:rFonts w:ascii="Book Antiqua" w:eastAsia="SimSun" w:hAnsi="Book Antiqua" w:cs="SimSun"/>
          <w:i/>
          <w:iCs/>
          <w:sz w:val="24"/>
          <w:szCs w:val="24"/>
        </w:rPr>
        <w:t>J Clin Oncol</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28</w:t>
      </w:r>
      <w:r w:rsidRPr="00600B69">
        <w:rPr>
          <w:rFonts w:ascii="Book Antiqua" w:eastAsia="SimSun" w:hAnsi="Book Antiqua" w:cs="SimSun"/>
          <w:sz w:val="24"/>
          <w:szCs w:val="24"/>
        </w:rPr>
        <w:t>: 3491-3497 [PMID: 20530271 DOI: 10.1200/JCO.2010.28.4075]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63 </w:t>
      </w:r>
      <w:r w:rsidRPr="00600B69">
        <w:rPr>
          <w:rFonts w:ascii="Book Antiqua" w:eastAsia="SimSun" w:hAnsi="Book Antiqua" w:cs="SimSun"/>
          <w:b/>
          <w:bCs/>
          <w:sz w:val="24"/>
          <w:szCs w:val="24"/>
        </w:rPr>
        <w:t>Malka D</w:t>
      </w:r>
      <w:r w:rsidRPr="00600B69">
        <w:rPr>
          <w:rFonts w:ascii="Book Antiqua" w:eastAsia="SimSun" w:hAnsi="Book Antiqua" w:cs="SimSun"/>
          <w:sz w:val="24"/>
          <w:szCs w:val="24"/>
        </w:rPr>
        <w:t xml:space="preserve">, Cervera P, Foulon S, Trarbach T, de la Fouchardière C, Boucher E, Fartoux L, Faivre S, Blanc JF, Viret F, Assenat E, Seufferlein T, Herrmann T, Grenier J, Hammel </w:t>
      </w:r>
      <w:r w:rsidRPr="00600B69">
        <w:rPr>
          <w:rFonts w:ascii="Book Antiqua" w:eastAsia="SimSun" w:hAnsi="Book Antiqua" w:cs="SimSun"/>
          <w:sz w:val="24"/>
          <w:szCs w:val="24"/>
        </w:rPr>
        <w:lastRenderedPageBreak/>
        <w:t>P, Dollinger M, André T, Hahn P, Heinemann V, Rousseau V, Ducreux M, Pignon JP, Wendum D, Rosmorduc O, Greten TF. Gemcitabine and oxaliplatin with or without cetuximab in advanced biliary-tract cancer (BINGO): a randomised, open-label, non-comparative phase 2 trial. </w:t>
      </w:r>
      <w:r w:rsidRPr="00600B69">
        <w:rPr>
          <w:rFonts w:ascii="Book Antiqua" w:eastAsia="SimSun" w:hAnsi="Book Antiqua" w:cs="SimSun"/>
          <w:i/>
          <w:iCs/>
          <w:sz w:val="24"/>
          <w:szCs w:val="24"/>
        </w:rPr>
        <w:t>Lancet Oncol</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15</w:t>
      </w:r>
      <w:r w:rsidRPr="00600B69">
        <w:rPr>
          <w:rFonts w:ascii="Book Antiqua" w:eastAsia="SimSun" w:hAnsi="Book Antiqua" w:cs="SimSun"/>
          <w:sz w:val="24"/>
          <w:szCs w:val="24"/>
        </w:rPr>
        <w:t>: 819-828 [PMID: 24852116 DOI: 10.1016/S1470-2045(14)70212-8]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64 </w:t>
      </w:r>
      <w:r w:rsidRPr="00600B69">
        <w:rPr>
          <w:rFonts w:ascii="Book Antiqua" w:eastAsia="SimSun" w:hAnsi="Book Antiqua" w:cs="SimSun"/>
          <w:b/>
          <w:bCs/>
          <w:sz w:val="24"/>
          <w:szCs w:val="24"/>
        </w:rPr>
        <w:t>Sohal DP</w:t>
      </w:r>
      <w:r w:rsidRPr="00600B69">
        <w:rPr>
          <w:rFonts w:ascii="Book Antiqua" w:eastAsia="SimSun" w:hAnsi="Book Antiqua" w:cs="SimSun"/>
          <w:sz w:val="24"/>
          <w:szCs w:val="24"/>
        </w:rPr>
        <w:t>, Mykulowycz K, Uehara T, Teitelbaum UR, Damjanov N, Giantonio BJ, Carberry M, Wissel P, Jacobs-Small M, O'Dwyer PJ, Sepulveda A, Sun W. A phase II trial of gemcitabine, irinotecan and panitumumab in advanced cholangiocarcinoma. </w:t>
      </w:r>
      <w:r w:rsidRPr="00600B69">
        <w:rPr>
          <w:rFonts w:ascii="Book Antiqua" w:eastAsia="SimSun" w:hAnsi="Book Antiqua" w:cs="SimSun"/>
          <w:i/>
          <w:iCs/>
          <w:sz w:val="24"/>
          <w:szCs w:val="24"/>
        </w:rPr>
        <w:t>Ann Oncol</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24</w:t>
      </w:r>
      <w:r w:rsidRPr="00600B69">
        <w:rPr>
          <w:rFonts w:ascii="Book Antiqua" w:eastAsia="SimSun" w:hAnsi="Book Antiqua" w:cs="SimSun"/>
          <w:sz w:val="24"/>
          <w:szCs w:val="24"/>
        </w:rPr>
        <w:t>: 3061-3065 [PMID: 24146220 DOI: 10.1093/annonc/mdt416]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65 </w:t>
      </w:r>
      <w:r w:rsidRPr="00600B69">
        <w:rPr>
          <w:rFonts w:ascii="Book Antiqua" w:eastAsia="SimSun" w:hAnsi="Book Antiqua" w:cs="SimSun"/>
          <w:b/>
          <w:bCs/>
          <w:sz w:val="24"/>
          <w:szCs w:val="24"/>
        </w:rPr>
        <w:t>Jensen LH</w:t>
      </w:r>
      <w:r w:rsidRPr="00600B69">
        <w:rPr>
          <w:rFonts w:ascii="Book Antiqua" w:eastAsia="SimSun" w:hAnsi="Book Antiqua" w:cs="SimSun"/>
          <w:sz w:val="24"/>
          <w:szCs w:val="24"/>
        </w:rPr>
        <w:t>, Lindebjerg J, Ploen J, Hansen TF, Jakobsen A. Phase II marker-driven trial of panitumumab and chemotherapy in KRAS wild-type biliary tract cancer. </w:t>
      </w:r>
      <w:r w:rsidRPr="00600B69">
        <w:rPr>
          <w:rFonts w:ascii="Book Antiqua" w:eastAsia="SimSun" w:hAnsi="Book Antiqua" w:cs="SimSun"/>
          <w:i/>
          <w:iCs/>
          <w:sz w:val="24"/>
          <w:szCs w:val="24"/>
        </w:rPr>
        <w:t>Ann Oncol</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23</w:t>
      </w:r>
      <w:r w:rsidRPr="00600B69">
        <w:rPr>
          <w:rFonts w:ascii="Book Antiqua" w:eastAsia="SimSun" w:hAnsi="Book Antiqua" w:cs="SimSun"/>
          <w:sz w:val="24"/>
          <w:szCs w:val="24"/>
        </w:rPr>
        <w:t>: 2341-2346 [PMID: 22367707 DOI: 10.1093/annonc/mds008]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66 </w:t>
      </w:r>
      <w:r w:rsidRPr="00600B69">
        <w:rPr>
          <w:rFonts w:ascii="Book Antiqua" w:eastAsia="SimSun" w:hAnsi="Book Antiqua" w:cs="SimSun"/>
          <w:b/>
          <w:bCs/>
          <w:sz w:val="24"/>
          <w:szCs w:val="24"/>
        </w:rPr>
        <w:t>Paul B</w:t>
      </w:r>
      <w:r w:rsidRPr="00600B69">
        <w:rPr>
          <w:rFonts w:ascii="Book Antiqua" w:eastAsia="SimSun" w:hAnsi="Book Antiqua" w:cs="SimSun"/>
          <w:sz w:val="24"/>
          <w:szCs w:val="24"/>
        </w:rPr>
        <w:t>, Trovato JA, Thompson J. Lapatinib: a dual tyrosine kinase inhibitor for metastatic breast cancer. </w:t>
      </w:r>
      <w:r w:rsidRPr="00600B69">
        <w:rPr>
          <w:rFonts w:ascii="Book Antiqua" w:eastAsia="SimSun" w:hAnsi="Book Antiqua" w:cs="SimSun"/>
          <w:i/>
          <w:iCs/>
          <w:sz w:val="24"/>
          <w:szCs w:val="24"/>
        </w:rPr>
        <w:t>Am J Health Syst Pharm</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65</w:t>
      </w:r>
      <w:r w:rsidRPr="00600B69">
        <w:rPr>
          <w:rFonts w:ascii="Book Antiqua" w:eastAsia="SimSun" w:hAnsi="Book Antiqua" w:cs="SimSun"/>
          <w:sz w:val="24"/>
          <w:szCs w:val="24"/>
        </w:rPr>
        <w:t>: 1703-1710 [PMID: 18768996 DOI: 10.2146/ajhp070646]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67 </w:t>
      </w:r>
      <w:r w:rsidRPr="00600B69">
        <w:rPr>
          <w:rFonts w:ascii="Book Antiqua" w:eastAsia="SimSun" w:hAnsi="Book Antiqua" w:cs="SimSun"/>
          <w:b/>
          <w:bCs/>
          <w:sz w:val="24"/>
          <w:szCs w:val="24"/>
        </w:rPr>
        <w:t>Ramanathan RK</w:t>
      </w:r>
      <w:r w:rsidRPr="00600B69">
        <w:rPr>
          <w:rFonts w:ascii="Book Antiqua" w:eastAsia="SimSun" w:hAnsi="Book Antiqua" w:cs="SimSun"/>
          <w:sz w:val="24"/>
          <w:szCs w:val="24"/>
        </w:rPr>
        <w:t>, Belani CP, Singh DA, Tanaka M, Lenz HJ, Yen Y, Kindler HL, Iqbal S, Longmate J, Mack PC, Lurje G, Gandour-Edwards R, Dancey J, Gandara DR. A phase II study of lapatinib in patients with advanced biliary tree and hepatocellular cancer. </w:t>
      </w:r>
      <w:r w:rsidRPr="00600B69">
        <w:rPr>
          <w:rFonts w:ascii="Book Antiqua" w:eastAsia="SimSun" w:hAnsi="Book Antiqua" w:cs="SimSun"/>
          <w:i/>
          <w:iCs/>
          <w:sz w:val="24"/>
          <w:szCs w:val="24"/>
        </w:rPr>
        <w:t>Cancer Chemother Pharmacol</w:t>
      </w:r>
      <w:r w:rsidRPr="00600B69">
        <w:rPr>
          <w:rFonts w:ascii="Book Antiqua" w:eastAsia="SimSun" w:hAnsi="Book Antiqua" w:cs="SimSun"/>
          <w:sz w:val="24"/>
          <w:szCs w:val="24"/>
        </w:rPr>
        <w:t> 2009; </w:t>
      </w:r>
      <w:r w:rsidRPr="00600B69">
        <w:rPr>
          <w:rFonts w:ascii="Book Antiqua" w:eastAsia="SimSun" w:hAnsi="Book Antiqua" w:cs="SimSun"/>
          <w:b/>
          <w:bCs/>
          <w:sz w:val="24"/>
          <w:szCs w:val="24"/>
        </w:rPr>
        <w:t>64</w:t>
      </w:r>
      <w:r w:rsidRPr="00600B69">
        <w:rPr>
          <w:rFonts w:ascii="Book Antiqua" w:eastAsia="SimSun" w:hAnsi="Book Antiqua" w:cs="SimSun"/>
          <w:sz w:val="24"/>
          <w:szCs w:val="24"/>
        </w:rPr>
        <w:t>: 777-783 [PMID: 19169683 DOI: 10.1007/s00280-009-0927-7]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68 </w:t>
      </w:r>
      <w:r w:rsidRPr="00600B69">
        <w:rPr>
          <w:rFonts w:ascii="Book Antiqua" w:eastAsia="SimSun" w:hAnsi="Book Antiqua" w:cs="SimSun"/>
          <w:b/>
          <w:bCs/>
          <w:sz w:val="24"/>
          <w:szCs w:val="24"/>
        </w:rPr>
        <w:t>Peck J</w:t>
      </w:r>
      <w:r w:rsidRPr="00600B69">
        <w:rPr>
          <w:rFonts w:ascii="Book Antiqua" w:eastAsia="SimSun" w:hAnsi="Book Antiqua" w:cs="SimSun"/>
          <w:sz w:val="24"/>
          <w:szCs w:val="24"/>
        </w:rPr>
        <w:t>, Wei L, Zalupski M, O'Neil B, Villalona Calero M, Bekaii-Saab T. HER2/neu may not be an interesting target in biliary cancers: results of an early phase II study with lapatinib. </w:t>
      </w:r>
      <w:r w:rsidRPr="00600B69">
        <w:rPr>
          <w:rFonts w:ascii="Book Antiqua" w:eastAsia="SimSun" w:hAnsi="Book Antiqua" w:cs="SimSun"/>
          <w:i/>
          <w:iCs/>
          <w:sz w:val="24"/>
          <w:szCs w:val="24"/>
        </w:rPr>
        <w:t>Oncology</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82</w:t>
      </w:r>
      <w:r w:rsidRPr="00600B69">
        <w:rPr>
          <w:rFonts w:ascii="Book Antiqua" w:eastAsia="SimSun" w:hAnsi="Book Antiqua" w:cs="SimSun"/>
          <w:sz w:val="24"/>
          <w:szCs w:val="24"/>
        </w:rPr>
        <w:t>: 175-179 [PMID: 22433475 DOI: 10.1159/000336488]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69 </w:t>
      </w:r>
      <w:r w:rsidRPr="00600B69">
        <w:rPr>
          <w:rFonts w:ascii="Book Antiqua" w:eastAsia="SimSun" w:hAnsi="Book Antiqua" w:cs="SimSun"/>
          <w:b/>
          <w:bCs/>
          <w:sz w:val="24"/>
          <w:szCs w:val="24"/>
        </w:rPr>
        <w:t>Pignochino Y</w:t>
      </w:r>
      <w:r w:rsidRPr="00600B69">
        <w:rPr>
          <w:rFonts w:ascii="Book Antiqua" w:eastAsia="SimSun" w:hAnsi="Book Antiqua" w:cs="SimSun"/>
          <w:sz w:val="24"/>
          <w:szCs w:val="24"/>
        </w:rPr>
        <w:t xml:space="preserve">, Sarotto I, Peraldo-Neia C, Penachioni JY, Cavalloni G, Migliardi G, Casorzo L, Chiorino G, Risio M, Bardelli A, Aglietta M, Leone F. Targeting EGFR/HER2 </w:t>
      </w:r>
      <w:r w:rsidRPr="00600B69">
        <w:rPr>
          <w:rFonts w:ascii="Book Antiqua" w:eastAsia="SimSun" w:hAnsi="Book Antiqua" w:cs="SimSun"/>
          <w:sz w:val="24"/>
          <w:szCs w:val="24"/>
        </w:rPr>
        <w:lastRenderedPageBreak/>
        <w:t>pathways enhances the antiproliferative effect of gemcitabine in biliary tract and gallbladder carcinomas. </w:t>
      </w:r>
      <w:r w:rsidRPr="00600B69">
        <w:rPr>
          <w:rFonts w:ascii="Book Antiqua" w:eastAsia="SimSun" w:hAnsi="Book Antiqua" w:cs="SimSun"/>
          <w:i/>
          <w:iCs/>
          <w:sz w:val="24"/>
          <w:szCs w:val="24"/>
        </w:rPr>
        <w:t>BMC Cancer</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10</w:t>
      </w:r>
      <w:r w:rsidRPr="00600B69">
        <w:rPr>
          <w:rFonts w:ascii="Book Antiqua" w:eastAsia="SimSun" w:hAnsi="Book Antiqua" w:cs="SimSun"/>
          <w:sz w:val="24"/>
          <w:szCs w:val="24"/>
        </w:rPr>
        <w:t>: 631 [PMID: 21087480 DOI: 10.1186/1471-2407-10-631]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70 </w:t>
      </w:r>
      <w:r w:rsidRPr="00600B69">
        <w:rPr>
          <w:rFonts w:ascii="Book Antiqua" w:eastAsia="SimSun" w:hAnsi="Book Antiqua" w:cs="SimSun"/>
          <w:b/>
          <w:bCs/>
          <w:sz w:val="24"/>
          <w:szCs w:val="24"/>
        </w:rPr>
        <w:t>Sorscher S</w:t>
      </w:r>
      <w:r w:rsidRPr="00600B69">
        <w:rPr>
          <w:rFonts w:ascii="Book Antiqua" w:eastAsia="SimSun" w:hAnsi="Book Antiqua" w:cs="SimSun"/>
          <w:sz w:val="24"/>
          <w:szCs w:val="24"/>
        </w:rPr>
        <w:t>. Marked radiographic response of a HER-2-overexpressing biliary cancer to trastuzumab. </w:t>
      </w:r>
      <w:r w:rsidRPr="00600B69">
        <w:rPr>
          <w:rFonts w:ascii="Book Antiqua" w:eastAsia="SimSun" w:hAnsi="Book Antiqua" w:cs="SimSun"/>
          <w:i/>
          <w:iCs/>
          <w:sz w:val="24"/>
          <w:szCs w:val="24"/>
        </w:rPr>
        <w:t>Cancer Manag Res</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9</w:t>
      </w:r>
      <w:r w:rsidRPr="00600B69">
        <w:rPr>
          <w:rFonts w:ascii="Book Antiqua" w:eastAsia="SimSun" w:hAnsi="Book Antiqua" w:cs="SimSun"/>
          <w:sz w:val="24"/>
          <w:szCs w:val="24"/>
        </w:rPr>
        <w:t>: 1-3 [PMID: 24376362 DOI: 10.2147/CMAR.S55091]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71 </w:t>
      </w:r>
      <w:r w:rsidRPr="00600B69">
        <w:rPr>
          <w:rFonts w:ascii="Book Antiqua" w:eastAsia="SimSun" w:hAnsi="Book Antiqua" w:cs="SimSun"/>
          <w:b/>
          <w:bCs/>
          <w:sz w:val="24"/>
          <w:szCs w:val="24"/>
        </w:rPr>
        <w:t>Zhu AX</w:t>
      </w:r>
      <w:r w:rsidRPr="00600B69">
        <w:rPr>
          <w:rFonts w:ascii="Book Antiqua" w:eastAsia="SimSun" w:hAnsi="Book Antiqua" w:cs="SimSun"/>
          <w:sz w:val="24"/>
          <w:szCs w:val="24"/>
        </w:rPr>
        <w:t>, Meyerhardt JA, Blaszkowsky LS, Kambadakone AR, Muzikansky A, Zheng H, Clark JW, Abrams TA, Chan JA, Enzinger PC, Bhargava P, Kwak EL, Allen JN, Jain SR, Stuart K, Horgan K, Sheehan S, Fuchs CS, Ryan DP, Sahani DV. Efficacy and safety of gemcitabine, oxaliplatin, and bevacizumab in advanced biliary-tract cancers and correlation of changes in 18-fluorodeoxyglucose PET with clinical outcome: a phase 2 study. </w:t>
      </w:r>
      <w:r w:rsidRPr="00600B69">
        <w:rPr>
          <w:rFonts w:ascii="Book Antiqua" w:eastAsia="SimSun" w:hAnsi="Book Antiqua" w:cs="SimSun"/>
          <w:i/>
          <w:iCs/>
          <w:sz w:val="24"/>
          <w:szCs w:val="24"/>
        </w:rPr>
        <w:t>Lancet Oncol</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11</w:t>
      </w:r>
      <w:r w:rsidRPr="00600B69">
        <w:rPr>
          <w:rFonts w:ascii="Book Antiqua" w:eastAsia="SimSun" w:hAnsi="Book Antiqua" w:cs="SimSun"/>
          <w:sz w:val="24"/>
          <w:szCs w:val="24"/>
        </w:rPr>
        <w:t>: 48-54 [PMID: 19932054 DOI: 10.1016/S1470-2045(09)70333-X]</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72 </w:t>
      </w:r>
      <w:r w:rsidRPr="00600B69">
        <w:rPr>
          <w:rFonts w:ascii="Book Antiqua" w:eastAsia="SimSun" w:hAnsi="Book Antiqua" w:cs="SimSun"/>
          <w:b/>
          <w:bCs/>
          <w:sz w:val="24"/>
          <w:szCs w:val="24"/>
        </w:rPr>
        <w:t>Yeh TC</w:t>
      </w:r>
      <w:r w:rsidRPr="00600B69">
        <w:rPr>
          <w:rFonts w:ascii="Book Antiqua" w:eastAsia="SimSun" w:hAnsi="Book Antiqua" w:cs="SimSun"/>
          <w:sz w:val="24"/>
          <w:szCs w:val="24"/>
        </w:rPr>
        <w:t>, Marsh V, Bernat BA, Ballard J, Colwell H, Evans RJ, Parry J, Smith D, Brandhuber BJ, Gross S, Marlow A, Hurley B, Lyssikatos J, Lee PA, Winkler JD, Koch K, Wallace E. Biological characterization of ARRY-142886 (AZD6244), a potent, highly selective mitogen-activated protein kinase kinase 1/2 inhibitor. </w:t>
      </w:r>
      <w:r w:rsidRPr="00600B69">
        <w:rPr>
          <w:rFonts w:ascii="Book Antiqua" w:eastAsia="SimSun" w:hAnsi="Book Antiqua" w:cs="SimSun"/>
          <w:i/>
          <w:iCs/>
          <w:sz w:val="24"/>
          <w:szCs w:val="24"/>
        </w:rPr>
        <w:t>Clin Cancer Res</w:t>
      </w:r>
      <w:r w:rsidRPr="00600B69">
        <w:rPr>
          <w:rFonts w:ascii="Book Antiqua" w:eastAsia="SimSun" w:hAnsi="Book Antiqua" w:cs="SimSun"/>
          <w:sz w:val="24"/>
          <w:szCs w:val="24"/>
        </w:rPr>
        <w:t> 2007; </w:t>
      </w:r>
      <w:r w:rsidRPr="00600B69">
        <w:rPr>
          <w:rFonts w:ascii="Book Antiqua" w:eastAsia="SimSun" w:hAnsi="Book Antiqua" w:cs="SimSun"/>
          <w:b/>
          <w:bCs/>
          <w:sz w:val="24"/>
          <w:szCs w:val="24"/>
        </w:rPr>
        <w:t>13</w:t>
      </w:r>
      <w:r w:rsidRPr="00600B69">
        <w:rPr>
          <w:rFonts w:ascii="Book Antiqua" w:eastAsia="SimSun" w:hAnsi="Book Antiqua" w:cs="SimSun"/>
          <w:sz w:val="24"/>
          <w:szCs w:val="24"/>
        </w:rPr>
        <w:t>: 1576-1583 [PMID: 17332304 DOI: 10.1158/1078-0432.CCR-06-1150]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73 </w:t>
      </w:r>
      <w:r w:rsidRPr="00600B69">
        <w:rPr>
          <w:rFonts w:ascii="Book Antiqua" w:eastAsia="SimSun" w:hAnsi="Book Antiqua" w:cs="SimSun"/>
          <w:b/>
          <w:bCs/>
          <w:sz w:val="24"/>
          <w:szCs w:val="24"/>
        </w:rPr>
        <w:t>Bekaii-Saab T</w:t>
      </w:r>
      <w:r w:rsidRPr="00600B69">
        <w:rPr>
          <w:rFonts w:ascii="Book Antiqua" w:eastAsia="SimSun" w:hAnsi="Book Antiqua" w:cs="SimSun"/>
          <w:sz w:val="24"/>
          <w:szCs w:val="24"/>
        </w:rPr>
        <w:t>, Phelps MA, Li X, Saji M, Goff L, Kauh JS, O'Neil BH, Balsom S, Balint C, Liersemann R, Vasko VV, Bloomston M, Marsh W, Doyle LA, Ellison G, Grever M, Ringel MD, Villalona-Calero MA. Multi-institutional phase II study of selumetinib in patients with metastatic biliary cancers. </w:t>
      </w:r>
      <w:r w:rsidRPr="00600B69">
        <w:rPr>
          <w:rFonts w:ascii="Book Antiqua" w:eastAsia="SimSun" w:hAnsi="Book Antiqua" w:cs="SimSun"/>
          <w:i/>
          <w:iCs/>
          <w:sz w:val="24"/>
          <w:szCs w:val="24"/>
        </w:rPr>
        <w:t>J Clin Oncol</w:t>
      </w:r>
      <w:r w:rsidRPr="00600B69">
        <w:rPr>
          <w:rFonts w:ascii="Book Antiqua" w:eastAsia="SimSun" w:hAnsi="Book Antiqua" w:cs="SimSun"/>
          <w:sz w:val="24"/>
          <w:szCs w:val="24"/>
        </w:rPr>
        <w:t> 2011; </w:t>
      </w:r>
      <w:r w:rsidRPr="00600B69">
        <w:rPr>
          <w:rFonts w:ascii="Book Antiqua" w:eastAsia="SimSun" w:hAnsi="Book Antiqua" w:cs="SimSun"/>
          <w:b/>
          <w:bCs/>
          <w:sz w:val="24"/>
          <w:szCs w:val="24"/>
        </w:rPr>
        <w:t>29</w:t>
      </w:r>
      <w:r w:rsidRPr="00600B69">
        <w:rPr>
          <w:rFonts w:ascii="Book Antiqua" w:eastAsia="SimSun" w:hAnsi="Book Antiqua" w:cs="SimSun"/>
          <w:sz w:val="24"/>
          <w:szCs w:val="24"/>
        </w:rPr>
        <w:t>: 2357-2363 [PMID: 21519026 DOI: 10.1200/JCO.2010.33.9473]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74 </w:t>
      </w:r>
      <w:r w:rsidRPr="00600B69">
        <w:rPr>
          <w:rFonts w:ascii="Book Antiqua" w:eastAsia="SimSun" w:hAnsi="Book Antiqua" w:cs="SimSun"/>
          <w:b/>
          <w:bCs/>
          <w:sz w:val="24"/>
          <w:szCs w:val="24"/>
        </w:rPr>
        <w:t>Solit DB</w:t>
      </w:r>
      <w:r w:rsidRPr="00600B69">
        <w:rPr>
          <w:rFonts w:ascii="Book Antiqua" w:eastAsia="SimSun" w:hAnsi="Book Antiqua" w:cs="SimSun"/>
          <w:sz w:val="24"/>
          <w:szCs w:val="24"/>
        </w:rPr>
        <w:t>, Garraway LA, Pratilas CA, Sawai A, Getz G, Basso A, Ye Q, Lobo JM, She Y, Osman I, Golub TR, Sebolt-Leopold J, Sellers WR, Rosen N. BRAF mutation predicts sensitivity to MEK inhibition. </w:t>
      </w:r>
      <w:r w:rsidRPr="00600B69">
        <w:rPr>
          <w:rFonts w:ascii="Book Antiqua" w:eastAsia="SimSun" w:hAnsi="Book Antiqua" w:cs="SimSun"/>
          <w:i/>
          <w:iCs/>
          <w:sz w:val="24"/>
          <w:szCs w:val="24"/>
        </w:rPr>
        <w:t>Nature</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439</w:t>
      </w:r>
      <w:r w:rsidRPr="00600B69">
        <w:rPr>
          <w:rFonts w:ascii="Book Antiqua" w:eastAsia="SimSun" w:hAnsi="Book Antiqua" w:cs="SimSun"/>
          <w:sz w:val="24"/>
          <w:szCs w:val="24"/>
        </w:rPr>
        <w:t>: 358-362 [PMID: 16273091 DOI: 10.1038/nature04304]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75 </w:t>
      </w:r>
      <w:r w:rsidRPr="00600B69">
        <w:rPr>
          <w:rFonts w:ascii="Book Antiqua" w:eastAsia="SimSun" w:hAnsi="Book Antiqua" w:cs="SimSun"/>
          <w:b/>
          <w:bCs/>
          <w:sz w:val="24"/>
          <w:szCs w:val="24"/>
        </w:rPr>
        <w:t>Adnane L</w:t>
      </w:r>
      <w:r w:rsidRPr="00600B69">
        <w:rPr>
          <w:rFonts w:ascii="Book Antiqua" w:eastAsia="SimSun" w:hAnsi="Book Antiqua" w:cs="SimSun"/>
          <w:sz w:val="24"/>
          <w:szCs w:val="24"/>
        </w:rPr>
        <w:t>, Trail PA, Taylor I, Wilhelm SM. Sorafenib (BAY 43-9006, Nexavar), a dual-action inhibitor that targets RAF/MEK/ERK pathway in tumor cells and tyrosine kinases VEGFR/PDGFR in tumor vasculature. </w:t>
      </w:r>
      <w:r w:rsidRPr="00600B69">
        <w:rPr>
          <w:rFonts w:ascii="Book Antiqua" w:eastAsia="SimSun" w:hAnsi="Book Antiqua" w:cs="SimSun"/>
          <w:i/>
          <w:iCs/>
          <w:sz w:val="24"/>
          <w:szCs w:val="24"/>
        </w:rPr>
        <w:t>Methods Enzymol</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407</w:t>
      </w:r>
      <w:r w:rsidRPr="00600B69">
        <w:rPr>
          <w:rFonts w:ascii="Book Antiqua" w:eastAsia="SimSun" w:hAnsi="Book Antiqua" w:cs="SimSun"/>
          <w:sz w:val="24"/>
          <w:szCs w:val="24"/>
        </w:rPr>
        <w:t>: 597-612 [PMID: 16757355 DOI: 10.1016/S0076-6879(05)07047-3]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76 </w:t>
      </w:r>
      <w:r w:rsidRPr="00600B69">
        <w:rPr>
          <w:rFonts w:ascii="Book Antiqua" w:eastAsia="SimSun" w:hAnsi="Book Antiqua" w:cs="SimSun"/>
          <w:b/>
          <w:bCs/>
          <w:sz w:val="24"/>
          <w:szCs w:val="24"/>
        </w:rPr>
        <w:t>Bengala C</w:t>
      </w:r>
      <w:r w:rsidRPr="00600B69">
        <w:rPr>
          <w:rFonts w:ascii="Book Antiqua" w:eastAsia="SimSun" w:hAnsi="Book Antiqua" w:cs="SimSun"/>
          <w:sz w:val="24"/>
          <w:szCs w:val="24"/>
        </w:rPr>
        <w:t>, Bertolini F, Malavasi N, Boni C, Aitini E, Dealis C, Zironi S, Depenni R, Fontana A, Del Giovane C, Luppi G, Conte P. Sorafenib in patients with advanced biliary tract carcinoma: a phase II trial. </w:t>
      </w:r>
      <w:r w:rsidRPr="00600B69">
        <w:rPr>
          <w:rFonts w:ascii="Book Antiqua" w:eastAsia="SimSun" w:hAnsi="Book Antiqua" w:cs="SimSun"/>
          <w:i/>
          <w:iCs/>
          <w:sz w:val="24"/>
          <w:szCs w:val="24"/>
        </w:rPr>
        <w:t>Br J Cancer</w:t>
      </w:r>
      <w:r w:rsidRPr="00600B69">
        <w:rPr>
          <w:rFonts w:ascii="Book Antiqua" w:eastAsia="SimSun" w:hAnsi="Book Antiqua" w:cs="SimSun"/>
          <w:sz w:val="24"/>
          <w:szCs w:val="24"/>
        </w:rPr>
        <w:t> 2010; </w:t>
      </w:r>
      <w:r w:rsidRPr="00600B69">
        <w:rPr>
          <w:rFonts w:ascii="Book Antiqua" w:eastAsia="SimSun" w:hAnsi="Book Antiqua" w:cs="SimSun"/>
          <w:b/>
          <w:bCs/>
          <w:sz w:val="24"/>
          <w:szCs w:val="24"/>
        </w:rPr>
        <w:t>102</w:t>
      </w:r>
      <w:r w:rsidRPr="00600B69">
        <w:rPr>
          <w:rFonts w:ascii="Book Antiqua" w:eastAsia="SimSun" w:hAnsi="Book Antiqua" w:cs="SimSun"/>
          <w:sz w:val="24"/>
          <w:szCs w:val="24"/>
        </w:rPr>
        <w:t>: 68-72 [PMID: 19935794 DOI: 10.1038/sj.bjc.6605458]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77 </w:t>
      </w:r>
      <w:r w:rsidRPr="00600B69">
        <w:rPr>
          <w:rFonts w:ascii="Book Antiqua" w:eastAsia="SimSun" w:hAnsi="Book Antiqua" w:cs="SimSun"/>
          <w:b/>
          <w:bCs/>
          <w:sz w:val="24"/>
          <w:szCs w:val="24"/>
        </w:rPr>
        <w:t>Lee JK</w:t>
      </w:r>
      <w:r w:rsidRPr="00600B69">
        <w:rPr>
          <w:rFonts w:ascii="Book Antiqua" w:eastAsia="SimSun" w:hAnsi="Book Antiqua" w:cs="SimSun"/>
          <w:sz w:val="24"/>
          <w:szCs w:val="24"/>
        </w:rPr>
        <w:t>, Capanu M, O'Reilly EM, Ma J, Chou JF, Shia J, Katz SS, Gansukh B, Reidy-Lagunes D, Segal NH, Yu KH, Chung KY, Saltz LB, Abou-Alfa GK. A phase II study of gemcitabine and cisplatin plus sorafenib in patients with advanced biliary adenocarcinomas. </w:t>
      </w:r>
      <w:r w:rsidRPr="00600B69">
        <w:rPr>
          <w:rFonts w:ascii="Book Antiqua" w:eastAsia="SimSun" w:hAnsi="Book Antiqua" w:cs="SimSun"/>
          <w:i/>
          <w:iCs/>
          <w:sz w:val="24"/>
          <w:szCs w:val="24"/>
        </w:rPr>
        <w:t>Br J Cancer</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109</w:t>
      </w:r>
      <w:r w:rsidRPr="00600B69">
        <w:rPr>
          <w:rFonts w:ascii="Book Antiqua" w:eastAsia="SimSun" w:hAnsi="Book Antiqua" w:cs="SimSun"/>
          <w:sz w:val="24"/>
          <w:szCs w:val="24"/>
        </w:rPr>
        <w:t>: 915-919 [PMID: 23900219 DOI: 10.1038/bjc.2013.432]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78 </w:t>
      </w:r>
      <w:r w:rsidRPr="00600B69">
        <w:rPr>
          <w:rFonts w:ascii="Book Antiqua" w:eastAsia="SimSun" w:hAnsi="Book Antiqua" w:cs="SimSun"/>
          <w:b/>
          <w:bCs/>
          <w:sz w:val="24"/>
          <w:szCs w:val="24"/>
        </w:rPr>
        <w:t>LoConte NK</w:t>
      </w:r>
      <w:r w:rsidRPr="00600B69">
        <w:rPr>
          <w:rFonts w:ascii="Book Antiqua" w:eastAsia="SimSun" w:hAnsi="Book Antiqua" w:cs="SimSun"/>
          <w:sz w:val="24"/>
          <w:szCs w:val="24"/>
        </w:rPr>
        <w:t>, Holen KD, Schelman WR, Mulkerin DL, Deming DA, Hernan HR, Traynor AM, Goggins T, Groteluschen D, Oettel K, Robinson E, Lubner SJ. A phase I study of sorafenib, oxaliplatin and 2 days of high dose capecitabine in advanced pancreatic and biliary tract cancer: a Wisconsin oncology network study. </w:t>
      </w:r>
      <w:r w:rsidRPr="00600B69">
        <w:rPr>
          <w:rFonts w:ascii="Book Antiqua" w:eastAsia="SimSun" w:hAnsi="Book Antiqua" w:cs="SimSun"/>
          <w:i/>
          <w:iCs/>
          <w:sz w:val="24"/>
          <w:szCs w:val="24"/>
        </w:rPr>
        <w:t>Invest New Drugs</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31</w:t>
      </w:r>
      <w:r w:rsidRPr="00600B69">
        <w:rPr>
          <w:rFonts w:ascii="Book Antiqua" w:eastAsia="SimSun" w:hAnsi="Book Antiqua" w:cs="SimSun"/>
          <w:sz w:val="24"/>
          <w:szCs w:val="24"/>
        </w:rPr>
        <w:t>: 943-948 [PMID: 23263993 DOI: 10.1007/s10637-012-9916-5]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79 </w:t>
      </w:r>
      <w:r w:rsidRPr="00600B69">
        <w:rPr>
          <w:rFonts w:ascii="Book Antiqua" w:eastAsia="SimSun" w:hAnsi="Book Antiqua" w:cs="SimSun"/>
          <w:b/>
          <w:bCs/>
          <w:sz w:val="24"/>
          <w:szCs w:val="24"/>
        </w:rPr>
        <w:t>Kim do H</w:t>
      </w:r>
      <w:r w:rsidRPr="00600B69">
        <w:rPr>
          <w:rFonts w:ascii="Book Antiqua" w:eastAsia="SimSun" w:hAnsi="Book Antiqua" w:cs="SimSun"/>
          <w:sz w:val="24"/>
          <w:szCs w:val="24"/>
        </w:rPr>
        <w:t>, Jeong YI, Chung CW, Kim CH, Kwak TW, Lee HM, Kang DH. Preclinical evaluation of sorafenib-eluting stent for suppression of human cholangiocarcinoma cells. </w:t>
      </w:r>
      <w:r w:rsidRPr="00600B69">
        <w:rPr>
          <w:rFonts w:ascii="Book Antiqua" w:eastAsia="SimSun" w:hAnsi="Book Antiqua" w:cs="SimSun"/>
          <w:i/>
          <w:iCs/>
          <w:sz w:val="24"/>
          <w:szCs w:val="24"/>
        </w:rPr>
        <w:t>Int J Nanomedicine</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8</w:t>
      </w:r>
      <w:r w:rsidRPr="00600B69">
        <w:rPr>
          <w:rFonts w:ascii="Book Antiqua" w:eastAsia="SimSun" w:hAnsi="Book Antiqua" w:cs="SimSun"/>
          <w:sz w:val="24"/>
          <w:szCs w:val="24"/>
        </w:rPr>
        <w:t>: 1697-1711 [PMID: 23658488]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80 </w:t>
      </w:r>
      <w:r w:rsidRPr="00600B69">
        <w:rPr>
          <w:rFonts w:ascii="Book Antiqua" w:eastAsia="SimSun" w:hAnsi="Book Antiqua" w:cs="SimSun"/>
          <w:b/>
          <w:bCs/>
          <w:sz w:val="24"/>
          <w:szCs w:val="24"/>
        </w:rPr>
        <w:t>Bozic I</w:t>
      </w:r>
      <w:r w:rsidRPr="00600B69">
        <w:rPr>
          <w:rFonts w:ascii="Book Antiqua" w:eastAsia="SimSun" w:hAnsi="Book Antiqua" w:cs="SimSun"/>
          <w:sz w:val="24"/>
          <w:szCs w:val="24"/>
        </w:rPr>
        <w:t>, Reiter JG, Allen B, Antal T, Chatterjee K, Shah P, Moon YS, Yaqubie A, Kelly N, Le DT, Lipson EJ, Chapman PB, Diaz LA, Vogelstein B, Nowak MA. Evolutionary dynamics of cancer in response to targeted combination therapy. </w:t>
      </w:r>
      <w:r w:rsidRPr="00600B69">
        <w:rPr>
          <w:rFonts w:ascii="Book Antiqua" w:eastAsia="SimSun" w:hAnsi="Book Antiqua" w:cs="SimSun"/>
          <w:i/>
          <w:iCs/>
          <w:sz w:val="24"/>
          <w:szCs w:val="24"/>
        </w:rPr>
        <w:t>Elife</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2</w:t>
      </w:r>
      <w:r w:rsidRPr="00600B69">
        <w:rPr>
          <w:rFonts w:ascii="Book Antiqua" w:eastAsia="SimSun" w:hAnsi="Book Antiqua" w:cs="SimSun"/>
          <w:sz w:val="24"/>
          <w:szCs w:val="24"/>
        </w:rPr>
        <w:t>: e00747 [PMID: 23805382 DOI: 10.7554/eLife.00747]</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81 </w:t>
      </w:r>
      <w:r w:rsidRPr="00600B69">
        <w:rPr>
          <w:rFonts w:ascii="Book Antiqua" w:eastAsia="SimSun" w:hAnsi="Book Antiqua" w:cs="SimSun"/>
          <w:b/>
          <w:bCs/>
          <w:sz w:val="24"/>
          <w:szCs w:val="24"/>
        </w:rPr>
        <w:t>Isomoto H</w:t>
      </w:r>
      <w:r w:rsidRPr="00600B69">
        <w:rPr>
          <w:rFonts w:ascii="Book Antiqua" w:eastAsia="SimSun" w:hAnsi="Book Antiqua" w:cs="SimSun"/>
          <w:sz w:val="24"/>
          <w:szCs w:val="24"/>
        </w:rPr>
        <w:t>. Epigenetic alterations associated with cholangiocarcinoma (review). </w:t>
      </w:r>
      <w:r w:rsidRPr="00600B69">
        <w:rPr>
          <w:rFonts w:ascii="Book Antiqua" w:eastAsia="SimSun" w:hAnsi="Book Antiqua" w:cs="SimSun"/>
          <w:i/>
          <w:iCs/>
          <w:sz w:val="24"/>
          <w:szCs w:val="24"/>
        </w:rPr>
        <w:t>Oncol Rep</w:t>
      </w:r>
      <w:r w:rsidRPr="00600B69">
        <w:rPr>
          <w:rFonts w:ascii="Book Antiqua" w:eastAsia="SimSun" w:hAnsi="Book Antiqua" w:cs="SimSun"/>
          <w:sz w:val="24"/>
          <w:szCs w:val="24"/>
        </w:rPr>
        <w:t> 2009; </w:t>
      </w:r>
      <w:r w:rsidRPr="00600B69">
        <w:rPr>
          <w:rFonts w:ascii="Book Antiqua" w:eastAsia="SimSun" w:hAnsi="Book Antiqua" w:cs="SimSun"/>
          <w:b/>
          <w:bCs/>
          <w:sz w:val="24"/>
          <w:szCs w:val="24"/>
        </w:rPr>
        <w:t>22</w:t>
      </w:r>
      <w:r w:rsidRPr="00600B69">
        <w:rPr>
          <w:rFonts w:ascii="Book Antiqua" w:eastAsia="SimSun" w:hAnsi="Book Antiqua" w:cs="SimSun"/>
          <w:sz w:val="24"/>
          <w:szCs w:val="24"/>
        </w:rPr>
        <w:t>: 227-232 [PMID: 19578760 DOI: 10.3892/or_00000428]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82 </w:t>
      </w:r>
      <w:r w:rsidRPr="00600B69">
        <w:rPr>
          <w:rFonts w:ascii="Book Antiqua" w:eastAsia="SimSun" w:hAnsi="Book Antiqua" w:cs="SimSun"/>
          <w:b/>
          <w:bCs/>
          <w:sz w:val="24"/>
          <w:szCs w:val="24"/>
        </w:rPr>
        <w:t>Takahashi R</w:t>
      </w:r>
      <w:r w:rsidRPr="00600B69">
        <w:rPr>
          <w:rFonts w:ascii="Book Antiqua" w:eastAsia="SimSun" w:hAnsi="Book Antiqua" w:cs="SimSun"/>
          <w:sz w:val="24"/>
          <w:szCs w:val="24"/>
        </w:rPr>
        <w:t>, Yoshitomi M, Yutani S, Shirahama T, Noguchi M, Yamada A, Itoh K, Sasada T. Current status of immunotherapy for the treatment of biliary tract cancer. </w:t>
      </w:r>
      <w:r w:rsidRPr="00600B69">
        <w:rPr>
          <w:rFonts w:ascii="Book Antiqua" w:eastAsia="SimSun" w:hAnsi="Book Antiqua" w:cs="SimSun"/>
          <w:i/>
          <w:iCs/>
          <w:sz w:val="24"/>
          <w:szCs w:val="24"/>
        </w:rPr>
        <w:t>Hum Vaccin Immunother</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9</w:t>
      </w:r>
      <w:r w:rsidRPr="00600B69">
        <w:rPr>
          <w:rFonts w:ascii="Book Antiqua" w:eastAsia="SimSun" w:hAnsi="Book Antiqua" w:cs="SimSun"/>
          <w:sz w:val="24"/>
          <w:szCs w:val="24"/>
        </w:rPr>
        <w:t>: 1069-1072 [PMID: 23376808 DOI: 10.4161/hv.23844]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83 </w:t>
      </w:r>
      <w:r w:rsidRPr="00600B69">
        <w:rPr>
          <w:rFonts w:ascii="Book Antiqua" w:eastAsia="SimSun" w:hAnsi="Book Antiqua" w:cs="SimSun"/>
          <w:b/>
          <w:bCs/>
          <w:sz w:val="24"/>
          <w:szCs w:val="24"/>
        </w:rPr>
        <w:t>Aruga A</w:t>
      </w:r>
      <w:r w:rsidRPr="00600B69">
        <w:rPr>
          <w:rFonts w:ascii="Book Antiqua" w:eastAsia="SimSun" w:hAnsi="Book Antiqua" w:cs="SimSun"/>
          <w:sz w:val="24"/>
          <w:szCs w:val="24"/>
        </w:rPr>
        <w:t>, Takeshita N, Kotera Y, Okuyama R, Matsushita N, Ohta T, Takeda K, Yamamoto M. Phase I clinical trial of multiple-peptide vaccination for patients with advanced biliary tract cancer. </w:t>
      </w:r>
      <w:r w:rsidRPr="00600B69">
        <w:rPr>
          <w:rFonts w:ascii="Book Antiqua" w:eastAsia="SimSun" w:hAnsi="Book Antiqua" w:cs="SimSun"/>
          <w:i/>
          <w:iCs/>
          <w:sz w:val="24"/>
          <w:szCs w:val="24"/>
        </w:rPr>
        <w:t>J Transl Med</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61 [PMID: 24606884 DOI: 10.1186/1479-5876-12-61]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84 </w:t>
      </w:r>
      <w:r w:rsidRPr="00600B69">
        <w:rPr>
          <w:rFonts w:ascii="Book Antiqua" w:eastAsia="SimSun" w:hAnsi="Book Antiqua" w:cs="SimSun"/>
          <w:b/>
          <w:bCs/>
          <w:sz w:val="24"/>
          <w:szCs w:val="24"/>
        </w:rPr>
        <w:t>Leone F</w:t>
      </w:r>
      <w:r w:rsidRPr="00600B69">
        <w:rPr>
          <w:rFonts w:ascii="Book Antiqua" w:eastAsia="SimSun" w:hAnsi="Book Antiqua" w:cs="SimSun"/>
          <w:sz w:val="24"/>
          <w:szCs w:val="24"/>
        </w:rPr>
        <w:t>, Cavalloni G, Pignochino Y, Sarotto I, Ferraris R, Piacibello W, Venesio T, Capussotti L, Risio M, Aglietta M. Somatic mutations of epidermal growth factor receptor in bile duct and gallbladder carcinoma. </w:t>
      </w:r>
      <w:r w:rsidRPr="00600B69">
        <w:rPr>
          <w:rFonts w:ascii="Book Antiqua" w:eastAsia="SimSun" w:hAnsi="Book Antiqua" w:cs="SimSun"/>
          <w:i/>
          <w:iCs/>
          <w:sz w:val="24"/>
          <w:szCs w:val="24"/>
        </w:rPr>
        <w:t>Clin Cancer Res</w:t>
      </w:r>
      <w:r w:rsidRPr="00600B69">
        <w:rPr>
          <w:rFonts w:ascii="Book Antiqua" w:eastAsia="SimSun" w:hAnsi="Book Antiqua" w:cs="SimSun"/>
          <w:sz w:val="24"/>
          <w:szCs w:val="24"/>
        </w:rPr>
        <w:t> 2006; </w:t>
      </w:r>
      <w:r w:rsidRPr="00600B69">
        <w:rPr>
          <w:rFonts w:ascii="Book Antiqua" w:eastAsia="SimSun" w:hAnsi="Book Antiqua" w:cs="SimSun"/>
          <w:b/>
          <w:bCs/>
          <w:sz w:val="24"/>
          <w:szCs w:val="24"/>
        </w:rPr>
        <w:t>12</w:t>
      </w:r>
      <w:r w:rsidRPr="00600B69">
        <w:rPr>
          <w:rFonts w:ascii="Book Antiqua" w:eastAsia="SimSun" w:hAnsi="Book Antiqua" w:cs="SimSun"/>
          <w:sz w:val="24"/>
          <w:szCs w:val="24"/>
        </w:rPr>
        <w:t>: 1680-1685 [PMID: 16551849 DOI: 10.1158/1078-0432.CCR-05-1692]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85 </w:t>
      </w:r>
      <w:r w:rsidRPr="00600B69">
        <w:rPr>
          <w:rFonts w:ascii="Book Antiqua" w:eastAsia="SimSun" w:hAnsi="Book Antiqua" w:cs="SimSun"/>
          <w:b/>
          <w:bCs/>
          <w:sz w:val="24"/>
          <w:szCs w:val="24"/>
        </w:rPr>
        <w:t>Voss JS</w:t>
      </w:r>
      <w:r w:rsidRPr="00600B69">
        <w:rPr>
          <w:rFonts w:ascii="Book Antiqua" w:eastAsia="SimSun" w:hAnsi="Book Antiqua" w:cs="SimSun"/>
          <w:sz w:val="24"/>
          <w:szCs w:val="24"/>
        </w:rPr>
        <w:t>, Holtegaard LM, Kerr SE, Fritcher EG, Roberts LR, Gores GJ, Zhang J, Highsmith WE, Halling KC, Kipp BR. Molecular profiling of cholangiocarcinoma shows potential for targeted therapy treatment decisions. </w:t>
      </w:r>
      <w:r w:rsidRPr="00600B69">
        <w:rPr>
          <w:rFonts w:ascii="Book Antiqua" w:eastAsia="SimSun" w:hAnsi="Book Antiqua" w:cs="SimSun"/>
          <w:i/>
          <w:iCs/>
          <w:sz w:val="24"/>
          <w:szCs w:val="24"/>
        </w:rPr>
        <w:t>Hum Pathol</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44</w:t>
      </w:r>
      <w:r w:rsidRPr="00600B69">
        <w:rPr>
          <w:rFonts w:ascii="Book Antiqua" w:eastAsia="SimSun" w:hAnsi="Book Antiqua" w:cs="SimSun"/>
          <w:sz w:val="24"/>
          <w:szCs w:val="24"/>
        </w:rPr>
        <w:t>: 1216-1222 [PMID: 23391413 DOI: 10.1016/j.humpath.2012.11.006]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86 </w:t>
      </w:r>
      <w:r w:rsidRPr="00600B69">
        <w:rPr>
          <w:rFonts w:ascii="Book Antiqua" w:eastAsia="SimSun" w:hAnsi="Book Antiqua" w:cs="SimSun"/>
          <w:b/>
          <w:bCs/>
          <w:sz w:val="24"/>
          <w:szCs w:val="24"/>
        </w:rPr>
        <w:t>Rizvi S</w:t>
      </w:r>
      <w:r w:rsidRPr="00600B69">
        <w:rPr>
          <w:rFonts w:ascii="Book Antiqua" w:eastAsia="SimSun" w:hAnsi="Book Antiqua" w:cs="SimSun"/>
          <w:sz w:val="24"/>
          <w:szCs w:val="24"/>
        </w:rPr>
        <w:t>, Borad MJ, Patel T, Gores GJ. Cholangiocarcinoma: molecular pathways and therapeutic opportunities. </w:t>
      </w:r>
      <w:r w:rsidRPr="00600B69">
        <w:rPr>
          <w:rFonts w:ascii="Book Antiqua" w:eastAsia="SimSun" w:hAnsi="Book Antiqua" w:cs="SimSun"/>
          <w:i/>
          <w:iCs/>
          <w:sz w:val="24"/>
          <w:szCs w:val="24"/>
        </w:rPr>
        <w:t>Semin Liver Dis</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34</w:t>
      </w:r>
      <w:r w:rsidRPr="00600B69">
        <w:rPr>
          <w:rFonts w:ascii="Book Antiqua" w:eastAsia="SimSun" w:hAnsi="Book Antiqua" w:cs="SimSun"/>
          <w:sz w:val="24"/>
          <w:szCs w:val="24"/>
        </w:rPr>
        <w:t>: 456-464 [PMID: 25369307 DOI: 10.1055/s-0034-1394144]</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87 </w:t>
      </w:r>
      <w:r w:rsidRPr="00600B69">
        <w:rPr>
          <w:rFonts w:ascii="Book Antiqua" w:eastAsia="SimSun" w:hAnsi="Book Antiqua" w:cs="SimSun"/>
          <w:b/>
          <w:bCs/>
          <w:sz w:val="24"/>
          <w:szCs w:val="24"/>
        </w:rPr>
        <w:t>Sia D</w:t>
      </w:r>
      <w:r w:rsidRPr="00600B69">
        <w:rPr>
          <w:rFonts w:ascii="Book Antiqua" w:eastAsia="SimSun" w:hAnsi="Book Antiqua" w:cs="SimSun"/>
          <w:sz w:val="24"/>
          <w:szCs w:val="24"/>
        </w:rPr>
        <w:t xml:space="preserve">,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w:t>
      </w:r>
      <w:r w:rsidRPr="00600B69">
        <w:rPr>
          <w:rFonts w:ascii="Book Antiqua" w:eastAsia="SimSun" w:hAnsi="Book Antiqua" w:cs="SimSun"/>
          <w:sz w:val="24"/>
          <w:szCs w:val="24"/>
        </w:rPr>
        <w:lastRenderedPageBreak/>
        <w:t>have different outcomes. </w:t>
      </w:r>
      <w:r w:rsidRPr="00600B69">
        <w:rPr>
          <w:rFonts w:ascii="Book Antiqua" w:eastAsia="SimSun" w:hAnsi="Book Antiqua" w:cs="SimSun"/>
          <w:i/>
          <w:iCs/>
          <w:sz w:val="24"/>
          <w:szCs w:val="24"/>
        </w:rPr>
        <w:t>Gastroenterology</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144</w:t>
      </w:r>
      <w:r w:rsidRPr="00600B69">
        <w:rPr>
          <w:rFonts w:ascii="Book Antiqua" w:eastAsia="SimSun" w:hAnsi="Book Antiqua" w:cs="SimSun"/>
          <w:sz w:val="24"/>
          <w:szCs w:val="24"/>
        </w:rPr>
        <w:t>: 829-840 [PMID: 23295441 DOI: 10.1053/j.gastro.2013.01.001]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88 </w:t>
      </w:r>
      <w:r w:rsidRPr="00600B69">
        <w:rPr>
          <w:rFonts w:ascii="Book Antiqua" w:eastAsia="SimSun" w:hAnsi="Book Antiqua" w:cs="SimSun"/>
          <w:b/>
          <w:bCs/>
          <w:sz w:val="24"/>
          <w:szCs w:val="24"/>
        </w:rPr>
        <w:t>Nakazawa K</w:t>
      </w:r>
      <w:r w:rsidRPr="00600B69">
        <w:rPr>
          <w:rFonts w:ascii="Book Antiqua" w:eastAsia="SimSun" w:hAnsi="Book Antiqua" w:cs="SimSun"/>
          <w:sz w:val="24"/>
          <w:szCs w:val="24"/>
        </w:rPr>
        <w:t>, Dobashi Y, Suzuki S, Fujii H, Takeda Y, Ooi A. Amplification and overexpression of c-erbB-2, epidermal growth factor receptor, and c-met in biliary tract cancers. </w:t>
      </w:r>
      <w:r w:rsidRPr="00600B69">
        <w:rPr>
          <w:rFonts w:ascii="Book Antiqua" w:eastAsia="SimSun" w:hAnsi="Book Antiqua" w:cs="SimSun"/>
          <w:i/>
          <w:iCs/>
          <w:sz w:val="24"/>
          <w:szCs w:val="24"/>
        </w:rPr>
        <w:t>J Pathol</w:t>
      </w:r>
      <w:r w:rsidRPr="00600B69">
        <w:rPr>
          <w:rFonts w:ascii="Book Antiqua" w:eastAsia="SimSun" w:hAnsi="Book Antiqua" w:cs="SimSun"/>
          <w:sz w:val="24"/>
          <w:szCs w:val="24"/>
        </w:rPr>
        <w:t> 2005; </w:t>
      </w:r>
      <w:r w:rsidRPr="00600B69">
        <w:rPr>
          <w:rFonts w:ascii="Book Antiqua" w:eastAsia="SimSun" w:hAnsi="Book Antiqua" w:cs="SimSun"/>
          <w:b/>
          <w:bCs/>
          <w:sz w:val="24"/>
          <w:szCs w:val="24"/>
        </w:rPr>
        <w:t>206</w:t>
      </w:r>
      <w:r w:rsidRPr="00600B69">
        <w:rPr>
          <w:rFonts w:ascii="Book Antiqua" w:eastAsia="SimSun" w:hAnsi="Book Antiqua" w:cs="SimSun"/>
          <w:sz w:val="24"/>
          <w:szCs w:val="24"/>
        </w:rPr>
        <w:t>: 356-365 [PMID: 15892172 DOI: 10.1002/path.1779]</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89 </w:t>
      </w:r>
      <w:r w:rsidRPr="00600B69">
        <w:rPr>
          <w:rFonts w:ascii="Book Antiqua" w:eastAsia="SimSun" w:hAnsi="Book Antiqua" w:cs="SimSun"/>
          <w:b/>
          <w:bCs/>
          <w:sz w:val="24"/>
          <w:szCs w:val="24"/>
        </w:rPr>
        <w:t>Terada T</w:t>
      </w:r>
      <w:r w:rsidRPr="00600B69">
        <w:rPr>
          <w:rFonts w:ascii="Book Antiqua" w:eastAsia="SimSun" w:hAnsi="Book Antiqua" w:cs="SimSun"/>
          <w:sz w:val="24"/>
          <w:szCs w:val="24"/>
        </w:rPr>
        <w:t>, Nakanuma Y, Sirica AE. Immunohistochemical demonstration of MET overexpression in human intrahepatic cholangiocarcinoma and in hepatolithiasis. </w:t>
      </w:r>
      <w:r w:rsidRPr="00600B69">
        <w:rPr>
          <w:rFonts w:ascii="Book Antiqua" w:eastAsia="SimSun" w:hAnsi="Book Antiqua" w:cs="SimSun"/>
          <w:i/>
          <w:iCs/>
          <w:sz w:val="24"/>
          <w:szCs w:val="24"/>
        </w:rPr>
        <w:t>Hum Pathol</w:t>
      </w:r>
      <w:r w:rsidRPr="00600B69">
        <w:rPr>
          <w:rFonts w:ascii="Book Antiqua" w:eastAsia="SimSun" w:hAnsi="Book Antiqua" w:cs="SimSun"/>
          <w:sz w:val="24"/>
          <w:szCs w:val="24"/>
        </w:rPr>
        <w:t> 1998; </w:t>
      </w:r>
      <w:r w:rsidRPr="00600B69">
        <w:rPr>
          <w:rFonts w:ascii="Book Antiqua" w:eastAsia="SimSun" w:hAnsi="Book Antiqua" w:cs="SimSun"/>
          <w:b/>
          <w:bCs/>
          <w:sz w:val="24"/>
          <w:szCs w:val="24"/>
        </w:rPr>
        <w:t>29</w:t>
      </w:r>
      <w:r w:rsidRPr="00600B69">
        <w:rPr>
          <w:rFonts w:ascii="Book Antiqua" w:eastAsia="SimSun" w:hAnsi="Book Antiqua" w:cs="SimSun"/>
          <w:sz w:val="24"/>
          <w:szCs w:val="24"/>
        </w:rPr>
        <w:t>: 175-180 [PMID: 9490278 DOI: 10.1016/S0046-8177(98)90229-5]</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90 </w:t>
      </w:r>
      <w:r w:rsidRPr="00600B69">
        <w:rPr>
          <w:rFonts w:ascii="Book Antiqua" w:eastAsia="SimSun" w:hAnsi="Book Antiqua" w:cs="SimSun"/>
          <w:b/>
          <w:bCs/>
          <w:sz w:val="24"/>
          <w:szCs w:val="24"/>
        </w:rPr>
        <w:t>Rashid A</w:t>
      </w:r>
      <w:r w:rsidRPr="00600B69">
        <w:rPr>
          <w:rFonts w:ascii="Book Antiqua" w:eastAsia="SimSun" w:hAnsi="Book Antiqua" w:cs="SimSun"/>
          <w:sz w:val="24"/>
          <w:szCs w:val="24"/>
        </w:rPr>
        <w:t>, Ueki T, Gao YT, Houlihan PS, Wallace C, Wang BS, Shen MC, Deng J, Hsing AW. K-ras mutation, p53 overexpression, and microsatellite instability in biliary tract cancers: a population-based study in China. </w:t>
      </w:r>
      <w:r w:rsidRPr="00600B69">
        <w:rPr>
          <w:rFonts w:ascii="Book Antiqua" w:eastAsia="SimSun" w:hAnsi="Book Antiqua" w:cs="SimSun"/>
          <w:i/>
          <w:iCs/>
          <w:sz w:val="24"/>
          <w:szCs w:val="24"/>
        </w:rPr>
        <w:t>Clin Cancer Res</w:t>
      </w:r>
      <w:r w:rsidRPr="00600B69">
        <w:rPr>
          <w:rFonts w:ascii="Book Antiqua" w:eastAsia="SimSun" w:hAnsi="Book Antiqua" w:cs="SimSun"/>
          <w:sz w:val="24"/>
          <w:szCs w:val="24"/>
        </w:rPr>
        <w:t> 2002; </w:t>
      </w:r>
      <w:r w:rsidRPr="00600B69">
        <w:rPr>
          <w:rFonts w:ascii="Book Antiqua" w:eastAsia="SimSun" w:hAnsi="Book Antiqua" w:cs="SimSun"/>
          <w:b/>
          <w:bCs/>
          <w:sz w:val="24"/>
          <w:szCs w:val="24"/>
        </w:rPr>
        <w:t>8</w:t>
      </w:r>
      <w:r w:rsidRPr="00600B69">
        <w:rPr>
          <w:rFonts w:ascii="Book Antiqua" w:eastAsia="SimSun" w:hAnsi="Book Antiqua" w:cs="SimSun"/>
          <w:sz w:val="24"/>
          <w:szCs w:val="24"/>
        </w:rPr>
        <w:t>: 3156-3163 [PMID: 12374683]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91 </w:t>
      </w:r>
      <w:r w:rsidRPr="00600B69">
        <w:rPr>
          <w:rFonts w:ascii="Book Antiqua" w:eastAsia="SimSun" w:hAnsi="Book Antiqua" w:cs="SimSun"/>
          <w:b/>
          <w:bCs/>
          <w:sz w:val="24"/>
          <w:szCs w:val="24"/>
        </w:rPr>
        <w:t>Hanada K</w:t>
      </w:r>
      <w:r w:rsidRPr="00600B69">
        <w:rPr>
          <w:rFonts w:ascii="Book Antiqua" w:eastAsia="SimSun" w:hAnsi="Book Antiqua" w:cs="SimSun"/>
          <w:sz w:val="24"/>
          <w:szCs w:val="24"/>
        </w:rPr>
        <w:t>, Tsuchida A, Iwao T, Eguchi N, Sasaki T, Morinaka K, Matsubara K, Kawasaki Y, Yamamoto S, Kajiyama G. Gene mutations of K-ras in gallbladder mucosae and gallbladder carcinoma with an anomalous junction of the pancreaticobiliary duct. </w:t>
      </w:r>
      <w:r w:rsidRPr="00600B69">
        <w:rPr>
          <w:rFonts w:ascii="Book Antiqua" w:eastAsia="SimSun" w:hAnsi="Book Antiqua" w:cs="SimSun"/>
          <w:i/>
          <w:iCs/>
          <w:sz w:val="24"/>
          <w:szCs w:val="24"/>
        </w:rPr>
        <w:t>Am J Gastroenterol</w:t>
      </w:r>
      <w:r w:rsidRPr="00600B69">
        <w:rPr>
          <w:rFonts w:ascii="Book Antiqua" w:eastAsia="SimSun" w:hAnsi="Book Antiqua" w:cs="SimSun"/>
          <w:sz w:val="24"/>
          <w:szCs w:val="24"/>
        </w:rPr>
        <w:t> 1999; </w:t>
      </w:r>
      <w:r w:rsidRPr="00600B69">
        <w:rPr>
          <w:rFonts w:ascii="Book Antiqua" w:eastAsia="SimSun" w:hAnsi="Book Antiqua" w:cs="SimSun"/>
          <w:b/>
          <w:bCs/>
          <w:sz w:val="24"/>
          <w:szCs w:val="24"/>
        </w:rPr>
        <w:t>94</w:t>
      </w:r>
      <w:r w:rsidRPr="00600B69">
        <w:rPr>
          <w:rFonts w:ascii="Book Antiqua" w:eastAsia="SimSun" w:hAnsi="Book Antiqua" w:cs="SimSun"/>
          <w:sz w:val="24"/>
          <w:szCs w:val="24"/>
        </w:rPr>
        <w:t>: 1638-1642 [PMID: 10364037 DOI: 10.1111/j.1572-0241.1999.01155.x]</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92 </w:t>
      </w:r>
      <w:r w:rsidRPr="00600B69">
        <w:rPr>
          <w:rFonts w:ascii="Book Antiqua" w:eastAsia="SimSun" w:hAnsi="Book Antiqua" w:cs="SimSun"/>
          <w:b/>
          <w:bCs/>
          <w:sz w:val="24"/>
          <w:szCs w:val="24"/>
        </w:rPr>
        <w:t>Suto T</w:t>
      </w:r>
      <w:r w:rsidRPr="00600B69">
        <w:rPr>
          <w:rFonts w:ascii="Book Antiqua" w:eastAsia="SimSun" w:hAnsi="Book Antiqua" w:cs="SimSun"/>
          <w:sz w:val="24"/>
          <w:szCs w:val="24"/>
        </w:rPr>
        <w:t>, Habano W, Sugai T, Uesugi N, Funato O, Kanno S, Saito K, Nakamura Si. Aberrations of the K-ras, p53, and APC genes in extrahepatic bile duct cancer. </w:t>
      </w:r>
      <w:r w:rsidRPr="00600B69">
        <w:rPr>
          <w:rFonts w:ascii="Book Antiqua" w:eastAsia="SimSun" w:hAnsi="Book Antiqua" w:cs="SimSun"/>
          <w:i/>
          <w:iCs/>
          <w:sz w:val="24"/>
          <w:szCs w:val="24"/>
        </w:rPr>
        <w:t>J Surg Oncol</w:t>
      </w:r>
      <w:r w:rsidRPr="00600B69">
        <w:rPr>
          <w:rFonts w:ascii="Book Antiqua" w:eastAsia="SimSun" w:hAnsi="Book Antiqua" w:cs="SimSun"/>
          <w:sz w:val="24"/>
          <w:szCs w:val="24"/>
        </w:rPr>
        <w:t> 2000; </w:t>
      </w:r>
      <w:r w:rsidRPr="00600B69">
        <w:rPr>
          <w:rFonts w:ascii="Book Antiqua" w:eastAsia="SimSun" w:hAnsi="Book Antiqua" w:cs="SimSun"/>
          <w:b/>
          <w:bCs/>
          <w:sz w:val="24"/>
          <w:szCs w:val="24"/>
        </w:rPr>
        <w:t>73</w:t>
      </w:r>
      <w:r w:rsidRPr="00600B69">
        <w:rPr>
          <w:rFonts w:ascii="Book Antiqua" w:eastAsia="SimSun" w:hAnsi="Book Antiqua" w:cs="SimSun"/>
          <w:sz w:val="24"/>
          <w:szCs w:val="24"/>
        </w:rPr>
        <w:t>: 158-163 [PMID: 10738270 DOI: 10.1002/(SICI)1096-9098(200003)73]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93 </w:t>
      </w:r>
      <w:r w:rsidRPr="00600B69">
        <w:rPr>
          <w:rFonts w:ascii="Book Antiqua" w:eastAsia="SimSun" w:hAnsi="Book Antiqua" w:cs="SimSun"/>
          <w:b/>
          <w:bCs/>
          <w:sz w:val="24"/>
          <w:szCs w:val="24"/>
        </w:rPr>
        <w:t>Tannapfel A</w:t>
      </w:r>
      <w:r w:rsidRPr="00600B69">
        <w:rPr>
          <w:rFonts w:ascii="Book Antiqua" w:eastAsia="SimSun" w:hAnsi="Book Antiqua" w:cs="SimSun"/>
          <w:sz w:val="24"/>
          <w:szCs w:val="24"/>
        </w:rPr>
        <w:t>, Benicke M, Katalinic A, Uhlmann D, Köckerling F, Hauss J, Wittekind C. Frequency of p16(INK4A) alterations and K-ras mutations in intrahepatic cholangiocarcinoma of the liver. </w:t>
      </w:r>
      <w:r w:rsidRPr="00600B69">
        <w:rPr>
          <w:rFonts w:ascii="Book Antiqua" w:eastAsia="SimSun" w:hAnsi="Book Antiqua" w:cs="SimSun"/>
          <w:i/>
          <w:iCs/>
          <w:sz w:val="24"/>
          <w:szCs w:val="24"/>
        </w:rPr>
        <w:t>Gut</w:t>
      </w:r>
      <w:r w:rsidRPr="00600B69">
        <w:rPr>
          <w:rFonts w:ascii="Book Antiqua" w:eastAsia="SimSun" w:hAnsi="Book Antiqua" w:cs="SimSun"/>
          <w:sz w:val="24"/>
          <w:szCs w:val="24"/>
        </w:rPr>
        <w:t> 2000; </w:t>
      </w:r>
      <w:r w:rsidRPr="00600B69">
        <w:rPr>
          <w:rFonts w:ascii="Book Antiqua" w:eastAsia="SimSun" w:hAnsi="Book Antiqua" w:cs="SimSun"/>
          <w:b/>
          <w:bCs/>
          <w:sz w:val="24"/>
          <w:szCs w:val="24"/>
        </w:rPr>
        <w:t>47</w:t>
      </w:r>
      <w:r w:rsidRPr="00600B69">
        <w:rPr>
          <w:rFonts w:ascii="Book Antiqua" w:eastAsia="SimSun" w:hAnsi="Book Antiqua" w:cs="SimSun"/>
          <w:sz w:val="24"/>
          <w:szCs w:val="24"/>
        </w:rPr>
        <w:t>: 721-727 [PMID: 11034592 DOI: 10.1136/gut.47.5.721]</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94 </w:t>
      </w:r>
      <w:r w:rsidRPr="00600B69">
        <w:rPr>
          <w:rFonts w:ascii="Book Antiqua" w:eastAsia="SimSun" w:hAnsi="Book Antiqua" w:cs="SimSun"/>
          <w:b/>
          <w:bCs/>
          <w:sz w:val="24"/>
          <w:szCs w:val="24"/>
        </w:rPr>
        <w:t>Deshpande V</w:t>
      </w:r>
      <w:r w:rsidRPr="00600B69">
        <w:rPr>
          <w:rFonts w:ascii="Book Antiqua" w:eastAsia="SimSun" w:hAnsi="Book Antiqua" w:cs="SimSun"/>
          <w:sz w:val="24"/>
          <w:szCs w:val="24"/>
        </w:rPr>
        <w:t xml:space="preserve">, Nduaguba A, Zimmerman SM, Kehoe SM, Macconaill LE, Lauwers GY, Ferrone C, Bardeesy N, Zhu AX, Hezel AF. Mutational profiling reveals PIK3CA </w:t>
      </w:r>
      <w:r w:rsidRPr="00600B69">
        <w:rPr>
          <w:rFonts w:ascii="Book Antiqua" w:eastAsia="SimSun" w:hAnsi="Book Antiqua" w:cs="SimSun"/>
          <w:sz w:val="24"/>
          <w:szCs w:val="24"/>
        </w:rPr>
        <w:lastRenderedPageBreak/>
        <w:t>mutations in gallbladder carcinoma. </w:t>
      </w:r>
      <w:r w:rsidRPr="00600B69">
        <w:rPr>
          <w:rFonts w:ascii="Book Antiqua" w:eastAsia="SimSun" w:hAnsi="Book Antiqua" w:cs="SimSun"/>
          <w:i/>
          <w:iCs/>
          <w:sz w:val="24"/>
          <w:szCs w:val="24"/>
        </w:rPr>
        <w:t>BMC Cancer</w:t>
      </w:r>
      <w:r w:rsidRPr="00600B69">
        <w:rPr>
          <w:rFonts w:ascii="Book Antiqua" w:eastAsia="SimSun" w:hAnsi="Book Antiqua" w:cs="SimSun"/>
          <w:sz w:val="24"/>
          <w:szCs w:val="24"/>
        </w:rPr>
        <w:t> 2011; </w:t>
      </w:r>
      <w:r w:rsidRPr="00600B69">
        <w:rPr>
          <w:rFonts w:ascii="Book Antiqua" w:eastAsia="SimSun" w:hAnsi="Book Antiqua" w:cs="SimSun"/>
          <w:b/>
          <w:bCs/>
          <w:sz w:val="24"/>
          <w:szCs w:val="24"/>
        </w:rPr>
        <w:t>11</w:t>
      </w:r>
      <w:r w:rsidRPr="00600B69">
        <w:rPr>
          <w:rFonts w:ascii="Book Antiqua" w:eastAsia="SimSun" w:hAnsi="Book Antiqua" w:cs="SimSun"/>
          <w:sz w:val="24"/>
          <w:szCs w:val="24"/>
        </w:rPr>
        <w:t>: 60 [PMID: 21303542 DOI: 10.1186/1471-2407-11-60]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95 </w:t>
      </w:r>
      <w:r w:rsidRPr="00600B69">
        <w:rPr>
          <w:rFonts w:ascii="Book Antiqua" w:eastAsia="SimSun" w:hAnsi="Book Antiqua" w:cs="SimSun"/>
          <w:b/>
          <w:bCs/>
          <w:sz w:val="24"/>
          <w:szCs w:val="24"/>
        </w:rPr>
        <w:t>Weiss GA</w:t>
      </w:r>
      <w:r w:rsidRPr="00600B69">
        <w:rPr>
          <w:rFonts w:ascii="Book Antiqua" w:eastAsia="SimSun" w:hAnsi="Book Antiqua" w:cs="SimSun"/>
          <w:sz w:val="24"/>
          <w:szCs w:val="24"/>
        </w:rPr>
        <w:t>, Rossi MR, Khushalani NI, Lo K, Gibbs JF, Bharthuar A, Cowell JK, Iyer R. Evaluation of phosphatidylinositol-3-kinase catalytic subunit (PIK3CA) and epidermal growth factor receptor (EGFR) gene mutations in pancreaticobiliary adenocarcinoma. </w:t>
      </w:r>
      <w:r w:rsidRPr="00600B69">
        <w:rPr>
          <w:rFonts w:ascii="Book Antiqua" w:eastAsia="SimSun" w:hAnsi="Book Antiqua" w:cs="SimSun"/>
          <w:i/>
          <w:iCs/>
          <w:sz w:val="24"/>
          <w:szCs w:val="24"/>
        </w:rPr>
        <w:t>J Gastrointest Oncol</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4</w:t>
      </w:r>
      <w:r w:rsidRPr="00600B69">
        <w:rPr>
          <w:rFonts w:ascii="Book Antiqua" w:eastAsia="SimSun" w:hAnsi="Book Antiqua" w:cs="SimSun"/>
          <w:sz w:val="24"/>
          <w:szCs w:val="24"/>
        </w:rPr>
        <w:t>: 20-29 [PMID: 23450128]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96 </w:t>
      </w:r>
      <w:r w:rsidRPr="00600B69">
        <w:rPr>
          <w:rFonts w:ascii="Book Antiqua" w:eastAsia="SimSun" w:hAnsi="Book Antiqua" w:cs="SimSun"/>
          <w:b/>
          <w:bCs/>
          <w:sz w:val="24"/>
          <w:szCs w:val="24"/>
        </w:rPr>
        <w:t>Borger DR</w:t>
      </w:r>
      <w:r w:rsidRPr="00600B69">
        <w:rPr>
          <w:rFonts w:ascii="Book Antiqua" w:eastAsia="SimSun" w:hAnsi="Book Antiqua" w:cs="SimSun"/>
          <w:sz w:val="24"/>
          <w:szCs w:val="24"/>
        </w:rPr>
        <w:t>, Tanabe KK, Fan KC, Lopez HU, Fantin VR, Straley KS, Schenkein DP, Hezel AF, Ancukiewicz M, Liebman HM, Kwak EL, Clark JW, Ryan DP, Deshpande V, Dias-Santagata D, Ellisen LW, Zhu AX, Iafrate AJ. Frequent mutation of isocitrate dehydrogenase (IDH)1 and IDH2 in cholangiocarcinoma identified through broad-based tumor genotyping. </w:t>
      </w:r>
      <w:r w:rsidRPr="00600B69">
        <w:rPr>
          <w:rFonts w:ascii="Book Antiqua" w:eastAsia="SimSun" w:hAnsi="Book Antiqua" w:cs="SimSun"/>
          <w:i/>
          <w:iCs/>
          <w:sz w:val="24"/>
          <w:szCs w:val="24"/>
        </w:rPr>
        <w:t>Oncologist</w:t>
      </w:r>
      <w:r w:rsidRPr="00600B69">
        <w:rPr>
          <w:rFonts w:ascii="Book Antiqua" w:eastAsia="SimSun" w:hAnsi="Book Antiqua" w:cs="SimSun"/>
          <w:sz w:val="24"/>
          <w:szCs w:val="24"/>
        </w:rPr>
        <w:t> 2012; </w:t>
      </w:r>
      <w:r w:rsidRPr="00600B69">
        <w:rPr>
          <w:rFonts w:ascii="Book Antiqua" w:eastAsia="SimSun" w:hAnsi="Book Antiqua" w:cs="SimSun"/>
          <w:b/>
          <w:bCs/>
          <w:sz w:val="24"/>
          <w:szCs w:val="24"/>
        </w:rPr>
        <w:t>17</w:t>
      </w:r>
      <w:r w:rsidRPr="00600B69">
        <w:rPr>
          <w:rFonts w:ascii="Book Antiqua" w:eastAsia="SimSun" w:hAnsi="Book Antiqua" w:cs="SimSun"/>
          <w:sz w:val="24"/>
          <w:szCs w:val="24"/>
        </w:rPr>
        <w:t>: 72-79 [PMID: 22180306 DOI: 10.1634/theoncologist.2011-0386]</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97 </w:t>
      </w:r>
      <w:r w:rsidRPr="00600B69">
        <w:rPr>
          <w:rFonts w:ascii="Book Antiqua" w:eastAsia="SimSun" w:hAnsi="Book Antiqua" w:cs="SimSun"/>
          <w:b/>
          <w:bCs/>
          <w:sz w:val="24"/>
          <w:szCs w:val="24"/>
        </w:rPr>
        <w:t>Riener MO</w:t>
      </w:r>
      <w:r w:rsidRPr="00600B69">
        <w:rPr>
          <w:rFonts w:ascii="Book Antiqua" w:eastAsia="SimSun" w:hAnsi="Book Antiqua" w:cs="SimSun"/>
          <w:sz w:val="24"/>
          <w:szCs w:val="24"/>
        </w:rPr>
        <w:t>, Bawohl M, Clavien PA, Jochum W. Analysis of oncogenic AKT1 p.E17K mutation in carcinomas of the biliary tract and liver. </w:t>
      </w:r>
      <w:r w:rsidRPr="00600B69">
        <w:rPr>
          <w:rFonts w:ascii="Book Antiqua" w:eastAsia="SimSun" w:hAnsi="Book Antiqua" w:cs="SimSun"/>
          <w:i/>
          <w:iCs/>
          <w:sz w:val="24"/>
          <w:szCs w:val="24"/>
        </w:rPr>
        <w:t>Br J Cancer</w:t>
      </w:r>
      <w:r w:rsidRPr="00600B69">
        <w:rPr>
          <w:rFonts w:ascii="Book Antiqua" w:eastAsia="SimSun" w:hAnsi="Book Antiqua" w:cs="SimSun"/>
          <w:sz w:val="24"/>
          <w:szCs w:val="24"/>
        </w:rPr>
        <w:t> 2008; </w:t>
      </w:r>
      <w:r w:rsidRPr="00600B69">
        <w:rPr>
          <w:rFonts w:ascii="Book Antiqua" w:eastAsia="SimSun" w:hAnsi="Book Antiqua" w:cs="SimSun"/>
          <w:b/>
          <w:bCs/>
          <w:sz w:val="24"/>
          <w:szCs w:val="24"/>
        </w:rPr>
        <w:t>99</w:t>
      </w:r>
      <w:r w:rsidRPr="00600B69">
        <w:rPr>
          <w:rFonts w:ascii="Book Antiqua" w:eastAsia="SimSun" w:hAnsi="Book Antiqua" w:cs="SimSun"/>
          <w:sz w:val="24"/>
          <w:szCs w:val="24"/>
        </w:rPr>
        <w:t>: 836 [PMID: 18728674 DOI: 10.1038/sj.bjc.6604498]</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98 </w:t>
      </w:r>
      <w:r w:rsidRPr="00600B69">
        <w:rPr>
          <w:rFonts w:ascii="Book Antiqua" w:eastAsia="SimSun" w:hAnsi="Book Antiqua" w:cs="SimSun"/>
          <w:b/>
          <w:bCs/>
          <w:sz w:val="24"/>
          <w:szCs w:val="24"/>
        </w:rPr>
        <w:t>Leal P</w:t>
      </w:r>
      <w:r w:rsidRPr="00600B69">
        <w:rPr>
          <w:rFonts w:ascii="Book Antiqua" w:eastAsia="SimSun" w:hAnsi="Book Antiqua" w:cs="SimSun"/>
          <w:sz w:val="24"/>
          <w:szCs w:val="24"/>
        </w:rPr>
        <w:t>, García P, Sandoval A, Letelier P, Brebi P, Ili C, Álvarez H, Tapia O, Roa JC. Immunohistochemical expression of phospho-mTOR is associated with poor prognosis in patients with gallbladder adenocarcinoma. </w:t>
      </w:r>
      <w:r w:rsidRPr="00600B69">
        <w:rPr>
          <w:rFonts w:ascii="Book Antiqua" w:eastAsia="SimSun" w:hAnsi="Book Antiqua" w:cs="SimSun"/>
          <w:i/>
          <w:iCs/>
          <w:sz w:val="24"/>
          <w:szCs w:val="24"/>
        </w:rPr>
        <w:t>Arch Pathol Lab Med</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137</w:t>
      </w:r>
      <w:r w:rsidRPr="00600B69">
        <w:rPr>
          <w:rFonts w:ascii="Book Antiqua" w:eastAsia="SimSun" w:hAnsi="Book Antiqua" w:cs="SimSun"/>
          <w:sz w:val="24"/>
          <w:szCs w:val="24"/>
        </w:rPr>
        <w:t>: 552-557 [PMID: 23544944 DOI: 10.5858/arpa.2012-0032-OA]</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99 </w:t>
      </w:r>
      <w:r w:rsidRPr="00600B69">
        <w:rPr>
          <w:rFonts w:ascii="Book Antiqua" w:eastAsia="SimSun" w:hAnsi="Book Antiqua" w:cs="SimSun"/>
          <w:b/>
          <w:bCs/>
          <w:sz w:val="24"/>
          <w:szCs w:val="24"/>
        </w:rPr>
        <w:t>Vauthey JN</w:t>
      </w:r>
      <w:r w:rsidRPr="00600B69">
        <w:rPr>
          <w:rFonts w:ascii="Book Antiqua" w:eastAsia="SimSun" w:hAnsi="Book Antiqua" w:cs="SimSun"/>
          <w:sz w:val="24"/>
          <w:szCs w:val="24"/>
        </w:rPr>
        <w:t>, Blumgart LH. Recent advances in the management of cholangiocarcinomas. </w:t>
      </w:r>
      <w:r w:rsidRPr="00600B69">
        <w:rPr>
          <w:rFonts w:ascii="Book Antiqua" w:eastAsia="SimSun" w:hAnsi="Book Antiqua" w:cs="SimSun"/>
          <w:i/>
          <w:iCs/>
          <w:sz w:val="24"/>
          <w:szCs w:val="24"/>
        </w:rPr>
        <w:t>Semin Liver Dis</w:t>
      </w:r>
      <w:r w:rsidRPr="00600B69">
        <w:rPr>
          <w:rFonts w:ascii="Book Antiqua" w:eastAsia="SimSun" w:hAnsi="Book Antiqua" w:cs="SimSun"/>
          <w:sz w:val="24"/>
          <w:szCs w:val="24"/>
        </w:rPr>
        <w:t> 1994; </w:t>
      </w:r>
      <w:r w:rsidRPr="00600B69">
        <w:rPr>
          <w:rFonts w:ascii="Book Antiqua" w:eastAsia="SimSun" w:hAnsi="Book Antiqua" w:cs="SimSun"/>
          <w:b/>
          <w:bCs/>
          <w:sz w:val="24"/>
          <w:szCs w:val="24"/>
        </w:rPr>
        <w:t>14</w:t>
      </w:r>
      <w:r w:rsidRPr="00600B69">
        <w:rPr>
          <w:rFonts w:ascii="Book Antiqua" w:eastAsia="SimSun" w:hAnsi="Book Antiqua" w:cs="SimSun"/>
          <w:sz w:val="24"/>
          <w:szCs w:val="24"/>
        </w:rPr>
        <w:t>: 109-114 [PMID: 8047893 DOI: 10.1055/s-2007-1007302]</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100 </w:t>
      </w:r>
      <w:r w:rsidRPr="00600B69">
        <w:rPr>
          <w:rFonts w:ascii="Book Antiqua" w:eastAsia="SimSun" w:hAnsi="Book Antiqua" w:cs="SimSun"/>
          <w:b/>
          <w:bCs/>
          <w:sz w:val="24"/>
          <w:szCs w:val="24"/>
        </w:rPr>
        <w:t>Rizvi S</w:t>
      </w:r>
      <w:r w:rsidRPr="00600B69">
        <w:rPr>
          <w:rFonts w:ascii="Book Antiqua" w:eastAsia="SimSun" w:hAnsi="Book Antiqua" w:cs="SimSun"/>
          <w:sz w:val="24"/>
          <w:szCs w:val="24"/>
        </w:rPr>
        <w:t>, Gores GJ. Pathogenesis, diagnosis, and management of cholangiocarcinoma. </w:t>
      </w:r>
      <w:r w:rsidRPr="00600B69">
        <w:rPr>
          <w:rFonts w:ascii="Book Antiqua" w:eastAsia="SimSun" w:hAnsi="Book Antiqua" w:cs="SimSun"/>
          <w:i/>
          <w:iCs/>
          <w:sz w:val="24"/>
          <w:szCs w:val="24"/>
        </w:rPr>
        <w:t>Gastroenterology</w:t>
      </w:r>
      <w:r w:rsidRPr="00600B69">
        <w:rPr>
          <w:rFonts w:ascii="Book Antiqua" w:eastAsia="SimSun" w:hAnsi="Book Antiqua" w:cs="SimSun"/>
          <w:sz w:val="24"/>
          <w:szCs w:val="24"/>
        </w:rPr>
        <w:t> 2013; </w:t>
      </w:r>
      <w:r w:rsidRPr="00600B69">
        <w:rPr>
          <w:rFonts w:ascii="Book Antiqua" w:eastAsia="SimSun" w:hAnsi="Book Antiqua" w:cs="SimSun"/>
          <w:b/>
          <w:bCs/>
          <w:sz w:val="24"/>
          <w:szCs w:val="24"/>
        </w:rPr>
        <w:t>145</w:t>
      </w:r>
      <w:r w:rsidRPr="00600B69">
        <w:rPr>
          <w:rFonts w:ascii="Book Antiqua" w:eastAsia="SimSun" w:hAnsi="Book Antiqua" w:cs="SimSun"/>
          <w:sz w:val="24"/>
          <w:szCs w:val="24"/>
        </w:rPr>
        <w:t>: 1215-1229 [PMID: 24140396 DOI: 10.1053/j.gastro.2013.10.013]</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lastRenderedPageBreak/>
        <w:t>101 </w:t>
      </w:r>
      <w:r w:rsidRPr="00600B69">
        <w:rPr>
          <w:rFonts w:ascii="Book Antiqua" w:eastAsia="SimSun" w:hAnsi="Book Antiqua" w:cs="SimSun"/>
          <w:b/>
          <w:bCs/>
          <w:sz w:val="24"/>
          <w:szCs w:val="24"/>
        </w:rPr>
        <w:t>Razumilava N</w:t>
      </w:r>
      <w:r w:rsidRPr="00600B69">
        <w:rPr>
          <w:rFonts w:ascii="Book Antiqua" w:eastAsia="SimSun" w:hAnsi="Book Antiqua" w:cs="SimSun"/>
          <w:sz w:val="24"/>
          <w:szCs w:val="24"/>
        </w:rPr>
        <w:t>, Gores GJ. Cholangiocarcinoma. </w:t>
      </w:r>
      <w:r w:rsidRPr="00600B69">
        <w:rPr>
          <w:rFonts w:ascii="Book Antiqua" w:eastAsia="SimSun" w:hAnsi="Book Antiqua" w:cs="SimSun"/>
          <w:i/>
          <w:iCs/>
          <w:sz w:val="24"/>
          <w:szCs w:val="24"/>
        </w:rPr>
        <w:t>Lancet</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383</w:t>
      </w:r>
      <w:r w:rsidRPr="00600B69">
        <w:rPr>
          <w:rFonts w:ascii="Book Antiqua" w:eastAsia="SimSun" w:hAnsi="Book Antiqua" w:cs="SimSun"/>
          <w:sz w:val="24"/>
          <w:szCs w:val="24"/>
        </w:rPr>
        <w:t>: 2168-2179 [PMID: 24581682</w:t>
      </w:r>
      <w:r>
        <w:rPr>
          <w:rFonts w:ascii="Book Antiqua" w:eastAsia="SimSun" w:hAnsi="Book Antiqua" w:cs="SimSun" w:hint="eastAsia"/>
          <w:sz w:val="24"/>
          <w:szCs w:val="24"/>
        </w:rPr>
        <w:t xml:space="preserve"> DOI: </w:t>
      </w:r>
      <w:r w:rsidRPr="00600B69">
        <w:rPr>
          <w:rFonts w:ascii="Book Antiqua" w:eastAsia="SimSun" w:hAnsi="Book Antiqua" w:cs="SimSun"/>
          <w:sz w:val="24"/>
          <w:szCs w:val="24"/>
        </w:rPr>
        <w:t>10.1016/S0140-6736(13)61903-0]</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102 </w:t>
      </w:r>
      <w:r w:rsidRPr="00600B69">
        <w:rPr>
          <w:rFonts w:ascii="Book Antiqua" w:eastAsia="SimSun" w:hAnsi="Book Antiqua" w:cs="SimSun"/>
          <w:b/>
          <w:bCs/>
          <w:sz w:val="24"/>
          <w:szCs w:val="24"/>
        </w:rPr>
        <w:t>Carriaga MT</w:t>
      </w:r>
      <w:r w:rsidRPr="00600B69">
        <w:rPr>
          <w:rFonts w:ascii="Book Antiqua" w:eastAsia="SimSun" w:hAnsi="Book Antiqua" w:cs="SimSun"/>
          <w:sz w:val="24"/>
          <w:szCs w:val="24"/>
        </w:rPr>
        <w:t>, Henson DE. Liver, gallbladder, extrahepatic bile ducts, and pancreas. </w:t>
      </w:r>
      <w:r w:rsidRPr="00600B69">
        <w:rPr>
          <w:rFonts w:ascii="Book Antiqua" w:eastAsia="SimSun" w:hAnsi="Book Antiqua" w:cs="SimSun"/>
          <w:i/>
          <w:iCs/>
          <w:sz w:val="24"/>
          <w:szCs w:val="24"/>
        </w:rPr>
        <w:t>Cancer</w:t>
      </w:r>
      <w:r w:rsidRPr="00600B69">
        <w:rPr>
          <w:rFonts w:ascii="Book Antiqua" w:eastAsia="SimSun" w:hAnsi="Book Antiqua" w:cs="SimSun"/>
          <w:sz w:val="24"/>
          <w:szCs w:val="24"/>
        </w:rPr>
        <w:t> 1995; </w:t>
      </w:r>
      <w:r w:rsidRPr="00600B69">
        <w:rPr>
          <w:rFonts w:ascii="Book Antiqua" w:eastAsia="SimSun" w:hAnsi="Book Antiqua" w:cs="SimSun"/>
          <w:b/>
          <w:bCs/>
          <w:sz w:val="24"/>
          <w:szCs w:val="24"/>
        </w:rPr>
        <w:t>75</w:t>
      </w:r>
      <w:r w:rsidRPr="00600B69">
        <w:rPr>
          <w:rFonts w:ascii="Book Antiqua" w:eastAsia="SimSun" w:hAnsi="Book Antiqua" w:cs="SimSun"/>
          <w:sz w:val="24"/>
          <w:szCs w:val="24"/>
        </w:rPr>
        <w:t>: 171-190 [PMID: 8000995</w:t>
      </w:r>
      <w:r>
        <w:rPr>
          <w:rFonts w:ascii="Book Antiqua" w:eastAsia="SimSun" w:hAnsi="Book Antiqua" w:cs="SimSun" w:hint="eastAsia"/>
          <w:sz w:val="24"/>
          <w:szCs w:val="24"/>
        </w:rPr>
        <w:t xml:space="preserve"> DOI: </w:t>
      </w:r>
      <w:r w:rsidRPr="00600B69">
        <w:rPr>
          <w:rFonts w:ascii="Book Antiqua" w:eastAsia="SimSun" w:hAnsi="Book Antiqua" w:cs="SimSun"/>
          <w:sz w:val="24"/>
          <w:szCs w:val="24"/>
        </w:rPr>
        <w:t>1</w:t>
      </w:r>
      <w:r>
        <w:rPr>
          <w:rFonts w:ascii="Book Antiqua" w:eastAsia="SimSun" w:hAnsi="Book Antiqua" w:cs="SimSun"/>
          <w:sz w:val="24"/>
          <w:szCs w:val="24"/>
        </w:rPr>
        <w:t>0.1002/1097-0142(19950101)75:1</w:t>
      </w:r>
      <w:r w:rsidRPr="00600B69">
        <w:rPr>
          <w:rFonts w:ascii="Book Antiqua" w:eastAsia="SimSun" w:hAnsi="Book Antiqua" w:cs="SimSun"/>
          <w:sz w:val="24"/>
          <w:szCs w:val="24"/>
        </w:rPr>
        <w:t>]</w:t>
      </w:r>
    </w:p>
    <w:p w:rsidR="005060DA" w:rsidRPr="00600B69" w:rsidRDefault="005060DA" w:rsidP="005060DA">
      <w:pPr>
        <w:spacing w:line="360" w:lineRule="auto"/>
        <w:jc w:val="both"/>
        <w:rPr>
          <w:rFonts w:ascii="Book Antiqua" w:eastAsia="SimSun" w:hAnsi="Book Antiqua" w:cs="SimSun"/>
          <w:sz w:val="24"/>
          <w:szCs w:val="24"/>
        </w:rPr>
      </w:pPr>
      <w:r w:rsidRPr="00600B69">
        <w:rPr>
          <w:rFonts w:ascii="Book Antiqua" w:eastAsia="SimSun" w:hAnsi="Book Antiqua" w:cs="SimSun"/>
          <w:sz w:val="24"/>
          <w:szCs w:val="24"/>
        </w:rPr>
        <w:t>103 </w:t>
      </w:r>
      <w:r w:rsidRPr="00600B69">
        <w:rPr>
          <w:rFonts w:ascii="Book Antiqua" w:eastAsia="SimSun" w:hAnsi="Book Antiqua" w:cs="SimSun"/>
          <w:b/>
          <w:bCs/>
          <w:sz w:val="24"/>
          <w:szCs w:val="24"/>
        </w:rPr>
        <w:t>Hundal R</w:t>
      </w:r>
      <w:r w:rsidRPr="00600B69">
        <w:rPr>
          <w:rFonts w:ascii="Book Antiqua" w:eastAsia="SimSun" w:hAnsi="Book Antiqua" w:cs="SimSun"/>
          <w:sz w:val="24"/>
          <w:szCs w:val="24"/>
        </w:rPr>
        <w:t>, Shaffer EA. Gallbladder cancer: epidemiology and outcome. </w:t>
      </w:r>
      <w:r w:rsidRPr="00600B69">
        <w:rPr>
          <w:rFonts w:ascii="Book Antiqua" w:eastAsia="SimSun" w:hAnsi="Book Antiqua" w:cs="SimSun"/>
          <w:i/>
          <w:iCs/>
          <w:sz w:val="24"/>
          <w:szCs w:val="24"/>
        </w:rPr>
        <w:t>Clin Epidemiol</w:t>
      </w:r>
      <w:r w:rsidRPr="00600B69">
        <w:rPr>
          <w:rFonts w:ascii="Book Antiqua" w:eastAsia="SimSun" w:hAnsi="Book Antiqua" w:cs="SimSun"/>
          <w:sz w:val="24"/>
          <w:szCs w:val="24"/>
        </w:rPr>
        <w:t> 2014; </w:t>
      </w:r>
      <w:r w:rsidRPr="00600B69">
        <w:rPr>
          <w:rFonts w:ascii="Book Antiqua" w:eastAsia="SimSun" w:hAnsi="Book Antiqua" w:cs="SimSun"/>
          <w:b/>
          <w:bCs/>
          <w:sz w:val="24"/>
          <w:szCs w:val="24"/>
        </w:rPr>
        <w:t>6</w:t>
      </w:r>
      <w:r w:rsidRPr="00600B69">
        <w:rPr>
          <w:rFonts w:ascii="Book Antiqua" w:eastAsia="SimSun" w:hAnsi="Book Antiqua" w:cs="SimSun"/>
          <w:sz w:val="24"/>
          <w:szCs w:val="24"/>
        </w:rPr>
        <w:t>: 99-109 [PMID: 24634588]</w:t>
      </w:r>
    </w:p>
    <w:p w:rsidR="00E25F9B" w:rsidRPr="00100F3A" w:rsidRDefault="00E25F9B" w:rsidP="00AA43C5">
      <w:pPr>
        <w:pStyle w:val="BodyTextIndent"/>
        <w:spacing w:after="120" w:line="360" w:lineRule="auto"/>
        <w:ind w:firstLine="0"/>
        <w:jc w:val="both"/>
        <w:rPr>
          <w:rFonts w:ascii="Book Antiqua" w:hAnsi="Book Antiqua"/>
          <w:color w:val="auto"/>
          <w:lang w:eastAsia="zh-CN"/>
        </w:rPr>
      </w:pPr>
    </w:p>
    <w:p w:rsidR="00F427E2" w:rsidRPr="005060DA" w:rsidRDefault="00AA43C5" w:rsidP="00AA43C5">
      <w:pPr>
        <w:pStyle w:val="ListParagraph"/>
        <w:wordWrap w:val="0"/>
        <w:spacing w:line="360" w:lineRule="auto"/>
        <w:ind w:left="360" w:right="120"/>
        <w:jc w:val="right"/>
        <w:rPr>
          <w:rFonts w:ascii="Book Antiqua" w:eastAsiaTheme="minorEastAsia" w:hAnsi="Book Antiqua"/>
          <w:b/>
          <w:bCs/>
          <w:sz w:val="24"/>
          <w:szCs w:val="24"/>
          <w:lang w:eastAsia="zh-CN"/>
        </w:rPr>
      </w:pPr>
      <w:bookmarkStart w:id="60" w:name="OLE_LINK427"/>
      <w:bookmarkStart w:id="61" w:name="OLE_LINK435"/>
      <w:bookmarkStart w:id="62" w:name="OLE_LINK516"/>
      <w:bookmarkStart w:id="63" w:name="OLE_LINK45"/>
      <w:bookmarkStart w:id="64" w:name="OLE_LINK132"/>
      <w:bookmarkStart w:id="65" w:name="OLE_LINK529"/>
      <w:bookmarkStart w:id="66" w:name="OLE_LINK541"/>
      <w:bookmarkStart w:id="67" w:name="OLE_LINK560"/>
      <w:bookmarkStart w:id="68" w:name="OLE_LINK558"/>
      <w:r w:rsidRPr="005060DA">
        <w:rPr>
          <w:rStyle w:val="Strong"/>
          <w:rFonts w:ascii="Book Antiqua" w:hAnsi="Book Antiqua" w:cs="Arial"/>
          <w:bCs/>
          <w:noProof/>
          <w:sz w:val="24"/>
          <w:szCs w:val="24"/>
        </w:rPr>
        <w:t>P-Reviewer</w:t>
      </w:r>
      <w:r w:rsidRPr="005060DA">
        <w:rPr>
          <w:rStyle w:val="Strong"/>
          <w:rFonts w:ascii="Book Antiqua" w:eastAsia="SimSun" w:hAnsi="Book Antiqua" w:cs="Arial"/>
          <w:bCs/>
          <w:noProof/>
          <w:sz w:val="24"/>
          <w:szCs w:val="24"/>
          <w:lang w:eastAsia="zh-CN"/>
        </w:rPr>
        <w:t>:</w:t>
      </w:r>
      <w:r w:rsidRPr="005060DA">
        <w:rPr>
          <w:rFonts w:ascii="Book Antiqua" w:hAnsi="Book Antiqua"/>
          <w:bCs/>
          <w:sz w:val="24"/>
          <w:szCs w:val="24"/>
        </w:rPr>
        <w:t xml:space="preserve">  </w:t>
      </w:r>
      <w:r w:rsidR="00F427E2" w:rsidRPr="005060DA">
        <w:rPr>
          <w:rFonts w:ascii="Book Antiqua" w:hAnsi="Book Antiqua"/>
          <w:bCs/>
          <w:sz w:val="24"/>
          <w:szCs w:val="24"/>
        </w:rPr>
        <w:t>Kuramitsu Y</w:t>
      </w:r>
      <w:r w:rsidR="00F427E2" w:rsidRPr="005060DA">
        <w:rPr>
          <w:rFonts w:ascii="Book Antiqua" w:eastAsiaTheme="minorEastAsia" w:hAnsi="Book Antiqua" w:hint="eastAsia"/>
          <w:bCs/>
          <w:sz w:val="24"/>
          <w:szCs w:val="24"/>
          <w:lang w:eastAsia="zh-CN"/>
        </w:rPr>
        <w:t>,</w:t>
      </w:r>
      <w:r w:rsidRPr="005060DA">
        <w:rPr>
          <w:rFonts w:ascii="Book Antiqua" w:hAnsi="Book Antiqua"/>
          <w:bCs/>
          <w:sz w:val="24"/>
          <w:szCs w:val="24"/>
        </w:rPr>
        <w:t xml:space="preserve"> </w:t>
      </w:r>
      <w:r w:rsidR="00F427E2" w:rsidRPr="005060DA">
        <w:rPr>
          <w:rFonts w:ascii="Book Antiqua" w:hAnsi="Book Antiqua"/>
          <w:bCs/>
          <w:sz w:val="24"/>
          <w:szCs w:val="24"/>
        </w:rPr>
        <w:t>Tu H</w:t>
      </w:r>
      <w:r w:rsidR="00F427E2" w:rsidRPr="005060DA">
        <w:rPr>
          <w:rFonts w:ascii="Book Antiqua" w:eastAsiaTheme="minorEastAsia" w:hAnsi="Book Antiqua" w:hint="eastAsia"/>
          <w:bCs/>
          <w:sz w:val="24"/>
          <w:szCs w:val="24"/>
          <w:lang w:eastAsia="zh-CN"/>
        </w:rPr>
        <w:t>,</w:t>
      </w:r>
      <w:r w:rsidR="00F427E2" w:rsidRPr="005060DA">
        <w:rPr>
          <w:sz w:val="24"/>
          <w:szCs w:val="24"/>
        </w:rPr>
        <w:t xml:space="preserve"> </w:t>
      </w:r>
      <w:r w:rsidR="00F427E2" w:rsidRPr="005060DA">
        <w:rPr>
          <w:rFonts w:ascii="Book Antiqua" w:eastAsiaTheme="minorEastAsia" w:hAnsi="Book Antiqua"/>
          <w:bCs/>
          <w:sz w:val="24"/>
          <w:szCs w:val="24"/>
          <w:lang w:eastAsia="zh-CN"/>
        </w:rPr>
        <w:t>Verbeke</w:t>
      </w:r>
      <w:r w:rsidR="00F427E2" w:rsidRPr="005060DA">
        <w:rPr>
          <w:rFonts w:ascii="Book Antiqua" w:eastAsiaTheme="minorEastAsia" w:hAnsi="Book Antiqua" w:hint="eastAsia"/>
          <w:bCs/>
          <w:sz w:val="24"/>
          <w:szCs w:val="24"/>
          <w:lang w:eastAsia="zh-CN"/>
        </w:rPr>
        <w:t xml:space="preserve"> </w:t>
      </w:r>
      <w:r w:rsidR="00F427E2" w:rsidRPr="005060DA">
        <w:rPr>
          <w:rFonts w:ascii="Book Antiqua" w:eastAsiaTheme="minorEastAsia" w:hAnsi="Book Antiqua"/>
          <w:bCs/>
          <w:sz w:val="24"/>
          <w:szCs w:val="24"/>
          <w:lang w:eastAsia="zh-CN"/>
        </w:rPr>
        <w:t>CS</w:t>
      </w:r>
      <w:r w:rsidR="00F427E2" w:rsidRPr="005060DA">
        <w:rPr>
          <w:rFonts w:ascii="Book Antiqua" w:eastAsiaTheme="minorEastAsia" w:hAnsi="Book Antiqua" w:hint="eastAsia"/>
          <w:bCs/>
          <w:sz w:val="24"/>
          <w:szCs w:val="24"/>
          <w:lang w:eastAsia="zh-CN"/>
        </w:rPr>
        <w:t>,</w:t>
      </w:r>
      <w:r w:rsidRPr="005060DA">
        <w:rPr>
          <w:rFonts w:ascii="Book Antiqua" w:hAnsi="Book Antiqua"/>
          <w:bCs/>
          <w:sz w:val="24"/>
          <w:szCs w:val="24"/>
        </w:rPr>
        <w:t xml:space="preserve"> </w:t>
      </w:r>
      <w:r w:rsidR="00F427E2" w:rsidRPr="005060DA">
        <w:rPr>
          <w:rFonts w:ascii="Book Antiqua" w:hAnsi="Book Antiqua"/>
          <w:bCs/>
          <w:sz w:val="24"/>
          <w:szCs w:val="24"/>
        </w:rPr>
        <w:t>Zhou</w:t>
      </w:r>
      <w:r w:rsidR="00F427E2" w:rsidRPr="005060DA">
        <w:rPr>
          <w:rFonts w:ascii="Book Antiqua" w:eastAsiaTheme="minorEastAsia" w:hAnsi="Book Antiqua" w:hint="eastAsia"/>
          <w:bCs/>
          <w:sz w:val="24"/>
          <w:szCs w:val="24"/>
          <w:lang w:eastAsia="zh-CN"/>
        </w:rPr>
        <w:t xml:space="preserve"> </w:t>
      </w:r>
      <w:r w:rsidR="00F427E2" w:rsidRPr="005060DA">
        <w:rPr>
          <w:rFonts w:ascii="Book Antiqua" w:hAnsi="Book Antiqua"/>
          <w:bCs/>
          <w:sz w:val="24"/>
          <w:szCs w:val="24"/>
        </w:rPr>
        <w:t xml:space="preserve">SF </w:t>
      </w:r>
      <w:r w:rsidRPr="005060DA">
        <w:rPr>
          <w:rFonts w:ascii="Book Antiqua" w:hAnsi="Book Antiqua"/>
          <w:b/>
          <w:bCs/>
          <w:sz w:val="24"/>
          <w:szCs w:val="24"/>
        </w:rPr>
        <w:t>S-Editor</w:t>
      </w:r>
      <w:r w:rsidRPr="005060DA">
        <w:rPr>
          <w:rFonts w:ascii="Book Antiqua" w:eastAsia="SimSun" w:hAnsi="Book Antiqua"/>
          <w:b/>
          <w:bCs/>
          <w:sz w:val="24"/>
          <w:szCs w:val="24"/>
          <w:lang w:eastAsia="zh-CN"/>
        </w:rPr>
        <w:t>:</w:t>
      </w:r>
      <w:r w:rsidRPr="005060DA">
        <w:rPr>
          <w:rFonts w:ascii="Book Antiqua" w:hAnsi="Book Antiqua"/>
          <w:bCs/>
          <w:sz w:val="24"/>
          <w:szCs w:val="24"/>
        </w:rPr>
        <w:t xml:space="preserve"> </w:t>
      </w:r>
      <w:r w:rsidRPr="005060DA">
        <w:rPr>
          <w:rFonts w:ascii="Book Antiqua" w:eastAsia="SimSun" w:hAnsi="Book Antiqua"/>
          <w:bCs/>
          <w:sz w:val="24"/>
          <w:szCs w:val="24"/>
          <w:lang w:eastAsia="zh-CN"/>
        </w:rPr>
        <w:t>Qi Y</w:t>
      </w:r>
    </w:p>
    <w:p w:rsidR="00AA43C5" w:rsidRPr="005060DA" w:rsidRDefault="00AA43C5" w:rsidP="00F427E2">
      <w:pPr>
        <w:pStyle w:val="ListParagraph"/>
        <w:spacing w:line="360" w:lineRule="auto"/>
        <w:ind w:left="360" w:right="120"/>
        <w:jc w:val="right"/>
        <w:rPr>
          <w:rFonts w:ascii="Book Antiqua" w:eastAsia="SimSun" w:hAnsi="Book Antiqua"/>
          <w:b/>
          <w:bCs/>
          <w:sz w:val="24"/>
          <w:szCs w:val="24"/>
          <w:lang w:eastAsia="zh-CN"/>
        </w:rPr>
      </w:pPr>
      <w:r w:rsidRPr="005060DA">
        <w:rPr>
          <w:rFonts w:ascii="Book Antiqua" w:hAnsi="Book Antiqua"/>
          <w:b/>
          <w:bCs/>
          <w:sz w:val="24"/>
          <w:szCs w:val="24"/>
        </w:rPr>
        <w:t>L-Editor</w:t>
      </w:r>
      <w:r w:rsidRPr="005060DA">
        <w:rPr>
          <w:rFonts w:ascii="Book Antiqua" w:eastAsia="SimSun" w:hAnsi="Book Antiqua"/>
          <w:b/>
          <w:bCs/>
          <w:sz w:val="24"/>
          <w:szCs w:val="24"/>
          <w:lang w:eastAsia="zh-CN"/>
        </w:rPr>
        <w:t>:</w:t>
      </w:r>
      <w:r w:rsidRPr="005060DA">
        <w:rPr>
          <w:rFonts w:ascii="Book Antiqua" w:hAnsi="Book Antiqua"/>
          <w:b/>
          <w:bCs/>
          <w:sz w:val="24"/>
          <w:szCs w:val="24"/>
        </w:rPr>
        <w:t xml:space="preserve">   E-Editor</w:t>
      </w:r>
      <w:r w:rsidRPr="005060DA">
        <w:rPr>
          <w:rFonts w:ascii="Book Antiqua" w:eastAsia="SimSun" w:hAnsi="Book Antiqua"/>
          <w:b/>
          <w:bCs/>
          <w:sz w:val="24"/>
          <w:szCs w:val="24"/>
          <w:lang w:eastAsia="zh-CN"/>
        </w:rPr>
        <w:t>:</w:t>
      </w:r>
    </w:p>
    <w:bookmarkEnd w:id="60"/>
    <w:bookmarkEnd w:id="61"/>
    <w:bookmarkEnd w:id="62"/>
    <w:bookmarkEnd w:id="63"/>
    <w:bookmarkEnd w:id="64"/>
    <w:bookmarkEnd w:id="65"/>
    <w:bookmarkEnd w:id="66"/>
    <w:bookmarkEnd w:id="67"/>
    <w:bookmarkEnd w:id="68"/>
    <w:p w:rsidR="00AA43C5" w:rsidRDefault="00AA43C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Book Antiqua" w:hAnsi="Book Antiqua"/>
          <w:color w:val="auto"/>
          <w:sz w:val="24"/>
        </w:rPr>
      </w:pPr>
      <w:r>
        <w:rPr>
          <w:rFonts w:ascii="Book Antiqua" w:hAnsi="Book Antiqua"/>
          <w:color w:val="auto"/>
          <w:sz w:val="24"/>
        </w:rPr>
        <w:br w:type="page"/>
      </w:r>
    </w:p>
    <w:p w:rsidR="00AA43C5" w:rsidRPr="00100F3A" w:rsidRDefault="00AA43C5" w:rsidP="00AA43C5">
      <w:pPr>
        <w:spacing w:after="120" w:line="360" w:lineRule="auto"/>
        <w:jc w:val="both"/>
        <w:rPr>
          <w:rFonts w:ascii="Book Antiqua" w:hAnsi="Book Antiqua"/>
          <w:b/>
          <w:color w:val="auto"/>
          <w:sz w:val="24"/>
        </w:rPr>
      </w:pPr>
      <w:r>
        <w:rPr>
          <w:rFonts w:ascii="Book Antiqua" w:hAnsi="Book Antiqua"/>
          <w:b/>
          <w:color w:val="auto"/>
          <w:sz w:val="24"/>
        </w:rPr>
        <w:lastRenderedPageBreak/>
        <w:t>Table 1</w:t>
      </w:r>
      <w:r w:rsidRPr="00100F3A">
        <w:rPr>
          <w:rFonts w:ascii="Book Antiqua" w:hAnsi="Book Antiqua"/>
          <w:b/>
          <w:color w:val="auto"/>
          <w:sz w:val="24"/>
        </w:rPr>
        <w:t xml:space="preserve"> Epidemiology and clinical features of the primary malignancies of the biliary tract</w:t>
      </w:r>
    </w:p>
    <w:tbl>
      <w:tblPr>
        <w:tblW w:w="11214" w:type="dxa"/>
        <w:tblInd w:w="-1026" w:type="dxa"/>
        <w:tblLayout w:type="fixed"/>
        <w:tblLook w:val="04A0" w:firstRow="1" w:lastRow="0" w:firstColumn="1" w:lastColumn="0" w:noHBand="0" w:noVBand="1"/>
      </w:tblPr>
      <w:tblGrid>
        <w:gridCol w:w="850"/>
        <w:gridCol w:w="851"/>
        <w:gridCol w:w="1701"/>
        <w:gridCol w:w="3402"/>
        <w:gridCol w:w="1843"/>
        <w:gridCol w:w="2567"/>
      </w:tblGrid>
      <w:tr w:rsidR="00AA43C5" w:rsidRPr="006D10E1" w:rsidTr="006D10E1">
        <w:tc>
          <w:tcPr>
            <w:tcW w:w="1701" w:type="dxa"/>
            <w:gridSpan w:val="2"/>
            <w:tcBorders>
              <w:top w:val="single" w:sz="4" w:space="0" w:color="auto"/>
              <w:bottom w:val="single" w:sz="4" w:space="0" w:color="auto"/>
            </w:tcBorders>
          </w:tcPr>
          <w:p w:rsidR="00AA43C5" w:rsidRPr="006D10E1" w:rsidRDefault="00AA43C5" w:rsidP="00AA43C5">
            <w:pPr>
              <w:spacing w:after="120"/>
              <w:jc w:val="both"/>
              <w:rPr>
                <w:rFonts w:ascii="Book Antiqua" w:hAnsi="Book Antiqua"/>
                <w:b/>
                <w:color w:val="auto"/>
                <w:sz w:val="24"/>
                <w:szCs w:val="24"/>
              </w:rPr>
            </w:pPr>
            <w:r w:rsidRPr="006D10E1">
              <w:rPr>
                <w:rFonts w:ascii="Book Antiqua" w:hAnsi="Book Antiqua"/>
                <w:b/>
                <w:color w:val="auto"/>
                <w:sz w:val="24"/>
                <w:szCs w:val="24"/>
              </w:rPr>
              <w:t>Type of malignancy</w:t>
            </w:r>
          </w:p>
        </w:tc>
        <w:tc>
          <w:tcPr>
            <w:tcW w:w="1701" w:type="dxa"/>
            <w:tcBorders>
              <w:top w:val="single" w:sz="4" w:space="0" w:color="auto"/>
              <w:bottom w:val="single" w:sz="4" w:space="0" w:color="auto"/>
            </w:tcBorders>
          </w:tcPr>
          <w:p w:rsidR="00AA43C5" w:rsidRPr="006D10E1" w:rsidRDefault="00AA43C5" w:rsidP="00AA43C5">
            <w:pPr>
              <w:spacing w:after="120"/>
              <w:jc w:val="both"/>
              <w:rPr>
                <w:rFonts w:ascii="Book Antiqua" w:hAnsi="Book Antiqua"/>
                <w:b/>
                <w:color w:val="auto"/>
                <w:sz w:val="24"/>
                <w:szCs w:val="24"/>
              </w:rPr>
            </w:pPr>
            <w:r w:rsidRPr="006D10E1">
              <w:rPr>
                <w:rFonts w:ascii="Book Antiqua" w:hAnsi="Book Antiqua"/>
                <w:b/>
                <w:color w:val="auto"/>
                <w:sz w:val="24"/>
                <w:szCs w:val="24"/>
              </w:rPr>
              <w:t>Incidence</w:t>
            </w:r>
          </w:p>
        </w:tc>
        <w:tc>
          <w:tcPr>
            <w:tcW w:w="3402" w:type="dxa"/>
            <w:tcBorders>
              <w:top w:val="single" w:sz="4" w:space="0" w:color="auto"/>
              <w:bottom w:val="single" w:sz="4" w:space="0" w:color="auto"/>
            </w:tcBorders>
          </w:tcPr>
          <w:p w:rsidR="00AA43C5" w:rsidRPr="006D10E1" w:rsidRDefault="00AA43C5" w:rsidP="00AA43C5">
            <w:pPr>
              <w:spacing w:after="120"/>
              <w:jc w:val="both"/>
              <w:rPr>
                <w:rFonts w:ascii="Book Antiqua" w:hAnsi="Book Antiqua"/>
                <w:b/>
                <w:color w:val="auto"/>
                <w:sz w:val="24"/>
                <w:szCs w:val="24"/>
              </w:rPr>
            </w:pPr>
            <w:r w:rsidRPr="006D10E1">
              <w:rPr>
                <w:rFonts w:ascii="Book Antiqua" w:hAnsi="Book Antiqua"/>
                <w:b/>
                <w:color w:val="auto"/>
                <w:sz w:val="24"/>
                <w:szCs w:val="24"/>
              </w:rPr>
              <w:t xml:space="preserve">Risk Factors </w:t>
            </w:r>
          </w:p>
        </w:tc>
        <w:tc>
          <w:tcPr>
            <w:tcW w:w="1843" w:type="dxa"/>
            <w:tcBorders>
              <w:top w:val="single" w:sz="4" w:space="0" w:color="auto"/>
              <w:bottom w:val="single" w:sz="4" w:space="0" w:color="auto"/>
            </w:tcBorders>
          </w:tcPr>
          <w:p w:rsidR="00AA43C5" w:rsidRPr="006D10E1" w:rsidRDefault="00AA43C5" w:rsidP="00AA43C5">
            <w:pPr>
              <w:spacing w:after="120"/>
              <w:jc w:val="both"/>
              <w:rPr>
                <w:rFonts w:ascii="Book Antiqua" w:hAnsi="Book Antiqua"/>
                <w:b/>
                <w:color w:val="auto"/>
                <w:sz w:val="24"/>
                <w:szCs w:val="24"/>
              </w:rPr>
            </w:pPr>
            <w:r w:rsidRPr="006D10E1">
              <w:rPr>
                <w:rFonts w:ascii="Book Antiqua" w:hAnsi="Book Antiqua"/>
                <w:b/>
                <w:color w:val="auto"/>
                <w:sz w:val="24"/>
                <w:szCs w:val="24"/>
              </w:rPr>
              <w:t>Typical Presentation</w:t>
            </w:r>
          </w:p>
        </w:tc>
        <w:tc>
          <w:tcPr>
            <w:tcW w:w="2567" w:type="dxa"/>
            <w:tcBorders>
              <w:top w:val="single" w:sz="4" w:space="0" w:color="auto"/>
              <w:bottom w:val="single" w:sz="4" w:space="0" w:color="auto"/>
            </w:tcBorders>
          </w:tcPr>
          <w:p w:rsidR="00AA43C5" w:rsidRPr="006D10E1" w:rsidRDefault="00AA43C5" w:rsidP="00AA43C5">
            <w:pPr>
              <w:spacing w:after="120"/>
              <w:jc w:val="both"/>
              <w:rPr>
                <w:rFonts w:ascii="Book Antiqua" w:hAnsi="Book Antiqua"/>
                <w:b/>
                <w:color w:val="auto"/>
                <w:sz w:val="24"/>
                <w:szCs w:val="24"/>
              </w:rPr>
            </w:pPr>
            <w:r w:rsidRPr="006D10E1">
              <w:rPr>
                <w:rFonts w:ascii="Book Antiqua" w:hAnsi="Book Antiqua"/>
                <w:b/>
                <w:color w:val="auto"/>
                <w:sz w:val="24"/>
                <w:szCs w:val="24"/>
              </w:rPr>
              <w:t>Diagnosis</w:t>
            </w:r>
          </w:p>
        </w:tc>
      </w:tr>
      <w:tr w:rsidR="00AA43C5" w:rsidRPr="006D10E1" w:rsidTr="006D10E1">
        <w:tc>
          <w:tcPr>
            <w:tcW w:w="850" w:type="dxa"/>
            <w:tcBorders>
              <w:top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 xml:space="preserve">CC </w:t>
            </w:r>
          </w:p>
        </w:tc>
        <w:tc>
          <w:tcPr>
            <w:tcW w:w="851" w:type="dxa"/>
            <w:tcBorders>
              <w:top w:val="single" w:sz="4" w:space="0" w:color="auto"/>
            </w:tcBorders>
          </w:tcPr>
          <w:p w:rsidR="00AA43C5" w:rsidRPr="006D10E1" w:rsidRDefault="00AA43C5" w:rsidP="00AA43C5">
            <w:pPr>
              <w:spacing w:after="120"/>
              <w:jc w:val="both"/>
              <w:rPr>
                <w:rFonts w:ascii="Book Antiqua" w:hAnsi="Book Antiqua"/>
                <w:color w:val="auto"/>
                <w:sz w:val="24"/>
                <w:szCs w:val="24"/>
              </w:rPr>
            </w:pPr>
          </w:p>
        </w:tc>
        <w:tc>
          <w:tcPr>
            <w:tcW w:w="1701" w:type="dxa"/>
            <w:tcBorders>
              <w:top w:val="single" w:sz="4" w:space="0" w:color="auto"/>
            </w:tcBorders>
          </w:tcPr>
          <w:p w:rsidR="00AA43C5" w:rsidRPr="006D10E1" w:rsidRDefault="006D10E1" w:rsidP="00AA43C5">
            <w:pPr>
              <w:spacing w:after="120"/>
              <w:jc w:val="both"/>
              <w:rPr>
                <w:rFonts w:ascii="Book Antiqua" w:hAnsi="Book Antiqua"/>
                <w:color w:val="auto"/>
                <w:sz w:val="24"/>
                <w:szCs w:val="24"/>
              </w:rPr>
            </w:pPr>
            <w:r>
              <w:rPr>
                <w:rFonts w:ascii="Book Antiqua" w:hAnsi="Book Antiqua"/>
                <w:color w:val="auto"/>
                <w:sz w:val="24"/>
                <w:szCs w:val="24"/>
              </w:rPr>
              <w:t>1-2 per 100</w:t>
            </w:r>
            <w:r w:rsidR="00AA43C5" w:rsidRPr="006D10E1">
              <w:rPr>
                <w:rFonts w:ascii="Book Antiqua" w:hAnsi="Book Antiqua"/>
                <w:color w:val="auto"/>
                <w:sz w:val="24"/>
                <w:szCs w:val="24"/>
              </w:rPr>
              <w:t>000 population</w:t>
            </w:r>
            <w:r w:rsidR="00AA43C5" w:rsidRPr="006D10E1">
              <w:rPr>
                <w:rFonts w:ascii="Book Antiqua" w:hAnsi="Book Antiqua"/>
                <w:color w:val="auto"/>
                <w:sz w:val="24"/>
                <w:szCs w:val="24"/>
                <w:vertAlign w:val="superscript"/>
              </w:rPr>
              <w:t>[99]</w:t>
            </w:r>
            <w:r w:rsidR="00AA43C5" w:rsidRPr="006D10E1">
              <w:rPr>
                <w:rFonts w:ascii="Book Antiqua" w:hAnsi="Book Antiqua"/>
                <w:color w:val="auto"/>
                <w:sz w:val="24"/>
                <w:szCs w:val="24"/>
              </w:rPr>
              <w:t xml:space="preserve"> </w:t>
            </w:r>
          </w:p>
        </w:tc>
        <w:tc>
          <w:tcPr>
            <w:tcW w:w="3402" w:type="dxa"/>
            <w:tcBorders>
              <w:top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Increasing age</w:t>
            </w:r>
            <w:r w:rsidRPr="006D10E1">
              <w:rPr>
                <w:rFonts w:ascii="Book Antiqua" w:hAnsi="Book Antiqua"/>
                <w:color w:val="auto"/>
                <w:sz w:val="24"/>
                <w:szCs w:val="24"/>
                <w:vertAlign w:val="superscript"/>
              </w:rPr>
              <w:t>[100]</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Hispanic or Asian ethnicity</w:t>
            </w:r>
            <w:r w:rsidRPr="006D10E1">
              <w:rPr>
                <w:rFonts w:ascii="Book Antiqua" w:hAnsi="Book Antiqua"/>
                <w:color w:val="auto"/>
                <w:sz w:val="24"/>
                <w:szCs w:val="24"/>
                <w:vertAlign w:val="superscript"/>
              </w:rPr>
              <w:t>[100]</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PSC</w:t>
            </w:r>
            <w:r w:rsidRPr="006D10E1">
              <w:rPr>
                <w:rFonts w:ascii="Book Antiqua" w:hAnsi="Book Antiqua"/>
                <w:color w:val="auto"/>
                <w:sz w:val="24"/>
                <w:szCs w:val="24"/>
                <w:vertAlign w:val="superscript"/>
              </w:rPr>
              <w:t>[100]</w:t>
            </w:r>
            <w:r w:rsidRPr="006D10E1">
              <w:rPr>
                <w:rFonts w:ascii="Book Antiqua" w:hAnsi="Book Antiqua"/>
                <w:color w:val="auto"/>
                <w:sz w:val="24"/>
                <w:szCs w:val="24"/>
              </w:rPr>
              <w:t xml:space="preserve"> </w:t>
            </w:r>
          </w:p>
          <w:p w:rsidR="00AA43C5" w:rsidRPr="006D10E1" w:rsidRDefault="00AA43C5" w:rsidP="00AA43C5">
            <w:pPr>
              <w:tabs>
                <w:tab w:val="left" w:pos="751"/>
              </w:tabs>
              <w:spacing w:after="120"/>
              <w:jc w:val="both"/>
              <w:rPr>
                <w:rFonts w:ascii="Book Antiqua" w:hAnsi="Book Antiqua"/>
                <w:color w:val="auto"/>
                <w:sz w:val="24"/>
                <w:szCs w:val="24"/>
              </w:rPr>
            </w:pPr>
            <w:r w:rsidRPr="006D10E1">
              <w:rPr>
                <w:rFonts w:ascii="Book Antiqua" w:hAnsi="Book Antiqua"/>
                <w:color w:val="auto"/>
                <w:sz w:val="24"/>
                <w:szCs w:val="24"/>
              </w:rPr>
              <w:t>Helminth infection</w:t>
            </w:r>
            <w:r w:rsidRPr="006D10E1">
              <w:rPr>
                <w:rFonts w:ascii="Book Antiqua" w:hAnsi="Book Antiqua"/>
                <w:color w:val="auto"/>
                <w:sz w:val="24"/>
                <w:szCs w:val="24"/>
                <w:vertAlign w:val="superscript"/>
              </w:rPr>
              <w:t>[100]</w:t>
            </w:r>
          </w:p>
          <w:p w:rsidR="00AA43C5" w:rsidRPr="006D10E1" w:rsidRDefault="00AA43C5" w:rsidP="00AA43C5">
            <w:pPr>
              <w:tabs>
                <w:tab w:val="left" w:pos="751"/>
              </w:tabs>
              <w:spacing w:after="120"/>
              <w:jc w:val="both"/>
              <w:rPr>
                <w:rFonts w:ascii="Book Antiqua" w:hAnsi="Book Antiqua"/>
                <w:color w:val="auto"/>
                <w:sz w:val="24"/>
                <w:szCs w:val="24"/>
              </w:rPr>
            </w:pPr>
            <w:r w:rsidRPr="006D10E1">
              <w:rPr>
                <w:rFonts w:ascii="Book Antiqua" w:hAnsi="Book Antiqua"/>
                <w:color w:val="auto"/>
                <w:sz w:val="24"/>
                <w:szCs w:val="24"/>
              </w:rPr>
              <w:t>Choledochal cyst</w:t>
            </w:r>
            <w:r w:rsidRPr="006D10E1">
              <w:rPr>
                <w:rFonts w:ascii="Book Antiqua" w:hAnsi="Book Antiqua"/>
                <w:color w:val="auto"/>
                <w:sz w:val="24"/>
                <w:szCs w:val="24"/>
                <w:vertAlign w:val="superscript"/>
              </w:rPr>
              <w:t>[100]</w:t>
            </w:r>
          </w:p>
          <w:p w:rsidR="00AA43C5" w:rsidRPr="006D10E1" w:rsidRDefault="00AA43C5" w:rsidP="00AA43C5">
            <w:pPr>
              <w:tabs>
                <w:tab w:val="left" w:pos="751"/>
              </w:tabs>
              <w:spacing w:after="120"/>
              <w:jc w:val="both"/>
              <w:rPr>
                <w:rFonts w:ascii="Book Antiqua" w:hAnsi="Book Antiqua"/>
                <w:color w:val="auto"/>
                <w:sz w:val="24"/>
                <w:szCs w:val="24"/>
                <w:vertAlign w:val="superscript"/>
              </w:rPr>
            </w:pPr>
            <w:r w:rsidRPr="006D10E1">
              <w:rPr>
                <w:rFonts w:ascii="Book Antiqua" w:hAnsi="Book Antiqua"/>
                <w:color w:val="auto"/>
                <w:sz w:val="24"/>
                <w:szCs w:val="24"/>
              </w:rPr>
              <w:t>Thorotrast</w:t>
            </w:r>
            <w:r w:rsidRPr="006D10E1">
              <w:rPr>
                <w:rFonts w:ascii="Book Antiqua" w:hAnsi="Book Antiqua"/>
                <w:color w:val="auto"/>
                <w:sz w:val="24"/>
                <w:szCs w:val="24"/>
                <w:vertAlign w:val="superscript"/>
              </w:rPr>
              <w:t>[100]</w:t>
            </w:r>
          </w:p>
          <w:p w:rsidR="00AA43C5" w:rsidRPr="006D10E1" w:rsidRDefault="00AA43C5" w:rsidP="00AA43C5">
            <w:pPr>
              <w:tabs>
                <w:tab w:val="left" w:pos="751"/>
              </w:tabs>
              <w:spacing w:after="120"/>
              <w:jc w:val="both"/>
              <w:rPr>
                <w:rFonts w:ascii="Book Antiqua" w:hAnsi="Book Antiqua"/>
                <w:color w:val="auto"/>
                <w:sz w:val="24"/>
                <w:szCs w:val="24"/>
              </w:rPr>
            </w:pPr>
            <w:r w:rsidRPr="006D10E1">
              <w:rPr>
                <w:rFonts w:ascii="Book Antiqua" w:hAnsi="Book Antiqua"/>
                <w:color w:val="auto"/>
                <w:sz w:val="24"/>
                <w:szCs w:val="24"/>
              </w:rPr>
              <w:t>Metabolic syndrome</w:t>
            </w:r>
            <w:r w:rsidRPr="006D10E1">
              <w:rPr>
                <w:rFonts w:ascii="Book Antiqua" w:hAnsi="Book Antiqua"/>
                <w:color w:val="auto"/>
                <w:sz w:val="24"/>
                <w:szCs w:val="24"/>
                <w:vertAlign w:val="superscript"/>
              </w:rPr>
              <w:t>[100,101]</w:t>
            </w:r>
          </w:p>
          <w:p w:rsidR="00AA43C5" w:rsidRPr="006D10E1" w:rsidRDefault="00AA43C5" w:rsidP="00AA43C5">
            <w:pPr>
              <w:tabs>
                <w:tab w:val="left" w:pos="751"/>
              </w:tabs>
              <w:spacing w:after="120"/>
              <w:jc w:val="both"/>
              <w:rPr>
                <w:rFonts w:ascii="Book Antiqua" w:hAnsi="Book Antiqua"/>
                <w:color w:val="auto"/>
                <w:sz w:val="24"/>
                <w:szCs w:val="24"/>
              </w:rPr>
            </w:pPr>
            <w:r w:rsidRPr="006D10E1">
              <w:rPr>
                <w:rFonts w:ascii="Book Antiqua" w:hAnsi="Book Antiqua"/>
                <w:color w:val="auto"/>
                <w:sz w:val="24"/>
                <w:szCs w:val="24"/>
              </w:rPr>
              <w:t>Hepatobiliary stones</w:t>
            </w:r>
            <w:r w:rsidRPr="006D10E1">
              <w:rPr>
                <w:rFonts w:ascii="Book Antiqua" w:hAnsi="Book Antiqua"/>
                <w:color w:val="auto"/>
                <w:sz w:val="24"/>
                <w:szCs w:val="24"/>
                <w:vertAlign w:val="superscript"/>
              </w:rPr>
              <w:t>[100]</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Viral hepatitis</w:t>
            </w:r>
            <w:r w:rsidRPr="006D10E1">
              <w:rPr>
                <w:rFonts w:ascii="Book Antiqua" w:hAnsi="Book Antiqua"/>
                <w:color w:val="auto"/>
                <w:sz w:val="24"/>
                <w:szCs w:val="24"/>
                <w:vertAlign w:val="superscript"/>
              </w:rPr>
              <w:t>[100, 101]</w:t>
            </w:r>
            <w:r w:rsidRPr="006D10E1">
              <w:rPr>
                <w:rFonts w:ascii="Book Antiqua" w:hAnsi="Book Antiqua"/>
                <w:color w:val="auto"/>
                <w:sz w:val="24"/>
                <w:szCs w:val="24"/>
              </w:rPr>
              <w:t xml:space="preserve"> </w:t>
            </w:r>
          </w:p>
        </w:tc>
        <w:tc>
          <w:tcPr>
            <w:tcW w:w="1843" w:type="dxa"/>
            <w:tcBorders>
              <w:top w:val="single" w:sz="4" w:space="0" w:color="auto"/>
            </w:tcBorders>
          </w:tcPr>
          <w:p w:rsidR="00AA43C5" w:rsidRPr="006D10E1" w:rsidRDefault="00AA43C5" w:rsidP="00AA43C5">
            <w:pPr>
              <w:spacing w:after="120"/>
              <w:jc w:val="both"/>
              <w:rPr>
                <w:rFonts w:ascii="Book Antiqua" w:hAnsi="Book Antiqua"/>
                <w:color w:val="auto"/>
                <w:sz w:val="24"/>
                <w:szCs w:val="24"/>
              </w:rPr>
            </w:pPr>
          </w:p>
        </w:tc>
        <w:tc>
          <w:tcPr>
            <w:tcW w:w="2567" w:type="dxa"/>
            <w:tcBorders>
              <w:top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CT or MRI: Mass lesion with contrast uptake during arterial and venous phases</w:t>
            </w:r>
            <w:r w:rsidRPr="006D10E1">
              <w:rPr>
                <w:rFonts w:ascii="Book Antiqua" w:hAnsi="Book Antiqua"/>
                <w:color w:val="auto"/>
                <w:sz w:val="24"/>
                <w:szCs w:val="24"/>
                <w:vertAlign w:val="superscript"/>
              </w:rPr>
              <w:t>[100]</w:t>
            </w:r>
          </w:p>
        </w:tc>
      </w:tr>
      <w:tr w:rsidR="00AA43C5" w:rsidRPr="006D10E1" w:rsidTr="006D10E1">
        <w:tc>
          <w:tcPr>
            <w:tcW w:w="850" w:type="dxa"/>
          </w:tcPr>
          <w:p w:rsidR="00AA43C5" w:rsidRPr="006D10E1" w:rsidRDefault="00AA43C5" w:rsidP="00AA43C5">
            <w:pPr>
              <w:spacing w:after="120"/>
              <w:jc w:val="both"/>
              <w:rPr>
                <w:rFonts w:ascii="Book Antiqua" w:hAnsi="Book Antiqua"/>
                <w:color w:val="auto"/>
                <w:sz w:val="24"/>
                <w:szCs w:val="24"/>
              </w:rPr>
            </w:pPr>
          </w:p>
        </w:tc>
        <w:tc>
          <w:tcPr>
            <w:tcW w:w="851"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Intrahepatic</w:t>
            </w:r>
          </w:p>
        </w:tc>
        <w:tc>
          <w:tcPr>
            <w:tcW w:w="1701"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10% of CC</w:t>
            </w:r>
            <w:r w:rsidRPr="006D10E1">
              <w:rPr>
                <w:rFonts w:ascii="Book Antiqua" w:hAnsi="Book Antiqua"/>
                <w:color w:val="auto"/>
                <w:sz w:val="24"/>
                <w:szCs w:val="24"/>
                <w:vertAlign w:val="superscript"/>
              </w:rPr>
              <w:t>[101]</w:t>
            </w:r>
          </w:p>
        </w:tc>
        <w:tc>
          <w:tcPr>
            <w:tcW w:w="3402" w:type="dxa"/>
          </w:tcPr>
          <w:p w:rsidR="00AA43C5" w:rsidRPr="006D10E1" w:rsidRDefault="00AA43C5" w:rsidP="00AA43C5">
            <w:pPr>
              <w:spacing w:after="120"/>
              <w:jc w:val="both"/>
              <w:rPr>
                <w:rFonts w:ascii="Book Antiqua" w:hAnsi="Book Antiqua"/>
                <w:color w:val="auto"/>
                <w:sz w:val="24"/>
                <w:szCs w:val="24"/>
              </w:rPr>
            </w:pPr>
          </w:p>
        </w:tc>
        <w:tc>
          <w:tcPr>
            <w:tcW w:w="1843"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Constitutional symptoms (fevers, night sweats, unintended weight loss)</w:t>
            </w:r>
            <w:r w:rsidRPr="006D10E1">
              <w:rPr>
                <w:rFonts w:ascii="Book Antiqua" w:hAnsi="Book Antiqua"/>
                <w:color w:val="auto"/>
                <w:sz w:val="24"/>
                <w:szCs w:val="24"/>
                <w:vertAlign w:val="superscript"/>
              </w:rPr>
              <w:t>[100]</w:t>
            </w:r>
          </w:p>
        </w:tc>
        <w:tc>
          <w:tcPr>
            <w:tcW w:w="2567"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Differentiate from hepatocellular carcinoma via timing of contrast uptake</w:t>
            </w:r>
            <w:r w:rsidRPr="006D10E1">
              <w:rPr>
                <w:rFonts w:ascii="Book Antiqua" w:hAnsi="Book Antiqua"/>
                <w:color w:val="auto"/>
                <w:sz w:val="24"/>
                <w:szCs w:val="24"/>
                <w:vertAlign w:val="superscript"/>
              </w:rPr>
              <w:t>[100]</w:t>
            </w:r>
          </w:p>
        </w:tc>
      </w:tr>
      <w:tr w:rsidR="00AA43C5" w:rsidRPr="006D10E1" w:rsidTr="006D10E1">
        <w:tc>
          <w:tcPr>
            <w:tcW w:w="850" w:type="dxa"/>
          </w:tcPr>
          <w:p w:rsidR="00AA43C5" w:rsidRPr="006D10E1" w:rsidRDefault="00AA43C5" w:rsidP="00AA43C5">
            <w:pPr>
              <w:spacing w:after="120"/>
              <w:jc w:val="both"/>
              <w:rPr>
                <w:rFonts w:ascii="Book Antiqua" w:hAnsi="Book Antiqua"/>
                <w:color w:val="auto"/>
                <w:sz w:val="24"/>
                <w:szCs w:val="24"/>
              </w:rPr>
            </w:pPr>
          </w:p>
        </w:tc>
        <w:tc>
          <w:tcPr>
            <w:tcW w:w="851"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Extrahepatic</w:t>
            </w:r>
          </w:p>
        </w:tc>
        <w:tc>
          <w:tcPr>
            <w:tcW w:w="1701"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90% of CC</w:t>
            </w:r>
            <w:r w:rsidRPr="006D10E1">
              <w:rPr>
                <w:rFonts w:ascii="Book Antiqua" w:hAnsi="Book Antiqua"/>
                <w:color w:val="auto"/>
                <w:sz w:val="24"/>
                <w:szCs w:val="24"/>
                <w:vertAlign w:val="superscript"/>
              </w:rPr>
              <w:t>[101]</w:t>
            </w:r>
          </w:p>
        </w:tc>
        <w:tc>
          <w:tcPr>
            <w:tcW w:w="3402" w:type="dxa"/>
          </w:tcPr>
          <w:p w:rsidR="00AA43C5" w:rsidRPr="006D10E1" w:rsidRDefault="00AA43C5" w:rsidP="00AA43C5">
            <w:pPr>
              <w:spacing w:after="120"/>
              <w:jc w:val="both"/>
              <w:rPr>
                <w:rFonts w:ascii="Book Antiqua" w:hAnsi="Book Antiqua"/>
                <w:color w:val="auto"/>
                <w:sz w:val="24"/>
                <w:szCs w:val="24"/>
              </w:rPr>
            </w:pPr>
          </w:p>
        </w:tc>
        <w:tc>
          <w:tcPr>
            <w:tcW w:w="1843"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Painless jaundice</w:t>
            </w:r>
            <w:r w:rsidRPr="006D10E1">
              <w:rPr>
                <w:rFonts w:ascii="Book Antiqua" w:hAnsi="Book Antiqua"/>
                <w:color w:val="auto"/>
                <w:sz w:val="24"/>
                <w:szCs w:val="24"/>
                <w:vertAlign w:val="superscript"/>
              </w:rPr>
              <w:t>[</w:t>
            </w:r>
            <w:r w:rsidR="006D10E1">
              <w:rPr>
                <w:rFonts w:ascii="Book Antiqua" w:hAnsi="Book Antiqua"/>
                <w:color w:val="auto"/>
                <w:sz w:val="24"/>
                <w:szCs w:val="24"/>
                <w:vertAlign w:val="superscript"/>
              </w:rPr>
              <w:t>100,</w:t>
            </w:r>
            <w:r w:rsidRPr="006D10E1">
              <w:rPr>
                <w:rFonts w:ascii="Book Antiqua" w:hAnsi="Book Antiqua"/>
                <w:color w:val="auto"/>
                <w:sz w:val="24"/>
                <w:szCs w:val="24"/>
                <w:vertAlign w:val="superscript"/>
              </w:rPr>
              <w:t>101]</w:t>
            </w:r>
            <w:r w:rsidRPr="006D10E1">
              <w:rPr>
                <w:rFonts w:ascii="Book Antiqua" w:hAnsi="Book Antiqua"/>
                <w:color w:val="auto"/>
                <w:sz w:val="24"/>
                <w:szCs w:val="24"/>
              </w:rPr>
              <w:t xml:space="preserve"> </w:t>
            </w:r>
          </w:p>
          <w:p w:rsidR="00AA43C5" w:rsidRPr="006D10E1" w:rsidRDefault="00AA43C5" w:rsidP="00AA43C5">
            <w:pPr>
              <w:spacing w:after="120"/>
              <w:jc w:val="both"/>
              <w:rPr>
                <w:rFonts w:ascii="Book Antiqua" w:hAnsi="Book Antiqua"/>
                <w:color w:val="auto"/>
                <w:sz w:val="24"/>
                <w:szCs w:val="24"/>
              </w:rPr>
            </w:pPr>
          </w:p>
          <w:p w:rsidR="00AA43C5" w:rsidRPr="006D10E1" w:rsidRDefault="00AA43C5" w:rsidP="00AA43C5">
            <w:pPr>
              <w:spacing w:after="120"/>
              <w:jc w:val="both"/>
              <w:rPr>
                <w:rFonts w:ascii="Book Antiqua" w:hAnsi="Book Antiqua"/>
                <w:color w:val="auto"/>
                <w:sz w:val="24"/>
                <w:szCs w:val="24"/>
              </w:rPr>
            </w:pPr>
          </w:p>
        </w:tc>
        <w:tc>
          <w:tcPr>
            <w:tcW w:w="2567" w:type="dxa"/>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ERCP with brushing can obtain sample for cytology</w:t>
            </w:r>
          </w:p>
          <w:p w:rsidR="00AA43C5" w:rsidRPr="006D10E1" w:rsidRDefault="00AA43C5" w:rsidP="00AA43C5">
            <w:pPr>
              <w:spacing w:after="120"/>
              <w:jc w:val="both"/>
              <w:rPr>
                <w:rFonts w:ascii="Book Antiqua" w:hAnsi="Book Antiqua"/>
                <w:color w:val="auto"/>
                <w:sz w:val="24"/>
                <w:szCs w:val="24"/>
              </w:rPr>
            </w:pP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 xml:space="preserve">EUS with FNA of lymph nodes can assess for metastasis </w:t>
            </w:r>
          </w:p>
        </w:tc>
      </w:tr>
      <w:tr w:rsidR="00AA43C5" w:rsidRPr="006D10E1" w:rsidTr="006D10E1">
        <w:tc>
          <w:tcPr>
            <w:tcW w:w="850"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GBC</w:t>
            </w:r>
          </w:p>
        </w:tc>
        <w:tc>
          <w:tcPr>
            <w:tcW w:w="851"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p>
        </w:tc>
        <w:tc>
          <w:tcPr>
            <w:tcW w:w="1701"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1-2 per 100000 population</w:t>
            </w:r>
            <w:r w:rsidRPr="006D10E1">
              <w:rPr>
                <w:rFonts w:ascii="Book Antiqua" w:hAnsi="Book Antiqua"/>
                <w:color w:val="auto"/>
                <w:sz w:val="24"/>
                <w:szCs w:val="24"/>
                <w:vertAlign w:val="superscript"/>
              </w:rPr>
              <w:t>[102</w:t>
            </w:r>
            <w:r w:rsidRPr="006D10E1">
              <w:rPr>
                <w:rFonts w:ascii="Book Antiqua" w:hAnsi="Book Antiqua"/>
                <w:color w:val="auto"/>
                <w:sz w:val="24"/>
                <w:szCs w:val="24"/>
                <w:vertAlign w:val="superscript"/>
              </w:rPr>
              <w:lastRenderedPageBreak/>
              <w:t>]</w:t>
            </w:r>
            <w:r w:rsidRPr="006D10E1">
              <w:rPr>
                <w:rFonts w:ascii="Book Antiqua" w:hAnsi="Book Antiqua"/>
                <w:color w:val="auto"/>
                <w:sz w:val="24"/>
                <w:szCs w:val="24"/>
              </w:rPr>
              <w:t xml:space="preserve"> </w:t>
            </w:r>
          </w:p>
        </w:tc>
        <w:tc>
          <w:tcPr>
            <w:tcW w:w="3402"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lastRenderedPageBreak/>
              <w:t>Increasing age</w:t>
            </w:r>
            <w:r w:rsidRPr="006D10E1">
              <w:rPr>
                <w:rFonts w:ascii="Book Antiqua" w:hAnsi="Book Antiqua"/>
                <w:color w:val="auto"/>
                <w:sz w:val="24"/>
                <w:szCs w:val="24"/>
                <w:vertAlign w:val="superscript"/>
              </w:rPr>
              <w:t>[103]</w:t>
            </w:r>
            <w:r w:rsidRPr="006D10E1">
              <w:rPr>
                <w:rFonts w:ascii="Book Antiqua" w:hAnsi="Book Antiqua"/>
                <w:color w:val="auto"/>
                <w:sz w:val="24"/>
                <w:szCs w:val="24"/>
              </w:rPr>
              <w:t xml:space="preserve"> </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Female gender</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 xml:space="preserve">Hispanic, Asian, or Eastern </w:t>
            </w:r>
            <w:r w:rsidRPr="006D10E1">
              <w:rPr>
                <w:rFonts w:ascii="Book Antiqua" w:hAnsi="Book Antiqua"/>
                <w:color w:val="auto"/>
                <w:sz w:val="24"/>
                <w:szCs w:val="24"/>
              </w:rPr>
              <w:lastRenderedPageBreak/>
              <w:t>European heritage</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Gallstones</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Salmonella</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Helicobacter pylori</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PSC</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Heavy metal exposure</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Metabolic syndrome</w:t>
            </w:r>
            <w:r w:rsidRPr="006D10E1">
              <w:rPr>
                <w:rFonts w:ascii="Book Antiqua" w:hAnsi="Book Antiqua"/>
                <w:color w:val="auto"/>
                <w:sz w:val="24"/>
                <w:szCs w:val="24"/>
                <w:vertAlign w:val="superscript"/>
              </w:rPr>
              <w:t>[103]</w:t>
            </w:r>
          </w:p>
        </w:tc>
        <w:tc>
          <w:tcPr>
            <w:tcW w:w="1843"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lastRenderedPageBreak/>
              <w:t>Painless jaundice</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lastRenderedPageBreak/>
              <w:t>Constitutional symptoms (fevers, night sweats, unintended weight loss)</w:t>
            </w:r>
            <w:r w:rsidRPr="006D10E1">
              <w:rPr>
                <w:rFonts w:ascii="Book Antiqua" w:hAnsi="Book Antiqua"/>
                <w:color w:val="auto"/>
                <w:sz w:val="24"/>
                <w:szCs w:val="24"/>
                <w:vertAlign w:val="superscript"/>
              </w:rPr>
              <w:t>[103]</w:t>
            </w:r>
          </w:p>
        </w:tc>
        <w:tc>
          <w:tcPr>
            <w:tcW w:w="2567" w:type="dxa"/>
            <w:tcBorders>
              <w:bottom w:val="single" w:sz="4" w:space="0" w:color="auto"/>
            </w:tcBorders>
          </w:tcPr>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lastRenderedPageBreak/>
              <w:t xml:space="preserve">EUS: Allows for FNA and is considered definitive for </w:t>
            </w:r>
            <w:r w:rsidRPr="006D10E1">
              <w:rPr>
                <w:rFonts w:ascii="Book Antiqua" w:hAnsi="Book Antiqua"/>
                <w:color w:val="auto"/>
                <w:sz w:val="24"/>
                <w:szCs w:val="24"/>
              </w:rPr>
              <w:lastRenderedPageBreak/>
              <w:t>staging</w:t>
            </w:r>
            <w:r w:rsidRPr="006D10E1">
              <w:rPr>
                <w:rFonts w:ascii="Book Antiqua" w:hAnsi="Book Antiqua"/>
                <w:color w:val="auto"/>
                <w:sz w:val="24"/>
                <w:szCs w:val="24"/>
                <w:vertAlign w:val="superscript"/>
              </w:rPr>
              <w:t>[103]</w:t>
            </w:r>
          </w:p>
          <w:p w:rsidR="00AA43C5" w:rsidRPr="006D10E1" w:rsidRDefault="00AA43C5" w:rsidP="00AA43C5">
            <w:pPr>
              <w:spacing w:after="120"/>
              <w:jc w:val="both"/>
              <w:rPr>
                <w:rFonts w:ascii="Book Antiqua" w:hAnsi="Book Antiqua"/>
                <w:color w:val="auto"/>
                <w:sz w:val="24"/>
                <w:szCs w:val="24"/>
              </w:rPr>
            </w:pPr>
          </w:p>
          <w:p w:rsidR="00AA43C5" w:rsidRPr="006D10E1" w:rsidRDefault="00AA43C5" w:rsidP="00AA43C5">
            <w:pPr>
              <w:spacing w:after="120"/>
              <w:jc w:val="both"/>
              <w:rPr>
                <w:rFonts w:ascii="Book Antiqua" w:hAnsi="Book Antiqua"/>
                <w:color w:val="auto"/>
                <w:sz w:val="24"/>
                <w:szCs w:val="24"/>
              </w:rPr>
            </w:pPr>
            <w:r w:rsidRPr="006D10E1">
              <w:rPr>
                <w:rFonts w:ascii="Book Antiqua" w:hAnsi="Book Antiqua"/>
                <w:color w:val="auto"/>
                <w:sz w:val="24"/>
                <w:szCs w:val="24"/>
              </w:rPr>
              <w:t xml:space="preserve">CT or MRCP: Determines resectability  </w:t>
            </w:r>
          </w:p>
          <w:p w:rsidR="00AA43C5" w:rsidRPr="006D10E1" w:rsidRDefault="00AA43C5" w:rsidP="00AA43C5">
            <w:pPr>
              <w:spacing w:after="120"/>
              <w:jc w:val="both"/>
              <w:rPr>
                <w:rFonts w:ascii="Book Antiqua" w:hAnsi="Book Antiqua"/>
                <w:color w:val="auto"/>
                <w:sz w:val="24"/>
                <w:szCs w:val="24"/>
              </w:rPr>
            </w:pPr>
          </w:p>
        </w:tc>
      </w:tr>
    </w:tbl>
    <w:p w:rsidR="00AA43C5" w:rsidRDefault="006D10E1" w:rsidP="006D10E1">
      <w:pPr>
        <w:spacing w:line="360" w:lineRule="auto"/>
        <w:jc w:val="both"/>
        <w:rPr>
          <w:rFonts w:ascii="Book Antiqua" w:hAnsi="Book Antiqua"/>
          <w:color w:val="auto"/>
          <w:sz w:val="24"/>
          <w:lang w:eastAsia="zh-CN"/>
        </w:rPr>
      </w:pPr>
      <w:r w:rsidRPr="00100F3A">
        <w:rPr>
          <w:rFonts w:ascii="Book Antiqua" w:hAnsi="Book Antiqua"/>
          <w:color w:val="auto"/>
          <w:sz w:val="24"/>
        </w:rPr>
        <w:lastRenderedPageBreak/>
        <w:t>CC</w:t>
      </w:r>
      <w:r>
        <w:rPr>
          <w:rFonts w:ascii="Book Antiqua" w:hAnsi="Book Antiqua" w:hint="eastAsia"/>
          <w:color w:val="auto"/>
          <w:sz w:val="24"/>
          <w:lang w:eastAsia="zh-CN"/>
        </w:rPr>
        <w:t xml:space="preserve">: </w:t>
      </w:r>
      <w:r w:rsidR="00AA43C5" w:rsidRPr="00100F3A">
        <w:rPr>
          <w:rFonts w:ascii="Book Antiqua" w:hAnsi="Book Antiqua"/>
          <w:color w:val="auto"/>
          <w:sz w:val="24"/>
        </w:rPr>
        <w:t>Cholangiocarcinoma</w:t>
      </w:r>
      <w:r>
        <w:rPr>
          <w:rFonts w:ascii="Book Antiqua" w:hAnsi="Book Antiqua" w:hint="eastAsia"/>
          <w:color w:val="auto"/>
          <w:sz w:val="24"/>
          <w:lang w:eastAsia="zh-CN"/>
        </w:rPr>
        <w:t>;</w:t>
      </w:r>
      <w:r w:rsidR="00AA43C5" w:rsidRPr="00100F3A">
        <w:rPr>
          <w:rFonts w:ascii="Book Antiqua" w:hAnsi="Book Antiqua"/>
          <w:color w:val="auto"/>
          <w:sz w:val="24"/>
        </w:rPr>
        <w:t xml:space="preserve"> </w:t>
      </w:r>
      <w:r w:rsidRPr="00100F3A">
        <w:rPr>
          <w:rFonts w:ascii="Book Antiqua" w:hAnsi="Book Antiqua"/>
          <w:color w:val="auto"/>
          <w:sz w:val="24"/>
        </w:rPr>
        <w:t>EUS</w:t>
      </w:r>
      <w:r>
        <w:rPr>
          <w:rFonts w:ascii="Book Antiqua" w:hAnsi="Book Antiqua" w:hint="eastAsia"/>
          <w:color w:val="auto"/>
          <w:sz w:val="24"/>
          <w:lang w:eastAsia="zh-CN"/>
        </w:rPr>
        <w:t>:</w:t>
      </w:r>
      <w:r w:rsidRPr="00100F3A">
        <w:rPr>
          <w:rFonts w:ascii="Book Antiqua" w:hAnsi="Book Antiqua"/>
          <w:color w:val="auto"/>
          <w:sz w:val="24"/>
        </w:rPr>
        <w:t xml:space="preserve">  Endoscopic </w:t>
      </w:r>
      <w:r w:rsidR="00AA43C5" w:rsidRPr="00100F3A">
        <w:rPr>
          <w:rFonts w:ascii="Book Antiqua" w:hAnsi="Book Antiqua"/>
          <w:color w:val="auto"/>
          <w:sz w:val="24"/>
        </w:rPr>
        <w:t>ultrasound</w:t>
      </w:r>
      <w:r>
        <w:rPr>
          <w:rFonts w:ascii="Book Antiqua" w:hAnsi="Book Antiqua" w:hint="eastAsia"/>
          <w:color w:val="auto"/>
          <w:sz w:val="24"/>
          <w:lang w:eastAsia="zh-CN"/>
        </w:rPr>
        <w:t>;</w:t>
      </w:r>
      <w:r w:rsidR="00AA43C5" w:rsidRPr="00100F3A">
        <w:rPr>
          <w:rFonts w:ascii="Book Antiqua" w:hAnsi="Book Antiqua"/>
          <w:color w:val="auto"/>
          <w:sz w:val="24"/>
        </w:rPr>
        <w:t xml:space="preserve"> </w:t>
      </w:r>
      <w:r w:rsidRPr="00100F3A">
        <w:rPr>
          <w:rFonts w:ascii="Book Antiqua" w:hAnsi="Book Antiqua"/>
          <w:color w:val="auto"/>
          <w:sz w:val="24"/>
        </w:rPr>
        <w:t>ERCP</w:t>
      </w:r>
      <w:r>
        <w:rPr>
          <w:rFonts w:ascii="Book Antiqua" w:hAnsi="Book Antiqua" w:hint="eastAsia"/>
          <w:color w:val="auto"/>
          <w:sz w:val="24"/>
          <w:lang w:eastAsia="zh-CN"/>
        </w:rPr>
        <w:t>:</w:t>
      </w:r>
      <w:r w:rsidRPr="00100F3A">
        <w:rPr>
          <w:rFonts w:ascii="Book Antiqua" w:hAnsi="Book Antiqua"/>
          <w:color w:val="auto"/>
          <w:sz w:val="24"/>
        </w:rPr>
        <w:t xml:space="preserve"> Endoscopic </w:t>
      </w:r>
      <w:r w:rsidR="00AA43C5" w:rsidRPr="00100F3A">
        <w:rPr>
          <w:rFonts w:ascii="Book Antiqua" w:hAnsi="Book Antiqua"/>
          <w:color w:val="auto"/>
          <w:sz w:val="24"/>
        </w:rPr>
        <w:t>retrograde cholangiopancreaticography</w:t>
      </w:r>
      <w:r>
        <w:rPr>
          <w:rFonts w:ascii="Book Antiqua" w:hAnsi="Book Antiqua" w:hint="eastAsia"/>
          <w:color w:val="auto"/>
          <w:sz w:val="24"/>
          <w:lang w:eastAsia="zh-CN"/>
        </w:rPr>
        <w:t>;</w:t>
      </w:r>
      <w:r w:rsidR="00AA43C5" w:rsidRPr="00100F3A">
        <w:rPr>
          <w:rFonts w:ascii="Book Antiqua" w:hAnsi="Book Antiqua"/>
          <w:color w:val="auto"/>
          <w:sz w:val="24"/>
        </w:rPr>
        <w:t xml:space="preserve"> </w:t>
      </w:r>
      <w:r w:rsidRPr="00100F3A">
        <w:rPr>
          <w:rFonts w:ascii="Book Antiqua" w:hAnsi="Book Antiqua"/>
          <w:color w:val="auto"/>
          <w:sz w:val="24"/>
        </w:rPr>
        <w:t>GBC</w:t>
      </w:r>
      <w:r>
        <w:rPr>
          <w:rFonts w:ascii="Book Antiqua" w:hAnsi="Book Antiqua" w:hint="eastAsia"/>
          <w:color w:val="auto"/>
          <w:sz w:val="24"/>
          <w:lang w:eastAsia="zh-CN"/>
        </w:rPr>
        <w:t>:</w:t>
      </w:r>
      <w:r w:rsidRPr="00100F3A">
        <w:rPr>
          <w:rFonts w:ascii="Book Antiqua" w:hAnsi="Book Antiqua"/>
          <w:color w:val="auto"/>
          <w:sz w:val="24"/>
        </w:rPr>
        <w:t xml:space="preserve"> Gallbladder </w:t>
      </w:r>
      <w:r w:rsidR="00AA43C5" w:rsidRPr="00100F3A">
        <w:rPr>
          <w:rFonts w:ascii="Book Antiqua" w:hAnsi="Book Antiqua"/>
          <w:color w:val="auto"/>
          <w:sz w:val="24"/>
        </w:rPr>
        <w:t>carcinoma</w:t>
      </w:r>
      <w:r>
        <w:rPr>
          <w:rFonts w:ascii="Book Antiqua" w:hAnsi="Book Antiqua" w:hint="eastAsia"/>
          <w:color w:val="auto"/>
          <w:sz w:val="24"/>
          <w:lang w:eastAsia="zh-CN"/>
        </w:rPr>
        <w:t>;</w:t>
      </w:r>
      <w:r w:rsidR="00AA43C5" w:rsidRPr="00100F3A">
        <w:rPr>
          <w:rFonts w:ascii="Book Antiqua" w:hAnsi="Book Antiqua"/>
          <w:color w:val="auto"/>
          <w:sz w:val="24"/>
        </w:rPr>
        <w:t xml:space="preserve"> </w:t>
      </w:r>
      <w:r w:rsidRPr="00100F3A">
        <w:rPr>
          <w:rFonts w:ascii="Book Antiqua" w:hAnsi="Book Antiqua"/>
          <w:color w:val="auto"/>
          <w:sz w:val="24"/>
        </w:rPr>
        <w:t>MRCP</w:t>
      </w:r>
      <w:r>
        <w:rPr>
          <w:rFonts w:ascii="Book Antiqua" w:hAnsi="Book Antiqua" w:hint="eastAsia"/>
          <w:color w:val="auto"/>
          <w:sz w:val="24"/>
          <w:lang w:eastAsia="zh-CN"/>
        </w:rPr>
        <w:t>:</w:t>
      </w:r>
      <w:r w:rsidRPr="00100F3A">
        <w:rPr>
          <w:rFonts w:ascii="Book Antiqua" w:hAnsi="Book Antiqua"/>
          <w:color w:val="auto"/>
          <w:sz w:val="24"/>
        </w:rPr>
        <w:t xml:space="preserve"> Magnetic </w:t>
      </w:r>
      <w:r w:rsidR="00AA43C5" w:rsidRPr="00100F3A">
        <w:rPr>
          <w:rFonts w:ascii="Book Antiqua" w:hAnsi="Book Antiqua"/>
          <w:color w:val="auto"/>
          <w:sz w:val="24"/>
        </w:rPr>
        <w:t>resonance cholangiopancreaticography</w:t>
      </w:r>
      <w:r>
        <w:rPr>
          <w:rFonts w:ascii="Book Antiqua" w:hAnsi="Book Antiqua" w:hint="eastAsia"/>
          <w:color w:val="auto"/>
          <w:sz w:val="24"/>
          <w:lang w:eastAsia="zh-CN"/>
        </w:rPr>
        <w:t>;</w:t>
      </w:r>
      <w:r w:rsidRPr="006D10E1">
        <w:rPr>
          <w:rFonts w:ascii="Book Antiqua" w:hAnsi="Book Antiqua"/>
          <w:color w:val="auto"/>
          <w:sz w:val="24"/>
        </w:rPr>
        <w:t xml:space="preserve"> </w:t>
      </w:r>
      <w:r w:rsidRPr="00100F3A">
        <w:rPr>
          <w:rFonts w:ascii="Book Antiqua" w:hAnsi="Book Antiqua"/>
          <w:color w:val="auto"/>
          <w:sz w:val="24"/>
        </w:rPr>
        <w:t>PSC</w:t>
      </w:r>
      <w:r>
        <w:rPr>
          <w:rFonts w:ascii="Book Antiqua" w:hAnsi="Book Antiqua" w:hint="eastAsia"/>
          <w:color w:val="auto"/>
          <w:sz w:val="24"/>
          <w:lang w:eastAsia="zh-CN"/>
        </w:rPr>
        <w:t>:</w:t>
      </w:r>
      <w:r w:rsidRPr="00100F3A">
        <w:rPr>
          <w:rFonts w:ascii="Book Antiqua" w:hAnsi="Book Antiqua"/>
          <w:color w:val="auto"/>
          <w:sz w:val="24"/>
        </w:rPr>
        <w:t xml:space="preserve"> Primary </w:t>
      </w:r>
      <w:r w:rsidR="00AA43C5" w:rsidRPr="00100F3A">
        <w:rPr>
          <w:rFonts w:ascii="Book Antiqua" w:hAnsi="Book Antiqua"/>
          <w:color w:val="auto"/>
          <w:sz w:val="24"/>
        </w:rPr>
        <w:t>sclerosing cholangitis</w:t>
      </w:r>
      <w:r>
        <w:rPr>
          <w:rFonts w:ascii="Book Antiqua" w:hAnsi="Book Antiqua" w:hint="eastAsia"/>
          <w:color w:val="auto"/>
          <w:sz w:val="24"/>
          <w:lang w:eastAsia="zh-CN"/>
        </w:rPr>
        <w:t>.</w:t>
      </w:r>
    </w:p>
    <w:p w:rsidR="006D10E1" w:rsidRDefault="006D10E1" w:rsidP="006D10E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Book Antiqua" w:hAnsi="Book Antiqua"/>
          <w:b/>
          <w:color w:val="auto"/>
          <w:sz w:val="24"/>
        </w:rPr>
      </w:pPr>
      <w:r>
        <w:rPr>
          <w:rFonts w:ascii="Book Antiqua" w:hAnsi="Book Antiqua"/>
          <w:b/>
          <w:color w:val="auto"/>
          <w:sz w:val="24"/>
        </w:rPr>
        <w:br w:type="page"/>
      </w:r>
    </w:p>
    <w:p w:rsidR="00AA43C5" w:rsidRPr="00100F3A" w:rsidRDefault="006D10E1" w:rsidP="00AA43C5">
      <w:pPr>
        <w:spacing w:line="360" w:lineRule="auto"/>
        <w:jc w:val="both"/>
        <w:rPr>
          <w:rFonts w:ascii="Book Antiqua" w:eastAsia="Times New Roman" w:hAnsi="Book Antiqua"/>
          <w:b/>
          <w:color w:val="auto"/>
          <w:sz w:val="24"/>
          <w:lang w:eastAsia="zh-CN"/>
        </w:rPr>
      </w:pPr>
      <w:r>
        <w:rPr>
          <w:rFonts w:ascii="Book Antiqua" w:hAnsi="Book Antiqua"/>
          <w:b/>
          <w:color w:val="auto"/>
          <w:sz w:val="24"/>
        </w:rPr>
        <w:lastRenderedPageBreak/>
        <w:t>Table 2</w:t>
      </w:r>
      <w:r w:rsidR="00AA43C5" w:rsidRPr="00100F3A">
        <w:rPr>
          <w:rFonts w:ascii="Book Antiqua" w:hAnsi="Book Antiqua"/>
          <w:b/>
          <w:color w:val="auto"/>
          <w:sz w:val="24"/>
        </w:rPr>
        <w:t xml:space="preserve"> Frequency of mutation or abnormal expression of molecular targets in bi</w:t>
      </w:r>
      <w:r>
        <w:rPr>
          <w:rFonts w:ascii="Book Antiqua" w:hAnsi="Book Antiqua"/>
          <w:b/>
          <w:color w:val="auto"/>
          <w:sz w:val="24"/>
        </w:rPr>
        <w:t>liary tract carcinoma</w:t>
      </w:r>
    </w:p>
    <w:tbl>
      <w:tblPr>
        <w:tblW w:w="9658"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539"/>
        <w:gridCol w:w="2127"/>
        <w:gridCol w:w="1284"/>
        <w:gridCol w:w="1350"/>
        <w:gridCol w:w="1170"/>
        <w:gridCol w:w="1188"/>
      </w:tblGrid>
      <w:tr w:rsidR="00AA43C5" w:rsidRPr="006D10E1" w:rsidTr="006D10E1">
        <w:trPr>
          <w:trHeight w:val="222"/>
          <w:jc w:val="center"/>
        </w:trPr>
        <w:tc>
          <w:tcPr>
            <w:tcW w:w="2539" w:type="dxa"/>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Target</w:t>
            </w:r>
          </w:p>
        </w:tc>
        <w:tc>
          <w:tcPr>
            <w:tcW w:w="2127" w:type="dxa"/>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Type of Alteration</w:t>
            </w:r>
          </w:p>
        </w:tc>
        <w:tc>
          <w:tcPr>
            <w:tcW w:w="1284" w:type="dxa"/>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GBC</w:t>
            </w:r>
          </w:p>
        </w:tc>
        <w:tc>
          <w:tcPr>
            <w:tcW w:w="1350" w:type="dxa"/>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EHCC</w:t>
            </w:r>
          </w:p>
        </w:tc>
        <w:tc>
          <w:tcPr>
            <w:tcW w:w="1170" w:type="dxa"/>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IHCC</w:t>
            </w:r>
          </w:p>
        </w:tc>
        <w:tc>
          <w:tcPr>
            <w:tcW w:w="1188" w:type="dxa"/>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b/>
                <w:color w:val="auto"/>
                <w:sz w:val="24"/>
                <w:szCs w:val="24"/>
                <w:lang w:eastAsia="zh-CN"/>
              </w:rPr>
            </w:pPr>
            <w:r w:rsidRPr="006D10E1">
              <w:rPr>
                <w:rFonts w:ascii="Book Antiqua" w:hAnsi="Book Antiqua"/>
                <w:b/>
                <w:color w:val="auto"/>
                <w:sz w:val="24"/>
                <w:szCs w:val="24"/>
              </w:rPr>
              <w:t>Ref</w:t>
            </w:r>
            <w:r w:rsidR="006D10E1">
              <w:rPr>
                <w:rFonts w:ascii="Book Antiqua" w:hAnsi="Book Antiqua" w:hint="eastAsia"/>
                <w:b/>
                <w:color w:val="auto"/>
                <w:sz w:val="24"/>
                <w:szCs w:val="24"/>
                <w:lang w:eastAsia="zh-CN"/>
              </w:rPr>
              <w:t>.</w:t>
            </w:r>
          </w:p>
        </w:tc>
      </w:tr>
      <w:tr w:rsidR="00AA43C5" w:rsidRPr="006D10E1" w:rsidTr="006D10E1">
        <w:trPr>
          <w:trHeight w:val="222"/>
          <w:jc w:val="center"/>
        </w:trPr>
        <w:tc>
          <w:tcPr>
            <w:tcW w:w="2539" w:type="dxa"/>
          </w:tcPr>
          <w:p w:rsidR="00AA43C5"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Growth Factors/Receptors</w:t>
            </w:r>
          </w:p>
        </w:tc>
        <w:tc>
          <w:tcPr>
            <w:tcW w:w="7119" w:type="dxa"/>
            <w:gridSpan w:val="5"/>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p>
        </w:tc>
      </w:tr>
      <w:tr w:rsidR="00AA43C5" w:rsidRPr="006D10E1" w:rsidTr="006D10E1">
        <w:trPr>
          <w:trHeight w:val="440"/>
          <w:jc w:val="center"/>
        </w:trPr>
        <w:tc>
          <w:tcPr>
            <w:tcW w:w="2539"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2127" w:type="dxa"/>
            <w:tcBorders>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Point mutation</w:t>
            </w:r>
          </w:p>
        </w:tc>
        <w:tc>
          <w:tcPr>
            <w:tcW w:w="1284"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w:t>
            </w:r>
            <w:r w:rsidR="006D10E1">
              <w:rPr>
                <w:rFonts w:ascii="Book Antiqua" w:hAnsi="Book Antiqua" w:hint="eastAsia"/>
                <w:color w:val="auto"/>
                <w:sz w:val="24"/>
                <w:szCs w:val="24"/>
                <w:lang w:eastAsia="zh-CN"/>
              </w:rPr>
              <w:t>%</w:t>
            </w:r>
            <w:r w:rsidRPr="006D10E1">
              <w:rPr>
                <w:rFonts w:ascii="Book Antiqua" w:hAnsi="Book Antiqua"/>
                <w:color w:val="auto"/>
                <w:sz w:val="24"/>
                <w:szCs w:val="24"/>
              </w:rPr>
              <w:t>-9%</w:t>
            </w:r>
          </w:p>
        </w:tc>
        <w:tc>
          <w:tcPr>
            <w:tcW w:w="135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14-20%</w:t>
            </w:r>
          </w:p>
        </w:tc>
        <w:tc>
          <w:tcPr>
            <w:tcW w:w="117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3-20%</w:t>
            </w:r>
          </w:p>
        </w:tc>
        <w:tc>
          <w:tcPr>
            <w:tcW w:w="1188"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[29, 84]</w:t>
            </w:r>
          </w:p>
        </w:tc>
      </w:tr>
      <w:tr w:rsidR="00AA43C5" w:rsidRPr="006D10E1" w:rsidTr="006D10E1">
        <w:trPr>
          <w:trHeight w:val="440"/>
          <w:jc w:val="center"/>
        </w:trPr>
        <w:tc>
          <w:tcPr>
            <w:tcW w:w="2539"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2127"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Increased expression</w:t>
            </w:r>
          </w:p>
        </w:tc>
        <w:tc>
          <w:tcPr>
            <w:tcW w:w="1284"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12%</w:t>
            </w:r>
          </w:p>
        </w:tc>
        <w:tc>
          <w:tcPr>
            <w:tcW w:w="135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5-19%</w:t>
            </w:r>
          </w:p>
        </w:tc>
        <w:tc>
          <w:tcPr>
            <w:tcW w:w="117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11-27%</w:t>
            </w:r>
          </w:p>
        </w:tc>
        <w:tc>
          <w:tcPr>
            <w:tcW w:w="1188"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[28, 88]</w:t>
            </w:r>
          </w:p>
        </w:tc>
      </w:tr>
      <w:tr w:rsidR="00AA43C5" w:rsidRPr="006D10E1" w:rsidTr="006D10E1">
        <w:trPr>
          <w:trHeight w:val="440"/>
          <w:jc w:val="center"/>
        </w:trPr>
        <w:tc>
          <w:tcPr>
            <w:tcW w:w="2539"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HER2</w:t>
            </w:r>
          </w:p>
        </w:tc>
        <w:tc>
          <w:tcPr>
            <w:tcW w:w="2127"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Increased expression</w:t>
            </w:r>
          </w:p>
        </w:tc>
        <w:tc>
          <w:tcPr>
            <w:tcW w:w="1284"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16%</w:t>
            </w:r>
          </w:p>
        </w:tc>
        <w:tc>
          <w:tcPr>
            <w:tcW w:w="135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5-8%</w:t>
            </w:r>
          </w:p>
        </w:tc>
        <w:tc>
          <w:tcPr>
            <w:tcW w:w="117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0-1%</w:t>
            </w:r>
          </w:p>
        </w:tc>
        <w:tc>
          <w:tcPr>
            <w:tcW w:w="1188"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[28, 88]</w:t>
            </w:r>
          </w:p>
        </w:tc>
      </w:tr>
      <w:tr w:rsidR="00AA43C5" w:rsidRPr="006D10E1" w:rsidTr="006D10E1">
        <w:trPr>
          <w:trHeight w:val="440"/>
          <w:jc w:val="center"/>
        </w:trPr>
        <w:tc>
          <w:tcPr>
            <w:tcW w:w="2539"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MET</w:t>
            </w:r>
          </w:p>
        </w:tc>
        <w:tc>
          <w:tcPr>
            <w:tcW w:w="2127"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Increased expression</w:t>
            </w:r>
          </w:p>
        </w:tc>
        <w:tc>
          <w:tcPr>
            <w:tcW w:w="1284"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w:t>
            </w:r>
            <w:r w:rsidR="006D10E1">
              <w:rPr>
                <w:rFonts w:ascii="Book Antiqua" w:hAnsi="Book Antiqua" w:hint="eastAsia"/>
                <w:color w:val="auto"/>
                <w:sz w:val="24"/>
                <w:szCs w:val="24"/>
                <w:lang w:eastAsia="zh-CN"/>
              </w:rPr>
              <w:t>%</w:t>
            </w:r>
            <w:r w:rsidRPr="006D10E1">
              <w:rPr>
                <w:rFonts w:ascii="Book Antiqua" w:hAnsi="Book Antiqua"/>
                <w:color w:val="auto"/>
                <w:sz w:val="24"/>
                <w:szCs w:val="24"/>
              </w:rPr>
              <w:t>-74%</w:t>
            </w:r>
          </w:p>
        </w:tc>
        <w:tc>
          <w:tcPr>
            <w:tcW w:w="135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w:t>
            </w:r>
          </w:p>
        </w:tc>
        <w:tc>
          <w:tcPr>
            <w:tcW w:w="117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21-58%</w:t>
            </w:r>
          </w:p>
        </w:tc>
        <w:tc>
          <w:tcPr>
            <w:tcW w:w="1188"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[88, 89]</w:t>
            </w:r>
          </w:p>
        </w:tc>
      </w:tr>
      <w:tr w:rsidR="00AA43C5" w:rsidRPr="006D10E1" w:rsidTr="006D10E1">
        <w:trPr>
          <w:trHeight w:val="222"/>
          <w:jc w:val="center"/>
        </w:trPr>
        <w:tc>
          <w:tcPr>
            <w:tcW w:w="2539"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VEGF</w:t>
            </w:r>
          </w:p>
        </w:tc>
        <w:tc>
          <w:tcPr>
            <w:tcW w:w="2127" w:type="dxa"/>
            <w:tcBorders>
              <w:top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Increased expression</w:t>
            </w:r>
          </w:p>
        </w:tc>
        <w:tc>
          <w:tcPr>
            <w:tcW w:w="1284"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55</w:t>
            </w:r>
            <w:r w:rsidR="006D10E1">
              <w:rPr>
                <w:rFonts w:ascii="Book Antiqua" w:hAnsi="Book Antiqua" w:hint="eastAsia"/>
                <w:color w:val="auto"/>
                <w:sz w:val="24"/>
                <w:szCs w:val="24"/>
                <w:lang w:eastAsia="zh-CN"/>
              </w:rPr>
              <w:t>%</w:t>
            </w:r>
            <w:r w:rsidRPr="006D10E1">
              <w:rPr>
                <w:rFonts w:ascii="Book Antiqua" w:hAnsi="Book Antiqua"/>
                <w:color w:val="auto"/>
                <w:sz w:val="24"/>
                <w:szCs w:val="24"/>
              </w:rPr>
              <w:t>-63%</w:t>
            </w:r>
          </w:p>
        </w:tc>
        <w:tc>
          <w:tcPr>
            <w:tcW w:w="1350"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59%</w:t>
            </w:r>
          </w:p>
        </w:tc>
        <w:tc>
          <w:tcPr>
            <w:tcW w:w="1170"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53%</w:t>
            </w:r>
          </w:p>
        </w:tc>
        <w:tc>
          <w:tcPr>
            <w:tcW w:w="1188"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[28, 34]</w:t>
            </w:r>
          </w:p>
        </w:tc>
      </w:tr>
      <w:tr w:rsidR="00AA43C5" w:rsidRPr="006D10E1" w:rsidTr="006D10E1">
        <w:trPr>
          <w:trHeight w:val="226"/>
          <w:jc w:val="center"/>
        </w:trPr>
        <w:tc>
          <w:tcPr>
            <w:tcW w:w="2539" w:type="dxa"/>
            <w:tcBorders>
              <w:bottom w:val="single" w:sz="4" w:space="0" w:color="000000"/>
            </w:tcBorders>
          </w:tcPr>
          <w:p w:rsidR="00AA43C5"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RAS/RAF/MEK pathway</w:t>
            </w:r>
          </w:p>
        </w:tc>
        <w:tc>
          <w:tcPr>
            <w:tcW w:w="7119" w:type="dxa"/>
            <w:gridSpan w:val="5"/>
            <w:tcBorders>
              <w:bottom w:val="single" w:sz="4" w:space="0" w:color="000000"/>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p>
        </w:tc>
      </w:tr>
      <w:tr w:rsidR="00AA43C5" w:rsidRPr="006D10E1" w:rsidTr="006D10E1">
        <w:trPr>
          <w:trHeight w:val="442"/>
          <w:jc w:val="center"/>
        </w:trPr>
        <w:tc>
          <w:tcPr>
            <w:tcW w:w="2539"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KRAS</w:t>
            </w:r>
          </w:p>
        </w:tc>
        <w:tc>
          <w:tcPr>
            <w:tcW w:w="2127" w:type="dxa"/>
            <w:tcBorders>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Point mutation</w:t>
            </w:r>
          </w:p>
        </w:tc>
        <w:tc>
          <w:tcPr>
            <w:tcW w:w="1284"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0-13%</w:t>
            </w:r>
          </w:p>
        </w:tc>
        <w:tc>
          <w:tcPr>
            <w:tcW w:w="135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0-23%</w:t>
            </w:r>
          </w:p>
        </w:tc>
        <w:tc>
          <w:tcPr>
            <w:tcW w:w="117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5-54%</w:t>
            </w:r>
          </w:p>
        </w:tc>
        <w:tc>
          <w:tcPr>
            <w:tcW w:w="1188"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[29, 39, 90, 91, 92, 93, 94, 97]</w:t>
            </w:r>
          </w:p>
        </w:tc>
      </w:tr>
      <w:tr w:rsidR="00AA43C5" w:rsidRPr="006D10E1" w:rsidTr="006D10E1">
        <w:trPr>
          <w:trHeight w:val="222"/>
          <w:jc w:val="center"/>
        </w:trPr>
        <w:tc>
          <w:tcPr>
            <w:tcW w:w="2539"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BRAF</w:t>
            </w:r>
          </w:p>
        </w:tc>
        <w:tc>
          <w:tcPr>
            <w:tcW w:w="2127"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Point mutation</w:t>
            </w:r>
          </w:p>
        </w:tc>
        <w:tc>
          <w:tcPr>
            <w:tcW w:w="1284"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0-33%</w:t>
            </w:r>
          </w:p>
        </w:tc>
        <w:tc>
          <w:tcPr>
            <w:tcW w:w="135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0-2%</w:t>
            </w:r>
          </w:p>
        </w:tc>
        <w:tc>
          <w:tcPr>
            <w:tcW w:w="117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0-21%</w:t>
            </w:r>
          </w:p>
        </w:tc>
        <w:tc>
          <w:tcPr>
            <w:tcW w:w="1188"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[29, 39, 40, 41]</w:t>
            </w:r>
          </w:p>
        </w:tc>
      </w:tr>
      <w:tr w:rsidR="00AA43C5" w:rsidRPr="006D10E1" w:rsidTr="006D10E1">
        <w:trPr>
          <w:trHeight w:val="222"/>
          <w:jc w:val="center"/>
        </w:trPr>
        <w:tc>
          <w:tcPr>
            <w:tcW w:w="2539"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MEK</w:t>
            </w:r>
          </w:p>
        </w:tc>
        <w:tc>
          <w:tcPr>
            <w:tcW w:w="2127" w:type="dxa"/>
            <w:tcBorders>
              <w:top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1284"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Unknown</w:t>
            </w:r>
          </w:p>
        </w:tc>
        <w:tc>
          <w:tcPr>
            <w:tcW w:w="1350"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Unknown</w:t>
            </w:r>
          </w:p>
        </w:tc>
        <w:tc>
          <w:tcPr>
            <w:tcW w:w="1170" w:type="dxa"/>
            <w:tcBorders>
              <w:top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Unknow</w:t>
            </w:r>
            <w:r w:rsidRPr="006D10E1">
              <w:rPr>
                <w:rFonts w:ascii="Book Antiqua" w:hAnsi="Book Antiqua"/>
                <w:color w:val="auto"/>
                <w:sz w:val="24"/>
                <w:szCs w:val="24"/>
              </w:rPr>
              <w:lastRenderedPageBreak/>
              <w:t>n</w:t>
            </w:r>
          </w:p>
        </w:tc>
        <w:tc>
          <w:tcPr>
            <w:tcW w:w="1188" w:type="dxa"/>
            <w:tcBorders>
              <w:top w:val="nil"/>
            </w:tcBorders>
            <w:tcMar>
              <w:top w:w="80" w:type="dxa"/>
              <w:left w:w="80" w:type="dxa"/>
              <w:bottom w:w="80" w:type="dxa"/>
              <w:right w:w="80" w:type="dxa"/>
            </w:tcMar>
            <w:vAlign w:val="center"/>
          </w:tcPr>
          <w:p w:rsidR="00AA43C5" w:rsidRPr="006D10E1" w:rsidRDefault="00AA43C5" w:rsidP="006D10E1">
            <w:pPr>
              <w:spacing w:line="360" w:lineRule="auto"/>
              <w:jc w:val="both"/>
              <w:rPr>
                <w:rFonts w:ascii="Book Antiqua" w:hAnsi="Book Antiqua"/>
                <w:color w:val="auto"/>
                <w:sz w:val="24"/>
                <w:szCs w:val="24"/>
              </w:rPr>
            </w:pPr>
            <w:r w:rsidRPr="006D10E1">
              <w:rPr>
                <w:rFonts w:ascii="Book Antiqua" w:hAnsi="Book Antiqua"/>
                <w:color w:val="auto"/>
                <w:sz w:val="24"/>
                <w:szCs w:val="24"/>
              </w:rPr>
              <w:lastRenderedPageBreak/>
              <w:t>--</w:t>
            </w:r>
          </w:p>
        </w:tc>
      </w:tr>
      <w:tr w:rsidR="00AA43C5" w:rsidRPr="006D10E1" w:rsidTr="006D10E1">
        <w:trPr>
          <w:trHeight w:val="271"/>
          <w:jc w:val="center"/>
        </w:trPr>
        <w:tc>
          <w:tcPr>
            <w:tcW w:w="2539" w:type="dxa"/>
            <w:tcBorders>
              <w:bottom w:val="single" w:sz="4" w:space="0" w:color="000000"/>
            </w:tcBorders>
          </w:tcPr>
          <w:p w:rsidR="00AA43C5"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lastRenderedPageBreak/>
              <w:t>PI3K/AKT/mTOR pathway</w:t>
            </w:r>
          </w:p>
        </w:tc>
        <w:tc>
          <w:tcPr>
            <w:tcW w:w="7119" w:type="dxa"/>
            <w:gridSpan w:val="5"/>
            <w:tcBorders>
              <w:bottom w:val="single" w:sz="4" w:space="0" w:color="000000"/>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p>
        </w:tc>
      </w:tr>
      <w:tr w:rsidR="00AA43C5" w:rsidRPr="006D10E1" w:rsidTr="006D10E1">
        <w:trPr>
          <w:trHeight w:val="442"/>
          <w:jc w:val="center"/>
        </w:trPr>
        <w:tc>
          <w:tcPr>
            <w:tcW w:w="2539"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eastAsia="Times New Roman" w:hAnsi="Book Antiqua"/>
                <w:color w:val="auto"/>
                <w:sz w:val="24"/>
                <w:szCs w:val="24"/>
              </w:rPr>
            </w:pPr>
            <w:r w:rsidRPr="006D10E1">
              <w:rPr>
                <w:rFonts w:ascii="Book Antiqua" w:hAnsi="Book Antiqua"/>
                <w:color w:val="auto"/>
                <w:sz w:val="24"/>
                <w:szCs w:val="24"/>
              </w:rPr>
              <w:t>PI3K /</w:t>
            </w:r>
          </w:p>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PIK3CA</w:t>
            </w:r>
          </w:p>
        </w:tc>
        <w:tc>
          <w:tcPr>
            <w:tcW w:w="2127" w:type="dxa"/>
            <w:tcBorders>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Point mutation</w:t>
            </w:r>
          </w:p>
        </w:tc>
        <w:tc>
          <w:tcPr>
            <w:tcW w:w="1284"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4</w:t>
            </w:r>
            <w:r w:rsidR="006D10E1">
              <w:rPr>
                <w:rFonts w:ascii="Book Antiqua" w:hAnsi="Book Antiqua" w:hint="eastAsia"/>
                <w:color w:val="auto"/>
                <w:sz w:val="24"/>
                <w:szCs w:val="24"/>
                <w:lang w:eastAsia="zh-CN"/>
              </w:rPr>
              <w:t>%</w:t>
            </w:r>
            <w:r w:rsidRPr="006D10E1">
              <w:rPr>
                <w:rFonts w:ascii="Book Antiqua" w:hAnsi="Book Antiqua"/>
                <w:color w:val="auto"/>
                <w:sz w:val="24"/>
                <w:szCs w:val="24"/>
              </w:rPr>
              <w:t>-12%</w:t>
            </w:r>
          </w:p>
        </w:tc>
        <w:tc>
          <w:tcPr>
            <w:tcW w:w="135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w:t>
            </w:r>
          </w:p>
        </w:tc>
        <w:tc>
          <w:tcPr>
            <w:tcW w:w="1170"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0-9%</w:t>
            </w:r>
          </w:p>
        </w:tc>
        <w:tc>
          <w:tcPr>
            <w:tcW w:w="1188" w:type="dxa"/>
            <w:tcBorders>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[45, 94, 95, 97]</w:t>
            </w:r>
          </w:p>
        </w:tc>
      </w:tr>
      <w:tr w:rsidR="00AA43C5" w:rsidRPr="006D10E1" w:rsidTr="006D10E1">
        <w:trPr>
          <w:trHeight w:val="222"/>
          <w:jc w:val="center"/>
        </w:trPr>
        <w:tc>
          <w:tcPr>
            <w:tcW w:w="2539"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AKT</w:t>
            </w:r>
          </w:p>
        </w:tc>
        <w:tc>
          <w:tcPr>
            <w:tcW w:w="2127"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Point mutation</w:t>
            </w:r>
          </w:p>
        </w:tc>
        <w:tc>
          <w:tcPr>
            <w:tcW w:w="1284"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w:t>
            </w:r>
          </w:p>
        </w:tc>
        <w:tc>
          <w:tcPr>
            <w:tcW w:w="135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w:t>
            </w:r>
          </w:p>
        </w:tc>
        <w:tc>
          <w:tcPr>
            <w:tcW w:w="1170"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0-3</w:t>
            </w:r>
          </w:p>
        </w:tc>
        <w:tc>
          <w:tcPr>
            <w:tcW w:w="1188" w:type="dxa"/>
            <w:tcBorders>
              <w:top w:val="nil"/>
              <w:bottom w:val="nil"/>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[96, 97]</w:t>
            </w:r>
          </w:p>
        </w:tc>
      </w:tr>
      <w:tr w:rsidR="00AA43C5" w:rsidRPr="006D10E1" w:rsidTr="006D10E1">
        <w:trPr>
          <w:trHeight w:val="222"/>
          <w:jc w:val="center"/>
        </w:trPr>
        <w:tc>
          <w:tcPr>
            <w:tcW w:w="2539" w:type="dxa"/>
            <w:tcBorders>
              <w:top w:val="nil"/>
              <w:bottom w:val="single" w:sz="4" w:space="0" w:color="auto"/>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mTOR</w:t>
            </w:r>
          </w:p>
        </w:tc>
        <w:tc>
          <w:tcPr>
            <w:tcW w:w="2127" w:type="dxa"/>
            <w:tcBorders>
              <w:top w:val="nil"/>
              <w:bottom w:val="single" w:sz="4" w:space="0" w:color="auto"/>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Increased activation</w:t>
            </w:r>
          </w:p>
        </w:tc>
        <w:tc>
          <w:tcPr>
            <w:tcW w:w="1284" w:type="dxa"/>
            <w:tcBorders>
              <w:top w:val="nil"/>
              <w:bottom w:val="single" w:sz="4" w:space="0" w:color="auto"/>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47</w:t>
            </w:r>
            <w:r w:rsidR="006D10E1">
              <w:rPr>
                <w:rFonts w:ascii="Book Antiqua" w:hAnsi="Book Antiqua" w:hint="eastAsia"/>
                <w:color w:val="auto"/>
                <w:sz w:val="24"/>
                <w:szCs w:val="24"/>
                <w:lang w:eastAsia="zh-CN"/>
              </w:rPr>
              <w:t>%</w:t>
            </w:r>
            <w:r w:rsidRPr="006D10E1">
              <w:rPr>
                <w:rFonts w:ascii="Book Antiqua" w:hAnsi="Book Antiqua"/>
                <w:color w:val="auto"/>
                <w:sz w:val="24"/>
                <w:szCs w:val="24"/>
              </w:rPr>
              <w:t>-64%</w:t>
            </w:r>
          </w:p>
        </w:tc>
        <w:tc>
          <w:tcPr>
            <w:tcW w:w="1350" w:type="dxa"/>
            <w:tcBorders>
              <w:top w:val="nil"/>
              <w:bottom w:val="single" w:sz="4" w:space="0" w:color="auto"/>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65%</w:t>
            </w:r>
          </w:p>
        </w:tc>
        <w:tc>
          <w:tcPr>
            <w:tcW w:w="1170" w:type="dxa"/>
            <w:tcBorders>
              <w:top w:val="nil"/>
              <w:bottom w:val="single" w:sz="4" w:space="0" w:color="auto"/>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70%</w:t>
            </w:r>
          </w:p>
        </w:tc>
        <w:tc>
          <w:tcPr>
            <w:tcW w:w="1188" w:type="dxa"/>
            <w:tcBorders>
              <w:top w:val="nil"/>
              <w:bottom w:val="single" w:sz="4" w:space="0" w:color="auto"/>
            </w:tcBorders>
            <w:tcMar>
              <w:top w:w="80" w:type="dxa"/>
              <w:left w:w="80" w:type="dxa"/>
              <w:bottom w:w="80" w:type="dxa"/>
              <w:right w:w="80" w:type="dxa"/>
            </w:tcMar>
            <w:vAlign w:val="cente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[98, 50]</w:t>
            </w:r>
          </w:p>
        </w:tc>
      </w:tr>
    </w:tbl>
    <w:p w:rsidR="00AA43C5" w:rsidRPr="00100F3A" w:rsidRDefault="00AA43C5" w:rsidP="00AA43C5">
      <w:pPr>
        <w:pStyle w:val="HeaderFooter"/>
        <w:tabs>
          <w:tab w:val="clear" w:pos="9020"/>
        </w:tabs>
        <w:spacing w:line="360" w:lineRule="auto"/>
        <w:jc w:val="both"/>
        <w:rPr>
          <w:rFonts w:ascii="Book Antiqua" w:eastAsia="Times New Roman" w:hAnsi="Book Antiqua"/>
          <w:color w:val="auto"/>
          <w:u w:color="000000"/>
        </w:rPr>
      </w:pPr>
      <w:r w:rsidRPr="00100F3A">
        <w:rPr>
          <w:rFonts w:ascii="Book Antiqua" w:hAnsi="Book Antiqua"/>
          <w:color w:val="auto"/>
          <w:u w:color="000000"/>
        </w:rPr>
        <w:t xml:space="preserve">AKT: </w:t>
      </w:r>
      <w:r w:rsidR="006D10E1" w:rsidRPr="00100F3A">
        <w:rPr>
          <w:rFonts w:ascii="Book Antiqua" w:hAnsi="Book Antiqua"/>
          <w:color w:val="auto"/>
          <w:u w:color="000000"/>
        </w:rPr>
        <w:t xml:space="preserve">Protein </w:t>
      </w:r>
      <w:r w:rsidRPr="00100F3A">
        <w:rPr>
          <w:rFonts w:ascii="Book Antiqua" w:hAnsi="Book Antiqua"/>
          <w:color w:val="auto"/>
          <w:u w:color="000000"/>
        </w:rPr>
        <w:t xml:space="preserve">kinase B; BRAF: </w:t>
      </w:r>
      <w:r w:rsidR="006D10E1" w:rsidRPr="00100F3A">
        <w:rPr>
          <w:rFonts w:ascii="Book Antiqua" w:hAnsi="Book Antiqua"/>
          <w:color w:val="auto"/>
          <w:u w:color="000000"/>
        </w:rPr>
        <w:t>Proto</w:t>
      </w:r>
      <w:r w:rsidRPr="00100F3A">
        <w:rPr>
          <w:rFonts w:ascii="Book Antiqua" w:hAnsi="Book Antiqua"/>
          <w:color w:val="auto"/>
          <w:u w:color="000000"/>
        </w:rPr>
        <w:t xml:space="preserve">-oncogene BRAF; EGFR: </w:t>
      </w:r>
      <w:r w:rsidR="006D10E1" w:rsidRPr="00100F3A">
        <w:rPr>
          <w:rFonts w:ascii="Book Antiqua" w:hAnsi="Book Antiqua"/>
          <w:color w:val="auto"/>
          <w:u w:color="000000"/>
        </w:rPr>
        <w:t xml:space="preserve">Epithelial </w:t>
      </w:r>
      <w:r w:rsidRPr="00100F3A">
        <w:rPr>
          <w:rFonts w:ascii="Book Antiqua" w:hAnsi="Book Antiqua"/>
          <w:color w:val="auto"/>
          <w:u w:color="000000"/>
        </w:rPr>
        <w:t xml:space="preserve">growth factor receptor; EHCC: </w:t>
      </w:r>
      <w:r w:rsidR="006D10E1" w:rsidRPr="00100F3A">
        <w:rPr>
          <w:rFonts w:ascii="Book Antiqua" w:hAnsi="Book Antiqua"/>
          <w:color w:val="auto"/>
          <w:u w:color="000000"/>
        </w:rPr>
        <w:t xml:space="preserve">Extrahepatic </w:t>
      </w:r>
      <w:r w:rsidRPr="00100F3A">
        <w:rPr>
          <w:rFonts w:ascii="Book Antiqua" w:hAnsi="Book Antiqua"/>
          <w:color w:val="auto"/>
          <w:u w:color="000000"/>
        </w:rPr>
        <w:t xml:space="preserve">cholangiocarcinoma; GBC: </w:t>
      </w:r>
      <w:r w:rsidR="006D10E1" w:rsidRPr="00100F3A">
        <w:rPr>
          <w:rFonts w:ascii="Book Antiqua" w:hAnsi="Book Antiqua"/>
          <w:color w:val="auto"/>
          <w:u w:color="000000"/>
        </w:rPr>
        <w:t xml:space="preserve">Gallbladder </w:t>
      </w:r>
      <w:r w:rsidRPr="00100F3A">
        <w:rPr>
          <w:rFonts w:ascii="Book Antiqua" w:hAnsi="Book Antiqua"/>
          <w:color w:val="auto"/>
          <w:u w:color="000000"/>
        </w:rPr>
        <w:t xml:space="preserve">carcinoma; HER2: </w:t>
      </w:r>
      <w:r w:rsidR="006D10E1" w:rsidRPr="00100F3A">
        <w:rPr>
          <w:rFonts w:ascii="Book Antiqua" w:hAnsi="Book Antiqua"/>
          <w:color w:val="auto"/>
          <w:u w:color="000000"/>
        </w:rPr>
        <w:t xml:space="preserve">Human </w:t>
      </w:r>
      <w:r w:rsidRPr="00100F3A">
        <w:rPr>
          <w:rFonts w:ascii="Book Antiqua" w:hAnsi="Book Antiqua"/>
          <w:color w:val="auto"/>
          <w:u w:color="000000"/>
        </w:rPr>
        <w:t xml:space="preserve">epidermal growth factor receptor 2; IHCC: </w:t>
      </w:r>
      <w:r w:rsidR="006D10E1" w:rsidRPr="00100F3A">
        <w:rPr>
          <w:rFonts w:ascii="Book Antiqua" w:hAnsi="Book Antiqua"/>
          <w:color w:val="auto"/>
          <w:u w:color="000000"/>
        </w:rPr>
        <w:t xml:space="preserve">Intrahepatic </w:t>
      </w:r>
      <w:r w:rsidRPr="00100F3A">
        <w:rPr>
          <w:rFonts w:ascii="Book Antiqua" w:hAnsi="Book Antiqua"/>
          <w:color w:val="auto"/>
          <w:u w:color="000000"/>
        </w:rPr>
        <w:t xml:space="preserve">cholangiocarcinoma; KRAS: Kirsten rat sarcoma viral oncogene homolog; MET: </w:t>
      </w:r>
      <w:r w:rsidR="006D10E1" w:rsidRPr="00100F3A">
        <w:rPr>
          <w:rFonts w:ascii="Book Antiqua" w:hAnsi="Book Antiqua"/>
          <w:color w:val="auto"/>
          <w:u w:color="000000"/>
        </w:rPr>
        <w:t xml:space="preserve">Hepatocyte </w:t>
      </w:r>
      <w:r w:rsidRPr="00100F3A">
        <w:rPr>
          <w:rFonts w:ascii="Book Antiqua" w:hAnsi="Book Antiqua"/>
          <w:color w:val="auto"/>
          <w:u w:color="000000"/>
        </w:rPr>
        <w:t xml:space="preserve">growth factor receptor; MAPK: </w:t>
      </w:r>
      <w:r w:rsidR="006D10E1" w:rsidRPr="00100F3A">
        <w:rPr>
          <w:rFonts w:ascii="Book Antiqua" w:hAnsi="Book Antiqua"/>
          <w:color w:val="auto"/>
          <w:u w:color="000000"/>
        </w:rPr>
        <w:t xml:space="preserve">Mitogen </w:t>
      </w:r>
      <w:r w:rsidRPr="00100F3A">
        <w:rPr>
          <w:rFonts w:ascii="Book Antiqua" w:hAnsi="Book Antiqua"/>
          <w:color w:val="auto"/>
          <w:u w:color="000000"/>
        </w:rPr>
        <w:t xml:space="preserve">activated protein kinase; MEK: MAPK kinase; mTOR: </w:t>
      </w:r>
      <w:r w:rsidR="006D10E1" w:rsidRPr="00100F3A">
        <w:rPr>
          <w:rFonts w:ascii="Book Antiqua" w:hAnsi="Book Antiqua"/>
          <w:color w:val="auto"/>
          <w:u w:color="000000"/>
        </w:rPr>
        <w:t xml:space="preserve">Mammalian </w:t>
      </w:r>
      <w:r w:rsidRPr="00100F3A">
        <w:rPr>
          <w:rFonts w:ascii="Book Antiqua" w:hAnsi="Book Antiqua"/>
          <w:color w:val="auto"/>
          <w:u w:color="000000"/>
        </w:rPr>
        <w:t xml:space="preserve">target of rapamycin; PI3K: </w:t>
      </w:r>
      <w:r w:rsidR="006D10E1" w:rsidRPr="00100F3A">
        <w:rPr>
          <w:rFonts w:ascii="Book Antiqua" w:hAnsi="Book Antiqua"/>
          <w:color w:val="auto"/>
          <w:u w:color="000000"/>
        </w:rPr>
        <w:t xml:space="preserve">Phosphoinositide </w:t>
      </w:r>
      <w:r w:rsidRPr="00100F3A">
        <w:rPr>
          <w:rFonts w:ascii="Book Antiqua" w:hAnsi="Book Antiqua"/>
          <w:color w:val="auto"/>
          <w:u w:color="000000"/>
        </w:rPr>
        <w:t xml:space="preserve">3-kinase; VEGF: </w:t>
      </w:r>
      <w:r w:rsidR="006D10E1" w:rsidRPr="00100F3A">
        <w:rPr>
          <w:rFonts w:ascii="Book Antiqua" w:hAnsi="Book Antiqua"/>
          <w:color w:val="auto"/>
          <w:u w:color="000000"/>
        </w:rPr>
        <w:t xml:space="preserve">Vascular </w:t>
      </w:r>
      <w:r w:rsidRPr="00100F3A">
        <w:rPr>
          <w:rFonts w:ascii="Book Antiqua" w:hAnsi="Book Antiqua"/>
          <w:color w:val="auto"/>
          <w:u w:color="000000"/>
        </w:rPr>
        <w:t>endothelial growth factor.</w:t>
      </w:r>
    </w:p>
    <w:p w:rsidR="00AA43C5" w:rsidRPr="00100F3A" w:rsidRDefault="00AA43C5" w:rsidP="00AA43C5">
      <w:pPr>
        <w:spacing w:line="360" w:lineRule="auto"/>
        <w:jc w:val="both"/>
        <w:rPr>
          <w:rFonts w:ascii="Book Antiqua" w:hAnsi="Book Antiqua"/>
          <w:color w:val="auto"/>
          <w:sz w:val="24"/>
        </w:rPr>
      </w:pPr>
    </w:p>
    <w:p w:rsidR="006D10E1" w:rsidRDefault="006D10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Book Antiqua" w:hAnsi="Book Antiqua"/>
          <w:b/>
          <w:color w:val="auto"/>
          <w:sz w:val="24"/>
        </w:rPr>
      </w:pPr>
      <w:r>
        <w:rPr>
          <w:rFonts w:ascii="Book Antiqua" w:hAnsi="Book Antiqua"/>
          <w:b/>
          <w:color w:val="auto"/>
          <w:sz w:val="24"/>
        </w:rPr>
        <w:br w:type="page"/>
      </w:r>
    </w:p>
    <w:p w:rsidR="00AA43C5" w:rsidRPr="00100F3A" w:rsidRDefault="00AA43C5" w:rsidP="00AA43C5">
      <w:pPr>
        <w:spacing w:line="360" w:lineRule="auto"/>
        <w:jc w:val="both"/>
        <w:rPr>
          <w:rFonts w:ascii="Times New Roman Bold" w:eastAsia="Times New Roman Bold" w:hAnsi="Times New Roman Bold"/>
          <w:color w:val="auto"/>
          <w:sz w:val="20"/>
        </w:rPr>
      </w:pPr>
      <w:r w:rsidRPr="00100F3A">
        <w:rPr>
          <w:rFonts w:ascii="Book Antiqua" w:hAnsi="Book Antiqua"/>
          <w:b/>
          <w:color w:val="auto"/>
          <w:sz w:val="24"/>
        </w:rPr>
        <w:lastRenderedPageBreak/>
        <w:t>Table 3   Clinical trials of targeted therapeutics in biliary tract carcinoma.</w:t>
      </w:r>
    </w:p>
    <w:tbl>
      <w:tblPr>
        <w:tblW w:w="11367" w:type="dxa"/>
        <w:tblInd w:w="-487"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843"/>
        <w:gridCol w:w="1134"/>
        <w:gridCol w:w="1308"/>
        <w:gridCol w:w="3600"/>
        <w:gridCol w:w="810"/>
        <w:gridCol w:w="810"/>
        <w:gridCol w:w="782"/>
        <w:gridCol w:w="1080"/>
      </w:tblGrid>
      <w:tr w:rsidR="00AA43C5" w:rsidRPr="006D10E1" w:rsidTr="006D10E1">
        <w:trPr>
          <w:trHeight w:val="442"/>
        </w:trPr>
        <w:tc>
          <w:tcPr>
            <w:tcW w:w="1843"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Targeted Therapeutics</w:t>
            </w:r>
          </w:p>
        </w:tc>
        <w:tc>
          <w:tcPr>
            <w:tcW w:w="1134" w:type="dxa"/>
            <w:tcBorders>
              <w:bottom w:val="single" w:sz="4" w:space="0" w:color="000000"/>
            </w:tcBorders>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Targets</w:t>
            </w:r>
          </w:p>
        </w:tc>
        <w:tc>
          <w:tcPr>
            <w:tcW w:w="1308" w:type="dxa"/>
            <w:tcBorders>
              <w:bottom w:val="single" w:sz="4" w:space="0" w:color="000000"/>
            </w:tcBorders>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BTC Subtypes</w:t>
            </w:r>
          </w:p>
        </w:tc>
        <w:tc>
          <w:tcPr>
            <w:tcW w:w="3600"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Treatment Regimen</w:t>
            </w:r>
          </w:p>
        </w:tc>
        <w:tc>
          <w:tcPr>
            <w:tcW w:w="810"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TTP (mo)</w:t>
            </w:r>
          </w:p>
        </w:tc>
        <w:tc>
          <w:tcPr>
            <w:tcW w:w="810"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PFS (mo)</w:t>
            </w:r>
          </w:p>
        </w:tc>
        <w:tc>
          <w:tcPr>
            <w:tcW w:w="782"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 xml:space="preserve">OS </w:t>
            </w:r>
          </w:p>
          <w:p w:rsidR="00AA43C5" w:rsidRPr="006D10E1" w:rsidRDefault="00AA43C5"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(mo)</w:t>
            </w:r>
          </w:p>
        </w:tc>
        <w:tc>
          <w:tcPr>
            <w:tcW w:w="1080" w:type="dxa"/>
            <w:tcBorders>
              <w:bottom w:val="single" w:sz="4" w:space="0" w:color="000000"/>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b/>
                <w:color w:val="auto"/>
                <w:sz w:val="24"/>
                <w:szCs w:val="24"/>
                <w:lang w:eastAsia="zh-CN"/>
              </w:rPr>
            </w:pPr>
            <w:r w:rsidRPr="006D10E1">
              <w:rPr>
                <w:rFonts w:ascii="Book Antiqua" w:hAnsi="Book Antiqua"/>
                <w:b/>
                <w:color w:val="auto"/>
                <w:sz w:val="24"/>
                <w:szCs w:val="24"/>
              </w:rPr>
              <w:t>Ref</w:t>
            </w:r>
            <w:r w:rsidR="006D10E1">
              <w:rPr>
                <w:rFonts w:ascii="Book Antiqua" w:hAnsi="Book Antiqua" w:hint="eastAsia"/>
                <w:b/>
                <w:color w:val="auto"/>
                <w:sz w:val="24"/>
                <w:szCs w:val="24"/>
                <w:lang w:eastAsia="zh-CN"/>
              </w:rPr>
              <w:t>.</w:t>
            </w:r>
          </w:p>
        </w:tc>
      </w:tr>
      <w:tr w:rsidR="00AA43C5" w:rsidRPr="006D10E1" w:rsidTr="006D10E1">
        <w:trPr>
          <w:trHeight w:val="222"/>
        </w:trPr>
        <w:tc>
          <w:tcPr>
            <w:tcW w:w="1843"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w:t>
            </w:r>
          </w:p>
        </w:tc>
        <w:tc>
          <w:tcPr>
            <w:tcW w:w="1134" w:type="dxa"/>
            <w:tcBorders>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w:t>
            </w:r>
          </w:p>
        </w:tc>
        <w:tc>
          <w:tcPr>
            <w:tcW w:w="810"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2.6</w:t>
            </w:r>
          </w:p>
        </w:tc>
        <w:tc>
          <w:tcPr>
            <w:tcW w:w="810"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782"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7.5</w:t>
            </w:r>
          </w:p>
        </w:tc>
        <w:tc>
          <w:tcPr>
            <w:tcW w:w="1080" w:type="dxa"/>
            <w:tcBorders>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[60]</w:t>
            </w:r>
          </w:p>
        </w:tc>
      </w:tr>
      <w:tr w:rsidR="00AA43C5" w:rsidRPr="006D10E1" w:rsidTr="006D10E1">
        <w:trPr>
          <w:trHeight w:val="22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 + GEMOX</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5.8</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9.5</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[61]</w:t>
            </w:r>
          </w:p>
        </w:tc>
      </w:tr>
      <w:tr w:rsidR="00AA43C5" w:rsidRPr="006D10E1" w:rsidTr="006D10E1">
        <w:trPr>
          <w:trHeight w:val="22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Erlotinib + Bevacizumab</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4.4</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9.9</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[62]</w:t>
            </w:r>
          </w:p>
        </w:tc>
      </w:tr>
      <w:tr w:rsidR="00AA43C5" w:rsidRPr="006D10E1" w:rsidTr="006D10E1">
        <w:trPr>
          <w:trHeight w:val="22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Cetuximab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Cetuximab + GEMOX</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6.1</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11</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[63]</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Panitumumab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Panitumumab + Gemcitabine + Irinotecan</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9.7</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12.9</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[64]</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Panitumumab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Panitumumab + GEMOX + Capecitabine</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8.3</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10</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[65]</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Lapatinib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HER2,  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Lapatinib</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1.8</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5.2</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[67]</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Lapatinib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HER2,  EGFR</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Lapatinib</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2.6</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5.1</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[68]</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lastRenderedPageBreak/>
              <w:t>Bevacizumab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VEGF</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Bevacizumab + GEMOX</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12.7</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[71]</w:t>
            </w:r>
          </w:p>
        </w:tc>
      </w:tr>
      <w:tr w:rsidR="00AA43C5" w:rsidRPr="006D10E1" w:rsidTr="006D10E1">
        <w:trPr>
          <w:trHeight w:val="22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Selumetininb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MEK</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Selumetinib</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3.7</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9.8</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[73]</w:t>
            </w:r>
          </w:p>
        </w:tc>
      </w:tr>
      <w:tr w:rsidR="00AA43C5" w:rsidRPr="006D10E1" w:rsidTr="006D10E1">
        <w:trPr>
          <w:trHeight w:val="442"/>
        </w:trPr>
        <w:tc>
          <w:tcPr>
            <w:tcW w:w="1843"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Sorafenib</w:t>
            </w:r>
          </w:p>
        </w:tc>
        <w:tc>
          <w:tcPr>
            <w:tcW w:w="1134"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Multiple TKI</w:t>
            </w:r>
          </w:p>
        </w:tc>
        <w:tc>
          <w:tcPr>
            <w:tcW w:w="1308" w:type="dxa"/>
            <w:tcBorders>
              <w:top w:val="nil"/>
              <w:bottom w:val="nil"/>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Sorafenib</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2.3</w:t>
            </w:r>
          </w:p>
        </w:tc>
        <w:tc>
          <w:tcPr>
            <w:tcW w:w="782"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4.4</w:t>
            </w:r>
          </w:p>
        </w:tc>
        <w:tc>
          <w:tcPr>
            <w:tcW w:w="1080" w:type="dxa"/>
            <w:tcBorders>
              <w:top w:val="nil"/>
              <w:bottom w:val="nil"/>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[76]</w:t>
            </w:r>
          </w:p>
        </w:tc>
      </w:tr>
      <w:tr w:rsidR="00AA43C5" w:rsidRPr="006D10E1" w:rsidTr="006D10E1">
        <w:trPr>
          <w:trHeight w:val="442"/>
        </w:trPr>
        <w:tc>
          <w:tcPr>
            <w:tcW w:w="1843"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Sorafenib</w:t>
            </w:r>
          </w:p>
        </w:tc>
        <w:tc>
          <w:tcPr>
            <w:tcW w:w="1134" w:type="dxa"/>
            <w:tcBorders>
              <w:top w:val="nil"/>
              <w:bottom w:val="single" w:sz="4" w:space="0" w:color="auto"/>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Multiple TKI</w:t>
            </w:r>
          </w:p>
        </w:tc>
        <w:tc>
          <w:tcPr>
            <w:tcW w:w="1308" w:type="dxa"/>
            <w:tcBorders>
              <w:top w:val="nil"/>
              <w:bottom w:val="single" w:sz="4" w:space="0" w:color="auto"/>
            </w:tcBorders>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GBC, IHCC, EHCC</w:t>
            </w:r>
          </w:p>
        </w:tc>
        <w:tc>
          <w:tcPr>
            <w:tcW w:w="3600"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Sorafenib + Gemcitabine + Cisplatin</w:t>
            </w:r>
          </w:p>
        </w:tc>
        <w:tc>
          <w:tcPr>
            <w:tcW w:w="810"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w:t>
            </w:r>
          </w:p>
        </w:tc>
        <w:tc>
          <w:tcPr>
            <w:tcW w:w="810"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6.5</w:t>
            </w:r>
          </w:p>
        </w:tc>
        <w:tc>
          <w:tcPr>
            <w:tcW w:w="782"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14.4</w:t>
            </w:r>
          </w:p>
        </w:tc>
        <w:tc>
          <w:tcPr>
            <w:tcW w:w="1080" w:type="dxa"/>
            <w:tcBorders>
              <w:top w:val="nil"/>
              <w:bottom w:val="single" w:sz="4" w:space="0" w:color="auto"/>
            </w:tcBorders>
            <w:tcMar>
              <w:top w:w="80" w:type="dxa"/>
              <w:left w:w="80" w:type="dxa"/>
              <w:bottom w:w="80" w:type="dxa"/>
              <w:right w:w="80" w:type="dxa"/>
            </w:tcMar>
          </w:tcPr>
          <w:p w:rsidR="00AA43C5" w:rsidRPr="006D10E1" w:rsidRDefault="00AA43C5"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[77]</w:t>
            </w:r>
          </w:p>
        </w:tc>
      </w:tr>
    </w:tbl>
    <w:p w:rsidR="00AA43C5" w:rsidRPr="00100F3A" w:rsidRDefault="00AA43C5" w:rsidP="00AA43C5">
      <w:pPr>
        <w:spacing w:after="0" w:line="360" w:lineRule="auto"/>
        <w:jc w:val="both"/>
        <w:rPr>
          <w:rFonts w:ascii="Book Antiqua" w:eastAsia="Times New Roman" w:hAnsi="Book Antiqua"/>
          <w:b/>
          <w:color w:val="auto"/>
          <w:sz w:val="24"/>
        </w:rPr>
      </w:pPr>
      <w:r w:rsidRPr="00100F3A">
        <w:rPr>
          <w:rFonts w:ascii="Book Antiqua" w:hAnsi="Book Antiqua"/>
          <w:color w:val="auto"/>
          <w:sz w:val="24"/>
        </w:rPr>
        <w:t xml:space="preserve">EGFR: </w:t>
      </w:r>
      <w:r w:rsidR="006D10E1" w:rsidRPr="00100F3A">
        <w:rPr>
          <w:rFonts w:ascii="Book Antiqua" w:hAnsi="Book Antiqua"/>
          <w:color w:val="auto"/>
          <w:sz w:val="24"/>
        </w:rPr>
        <w:t xml:space="preserve">Epidermal </w:t>
      </w:r>
      <w:r w:rsidRPr="00100F3A">
        <w:rPr>
          <w:rFonts w:ascii="Book Antiqua" w:hAnsi="Book Antiqua"/>
          <w:color w:val="auto"/>
          <w:sz w:val="24"/>
        </w:rPr>
        <w:t xml:space="preserve">growth factor receptor; GEMOX: </w:t>
      </w:r>
      <w:r w:rsidR="006D10E1" w:rsidRPr="00100F3A">
        <w:rPr>
          <w:rFonts w:ascii="Book Antiqua" w:hAnsi="Book Antiqua"/>
          <w:color w:val="auto"/>
          <w:sz w:val="24"/>
        </w:rPr>
        <w:t xml:space="preserve">Gemcitabine </w:t>
      </w:r>
      <w:r w:rsidRPr="00100F3A">
        <w:rPr>
          <w:rFonts w:ascii="Book Antiqua" w:hAnsi="Book Antiqua"/>
          <w:color w:val="auto"/>
          <w:sz w:val="24"/>
        </w:rPr>
        <w:t xml:space="preserve">+ oxaliplatin; HER2: </w:t>
      </w:r>
      <w:r w:rsidR="006D10E1" w:rsidRPr="00100F3A">
        <w:rPr>
          <w:rFonts w:ascii="Book Antiqua" w:hAnsi="Book Antiqua"/>
          <w:color w:val="auto"/>
          <w:sz w:val="24"/>
        </w:rPr>
        <w:t xml:space="preserve">Human </w:t>
      </w:r>
      <w:r w:rsidRPr="00100F3A">
        <w:rPr>
          <w:rFonts w:ascii="Book Antiqua" w:hAnsi="Book Antiqua"/>
          <w:color w:val="auto"/>
          <w:sz w:val="24"/>
        </w:rPr>
        <w:t xml:space="preserve">epidermal growth factor receptor 2; MEK: </w:t>
      </w:r>
      <w:r w:rsidR="006D10E1" w:rsidRPr="00100F3A">
        <w:rPr>
          <w:rFonts w:ascii="Book Antiqua" w:hAnsi="Book Antiqua"/>
          <w:color w:val="auto"/>
          <w:sz w:val="24"/>
        </w:rPr>
        <w:t>Mitogen</w:t>
      </w:r>
      <w:r w:rsidRPr="00100F3A">
        <w:rPr>
          <w:rFonts w:ascii="Book Antiqua" w:hAnsi="Book Antiqua"/>
          <w:color w:val="auto"/>
          <w:sz w:val="24"/>
        </w:rPr>
        <w:t xml:space="preserve">-activated kinase kinase; PFS: </w:t>
      </w:r>
      <w:r w:rsidR="006D10E1" w:rsidRPr="00100F3A">
        <w:rPr>
          <w:rFonts w:ascii="Book Antiqua" w:hAnsi="Book Antiqua"/>
          <w:color w:val="auto"/>
          <w:sz w:val="24"/>
        </w:rPr>
        <w:t>Progression</w:t>
      </w:r>
      <w:r w:rsidRPr="00100F3A">
        <w:rPr>
          <w:rFonts w:ascii="Book Antiqua" w:hAnsi="Book Antiqua"/>
          <w:color w:val="auto"/>
          <w:sz w:val="24"/>
        </w:rPr>
        <w:t xml:space="preserve">-free survival; OS: </w:t>
      </w:r>
      <w:r w:rsidR="006D10E1" w:rsidRPr="00100F3A">
        <w:rPr>
          <w:rFonts w:ascii="Book Antiqua" w:hAnsi="Book Antiqua"/>
          <w:color w:val="auto"/>
          <w:sz w:val="24"/>
        </w:rPr>
        <w:t xml:space="preserve">Overall </w:t>
      </w:r>
      <w:r w:rsidRPr="00100F3A">
        <w:rPr>
          <w:rFonts w:ascii="Book Antiqua" w:hAnsi="Book Antiqua"/>
          <w:color w:val="auto"/>
          <w:sz w:val="24"/>
        </w:rPr>
        <w:t xml:space="preserve">survival; TKI: </w:t>
      </w:r>
      <w:r w:rsidR="006D10E1" w:rsidRPr="00100F3A">
        <w:rPr>
          <w:rFonts w:ascii="Book Antiqua" w:hAnsi="Book Antiqua"/>
          <w:color w:val="auto"/>
          <w:sz w:val="24"/>
        </w:rPr>
        <w:t xml:space="preserve">Tyrosine </w:t>
      </w:r>
      <w:r w:rsidRPr="00100F3A">
        <w:rPr>
          <w:rFonts w:ascii="Book Antiqua" w:hAnsi="Book Antiqua"/>
          <w:color w:val="auto"/>
          <w:sz w:val="24"/>
        </w:rPr>
        <w:t xml:space="preserve">kinase inhibitor; TTP: </w:t>
      </w:r>
      <w:r w:rsidR="006D10E1" w:rsidRPr="00100F3A">
        <w:rPr>
          <w:rFonts w:ascii="Book Antiqua" w:hAnsi="Book Antiqua"/>
          <w:color w:val="auto"/>
          <w:sz w:val="24"/>
        </w:rPr>
        <w:t>Time</w:t>
      </w:r>
      <w:r w:rsidRPr="00100F3A">
        <w:rPr>
          <w:rFonts w:ascii="Book Antiqua" w:hAnsi="Book Antiqua"/>
          <w:color w:val="auto"/>
          <w:sz w:val="24"/>
        </w:rPr>
        <w:t xml:space="preserve">-to-tumor progression; VEGF: </w:t>
      </w:r>
      <w:r w:rsidR="006D10E1" w:rsidRPr="00100F3A">
        <w:rPr>
          <w:rFonts w:ascii="Book Antiqua" w:hAnsi="Book Antiqua"/>
          <w:color w:val="auto"/>
          <w:sz w:val="24"/>
        </w:rPr>
        <w:t xml:space="preserve">Vascular </w:t>
      </w:r>
      <w:r w:rsidRPr="00100F3A">
        <w:rPr>
          <w:rFonts w:ascii="Book Antiqua" w:hAnsi="Book Antiqua"/>
          <w:color w:val="auto"/>
          <w:sz w:val="24"/>
        </w:rPr>
        <w:t>endothelial growth factor.</w:t>
      </w:r>
    </w:p>
    <w:p w:rsidR="00AA43C5" w:rsidRPr="00100F3A" w:rsidRDefault="00AA43C5" w:rsidP="00AA43C5">
      <w:pPr>
        <w:spacing w:line="360" w:lineRule="auto"/>
        <w:jc w:val="both"/>
        <w:rPr>
          <w:rFonts w:ascii="Book Antiqua" w:hAnsi="Book Antiqua"/>
          <w:color w:val="auto"/>
          <w:sz w:val="24"/>
        </w:rPr>
      </w:pPr>
    </w:p>
    <w:p w:rsidR="006D10E1" w:rsidRDefault="006D10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Book Antiqua" w:hAnsi="Book Antiqua"/>
          <w:b/>
          <w:color w:val="auto"/>
          <w:sz w:val="24"/>
        </w:rPr>
      </w:pPr>
      <w:r>
        <w:rPr>
          <w:rFonts w:ascii="Book Antiqua" w:hAnsi="Book Antiqua"/>
          <w:b/>
          <w:color w:val="auto"/>
          <w:sz w:val="24"/>
        </w:rPr>
        <w:br w:type="page"/>
      </w:r>
    </w:p>
    <w:p w:rsidR="00AA43C5" w:rsidRPr="00100F3A" w:rsidRDefault="00AA43C5" w:rsidP="00AA43C5">
      <w:pPr>
        <w:spacing w:line="360" w:lineRule="auto"/>
        <w:jc w:val="both"/>
        <w:rPr>
          <w:rFonts w:ascii="Book Antiqua" w:hAnsi="Book Antiqua"/>
          <w:color w:val="auto"/>
          <w:sz w:val="24"/>
        </w:rPr>
      </w:pPr>
      <w:r w:rsidRPr="00100F3A">
        <w:rPr>
          <w:rFonts w:ascii="Book Antiqua" w:hAnsi="Book Antiqua"/>
          <w:b/>
          <w:color w:val="auto"/>
          <w:sz w:val="24"/>
        </w:rPr>
        <w:lastRenderedPageBreak/>
        <w:t>Table 4   Ongoing clinical trials of targeted therapeutics in cholangiocarcinoma or gallbladder adenocarcinoma.</w:t>
      </w:r>
    </w:p>
    <w:tbl>
      <w:tblPr>
        <w:tblW w:w="10566" w:type="dxa"/>
        <w:tblInd w:w="-28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960"/>
        <w:gridCol w:w="720"/>
        <w:gridCol w:w="1350"/>
        <w:gridCol w:w="2610"/>
        <w:gridCol w:w="1926"/>
      </w:tblGrid>
      <w:tr w:rsidR="006D10E1" w:rsidRPr="006D10E1" w:rsidTr="006D10E1">
        <w:trPr>
          <w:trHeight w:val="450"/>
        </w:trPr>
        <w:tc>
          <w:tcPr>
            <w:tcW w:w="3960" w:type="dxa"/>
            <w:tcBorders>
              <w:bottom w:val="single" w:sz="4" w:space="0" w:color="000000"/>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Treatment</w:t>
            </w:r>
          </w:p>
        </w:tc>
        <w:tc>
          <w:tcPr>
            <w:tcW w:w="720" w:type="dxa"/>
            <w:tcBorders>
              <w:bottom w:val="single" w:sz="4" w:space="0" w:color="000000"/>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Phase</w:t>
            </w:r>
          </w:p>
        </w:tc>
        <w:tc>
          <w:tcPr>
            <w:tcW w:w="1350" w:type="dxa"/>
            <w:tcBorders>
              <w:bottom w:val="single" w:sz="4" w:space="0" w:color="000000"/>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Date of Completion</w:t>
            </w:r>
          </w:p>
        </w:tc>
        <w:tc>
          <w:tcPr>
            <w:tcW w:w="2610" w:type="dxa"/>
            <w:tcBorders>
              <w:bottom w:val="single" w:sz="4" w:space="0" w:color="000000"/>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Sponsoring Institutions</w:t>
            </w:r>
          </w:p>
        </w:tc>
        <w:tc>
          <w:tcPr>
            <w:tcW w:w="1926" w:type="dxa"/>
            <w:tcBorders>
              <w:bottom w:val="single" w:sz="4" w:space="0" w:color="000000"/>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ClinicalTrials.gov</w:t>
            </w:r>
          </w:p>
          <w:p w:rsidR="006D10E1" w:rsidRPr="006D10E1" w:rsidRDefault="006D10E1" w:rsidP="006D10E1">
            <w:pPr>
              <w:spacing w:after="0" w:line="360" w:lineRule="auto"/>
              <w:jc w:val="both"/>
              <w:rPr>
                <w:rFonts w:ascii="Book Antiqua" w:hAnsi="Book Antiqua"/>
                <w:b/>
                <w:color w:val="auto"/>
                <w:sz w:val="24"/>
                <w:szCs w:val="24"/>
              </w:rPr>
            </w:pPr>
            <w:r w:rsidRPr="006D10E1">
              <w:rPr>
                <w:rFonts w:ascii="Book Antiqua" w:hAnsi="Book Antiqua"/>
                <w:b/>
                <w:color w:val="auto"/>
                <w:sz w:val="24"/>
                <w:szCs w:val="24"/>
              </w:rPr>
              <w:t xml:space="preserve">Identifier </w:t>
            </w:r>
          </w:p>
        </w:tc>
      </w:tr>
      <w:tr w:rsidR="006D10E1" w:rsidRPr="006D10E1" w:rsidTr="006D10E1">
        <w:trPr>
          <w:trHeight w:val="485"/>
        </w:trPr>
        <w:tc>
          <w:tcPr>
            <w:tcW w:w="3960" w:type="dxa"/>
            <w:tcBorders>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GEMOX + Erlotinib </w:t>
            </w:r>
          </w:p>
        </w:tc>
        <w:tc>
          <w:tcPr>
            <w:tcW w:w="720" w:type="dxa"/>
            <w:tcBorders>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Dec., 2014</w:t>
            </w:r>
          </w:p>
        </w:tc>
        <w:tc>
          <w:tcPr>
            <w:tcW w:w="2610" w:type="dxa"/>
            <w:tcBorders>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New Mexico Cancer Care Alliance</w:t>
            </w:r>
          </w:p>
        </w:tc>
        <w:tc>
          <w:tcPr>
            <w:tcW w:w="1926" w:type="dxa"/>
            <w:tcBorders>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NCT00832637</w:t>
            </w:r>
          </w:p>
        </w:tc>
      </w:tr>
      <w:tr w:rsidR="006D10E1" w:rsidRPr="006D10E1" w:rsidTr="006D10E1">
        <w:trPr>
          <w:trHeight w:val="44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Sorafenib + Erlotinib </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May,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National Cancer Institute</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NCT01093222</w:t>
            </w:r>
          </w:p>
        </w:tc>
      </w:tr>
      <w:tr w:rsidR="006D10E1" w:rsidRPr="006D10E1" w:rsidTr="006D10E1">
        <w:trPr>
          <w:trHeight w:val="66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GEMOX </w:t>
            </w:r>
            <w:r w:rsidRPr="006D10E1">
              <w:rPr>
                <w:rFonts w:ascii="Book Antiqua" w:hAnsi="Book Antiqua"/>
                <w:i/>
                <w:color w:val="auto"/>
                <w:sz w:val="24"/>
                <w:szCs w:val="24"/>
              </w:rPr>
              <w:t>vs</w:t>
            </w:r>
            <w:r w:rsidRPr="006D10E1">
              <w:rPr>
                <w:rFonts w:ascii="Book Antiqua" w:hAnsi="Book Antiqua"/>
                <w:color w:val="auto"/>
                <w:sz w:val="24"/>
                <w:szCs w:val="24"/>
              </w:rPr>
              <w:t xml:space="preserve"> GEMOX + Cetuximab </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Dec.,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National Health Research Institutes, Taiwan</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NCT01267344</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GEMOX + Panitumumab </w:t>
            </w:r>
            <w:r w:rsidRPr="006D10E1">
              <w:rPr>
                <w:rFonts w:ascii="Book Antiqua" w:hAnsi="Book Antiqua"/>
                <w:i/>
                <w:color w:val="auto"/>
                <w:sz w:val="24"/>
                <w:szCs w:val="24"/>
              </w:rPr>
              <w:t>vs</w:t>
            </w:r>
            <w:r w:rsidRPr="006D10E1">
              <w:rPr>
                <w:rFonts w:ascii="Book Antiqua" w:hAnsi="Book Antiqua"/>
                <w:color w:val="auto"/>
                <w:sz w:val="24"/>
                <w:szCs w:val="24"/>
              </w:rPr>
              <w:t xml:space="preserve"> GEMOX + Bevacizumab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Aug., 2015</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Vejle Hospital</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NCT01206049</w:t>
            </w:r>
          </w:p>
        </w:tc>
      </w:tr>
      <w:tr w:rsidR="006D10E1" w:rsidRPr="006D10E1" w:rsidTr="006D10E1">
        <w:trPr>
          <w:trHeight w:val="785"/>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Cisplatin + Gemcitabine + Panitumumab </w:t>
            </w:r>
            <w:r w:rsidRPr="006D10E1">
              <w:rPr>
                <w:rFonts w:ascii="Book Antiqua" w:hAnsi="Book Antiqua"/>
                <w:i/>
                <w:color w:val="auto"/>
                <w:sz w:val="24"/>
                <w:szCs w:val="24"/>
              </w:rPr>
              <w:t>vs</w:t>
            </w:r>
            <w:r w:rsidRPr="006D10E1">
              <w:rPr>
                <w:rFonts w:ascii="Book Antiqua" w:hAnsi="Book Antiqua"/>
                <w:color w:val="auto"/>
                <w:sz w:val="24"/>
                <w:szCs w:val="24"/>
              </w:rPr>
              <w:t xml:space="preserve"> Cisplatin + Gemcitabine</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June,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Hannover Medical School </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NCT01320254</w:t>
            </w:r>
          </w:p>
        </w:tc>
      </w:tr>
      <w:tr w:rsidR="006D10E1" w:rsidRPr="006D10E1" w:rsidTr="006D10E1">
        <w:trPr>
          <w:trHeight w:val="66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GEMOX + Panitumumab </w:t>
            </w:r>
            <w:r w:rsidRPr="006D10E1">
              <w:rPr>
                <w:rFonts w:ascii="Book Antiqua" w:hAnsi="Book Antiqua"/>
                <w:i/>
                <w:color w:val="auto"/>
                <w:sz w:val="24"/>
                <w:szCs w:val="24"/>
              </w:rPr>
              <w:t>vs</w:t>
            </w:r>
            <w:r w:rsidRPr="006D10E1">
              <w:rPr>
                <w:rFonts w:ascii="Book Antiqua" w:hAnsi="Book Antiqua"/>
                <w:color w:val="auto"/>
                <w:sz w:val="24"/>
                <w:szCs w:val="24"/>
              </w:rPr>
              <w:t xml:space="preserve"> GEMOX alone</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March, 2015</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Fondazione del Piemonte per l'Oncologia</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NCT01389414</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Gemcitabine + Capecitabine + Bevacizumab </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May,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Roswell Park Cancer Institute</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NCT01007552</w:t>
            </w:r>
          </w:p>
        </w:tc>
      </w:tr>
      <w:tr w:rsidR="006D10E1" w:rsidRPr="006D10E1" w:rsidTr="006D10E1">
        <w:trPr>
          <w:trHeight w:val="22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Everolimus</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June,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Ratchavithi Hospital</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NCT01525719</w:t>
            </w:r>
          </w:p>
        </w:tc>
      </w:tr>
      <w:tr w:rsidR="006D10E1" w:rsidRPr="006D10E1" w:rsidTr="006D10E1">
        <w:trPr>
          <w:trHeight w:val="88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GEMOX + Sorafenib </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Aug.,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University of Miami Sylvester </w:t>
            </w:r>
            <w:r w:rsidRPr="006D10E1">
              <w:rPr>
                <w:rFonts w:ascii="Book Antiqua" w:hAnsi="Book Antiqua"/>
                <w:color w:val="auto"/>
                <w:sz w:val="24"/>
                <w:szCs w:val="24"/>
              </w:rPr>
              <w:lastRenderedPageBreak/>
              <w:t>Comprehensive Cancer Center</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lastRenderedPageBreak/>
              <w:t>NCT00955721</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lastRenderedPageBreak/>
              <w:t>Gemcitabine + Cisplatin + Sorafenib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March,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Memorial Sloan-Kettering Cancer Center</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NCT00919061</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Gemcitabine + Cisplatin + Selumetinib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Jan., 2015</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AstraZeneca</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NCT01242605</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Gemcitabine + Cisplatin + Selumetinib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Dec., 2014</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AstraZeneca</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NCT01949870</w:t>
            </w:r>
          </w:p>
        </w:tc>
      </w:tr>
      <w:tr w:rsidR="006D10E1" w:rsidRPr="006D10E1" w:rsidTr="006D10E1">
        <w:trPr>
          <w:trHeight w:val="222"/>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Trametinib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Feb., 2015</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GlaxoSmithKline</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NCT01943864</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 xml:space="preserve">Trametinib </w:t>
            </w:r>
            <w:r w:rsidRPr="006D10E1">
              <w:rPr>
                <w:rFonts w:ascii="Book Antiqua" w:hAnsi="Book Antiqua"/>
                <w:i/>
                <w:color w:val="auto"/>
                <w:sz w:val="24"/>
                <w:szCs w:val="24"/>
              </w:rPr>
              <w:t>vs</w:t>
            </w:r>
            <w:r w:rsidRPr="006D10E1">
              <w:rPr>
                <w:rFonts w:ascii="Book Antiqua" w:hAnsi="Book Antiqua"/>
                <w:color w:val="auto"/>
                <w:sz w:val="24"/>
                <w:szCs w:val="24"/>
              </w:rPr>
              <w:t xml:space="preserve"> 5-FU + Leucovorin </w:t>
            </w:r>
            <w:r w:rsidRPr="006D10E1">
              <w:rPr>
                <w:rFonts w:ascii="Book Antiqua" w:hAnsi="Book Antiqua"/>
                <w:i/>
                <w:color w:val="auto"/>
                <w:sz w:val="24"/>
                <w:szCs w:val="24"/>
              </w:rPr>
              <w:t>vs</w:t>
            </w:r>
            <w:r w:rsidRPr="006D10E1">
              <w:rPr>
                <w:rFonts w:ascii="Book Antiqua" w:hAnsi="Book Antiqua"/>
                <w:color w:val="auto"/>
                <w:sz w:val="24"/>
                <w:szCs w:val="24"/>
              </w:rPr>
              <w:t xml:space="preserve"> Capecitabine</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July, 2016</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National Cancer Institute</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NCT02042443</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Celecoxib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IV</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Dec., 2015</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Seoul National University Hospital</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NCT01111591</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Regorafenib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Feb., 2018</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University of Pittsburgh</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NCT02053376</w:t>
            </w:r>
          </w:p>
        </w:tc>
      </w:tr>
      <w:tr w:rsidR="006D10E1" w:rsidRPr="006D10E1" w:rsidTr="006D10E1">
        <w:trPr>
          <w:trHeight w:val="470"/>
        </w:trPr>
        <w:tc>
          <w:tcPr>
            <w:tcW w:w="396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Regorafenib</w:t>
            </w:r>
          </w:p>
        </w:tc>
        <w:tc>
          <w:tcPr>
            <w:tcW w:w="72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w:t>
            </w:r>
          </w:p>
        </w:tc>
        <w:tc>
          <w:tcPr>
            <w:tcW w:w="135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Oct., 2018</w:t>
            </w:r>
          </w:p>
        </w:tc>
        <w:tc>
          <w:tcPr>
            <w:tcW w:w="2610"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H. Lee Moffitt Cancer Center and Research Institute</w:t>
            </w:r>
          </w:p>
        </w:tc>
        <w:tc>
          <w:tcPr>
            <w:tcW w:w="1926" w:type="dxa"/>
            <w:tcBorders>
              <w:top w:val="nil"/>
              <w:bottom w:val="nil"/>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NCT02115542</w:t>
            </w:r>
          </w:p>
        </w:tc>
      </w:tr>
      <w:tr w:rsidR="006D10E1" w:rsidRPr="006D10E1" w:rsidTr="006D10E1">
        <w:trPr>
          <w:trHeight w:val="470"/>
        </w:trPr>
        <w:tc>
          <w:tcPr>
            <w:tcW w:w="3960" w:type="dxa"/>
            <w:tcBorders>
              <w:top w:val="nil"/>
              <w:bottom w:val="single" w:sz="4" w:space="0" w:color="auto"/>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Regorafenib + mGEMOX</w:t>
            </w:r>
          </w:p>
        </w:tc>
        <w:tc>
          <w:tcPr>
            <w:tcW w:w="720" w:type="dxa"/>
            <w:tcBorders>
              <w:top w:val="nil"/>
              <w:bottom w:val="single" w:sz="4" w:space="0" w:color="auto"/>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I/II</w:t>
            </w:r>
          </w:p>
        </w:tc>
        <w:tc>
          <w:tcPr>
            <w:tcW w:w="1350" w:type="dxa"/>
            <w:tcBorders>
              <w:top w:val="nil"/>
              <w:bottom w:val="single" w:sz="4" w:space="0" w:color="auto"/>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April, 2019</w:t>
            </w:r>
          </w:p>
        </w:tc>
        <w:tc>
          <w:tcPr>
            <w:tcW w:w="2610" w:type="dxa"/>
            <w:tcBorders>
              <w:top w:val="nil"/>
              <w:bottom w:val="single" w:sz="4" w:space="0" w:color="auto"/>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Institut du Cancer de Montpellier - Val d'Aurelle</w:t>
            </w:r>
          </w:p>
        </w:tc>
        <w:tc>
          <w:tcPr>
            <w:tcW w:w="1926" w:type="dxa"/>
            <w:tcBorders>
              <w:top w:val="nil"/>
              <w:bottom w:val="single" w:sz="4" w:space="0" w:color="auto"/>
            </w:tcBorders>
            <w:tcMar>
              <w:top w:w="80" w:type="dxa"/>
              <w:left w:w="80" w:type="dxa"/>
              <w:bottom w:w="80" w:type="dxa"/>
              <w:right w:w="80" w:type="dxa"/>
            </w:tcMar>
            <w:vAlign w:val="center"/>
          </w:tcPr>
          <w:p w:rsidR="006D10E1" w:rsidRPr="006D10E1" w:rsidRDefault="006D10E1" w:rsidP="006D10E1">
            <w:pPr>
              <w:spacing w:after="0" w:line="360" w:lineRule="auto"/>
              <w:jc w:val="both"/>
              <w:rPr>
                <w:rFonts w:ascii="Book Antiqua" w:hAnsi="Book Antiqua"/>
                <w:color w:val="auto"/>
                <w:sz w:val="24"/>
                <w:szCs w:val="24"/>
              </w:rPr>
            </w:pPr>
            <w:r w:rsidRPr="006D10E1">
              <w:rPr>
                <w:rFonts w:ascii="Book Antiqua" w:hAnsi="Book Antiqua"/>
                <w:color w:val="auto"/>
                <w:sz w:val="24"/>
                <w:szCs w:val="24"/>
              </w:rPr>
              <w:t>NCT02386397</w:t>
            </w:r>
          </w:p>
        </w:tc>
      </w:tr>
    </w:tbl>
    <w:p w:rsidR="006D10E1" w:rsidRPr="00100F3A" w:rsidRDefault="006D10E1" w:rsidP="006D10E1">
      <w:pPr>
        <w:spacing w:after="0" w:line="360" w:lineRule="auto"/>
        <w:jc w:val="both"/>
        <w:rPr>
          <w:rFonts w:ascii="Book Antiqua" w:eastAsia="Times New Roman" w:hAnsi="Book Antiqua"/>
          <w:b/>
          <w:color w:val="auto"/>
          <w:sz w:val="24"/>
        </w:rPr>
      </w:pPr>
      <w:r w:rsidRPr="00100F3A">
        <w:rPr>
          <w:rFonts w:ascii="Book Antiqua" w:hAnsi="Book Antiqua"/>
          <w:color w:val="auto"/>
          <w:sz w:val="24"/>
        </w:rPr>
        <w:t xml:space="preserve">5-FU: 5-Fluorouracil; GEMOX: Gemcitabine and oxaliplatin. </w:t>
      </w:r>
    </w:p>
    <w:p w:rsidR="00AA43C5" w:rsidRDefault="00AA43C5" w:rsidP="006D10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Book Antiqua" w:hAnsi="Book Antiqua"/>
          <w:color w:val="auto"/>
          <w:sz w:val="24"/>
        </w:rPr>
      </w:pPr>
      <w:r>
        <w:rPr>
          <w:rFonts w:ascii="Book Antiqua" w:hAnsi="Book Antiqua"/>
          <w:color w:val="auto"/>
          <w:sz w:val="24"/>
        </w:rPr>
        <w:br w:type="page"/>
      </w:r>
    </w:p>
    <w:p w:rsidR="00AA43C5" w:rsidRPr="00100F3A" w:rsidRDefault="00AA43C5" w:rsidP="00AA43C5">
      <w:pPr>
        <w:jc w:val="both"/>
        <w:rPr>
          <w:rFonts w:ascii="Book Antiqua" w:hAnsi="Book Antiqua"/>
          <w:color w:val="auto"/>
          <w:sz w:val="24"/>
        </w:rPr>
      </w:pPr>
    </w:p>
    <w:p w:rsidR="00AA43C5" w:rsidRPr="00100F3A" w:rsidRDefault="00AA43C5" w:rsidP="00AA43C5">
      <w:pPr>
        <w:jc w:val="both"/>
        <w:rPr>
          <w:rFonts w:ascii="Times New Roman" w:eastAsia="Times New Roman" w:hAnsi="Times New Roman"/>
          <w:color w:val="auto"/>
          <w:sz w:val="20"/>
        </w:rPr>
      </w:pPr>
      <w:r w:rsidRPr="00100F3A">
        <w:rPr>
          <w:rFonts w:ascii="Times New Roman" w:eastAsia="Times New Roman" w:hAnsi="Times New Roman"/>
          <w:noProof/>
          <w:color w:val="auto"/>
          <w:sz w:val="20"/>
          <w:lang w:eastAsia="zh-CN"/>
        </w:rPr>
        <w:drawing>
          <wp:inline distT="0" distB="0" distL="0" distR="0" wp14:anchorId="5B5BF9B4" wp14:editId="72874DFF">
            <wp:extent cx="5943600" cy="4457700"/>
            <wp:effectExtent l="19050" t="0" r="0" b="0"/>
            <wp:docPr id="1" name="Picture 1" descr="C:\Users\Eric\Desktop\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Figure 1.tif"/>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43C5" w:rsidRDefault="00AA43C5" w:rsidP="00AA43C5">
      <w:pPr>
        <w:spacing w:line="360" w:lineRule="auto"/>
        <w:jc w:val="both"/>
        <w:rPr>
          <w:rFonts w:ascii="Book Antiqua" w:hAnsi="Book Antiqua"/>
          <w:color w:val="auto"/>
          <w:sz w:val="24"/>
          <w:lang w:eastAsia="zh-CN"/>
        </w:rPr>
      </w:pPr>
      <w:r w:rsidRPr="00100F3A">
        <w:rPr>
          <w:rFonts w:ascii="Book Antiqua" w:hAnsi="Book Antiqua"/>
          <w:b/>
          <w:color w:val="auto"/>
          <w:sz w:val="24"/>
        </w:rPr>
        <w:t>Figure 1   Molecular and genetic changes that occur during pathogenesis of malignant neoplasms in the biliary tract.</w:t>
      </w:r>
      <w:r w:rsidRPr="00100F3A">
        <w:rPr>
          <w:rFonts w:ascii="Book Antiqua" w:hAnsi="Book Antiqua"/>
          <w:color w:val="auto"/>
          <w:sz w:val="24"/>
        </w:rPr>
        <w:t xml:space="preserve"> BilIN: </w:t>
      </w:r>
      <w:r w:rsidR="006D10E1" w:rsidRPr="00100F3A">
        <w:rPr>
          <w:rFonts w:ascii="Book Antiqua" w:eastAsia="Times New Roman" w:hAnsi="Book Antiqua"/>
          <w:color w:val="auto"/>
          <w:sz w:val="24"/>
        </w:rPr>
        <w:t xml:space="preserve">Biliary </w:t>
      </w:r>
      <w:r w:rsidRPr="00100F3A">
        <w:rPr>
          <w:rFonts w:ascii="Book Antiqua" w:eastAsia="Times New Roman" w:hAnsi="Book Antiqua"/>
          <w:color w:val="auto"/>
          <w:sz w:val="24"/>
        </w:rPr>
        <w:t>intraepithelial neoplasm</w:t>
      </w:r>
      <w:r w:rsidRPr="00100F3A">
        <w:rPr>
          <w:rFonts w:ascii="Book Antiqua" w:hAnsi="Book Antiqua"/>
          <w:color w:val="auto"/>
          <w:sz w:val="24"/>
        </w:rPr>
        <w:t xml:space="preserve">; CIS: </w:t>
      </w:r>
      <w:r w:rsidR="006D10E1" w:rsidRPr="00100F3A">
        <w:rPr>
          <w:rFonts w:ascii="Book Antiqua" w:hAnsi="Book Antiqua"/>
          <w:color w:val="auto"/>
          <w:sz w:val="24"/>
        </w:rPr>
        <w:t xml:space="preserve">Carcinoma </w:t>
      </w:r>
      <w:r w:rsidRPr="00100F3A">
        <w:rPr>
          <w:rFonts w:ascii="Book Antiqua" w:hAnsi="Book Antiqua"/>
          <w:color w:val="auto"/>
          <w:sz w:val="24"/>
        </w:rPr>
        <w:t xml:space="preserve">in situ; COX2: </w:t>
      </w:r>
      <w:r w:rsidR="006D10E1" w:rsidRPr="00100F3A">
        <w:rPr>
          <w:rFonts w:ascii="Book Antiqua" w:hAnsi="Book Antiqua"/>
          <w:color w:val="auto"/>
          <w:sz w:val="24"/>
        </w:rPr>
        <w:t xml:space="preserve">Cyclooxygenase </w:t>
      </w:r>
      <w:r w:rsidRPr="00100F3A">
        <w:rPr>
          <w:rFonts w:ascii="Book Antiqua" w:hAnsi="Book Antiqua"/>
          <w:color w:val="auto"/>
          <w:sz w:val="24"/>
        </w:rPr>
        <w:t xml:space="preserve">2; FHT: </w:t>
      </w:r>
      <w:r w:rsidR="006D10E1" w:rsidRPr="00100F3A">
        <w:rPr>
          <w:rFonts w:ascii="Book Antiqua" w:hAnsi="Book Antiqua"/>
          <w:color w:val="auto"/>
          <w:sz w:val="24"/>
        </w:rPr>
        <w:t xml:space="preserve">Fragile </w:t>
      </w:r>
      <w:r w:rsidRPr="00100F3A">
        <w:rPr>
          <w:rFonts w:ascii="Book Antiqua" w:hAnsi="Book Antiqua"/>
          <w:color w:val="auto"/>
          <w:sz w:val="24"/>
        </w:rPr>
        <w:t xml:space="preserve">histidine triad; GB: </w:t>
      </w:r>
      <w:r w:rsidR="006D10E1" w:rsidRPr="00100F3A">
        <w:rPr>
          <w:rFonts w:ascii="Book Antiqua" w:hAnsi="Book Antiqua"/>
          <w:color w:val="auto"/>
          <w:sz w:val="24"/>
        </w:rPr>
        <w:t xml:space="preserve">Gall </w:t>
      </w:r>
      <w:r w:rsidRPr="00100F3A">
        <w:rPr>
          <w:rFonts w:ascii="Book Antiqua" w:hAnsi="Book Antiqua"/>
          <w:color w:val="auto"/>
          <w:sz w:val="24"/>
        </w:rPr>
        <w:t xml:space="preserve">bladder; HER2: </w:t>
      </w:r>
      <w:r w:rsidR="006D10E1" w:rsidRPr="00100F3A">
        <w:rPr>
          <w:rFonts w:ascii="Book Antiqua" w:hAnsi="Book Antiqua"/>
          <w:color w:val="auto"/>
          <w:sz w:val="24"/>
        </w:rPr>
        <w:t xml:space="preserve">Human </w:t>
      </w:r>
      <w:r w:rsidRPr="00100F3A">
        <w:rPr>
          <w:rFonts w:ascii="Book Antiqua" w:hAnsi="Book Antiqua"/>
          <w:color w:val="auto"/>
          <w:sz w:val="24"/>
        </w:rPr>
        <w:t xml:space="preserve">epidermal growth factor receptor 2; iNOS: </w:t>
      </w:r>
      <w:r w:rsidR="006D10E1" w:rsidRPr="00100F3A">
        <w:rPr>
          <w:rFonts w:ascii="Book Antiqua" w:hAnsi="Book Antiqua"/>
          <w:color w:val="auto"/>
          <w:sz w:val="24"/>
        </w:rPr>
        <w:t xml:space="preserve">Inducible </w:t>
      </w:r>
      <w:r w:rsidRPr="00100F3A">
        <w:rPr>
          <w:rFonts w:ascii="Book Antiqua" w:hAnsi="Book Antiqua"/>
          <w:color w:val="auto"/>
          <w:sz w:val="24"/>
        </w:rPr>
        <w:t xml:space="preserve">nitric oxide synthase; IPNB: </w:t>
      </w:r>
      <w:r w:rsidR="006D10E1" w:rsidRPr="00100F3A">
        <w:rPr>
          <w:rFonts w:ascii="Book Antiqua" w:hAnsi="Book Antiqua"/>
          <w:color w:val="auto"/>
          <w:sz w:val="24"/>
        </w:rPr>
        <w:t xml:space="preserve">Intraepithelial </w:t>
      </w:r>
      <w:r w:rsidRPr="00100F3A">
        <w:rPr>
          <w:rFonts w:ascii="Book Antiqua" w:hAnsi="Book Antiqua"/>
          <w:color w:val="auto"/>
          <w:sz w:val="24"/>
        </w:rPr>
        <w:t xml:space="preserve">papillary neoplasm of the bile duct; LOH: </w:t>
      </w:r>
      <w:r w:rsidR="006D10E1" w:rsidRPr="00100F3A">
        <w:rPr>
          <w:rFonts w:ascii="Book Antiqua" w:hAnsi="Book Antiqua"/>
          <w:color w:val="auto"/>
          <w:sz w:val="24"/>
        </w:rPr>
        <w:t xml:space="preserve">Loss </w:t>
      </w:r>
      <w:r w:rsidRPr="00100F3A">
        <w:rPr>
          <w:rFonts w:ascii="Book Antiqua" w:hAnsi="Book Antiqua"/>
          <w:color w:val="auto"/>
          <w:sz w:val="24"/>
        </w:rPr>
        <w:t xml:space="preserve">of heterozygosity; MUC5AC: </w:t>
      </w:r>
      <w:r w:rsidR="006D10E1" w:rsidRPr="00100F3A">
        <w:rPr>
          <w:rFonts w:ascii="Book Antiqua" w:eastAsia="Times New Roman" w:hAnsi="Book Antiqua"/>
          <w:color w:val="auto"/>
          <w:sz w:val="24"/>
        </w:rPr>
        <w:t xml:space="preserve">Mucin </w:t>
      </w:r>
      <w:r w:rsidRPr="00100F3A">
        <w:rPr>
          <w:rFonts w:ascii="Book Antiqua" w:eastAsia="Times New Roman" w:hAnsi="Book Antiqua"/>
          <w:color w:val="auto"/>
          <w:sz w:val="24"/>
        </w:rPr>
        <w:t>core protein 5AC.</w:t>
      </w:r>
      <w:r w:rsidRPr="00100F3A">
        <w:rPr>
          <w:rFonts w:ascii="Book Antiqua" w:hAnsi="Book Antiqua"/>
          <w:color w:val="auto"/>
          <w:sz w:val="24"/>
        </w:rPr>
        <w:t xml:space="preserve"> </w:t>
      </w:r>
    </w:p>
    <w:p w:rsidR="00AA43C5" w:rsidRPr="00100F3A" w:rsidRDefault="00AA43C5" w:rsidP="00AA43C5">
      <w:pPr>
        <w:spacing w:after="0" w:line="360" w:lineRule="auto"/>
        <w:jc w:val="both"/>
        <w:rPr>
          <w:rFonts w:ascii="Times New Roman Bold" w:eastAsia="Times New Roman Bold" w:hAnsi="Times New Roman Bold"/>
          <w:color w:val="auto"/>
          <w:sz w:val="20"/>
        </w:rPr>
      </w:pPr>
      <w:r w:rsidRPr="00100F3A">
        <w:rPr>
          <w:rFonts w:ascii="Book Antiqua" w:eastAsia="Times New Roman" w:hAnsi="Book Antiqua"/>
          <w:noProof/>
          <w:color w:val="auto"/>
          <w:sz w:val="24"/>
          <w:lang w:eastAsia="zh-CN"/>
        </w:rPr>
        <w:lastRenderedPageBreak/>
        <w:drawing>
          <wp:inline distT="0" distB="0" distL="0" distR="0" wp14:anchorId="0720F27B" wp14:editId="1602FBD4">
            <wp:extent cx="5943600" cy="4457700"/>
            <wp:effectExtent l="19050" t="0" r="0" b="0"/>
            <wp:docPr id="3" name="Picture 2" descr="C:\Users\Eric\Desktop\Figure 2 - 9 26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Desktop\Figure 2 - 9 26 14.tif"/>
                    <pic:cNvPicPr>
                      <a:picLocks noChangeAspect="1" noChangeArrowheads="1"/>
                    </pic:cNvPicPr>
                  </pic:nvPicPr>
                  <pic:blipFill>
                    <a:blip r:embed="rId1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43C5" w:rsidRPr="00100F3A" w:rsidRDefault="00AA43C5" w:rsidP="00AA43C5">
      <w:pPr>
        <w:spacing w:after="0" w:line="360" w:lineRule="auto"/>
        <w:jc w:val="both"/>
        <w:rPr>
          <w:rFonts w:ascii="Book Antiqua" w:eastAsia="Times New Roman" w:hAnsi="Book Antiqua"/>
          <w:b/>
          <w:color w:val="auto"/>
          <w:sz w:val="24"/>
        </w:rPr>
      </w:pPr>
      <w:r w:rsidRPr="00100F3A">
        <w:rPr>
          <w:rFonts w:ascii="Book Antiqua" w:hAnsi="Book Antiqua"/>
          <w:b/>
          <w:color w:val="auto"/>
          <w:sz w:val="24"/>
        </w:rPr>
        <w:t>Figure 2   Targeted agents and their sites of action in biliary tract carcinoma.</w:t>
      </w:r>
    </w:p>
    <w:p w:rsidR="00CF6F81" w:rsidRPr="00100F3A" w:rsidRDefault="00CF6F81" w:rsidP="00AA43C5">
      <w:pPr>
        <w:spacing w:after="0" w:line="360" w:lineRule="auto"/>
        <w:ind w:left="720" w:hanging="720"/>
        <w:jc w:val="both"/>
        <w:rPr>
          <w:rFonts w:ascii="Book Antiqua" w:hAnsi="Book Antiqua"/>
          <w:color w:val="auto"/>
          <w:sz w:val="24"/>
        </w:rPr>
      </w:pPr>
    </w:p>
    <w:sectPr w:rsidR="00CF6F81" w:rsidRPr="00100F3A" w:rsidSect="00E25F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15" w:rsidRDefault="00400B15">
      <w:pPr>
        <w:spacing w:after="0" w:line="240" w:lineRule="auto"/>
      </w:pPr>
      <w:r>
        <w:separator/>
      </w:r>
    </w:p>
  </w:endnote>
  <w:endnote w:type="continuationSeparator" w:id="0">
    <w:p w:rsidR="00400B15" w:rsidRDefault="0040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C5" w:rsidRDefault="00AA43C5">
    <w:pPr>
      <w:pStyle w:val="Footer"/>
      <w:tabs>
        <w:tab w:val="clear" w:pos="9360"/>
        <w:tab w:val="right" w:pos="9340"/>
      </w:tabs>
      <w:jc w:val="center"/>
    </w:pPr>
    <w:r>
      <w:fldChar w:fldCharType="begin"/>
    </w:r>
    <w:r>
      <w:instrText xml:space="preserve"> PAGE </w:instrText>
    </w:r>
    <w:r>
      <w:fldChar w:fldCharType="separate"/>
    </w:r>
    <w:r w:rsidR="00FA0829">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15" w:rsidRDefault="00400B15">
      <w:pPr>
        <w:spacing w:after="0" w:line="240" w:lineRule="auto"/>
      </w:pPr>
      <w:r>
        <w:separator/>
      </w:r>
    </w:p>
  </w:footnote>
  <w:footnote w:type="continuationSeparator" w:id="0">
    <w:p w:rsidR="00400B15" w:rsidRDefault="00400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C6BE8"/>
    <w:multiLevelType w:val="multilevel"/>
    <w:tmpl w:val="F1E0AC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51BB4C74"/>
    <w:multiLevelType w:val="multilevel"/>
    <w:tmpl w:val="88B88B5A"/>
    <w:lvl w:ilvl="0">
      <w:numFmt w:val="bullet"/>
      <w:lvlText w:val="•"/>
      <w:lvlJc w:val="left"/>
      <w:pPr>
        <w:tabs>
          <w:tab w:val="num" w:pos="1020"/>
        </w:tabs>
        <w:ind w:left="1020" w:hanging="300"/>
      </w:pPr>
      <w:rPr>
        <w:rFonts w:ascii="Times New Roman Bold" w:eastAsia="Times New Roman Bold" w:hAnsi="Times New Roman Bold" w:cs="Arial Unicode MS"/>
        <w:position w:val="0"/>
        <w:sz w:val="22"/>
        <w:szCs w:val="22"/>
      </w:rPr>
    </w:lvl>
    <w:lvl w:ilvl="1">
      <w:start w:val="1"/>
      <w:numFmt w:val="bullet"/>
      <w:lvlText w:val="o"/>
      <w:lvlJc w:val="left"/>
      <w:pPr>
        <w:tabs>
          <w:tab w:val="num" w:pos="1800"/>
        </w:tabs>
        <w:ind w:left="1800" w:hanging="1800"/>
      </w:pPr>
      <w:rPr>
        <w:rFonts w:ascii="Times New Roman Bold" w:eastAsia="Times New Roman Bold" w:hAnsi="Times New Roman Bold" w:cs="Arial Unicode MS"/>
        <w:position w:val="0"/>
        <w:sz w:val="20"/>
        <w:szCs w:val="20"/>
      </w:rPr>
    </w:lvl>
    <w:lvl w:ilvl="2">
      <w:start w:val="1"/>
      <w:numFmt w:val="bullet"/>
      <w:lvlText w:val="▪"/>
      <w:lvlJc w:val="left"/>
      <w:pPr>
        <w:tabs>
          <w:tab w:val="num" w:pos="2460"/>
        </w:tabs>
        <w:ind w:left="2460" w:hanging="300"/>
      </w:pPr>
      <w:rPr>
        <w:rFonts w:ascii="Times New Roman Bold" w:eastAsia="Times New Roman Bold" w:hAnsi="Times New Roman Bold" w:cs="Arial Unicode MS"/>
        <w:position w:val="0"/>
        <w:sz w:val="20"/>
        <w:szCs w:val="20"/>
      </w:rPr>
    </w:lvl>
    <w:lvl w:ilvl="3">
      <w:start w:val="1"/>
      <w:numFmt w:val="bullet"/>
      <w:lvlText w:val="•"/>
      <w:lvlJc w:val="left"/>
      <w:pPr>
        <w:tabs>
          <w:tab w:val="num" w:pos="3180"/>
        </w:tabs>
        <w:ind w:left="3180" w:hanging="300"/>
      </w:pPr>
      <w:rPr>
        <w:rFonts w:ascii="Times New Roman Bold" w:eastAsia="Times New Roman Bold" w:hAnsi="Times New Roman Bold" w:cs="Arial Unicode MS"/>
        <w:position w:val="0"/>
        <w:sz w:val="20"/>
        <w:szCs w:val="20"/>
      </w:rPr>
    </w:lvl>
    <w:lvl w:ilvl="4">
      <w:start w:val="1"/>
      <w:numFmt w:val="bullet"/>
      <w:lvlText w:val="o"/>
      <w:lvlJc w:val="left"/>
      <w:pPr>
        <w:tabs>
          <w:tab w:val="num" w:pos="3900"/>
        </w:tabs>
        <w:ind w:left="3900" w:hanging="300"/>
      </w:pPr>
      <w:rPr>
        <w:rFonts w:ascii="Times New Roman Bold" w:eastAsia="Times New Roman Bold" w:hAnsi="Times New Roman Bold" w:cs="Arial Unicode MS"/>
        <w:position w:val="0"/>
        <w:sz w:val="20"/>
        <w:szCs w:val="20"/>
      </w:rPr>
    </w:lvl>
    <w:lvl w:ilvl="5">
      <w:start w:val="1"/>
      <w:numFmt w:val="bullet"/>
      <w:lvlText w:val="▪"/>
      <w:lvlJc w:val="left"/>
      <w:pPr>
        <w:tabs>
          <w:tab w:val="num" w:pos="4620"/>
        </w:tabs>
        <w:ind w:left="4620" w:hanging="300"/>
      </w:pPr>
      <w:rPr>
        <w:rFonts w:ascii="Times New Roman Bold" w:eastAsia="Times New Roman Bold" w:hAnsi="Times New Roman Bold" w:cs="Arial Unicode MS"/>
        <w:position w:val="0"/>
        <w:sz w:val="20"/>
        <w:szCs w:val="20"/>
      </w:rPr>
    </w:lvl>
    <w:lvl w:ilvl="6">
      <w:start w:val="1"/>
      <w:numFmt w:val="bullet"/>
      <w:lvlText w:val="•"/>
      <w:lvlJc w:val="left"/>
      <w:pPr>
        <w:tabs>
          <w:tab w:val="num" w:pos="5340"/>
        </w:tabs>
        <w:ind w:left="5340" w:hanging="300"/>
      </w:pPr>
      <w:rPr>
        <w:rFonts w:ascii="Times New Roman Bold" w:eastAsia="Times New Roman Bold" w:hAnsi="Times New Roman Bold" w:cs="Arial Unicode MS"/>
        <w:position w:val="0"/>
        <w:sz w:val="20"/>
        <w:szCs w:val="20"/>
      </w:rPr>
    </w:lvl>
    <w:lvl w:ilvl="7">
      <w:start w:val="1"/>
      <w:numFmt w:val="bullet"/>
      <w:lvlText w:val="o"/>
      <w:lvlJc w:val="left"/>
      <w:pPr>
        <w:tabs>
          <w:tab w:val="num" w:pos="6060"/>
        </w:tabs>
        <w:ind w:left="6060" w:hanging="300"/>
      </w:pPr>
      <w:rPr>
        <w:rFonts w:ascii="Times New Roman Bold" w:eastAsia="Times New Roman Bold" w:hAnsi="Times New Roman Bold" w:cs="Arial Unicode MS"/>
        <w:position w:val="0"/>
        <w:sz w:val="20"/>
        <w:szCs w:val="20"/>
      </w:rPr>
    </w:lvl>
    <w:lvl w:ilvl="8">
      <w:start w:val="1"/>
      <w:numFmt w:val="bullet"/>
      <w:lvlText w:val="▪"/>
      <w:lvlJc w:val="left"/>
      <w:pPr>
        <w:tabs>
          <w:tab w:val="num" w:pos="6780"/>
        </w:tabs>
        <w:ind w:left="6780" w:hanging="300"/>
      </w:pPr>
      <w:rPr>
        <w:rFonts w:ascii="Times New Roman Bold" w:eastAsia="Times New Roman Bold" w:hAnsi="Times New Roman Bold" w:cs="Arial Unicode MS"/>
        <w:position w:val="0"/>
        <w:sz w:val="20"/>
        <w:szCs w:val="20"/>
      </w:rPr>
    </w:lvl>
  </w:abstractNum>
  <w:abstractNum w:abstractNumId="2" w15:restartNumberingAfterBreak="0">
    <w:nsid w:val="5B010E7B"/>
    <w:multiLevelType w:val="multilevel"/>
    <w:tmpl w:val="5F8CFB0A"/>
    <w:lvl w:ilvl="0">
      <w:start w:val="1"/>
      <w:numFmt w:val="bullet"/>
      <w:lvlText w:val="•"/>
      <w:lvlJc w:val="left"/>
      <w:pPr>
        <w:tabs>
          <w:tab w:val="num" w:pos="1020"/>
        </w:tabs>
        <w:ind w:left="1020" w:hanging="300"/>
      </w:pPr>
      <w:rPr>
        <w:rFonts w:ascii="Times New Roman Bold" w:eastAsia="Times New Roman Bold" w:hAnsi="Times New Roman Bold" w:cs="Arial Unicode MS"/>
        <w:position w:val="0"/>
        <w:sz w:val="20"/>
        <w:szCs w:val="20"/>
      </w:rPr>
    </w:lvl>
    <w:lvl w:ilvl="1">
      <w:start w:val="1"/>
      <w:numFmt w:val="bullet"/>
      <w:lvlText w:val="o"/>
      <w:lvlJc w:val="left"/>
      <w:pPr>
        <w:tabs>
          <w:tab w:val="num" w:pos="1800"/>
        </w:tabs>
        <w:ind w:left="1800" w:hanging="1800"/>
      </w:pPr>
      <w:rPr>
        <w:rFonts w:ascii="Times New Roman Bold" w:eastAsia="Times New Roman Bold" w:hAnsi="Times New Roman Bold" w:cs="Arial Unicode MS"/>
        <w:position w:val="0"/>
        <w:sz w:val="20"/>
        <w:szCs w:val="20"/>
      </w:rPr>
    </w:lvl>
    <w:lvl w:ilvl="2">
      <w:start w:val="1"/>
      <w:numFmt w:val="bullet"/>
      <w:lvlText w:val="▪"/>
      <w:lvlJc w:val="left"/>
      <w:pPr>
        <w:tabs>
          <w:tab w:val="num" w:pos="2460"/>
        </w:tabs>
        <w:ind w:left="2460" w:hanging="300"/>
      </w:pPr>
      <w:rPr>
        <w:rFonts w:ascii="Times New Roman Bold" w:eastAsia="Times New Roman Bold" w:hAnsi="Times New Roman Bold" w:cs="Arial Unicode MS"/>
        <w:position w:val="0"/>
        <w:sz w:val="20"/>
        <w:szCs w:val="20"/>
      </w:rPr>
    </w:lvl>
    <w:lvl w:ilvl="3">
      <w:start w:val="1"/>
      <w:numFmt w:val="bullet"/>
      <w:lvlText w:val="•"/>
      <w:lvlJc w:val="left"/>
      <w:pPr>
        <w:tabs>
          <w:tab w:val="num" w:pos="3180"/>
        </w:tabs>
        <w:ind w:left="3180" w:hanging="300"/>
      </w:pPr>
      <w:rPr>
        <w:rFonts w:ascii="Times New Roman Bold" w:eastAsia="Times New Roman Bold" w:hAnsi="Times New Roman Bold" w:cs="Arial Unicode MS"/>
        <w:position w:val="0"/>
        <w:sz w:val="20"/>
        <w:szCs w:val="20"/>
      </w:rPr>
    </w:lvl>
    <w:lvl w:ilvl="4">
      <w:start w:val="1"/>
      <w:numFmt w:val="bullet"/>
      <w:lvlText w:val="o"/>
      <w:lvlJc w:val="left"/>
      <w:pPr>
        <w:tabs>
          <w:tab w:val="num" w:pos="3900"/>
        </w:tabs>
        <w:ind w:left="3900" w:hanging="300"/>
      </w:pPr>
      <w:rPr>
        <w:rFonts w:ascii="Times New Roman Bold" w:eastAsia="Times New Roman Bold" w:hAnsi="Times New Roman Bold" w:cs="Arial Unicode MS"/>
        <w:position w:val="0"/>
        <w:sz w:val="20"/>
        <w:szCs w:val="20"/>
      </w:rPr>
    </w:lvl>
    <w:lvl w:ilvl="5">
      <w:start w:val="1"/>
      <w:numFmt w:val="bullet"/>
      <w:lvlText w:val="▪"/>
      <w:lvlJc w:val="left"/>
      <w:pPr>
        <w:tabs>
          <w:tab w:val="num" w:pos="4620"/>
        </w:tabs>
        <w:ind w:left="4620" w:hanging="300"/>
      </w:pPr>
      <w:rPr>
        <w:rFonts w:ascii="Times New Roman Bold" w:eastAsia="Times New Roman Bold" w:hAnsi="Times New Roman Bold" w:cs="Arial Unicode MS"/>
        <w:position w:val="0"/>
        <w:sz w:val="20"/>
        <w:szCs w:val="20"/>
      </w:rPr>
    </w:lvl>
    <w:lvl w:ilvl="6">
      <w:start w:val="1"/>
      <w:numFmt w:val="bullet"/>
      <w:lvlText w:val="•"/>
      <w:lvlJc w:val="left"/>
      <w:pPr>
        <w:tabs>
          <w:tab w:val="num" w:pos="5340"/>
        </w:tabs>
        <w:ind w:left="5340" w:hanging="300"/>
      </w:pPr>
      <w:rPr>
        <w:rFonts w:ascii="Times New Roman Bold" w:eastAsia="Times New Roman Bold" w:hAnsi="Times New Roman Bold" w:cs="Arial Unicode MS"/>
        <w:position w:val="0"/>
        <w:sz w:val="20"/>
        <w:szCs w:val="20"/>
      </w:rPr>
    </w:lvl>
    <w:lvl w:ilvl="7">
      <w:start w:val="1"/>
      <w:numFmt w:val="bullet"/>
      <w:lvlText w:val="o"/>
      <w:lvlJc w:val="left"/>
      <w:pPr>
        <w:tabs>
          <w:tab w:val="num" w:pos="6060"/>
        </w:tabs>
        <w:ind w:left="6060" w:hanging="300"/>
      </w:pPr>
      <w:rPr>
        <w:rFonts w:ascii="Times New Roman Bold" w:eastAsia="Times New Roman Bold" w:hAnsi="Times New Roman Bold" w:cs="Arial Unicode MS"/>
        <w:position w:val="0"/>
        <w:sz w:val="20"/>
        <w:szCs w:val="20"/>
      </w:rPr>
    </w:lvl>
    <w:lvl w:ilvl="8">
      <w:start w:val="1"/>
      <w:numFmt w:val="bullet"/>
      <w:lvlText w:val="▪"/>
      <w:lvlJc w:val="left"/>
      <w:pPr>
        <w:tabs>
          <w:tab w:val="num" w:pos="6780"/>
        </w:tabs>
        <w:ind w:left="6780" w:hanging="300"/>
      </w:pPr>
      <w:rPr>
        <w:rFonts w:ascii="Times New Roman Bold" w:eastAsia="Times New Roman Bold" w:hAnsi="Times New Roman Bold" w:cs="Arial Unicode MS"/>
        <w:position w:val="0"/>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07F72"/>
    <w:rsid w:val="00084BDA"/>
    <w:rsid w:val="000E7B30"/>
    <w:rsid w:val="00100F3A"/>
    <w:rsid w:val="001C6447"/>
    <w:rsid w:val="00296E83"/>
    <w:rsid w:val="003425DE"/>
    <w:rsid w:val="003C086D"/>
    <w:rsid w:val="003C6783"/>
    <w:rsid w:val="003E7B15"/>
    <w:rsid w:val="003F2C18"/>
    <w:rsid w:val="00400B15"/>
    <w:rsid w:val="005060DA"/>
    <w:rsid w:val="00537A2F"/>
    <w:rsid w:val="0057302A"/>
    <w:rsid w:val="00650D0F"/>
    <w:rsid w:val="00672699"/>
    <w:rsid w:val="00692FDF"/>
    <w:rsid w:val="00696C26"/>
    <w:rsid w:val="006A665A"/>
    <w:rsid w:val="006D10E1"/>
    <w:rsid w:val="00704E1B"/>
    <w:rsid w:val="0072435F"/>
    <w:rsid w:val="00786689"/>
    <w:rsid w:val="00786AE3"/>
    <w:rsid w:val="00863C08"/>
    <w:rsid w:val="00997593"/>
    <w:rsid w:val="009D686C"/>
    <w:rsid w:val="00A05316"/>
    <w:rsid w:val="00A60314"/>
    <w:rsid w:val="00AA43C5"/>
    <w:rsid w:val="00AA6A85"/>
    <w:rsid w:val="00AB3D89"/>
    <w:rsid w:val="00B64235"/>
    <w:rsid w:val="00B80E77"/>
    <w:rsid w:val="00BD2DF3"/>
    <w:rsid w:val="00C027CF"/>
    <w:rsid w:val="00C8275E"/>
    <w:rsid w:val="00CF6F81"/>
    <w:rsid w:val="00D07F72"/>
    <w:rsid w:val="00D1262D"/>
    <w:rsid w:val="00D138D2"/>
    <w:rsid w:val="00D14B93"/>
    <w:rsid w:val="00D53F33"/>
    <w:rsid w:val="00D860DB"/>
    <w:rsid w:val="00DD604E"/>
    <w:rsid w:val="00E25F9B"/>
    <w:rsid w:val="00E4490D"/>
    <w:rsid w:val="00EB7CE2"/>
    <w:rsid w:val="00F427E2"/>
    <w:rsid w:val="00F678D2"/>
    <w:rsid w:val="00FA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C7B28-D0DB-4FE9-A049-405DE7AA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9B"/>
    <w:pPr>
      <w:pBdr>
        <w:top w:val="nil"/>
        <w:left w:val="nil"/>
        <w:bottom w:val="nil"/>
        <w:right w:val="nil"/>
        <w:between w:val="nil"/>
        <w:bar w:val="nil"/>
      </w:pBdr>
      <w:spacing w:after="200" w:line="276" w:lineRule="auto"/>
    </w:pPr>
    <w:rPr>
      <w:rFonts w:ascii="Times Roman" w:eastAsia="Arial Unicode MS" w:hAnsi="Arial Unicode MS" w:cs="Times Roman"/>
      <w:color w:val="000000"/>
      <w:sz w:val="22"/>
      <w:szCs w:val="22"/>
      <w:u w:color="000000"/>
      <w:bdr w:val="nil"/>
    </w:rPr>
  </w:style>
  <w:style w:type="paragraph" w:styleId="Heading1">
    <w:name w:val="heading 1"/>
    <w:basedOn w:val="Normal"/>
    <w:next w:val="Normal"/>
    <w:qFormat/>
    <w:rsid w:val="00E25F9B"/>
    <w:pPr>
      <w:keepNext/>
      <w:spacing w:line="480" w:lineRule="auto"/>
      <w:outlineLvl w:val="0"/>
    </w:pPr>
    <w:rPr>
      <w:rFonts w:ascii="Times New Roman Bold"/>
      <w:b/>
      <w:sz w:val="20"/>
    </w:rPr>
  </w:style>
  <w:style w:type="paragraph" w:styleId="Heading2">
    <w:name w:val="heading 2"/>
    <w:basedOn w:val="Normal"/>
    <w:next w:val="Normal"/>
    <w:qFormat/>
    <w:rsid w:val="00E25F9B"/>
    <w:pPr>
      <w:keepNext/>
      <w:spacing w:line="360" w:lineRule="auto"/>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25F9B"/>
    <w:rPr>
      <w:rFonts w:ascii="Times New Roman Bold" w:eastAsia="Arial Unicode MS" w:hAnsi="Arial Unicode MS" w:cs="Times Roman"/>
      <w:b/>
      <w:color w:val="000000"/>
      <w:sz w:val="20"/>
      <w:u w:color="000000"/>
      <w:bdr w:val="nil"/>
    </w:rPr>
  </w:style>
  <w:style w:type="character" w:styleId="Hyperlink">
    <w:name w:val="Hyperlink"/>
    <w:semiHidden/>
    <w:rsid w:val="00E25F9B"/>
    <w:rPr>
      <w:u w:val="single"/>
    </w:rPr>
  </w:style>
  <w:style w:type="paragraph" w:customStyle="1" w:styleId="HeaderFooter">
    <w:name w:val="Header &amp; Footer"/>
    <w:rsid w:val="00E25F9B"/>
    <w:pPr>
      <w:pBdr>
        <w:top w:val="nil"/>
        <w:left w:val="nil"/>
        <w:bottom w:val="nil"/>
        <w:right w:val="nil"/>
        <w:between w:val="nil"/>
        <w:bar w:val="nil"/>
      </w:pBdr>
      <w:tabs>
        <w:tab w:val="right" w:pos="9020"/>
      </w:tabs>
    </w:pPr>
    <w:rPr>
      <w:rFonts w:ascii="Helvetica" w:eastAsia="Arial Unicode MS" w:hAnsi="Arial Unicode MS" w:cs="Times Roman"/>
      <w:color w:val="000000"/>
      <w:sz w:val="24"/>
      <w:szCs w:val="24"/>
      <w:bdr w:val="nil"/>
    </w:rPr>
  </w:style>
  <w:style w:type="paragraph" w:styleId="Footer">
    <w:name w:val="footer"/>
    <w:semiHidden/>
    <w:rsid w:val="00E25F9B"/>
    <w:pPr>
      <w:pBdr>
        <w:top w:val="nil"/>
        <w:left w:val="nil"/>
        <w:bottom w:val="nil"/>
        <w:right w:val="nil"/>
        <w:between w:val="nil"/>
        <w:bar w:val="nil"/>
      </w:pBdr>
      <w:tabs>
        <w:tab w:val="center" w:pos="4680"/>
        <w:tab w:val="right" w:pos="9360"/>
      </w:tabs>
    </w:pPr>
    <w:rPr>
      <w:rFonts w:ascii="Times Roman" w:eastAsia="Arial Unicode MS" w:hAnsi="Arial Unicode MS" w:cs="Times Roman"/>
      <w:color w:val="000000"/>
      <w:sz w:val="22"/>
      <w:szCs w:val="22"/>
      <w:u w:color="000000"/>
      <w:bdr w:val="nil"/>
    </w:rPr>
  </w:style>
  <w:style w:type="character" w:customStyle="1" w:styleId="FooterChar">
    <w:name w:val="Footer Char"/>
    <w:semiHidden/>
    <w:rsid w:val="00E25F9B"/>
    <w:rPr>
      <w:rFonts w:ascii="Times Roman" w:eastAsia="Arial Unicode MS" w:hAnsi="Arial Unicode MS" w:cs="Times Roman"/>
      <w:color w:val="000000"/>
      <w:u w:color="000000"/>
      <w:bdr w:val="nil"/>
    </w:rPr>
  </w:style>
  <w:style w:type="paragraph" w:customStyle="1" w:styleId="Default">
    <w:name w:val="Default"/>
    <w:rsid w:val="00E25F9B"/>
    <w:pPr>
      <w:pBdr>
        <w:top w:val="nil"/>
        <w:left w:val="nil"/>
        <w:bottom w:val="nil"/>
        <w:right w:val="nil"/>
        <w:between w:val="nil"/>
        <w:bar w:val="nil"/>
      </w:pBdr>
    </w:pPr>
    <w:rPr>
      <w:rFonts w:ascii="Helvetica" w:eastAsia="Helvetica" w:hAnsi="Helvetica" w:cs="Calibri"/>
      <w:color w:val="000000"/>
      <w:sz w:val="22"/>
      <w:szCs w:val="22"/>
      <w:bdr w:val="nil"/>
    </w:rPr>
  </w:style>
  <w:style w:type="paragraph" w:styleId="CommentText">
    <w:name w:val="annotation text"/>
    <w:link w:val="CommentTextChar1"/>
    <w:rsid w:val="00E25F9B"/>
    <w:pPr>
      <w:pBdr>
        <w:top w:val="nil"/>
        <w:left w:val="nil"/>
        <w:bottom w:val="nil"/>
        <w:right w:val="nil"/>
        <w:between w:val="nil"/>
        <w:bar w:val="nil"/>
      </w:pBdr>
      <w:spacing w:after="200"/>
    </w:pPr>
    <w:rPr>
      <w:rFonts w:ascii="Times Roman" w:eastAsia="Times Roman" w:hAnsi="Times Roman" w:cs="Tahoma"/>
      <w:color w:val="000000"/>
      <w:u w:color="000000"/>
      <w:bdr w:val="nil"/>
    </w:rPr>
  </w:style>
  <w:style w:type="character" w:customStyle="1" w:styleId="CommentTextChar">
    <w:name w:val="Comment Text Char"/>
    <w:rsid w:val="00E25F9B"/>
    <w:rPr>
      <w:rFonts w:ascii="Times Roman" w:eastAsia="Times Roman" w:hAnsi="Times Roman" w:cs="Tahoma"/>
      <w:color w:val="000000"/>
      <w:sz w:val="20"/>
      <w:szCs w:val="20"/>
      <w:u w:color="000000"/>
      <w:bdr w:val="nil"/>
    </w:rPr>
  </w:style>
  <w:style w:type="paragraph" w:styleId="BodyTextIndent">
    <w:name w:val="Body Text Indent"/>
    <w:semiHidden/>
    <w:rsid w:val="00E25F9B"/>
    <w:pPr>
      <w:pBdr>
        <w:top w:val="nil"/>
        <w:left w:val="nil"/>
        <w:bottom w:val="nil"/>
        <w:right w:val="nil"/>
        <w:between w:val="nil"/>
        <w:bar w:val="nil"/>
      </w:pBdr>
      <w:spacing w:line="480" w:lineRule="auto"/>
      <w:ind w:firstLine="720"/>
    </w:pPr>
    <w:rPr>
      <w:rFonts w:ascii="Times Roman" w:eastAsia="Arial Unicode MS" w:hAnsi="Arial Unicode MS" w:cs="Times Roman"/>
      <w:b/>
      <w:bCs/>
      <w:color w:val="000000"/>
      <w:sz w:val="24"/>
      <w:szCs w:val="24"/>
      <w:u w:color="000000"/>
      <w:bdr w:val="nil"/>
    </w:rPr>
  </w:style>
  <w:style w:type="character" w:customStyle="1" w:styleId="BodyTextIndentChar">
    <w:name w:val="Body Text Indent Char"/>
    <w:semiHidden/>
    <w:rsid w:val="00E25F9B"/>
    <w:rPr>
      <w:rFonts w:ascii="Times Roman" w:eastAsia="Arial Unicode MS" w:hAnsi="Arial Unicode MS" w:cs="Times Roman"/>
      <w:b/>
      <w:bCs/>
      <w:color w:val="000000"/>
      <w:sz w:val="24"/>
      <w:szCs w:val="24"/>
      <w:u w:color="000000"/>
      <w:bdr w:val="nil"/>
    </w:rPr>
  </w:style>
  <w:style w:type="paragraph" w:styleId="ListParagraph">
    <w:name w:val="List Paragraph"/>
    <w:uiPriority w:val="34"/>
    <w:qFormat/>
    <w:rsid w:val="00E25F9B"/>
    <w:pPr>
      <w:pBdr>
        <w:top w:val="nil"/>
        <w:left w:val="nil"/>
        <w:bottom w:val="nil"/>
        <w:right w:val="nil"/>
        <w:between w:val="nil"/>
        <w:bar w:val="nil"/>
      </w:pBdr>
      <w:spacing w:after="200" w:line="276" w:lineRule="auto"/>
      <w:ind w:left="720"/>
    </w:pPr>
    <w:rPr>
      <w:rFonts w:ascii="Times Roman" w:eastAsia="Times Roman" w:hAnsi="Times Roman" w:cs="Tahoma"/>
      <w:color w:val="000000"/>
      <w:sz w:val="22"/>
      <w:szCs w:val="22"/>
      <w:u w:color="000000"/>
      <w:bdr w:val="nil"/>
    </w:rPr>
  </w:style>
  <w:style w:type="paragraph" w:styleId="BodyTextIndent2">
    <w:name w:val="Body Text Indent 2"/>
    <w:basedOn w:val="Normal"/>
    <w:semiHidden/>
    <w:rsid w:val="00E25F9B"/>
    <w:pPr>
      <w:spacing w:line="480" w:lineRule="auto"/>
      <w:ind w:firstLine="720"/>
    </w:pPr>
    <w:rPr>
      <w:rFonts w:ascii="Times New Roman"/>
      <w:sz w:val="20"/>
    </w:rPr>
  </w:style>
  <w:style w:type="character" w:customStyle="1" w:styleId="BodyTextIndent2Char">
    <w:name w:val="Body Text Indent 2 Char"/>
    <w:semiHidden/>
    <w:rsid w:val="00E25F9B"/>
    <w:rPr>
      <w:rFonts w:ascii="Times New Roman" w:eastAsia="Arial Unicode MS" w:hAnsi="Arial Unicode MS" w:cs="Times Roman"/>
      <w:color w:val="000000"/>
      <w:sz w:val="20"/>
      <w:u w:color="000000"/>
      <w:bdr w:val="nil"/>
    </w:rPr>
  </w:style>
  <w:style w:type="paragraph" w:styleId="BodyText2">
    <w:name w:val="Body Text 2"/>
    <w:basedOn w:val="Normal"/>
    <w:semiHidden/>
    <w:unhideWhenUsed/>
    <w:rsid w:val="00E25F9B"/>
    <w:pPr>
      <w:spacing w:after="120" w:line="480" w:lineRule="auto"/>
    </w:pPr>
  </w:style>
  <w:style w:type="character" w:customStyle="1" w:styleId="BodyText2Char">
    <w:name w:val="Body Text 2 Char"/>
    <w:semiHidden/>
    <w:rsid w:val="00E25F9B"/>
    <w:rPr>
      <w:rFonts w:ascii="Times Roman" w:eastAsia="Arial Unicode MS" w:hAnsi="Arial Unicode MS" w:cs="Times Roman"/>
      <w:color w:val="000000"/>
      <w:u w:color="000000"/>
      <w:bdr w:val="nil"/>
    </w:rPr>
  </w:style>
  <w:style w:type="paragraph" w:customStyle="1" w:styleId="EndNoteBibliography">
    <w:name w:val="EndNote Bibliography"/>
    <w:rsid w:val="00E25F9B"/>
    <w:pPr>
      <w:pBdr>
        <w:top w:val="nil"/>
        <w:left w:val="nil"/>
        <w:bottom w:val="nil"/>
        <w:right w:val="nil"/>
        <w:between w:val="nil"/>
        <w:bar w:val="nil"/>
      </w:pBdr>
      <w:spacing w:after="200"/>
    </w:pPr>
    <w:rPr>
      <w:rFonts w:ascii="Times Roman" w:eastAsia="Times Roman" w:hAnsi="Times Roman" w:cs="Tahoma"/>
      <w:color w:val="000000"/>
      <w:sz w:val="22"/>
      <w:szCs w:val="22"/>
      <w:u w:color="000000"/>
      <w:bdr w:val="nil"/>
    </w:rPr>
  </w:style>
  <w:style w:type="character" w:customStyle="1" w:styleId="Link">
    <w:name w:val="Link"/>
    <w:rsid w:val="00E25F9B"/>
    <w:rPr>
      <w:color w:val="0000FF"/>
      <w:u w:val="single" w:color="0000FF"/>
    </w:rPr>
  </w:style>
  <w:style w:type="character" w:customStyle="1" w:styleId="Hyperlink0">
    <w:name w:val="Hyperlink.0"/>
    <w:rsid w:val="00E25F9B"/>
    <w:rPr>
      <w:color w:val="0000FF"/>
      <w:u w:val="single" w:color="0000FF"/>
    </w:rPr>
  </w:style>
  <w:style w:type="character" w:styleId="CommentReference">
    <w:name w:val="annotation reference"/>
    <w:unhideWhenUsed/>
    <w:rsid w:val="00E25F9B"/>
    <w:rPr>
      <w:sz w:val="16"/>
      <w:szCs w:val="16"/>
    </w:rPr>
  </w:style>
  <w:style w:type="paragraph" w:styleId="BalloonText">
    <w:name w:val="Balloon Text"/>
    <w:basedOn w:val="Normal"/>
    <w:semiHidden/>
    <w:unhideWhenUsed/>
    <w:rsid w:val="00E25F9B"/>
    <w:pPr>
      <w:spacing w:after="0" w:line="240" w:lineRule="auto"/>
    </w:pPr>
    <w:rPr>
      <w:rFonts w:ascii="Tahoma" w:hAnsi="Tahoma" w:cs="Helvetica"/>
      <w:sz w:val="16"/>
      <w:szCs w:val="16"/>
    </w:rPr>
  </w:style>
  <w:style w:type="character" w:customStyle="1" w:styleId="BalloonTextChar">
    <w:name w:val="Balloon Text Char"/>
    <w:semiHidden/>
    <w:rsid w:val="00E25F9B"/>
    <w:rPr>
      <w:rFonts w:ascii="Tahoma" w:eastAsia="Arial Unicode MS" w:hAnsi="Tahoma" w:cs="Helvetica"/>
      <w:color w:val="000000"/>
      <w:sz w:val="16"/>
      <w:szCs w:val="16"/>
      <w:u w:color="000000"/>
      <w:bdr w:val="nil"/>
    </w:rPr>
  </w:style>
  <w:style w:type="character" w:customStyle="1" w:styleId="highlight">
    <w:name w:val="highlight"/>
    <w:basedOn w:val="DefaultParagraphFont"/>
    <w:rsid w:val="00E25F9B"/>
  </w:style>
  <w:style w:type="character" w:styleId="Strong">
    <w:name w:val="Strong"/>
    <w:uiPriority w:val="22"/>
    <w:qFormat/>
    <w:rsid w:val="00E25F9B"/>
    <w:rPr>
      <w:b/>
    </w:rPr>
  </w:style>
  <w:style w:type="character" w:customStyle="1" w:styleId="EndNoteBibliographyChar">
    <w:name w:val="EndNote Bibliography Char"/>
    <w:rsid w:val="00E25F9B"/>
    <w:rPr>
      <w:rFonts w:ascii="Times Roman" w:eastAsia="Times Roman" w:hAnsi="Times Roman" w:cs="Tahoma"/>
      <w:color w:val="000000"/>
      <w:sz w:val="22"/>
      <w:szCs w:val="22"/>
      <w:u w:color="000000"/>
      <w:bdr w:val="nil"/>
    </w:rPr>
  </w:style>
  <w:style w:type="character" w:customStyle="1" w:styleId="CommentTextChar1">
    <w:name w:val="Comment Text Char1"/>
    <w:link w:val="CommentText"/>
    <w:locked/>
    <w:rsid w:val="00A60314"/>
    <w:rPr>
      <w:rFonts w:ascii="Times Roman" w:eastAsia="Times Roman" w:hAnsi="Times Roman" w:cs="Tahoma"/>
      <w:color w:val="000000"/>
      <w:u w:color="000000"/>
      <w:bdr w:val="nil"/>
    </w:rPr>
  </w:style>
  <w:style w:type="paragraph" w:styleId="NormalWeb">
    <w:name w:val="Normal (Web)"/>
    <w:basedOn w:val="Normal"/>
    <w:uiPriority w:val="99"/>
    <w:unhideWhenUsed/>
    <w:rsid w:val="00A603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it-IT" w:eastAsia="it-IT"/>
    </w:rPr>
  </w:style>
  <w:style w:type="paragraph" w:styleId="Header">
    <w:name w:val="header"/>
    <w:basedOn w:val="Normal"/>
    <w:link w:val="HeaderChar"/>
    <w:uiPriority w:val="99"/>
    <w:unhideWhenUsed/>
    <w:rsid w:val="00AA43C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A43C5"/>
    <w:rPr>
      <w:rFonts w:ascii="Times Roman" w:eastAsia="Arial Unicode MS" w:hAnsi="Arial Unicode MS" w:cs="Times Roman"/>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ee@hmc.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D9C9-2B63-4C0A-A0EB-4E1D1C00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10029</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Molecular Genetics and Targeted Therapeutics in Biliary Tract Carcinomancer:</vt:lpstr>
    </vt:vector>
  </TitlesOfParts>
  <Company>Penn State Hershey Medical Center</Company>
  <LinksUpToDate>false</LinksUpToDate>
  <CharactersWithSpaces>67061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Genetics and Targeted Therapeutics in Biliary Tract Carcinomancer:</dc:title>
  <dc:creator>Eric Marks</dc:creator>
  <cp:lastModifiedBy>LS Ma</cp:lastModifiedBy>
  <cp:revision>2</cp:revision>
  <dcterms:created xsi:type="dcterms:W3CDTF">2015-11-19T00:12:00Z</dcterms:created>
  <dcterms:modified xsi:type="dcterms:W3CDTF">2015-11-19T00:12:00Z</dcterms:modified>
</cp:coreProperties>
</file>