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E2" w:rsidRPr="00842636" w:rsidRDefault="00A809E2" w:rsidP="00173333">
      <w:pPr>
        <w:spacing w:line="360" w:lineRule="auto"/>
        <w:jc w:val="both"/>
        <w:rPr>
          <w:rFonts w:ascii="Book Antiqua" w:hAnsi="Book Antiqua"/>
          <w:b/>
          <w:i/>
          <w:color w:val="000000"/>
          <w:sz w:val="24"/>
          <w:szCs w:val="24"/>
          <w:lang w:val="en-US" w:eastAsia="zh-CN"/>
        </w:rPr>
      </w:pPr>
      <w:r w:rsidRPr="00173333">
        <w:rPr>
          <w:rFonts w:ascii="Book Antiqua" w:hAnsi="Book Antiqua"/>
          <w:b/>
          <w:color w:val="000000"/>
          <w:sz w:val="24"/>
          <w:szCs w:val="24"/>
          <w:lang w:val="en-US" w:eastAsia="zh-CN"/>
        </w:rPr>
        <w:t xml:space="preserve">Name of Journal: </w:t>
      </w:r>
      <w:r w:rsidRPr="00842636">
        <w:rPr>
          <w:rFonts w:ascii="Book Antiqua" w:hAnsi="Book Antiqua"/>
          <w:b/>
          <w:i/>
          <w:color w:val="000000"/>
          <w:sz w:val="24"/>
          <w:szCs w:val="24"/>
          <w:lang w:val="en-US" w:eastAsia="zh-CN"/>
        </w:rPr>
        <w:t xml:space="preserve">World Journal of </w:t>
      </w:r>
      <w:r w:rsidRPr="00842636">
        <w:rPr>
          <w:rFonts w:ascii="Book Antiqua" w:hAnsi="Book Antiqua"/>
          <w:b/>
          <w:i/>
          <w:iCs/>
          <w:color w:val="000000"/>
          <w:sz w:val="24"/>
          <w:szCs w:val="24"/>
          <w:lang w:val="en-US"/>
        </w:rPr>
        <w:t>Gastrointestinal Pharmacology and Therapeutics</w:t>
      </w:r>
    </w:p>
    <w:p w:rsidR="00A809E2" w:rsidRPr="00173333" w:rsidRDefault="00A809E2" w:rsidP="00173333">
      <w:pPr>
        <w:spacing w:line="360" w:lineRule="auto"/>
        <w:jc w:val="both"/>
        <w:rPr>
          <w:rFonts w:ascii="Book Antiqua" w:hAnsi="Book Antiqua"/>
          <w:b/>
          <w:color w:val="000000"/>
          <w:sz w:val="24"/>
          <w:szCs w:val="24"/>
          <w:lang w:val="en-US" w:eastAsia="zh-CN"/>
        </w:rPr>
      </w:pPr>
      <w:r w:rsidRPr="00173333">
        <w:rPr>
          <w:rFonts w:ascii="Book Antiqua" w:hAnsi="Book Antiqua"/>
          <w:b/>
          <w:color w:val="000000"/>
          <w:sz w:val="24"/>
          <w:szCs w:val="24"/>
          <w:lang w:val="en-US" w:eastAsia="zh-CN"/>
        </w:rPr>
        <w:t>ESPS Manuscript NO: 20039</w:t>
      </w:r>
    </w:p>
    <w:p w:rsidR="00A809E2" w:rsidRPr="00173333" w:rsidRDefault="00A809E2" w:rsidP="00173333">
      <w:pPr>
        <w:spacing w:line="360" w:lineRule="auto"/>
        <w:jc w:val="both"/>
        <w:rPr>
          <w:rFonts w:ascii="Book Antiqua" w:hAnsi="Book Antiqua"/>
          <w:b/>
          <w:color w:val="000000"/>
          <w:sz w:val="24"/>
          <w:szCs w:val="24"/>
          <w:lang w:val="en-US" w:eastAsia="zh-CN"/>
        </w:rPr>
      </w:pPr>
      <w:r w:rsidRPr="00173333">
        <w:rPr>
          <w:rFonts w:ascii="Book Antiqua" w:hAnsi="Book Antiqua"/>
          <w:b/>
          <w:color w:val="000000"/>
          <w:sz w:val="24"/>
          <w:szCs w:val="24"/>
          <w:lang w:val="en-US" w:eastAsia="zh-CN"/>
        </w:rPr>
        <w:t>Manuscript Type: EDITORIAL</w:t>
      </w:r>
    </w:p>
    <w:p w:rsidR="00A809E2" w:rsidRPr="00173333" w:rsidRDefault="00A809E2" w:rsidP="00173333">
      <w:pPr>
        <w:spacing w:line="360" w:lineRule="auto"/>
        <w:jc w:val="both"/>
        <w:rPr>
          <w:rFonts w:ascii="Book Antiqua" w:hAnsi="Book Antiqua"/>
          <w:b/>
          <w:color w:val="000000"/>
          <w:sz w:val="24"/>
          <w:szCs w:val="24"/>
          <w:lang w:val="en-US" w:eastAsia="zh-CN"/>
        </w:rPr>
      </w:pPr>
    </w:p>
    <w:p w:rsidR="00A809E2" w:rsidRPr="00173333" w:rsidRDefault="00A809E2" w:rsidP="00173333">
      <w:pPr>
        <w:spacing w:line="360" w:lineRule="auto"/>
        <w:jc w:val="both"/>
        <w:rPr>
          <w:rFonts w:ascii="Book Antiqua" w:hAnsi="Book Antiqua"/>
          <w:b/>
          <w:color w:val="000000"/>
          <w:sz w:val="24"/>
          <w:szCs w:val="24"/>
          <w:lang w:val="en-US" w:eastAsia="it-IT"/>
        </w:rPr>
      </w:pPr>
      <w:r w:rsidRPr="00173333">
        <w:rPr>
          <w:rFonts w:ascii="Book Antiqua" w:hAnsi="Book Antiqua"/>
          <w:b/>
          <w:color w:val="000000"/>
          <w:sz w:val="24"/>
          <w:szCs w:val="24"/>
          <w:lang w:val="en-US" w:eastAsia="it-IT"/>
        </w:rPr>
        <w:t>Proton pump inhibitor prescription abuse and sepsis in cirrhosis</w:t>
      </w:r>
    </w:p>
    <w:p w:rsidR="00A809E2" w:rsidRPr="00173333" w:rsidRDefault="00A809E2" w:rsidP="00173333">
      <w:pPr>
        <w:spacing w:line="360" w:lineRule="auto"/>
        <w:jc w:val="both"/>
        <w:rPr>
          <w:rFonts w:ascii="Book Antiqua" w:hAnsi="Book Antiqua"/>
          <w:bCs/>
          <w:color w:val="000000"/>
          <w:sz w:val="24"/>
          <w:szCs w:val="24"/>
          <w:lang w:val="en-US" w:eastAsia="zh-CN"/>
        </w:rPr>
      </w:pPr>
    </w:p>
    <w:p w:rsidR="00A809E2" w:rsidRPr="00173333" w:rsidRDefault="00A809E2" w:rsidP="00173333">
      <w:pPr>
        <w:spacing w:line="360" w:lineRule="auto"/>
        <w:jc w:val="both"/>
        <w:rPr>
          <w:rFonts w:ascii="Book Antiqua" w:hAnsi="Book Antiqua"/>
          <w:bCs/>
          <w:color w:val="000000"/>
          <w:sz w:val="24"/>
          <w:szCs w:val="24"/>
          <w:lang w:eastAsia="zh-CN"/>
        </w:rPr>
      </w:pPr>
      <w:proofErr w:type="spellStart"/>
      <w:r w:rsidRPr="00173333">
        <w:rPr>
          <w:rFonts w:ascii="Book Antiqua" w:hAnsi="Book Antiqua"/>
          <w:bCs/>
          <w:color w:val="000000"/>
          <w:sz w:val="24"/>
          <w:szCs w:val="24"/>
          <w:lang w:val="en-US" w:eastAsia="zh-CN"/>
        </w:rPr>
        <w:t>Picardi</w:t>
      </w:r>
      <w:proofErr w:type="spellEnd"/>
      <w:r w:rsidRPr="00173333">
        <w:rPr>
          <w:rFonts w:ascii="Book Antiqua" w:hAnsi="Book Antiqua"/>
          <w:bCs/>
          <w:color w:val="000000"/>
          <w:sz w:val="24"/>
          <w:szCs w:val="24"/>
          <w:lang w:val="en-US" w:eastAsia="zh-CN"/>
        </w:rPr>
        <w:t xml:space="preserve"> A </w:t>
      </w:r>
      <w:r w:rsidRPr="00173333">
        <w:rPr>
          <w:rFonts w:ascii="Book Antiqua" w:hAnsi="Book Antiqua"/>
          <w:bCs/>
          <w:i/>
          <w:color w:val="000000"/>
          <w:sz w:val="24"/>
          <w:szCs w:val="24"/>
          <w:lang w:val="en-US" w:eastAsia="zh-CN"/>
        </w:rPr>
        <w:t>et al.</w:t>
      </w:r>
      <w:r w:rsidRPr="00173333">
        <w:rPr>
          <w:rFonts w:ascii="Book Antiqua" w:hAnsi="Book Antiqua"/>
          <w:bCs/>
          <w:color w:val="000000"/>
          <w:sz w:val="24"/>
          <w:szCs w:val="24"/>
          <w:lang w:val="en-US" w:eastAsia="zh-CN"/>
        </w:rPr>
        <w:t xml:space="preserve"> </w:t>
      </w:r>
      <w:r w:rsidRPr="00173333">
        <w:rPr>
          <w:rFonts w:ascii="Book Antiqua" w:hAnsi="Book Antiqua"/>
          <w:bCs/>
          <w:color w:val="000000"/>
          <w:sz w:val="24"/>
          <w:szCs w:val="24"/>
          <w:lang w:eastAsia="zh-CN"/>
        </w:rPr>
        <w:t>PPIs and sepsis in cirrhosis</w:t>
      </w:r>
    </w:p>
    <w:p w:rsidR="00A809E2" w:rsidRPr="00173333" w:rsidRDefault="00A809E2" w:rsidP="00173333">
      <w:pPr>
        <w:spacing w:line="360" w:lineRule="auto"/>
        <w:jc w:val="both"/>
        <w:rPr>
          <w:rFonts w:ascii="Book Antiqua" w:hAnsi="Book Antiqua"/>
          <w:bCs/>
          <w:color w:val="000000"/>
          <w:sz w:val="24"/>
          <w:szCs w:val="24"/>
          <w:lang w:eastAsia="zh-CN"/>
        </w:rPr>
      </w:pPr>
    </w:p>
    <w:p w:rsidR="00A809E2" w:rsidRPr="00E1040A" w:rsidRDefault="00A809E2" w:rsidP="00173333">
      <w:pPr>
        <w:spacing w:line="360" w:lineRule="auto"/>
        <w:jc w:val="both"/>
        <w:rPr>
          <w:rFonts w:ascii="Book Antiqua" w:hAnsi="Book Antiqua"/>
          <w:b/>
          <w:bCs/>
          <w:color w:val="000000"/>
          <w:sz w:val="24"/>
          <w:szCs w:val="24"/>
          <w:lang w:eastAsia="zh-CN"/>
        </w:rPr>
      </w:pPr>
      <w:bookmarkStart w:id="0" w:name="OLE_LINK25"/>
      <w:bookmarkStart w:id="1" w:name="OLE_LINK26"/>
      <w:r w:rsidRPr="00E1040A">
        <w:rPr>
          <w:rFonts w:ascii="Book Antiqua" w:hAnsi="Book Antiqua"/>
          <w:b/>
          <w:bCs/>
          <w:color w:val="000000"/>
          <w:sz w:val="24"/>
          <w:szCs w:val="24"/>
        </w:rPr>
        <w:t>Antonio Picardi</w:t>
      </w:r>
      <w:r w:rsidRPr="00E1040A">
        <w:rPr>
          <w:rFonts w:ascii="Book Antiqua" w:hAnsi="Book Antiqua"/>
          <w:b/>
          <w:bCs/>
          <w:color w:val="000000"/>
          <w:sz w:val="24"/>
          <w:szCs w:val="24"/>
          <w:lang w:eastAsia="zh-CN"/>
        </w:rPr>
        <w:t xml:space="preserve">, </w:t>
      </w:r>
      <w:r w:rsidRPr="00E1040A">
        <w:rPr>
          <w:rFonts w:ascii="Book Antiqua" w:hAnsi="Book Antiqua"/>
          <w:b/>
          <w:bCs/>
          <w:color w:val="000000"/>
          <w:sz w:val="24"/>
          <w:szCs w:val="24"/>
        </w:rPr>
        <w:t>Umberto Vespasiani-Gentilucci</w:t>
      </w:r>
    </w:p>
    <w:bookmarkEnd w:id="0"/>
    <w:bookmarkEnd w:id="1"/>
    <w:p w:rsidR="00A809E2" w:rsidRPr="00173333" w:rsidRDefault="00A809E2" w:rsidP="00173333">
      <w:pPr>
        <w:spacing w:line="360" w:lineRule="auto"/>
        <w:jc w:val="both"/>
        <w:rPr>
          <w:rFonts w:ascii="Book Antiqua" w:hAnsi="Book Antiqua"/>
          <w:b/>
          <w:bCs/>
          <w:color w:val="000000"/>
          <w:sz w:val="24"/>
          <w:szCs w:val="24"/>
        </w:rPr>
      </w:pPr>
    </w:p>
    <w:p w:rsidR="00A809E2" w:rsidRPr="00173333" w:rsidRDefault="00A809E2" w:rsidP="00173333">
      <w:pPr>
        <w:spacing w:line="360" w:lineRule="auto"/>
        <w:jc w:val="both"/>
        <w:rPr>
          <w:rFonts w:ascii="Book Antiqua" w:hAnsi="Book Antiqua"/>
          <w:bCs/>
          <w:color w:val="000000"/>
          <w:sz w:val="24"/>
          <w:szCs w:val="24"/>
          <w:lang w:eastAsia="zh-CN"/>
        </w:rPr>
      </w:pPr>
      <w:r w:rsidRPr="00173333">
        <w:rPr>
          <w:rFonts w:ascii="Book Antiqua" w:hAnsi="Book Antiqua"/>
          <w:b/>
          <w:bCs/>
          <w:color w:val="000000"/>
          <w:sz w:val="24"/>
          <w:szCs w:val="24"/>
        </w:rPr>
        <w:t>Antonio Picardi</w:t>
      </w:r>
      <w:r w:rsidRPr="00173333">
        <w:rPr>
          <w:rFonts w:ascii="Book Antiqua" w:hAnsi="Book Antiqua"/>
          <w:b/>
          <w:bCs/>
          <w:color w:val="000000"/>
          <w:sz w:val="24"/>
          <w:szCs w:val="24"/>
          <w:lang w:eastAsia="zh-CN"/>
        </w:rPr>
        <w:t xml:space="preserve">, </w:t>
      </w:r>
      <w:r w:rsidRPr="00173333">
        <w:rPr>
          <w:rFonts w:ascii="Book Antiqua" w:hAnsi="Book Antiqua"/>
          <w:b/>
          <w:bCs/>
          <w:color w:val="000000"/>
          <w:sz w:val="24"/>
          <w:szCs w:val="24"/>
        </w:rPr>
        <w:t>Umberto Vespasiani-Gentilucci</w:t>
      </w:r>
      <w:r w:rsidRPr="00173333">
        <w:rPr>
          <w:rFonts w:ascii="Book Antiqua" w:hAnsi="Book Antiqua"/>
          <w:b/>
          <w:bCs/>
          <w:color w:val="000000"/>
          <w:sz w:val="24"/>
          <w:szCs w:val="24"/>
          <w:lang w:eastAsia="zh-CN"/>
        </w:rPr>
        <w:t>,</w:t>
      </w:r>
      <w:r w:rsidRPr="00173333">
        <w:rPr>
          <w:rFonts w:ascii="Book Antiqua" w:hAnsi="Book Antiqua"/>
          <w:b/>
          <w:bCs/>
          <w:color w:val="000000"/>
          <w:sz w:val="24"/>
          <w:szCs w:val="24"/>
        </w:rPr>
        <w:t xml:space="preserve"> </w:t>
      </w:r>
      <w:r w:rsidRPr="00173333">
        <w:rPr>
          <w:rFonts w:ascii="Book Antiqua" w:hAnsi="Book Antiqua"/>
          <w:color w:val="000000"/>
          <w:sz w:val="24"/>
          <w:szCs w:val="24"/>
          <w:lang w:val="en-US"/>
        </w:rPr>
        <w:t xml:space="preserve">Internal Medicine and Hepatology Unit, </w:t>
      </w:r>
      <w:r w:rsidRPr="00173333">
        <w:rPr>
          <w:rFonts w:ascii="Book Antiqua" w:hAnsi="Book Antiqua"/>
          <w:bCs/>
          <w:color w:val="000000"/>
          <w:sz w:val="24"/>
          <w:szCs w:val="24"/>
          <w:lang w:val="en-US"/>
        </w:rPr>
        <w:t>Univ</w:t>
      </w:r>
      <w:r>
        <w:rPr>
          <w:rFonts w:ascii="Book Antiqua" w:hAnsi="Book Antiqua"/>
          <w:bCs/>
          <w:color w:val="000000"/>
          <w:sz w:val="24"/>
          <w:szCs w:val="24"/>
          <w:lang w:val="en-US"/>
        </w:rPr>
        <w:t>ersity Campus Bio-Medico, 00128</w:t>
      </w:r>
      <w:r w:rsidRPr="00173333">
        <w:rPr>
          <w:rFonts w:ascii="Book Antiqua" w:hAnsi="Book Antiqua"/>
          <w:bCs/>
          <w:color w:val="000000"/>
          <w:sz w:val="24"/>
          <w:szCs w:val="24"/>
          <w:lang w:val="en-US"/>
        </w:rPr>
        <w:t xml:space="preserve"> Rome, Italy</w:t>
      </w:r>
    </w:p>
    <w:p w:rsidR="00A809E2" w:rsidRPr="00173333" w:rsidRDefault="00A809E2" w:rsidP="00173333">
      <w:pPr>
        <w:spacing w:line="360" w:lineRule="auto"/>
        <w:jc w:val="both"/>
        <w:rPr>
          <w:rFonts w:ascii="Book Antiqua" w:hAnsi="Book Antiqua"/>
          <w:b/>
          <w:color w:val="000000"/>
          <w:sz w:val="24"/>
          <w:szCs w:val="24"/>
          <w:lang w:val="en-US" w:eastAsia="zh-CN"/>
        </w:rPr>
      </w:pPr>
    </w:p>
    <w:p w:rsidR="00A809E2" w:rsidRPr="00173333" w:rsidRDefault="00A809E2" w:rsidP="00173333">
      <w:pPr>
        <w:spacing w:line="360" w:lineRule="auto"/>
        <w:jc w:val="both"/>
        <w:rPr>
          <w:rFonts w:ascii="Book Antiqua" w:hAnsi="Book Antiqua"/>
          <w:color w:val="000000"/>
          <w:sz w:val="24"/>
          <w:szCs w:val="24"/>
          <w:lang w:val="en-US"/>
        </w:rPr>
      </w:pPr>
      <w:r w:rsidRPr="00173333">
        <w:rPr>
          <w:rFonts w:ascii="Book Antiqua" w:hAnsi="Book Antiqua"/>
          <w:b/>
          <w:color w:val="000000"/>
          <w:sz w:val="24"/>
          <w:szCs w:val="24"/>
          <w:lang w:val="en-US"/>
        </w:rPr>
        <w:t xml:space="preserve">Author contributions: </w:t>
      </w:r>
      <w:proofErr w:type="spellStart"/>
      <w:r w:rsidRPr="00173333">
        <w:rPr>
          <w:rFonts w:ascii="Book Antiqua" w:hAnsi="Book Antiqua"/>
          <w:bCs/>
          <w:color w:val="000000"/>
          <w:sz w:val="24"/>
          <w:szCs w:val="24"/>
          <w:lang w:val="en-US"/>
        </w:rPr>
        <w:t>Picardi</w:t>
      </w:r>
      <w:proofErr w:type="spellEnd"/>
      <w:r>
        <w:rPr>
          <w:rFonts w:ascii="Book Antiqua" w:hAnsi="Book Antiqua"/>
          <w:bCs/>
          <w:color w:val="000000"/>
          <w:sz w:val="24"/>
          <w:szCs w:val="24"/>
          <w:lang w:val="en-US" w:eastAsia="zh-CN"/>
        </w:rPr>
        <w:t xml:space="preserve"> A</w:t>
      </w:r>
      <w:r w:rsidRPr="00173333">
        <w:rPr>
          <w:rFonts w:ascii="Book Antiqua" w:hAnsi="Book Antiqua"/>
          <w:bCs/>
          <w:color w:val="000000"/>
          <w:sz w:val="24"/>
          <w:szCs w:val="24"/>
          <w:lang w:val="en-US"/>
        </w:rPr>
        <w:t xml:space="preserve"> wrote the manuscript; </w:t>
      </w:r>
      <w:proofErr w:type="spellStart"/>
      <w:r w:rsidRPr="00173333">
        <w:rPr>
          <w:rFonts w:ascii="Book Antiqua" w:hAnsi="Book Antiqua"/>
          <w:bCs/>
          <w:color w:val="000000"/>
          <w:sz w:val="24"/>
          <w:szCs w:val="24"/>
          <w:lang w:val="en-US"/>
        </w:rPr>
        <w:t>Vespasiani-Gentilucci</w:t>
      </w:r>
      <w:proofErr w:type="spellEnd"/>
      <w:r>
        <w:rPr>
          <w:rFonts w:ascii="Book Antiqua" w:hAnsi="Book Antiqua"/>
          <w:bCs/>
          <w:color w:val="000000"/>
          <w:sz w:val="24"/>
          <w:szCs w:val="24"/>
          <w:lang w:val="en-US" w:eastAsia="zh-CN"/>
        </w:rPr>
        <w:t xml:space="preserve"> U</w:t>
      </w:r>
      <w:r w:rsidRPr="00173333">
        <w:rPr>
          <w:rFonts w:ascii="Book Antiqua" w:hAnsi="Book Antiqua"/>
          <w:bCs/>
          <w:color w:val="000000"/>
          <w:sz w:val="24"/>
          <w:szCs w:val="24"/>
          <w:lang w:val="en-US"/>
        </w:rPr>
        <w:t xml:space="preserve"> contributed a critical revision of the manuscript.</w:t>
      </w:r>
    </w:p>
    <w:p w:rsidR="00A809E2" w:rsidRPr="00173333" w:rsidRDefault="00A809E2" w:rsidP="00173333">
      <w:pPr>
        <w:spacing w:line="360" w:lineRule="auto"/>
        <w:jc w:val="both"/>
        <w:rPr>
          <w:rFonts w:ascii="Book Antiqua" w:hAnsi="Book Antiqua"/>
          <w:b/>
          <w:color w:val="000000"/>
          <w:sz w:val="24"/>
          <w:szCs w:val="24"/>
          <w:lang w:val="en-US"/>
        </w:rPr>
      </w:pPr>
    </w:p>
    <w:p w:rsidR="00A809E2" w:rsidRPr="00173333" w:rsidRDefault="00A809E2" w:rsidP="00173333">
      <w:pPr>
        <w:spacing w:line="360" w:lineRule="auto"/>
        <w:jc w:val="both"/>
        <w:rPr>
          <w:rFonts w:ascii="Book Antiqua" w:hAnsi="Book Antiqua"/>
          <w:b/>
          <w:color w:val="000000"/>
          <w:sz w:val="24"/>
          <w:szCs w:val="24"/>
          <w:lang w:val="en-US"/>
        </w:rPr>
      </w:pPr>
      <w:r w:rsidRPr="00173333">
        <w:rPr>
          <w:rFonts w:ascii="Book Antiqua" w:hAnsi="Book Antiqua"/>
          <w:b/>
          <w:color w:val="000000"/>
          <w:sz w:val="24"/>
          <w:szCs w:val="24"/>
          <w:lang w:val="en-US"/>
        </w:rPr>
        <w:t xml:space="preserve">Conflict-of-interest statement: </w:t>
      </w:r>
      <w:r w:rsidRPr="00173333">
        <w:rPr>
          <w:rFonts w:ascii="Book Antiqua" w:hAnsi="Book Antiqua"/>
          <w:color w:val="000000"/>
          <w:sz w:val="24"/>
          <w:szCs w:val="24"/>
          <w:lang w:val="en-US"/>
        </w:rPr>
        <w:t>Both authors declare no conflicts of interest.</w:t>
      </w:r>
      <w:r w:rsidRPr="00173333">
        <w:rPr>
          <w:rFonts w:ascii="Book Antiqua" w:hAnsi="Book Antiqua"/>
          <w:b/>
          <w:color w:val="000000"/>
          <w:sz w:val="24"/>
          <w:szCs w:val="24"/>
          <w:lang w:val="en-US"/>
        </w:rPr>
        <w:t xml:space="preserve"> </w:t>
      </w:r>
    </w:p>
    <w:p w:rsidR="00A809E2" w:rsidRPr="00173333" w:rsidRDefault="00A809E2" w:rsidP="00173333">
      <w:pPr>
        <w:spacing w:line="360" w:lineRule="auto"/>
        <w:jc w:val="both"/>
        <w:rPr>
          <w:rFonts w:ascii="Book Antiqua" w:hAnsi="Book Antiqua"/>
          <w:b/>
          <w:color w:val="000000"/>
          <w:sz w:val="24"/>
          <w:szCs w:val="24"/>
          <w:lang w:val="en-US"/>
        </w:rPr>
      </w:pPr>
    </w:p>
    <w:p w:rsidR="00A809E2" w:rsidRPr="00E1040A" w:rsidRDefault="00A809E2" w:rsidP="00173333">
      <w:pPr>
        <w:spacing w:line="360" w:lineRule="auto"/>
        <w:jc w:val="both"/>
        <w:rPr>
          <w:rFonts w:ascii="Book Antiqua" w:hAnsi="Book Antiqua" w:cs="宋体"/>
          <w:color w:val="000000"/>
          <w:sz w:val="24"/>
          <w:szCs w:val="24"/>
          <w:u w:val="single"/>
          <w:lang w:eastAsia="zh-CN"/>
        </w:rPr>
      </w:pPr>
      <w:r w:rsidRPr="00173333">
        <w:rPr>
          <w:rFonts w:ascii="Book Antiqua" w:hAnsi="Book Antiqua"/>
          <w:b/>
          <w:color w:val="000000"/>
          <w:sz w:val="24"/>
          <w:szCs w:val="24"/>
          <w:lang w:val="en-US"/>
        </w:rPr>
        <w:t xml:space="preserve">Open-Access: </w:t>
      </w:r>
      <w:r w:rsidRPr="00E1040A">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1040A">
          <w:rPr>
            <w:rFonts w:ascii="Book Antiqua" w:hAnsi="Book Antiqua" w:cs="宋体"/>
            <w:color w:val="000000"/>
            <w:sz w:val="24"/>
            <w:szCs w:val="24"/>
            <w:u w:val="single"/>
            <w:lang w:eastAsia="zh-CN"/>
          </w:rPr>
          <w:t>http://creativecommons.org/licenses/by-nc/4.0/</w:t>
        </w:r>
      </w:hyperlink>
    </w:p>
    <w:p w:rsidR="00A809E2" w:rsidRPr="00173333" w:rsidRDefault="00A809E2" w:rsidP="00173333">
      <w:pPr>
        <w:spacing w:line="360" w:lineRule="auto"/>
        <w:jc w:val="both"/>
        <w:rPr>
          <w:rFonts w:ascii="Book Antiqua" w:hAnsi="Book Antiqua"/>
          <w:b/>
          <w:color w:val="000000"/>
          <w:sz w:val="24"/>
          <w:szCs w:val="24"/>
        </w:rPr>
      </w:pPr>
    </w:p>
    <w:p w:rsidR="00A809E2" w:rsidRPr="00173333" w:rsidRDefault="00A809E2" w:rsidP="00173333">
      <w:pPr>
        <w:spacing w:line="360" w:lineRule="auto"/>
        <w:jc w:val="both"/>
        <w:rPr>
          <w:rFonts w:ascii="Book Antiqua" w:hAnsi="Book Antiqua"/>
          <w:b/>
          <w:color w:val="000000"/>
          <w:sz w:val="24"/>
          <w:szCs w:val="24"/>
          <w:lang w:eastAsia="zh-CN"/>
        </w:rPr>
      </w:pPr>
      <w:r w:rsidRPr="00173333">
        <w:rPr>
          <w:rFonts w:ascii="Book Antiqua" w:hAnsi="Book Antiqua"/>
          <w:b/>
          <w:color w:val="000000"/>
          <w:sz w:val="24"/>
          <w:szCs w:val="24"/>
        </w:rPr>
        <w:t xml:space="preserve">Correspondence to: Antonio Picardi, MD, PhD, </w:t>
      </w:r>
      <w:r w:rsidRPr="00173333">
        <w:rPr>
          <w:rFonts w:ascii="Book Antiqua" w:hAnsi="Book Antiqua"/>
          <w:color w:val="000000"/>
          <w:sz w:val="24"/>
          <w:szCs w:val="24"/>
          <w:lang w:val="en-US"/>
        </w:rPr>
        <w:t xml:space="preserve">Internal Medicine and Hepatology Unit, </w:t>
      </w:r>
      <w:r w:rsidRPr="00173333">
        <w:rPr>
          <w:rFonts w:ascii="Book Antiqua" w:hAnsi="Book Antiqua"/>
          <w:bCs/>
          <w:color w:val="000000"/>
          <w:sz w:val="24"/>
          <w:szCs w:val="24"/>
          <w:lang w:val="en-US"/>
        </w:rPr>
        <w:t>University Campus Bio-Medico</w:t>
      </w:r>
      <w:r w:rsidRPr="00173333">
        <w:rPr>
          <w:rFonts w:ascii="Book Antiqua" w:hAnsi="Book Antiqua"/>
          <w:b/>
          <w:color w:val="000000"/>
          <w:sz w:val="24"/>
          <w:szCs w:val="24"/>
          <w:lang w:eastAsia="zh-CN"/>
        </w:rPr>
        <w:t xml:space="preserve">, </w:t>
      </w:r>
      <w:r w:rsidRPr="00173333">
        <w:rPr>
          <w:rFonts w:ascii="Book Antiqua" w:hAnsi="Book Antiqua"/>
          <w:color w:val="000000"/>
          <w:sz w:val="24"/>
          <w:szCs w:val="24"/>
        </w:rPr>
        <w:t>Via Alvaro del Portillo 200,</w:t>
      </w:r>
      <w:r w:rsidRPr="00173333">
        <w:rPr>
          <w:rFonts w:ascii="Book Antiqua" w:hAnsi="Book Antiqua"/>
          <w:b/>
          <w:color w:val="000000"/>
          <w:sz w:val="24"/>
          <w:szCs w:val="24"/>
        </w:rPr>
        <w:t xml:space="preserve"> </w:t>
      </w:r>
      <w:r>
        <w:rPr>
          <w:rFonts w:ascii="Book Antiqua" w:hAnsi="Book Antiqua"/>
          <w:color w:val="000000"/>
          <w:sz w:val="24"/>
          <w:szCs w:val="24"/>
        </w:rPr>
        <w:t>00128</w:t>
      </w:r>
      <w:r w:rsidRPr="00173333">
        <w:rPr>
          <w:rFonts w:ascii="Book Antiqua" w:hAnsi="Book Antiqua"/>
          <w:color w:val="000000"/>
          <w:sz w:val="24"/>
          <w:szCs w:val="24"/>
        </w:rPr>
        <w:t xml:space="preserve"> Rome, Italy</w:t>
      </w:r>
      <w:r w:rsidRPr="00173333">
        <w:rPr>
          <w:rFonts w:ascii="Book Antiqua" w:hAnsi="Book Antiqua"/>
          <w:color w:val="000000"/>
          <w:sz w:val="24"/>
          <w:szCs w:val="24"/>
          <w:lang w:eastAsia="zh-CN"/>
        </w:rPr>
        <w:t xml:space="preserve">. </w:t>
      </w:r>
      <w:r w:rsidRPr="003B49F0">
        <w:rPr>
          <w:rFonts w:ascii="Book Antiqua" w:hAnsi="Book Antiqua"/>
          <w:sz w:val="24"/>
          <w:szCs w:val="24"/>
          <w:lang w:val="en-US"/>
        </w:rPr>
        <w:t>a.picardi@</w:t>
      </w:r>
      <w:r w:rsidRPr="00E1040A">
        <w:rPr>
          <w:rStyle w:val="Hyperlink"/>
          <w:rFonts w:ascii="Book Antiqua" w:hAnsi="Book Antiqua"/>
          <w:color w:val="000000"/>
          <w:sz w:val="24"/>
          <w:szCs w:val="24"/>
          <w:u w:val="none"/>
          <w:lang w:val="en-US"/>
        </w:rPr>
        <w:t>unicampus.it</w:t>
      </w:r>
    </w:p>
    <w:p w:rsidR="00A809E2" w:rsidRPr="00173333" w:rsidRDefault="00A809E2" w:rsidP="00173333">
      <w:pPr>
        <w:spacing w:line="360" w:lineRule="auto"/>
        <w:rPr>
          <w:rFonts w:ascii="Book Antiqua" w:hAnsi="Book Antiqua"/>
          <w:color w:val="000000"/>
          <w:sz w:val="24"/>
          <w:szCs w:val="24"/>
          <w:lang w:eastAsia="zh-CN"/>
        </w:rPr>
      </w:pPr>
      <w:r w:rsidRPr="00173333">
        <w:rPr>
          <w:rFonts w:ascii="Book Antiqua" w:hAnsi="Book Antiqua"/>
          <w:b/>
          <w:color w:val="000000"/>
          <w:sz w:val="24"/>
          <w:szCs w:val="24"/>
        </w:rPr>
        <w:t>Telephone:</w:t>
      </w:r>
      <w:r w:rsidRPr="00173333">
        <w:rPr>
          <w:rFonts w:ascii="Book Antiqua" w:hAnsi="Book Antiqua"/>
          <w:color w:val="000000"/>
          <w:sz w:val="24"/>
          <w:szCs w:val="24"/>
          <w:lang w:eastAsia="zh-CN"/>
        </w:rPr>
        <w:t xml:space="preserve"> </w:t>
      </w:r>
      <w:r w:rsidRPr="00173333">
        <w:rPr>
          <w:rFonts w:ascii="Book Antiqua" w:hAnsi="Book Antiqua"/>
          <w:color w:val="000000"/>
          <w:sz w:val="24"/>
          <w:szCs w:val="24"/>
          <w:lang w:val="en-US"/>
        </w:rPr>
        <w:t>+39</w:t>
      </w:r>
      <w:r w:rsidRPr="00173333">
        <w:rPr>
          <w:rFonts w:ascii="Book Antiqua" w:hAnsi="Book Antiqua"/>
          <w:color w:val="000000"/>
          <w:sz w:val="24"/>
          <w:szCs w:val="24"/>
          <w:lang w:val="en-US" w:eastAsia="zh-CN"/>
        </w:rPr>
        <w:t>-</w:t>
      </w:r>
      <w:r w:rsidRPr="00173333">
        <w:rPr>
          <w:rFonts w:ascii="Book Antiqua" w:hAnsi="Book Antiqua"/>
          <w:color w:val="000000"/>
          <w:sz w:val="24"/>
          <w:szCs w:val="24"/>
          <w:lang w:val="en-US"/>
        </w:rPr>
        <w:t>6</w:t>
      </w:r>
      <w:r w:rsidRPr="00173333">
        <w:rPr>
          <w:rFonts w:ascii="Book Antiqua" w:hAnsi="Book Antiqua"/>
          <w:color w:val="000000"/>
          <w:sz w:val="24"/>
          <w:szCs w:val="24"/>
          <w:lang w:val="en-US" w:eastAsia="zh-CN"/>
        </w:rPr>
        <w:t>-</w:t>
      </w:r>
      <w:r w:rsidRPr="00173333">
        <w:rPr>
          <w:rFonts w:ascii="Book Antiqua" w:hAnsi="Book Antiqua"/>
          <w:color w:val="000000"/>
          <w:sz w:val="24"/>
          <w:szCs w:val="24"/>
          <w:lang w:val="en-US"/>
        </w:rPr>
        <w:t>225411207</w:t>
      </w:r>
    </w:p>
    <w:p w:rsidR="00A809E2" w:rsidRPr="00173333" w:rsidRDefault="00A809E2" w:rsidP="00173333">
      <w:pPr>
        <w:spacing w:line="360" w:lineRule="auto"/>
        <w:rPr>
          <w:rFonts w:ascii="Book Antiqua" w:hAnsi="Book Antiqua"/>
          <w:color w:val="000000"/>
          <w:sz w:val="24"/>
          <w:szCs w:val="24"/>
          <w:lang w:val="en-US" w:eastAsia="zh-CN"/>
        </w:rPr>
      </w:pPr>
      <w:r w:rsidRPr="00173333">
        <w:rPr>
          <w:rFonts w:ascii="Book Antiqua" w:hAnsi="Book Antiqua"/>
          <w:b/>
          <w:color w:val="000000"/>
          <w:sz w:val="24"/>
          <w:szCs w:val="24"/>
        </w:rPr>
        <w:t>Fax:</w:t>
      </w:r>
      <w:r w:rsidRPr="00173333">
        <w:rPr>
          <w:rFonts w:ascii="Book Antiqua" w:hAnsi="Book Antiqua"/>
          <w:color w:val="000000"/>
          <w:sz w:val="24"/>
          <w:szCs w:val="24"/>
        </w:rPr>
        <w:t xml:space="preserve"> </w:t>
      </w:r>
      <w:r w:rsidRPr="00173333">
        <w:rPr>
          <w:rFonts w:ascii="Book Antiqua" w:hAnsi="Book Antiqua"/>
          <w:color w:val="000000"/>
          <w:sz w:val="24"/>
          <w:szCs w:val="24"/>
          <w:lang w:val="en-US"/>
        </w:rPr>
        <w:t>+39-6</w:t>
      </w:r>
      <w:r w:rsidRPr="00173333">
        <w:rPr>
          <w:rFonts w:ascii="Book Antiqua" w:hAnsi="Book Antiqua"/>
          <w:color w:val="000000"/>
          <w:sz w:val="24"/>
          <w:szCs w:val="24"/>
          <w:lang w:val="en-US" w:eastAsia="zh-CN"/>
        </w:rPr>
        <w:t>-</w:t>
      </w:r>
      <w:r w:rsidRPr="00173333">
        <w:rPr>
          <w:rFonts w:ascii="Book Antiqua" w:hAnsi="Book Antiqua"/>
          <w:color w:val="000000"/>
          <w:sz w:val="24"/>
          <w:szCs w:val="24"/>
          <w:lang w:val="en-US"/>
        </w:rPr>
        <w:t>225411944</w:t>
      </w:r>
    </w:p>
    <w:p w:rsidR="00A809E2" w:rsidRPr="00173333" w:rsidRDefault="00A809E2" w:rsidP="00173333">
      <w:pPr>
        <w:spacing w:line="360" w:lineRule="auto"/>
        <w:rPr>
          <w:rFonts w:ascii="Book Antiqua" w:hAnsi="Book Antiqua"/>
          <w:color w:val="000000"/>
          <w:sz w:val="24"/>
          <w:szCs w:val="24"/>
          <w:lang w:eastAsia="zh-CN"/>
        </w:rPr>
      </w:pPr>
    </w:p>
    <w:p w:rsidR="00A809E2" w:rsidRPr="00173333" w:rsidRDefault="00A809E2" w:rsidP="00173333">
      <w:pPr>
        <w:spacing w:line="360" w:lineRule="auto"/>
        <w:rPr>
          <w:rFonts w:ascii="Book Antiqua" w:hAnsi="Book Antiqua"/>
          <w:b/>
          <w:color w:val="000000"/>
          <w:sz w:val="24"/>
          <w:szCs w:val="24"/>
          <w:lang w:eastAsia="zh-CN"/>
        </w:rPr>
      </w:pPr>
      <w:bookmarkStart w:id="2" w:name="OLE_LINK5"/>
      <w:bookmarkStart w:id="3" w:name="OLE_LINK6"/>
      <w:r>
        <w:rPr>
          <w:rFonts w:ascii="Book Antiqua" w:hAnsi="Book Antiqua"/>
          <w:b/>
          <w:color w:val="000000"/>
          <w:sz w:val="24"/>
          <w:szCs w:val="24"/>
        </w:rPr>
        <w:t xml:space="preserve">Received: </w:t>
      </w:r>
      <w:r w:rsidRPr="00AB6E52">
        <w:rPr>
          <w:rFonts w:ascii="Book Antiqua" w:hAnsi="Book Antiqua"/>
          <w:color w:val="000000"/>
          <w:sz w:val="24"/>
          <w:szCs w:val="24"/>
          <w:lang w:eastAsia="zh-CN"/>
        </w:rPr>
        <w:t>May 27, 2015</w:t>
      </w:r>
    </w:p>
    <w:p w:rsidR="00A809E2" w:rsidRPr="00AB6E52" w:rsidRDefault="00A809E2" w:rsidP="00173333">
      <w:pPr>
        <w:spacing w:line="360" w:lineRule="auto"/>
        <w:rPr>
          <w:rFonts w:ascii="Book Antiqua" w:hAnsi="Book Antiqua"/>
          <w:color w:val="000000"/>
          <w:sz w:val="24"/>
          <w:szCs w:val="24"/>
          <w:lang w:eastAsia="zh-CN"/>
        </w:rPr>
      </w:pPr>
      <w:r w:rsidRPr="00173333">
        <w:rPr>
          <w:rFonts w:ascii="Book Antiqua" w:hAnsi="Book Antiqua"/>
          <w:b/>
          <w:color w:val="000000"/>
          <w:sz w:val="24"/>
          <w:szCs w:val="24"/>
        </w:rPr>
        <w:lastRenderedPageBreak/>
        <w:t>Peer-review started:</w:t>
      </w:r>
      <w:r>
        <w:rPr>
          <w:rFonts w:ascii="Book Antiqua" w:hAnsi="Book Antiqua"/>
          <w:b/>
          <w:color w:val="000000"/>
          <w:sz w:val="24"/>
          <w:szCs w:val="24"/>
          <w:lang w:eastAsia="zh-CN"/>
        </w:rPr>
        <w:t xml:space="preserve"> </w:t>
      </w:r>
      <w:r w:rsidRPr="00AB6E52">
        <w:rPr>
          <w:rFonts w:ascii="Book Antiqua" w:hAnsi="Book Antiqua"/>
          <w:color w:val="000000"/>
          <w:sz w:val="24"/>
          <w:szCs w:val="24"/>
          <w:lang w:eastAsia="zh-CN"/>
        </w:rPr>
        <w:t xml:space="preserve">May </w:t>
      </w:r>
      <w:r>
        <w:rPr>
          <w:rFonts w:ascii="Book Antiqua" w:hAnsi="Book Antiqua"/>
          <w:color w:val="000000"/>
          <w:sz w:val="24"/>
          <w:szCs w:val="24"/>
          <w:lang w:eastAsia="zh-CN"/>
        </w:rPr>
        <w:t>30</w:t>
      </w:r>
      <w:r w:rsidRPr="00AB6E52">
        <w:rPr>
          <w:rFonts w:ascii="Book Antiqua" w:hAnsi="Book Antiqua"/>
          <w:color w:val="000000"/>
          <w:sz w:val="24"/>
          <w:szCs w:val="24"/>
          <w:lang w:eastAsia="zh-CN"/>
        </w:rPr>
        <w:t>, 2015</w:t>
      </w:r>
    </w:p>
    <w:p w:rsidR="00A809E2" w:rsidRPr="00AB6E52" w:rsidRDefault="00A809E2" w:rsidP="00173333">
      <w:pPr>
        <w:spacing w:line="360" w:lineRule="auto"/>
        <w:rPr>
          <w:rFonts w:ascii="Book Antiqua" w:hAnsi="Book Antiqua"/>
          <w:color w:val="000000"/>
          <w:sz w:val="24"/>
          <w:szCs w:val="24"/>
          <w:lang w:eastAsia="zh-CN"/>
        </w:rPr>
      </w:pPr>
      <w:bookmarkStart w:id="4" w:name="OLE_LINK21"/>
      <w:bookmarkStart w:id="5" w:name="OLE_LINK22"/>
      <w:r w:rsidRPr="00173333">
        <w:rPr>
          <w:rFonts w:ascii="Book Antiqua" w:hAnsi="Book Antiqua"/>
          <w:b/>
          <w:color w:val="000000"/>
          <w:sz w:val="24"/>
          <w:szCs w:val="24"/>
        </w:rPr>
        <w:t>First decision:</w:t>
      </w:r>
      <w:r w:rsidRPr="00AB6E52">
        <w:rPr>
          <w:rFonts w:ascii="Book Antiqua" w:hAnsi="Book Antiqua"/>
          <w:color w:val="000000"/>
          <w:sz w:val="24"/>
          <w:szCs w:val="24"/>
          <w:lang w:eastAsia="zh-CN"/>
        </w:rPr>
        <w:t xml:space="preserve"> August 14, 2015</w:t>
      </w:r>
    </w:p>
    <w:bookmarkEnd w:id="4"/>
    <w:bookmarkEnd w:id="5"/>
    <w:p w:rsidR="00A809E2" w:rsidRPr="00AB6E52" w:rsidRDefault="00A809E2" w:rsidP="00173333">
      <w:pPr>
        <w:spacing w:line="360" w:lineRule="auto"/>
        <w:rPr>
          <w:rFonts w:ascii="Book Antiqua" w:hAnsi="Book Antiqua"/>
          <w:color w:val="000000"/>
          <w:sz w:val="24"/>
          <w:szCs w:val="24"/>
          <w:lang w:eastAsia="zh-CN"/>
        </w:rPr>
      </w:pPr>
      <w:r>
        <w:rPr>
          <w:rFonts w:ascii="Book Antiqua" w:hAnsi="Book Antiqua"/>
          <w:b/>
          <w:color w:val="000000"/>
          <w:sz w:val="24"/>
          <w:szCs w:val="24"/>
        </w:rPr>
        <w:t xml:space="preserve">Revised: </w:t>
      </w:r>
      <w:r w:rsidRPr="00AB6E52">
        <w:rPr>
          <w:rFonts w:ascii="Book Antiqua" w:hAnsi="Book Antiqua"/>
          <w:color w:val="000000"/>
          <w:sz w:val="24"/>
          <w:szCs w:val="24"/>
          <w:lang w:eastAsia="zh-CN"/>
        </w:rPr>
        <w:t>September 8, 2015</w:t>
      </w:r>
    </w:p>
    <w:p w:rsidR="00A809E2" w:rsidRPr="00AB6E52" w:rsidRDefault="00A809E2" w:rsidP="00173333">
      <w:pPr>
        <w:spacing w:line="360" w:lineRule="auto"/>
        <w:rPr>
          <w:rFonts w:ascii="Book Antiqua" w:hAnsi="Book Antiqua"/>
          <w:color w:val="000000"/>
          <w:sz w:val="24"/>
          <w:szCs w:val="24"/>
          <w:lang w:eastAsia="zh-CN"/>
        </w:rPr>
      </w:pPr>
      <w:proofErr w:type="spellStart"/>
      <w:r>
        <w:rPr>
          <w:rFonts w:ascii="Book Antiqua" w:hAnsi="Book Antiqua"/>
          <w:b/>
          <w:color w:val="000000"/>
          <w:sz w:val="24"/>
          <w:szCs w:val="24"/>
        </w:rPr>
        <w:t>Accepted</w:t>
      </w:r>
      <w:proofErr w:type="spellEnd"/>
      <w:r>
        <w:rPr>
          <w:rFonts w:ascii="Book Antiqua" w:hAnsi="Book Antiqua"/>
          <w:b/>
          <w:color w:val="000000"/>
          <w:sz w:val="24"/>
          <w:szCs w:val="24"/>
        </w:rPr>
        <w:t xml:space="preserve">: </w:t>
      </w:r>
      <w:proofErr w:type="spellStart"/>
      <w:r w:rsidR="00F62A5A" w:rsidRPr="00F62A5A">
        <w:rPr>
          <w:rFonts w:ascii="Book Antiqua" w:hAnsi="Book Antiqua"/>
          <w:color w:val="000000"/>
          <w:sz w:val="24"/>
          <w:szCs w:val="24"/>
        </w:rPr>
        <w:t>November</w:t>
      </w:r>
      <w:proofErr w:type="spellEnd"/>
      <w:r w:rsidR="00F62A5A" w:rsidRPr="00F62A5A">
        <w:rPr>
          <w:rFonts w:ascii="Book Antiqua" w:hAnsi="Book Antiqua"/>
          <w:color w:val="000000"/>
          <w:sz w:val="24"/>
          <w:szCs w:val="24"/>
        </w:rPr>
        <w:t xml:space="preserve"> 3, 2015</w:t>
      </w:r>
    </w:p>
    <w:p w:rsidR="00A809E2" w:rsidRPr="00173333" w:rsidRDefault="00A809E2" w:rsidP="00173333">
      <w:pPr>
        <w:spacing w:line="360" w:lineRule="auto"/>
        <w:rPr>
          <w:rFonts w:ascii="Book Antiqua" w:hAnsi="Book Antiqua"/>
          <w:b/>
          <w:color w:val="000000"/>
          <w:sz w:val="24"/>
          <w:szCs w:val="24"/>
        </w:rPr>
      </w:pPr>
      <w:r w:rsidRPr="00173333">
        <w:rPr>
          <w:rFonts w:ascii="Book Antiqua" w:hAnsi="Book Antiqua"/>
          <w:b/>
          <w:color w:val="000000"/>
          <w:sz w:val="24"/>
          <w:szCs w:val="24"/>
        </w:rPr>
        <w:t>Article in press:</w:t>
      </w:r>
    </w:p>
    <w:p w:rsidR="00A809E2" w:rsidRPr="00173333" w:rsidRDefault="00A809E2" w:rsidP="00173333">
      <w:pPr>
        <w:spacing w:line="360" w:lineRule="auto"/>
        <w:rPr>
          <w:rFonts w:ascii="Book Antiqua" w:hAnsi="Book Antiqua"/>
          <w:b/>
          <w:color w:val="000000"/>
          <w:sz w:val="24"/>
          <w:szCs w:val="24"/>
        </w:rPr>
      </w:pPr>
      <w:r w:rsidRPr="00173333">
        <w:rPr>
          <w:rFonts w:ascii="Book Antiqua" w:hAnsi="Book Antiqua"/>
          <w:b/>
          <w:color w:val="000000"/>
          <w:sz w:val="24"/>
          <w:szCs w:val="24"/>
        </w:rPr>
        <w:t xml:space="preserve">Published online: </w:t>
      </w:r>
    </w:p>
    <w:bookmarkEnd w:id="2"/>
    <w:bookmarkEnd w:id="3"/>
    <w:p w:rsidR="00A809E2" w:rsidRPr="00173333" w:rsidRDefault="00A809E2" w:rsidP="00173333">
      <w:pPr>
        <w:spacing w:line="360" w:lineRule="auto"/>
        <w:jc w:val="both"/>
        <w:rPr>
          <w:rFonts w:ascii="Book Antiqua" w:hAnsi="Book Antiqua"/>
          <w:color w:val="000000"/>
          <w:sz w:val="24"/>
          <w:szCs w:val="24"/>
          <w:lang w:val="en-US" w:eastAsia="zh-CN"/>
        </w:rPr>
      </w:pPr>
    </w:p>
    <w:p w:rsidR="00A809E2" w:rsidRPr="00173333" w:rsidRDefault="00A809E2" w:rsidP="003B49F0">
      <w:pPr>
        <w:spacing w:line="360" w:lineRule="auto"/>
        <w:rPr>
          <w:rFonts w:ascii="Book Antiqua" w:hAnsi="Book Antiqua"/>
          <w:b/>
          <w:color w:val="000000"/>
          <w:sz w:val="24"/>
          <w:szCs w:val="24"/>
          <w:lang w:val="en-US"/>
        </w:rPr>
      </w:pPr>
      <w:r w:rsidRPr="00173333">
        <w:rPr>
          <w:rFonts w:ascii="Book Antiqua" w:hAnsi="Book Antiqua"/>
          <w:b/>
          <w:color w:val="000000"/>
          <w:sz w:val="24"/>
          <w:szCs w:val="24"/>
          <w:lang w:val="en-US"/>
        </w:rPr>
        <w:br w:type="page"/>
      </w:r>
      <w:r w:rsidRPr="00173333">
        <w:rPr>
          <w:rFonts w:ascii="Book Antiqua" w:hAnsi="Book Antiqua"/>
          <w:b/>
          <w:color w:val="000000"/>
          <w:sz w:val="24"/>
          <w:szCs w:val="24"/>
          <w:lang w:val="en-US"/>
        </w:rPr>
        <w:lastRenderedPageBreak/>
        <w:t>Abstract</w:t>
      </w:r>
    </w:p>
    <w:p w:rsidR="00A809E2" w:rsidRPr="00173333" w:rsidRDefault="00A809E2" w:rsidP="00173333">
      <w:pPr>
        <w:spacing w:line="360" w:lineRule="auto"/>
        <w:jc w:val="both"/>
        <w:rPr>
          <w:rFonts w:ascii="Book Antiqua" w:hAnsi="Book Antiqua"/>
          <w:color w:val="000000"/>
          <w:sz w:val="24"/>
          <w:szCs w:val="24"/>
          <w:lang w:val="en-US" w:eastAsia="zh-CN"/>
        </w:rPr>
      </w:pPr>
      <w:r w:rsidRPr="00173333">
        <w:rPr>
          <w:rFonts w:ascii="Book Antiqua" w:hAnsi="Book Antiqua"/>
          <w:color w:val="000000"/>
          <w:sz w:val="24"/>
          <w:szCs w:val="24"/>
          <w:lang w:val="en-US"/>
        </w:rPr>
        <w:t>Proton pump inhibitors (PPIs) represent one of the most extensively prescribed class</w:t>
      </w:r>
      <w:r w:rsidRPr="00173333">
        <w:rPr>
          <w:rFonts w:ascii="Book Antiqua" w:hAnsi="Book Antiqua"/>
          <w:color w:val="000000"/>
          <w:sz w:val="24"/>
          <w:szCs w:val="24"/>
          <w:lang w:val="en-US" w:eastAsia="zh-CN"/>
        </w:rPr>
        <w:t>es</w:t>
      </w:r>
      <w:r w:rsidRPr="00173333">
        <w:rPr>
          <w:rFonts w:ascii="Book Antiqua" w:hAnsi="Book Antiqua"/>
          <w:color w:val="000000"/>
          <w:sz w:val="24"/>
          <w:szCs w:val="24"/>
          <w:lang w:val="en-US"/>
        </w:rPr>
        <w:t xml:space="preserve"> of drugs in general and in patients with liver cirrhosis. Many prescriptions are made without a clear adherence to standard indications. As a class of ordinarily well tolerated drug, PPIs are not free of side-effects and concerns have been raised about a possible role for PPIs in predisposing patients to an increased risk of bacterial infections and sepsis. As evidences of different power are accumulating on this topic, prospective studies are needed to reach a more universal agreement, but definitely more attention is needed by prescribers in being more </w:t>
      </w:r>
      <w:proofErr w:type="gramStart"/>
      <w:r w:rsidRPr="00173333">
        <w:rPr>
          <w:rFonts w:ascii="Book Antiqua" w:hAnsi="Book Antiqua"/>
          <w:color w:val="000000"/>
          <w:sz w:val="24"/>
          <w:szCs w:val="24"/>
          <w:lang w:val="en-US"/>
        </w:rPr>
        <w:t>adherent</w:t>
      </w:r>
      <w:proofErr w:type="gramEnd"/>
      <w:r w:rsidRPr="00173333">
        <w:rPr>
          <w:rFonts w:ascii="Book Antiqua" w:hAnsi="Book Antiqua"/>
          <w:color w:val="000000"/>
          <w:sz w:val="24"/>
          <w:szCs w:val="24"/>
          <w:lang w:val="en-US"/>
        </w:rPr>
        <w:t xml:space="preserve"> to the few recognized indications for the use of PPIs, particularly in patients with liver cirrhosis. Otherwise, doctors could run the risk of being accused of “abused” prescription.</w:t>
      </w:r>
    </w:p>
    <w:p w:rsidR="00A809E2" w:rsidRPr="00173333" w:rsidRDefault="00A809E2" w:rsidP="00173333">
      <w:pPr>
        <w:spacing w:line="360" w:lineRule="auto"/>
        <w:jc w:val="both"/>
        <w:rPr>
          <w:rFonts w:ascii="Book Antiqua" w:hAnsi="Book Antiqua"/>
          <w:b/>
          <w:color w:val="000000"/>
          <w:sz w:val="24"/>
          <w:szCs w:val="24"/>
          <w:lang w:val="en-US" w:eastAsia="zh-CN"/>
        </w:rPr>
      </w:pPr>
    </w:p>
    <w:p w:rsidR="00A809E2" w:rsidRPr="00173333" w:rsidRDefault="00A809E2" w:rsidP="00173333">
      <w:pPr>
        <w:spacing w:line="360" w:lineRule="auto"/>
        <w:jc w:val="both"/>
        <w:rPr>
          <w:rFonts w:ascii="Book Antiqua" w:hAnsi="Book Antiqua"/>
          <w:color w:val="000000"/>
          <w:sz w:val="24"/>
          <w:szCs w:val="24"/>
          <w:lang w:val="en-US" w:eastAsia="zh-CN"/>
        </w:rPr>
      </w:pPr>
      <w:r w:rsidRPr="00173333">
        <w:rPr>
          <w:rFonts w:ascii="Book Antiqua" w:hAnsi="Book Antiqua"/>
          <w:b/>
          <w:color w:val="000000"/>
          <w:sz w:val="24"/>
          <w:szCs w:val="24"/>
          <w:lang w:val="en-US"/>
        </w:rPr>
        <w:t>Key words</w:t>
      </w:r>
      <w:r w:rsidRPr="00173333">
        <w:rPr>
          <w:rFonts w:ascii="Book Antiqua" w:hAnsi="Book Antiqua"/>
          <w:b/>
          <w:color w:val="000000"/>
          <w:sz w:val="24"/>
          <w:szCs w:val="24"/>
          <w:lang w:val="en-US" w:eastAsia="zh-CN"/>
        </w:rPr>
        <w:t xml:space="preserve">: </w:t>
      </w:r>
      <w:r w:rsidRPr="00173333">
        <w:rPr>
          <w:rFonts w:ascii="Book Antiqua" w:hAnsi="Book Antiqua"/>
          <w:color w:val="000000"/>
          <w:sz w:val="24"/>
          <w:szCs w:val="24"/>
          <w:lang w:val="en-US"/>
        </w:rPr>
        <w:t>Proton pump inhibitors</w:t>
      </w:r>
      <w:r w:rsidRPr="00173333">
        <w:rPr>
          <w:rFonts w:ascii="Book Antiqua" w:hAnsi="Book Antiqua"/>
          <w:color w:val="000000"/>
          <w:sz w:val="24"/>
          <w:szCs w:val="24"/>
          <w:lang w:val="en-US" w:eastAsia="zh-CN"/>
        </w:rPr>
        <w:t>;</w:t>
      </w:r>
      <w:r w:rsidRPr="00173333">
        <w:rPr>
          <w:rFonts w:ascii="Book Antiqua" w:hAnsi="Book Antiqua"/>
          <w:color w:val="000000"/>
          <w:sz w:val="24"/>
          <w:szCs w:val="24"/>
          <w:lang w:val="en-US"/>
        </w:rPr>
        <w:t xml:space="preserve"> Liver cirrhosis</w:t>
      </w:r>
      <w:r w:rsidRPr="00173333">
        <w:rPr>
          <w:rFonts w:ascii="Book Antiqua" w:hAnsi="Book Antiqua"/>
          <w:color w:val="000000"/>
          <w:sz w:val="24"/>
          <w:szCs w:val="24"/>
          <w:lang w:val="en-US" w:eastAsia="zh-CN"/>
        </w:rPr>
        <w:t>;</w:t>
      </w:r>
      <w:r w:rsidRPr="00173333">
        <w:rPr>
          <w:rFonts w:ascii="Book Antiqua" w:hAnsi="Book Antiqua"/>
          <w:color w:val="000000"/>
          <w:sz w:val="24"/>
          <w:szCs w:val="24"/>
          <w:lang w:val="en-US"/>
        </w:rPr>
        <w:t xml:space="preserve"> Bacterial infection</w:t>
      </w:r>
      <w:r w:rsidRPr="00173333">
        <w:rPr>
          <w:rFonts w:ascii="Book Antiqua" w:hAnsi="Book Antiqua"/>
          <w:color w:val="000000"/>
          <w:sz w:val="24"/>
          <w:szCs w:val="24"/>
          <w:lang w:val="en-US" w:eastAsia="zh-CN"/>
        </w:rPr>
        <w:t>;</w:t>
      </w:r>
      <w:r w:rsidRPr="00173333">
        <w:rPr>
          <w:rFonts w:ascii="Book Antiqua" w:hAnsi="Book Antiqua"/>
          <w:color w:val="000000"/>
          <w:sz w:val="24"/>
          <w:szCs w:val="24"/>
          <w:lang w:val="en-US"/>
        </w:rPr>
        <w:t xml:space="preserve"> Sepsis</w:t>
      </w:r>
    </w:p>
    <w:p w:rsidR="00A809E2" w:rsidRDefault="00A809E2" w:rsidP="00173333">
      <w:pPr>
        <w:spacing w:line="360" w:lineRule="auto"/>
        <w:jc w:val="both"/>
        <w:rPr>
          <w:rFonts w:ascii="Book Antiqua" w:hAnsi="Book Antiqua"/>
          <w:b/>
          <w:color w:val="000000"/>
          <w:sz w:val="24"/>
          <w:szCs w:val="24"/>
          <w:lang w:val="en-US" w:eastAsia="zh-CN"/>
        </w:rPr>
      </w:pPr>
    </w:p>
    <w:p w:rsidR="00A809E2" w:rsidRPr="00F36768" w:rsidRDefault="00A809E2" w:rsidP="00AB6E52">
      <w:pPr>
        <w:spacing w:line="360" w:lineRule="auto"/>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sz w:val="24"/>
          <w:szCs w:val="24"/>
          <w:lang w:val="fr-FR"/>
        </w:rPr>
        <w:t>.</w:t>
      </w:r>
    </w:p>
    <w:p w:rsidR="00A809E2" w:rsidRPr="00173333" w:rsidRDefault="00A809E2" w:rsidP="00173333">
      <w:pPr>
        <w:spacing w:line="360" w:lineRule="auto"/>
        <w:jc w:val="both"/>
        <w:rPr>
          <w:rFonts w:ascii="Book Antiqua" w:hAnsi="Book Antiqua"/>
          <w:b/>
          <w:color w:val="000000"/>
          <w:sz w:val="24"/>
          <w:szCs w:val="24"/>
          <w:lang w:val="en-US" w:eastAsia="zh-CN"/>
        </w:rPr>
      </w:pPr>
    </w:p>
    <w:p w:rsidR="00A809E2" w:rsidRDefault="00A809E2" w:rsidP="00173333">
      <w:pPr>
        <w:spacing w:line="360" w:lineRule="auto"/>
        <w:jc w:val="both"/>
        <w:rPr>
          <w:rFonts w:ascii="Book Antiqua" w:hAnsi="Book Antiqua"/>
          <w:color w:val="000000"/>
          <w:sz w:val="24"/>
          <w:szCs w:val="24"/>
          <w:lang w:val="en-US" w:eastAsia="zh-CN"/>
        </w:rPr>
      </w:pPr>
      <w:r w:rsidRPr="00173333">
        <w:rPr>
          <w:rFonts w:ascii="Book Antiqua" w:hAnsi="Book Antiqua"/>
          <w:b/>
          <w:color w:val="000000"/>
          <w:sz w:val="24"/>
          <w:szCs w:val="24"/>
          <w:lang w:val="en-US"/>
        </w:rPr>
        <w:t>Core tip</w:t>
      </w:r>
      <w:r w:rsidRPr="00173333">
        <w:rPr>
          <w:rFonts w:ascii="Book Antiqua" w:hAnsi="Book Antiqua"/>
          <w:b/>
          <w:color w:val="000000"/>
          <w:sz w:val="24"/>
          <w:szCs w:val="24"/>
          <w:lang w:val="en-US" w:eastAsia="zh-CN"/>
        </w:rPr>
        <w:t xml:space="preserve">: </w:t>
      </w:r>
      <w:r w:rsidRPr="00173333">
        <w:rPr>
          <w:rFonts w:ascii="Book Antiqua" w:hAnsi="Book Antiqua"/>
          <w:color w:val="000000"/>
          <w:sz w:val="24"/>
          <w:szCs w:val="24"/>
          <w:lang w:val="en-US"/>
        </w:rPr>
        <w:t>Many prescriptions of proton pump inhibitors (PPIs) are made without adhering to standard recognized indications. PPIs are ordinarily well tolerated but are not free of side-effects, and, in patients with liver cirrhosis, concerns are accruing on a possible role for PPIs in increasing the risk of infections and sepsis. As evidences of different power are accumulating, prospective studies are needed. However, prescribers should put definitely more attention in adhering to the recognized indications for the use of PPIs, especially in patients with cirrhosis. Otherwise, doctors could be responsible for “abuse” of prescription.</w:t>
      </w:r>
    </w:p>
    <w:p w:rsidR="00A809E2" w:rsidRPr="00173333" w:rsidRDefault="00A809E2" w:rsidP="00AB6E52">
      <w:pPr>
        <w:spacing w:line="360" w:lineRule="auto"/>
        <w:jc w:val="both"/>
        <w:rPr>
          <w:rFonts w:ascii="Book Antiqua" w:hAnsi="Book Antiqua"/>
          <w:bCs/>
          <w:color w:val="000000"/>
          <w:sz w:val="24"/>
          <w:szCs w:val="24"/>
          <w:lang w:val="en-US" w:eastAsia="zh-CN"/>
        </w:rPr>
      </w:pPr>
    </w:p>
    <w:p w:rsidR="00A809E2" w:rsidRPr="00AB6E52" w:rsidRDefault="00A809E2" w:rsidP="00AB6E52">
      <w:pPr>
        <w:spacing w:line="360" w:lineRule="auto"/>
        <w:jc w:val="both"/>
        <w:rPr>
          <w:rFonts w:ascii="Book Antiqua" w:hAnsi="Book Antiqua"/>
          <w:color w:val="000000"/>
          <w:sz w:val="24"/>
          <w:szCs w:val="24"/>
          <w:lang w:val="en-US" w:eastAsia="zh-CN"/>
        </w:rPr>
      </w:pPr>
      <w:proofErr w:type="spellStart"/>
      <w:r w:rsidRPr="00173333">
        <w:rPr>
          <w:rFonts w:ascii="Book Antiqua" w:hAnsi="Book Antiqua"/>
          <w:bCs/>
          <w:color w:val="000000"/>
          <w:sz w:val="24"/>
          <w:szCs w:val="24"/>
          <w:lang w:val="en-US" w:eastAsia="zh-CN"/>
        </w:rPr>
        <w:t>Picardi</w:t>
      </w:r>
      <w:proofErr w:type="spellEnd"/>
      <w:r w:rsidRPr="00173333">
        <w:rPr>
          <w:rFonts w:ascii="Book Antiqua" w:hAnsi="Book Antiqua"/>
          <w:bCs/>
          <w:color w:val="000000"/>
          <w:sz w:val="24"/>
          <w:szCs w:val="24"/>
          <w:lang w:val="en-US" w:eastAsia="zh-CN"/>
        </w:rPr>
        <w:t xml:space="preserve"> A</w:t>
      </w:r>
      <w:r>
        <w:rPr>
          <w:rFonts w:ascii="Book Antiqua" w:hAnsi="Book Antiqua"/>
          <w:bCs/>
          <w:color w:val="000000"/>
          <w:sz w:val="24"/>
          <w:szCs w:val="24"/>
          <w:lang w:val="en-US" w:eastAsia="zh-CN"/>
        </w:rPr>
        <w:t xml:space="preserve">, </w:t>
      </w:r>
      <w:r w:rsidRPr="00173333">
        <w:rPr>
          <w:rFonts w:ascii="Book Antiqua" w:hAnsi="Book Antiqua"/>
          <w:bCs/>
          <w:color w:val="000000"/>
          <w:sz w:val="24"/>
          <w:szCs w:val="24"/>
        </w:rPr>
        <w:t>Vespasiani-Gentilucci</w:t>
      </w:r>
      <w:r>
        <w:rPr>
          <w:rFonts w:ascii="Book Antiqua" w:hAnsi="Book Antiqua"/>
          <w:bCs/>
          <w:color w:val="000000"/>
          <w:sz w:val="24"/>
          <w:szCs w:val="24"/>
          <w:lang w:eastAsia="zh-CN"/>
        </w:rPr>
        <w:t xml:space="preserve"> U.</w:t>
      </w:r>
      <w:r w:rsidRPr="00AB6E52">
        <w:rPr>
          <w:rFonts w:ascii="Book Antiqua" w:hAnsi="Book Antiqua"/>
          <w:color w:val="000000"/>
          <w:sz w:val="24"/>
          <w:szCs w:val="24"/>
          <w:lang w:val="en-US" w:eastAsia="it-IT"/>
        </w:rPr>
        <w:t xml:space="preserve"> Proton pump inhibitor prescription abuse and sepsis in cirrhosis</w:t>
      </w:r>
      <w:r>
        <w:rPr>
          <w:rFonts w:ascii="Book Antiqua" w:hAnsi="Book Antiqua"/>
          <w:color w:val="000000"/>
          <w:sz w:val="24"/>
          <w:szCs w:val="24"/>
          <w:lang w:val="en-US" w:eastAsia="zh-CN"/>
        </w:rPr>
        <w:t xml:space="preserve">. </w:t>
      </w:r>
      <w:r w:rsidRPr="00C341A0">
        <w:rPr>
          <w:rFonts w:ascii="Book Antiqua" w:hAnsi="Book Antiqua"/>
          <w:i/>
          <w:iCs/>
          <w:sz w:val="24"/>
          <w:szCs w:val="24"/>
        </w:rPr>
        <w:t>World J Gastrointest Pharmacol Ther</w:t>
      </w:r>
      <w:r>
        <w:rPr>
          <w:rFonts w:ascii="Book Antiqua" w:hAnsi="Book Antiqua"/>
          <w:iCs/>
          <w:sz w:val="24"/>
          <w:szCs w:val="24"/>
          <w:lang w:eastAsia="zh-CN"/>
        </w:rPr>
        <w:t xml:space="preserve"> 2015; In press</w:t>
      </w:r>
    </w:p>
    <w:p w:rsidR="00A809E2" w:rsidRPr="00173333" w:rsidRDefault="00A809E2" w:rsidP="00173333">
      <w:pPr>
        <w:spacing w:line="360" w:lineRule="auto"/>
        <w:jc w:val="both"/>
        <w:rPr>
          <w:rFonts w:ascii="Book Antiqua" w:hAnsi="Book Antiqua"/>
          <w:b/>
          <w:color w:val="000000"/>
          <w:sz w:val="24"/>
          <w:szCs w:val="24"/>
          <w:lang w:val="en-US"/>
        </w:rPr>
      </w:pPr>
      <w:r w:rsidRPr="00173333">
        <w:rPr>
          <w:rFonts w:ascii="Book Antiqua" w:hAnsi="Book Antiqua"/>
          <w:b/>
          <w:color w:val="000000"/>
          <w:sz w:val="24"/>
          <w:szCs w:val="24"/>
          <w:lang w:val="en-US"/>
        </w:rPr>
        <w:br w:type="page"/>
      </w:r>
      <w:r w:rsidRPr="00173333">
        <w:rPr>
          <w:rFonts w:ascii="Book Antiqua" w:hAnsi="Book Antiqua"/>
          <w:b/>
          <w:color w:val="000000"/>
          <w:sz w:val="24"/>
          <w:szCs w:val="24"/>
          <w:lang w:val="en-US"/>
        </w:rPr>
        <w:lastRenderedPageBreak/>
        <w:t>UPPER DIGESTIVE BLEEDING DISORDERS IN CIRRHOSIS</w:t>
      </w:r>
    </w:p>
    <w:p w:rsidR="00A809E2" w:rsidRPr="00173333" w:rsidRDefault="00A809E2" w:rsidP="00173333">
      <w:pPr>
        <w:spacing w:line="360" w:lineRule="auto"/>
        <w:jc w:val="both"/>
        <w:rPr>
          <w:rFonts w:ascii="Book Antiqua" w:hAnsi="Book Antiqua"/>
          <w:color w:val="000000"/>
          <w:sz w:val="24"/>
          <w:szCs w:val="24"/>
          <w:lang w:val="en-US"/>
        </w:rPr>
      </w:pPr>
      <w:r w:rsidRPr="00173333">
        <w:rPr>
          <w:rFonts w:ascii="Book Antiqua" w:hAnsi="Book Antiqua"/>
          <w:color w:val="000000"/>
          <w:sz w:val="24"/>
          <w:szCs w:val="24"/>
          <w:lang w:val="en-US"/>
        </w:rPr>
        <w:t xml:space="preserve">Portal hypertension changes the clinical picture of patients with liver cirrhosis causing the most untamable complications that set up the clinical syndrome of advanced liver cirrhosis, such as ascites, </w:t>
      </w:r>
      <w:proofErr w:type="spellStart"/>
      <w:r w:rsidRPr="00173333">
        <w:rPr>
          <w:rFonts w:ascii="Book Antiqua" w:hAnsi="Book Antiqua"/>
          <w:color w:val="000000"/>
          <w:sz w:val="24"/>
          <w:szCs w:val="24"/>
          <w:lang w:val="en-US"/>
        </w:rPr>
        <w:t>porto</w:t>
      </w:r>
      <w:proofErr w:type="spellEnd"/>
      <w:r w:rsidRPr="00173333">
        <w:rPr>
          <w:rFonts w:ascii="Book Antiqua" w:hAnsi="Book Antiqua"/>
          <w:color w:val="000000"/>
          <w:sz w:val="24"/>
          <w:szCs w:val="24"/>
          <w:lang w:val="en-US"/>
        </w:rPr>
        <w:t xml:space="preserve">-systemic encephalopathy, </w:t>
      </w:r>
      <w:r w:rsidRPr="00173333">
        <w:rPr>
          <w:rFonts w:ascii="Book Antiqua" w:hAnsi="Book Antiqua"/>
          <w:i/>
          <w:color w:val="000000"/>
          <w:sz w:val="24"/>
          <w:szCs w:val="24"/>
          <w:lang w:val="en-US"/>
        </w:rPr>
        <w:t>etc</w:t>
      </w:r>
      <w:r w:rsidRPr="00173333">
        <w:rPr>
          <w:rFonts w:ascii="Book Antiqua" w:hAnsi="Book Antiqua"/>
          <w:color w:val="000000"/>
          <w:sz w:val="24"/>
          <w:szCs w:val="24"/>
          <w:lang w:val="en-US"/>
        </w:rPr>
        <w:t xml:space="preserve">. Among those, upper gastrointestinal bleeding (UGIB) from esophageal varices is one of the most fearsome acute complications of liver cirrhosis, and constitutes one of the genuine medical emergencies. This is the reason why UGIB entails a prompt and appropriate management and every effort is attempted by clinicians and investigators to predict and, possibly, prevent its </w:t>
      </w:r>
      <w:proofErr w:type="gramStart"/>
      <w:r w:rsidRPr="00173333">
        <w:rPr>
          <w:rFonts w:ascii="Book Antiqua" w:hAnsi="Book Antiqua"/>
          <w:color w:val="000000"/>
          <w:sz w:val="24"/>
          <w:szCs w:val="24"/>
          <w:lang w:val="en-US"/>
        </w:rPr>
        <w:t>occurrence</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1]</w:t>
      </w:r>
      <w:r w:rsidRPr="00173333">
        <w:rPr>
          <w:rFonts w:ascii="Book Antiqua" w:hAnsi="Book Antiqua"/>
          <w:color w:val="000000"/>
          <w:sz w:val="24"/>
          <w:szCs w:val="24"/>
          <w:lang w:val="en-US" w:eastAsia="zh-CN"/>
        </w:rPr>
        <w:t>.</w:t>
      </w:r>
      <w:r w:rsidRPr="00173333">
        <w:rPr>
          <w:rFonts w:ascii="Book Antiqua" w:hAnsi="Book Antiqua"/>
          <w:color w:val="000000"/>
          <w:sz w:val="24"/>
          <w:szCs w:val="24"/>
          <w:lang w:val="en-US"/>
        </w:rPr>
        <w:t xml:space="preserve"> Mortality of UGIB can range from 2% to 15%, with re-bleeding rates as high as 10</w:t>
      </w:r>
      <w:r w:rsidRPr="00173333">
        <w:rPr>
          <w:rFonts w:ascii="Book Antiqua" w:hAnsi="Book Antiqua"/>
          <w:color w:val="000000"/>
          <w:sz w:val="24"/>
          <w:szCs w:val="24"/>
          <w:lang w:val="en-US" w:eastAsia="zh-CN"/>
        </w:rPr>
        <w:t>%-</w:t>
      </w:r>
      <w:r w:rsidRPr="00173333">
        <w:rPr>
          <w:rFonts w:ascii="Book Antiqua" w:hAnsi="Book Antiqua"/>
          <w:color w:val="000000"/>
          <w:sz w:val="24"/>
          <w:szCs w:val="24"/>
          <w:lang w:val="en-US"/>
        </w:rPr>
        <w:t xml:space="preserve">30% in the brief </w:t>
      </w:r>
      <w:proofErr w:type="gramStart"/>
      <w:r w:rsidRPr="00173333">
        <w:rPr>
          <w:rFonts w:ascii="Book Antiqua" w:hAnsi="Book Antiqua"/>
          <w:color w:val="000000"/>
          <w:sz w:val="24"/>
          <w:szCs w:val="24"/>
          <w:lang w:val="en-US"/>
        </w:rPr>
        <w:t>term</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2,3]</w:t>
      </w:r>
      <w:r w:rsidRPr="00173333">
        <w:rPr>
          <w:rFonts w:ascii="Book Antiqua" w:hAnsi="Book Antiqua"/>
          <w:color w:val="000000"/>
          <w:sz w:val="24"/>
          <w:szCs w:val="24"/>
          <w:lang w:val="en-US"/>
        </w:rPr>
        <w:t xml:space="preserve">. Indeed, the underlying hepatic dysfunction in liver cirrhosis is associated with an impaired coagulation </w:t>
      </w:r>
      <w:proofErr w:type="gramStart"/>
      <w:r w:rsidRPr="00173333">
        <w:rPr>
          <w:rFonts w:ascii="Book Antiqua" w:hAnsi="Book Antiqua"/>
          <w:color w:val="000000"/>
          <w:sz w:val="24"/>
          <w:szCs w:val="24"/>
          <w:lang w:val="en-US"/>
        </w:rPr>
        <w:t>capacity,</w:t>
      </w:r>
      <w:bookmarkStart w:id="6" w:name="_GoBack"/>
      <w:r w:rsidRPr="00173333">
        <w:rPr>
          <w:rFonts w:ascii="Book Antiqua" w:hAnsi="Book Antiqua"/>
          <w:color w:val="000000"/>
          <w:sz w:val="24"/>
          <w:szCs w:val="24"/>
          <w:lang w:val="en-US"/>
        </w:rPr>
        <w:t xml:space="preserve"> </w:t>
      </w:r>
      <w:bookmarkEnd w:id="6"/>
      <w:r w:rsidRPr="00173333">
        <w:rPr>
          <w:rFonts w:ascii="Book Antiqua" w:hAnsi="Book Antiqua"/>
          <w:color w:val="000000"/>
          <w:sz w:val="24"/>
          <w:szCs w:val="24"/>
          <w:lang w:val="en-US"/>
        </w:rPr>
        <w:t>that</w:t>
      </w:r>
      <w:proofErr w:type="gramEnd"/>
      <w:r w:rsidRPr="00173333">
        <w:rPr>
          <w:rFonts w:ascii="Book Antiqua" w:hAnsi="Book Antiqua"/>
          <w:color w:val="000000"/>
          <w:sz w:val="24"/>
          <w:szCs w:val="24"/>
          <w:lang w:val="en-US"/>
        </w:rPr>
        <w:t xml:space="preserve"> further increases morbidity. Recently, mortality at 90 days after UGIB in liver cirrhosis was shown to be significantly increased included when bleeding was not due to esophageal </w:t>
      </w:r>
      <w:proofErr w:type="gramStart"/>
      <w:r w:rsidRPr="00173333">
        <w:rPr>
          <w:rFonts w:ascii="Book Antiqua" w:hAnsi="Book Antiqua"/>
          <w:color w:val="000000"/>
          <w:sz w:val="24"/>
          <w:szCs w:val="24"/>
          <w:lang w:val="en-US"/>
        </w:rPr>
        <w:t>varices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4]</w:t>
      </w:r>
      <w:r w:rsidRPr="00173333">
        <w:rPr>
          <w:rFonts w:ascii="Book Antiqua" w:hAnsi="Book Antiqua"/>
          <w:color w:val="000000"/>
          <w:sz w:val="24"/>
          <w:szCs w:val="24"/>
          <w:lang w:val="en-US"/>
        </w:rPr>
        <w:t>.</w:t>
      </w:r>
    </w:p>
    <w:p w:rsidR="00A809E2" w:rsidRPr="00173333" w:rsidRDefault="00A809E2" w:rsidP="00173333">
      <w:pPr>
        <w:spacing w:line="360" w:lineRule="auto"/>
        <w:jc w:val="both"/>
        <w:rPr>
          <w:rFonts w:ascii="Book Antiqua" w:hAnsi="Book Antiqua"/>
          <w:color w:val="000000"/>
          <w:sz w:val="24"/>
          <w:szCs w:val="24"/>
          <w:lang w:val="en-US"/>
        </w:rPr>
      </w:pPr>
    </w:p>
    <w:p w:rsidR="00A809E2" w:rsidRPr="00173333" w:rsidRDefault="00A809E2" w:rsidP="00173333">
      <w:pPr>
        <w:spacing w:line="360" w:lineRule="auto"/>
        <w:jc w:val="both"/>
        <w:rPr>
          <w:rFonts w:ascii="Book Antiqua" w:hAnsi="Book Antiqua"/>
          <w:b/>
          <w:color w:val="000000"/>
          <w:sz w:val="24"/>
          <w:szCs w:val="24"/>
          <w:lang w:val="en-US" w:eastAsia="zh-CN"/>
        </w:rPr>
      </w:pPr>
      <w:r w:rsidRPr="00173333">
        <w:rPr>
          <w:rFonts w:ascii="Book Antiqua" w:hAnsi="Book Antiqua"/>
          <w:b/>
          <w:color w:val="000000"/>
          <w:sz w:val="24"/>
          <w:szCs w:val="24"/>
          <w:lang w:val="en-US"/>
        </w:rPr>
        <w:t>PROTON PUMP INHIBITORS INDICATIONS AND SHORTCOMINGS</w:t>
      </w:r>
    </w:p>
    <w:p w:rsidR="00A809E2" w:rsidRPr="00173333" w:rsidRDefault="00A809E2" w:rsidP="00173333">
      <w:pPr>
        <w:autoSpaceDE w:val="0"/>
        <w:autoSpaceDN w:val="0"/>
        <w:adjustRightInd w:val="0"/>
        <w:spacing w:line="360" w:lineRule="auto"/>
        <w:jc w:val="both"/>
        <w:rPr>
          <w:rFonts w:ascii="Book Antiqua" w:hAnsi="Book Antiqua"/>
          <w:color w:val="000000"/>
          <w:sz w:val="24"/>
          <w:szCs w:val="24"/>
          <w:lang w:val="en-US" w:eastAsia="zh-CN"/>
        </w:rPr>
      </w:pPr>
      <w:r w:rsidRPr="00173333">
        <w:rPr>
          <w:rFonts w:ascii="Book Antiqua" w:hAnsi="Book Antiqua"/>
          <w:color w:val="000000"/>
          <w:sz w:val="24"/>
          <w:szCs w:val="24"/>
          <w:lang w:val="en-US"/>
        </w:rPr>
        <w:t xml:space="preserve">Incidentally, proton pump inhibitors (PPIs) are powerful agents for controlling gastric acid secretion and actually they changed the clinical scenario of peptic ulcer </w:t>
      </w:r>
      <w:proofErr w:type="gramStart"/>
      <w:r w:rsidRPr="00173333">
        <w:rPr>
          <w:rFonts w:ascii="Book Antiqua" w:hAnsi="Book Antiqua"/>
          <w:color w:val="000000"/>
          <w:sz w:val="24"/>
          <w:szCs w:val="24"/>
          <w:lang w:val="en-US"/>
        </w:rPr>
        <w:t>disease</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5-8]</w:t>
      </w:r>
      <w:r w:rsidRPr="00173333">
        <w:rPr>
          <w:rFonts w:ascii="Book Antiqua" w:hAnsi="Book Antiqua"/>
          <w:color w:val="000000"/>
          <w:sz w:val="24"/>
          <w:szCs w:val="24"/>
          <w:lang w:val="en-US"/>
        </w:rPr>
        <w:t xml:space="preserve">. Thus, assuming a causative role for gastric acid production in any UGIB, a very extensive use of PPIs is made worldwide in very different clinical settings, ranging from peptic ulcer disease to general medicine and the more so in liver cirrhosis. Actually, acid suppressant drugs and especially PPIs represent the most frequently prescribed drugs in chronic among patients with liver cirrhosis, ranging from 25% to more than 40% of cirrhotic patients in various series. They are often prescribed on discharge also from specialized tertiary centers to cirrhotic patients who were not assuming ulcer healing drugs on hospital admission and who lack any proper current </w:t>
      </w:r>
      <w:proofErr w:type="gramStart"/>
      <w:r w:rsidRPr="00173333">
        <w:rPr>
          <w:rFonts w:ascii="Book Antiqua" w:hAnsi="Book Antiqua"/>
          <w:color w:val="000000"/>
          <w:sz w:val="24"/>
          <w:szCs w:val="24"/>
          <w:lang w:val="en-US"/>
        </w:rPr>
        <w:t>indication</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9,10]</w:t>
      </w:r>
      <w:r w:rsidRPr="00173333">
        <w:rPr>
          <w:rFonts w:ascii="Book Antiqua" w:hAnsi="Book Antiqua"/>
          <w:color w:val="000000"/>
          <w:sz w:val="24"/>
          <w:szCs w:val="24"/>
          <w:lang w:val="en-US"/>
        </w:rPr>
        <w:t>. Indeed, the only recognized indications for the use of PPIs - at term or in chronic - include very few items, namely: peptic ulcer disease, gastroesophageal reflux disease (GERD), non-variceal UGIB, and bleeding prophylaxis in selected users of nonsteroidal anti-inflammatory drugs (NSAIDs)</w:t>
      </w:r>
      <w:r w:rsidRPr="00173333">
        <w:rPr>
          <w:rFonts w:ascii="Book Antiqua" w:hAnsi="Book Antiqua"/>
          <w:color w:val="000000"/>
          <w:sz w:val="24"/>
          <w:szCs w:val="24"/>
          <w:vertAlign w:val="superscript"/>
          <w:lang w:val="en-US" w:eastAsia="zh-CN"/>
        </w:rPr>
        <w:t>[11]</w:t>
      </w:r>
      <w:r w:rsidRPr="00173333">
        <w:rPr>
          <w:rFonts w:ascii="Book Antiqua" w:hAnsi="Book Antiqua"/>
          <w:color w:val="000000"/>
          <w:sz w:val="24"/>
          <w:szCs w:val="24"/>
          <w:lang w:val="en-US" w:eastAsia="zh-CN"/>
        </w:rPr>
        <w:t>.</w:t>
      </w:r>
    </w:p>
    <w:p w:rsidR="00A809E2" w:rsidRPr="00173333" w:rsidRDefault="00A809E2" w:rsidP="00E1040A">
      <w:pPr>
        <w:autoSpaceDE w:val="0"/>
        <w:autoSpaceDN w:val="0"/>
        <w:adjustRightInd w:val="0"/>
        <w:spacing w:line="360" w:lineRule="auto"/>
        <w:ind w:firstLineChars="200" w:firstLine="480"/>
        <w:jc w:val="both"/>
        <w:rPr>
          <w:rFonts w:ascii="Book Antiqua" w:hAnsi="Book Antiqua"/>
          <w:color w:val="000000"/>
          <w:sz w:val="24"/>
          <w:szCs w:val="24"/>
          <w:lang w:val="en-US"/>
        </w:rPr>
      </w:pPr>
      <w:r w:rsidRPr="00173333">
        <w:rPr>
          <w:rFonts w:ascii="Book Antiqua" w:hAnsi="Book Antiqua"/>
          <w:color w:val="000000"/>
          <w:sz w:val="24"/>
          <w:szCs w:val="24"/>
          <w:lang w:val="en-US"/>
        </w:rPr>
        <w:t xml:space="preserve">Even if usually well </w:t>
      </w:r>
      <w:proofErr w:type="gramStart"/>
      <w:r w:rsidRPr="00173333">
        <w:rPr>
          <w:rFonts w:ascii="Book Antiqua" w:hAnsi="Book Antiqua"/>
          <w:color w:val="000000"/>
          <w:sz w:val="24"/>
          <w:szCs w:val="24"/>
          <w:lang w:val="en-US"/>
        </w:rPr>
        <w:t>tolerated</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12]</w:t>
      </w:r>
      <w:r w:rsidRPr="00173333">
        <w:rPr>
          <w:rFonts w:ascii="Book Antiqua" w:hAnsi="Book Antiqua"/>
          <w:color w:val="000000"/>
          <w:sz w:val="24"/>
          <w:szCs w:val="24"/>
          <w:lang w:val="en-US"/>
        </w:rPr>
        <w:t>, PPIs are not avoid of class specific systemic side effects– incidence on the order of 1% to 5%</w:t>
      </w:r>
      <w:r w:rsidRPr="00173333">
        <w:rPr>
          <w:rFonts w:ascii="Book Antiqua" w:hAnsi="Book Antiqua"/>
          <w:color w:val="000000"/>
          <w:sz w:val="24"/>
          <w:szCs w:val="24"/>
          <w:lang w:val="en-US" w:eastAsia="zh-CN"/>
        </w:rPr>
        <w:t xml:space="preserve"> </w:t>
      </w:r>
      <w:r w:rsidRPr="00173333">
        <w:rPr>
          <w:rFonts w:ascii="Book Antiqua" w:hAnsi="Book Antiqua"/>
          <w:color w:val="000000"/>
          <w:sz w:val="24"/>
          <w:szCs w:val="24"/>
          <w:lang w:val="en-US"/>
        </w:rPr>
        <w:t xml:space="preserve">- that include headache, diarrhea, constipation, nausea, and rash. Recently, they also surged as culprit of important drug-drug interactions that could reduce the efficacy of life saving </w:t>
      </w:r>
      <w:proofErr w:type="gramStart"/>
      <w:r w:rsidRPr="00173333">
        <w:rPr>
          <w:rFonts w:ascii="Book Antiqua" w:hAnsi="Book Antiqua"/>
          <w:color w:val="000000"/>
          <w:sz w:val="24"/>
          <w:szCs w:val="24"/>
          <w:lang w:val="en-US"/>
        </w:rPr>
        <w:t>drugs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8]</w:t>
      </w:r>
      <w:r w:rsidRPr="00173333">
        <w:rPr>
          <w:rFonts w:ascii="Book Antiqua" w:hAnsi="Book Antiqua"/>
          <w:color w:val="000000"/>
          <w:sz w:val="24"/>
          <w:szCs w:val="24"/>
          <w:lang w:val="en-US"/>
        </w:rPr>
        <w:t xml:space="preserve">. Secondary side effects after long term </w:t>
      </w:r>
      <w:r w:rsidRPr="00173333">
        <w:rPr>
          <w:rFonts w:ascii="Book Antiqua" w:hAnsi="Book Antiqua"/>
          <w:color w:val="000000"/>
          <w:sz w:val="24"/>
          <w:szCs w:val="24"/>
          <w:lang w:val="en-US"/>
        </w:rPr>
        <w:lastRenderedPageBreak/>
        <w:t>use of PPIs include osteoporosis, infections (as will be discussed further on) and the formation of gastric polyps/</w:t>
      </w:r>
      <w:proofErr w:type="gramStart"/>
      <w:r w:rsidRPr="00173333">
        <w:rPr>
          <w:rFonts w:ascii="Book Antiqua" w:hAnsi="Book Antiqua"/>
          <w:color w:val="000000"/>
          <w:sz w:val="24"/>
          <w:szCs w:val="24"/>
          <w:lang w:val="en-US"/>
        </w:rPr>
        <w:t>carcinoids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8,12]</w:t>
      </w:r>
      <w:r w:rsidRPr="00173333">
        <w:rPr>
          <w:rFonts w:ascii="Book Antiqua" w:hAnsi="Book Antiqua"/>
          <w:color w:val="000000"/>
          <w:sz w:val="24"/>
          <w:szCs w:val="24"/>
          <w:lang w:val="en-US"/>
        </w:rPr>
        <w:t>.</w:t>
      </w:r>
    </w:p>
    <w:p w:rsidR="00A809E2" w:rsidRPr="00173333" w:rsidRDefault="00A809E2" w:rsidP="00173333">
      <w:pPr>
        <w:autoSpaceDE w:val="0"/>
        <w:autoSpaceDN w:val="0"/>
        <w:adjustRightInd w:val="0"/>
        <w:spacing w:line="360" w:lineRule="auto"/>
        <w:jc w:val="both"/>
        <w:rPr>
          <w:rFonts w:ascii="Book Antiqua" w:hAnsi="Book Antiqua"/>
          <w:color w:val="000000"/>
          <w:sz w:val="24"/>
          <w:szCs w:val="24"/>
          <w:lang w:val="en-US"/>
        </w:rPr>
      </w:pPr>
    </w:p>
    <w:p w:rsidR="00A809E2" w:rsidRPr="00173333" w:rsidRDefault="00A809E2" w:rsidP="00173333">
      <w:pPr>
        <w:spacing w:line="360" w:lineRule="auto"/>
        <w:jc w:val="both"/>
        <w:rPr>
          <w:rFonts w:ascii="Book Antiqua" w:hAnsi="Book Antiqua"/>
          <w:color w:val="000000"/>
          <w:sz w:val="24"/>
          <w:szCs w:val="24"/>
          <w:lang w:val="en-US"/>
        </w:rPr>
      </w:pPr>
      <w:r w:rsidRPr="00173333">
        <w:rPr>
          <w:rFonts w:ascii="Book Antiqua" w:hAnsi="Book Antiqua"/>
          <w:b/>
          <w:color w:val="000000"/>
          <w:sz w:val="24"/>
          <w:szCs w:val="24"/>
          <w:lang w:val="en-US"/>
        </w:rPr>
        <w:t>IS THERE A ROLE FOR PPI IN PREVENTING UPPER DIGESTIVE BLEEDING ACCORDING TO GUIDELINES</w:t>
      </w:r>
      <w:r w:rsidRPr="00173333">
        <w:rPr>
          <w:rFonts w:ascii="Book Antiqua" w:hAnsi="Book Antiqua"/>
          <w:color w:val="000000"/>
          <w:sz w:val="24"/>
          <w:szCs w:val="24"/>
          <w:lang w:val="en-US"/>
        </w:rPr>
        <w:t xml:space="preserve">? </w:t>
      </w:r>
    </w:p>
    <w:p w:rsidR="00A809E2" w:rsidRPr="00173333" w:rsidRDefault="00A809E2" w:rsidP="00173333">
      <w:pPr>
        <w:spacing w:line="360" w:lineRule="auto"/>
        <w:jc w:val="both"/>
        <w:rPr>
          <w:rFonts w:ascii="Book Antiqua" w:hAnsi="Book Antiqua"/>
          <w:color w:val="000000"/>
          <w:sz w:val="24"/>
          <w:szCs w:val="24"/>
          <w:lang w:val="en-US"/>
        </w:rPr>
      </w:pPr>
      <w:r w:rsidRPr="00173333">
        <w:rPr>
          <w:rFonts w:ascii="Book Antiqua" w:hAnsi="Book Antiqua"/>
          <w:color w:val="000000"/>
          <w:sz w:val="24"/>
          <w:szCs w:val="24"/>
          <w:lang w:val="en-US"/>
        </w:rPr>
        <w:t xml:space="preserve">If we look at the case of patients with liver cirrhosis, few and scant specific indications exist for the use of PPIs. Benefits are documented only for their use in active bleeding from varices </w:t>
      </w:r>
      <w:r w:rsidRPr="00173333">
        <w:rPr>
          <w:rFonts w:ascii="Book Antiqua" w:hAnsi="Book Antiqua"/>
          <w:color w:val="000000"/>
          <w:sz w:val="24"/>
          <w:szCs w:val="24"/>
          <w:lang w:val="en-US" w:eastAsia="zh-CN"/>
        </w:rPr>
        <w:t xml:space="preserve">- </w:t>
      </w:r>
      <w:r w:rsidRPr="00173333">
        <w:rPr>
          <w:rFonts w:ascii="Book Antiqua" w:hAnsi="Book Antiqua"/>
          <w:color w:val="000000"/>
          <w:sz w:val="24"/>
          <w:szCs w:val="24"/>
          <w:lang w:val="en-US"/>
        </w:rPr>
        <w:t>starting before and continuing after endoscopic band ligation or sclerotherapy</w:t>
      </w:r>
      <w:r w:rsidRPr="00173333">
        <w:rPr>
          <w:rFonts w:ascii="Book Antiqua" w:hAnsi="Book Antiqua"/>
          <w:color w:val="000000"/>
          <w:sz w:val="24"/>
          <w:szCs w:val="24"/>
          <w:lang w:val="en-US" w:eastAsia="zh-CN"/>
        </w:rPr>
        <w:t xml:space="preserve"> </w:t>
      </w:r>
      <w:r w:rsidRPr="00173333">
        <w:rPr>
          <w:rFonts w:ascii="Book Antiqua" w:hAnsi="Book Antiqua"/>
          <w:color w:val="000000"/>
          <w:sz w:val="24"/>
          <w:szCs w:val="24"/>
          <w:lang w:val="en-US"/>
        </w:rPr>
        <w:t xml:space="preserve">- and merely if associated with the mainstay of medical treatment of bleeding in cirrhosis with vasoconstrictors and </w:t>
      </w:r>
      <w:proofErr w:type="gramStart"/>
      <w:r w:rsidRPr="00173333">
        <w:rPr>
          <w:rFonts w:ascii="Book Antiqua" w:hAnsi="Book Antiqua"/>
          <w:color w:val="000000"/>
          <w:sz w:val="24"/>
          <w:szCs w:val="24"/>
          <w:lang w:val="en-US"/>
        </w:rPr>
        <w:t>antibiotics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13-15]</w:t>
      </w:r>
      <w:r w:rsidRPr="00173333">
        <w:rPr>
          <w:rFonts w:ascii="Book Antiqua" w:hAnsi="Book Antiqua"/>
          <w:color w:val="000000"/>
          <w:sz w:val="24"/>
          <w:szCs w:val="24"/>
          <w:lang w:val="en-US"/>
        </w:rPr>
        <w:t>. The efficacy of PPIs after endoscopic treatment for the prevention of re-bleeding seems to be linked with the reduction of the dimensions of post-ligation ulcers</w:t>
      </w:r>
      <w:r w:rsidRPr="00173333">
        <w:rPr>
          <w:rFonts w:ascii="Book Antiqua" w:hAnsi="Book Antiqua"/>
          <w:color w:val="000000"/>
          <w:sz w:val="24"/>
          <w:szCs w:val="24"/>
          <w:vertAlign w:val="superscript"/>
          <w:lang w:val="en-US" w:eastAsia="zh-CN"/>
        </w:rPr>
        <w:t>[15]</w:t>
      </w:r>
      <w:r w:rsidRPr="00173333">
        <w:rPr>
          <w:rFonts w:ascii="Book Antiqua" w:hAnsi="Book Antiqua"/>
          <w:color w:val="000000"/>
          <w:sz w:val="24"/>
          <w:szCs w:val="24"/>
          <w:lang w:val="en-US"/>
        </w:rPr>
        <w:t xml:space="preserve">, then with a use limited to a short period of time (2-3 </w:t>
      </w:r>
      <w:proofErr w:type="spellStart"/>
      <w:r w:rsidRPr="00173333">
        <w:rPr>
          <w:rFonts w:ascii="Book Antiqua" w:hAnsi="Book Antiqua"/>
          <w:color w:val="000000"/>
          <w:sz w:val="24"/>
          <w:szCs w:val="24"/>
          <w:lang w:val="en-US"/>
        </w:rPr>
        <w:t>wk</w:t>
      </w:r>
      <w:proofErr w:type="spellEnd"/>
      <w:r w:rsidRPr="00173333">
        <w:rPr>
          <w:rFonts w:ascii="Book Antiqua" w:hAnsi="Book Antiqua"/>
          <w:color w:val="000000"/>
          <w:sz w:val="24"/>
          <w:szCs w:val="24"/>
          <w:lang w:val="en-US"/>
        </w:rPr>
        <w:t xml:space="preserve"> after band ligation). Conversely, manifestations of portal hypertension like congestive </w:t>
      </w:r>
      <w:proofErr w:type="spellStart"/>
      <w:r w:rsidRPr="00173333">
        <w:rPr>
          <w:rFonts w:ascii="Book Antiqua" w:hAnsi="Book Antiqua"/>
          <w:color w:val="000000"/>
          <w:sz w:val="24"/>
          <w:szCs w:val="24"/>
          <w:lang w:val="en-US"/>
        </w:rPr>
        <w:t>gastropathy</w:t>
      </w:r>
      <w:proofErr w:type="spellEnd"/>
      <w:r w:rsidRPr="00173333">
        <w:rPr>
          <w:rFonts w:ascii="Book Antiqua" w:hAnsi="Book Antiqua"/>
          <w:color w:val="000000"/>
          <w:sz w:val="24"/>
          <w:szCs w:val="24"/>
          <w:lang w:val="en-US"/>
        </w:rPr>
        <w:t xml:space="preserve"> and not actively bleeding esophageal or gastric varices are at risk for an inappropriate use of </w:t>
      </w:r>
      <w:proofErr w:type="gramStart"/>
      <w:r w:rsidRPr="00173333">
        <w:rPr>
          <w:rFonts w:ascii="Book Antiqua" w:hAnsi="Book Antiqua"/>
          <w:color w:val="000000"/>
          <w:sz w:val="24"/>
          <w:szCs w:val="24"/>
          <w:lang w:val="en-US"/>
        </w:rPr>
        <w:t>PPIs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16]</w:t>
      </w:r>
      <w:r w:rsidRPr="00173333">
        <w:rPr>
          <w:rFonts w:ascii="Book Antiqua" w:hAnsi="Book Antiqua"/>
          <w:color w:val="000000"/>
          <w:sz w:val="24"/>
          <w:szCs w:val="24"/>
          <w:lang w:val="en-US"/>
        </w:rPr>
        <w:t xml:space="preserve">. Definitely, PPIs have been shown recently to be not effective in the primary prevention of UGIB in cirrhotic </w:t>
      </w:r>
      <w:proofErr w:type="gramStart"/>
      <w:r w:rsidRPr="00173333">
        <w:rPr>
          <w:rFonts w:ascii="Book Antiqua" w:hAnsi="Book Antiqua"/>
          <w:color w:val="000000"/>
          <w:sz w:val="24"/>
          <w:szCs w:val="24"/>
          <w:lang w:val="en-US"/>
        </w:rPr>
        <w:t>patients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17]</w:t>
      </w:r>
      <w:r w:rsidRPr="00173333">
        <w:rPr>
          <w:rFonts w:ascii="Book Antiqua" w:hAnsi="Book Antiqua"/>
          <w:color w:val="000000"/>
          <w:sz w:val="24"/>
          <w:szCs w:val="24"/>
          <w:lang w:val="en-US"/>
        </w:rPr>
        <w:t xml:space="preserve">. Whatsoever, more than 60% of patients with liver cirrhosis have been found to have no documented indications for the use of a PPI in different published </w:t>
      </w:r>
      <w:proofErr w:type="gramStart"/>
      <w:r w:rsidRPr="00173333">
        <w:rPr>
          <w:rFonts w:ascii="Book Antiqua" w:hAnsi="Book Antiqua"/>
          <w:color w:val="000000"/>
          <w:sz w:val="24"/>
          <w:szCs w:val="24"/>
          <w:lang w:val="en-US"/>
        </w:rPr>
        <w:t>series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10,14,16-18]</w:t>
      </w:r>
      <w:r w:rsidRPr="00173333">
        <w:rPr>
          <w:rFonts w:ascii="Book Antiqua" w:hAnsi="Book Antiqua"/>
          <w:color w:val="000000"/>
          <w:sz w:val="24"/>
          <w:szCs w:val="24"/>
          <w:lang w:val="en-US"/>
        </w:rPr>
        <w:t>, in contrast with the low overall prevalence of peptic disease in patients with cirrhosis that ranges from 5% to 20% in different populations, and reaches a maximum of 28% in the most severe patients with decompensated cirrhosis</w:t>
      </w:r>
      <w:r w:rsidRPr="00173333">
        <w:rPr>
          <w:rFonts w:ascii="Book Antiqua" w:hAnsi="Book Antiqua"/>
          <w:color w:val="000000"/>
          <w:sz w:val="24"/>
          <w:szCs w:val="24"/>
          <w:vertAlign w:val="superscript"/>
          <w:lang w:val="en-US" w:eastAsia="zh-CN"/>
        </w:rPr>
        <w:t>[14]</w:t>
      </w:r>
      <w:r w:rsidRPr="00173333">
        <w:rPr>
          <w:rFonts w:ascii="Book Antiqua" w:hAnsi="Book Antiqua"/>
          <w:color w:val="000000"/>
          <w:sz w:val="24"/>
          <w:szCs w:val="24"/>
          <w:lang w:val="en-US"/>
        </w:rPr>
        <w:t xml:space="preserve">. </w:t>
      </w:r>
    </w:p>
    <w:p w:rsidR="00A809E2" w:rsidRPr="00173333" w:rsidRDefault="00A809E2" w:rsidP="00173333">
      <w:pPr>
        <w:spacing w:line="360" w:lineRule="auto"/>
        <w:jc w:val="both"/>
        <w:rPr>
          <w:rFonts w:ascii="Book Antiqua" w:hAnsi="Book Antiqua"/>
          <w:color w:val="000000"/>
          <w:sz w:val="24"/>
          <w:szCs w:val="24"/>
          <w:lang w:val="en-US"/>
        </w:rPr>
      </w:pPr>
    </w:p>
    <w:p w:rsidR="00A809E2" w:rsidRPr="00173333" w:rsidRDefault="00A809E2" w:rsidP="00173333">
      <w:pPr>
        <w:spacing w:line="360" w:lineRule="auto"/>
        <w:jc w:val="both"/>
        <w:rPr>
          <w:rFonts w:ascii="Book Antiqua" w:hAnsi="Book Antiqua"/>
          <w:color w:val="000000"/>
          <w:sz w:val="24"/>
          <w:szCs w:val="24"/>
          <w:lang w:val="en-US" w:eastAsia="zh-CN"/>
        </w:rPr>
      </w:pPr>
      <w:r w:rsidRPr="00173333">
        <w:rPr>
          <w:rFonts w:ascii="Book Antiqua" w:hAnsi="Book Antiqua"/>
          <w:b/>
          <w:color w:val="000000"/>
          <w:sz w:val="24"/>
          <w:szCs w:val="24"/>
          <w:lang w:val="en-US"/>
        </w:rPr>
        <w:t>CONCERNS AND WARNINGS: DO PPIs INCREASE THE RISK OF INFECTION/SEPSIS?</w:t>
      </w:r>
      <w:r w:rsidRPr="00173333" w:rsidDel="00D56098">
        <w:rPr>
          <w:rFonts w:ascii="Book Antiqua" w:hAnsi="Book Antiqua"/>
          <w:b/>
          <w:color w:val="000000"/>
          <w:sz w:val="24"/>
          <w:szCs w:val="24"/>
          <w:lang w:val="en-US"/>
        </w:rPr>
        <w:t xml:space="preserve"> </w:t>
      </w:r>
    </w:p>
    <w:p w:rsidR="00A809E2" w:rsidRPr="00173333" w:rsidRDefault="00A809E2" w:rsidP="00173333">
      <w:pPr>
        <w:spacing w:line="360" w:lineRule="auto"/>
        <w:jc w:val="both"/>
        <w:rPr>
          <w:rFonts w:ascii="Book Antiqua" w:hAnsi="Book Antiqua"/>
          <w:color w:val="000000"/>
          <w:sz w:val="24"/>
          <w:szCs w:val="24"/>
          <w:lang w:val="en-US" w:eastAsia="zh-CN"/>
        </w:rPr>
      </w:pPr>
      <w:r w:rsidRPr="00173333">
        <w:rPr>
          <w:rFonts w:ascii="Book Antiqua" w:hAnsi="Book Antiqua"/>
          <w:color w:val="000000"/>
          <w:sz w:val="24"/>
          <w:szCs w:val="24"/>
          <w:lang w:val="en-US"/>
        </w:rPr>
        <w:t>Starting from the early 80’s, evidences are accumulating on an increased risk of infections in patients who are persistently assuming acid suppressant drugs in different clinical settings in the general population</w:t>
      </w:r>
      <w:r w:rsidRPr="00173333">
        <w:rPr>
          <w:rFonts w:ascii="Book Antiqua" w:hAnsi="Book Antiqua"/>
          <w:color w:val="000000"/>
          <w:sz w:val="24"/>
          <w:szCs w:val="24"/>
          <w:vertAlign w:val="superscript"/>
          <w:lang w:val="en-US" w:eastAsia="zh-CN"/>
        </w:rPr>
        <w:t>[19-23]</w:t>
      </w:r>
      <w:r w:rsidRPr="00173333">
        <w:rPr>
          <w:rFonts w:ascii="Book Antiqua" w:hAnsi="Book Antiqua"/>
          <w:color w:val="000000"/>
          <w:sz w:val="24"/>
          <w:szCs w:val="24"/>
          <w:lang w:val="en-US"/>
        </w:rPr>
        <w:t xml:space="preserve">, but also in the more definite population of patients with liver cirrhosis. In these patients any </w:t>
      </w:r>
      <w:proofErr w:type="spellStart"/>
      <w:r w:rsidRPr="00173333">
        <w:rPr>
          <w:rFonts w:ascii="Book Antiqua" w:hAnsi="Book Antiqua"/>
          <w:color w:val="000000"/>
          <w:sz w:val="24"/>
          <w:szCs w:val="24"/>
          <w:lang w:val="en-US"/>
        </w:rPr>
        <w:t>intercurrent</w:t>
      </w:r>
      <w:proofErr w:type="spellEnd"/>
      <w:r w:rsidRPr="00173333">
        <w:rPr>
          <w:rFonts w:ascii="Book Antiqua" w:hAnsi="Book Antiqua"/>
          <w:color w:val="000000"/>
          <w:sz w:val="24"/>
          <w:szCs w:val="24"/>
          <w:lang w:val="en-US"/>
        </w:rPr>
        <w:t xml:space="preserve"> infection is at higher risk of evolution into sepsis or severe sepsis, by the addition of any other organ dysfunction (mainly the kidney), the deterioration of the same liver function and of the overall </w:t>
      </w:r>
      <w:proofErr w:type="gramStart"/>
      <w:r w:rsidRPr="00173333">
        <w:rPr>
          <w:rFonts w:ascii="Book Antiqua" w:hAnsi="Book Antiqua"/>
          <w:color w:val="000000"/>
          <w:sz w:val="24"/>
          <w:szCs w:val="24"/>
          <w:lang w:val="en-US"/>
        </w:rPr>
        <w:t>prognosis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24-26]</w:t>
      </w:r>
      <w:r w:rsidRPr="00173333">
        <w:rPr>
          <w:rFonts w:ascii="Book Antiqua" w:hAnsi="Book Antiqua"/>
          <w:color w:val="000000"/>
          <w:sz w:val="24"/>
          <w:szCs w:val="24"/>
          <w:lang w:val="en-US"/>
        </w:rPr>
        <w:t xml:space="preserve">. Pneumonia, </w:t>
      </w:r>
      <w:r w:rsidRPr="00173333">
        <w:rPr>
          <w:rFonts w:ascii="Book Antiqua" w:hAnsi="Book Antiqua"/>
          <w:i/>
          <w:color w:val="000000"/>
          <w:sz w:val="24"/>
          <w:szCs w:val="24"/>
          <w:lang w:val="en-US"/>
        </w:rPr>
        <w:t>Clostridium difficile</w:t>
      </w:r>
      <w:r w:rsidRPr="00173333">
        <w:rPr>
          <w:rFonts w:ascii="Book Antiqua" w:hAnsi="Book Antiqua"/>
          <w:color w:val="000000"/>
          <w:sz w:val="24"/>
          <w:szCs w:val="24"/>
          <w:lang w:val="en-US"/>
        </w:rPr>
        <w:t xml:space="preserve"> (</w:t>
      </w:r>
      <w:r w:rsidRPr="00173333">
        <w:rPr>
          <w:rFonts w:ascii="Book Antiqua" w:hAnsi="Book Antiqua"/>
          <w:i/>
          <w:color w:val="000000"/>
          <w:sz w:val="24"/>
          <w:szCs w:val="24"/>
          <w:lang w:val="en-US"/>
        </w:rPr>
        <w:t>C. difficile</w:t>
      </w:r>
      <w:r w:rsidRPr="00173333">
        <w:rPr>
          <w:rFonts w:ascii="Book Antiqua" w:hAnsi="Book Antiqua"/>
          <w:color w:val="000000"/>
          <w:sz w:val="24"/>
          <w:szCs w:val="24"/>
          <w:lang w:val="en-US"/>
        </w:rPr>
        <w:t xml:space="preserve">) and other infectious gastroenteritis or cholangitis have been extensively studied, where the administration of PPIs also changed the pattern of etiologic agents over </w:t>
      </w:r>
      <w:proofErr w:type="gramStart"/>
      <w:r w:rsidRPr="00173333">
        <w:rPr>
          <w:rFonts w:ascii="Book Antiqua" w:hAnsi="Book Antiqua"/>
          <w:color w:val="000000"/>
          <w:sz w:val="24"/>
          <w:szCs w:val="24"/>
          <w:lang w:val="en-US"/>
        </w:rPr>
        <w:t>time</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23,27]</w:t>
      </w:r>
      <w:r w:rsidRPr="00173333">
        <w:rPr>
          <w:rFonts w:ascii="Book Antiqua" w:hAnsi="Book Antiqua"/>
          <w:color w:val="000000"/>
          <w:sz w:val="24"/>
          <w:szCs w:val="24"/>
          <w:lang w:val="en-US"/>
        </w:rPr>
        <w:t xml:space="preserve">. The mechanisms involved </w:t>
      </w:r>
      <w:r w:rsidRPr="00173333">
        <w:rPr>
          <w:rFonts w:ascii="Book Antiqua" w:hAnsi="Book Antiqua"/>
          <w:color w:val="000000"/>
          <w:sz w:val="24"/>
          <w:szCs w:val="24"/>
          <w:lang w:val="en-US"/>
        </w:rPr>
        <w:lastRenderedPageBreak/>
        <w:t xml:space="preserve">in shaping such predisposition to infection and sepsis are supposed to be related, on the one hand, to the loss of the modulating effect of the acidic gastric secretion on the gut microbiota (favoring small intestinal bacterial overgrowth: SIBO). On the other hand, to a possible direct immunosuppressive effect of PPIs making patients prone to bacterial colonization and </w:t>
      </w:r>
      <w:proofErr w:type="gramStart"/>
      <w:r w:rsidRPr="00173333">
        <w:rPr>
          <w:rFonts w:ascii="Book Antiqua" w:hAnsi="Book Antiqua"/>
          <w:color w:val="000000"/>
          <w:sz w:val="24"/>
          <w:szCs w:val="24"/>
          <w:lang w:val="en-US"/>
        </w:rPr>
        <w:t>translocation</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23,28,29]</w:t>
      </w:r>
      <w:r w:rsidRPr="00173333">
        <w:rPr>
          <w:rFonts w:ascii="Book Antiqua" w:hAnsi="Book Antiqua"/>
          <w:color w:val="000000"/>
          <w:sz w:val="24"/>
          <w:szCs w:val="24"/>
          <w:lang w:val="en-US"/>
        </w:rPr>
        <w:t xml:space="preserve">. Whatever the underlying mechanistic reason, with the exception of a recent </w:t>
      </w:r>
      <w:proofErr w:type="spellStart"/>
      <w:proofErr w:type="gramStart"/>
      <w:r w:rsidRPr="00173333">
        <w:rPr>
          <w:rFonts w:ascii="Book Antiqua" w:hAnsi="Book Antiqua"/>
          <w:color w:val="000000"/>
          <w:sz w:val="24"/>
          <w:szCs w:val="24"/>
          <w:lang w:val="en-US"/>
        </w:rPr>
        <w:t>metanalysis</w:t>
      </w:r>
      <w:proofErr w:type="spellEnd"/>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12]</w:t>
      </w:r>
      <w:r w:rsidRPr="00173333">
        <w:rPr>
          <w:rFonts w:ascii="Book Antiqua" w:hAnsi="Book Antiqua"/>
          <w:color w:val="000000"/>
          <w:sz w:val="24"/>
          <w:szCs w:val="24"/>
          <w:lang w:val="en-US"/>
        </w:rPr>
        <w:t>, recent prospective papers have shown that PPIs render the cirrhotic patients prone to infections and sepsis</w:t>
      </w:r>
      <w:r w:rsidRPr="00173333">
        <w:rPr>
          <w:rFonts w:ascii="Book Antiqua" w:hAnsi="Book Antiqua"/>
          <w:color w:val="000000"/>
          <w:sz w:val="24"/>
          <w:szCs w:val="24"/>
          <w:vertAlign w:val="superscript"/>
          <w:lang w:val="en-US" w:eastAsia="zh-CN"/>
        </w:rPr>
        <w:t>[18,23,30-35]</w:t>
      </w:r>
      <w:r w:rsidRPr="00173333">
        <w:rPr>
          <w:rFonts w:ascii="Book Antiqua" w:hAnsi="Book Antiqua"/>
          <w:color w:val="000000"/>
          <w:sz w:val="24"/>
          <w:szCs w:val="24"/>
          <w:lang w:val="en-US"/>
        </w:rPr>
        <w:t xml:space="preserve">, with a class specific effect independent from acidic secretion control. In facts, anti-H2 agents had no influence on the risk of infection when compared to </w:t>
      </w:r>
      <w:proofErr w:type="gramStart"/>
      <w:r w:rsidRPr="00173333">
        <w:rPr>
          <w:rFonts w:ascii="Book Antiqua" w:hAnsi="Book Antiqua"/>
          <w:color w:val="000000"/>
          <w:sz w:val="24"/>
          <w:szCs w:val="24"/>
          <w:lang w:val="en-US"/>
        </w:rPr>
        <w:t>PPIs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25]</w:t>
      </w:r>
      <w:r w:rsidRPr="00173333">
        <w:rPr>
          <w:rFonts w:ascii="Book Antiqua" w:hAnsi="Book Antiqua"/>
          <w:color w:val="000000"/>
          <w:sz w:val="24"/>
          <w:szCs w:val="24"/>
          <w:lang w:val="en-US"/>
        </w:rPr>
        <w:t>.</w:t>
      </w:r>
    </w:p>
    <w:p w:rsidR="00A809E2" w:rsidRPr="00173333" w:rsidRDefault="00A809E2" w:rsidP="00E1040A">
      <w:pPr>
        <w:spacing w:line="360" w:lineRule="auto"/>
        <w:ind w:firstLineChars="200" w:firstLine="480"/>
        <w:jc w:val="both"/>
        <w:rPr>
          <w:rFonts w:ascii="Book Antiqua" w:hAnsi="Book Antiqua"/>
          <w:color w:val="000000"/>
          <w:sz w:val="24"/>
          <w:szCs w:val="24"/>
          <w:lang w:val="en-US"/>
        </w:rPr>
      </w:pPr>
      <w:r w:rsidRPr="00173333">
        <w:rPr>
          <w:rFonts w:ascii="Book Antiqua" w:hAnsi="Book Antiqua"/>
          <w:color w:val="000000"/>
          <w:sz w:val="24"/>
          <w:szCs w:val="24"/>
          <w:lang w:val="en-US"/>
        </w:rPr>
        <w:t xml:space="preserve">Indeed, in another recent prospective paper, the use of a PPI was documented in a rough 80% of patients with cirrhosis, and in 50% of those patients the prescription was fixed merely to control generic abdominal symptoms. Finally, in this population the use of PPIs was associated with a trend toward more infections in PPI users compared to non-users, and resulted independently associated with increased overall mortality compared with cirrhotic patients who were not assuming </w:t>
      </w:r>
      <w:proofErr w:type="gramStart"/>
      <w:r w:rsidRPr="00173333">
        <w:rPr>
          <w:rFonts w:ascii="Book Antiqua" w:hAnsi="Book Antiqua"/>
          <w:color w:val="000000"/>
          <w:sz w:val="24"/>
          <w:szCs w:val="24"/>
          <w:lang w:val="en-US"/>
        </w:rPr>
        <w:t>PPIs</w:t>
      </w:r>
      <w:r w:rsidRPr="00173333">
        <w:rPr>
          <w:rFonts w:ascii="Book Antiqua" w:hAnsi="Book Antiqua"/>
          <w:color w:val="000000"/>
          <w:sz w:val="24"/>
          <w:szCs w:val="24"/>
          <w:vertAlign w:val="superscript"/>
          <w:lang w:val="en-US" w:eastAsia="zh-CN"/>
        </w:rPr>
        <w:t>[</w:t>
      </w:r>
      <w:proofErr w:type="gramEnd"/>
      <w:r w:rsidRPr="00173333">
        <w:rPr>
          <w:rFonts w:ascii="Book Antiqua" w:hAnsi="Book Antiqua"/>
          <w:color w:val="000000"/>
          <w:sz w:val="24"/>
          <w:szCs w:val="24"/>
          <w:vertAlign w:val="superscript"/>
          <w:lang w:val="en-US" w:eastAsia="zh-CN"/>
        </w:rPr>
        <w:t>36]</w:t>
      </w:r>
      <w:r w:rsidRPr="00173333">
        <w:rPr>
          <w:rFonts w:ascii="Book Antiqua" w:hAnsi="Book Antiqua"/>
          <w:color w:val="000000"/>
          <w:sz w:val="24"/>
          <w:szCs w:val="24"/>
          <w:lang w:val="en-US"/>
        </w:rPr>
        <w:t>.</w:t>
      </w:r>
    </w:p>
    <w:p w:rsidR="00A809E2" w:rsidRPr="00173333" w:rsidRDefault="00A809E2" w:rsidP="00173333">
      <w:pPr>
        <w:spacing w:line="360" w:lineRule="auto"/>
        <w:jc w:val="both"/>
        <w:rPr>
          <w:rFonts w:ascii="Book Antiqua" w:hAnsi="Book Antiqua"/>
          <w:color w:val="000000"/>
          <w:sz w:val="24"/>
          <w:szCs w:val="24"/>
          <w:lang w:val="en-US"/>
        </w:rPr>
      </w:pPr>
    </w:p>
    <w:p w:rsidR="00A809E2" w:rsidRPr="00173333" w:rsidRDefault="00A809E2" w:rsidP="00173333">
      <w:pPr>
        <w:spacing w:line="360" w:lineRule="auto"/>
        <w:jc w:val="both"/>
        <w:rPr>
          <w:rFonts w:ascii="Book Antiqua" w:hAnsi="Book Antiqua"/>
          <w:b/>
          <w:color w:val="000000"/>
          <w:sz w:val="24"/>
          <w:szCs w:val="24"/>
          <w:lang w:val="en-US" w:eastAsia="zh-CN"/>
        </w:rPr>
      </w:pPr>
      <w:r w:rsidRPr="00173333">
        <w:rPr>
          <w:rFonts w:ascii="Book Antiqua" w:hAnsi="Book Antiqua"/>
          <w:b/>
          <w:color w:val="000000"/>
          <w:sz w:val="24"/>
          <w:szCs w:val="24"/>
          <w:lang w:val="en-US"/>
        </w:rPr>
        <w:t>CONCLUSION</w:t>
      </w:r>
    </w:p>
    <w:p w:rsidR="00A809E2" w:rsidRPr="00173333" w:rsidRDefault="00A809E2" w:rsidP="00173333">
      <w:pPr>
        <w:spacing w:line="360" w:lineRule="auto"/>
        <w:jc w:val="both"/>
        <w:rPr>
          <w:rFonts w:ascii="Book Antiqua" w:hAnsi="Book Antiqua"/>
          <w:color w:val="000000"/>
          <w:sz w:val="24"/>
          <w:szCs w:val="24"/>
          <w:lang w:val="en-US"/>
        </w:rPr>
      </w:pPr>
      <w:r w:rsidRPr="00173333">
        <w:rPr>
          <w:rFonts w:ascii="Book Antiqua" w:hAnsi="Book Antiqua"/>
          <w:color w:val="000000"/>
          <w:sz w:val="24"/>
          <w:szCs w:val="24"/>
          <w:lang w:val="en-US"/>
        </w:rPr>
        <w:t xml:space="preserve">In conclusion, we need to keep in mind - and maybe re-discover - the few unquestionable and appropriate indications for the use of PPIs, especially when dealing with the very fragile population of patients with liver cirrhosis (mainly if advanced cirrhosis). This not only to reduce and control the pharmaceutical expenditure, whoever is the payer, but </w:t>
      </w:r>
      <w:r w:rsidRPr="00173333">
        <w:rPr>
          <w:rFonts w:ascii="Book Antiqua" w:hAnsi="Book Antiqua"/>
          <w:color w:val="000000"/>
          <w:sz w:val="24"/>
          <w:szCs w:val="24"/>
          <w:lang w:val="en-US" w:eastAsia="zh-CN"/>
        </w:rPr>
        <w:t xml:space="preserve">also </w:t>
      </w:r>
      <w:r w:rsidRPr="00173333">
        <w:rPr>
          <w:rFonts w:ascii="Book Antiqua" w:hAnsi="Book Antiqua"/>
          <w:color w:val="000000"/>
          <w:sz w:val="24"/>
          <w:szCs w:val="24"/>
          <w:lang w:val="en-US"/>
        </w:rPr>
        <w:t xml:space="preserve">in the respect of the rules of good medical practice regarding adherence to guidelines and recognized indications. Cirrhosis constitutively exposes patients to develop more severe infections with systemic involvement and other organ dysfunction, compared to other patients.  Otherwise, patients with cirrhosis have a basally reduced gastric acid secretion and are exposed to many drug-drug interactions. Declining to adhere to the universally recognized indications for the use of such an extensively prescribed class of drugs could actually expose many doctors at the fault of “abuse” in drug prescription! </w:t>
      </w:r>
    </w:p>
    <w:p w:rsidR="00A809E2" w:rsidRPr="00173333" w:rsidRDefault="00A809E2" w:rsidP="00173333">
      <w:pPr>
        <w:spacing w:line="360" w:lineRule="auto"/>
        <w:jc w:val="both"/>
        <w:rPr>
          <w:rFonts w:ascii="Book Antiqua" w:hAnsi="Book Antiqua"/>
          <w:color w:val="000000"/>
          <w:sz w:val="24"/>
          <w:szCs w:val="24"/>
          <w:lang w:val="en-US"/>
        </w:rPr>
      </w:pPr>
    </w:p>
    <w:p w:rsidR="00A809E2" w:rsidRPr="00173333" w:rsidRDefault="00A809E2" w:rsidP="00173333">
      <w:pPr>
        <w:spacing w:line="360" w:lineRule="auto"/>
        <w:jc w:val="both"/>
        <w:rPr>
          <w:rFonts w:ascii="Book Antiqua" w:hAnsi="Book Antiqua"/>
          <w:b/>
          <w:color w:val="000000"/>
          <w:sz w:val="24"/>
          <w:szCs w:val="24"/>
          <w:lang w:val="en-US" w:eastAsia="zh-CN"/>
        </w:rPr>
      </w:pPr>
      <w:r w:rsidRPr="00173333">
        <w:rPr>
          <w:rFonts w:ascii="Book Antiqua" w:hAnsi="Book Antiqua"/>
          <w:color w:val="000000"/>
          <w:sz w:val="24"/>
          <w:szCs w:val="24"/>
          <w:lang w:val="en-US"/>
        </w:rPr>
        <w:br w:type="page"/>
      </w:r>
      <w:r w:rsidRPr="00173333">
        <w:rPr>
          <w:rFonts w:ascii="Book Antiqua" w:hAnsi="Book Antiqua"/>
          <w:b/>
          <w:color w:val="000000"/>
          <w:sz w:val="24"/>
          <w:szCs w:val="24"/>
          <w:lang w:val="en-US"/>
        </w:rPr>
        <w:lastRenderedPageBreak/>
        <w:t>REFERENCES</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 </w:t>
      </w:r>
      <w:r w:rsidRPr="008C260D">
        <w:rPr>
          <w:rFonts w:ascii="Book Antiqua" w:hAnsi="Book Antiqua" w:cs="宋体"/>
          <w:b/>
          <w:bCs/>
          <w:color w:val="000000"/>
          <w:sz w:val="24"/>
          <w:szCs w:val="24"/>
        </w:rPr>
        <w:t>Pezzulo G</w:t>
      </w:r>
      <w:r w:rsidRPr="008C260D">
        <w:rPr>
          <w:rFonts w:ascii="Book Antiqua" w:hAnsi="Book Antiqua" w:cs="宋体"/>
          <w:color w:val="000000"/>
          <w:sz w:val="24"/>
          <w:szCs w:val="24"/>
        </w:rPr>
        <w:t xml:space="preserve">, Kruger D. Assessing upper gastrointestinal bleeding in adults. </w:t>
      </w:r>
      <w:r w:rsidRPr="008C260D">
        <w:rPr>
          <w:rFonts w:ascii="Book Antiqua" w:hAnsi="Book Antiqua" w:cs="宋体"/>
          <w:i/>
          <w:iCs/>
          <w:color w:val="000000"/>
          <w:sz w:val="24"/>
          <w:szCs w:val="24"/>
        </w:rPr>
        <w:t>JAAPA</w:t>
      </w:r>
      <w:r w:rsidRPr="008C260D">
        <w:rPr>
          <w:rFonts w:ascii="Book Antiqua" w:hAnsi="Book Antiqua" w:cs="宋体"/>
          <w:color w:val="000000"/>
          <w:sz w:val="24"/>
          <w:szCs w:val="24"/>
        </w:rPr>
        <w:t xml:space="preserve"> 2014; </w:t>
      </w:r>
      <w:r w:rsidRPr="008C260D">
        <w:rPr>
          <w:rFonts w:ascii="Book Antiqua" w:hAnsi="Book Antiqua" w:cs="宋体"/>
          <w:b/>
          <w:bCs/>
          <w:color w:val="000000"/>
          <w:sz w:val="24"/>
          <w:szCs w:val="24"/>
        </w:rPr>
        <w:t>27</w:t>
      </w:r>
      <w:r w:rsidRPr="008C260D">
        <w:rPr>
          <w:rFonts w:ascii="Book Antiqua" w:hAnsi="Book Antiqua" w:cs="宋体"/>
          <w:color w:val="000000"/>
          <w:sz w:val="24"/>
          <w:szCs w:val="24"/>
        </w:rPr>
        <w:t>: 19-25 [PMID: 25102077 DOI: 10.1097/01.JAA.0000453234.32378.cb</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 </w:t>
      </w:r>
      <w:r w:rsidRPr="008C260D">
        <w:rPr>
          <w:rFonts w:ascii="Book Antiqua" w:hAnsi="Book Antiqua" w:cs="宋体"/>
          <w:b/>
          <w:bCs/>
          <w:color w:val="000000"/>
          <w:sz w:val="24"/>
          <w:szCs w:val="24"/>
        </w:rPr>
        <w:t>Carbonell N</w:t>
      </w:r>
      <w:r w:rsidRPr="008C260D">
        <w:rPr>
          <w:rFonts w:ascii="Book Antiqua" w:hAnsi="Book Antiqua" w:cs="宋体"/>
          <w:color w:val="000000"/>
          <w:sz w:val="24"/>
          <w:szCs w:val="24"/>
        </w:rPr>
        <w:t xml:space="preserve">, Pauwels A, Serfaty L, Fourdan O, Lévy VG, Poupon R. Improved survival after variceal bleeding in patients with cirrhosis over the past two decades. </w:t>
      </w:r>
      <w:r w:rsidRPr="008C260D">
        <w:rPr>
          <w:rFonts w:ascii="Book Antiqua" w:hAnsi="Book Antiqua" w:cs="宋体"/>
          <w:i/>
          <w:iCs/>
          <w:color w:val="000000"/>
          <w:sz w:val="24"/>
          <w:szCs w:val="24"/>
        </w:rPr>
        <w:t>Hepatology</w:t>
      </w:r>
      <w:r w:rsidRPr="008C260D">
        <w:rPr>
          <w:rFonts w:ascii="Book Antiqua" w:hAnsi="Book Antiqua" w:cs="宋体"/>
          <w:color w:val="000000"/>
          <w:sz w:val="24"/>
          <w:szCs w:val="24"/>
        </w:rPr>
        <w:t xml:space="preserve"> 2004; </w:t>
      </w:r>
      <w:r w:rsidRPr="008C260D">
        <w:rPr>
          <w:rFonts w:ascii="Book Antiqua" w:hAnsi="Book Antiqua" w:cs="宋体"/>
          <w:b/>
          <w:bCs/>
          <w:color w:val="000000"/>
          <w:sz w:val="24"/>
          <w:szCs w:val="24"/>
        </w:rPr>
        <w:t>40</w:t>
      </w:r>
      <w:r w:rsidRPr="008C260D">
        <w:rPr>
          <w:rFonts w:ascii="Book Antiqua" w:hAnsi="Book Antiqua" w:cs="宋体"/>
          <w:color w:val="000000"/>
          <w:sz w:val="24"/>
          <w:szCs w:val="24"/>
        </w:rPr>
        <w:t>: 652-659 [PMID: 15349904 DOI: 10.1002/hep.20339]</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3 </w:t>
      </w:r>
      <w:r w:rsidRPr="008C260D">
        <w:rPr>
          <w:rFonts w:ascii="Book Antiqua" w:hAnsi="Book Antiqua" w:cs="宋体"/>
          <w:b/>
          <w:bCs/>
          <w:color w:val="000000"/>
          <w:sz w:val="24"/>
          <w:szCs w:val="24"/>
        </w:rPr>
        <w:t>Cheng DW</w:t>
      </w:r>
      <w:r w:rsidRPr="008C260D">
        <w:rPr>
          <w:rFonts w:ascii="Book Antiqua" w:hAnsi="Book Antiqua" w:cs="宋体"/>
          <w:color w:val="000000"/>
          <w:sz w:val="24"/>
          <w:szCs w:val="24"/>
        </w:rPr>
        <w:t xml:space="preserve">, Lu YW, Teller T, Sekhon HK, Wu BU. A modified Glasgow Blatchford Score improves risk stratification in upper gastrointestinal bleed: a prospective comparison of scoring systems.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2012; </w:t>
      </w:r>
      <w:r w:rsidRPr="008C260D">
        <w:rPr>
          <w:rFonts w:ascii="Book Antiqua" w:hAnsi="Book Antiqua" w:cs="宋体"/>
          <w:b/>
          <w:bCs/>
          <w:color w:val="000000"/>
          <w:sz w:val="24"/>
          <w:szCs w:val="24"/>
        </w:rPr>
        <w:t>36</w:t>
      </w:r>
      <w:r w:rsidRPr="008C260D">
        <w:rPr>
          <w:rFonts w:ascii="Book Antiqua" w:hAnsi="Book Antiqua" w:cs="宋体"/>
          <w:color w:val="000000"/>
          <w:sz w:val="24"/>
          <w:szCs w:val="24"/>
        </w:rPr>
        <w:t>: 782-789 [PMID: 22928529 DOI: 10.1111/apt.12029</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4 </w:t>
      </w:r>
      <w:r w:rsidRPr="008C260D">
        <w:rPr>
          <w:rFonts w:ascii="Book Antiqua" w:hAnsi="Book Antiqua" w:cs="宋体"/>
          <w:b/>
          <w:bCs/>
          <w:color w:val="000000"/>
          <w:sz w:val="24"/>
          <w:szCs w:val="24"/>
        </w:rPr>
        <w:t>Holland-Bill L</w:t>
      </w:r>
      <w:r w:rsidRPr="008C260D">
        <w:rPr>
          <w:rFonts w:ascii="Book Antiqua" w:hAnsi="Book Antiqua" w:cs="宋体"/>
          <w:color w:val="000000"/>
          <w:sz w:val="24"/>
          <w:szCs w:val="24"/>
        </w:rPr>
        <w:t xml:space="preserve">, Christiansen CF, Gammelager H, Mortensen RN, Pedersen L, Sørensen HT. Chronic liver disease and 90-day mortality in 21,359 patients following peptic ulcer bleeding--a Nationwide Cohort Study.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2015; </w:t>
      </w:r>
      <w:r w:rsidRPr="008C260D">
        <w:rPr>
          <w:rFonts w:ascii="Book Antiqua" w:hAnsi="Book Antiqua" w:cs="宋体"/>
          <w:b/>
          <w:bCs/>
          <w:color w:val="000000"/>
          <w:sz w:val="24"/>
          <w:szCs w:val="24"/>
        </w:rPr>
        <w:t>41</w:t>
      </w:r>
      <w:r w:rsidRPr="008C260D">
        <w:rPr>
          <w:rFonts w:ascii="Book Antiqua" w:hAnsi="Book Antiqua" w:cs="宋体"/>
          <w:color w:val="000000"/>
          <w:sz w:val="24"/>
          <w:szCs w:val="24"/>
        </w:rPr>
        <w:t>: 564-572 [PMID: 25588862 DOI: 10.1111/apt.13073</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5 </w:t>
      </w:r>
      <w:r w:rsidRPr="008C260D">
        <w:rPr>
          <w:rFonts w:ascii="Book Antiqua" w:hAnsi="Book Antiqua" w:cs="宋体"/>
          <w:b/>
          <w:bCs/>
          <w:color w:val="000000"/>
          <w:sz w:val="24"/>
          <w:szCs w:val="24"/>
        </w:rPr>
        <w:t>Holt S</w:t>
      </w:r>
      <w:r w:rsidRPr="008C260D">
        <w:rPr>
          <w:rFonts w:ascii="Book Antiqua" w:hAnsi="Book Antiqua" w:cs="宋体"/>
          <w:color w:val="000000"/>
          <w:sz w:val="24"/>
          <w:szCs w:val="24"/>
        </w:rPr>
        <w:t xml:space="preserve">, Howden CW. Omeprazole. Overview and opinion. </w:t>
      </w:r>
      <w:r w:rsidRPr="008C260D">
        <w:rPr>
          <w:rFonts w:ascii="Book Antiqua" w:hAnsi="Book Antiqua" w:cs="宋体"/>
          <w:i/>
          <w:iCs/>
          <w:color w:val="000000"/>
          <w:sz w:val="24"/>
          <w:szCs w:val="24"/>
        </w:rPr>
        <w:t>Dig Dis Sci</w:t>
      </w:r>
      <w:r w:rsidRPr="008C260D">
        <w:rPr>
          <w:rFonts w:ascii="Book Antiqua" w:hAnsi="Book Antiqua" w:cs="宋体"/>
          <w:color w:val="000000"/>
          <w:sz w:val="24"/>
          <w:szCs w:val="24"/>
        </w:rPr>
        <w:t xml:space="preserve"> 1991; </w:t>
      </w:r>
      <w:r w:rsidRPr="008C260D">
        <w:rPr>
          <w:rFonts w:ascii="Book Antiqua" w:hAnsi="Book Antiqua" w:cs="宋体"/>
          <w:b/>
          <w:bCs/>
          <w:color w:val="000000"/>
          <w:sz w:val="24"/>
          <w:szCs w:val="24"/>
        </w:rPr>
        <w:t>36</w:t>
      </w:r>
      <w:r w:rsidRPr="008C260D">
        <w:rPr>
          <w:rFonts w:ascii="Book Antiqua" w:hAnsi="Book Antiqua" w:cs="宋体"/>
          <w:color w:val="000000"/>
          <w:sz w:val="24"/>
          <w:szCs w:val="24"/>
        </w:rPr>
        <w:t>: 385-393 [PMID: 2007354]</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6 </w:t>
      </w:r>
      <w:r w:rsidRPr="008C260D">
        <w:rPr>
          <w:rFonts w:ascii="Book Antiqua" w:hAnsi="Book Antiqua" w:cs="宋体"/>
          <w:b/>
          <w:bCs/>
          <w:color w:val="000000"/>
          <w:sz w:val="24"/>
          <w:szCs w:val="24"/>
        </w:rPr>
        <w:t>Leontiadis GI</w:t>
      </w:r>
      <w:r w:rsidRPr="008C260D">
        <w:rPr>
          <w:rFonts w:ascii="Book Antiqua" w:hAnsi="Book Antiqua" w:cs="宋体"/>
          <w:color w:val="000000"/>
          <w:sz w:val="24"/>
          <w:szCs w:val="24"/>
        </w:rPr>
        <w:t xml:space="preserve">, Sharma VK, Howden CW. WITHDRAWN: Proton pump inhibitor treatment for acute peptic ulcer bleeding. </w:t>
      </w:r>
      <w:r w:rsidRPr="008C260D">
        <w:rPr>
          <w:rFonts w:ascii="Book Antiqua" w:hAnsi="Book Antiqua" w:cs="宋体"/>
          <w:i/>
          <w:iCs/>
          <w:color w:val="000000"/>
          <w:sz w:val="24"/>
          <w:szCs w:val="24"/>
        </w:rPr>
        <w:t>Cochrane Database Syst Rev</w:t>
      </w:r>
      <w:r w:rsidRPr="008C260D">
        <w:rPr>
          <w:rFonts w:ascii="Book Antiqua" w:hAnsi="Book Antiqua" w:cs="宋体"/>
          <w:color w:val="000000"/>
          <w:sz w:val="24"/>
          <w:szCs w:val="24"/>
        </w:rPr>
        <w:t xml:space="preserve"> 2010; </w:t>
      </w:r>
      <w:r w:rsidRPr="00173333">
        <w:rPr>
          <w:rFonts w:ascii="Book Antiqua" w:hAnsi="Book Antiqua" w:cs="宋体"/>
          <w:b/>
          <w:color w:val="000000"/>
          <w:sz w:val="24"/>
          <w:szCs w:val="24"/>
        </w:rPr>
        <w:t>(5)</w:t>
      </w:r>
      <w:r w:rsidRPr="008C260D">
        <w:rPr>
          <w:rFonts w:ascii="Book Antiqua" w:hAnsi="Book Antiqua" w:cs="宋体"/>
          <w:color w:val="000000"/>
          <w:sz w:val="24"/>
          <w:szCs w:val="24"/>
        </w:rPr>
        <w:t>: CD002094 [PMID: 20464720 DOI: 10.1002/14651858.CD002094.pub4</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7 </w:t>
      </w:r>
      <w:r w:rsidRPr="008C260D">
        <w:rPr>
          <w:rFonts w:ascii="Book Antiqua" w:hAnsi="Book Antiqua" w:cs="宋体"/>
          <w:b/>
          <w:bCs/>
          <w:color w:val="000000"/>
          <w:sz w:val="24"/>
          <w:szCs w:val="24"/>
        </w:rPr>
        <w:t>Ramakrishnan K</w:t>
      </w:r>
      <w:r w:rsidRPr="008C260D">
        <w:rPr>
          <w:rFonts w:ascii="Book Antiqua" w:hAnsi="Book Antiqua" w:cs="宋体"/>
          <w:color w:val="000000"/>
          <w:sz w:val="24"/>
          <w:szCs w:val="24"/>
        </w:rPr>
        <w:t xml:space="preserve">, Salinas RC. Peptic ulcer disease. </w:t>
      </w:r>
      <w:r w:rsidRPr="008C260D">
        <w:rPr>
          <w:rFonts w:ascii="Book Antiqua" w:hAnsi="Book Antiqua" w:cs="宋体"/>
          <w:i/>
          <w:iCs/>
          <w:color w:val="000000"/>
          <w:sz w:val="24"/>
          <w:szCs w:val="24"/>
        </w:rPr>
        <w:t>Am Fam Physician</w:t>
      </w:r>
      <w:r w:rsidRPr="008C260D">
        <w:rPr>
          <w:rFonts w:ascii="Book Antiqua" w:hAnsi="Book Antiqua" w:cs="宋体"/>
          <w:color w:val="000000"/>
          <w:sz w:val="24"/>
          <w:szCs w:val="24"/>
        </w:rPr>
        <w:t xml:space="preserve"> 2007; </w:t>
      </w:r>
      <w:r w:rsidRPr="008C260D">
        <w:rPr>
          <w:rFonts w:ascii="Book Antiqua" w:hAnsi="Book Antiqua" w:cs="宋体"/>
          <w:b/>
          <w:bCs/>
          <w:color w:val="000000"/>
          <w:sz w:val="24"/>
          <w:szCs w:val="24"/>
        </w:rPr>
        <w:t>76</w:t>
      </w:r>
      <w:r w:rsidRPr="008C260D">
        <w:rPr>
          <w:rFonts w:ascii="Book Antiqua" w:hAnsi="Book Antiqua" w:cs="宋体"/>
          <w:color w:val="000000"/>
          <w:sz w:val="24"/>
          <w:szCs w:val="24"/>
        </w:rPr>
        <w:t>: 1005-1012 [PMID: 17956071]</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8 </w:t>
      </w:r>
      <w:r w:rsidRPr="008C260D">
        <w:rPr>
          <w:rFonts w:ascii="Book Antiqua" w:hAnsi="Book Antiqua" w:cs="宋体"/>
          <w:b/>
          <w:bCs/>
          <w:color w:val="000000"/>
          <w:sz w:val="24"/>
          <w:szCs w:val="24"/>
        </w:rPr>
        <w:t>Chubineh S</w:t>
      </w:r>
      <w:r w:rsidRPr="008C260D">
        <w:rPr>
          <w:rFonts w:ascii="Book Antiqua" w:hAnsi="Book Antiqua" w:cs="宋体"/>
          <w:color w:val="000000"/>
          <w:sz w:val="24"/>
          <w:szCs w:val="24"/>
        </w:rPr>
        <w:t xml:space="preserve">, Birk J. Proton pump inhibitors: the good, the bad, and the unwanted. </w:t>
      </w:r>
      <w:r w:rsidRPr="008C260D">
        <w:rPr>
          <w:rFonts w:ascii="Book Antiqua" w:hAnsi="Book Antiqua" w:cs="宋体"/>
          <w:i/>
          <w:iCs/>
          <w:color w:val="000000"/>
          <w:sz w:val="24"/>
          <w:szCs w:val="24"/>
        </w:rPr>
        <w:t>South Med J</w:t>
      </w:r>
      <w:r w:rsidRPr="008C260D">
        <w:rPr>
          <w:rFonts w:ascii="Book Antiqua" w:hAnsi="Book Antiqua" w:cs="宋体"/>
          <w:color w:val="000000"/>
          <w:sz w:val="24"/>
          <w:szCs w:val="24"/>
        </w:rPr>
        <w:t xml:space="preserve"> 2012; </w:t>
      </w:r>
      <w:r w:rsidRPr="008C260D">
        <w:rPr>
          <w:rFonts w:ascii="Book Antiqua" w:hAnsi="Book Antiqua" w:cs="宋体"/>
          <w:b/>
          <w:bCs/>
          <w:color w:val="000000"/>
          <w:sz w:val="24"/>
          <w:szCs w:val="24"/>
        </w:rPr>
        <w:t>105</w:t>
      </w:r>
      <w:r w:rsidRPr="008C260D">
        <w:rPr>
          <w:rFonts w:ascii="Book Antiqua" w:hAnsi="Book Antiqua" w:cs="宋体"/>
          <w:color w:val="000000"/>
          <w:sz w:val="24"/>
          <w:szCs w:val="24"/>
        </w:rPr>
        <w:t>: 613-618 [PMID: 23128806 DOI: 10.1097/SMJ.0b013e31826efbea</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9 </w:t>
      </w:r>
      <w:r w:rsidRPr="008C260D">
        <w:rPr>
          <w:rFonts w:ascii="Book Antiqua" w:hAnsi="Book Antiqua" w:cs="宋体"/>
          <w:b/>
          <w:bCs/>
          <w:color w:val="000000"/>
          <w:sz w:val="24"/>
          <w:szCs w:val="24"/>
        </w:rPr>
        <w:t>Lewis JH</w:t>
      </w:r>
      <w:r w:rsidRPr="008C260D">
        <w:rPr>
          <w:rFonts w:ascii="Book Antiqua" w:hAnsi="Book Antiqua" w:cs="宋体"/>
          <w:color w:val="000000"/>
          <w:sz w:val="24"/>
          <w:szCs w:val="24"/>
        </w:rPr>
        <w:t xml:space="preserve">, Stine JG. Review article: prescribing medications in patients with cirrhosis - a practical guide.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2013; </w:t>
      </w:r>
      <w:r w:rsidRPr="008C260D">
        <w:rPr>
          <w:rFonts w:ascii="Book Antiqua" w:hAnsi="Book Antiqua" w:cs="宋体"/>
          <w:b/>
          <w:bCs/>
          <w:color w:val="000000"/>
          <w:sz w:val="24"/>
          <w:szCs w:val="24"/>
        </w:rPr>
        <w:t>37</w:t>
      </w:r>
      <w:r w:rsidRPr="008C260D">
        <w:rPr>
          <w:rFonts w:ascii="Book Antiqua" w:hAnsi="Book Antiqua" w:cs="宋体"/>
          <w:color w:val="000000"/>
          <w:sz w:val="24"/>
          <w:szCs w:val="24"/>
        </w:rPr>
        <w:t>: 1132-1156 [PMID: 23638982 DOI: 10.1111/apt.12324</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10 </w:t>
      </w:r>
      <w:r w:rsidRPr="008C260D">
        <w:rPr>
          <w:rFonts w:ascii="Book Antiqua" w:hAnsi="Book Antiqua" w:cs="宋体"/>
          <w:b/>
          <w:bCs/>
          <w:color w:val="000000"/>
          <w:sz w:val="24"/>
          <w:szCs w:val="24"/>
        </w:rPr>
        <w:t>Lucena MI</w:t>
      </w:r>
      <w:r w:rsidRPr="008C260D">
        <w:rPr>
          <w:rFonts w:ascii="Book Antiqua" w:hAnsi="Book Antiqua" w:cs="宋体"/>
          <w:color w:val="000000"/>
          <w:sz w:val="24"/>
          <w:szCs w:val="24"/>
        </w:rPr>
        <w:t xml:space="preserve">, Andrade RJ, Tognoni G, Hidalgo R, De La Cuesta FS. Multicenter hospital study on prescribing patterns for prophylaxis and treatment of complications of cirrhosis. </w:t>
      </w:r>
      <w:r w:rsidRPr="008C260D">
        <w:rPr>
          <w:rFonts w:ascii="Book Antiqua" w:hAnsi="Book Antiqua" w:cs="宋体"/>
          <w:i/>
          <w:iCs/>
          <w:color w:val="000000"/>
          <w:sz w:val="24"/>
          <w:szCs w:val="24"/>
        </w:rPr>
        <w:t>Eur J Clin Pharmacol</w:t>
      </w:r>
      <w:r w:rsidRPr="008C260D">
        <w:rPr>
          <w:rFonts w:ascii="Book Antiqua" w:hAnsi="Book Antiqua" w:cs="宋体"/>
          <w:color w:val="000000"/>
          <w:sz w:val="24"/>
          <w:szCs w:val="24"/>
        </w:rPr>
        <w:t xml:space="preserve"> 2002; </w:t>
      </w:r>
      <w:r w:rsidRPr="008C260D">
        <w:rPr>
          <w:rFonts w:ascii="Book Antiqua" w:hAnsi="Book Antiqua" w:cs="宋体"/>
          <w:b/>
          <w:bCs/>
          <w:color w:val="000000"/>
          <w:sz w:val="24"/>
          <w:szCs w:val="24"/>
        </w:rPr>
        <w:t>58</w:t>
      </w:r>
      <w:r w:rsidRPr="008C260D">
        <w:rPr>
          <w:rFonts w:ascii="Book Antiqua" w:hAnsi="Book Antiqua" w:cs="宋体"/>
          <w:color w:val="000000"/>
          <w:sz w:val="24"/>
          <w:szCs w:val="24"/>
        </w:rPr>
        <w:t>: 435-440 [PMID: 12242604 DOI: 10.1007/s00228-002-0474-1]</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11 </w:t>
      </w:r>
      <w:r w:rsidRPr="008C260D">
        <w:rPr>
          <w:rFonts w:ascii="Book Antiqua" w:hAnsi="Book Antiqua" w:cs="宋体"/>
          <w:b/>
          <w:bCs/>
          <w:color w:val="000000"/>
          <w:sz w:val="24"/>
          <w:szCs w:val="24"/>
        </w:rPr>
        <w:t>Barrison AF</w:t>
      </w:r>
      <w:r w:rsidRPr="008C260D">
        <w:rPr>
          <w:rFonts w:ascii="Book Antiqua" w:hAnsi="Book Antiqua" w:cs="宋体"/>
          <w:color w:val="000000"/>
          <w:sz w:val="24"/>
          <w:szCs w:val="24"/>
        </w:rPr>
        <w:t xml:space="preserve">, Jarboe LA, Weinberg BM, Nimmagadda K, Sullivan LM, Wolfe MM. Patterns of proton pump inhibitor use in clinical practice. </w:t>
      </w:r>
      <w:r w:rsidRPr="008C260D">
        <w:rPr>
          <w:rFonts w:ascii="Book Antiqua" w:hAnsi="Book Antiqua" w:cs="宋体"/>
          <w:i/>
          <w:iCs/>
          <w:color w:val="000000"/>
          <w:sz w:val="24"/>
          <w:szCs w:val="24"/>
        </w:rPr>
        <w:t>Am J Med</w:t>
      </w:r>
      <w:r w:rsidRPr="008C260D">
        <w:rPr>
          <w:rFonts w:ascii="Book Antiqua" w:hAnsi="Book Antiqua" w:cs="宋体"/>
          <w:color w:val="000000"/>
          <w:sz w:val="24"/>
          <w:szCs w:val="24"/>
        </w:rPr>
        <w:t xml:space="preserve"> 2001; </w:t>
      </w:r>
      <w:r w:rsidRPr="008C260D">
        <w:rPr>
          <w:rFonts w:ascii="Book Antiqua" w:hAnsi="Book Antiqua" w:cs="宋体"/>
          <w:b/>
          <w:bCs/>
          <w:color w:val="000000"/>
          <w:sz w:val="24"/>
          <w:szCs w:val="24"/>
        </w:rPr>
        <w:t>111</w:t>
      </w:r>
      <w:r w:rsidRPr="008C260D">
        <w:rPr>
          <w:rFonts w:ascii="Book Antiqua" w:hAnsi="Book Antiqua" w:cs="宋体"/>
          <w:color w:val="000000"/>
          <w:sz w:val="24"/>
          <w:szCs w:val="24"/>
        </w:rPr>
        <w:t>: 469-473 [PMID: 11690573 DOI: 10.1016/S0002-9343(01)00901-9]</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lastRenderedPageBreak/>
        <w:t xml:space="preserve">12 </w:t>
      </w:r>
      <w:r w:rsidRPr="008C260D">
        <w:rPr>
          <w:rFonts w:ascii="Book Antiqua" w:hAnsi="Book Antiqua" w:cs="宋体"/>
          <w:b/>
          <w:bCs/>
          <w:color w:val="000000"/>
          <w:sz w:val="24"/>
          <w:szCs w:val="24"/>
        </w:rPr>
        <w:t>Attwood SE</w:t>
      </w:r>
      <w:r w:rsidRPr="008C260D">
        <w:rPr>
          <w:rFonts w:ascii="Book Antiqua" w:hAnsi="Book Antiqua" w:cs="宋体"/>
          <w:color w:val="000000"/>
          <w:sz w:val="24"/>
          <w:szCs w:val="24"/>
        </w:rPr>
        <w:t xml:space="preserve">, Ell C, Galmiche JP, Fiocca R, Hatlebakk JG, Hasselgren B, Långström G, Jahreskog M, Eklund S, Lind T, Lundell L. Long-term safety of proton pump inhibitor therapy assessed under controlled, randomised clinical trial conditions: data from the SOPRAN and LOTUS studies.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2015; </w:t>
      </w:r>
      <w:r w:rsidRPr="008C260D">
        <w:rPr>
          <w:rFonts w:ascii="Book Antiqua" w:hAnsi="Book Antiqua" w:cs="宋体"/>
          <w:b/>
          <w:bCs/>
          <w:color w:val="000000"/>
          <w:sz w:val="24"/>
          <w:szCs w:val="24"/>
        </w:rPr>
        <w:t>41</w:t>
      </w:r>
      <w:r w:rsidRPr="008C260D">
        <w:rPr>
          <w:rFonts w:ascii="Book Antiqua" w:hAnsi="Book Antiqua" w:cs="宋体"/>
          <w:color w:val="000000"/>
          <w:sz w:val="24"/>
          <w:szCs w:val="24"/>
        </w:rPr>
        <w:t>: 1162-1174 [PMID: 25858519 DOI: 10.1111/apt.13194</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13 </w:t>
      </w:r>
      <w:r w:rsidRPr="008C260D">
        <w:rPr>
          <w:rFonts w:ascii="Book Antiqua" w:hAnsi="Book Antiqua" w:cs="宋体"/>
          <w:b/>
          <w:bCs/>
          <w:color w:val="000000"/>
          <w:sz w:val="24"/>
          <w:szCs w:val="24"/>
        </w:rPr>
        <w:t>Garcia-Tsao G</w:t>
      </w:r>
      <w:r w:rsidRPr="008C260D">
        <w:rPr>
          <w:rFonts w:ascii="Book Antiqua" w:hAnsi="Book Antiqua" w:cs="宋体"/>
          <w:color w:val="000000"/>
          <w:sz w:val="24"/>
          <w:szCs w:val="24"/>
        </w:rPr>
        <w:t xml:space="preserve">, Bosch J. Management of varices and variceal hemorrhage in cirrhosis. </w:t>
      </w:r>
      <w:r w:rsidRPr="008C260D">
        <w:rPr>
          <w:rFonts w:ascii="Book Antiqua" w:hAnsi="Book Antiqua" w:cs="宋体"/>
          <w:i/>
          <w:iCs/>
          <w:color w:val="000000"/>
          <w:sz w:val="24"/>
          <w:szCs w:val="24"/>
        </w:rPr>
        <w:t>N Engl J Med</w:t>
      </w:r>
      <w:r w:rsidRPr="008C260D">
        <w:rPr>
          <w:rFonts w:ascii="Book Antiqua" w:hAnsi="Book Antiqua" w:cs="宋体"/>
          <w:color w:val="000000"/>
          <w:sz w:val="24"/>
          <w:szCs w:val="24"/>
        </w:rPr>
        <w:t xml:space="preserve"> 2010; </w:t>
      </w:r>
      <w:r w:rsidRPr="008C260D">
        <w:rPr>
          <w:rFonts w:ascii="Book Antiqua" w:hAnsi="Book Antiqua" w:cs="宋体"/>
          <w:b/>
          <w:bCs/>
          <w:color w:val="000000"/>
          <w:sz w:val="24"/>
          <w:szCs w:val="24"/>
        </w:rPr>
        <w:t>362</w:t>
      </w:r>
      <w:r w:rsidRPr="008C260D">
        <w:rPr>
          <w:rFonts w:ascii="Book Antiqua" w:hAnsi="Book Antiqua" w:cs="宋体"/>
          <w:color w:val="000000"/>
          <w:sz w:val="24"/>
          <w:szCs w:val="24"/>
        </w:rPr>
        <w:t>: 823-832 [PMID: 20200386 DOI: 10.1056/NEJMra0901512</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14 </w:t>
      </w:r>
      <w:r w:rsidRPr="008C260D">
        <w:rPr>
          <w:rFonts w:ascii="Book Antiqua" w:hAnsi="Book Antiqua" w:cs="宋体"/>
          <w:b/>
          <w:bCs/>
          <w:color w:val="000000"/>
          <w:sz w:val="24"/>
          <w:szCs w:val="24"/>
        </w:rPr>
        <w:t>Lodato F</w:t>
      </w:r>
      <w:r w:rsidRPr="008C260D">
        <w:rPr>
          <w:rFonts w:ascii="Book Antiqua" w:hAnsi="Book Antiqua" w:cs="宋体"/>
          <w:color w:val="000000"/>
          <w:sz w:val="24"/>
          <w:szCs w:val="24"/>
        </w:rPr>
        <w:t xml:space="preserve">, Azzaroli F, Di Girolamo M, Feletti V, Cecinato P, Lisotti A, Festi D, Roda E, Mazzella G. Proton pump inhibitors in cirrhosis: tradition or evidence based practice? </w:t>
      </w:r>
      <w:r w:rsidRPr="008C260D">
        <w:rPr>
          <w:rFonts w:ascii="Book Antiqua" w:hAnsi="Book Antiqua" w:cs="宋体"/>
          <w:i/>
          <w:iCs/>
          <w:color w:val="000000"/>
          <w:sz w:val="24"/>
          <w:szCs w:val="24"/>
        </w:rPr>
        <w:t>World J Gastroenterol</w:t>
      </w:r>
      <w:r w:rsidRPr="008C260D">
        <w:rPr>
          <w:rFonts w:ascii="Book Antiqua" w:hAnsi="Book Antiqua" w:cs="宋体"/>
          <w:color w:val="000000"/>
          <w:sz w:val="24"/>
          <w:szCs w:val="24"/>
        </w:rPr>
        <w:t xml:space="preserve"> 2008; </w:t>
      </w:r>
      <w:r w:rsidRPr="008C260D">
        <w:rPr>
          <w:rFonts w:ascii="Book Antiqua" w:hAnsi="Book Antiqua" w:cs="宋体"/>
          <w:b/>
          <w:bCs/>
          <w:color w:val="000000"/>
          <w:sz w:val="24"/>
          <w:szCs w:val="24"/>
        </w:rPr>
        <w:t>14</w:t>
      </w:r>
      <w:r w:rsidRPr="008C260D">
        <w:rPr>
          <w:rFonts w:ascii="Book Antiqua" w:hAnsi="Book Antiqua" w:cs="宋体"/>
          <w:color w:val="000000"/>
          <w:sz w:val="24"/>
          <w:szCs w:val="24"/>
        </w:rPr>
        <w:t>: 2980-2985 [PMID: 18494046]</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15 </w:t>
      </w:r>
      <w:r w:rsidRPr="008C260D">
        <w:rPr>
          <w:rFonts w:ascii="Book Antiqua" w:hAnsi="Book Antiqua" w:cs="宋体"/>
          <w:b/>
          <w:bCs/>
          <w:color w:val="000000"/>
          <w:sz w:val="24"/>
          <w:szCs w:val="24"/>
        </w:rPr>
        <w:t>Shaheen NJ</w:t>
      </w:r>
      <w:r w:rsidRPr="008C260D">
        <w:rPr>
          <w:rFonts w:ascii="Book Antiqua" w:hAnsi="Book Antiqua" w:cs="宋体"/>
          <w:color w:val="000000"/>
          <w:sz w:val="24"/>
          <w:szCs w:val="24"/>
        </w:rPr>
        <w:t xml:space="preserve">, Stuart E, Schmitz SM, Mitchell KL, Fried MW, Zacks S, Russo MW, Galanko J, Shrestha R. Pantoprazole reduces the size of postbanding ulcers after variceal band ligation: a randomized, controlled trial. </w:t>
      </w:r>
      <w:r w:rsidRPr="008C260D">
        <w:rPr>
          <w:rFonts w:ascii="Book Antiqua" w:hAnsi="Book Antiqua" w:cs="宋体"/>
          <w:i/>
          <w:iCs/>
          <w:color w:val="000000"/>
          <w:sz w:val="24"/>
          <w:szCs w:val="24"/>
        </w:rPr>
        <w:t>Hepatology</w:t>
      </w:r>
      <w:r w:rsidRPr="008C260D">
        <w:rPr>
          <w:rFonts w:ascii="Book Antiqua" w:hAnsi="Book Antiqua" w:cs="宋体"/>
          <w:color w:val="000000"/>
          <w:sz w:val="24"/>
          <w:szCs w:val="24"/>
        </w:rPr>
        <w:t xml:space="preserve"> 2005; </w:t>
      </w:r>
      <w:r w:rsidRPr="008C260D">
        <w:rPr>
          <w:rFonts w:ascii="Book Antiqua" w:hAnsi="Book Antiqua" w:cs="宋体"/>
          <w:b/>
          <w:bCs/>
          <w:color w:val="000000"/>
          <w:sz w:val="24"/>
          <w:szCs w:val="24"/>
        </w:rPr>
        <w:t>41</w:t>
      </w:r>
      <w:r w:rsidRPr="008C260D">
        <w:rPr>
          <w:rFonts w:ascii="Book Antiqua" w:hAnsi="Book Antiqua" w:cs="宋体"/>
          <w:color w:val="000000"/>
          <w:sz w:val="24"/>
          <w:szCs w:val="24"/>
        </w:rPr>
        <w:t>: 588-594 [PMID: 15726658 DOI: 10.1002/hep.20593]</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16 </w:t>
      </w:r>
      <w:r w:rsidRPr="008C260D">
        <w:rPr>
          <w:rFonts w:ascii="Book Antiqua" w:hAnsi="Book Antiqua" w:cs="宋体"/>
          <w:b/>
          <w:bCs/>
          <w:color w:val="000000"/>
          <w:sz w:val="24"/>
          <w:szCs w:val="24"/>
        </w:rPr>
        <w:t>Chavez-Tapia NC</w:t>
      </w:r>
      <w:r w:rsidRPr="008C260D">
        <w:rPr>
          <w:rFonts w:ascii="Book Antiqua" w:hAnsi="Book Antiqua" w:cs="宋体"/>
          <w:color w:val="000000"/>
          <w:sz w:val="24"/>
          <w:szCs w:val="24"/>
        </w:rPr>
        <w:t xml:space="preserve">, Tellez-Avila FI, Garcia-Leiva J, Valdovinos MA. Use and overuse of proton pump inhibitors in cirrhotic patients. </w:t>
      </w:r>
      <w:r w:rsidRPr="008C260D">
        <w:rPr>
          <w:rFonts w:ascii="Book Antiqua" w:hAnsi="Book Antiqua" w:cs="宋体"/>
          <w:i/>
          <w:iCs/>
          <w:color w:val="000000"/>
          <w:sz w:val="24"/>
          <w:szCs w:val="24"/>
        </w:rPr>
        <w:t>Med Sci Monit</w:t>
      </w:r>
      <w:r w:rsidRPr="008C260D">
        <w:rPr>
          <w:rFonts w:ascii="Book Antiqua" w:hAnsi="Book Antiqua" w:cs="宋体"/>
          <w:color w:val="000000"/>
          <w:sz w:val="24"/>
          <w:szCs w:val="24"/>
        </w:rPr>
        <w:t xml:space="preserve"> 2008; </w:t>
      </w:r>
      <w:r w:rsidRPr="008C260D">
        <w:rPr>
          <w:rFonts w:ascii="Book Antiqua" w:hAnsi="Book Antiqua" w:cs="宋体"/>
          <w:b/>
          <w:bCs/>
          <w:color w:val="000000"/>
          <w:sz w:val="24"/>
          <w:szCs w:val="24"/>
        </w:rPr>
        <w:t>14</w:t>
      </w:r>
      <w:r w:rsidRPr="008C260D">
        <w:rPr>
          <w:rFonts w:ascii="Book Antiqua" w:hAnsi="Book Antiqua" w:cs="宋体"/>
          <w:color w:val="000000"/>
          <w:sz w:val="24"/>
          <w:szCs w:val="24"/>
        </w:rPr>
        <w:t>: CR468-CR472 [PMID: 18758417]</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17 </w:t>
      </w:r>
      <w:r w:rsidRPr="008C260D">
        <w:rPr>
          <w:rFonts w:ascii="Book Antiqua" w:hAnsi="Book Antiqua" w:cs="宋体"/>
          <w:b/>
          <w:bCs/>
          <w:color w:val="000000"/>
          <w:sz w:val="24"/>
          <w:szCs w:val="24"/>
        </w:rPr>
        <w:t>Garcia-Saenz-de-Sicilia M</w:t>
      </w:r>
      <w:r w:rsidRPr="008C260D">
        <w:rPr>
          <w:rFonts w:ascii="Book Antiqua" w:hAnsi="Book Antiqua" w:cs="宋体"/>
          <w:color w:val="000000"/>
          <w:sz w:val="24"/>
          <w:szCs w:val="24"/>
        </w:rPr>
        <w:t xml:space="preserve">, Sanchez-Avila F, Chavez-Tapia NC, Lopez-Arce G, Garcia-Osogobio S, Ruiz-Cordero R, Tellez-Avila FI. PPIs are not associated with a lower incidence of portal-hypertension-related bleeding in cirrhosis. </w:t>
      </w:r>
      <w:r w:rsidRPr="008C260D">
        <w:rPr>
          <w:rFonts w:ascii="Book Antiqua" w:hAnsi="Book Antiqua" w:cs="宋体"/>
          <w:i/>
          <w:iCs/>
          <w:color w:val="000000"/>
          <w:sz w:val="24"/>
          <w:szCs w:val="24"/>
        </w:rPr>
        <w:t>World J Gastroenterol</w:t>
      </w:r>
      <w:r w:rsidRPr="008C260D">
        <w:rPr>
          <w:rFonts w:ascii="Book Antiqua" w:hAnsi="Book Antiqua" w:cs="宋体"/>
          <w:color w:val="000000"/>
          <w:sz w:val="24"/>
          <w:szCs w:val="24"/>
        </w:rPr>
        <w:t xml:space="preserve"> 2010; </w:t>
      </w:r>
      <w:r w:rsidRPr="008C260D">
        <w:rPr>
          <w:rFonts w:ascii="Book Antiqua" w:hAnsi="Book Antiqua" w:cs="宋体"/>
          <w:b/>
          <w:bCs/>
          <w:color w:val="000000"/>
          <w:sz w:val="24"/>
          <w:szCs w:val="24"/>
        </w:rPr>
        <w:t>16</w:t>
      </w:r>
      <w:r w:rsidRPr="008C260D">
        <w:rPr>
          <w:rFonts w:ascii="Book Antiqua" w:hAnsi="Book Antiqua" w:cs="宋体"/>
          <w:color w:val="000000"/>
          <w:sz w:val="24"/>
          <w:szCs w:val="24"/>
        </w:rPr>
        <w:t>: 5869-5873 [PMID: 21155009 DOI: 10.3748/wjg.v16.i46.5869]</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18 </w:t>
      </w:r>
      <w:r w:rsidRPr="008C260D">
        <w:rPr>
          <w:rFonts w:ascii="Book Antiqua" w:hAnsi="Book Antiqua" w:cs="宋体"/>
          <w:b/>
          <w:bCs/>
          <w:color w:val="000000"/>
          <w:sz w:val="24"/>
          <w:szCs w:val="24"/>
        </w:rPr>
        <w:t>Goel GA</w:t>
      </w:r>
      <w:r w:rsidRPr="008C260D">
        <w:rPr>
          <w:rFonts w:ascii="Book Antiqua" w:hAnsi="Book Antiqua" w:cs="宋体"/>
          <w:color w:val="000000"/>
          <w:sz w:val="24"/>
          <w:szCs w:val="24"/>
        </w:rPr>
        <w:t xml:space="preserve">, Deshpande A, Lopez R, Hall GS, van Duin D, Carey WD. Increased rate of spontaneous bacterial peritonitis among cirrhotic patients receiving pharmacologic acid suppression. </w:t>
      </w:r>
      <w:r w:rsidRPr="008C260D">
        <w:rPr>
          <w:rFonts w:ascii="Book Antiqua" w:hAnsi="Book Antiqua" w:cs="宋体"/>
          <w:i/>
          <w:iCs/>
          <w:color w:val="000000"/>
          <w:sz w:val="24"/>
          <w:szCs w:val="24"/>
        </w:rPr>
        <w:t>Clin Gastroenterol Hepatol</w:t>
      </w:r>
      <w:r w:rsidRPr="008C260D">
        <w:rPr>
          <w:rFonts w:ascii="Book Antiqua" w:hAnsi="Book Antiqua" w:cs="宋体"/>
          <w:color w:val="000000"/>
          <w:sz w:val="24"/>
          <w:szCs w:val="24"/>
        </w:rPr>
        <w:t xml:space="preserve"> 2012; </w:t>
      </w:r>
      <w:r w:rsidRPr="008C260D">
        <w:rPr>
          <w:rFonts w:ascii="Book Antiqua" w:hAnsi="Book Antiqua" w:cs="宋体"/>
          <w:b/>
          <w:bCs/>
          <w:color w:val="000000"/>
          <w:sz w:val="24"/>
          <w:szCs w:val="24"/>
        </w:rPr>
        <w:t>10</w:t>
      </w:r>
      <w:r w:rsidRPr="008C260D">
        <w:rPr>
          <w:rFonts w:ascii="Book Antiqua" w:hAnsi="Book Antiqua" w:cs="宋体"/>
          <w:color w:val="000000"/>
          <w:sz w:val="24"/>
          <w:szCs w:val="24"/>
        </w:rPr>
        <w:t>: 422-427 [PMID: 22155557 DOI: 10.1016/j.cgh.2011.11.019</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19 </w:t>
      </w:r>
      <w:r w:rsidRPr="008C260D">
        <w:rPr>
          <w:rFonts w:ascii="Book Antiqua" w:hAnsi="Book Antiqua" w:cs="宋体"/>
          <w:b/>
          <w:bCs/>
          <w:color w:val="000000"/>
          <w:sz w:val="24"/>
          <w:szCs w:val="24"/>
        </w:rPr>
        <w:t>du Moulin GC</w:t>
      </w:r>
      <w:r w:rsidRPr="008C260D">
        <w:rPr>
          <w:rFonts w:ascii="Book Antiqua" w:hAnsi="Book Antiqua" w:cs="宋体"/>
          <w:color w:val="000000"/>
          <w:sz w:val="24"/>
          <w:szCs w:val="24"/>
        </w:rPr>
        <w:t xml:space="preserve">, Paterson DG, Hedley-Whyte J, Lisbon A. Aspiration of gastric bacteria in antacid-treated patients: a frequent cause of postoperative colonisation of the airway. </w:t>
      </w:r>
      <w:r w:rsidRPr="008C260D">
        <w:rPr>
          <w:rFonts w:ascii="Book Antiqua" w:hAnsi="Book Antiqua" w:cs="宋体"/>
          <w:i/>
          <w:iCs/>
          <w:color w:val="000000"/>
          <w:sz w:val="24"/>
          <w:szCs w:val="24"/>
        </w:rPr>
        <w:t>Lancet</w:t>
      </w:r>
      <w:r w:rsidRPr="008C260D">
        <w:rPr>
          <w:rFonts w:ascii="Book Antiqua" w:hAnsi="Book Antiqua" w:cs="宋体"/>
          <w:color w:val="000000"/>
          <w:sz w:val="24"/>
          <w:szCs w:val="24"/>
        </w:rPr>
        <w:t xml:space="preserve"> 1982; </w:t>
      </w:r>
      <w:r w:rsidRPr="008C260D">
        <w:rPr>
          <w:rFonts w:ascii="Book Antiqua" w:hAnsi="Book Antiqua" w:cs="宋体"/>
          <w:b/>
          <w:bCs/>
          <w:color w:val="000000"/>
          <w:sz w:val="24"/>
          <w:szCs w:val="24"/>
        </w:rPr>
        <w:t>1</w:t>
      </w:r>
      <w:r w:rsidRPr="008C260D">
        <w:rPr>
          <w:rFonts w:ascii="Book Antiqua" w:hAnsi="Book Antiqua" w:cs="宋体"/>
          <w:color w:val="000000"/>
          <w:sz w:val="24"/>
          <w:szCs w:val="24"/>
        </w:rPr>
        <w:t>: 242-245 [PMID: 6120273 DOI: 10.1016/S0140-6736(82)90974-6]</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20 </w:t>
      </w:r>
      <w:r w:rsidRPr="008C260D">
        <w:rPr>
          <w:rFonts w:ascii="Book Antiqua" w:hAnsi="Book Antiqua" w:cs="宋体"/>
          <w:b/>
          <w:bCs/>
          <w:color w:val="000000"/>
          <w:sz w:val="24"/>
          <w:szCs w:val="24"/>
        </w:rPr>
        <w:t>Aseeri M</w:t>
      </w:r>
      <w:r w:rsidRPr="008C260D">
        <w:rPr>
          <w:rFonts w:ascii="Book Antiqua" w:hAnsi="Book Antiqua" w:cs="宋体"/>
          <w:color w:val="000000"/>
          <w:sz w:val="24"/>
          <w:szCs w:val="24"/>
        </w:rPr>
        <w:t xml:space="preserve">, Schroeder T, Kramer J, Zackula R. Gastric acid suppression by proton pump inhibitors as a risk factor for clostridium difficile-associated diarrhea in hospitalized patients. </w:t>
      </w:r>
      <w:r w:rsidRPr="008C260D">
        <w:rPr>
          <w:rFonts w:ascii="Book Antiqua" w:hAnsi="Book Antiqua" w:cs="宋体"/>
          <w:i/>
          <w:iCs/>
          <w:color w:val="000000"/>
          <w:sz w:val="24"/>
          <w:szCs w:val="24"/>
        </w:rPr>
        <w:t>Am J Gastroenterol</w:t>
      </w:r>
      <w:r w:rsidRPr="008C260D">
        <w:rPr>
          <w:rFonts w:ascii="Book Antiqua" w:hAnsi="Book Antiqua" w:cs="宋体"/>
          <w:color w:val="000000"/>
          <w:sz w:val="24"/>
          <w:szCs w:val="24"/>
        </w:rPr>
        <w:t xml:space="preserve"> 2008; </w:t>
      </w:r>
      <w:r w:rsidRPr="008C260D">
        <w:rPr>
          <w:rFonts w:ascii="Book Antiqua" w:hAnsi="Book Antiqua" w:cs="宋体"/>
          <w:b/>
          <w:bCs/>
          <w:color w:val="000000"/>
          <w:sz w:val="24"/>
          <w:szCs w:val="24"/>
        </w:rPr>
        <w:t>103</w:t>
      </w:r>
      <w:r w:rsidRPr="008C260D">
        <w:rPr>
          <w:rFonts w:ascii="Book Antiqua" w:hAnsi="Book Antiqua" w:cs="宋体"/>
          <w:color w:val="000000"/>
          <w:sz w:val="24"/>
          <w:szCs w:val="24"/>
        </w:rPr>
        <w:t>: 2308-2313 [PMID: 18702653 DOI: 10.1111/j.1572-0241.2008.01975.x</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lastRenderedPageBreak/>
        <w:t xml:space="preserve">21 </w:t>
      </w:r>
      <w:r w:rsidRPr="008C260D">
        <w:rPr>
          <w:rFonts w:ascii="Book Antiqua" w:hAnsi="Book Antiqua" w:cs="宋体"/>
          <w:b/>
          <w:bCs/>
          <w:color w:val="000000"/>
          <w:sz w:val="24"/>
          <w:szCs w:val="24"/>
        </w:rPr>
        <w:t>Bavishi C</w:t>
      </w:r>
      <w:r w:rsidRPr="008C260D">
        <w:rPr>
          <w:rFonts w:ascii="Book Antiqua" w:hAnsi="Book Antiqua" w:cs="宋体"/>
          <w:color w:val="000000"/>
          <w:sz w:val="24"/>
          <w:szCs w:val="24"/>
        </w:rPr>
        <w:t xml:space="preserve">, Dupont HL. Systematic review: the use of proton pump inhibitors and increased susceptibility to enteric infection.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2011; </w:t>
      </w:r>
      <w:r w:rsidRPr="008C260D">
        <w:rPr>
          <w:rFonts w:ascii="Book Antiqua" w:hAnsi="Book Antiqua" w:cs="宋体"/>
          <w:b/>
          <w:bCs/>
          <w:color w:val="000000"/>
          <w:sz w:val="24"/>
          <w:szCs w:val="24"/>
        </w:rPr>
        <w:t>34</w:t>
      </w:r>
      <w:r w:rsidRPr="008C260D">
        <w:rPr>
          <w:rFonts w:ascii="Book Antiqua" w:hAnsi="Book Antiqua" w:cs="宋体"/>
          <w:color w:val="000000"/>
          <w:sz w:val="24"/>
          <w:szCs w:val="24"/>
        </w:rPr>
        <w:t>: 1269-1281 [PMID: 21999643 DOI: 10.1111/j.1365-2036.2011.04874.x</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22 </w:t>
      </w:r>
      <w:r w:rsidRPr="008C260D">
        <w:rPr>
          <w:rFonts w:ascii="Book Antiqua" w:hAnsi="Book Antiqua" w:cs="宋体"/>
          <w:b/>
          <w:bCs/>
          <w:color w:val="000000"/>
          <w:sz w:val="24"/>
          <w:szCs w:val="24"/>
        </w:rPr>
        <w:t>Dalton BR</w:t>
      </w:r>
      <w:r w:rsidRPr="008C260D">
        <w:rPr>
          <w:rFonts w:ascii="Book Antiqua" w:hAnsi="Book Antiqua" w:cs="宋体"/>
          <w:color w:val="000000"/>
          <w:sz w:val="24"/>
          <w:szCs w:val="24"/>
        </w:rPr>
        <w:t xml:space="preserve">, Lye-Maccannell T, Henderson EA, Maccannell DR, Louie TJ. Proton pump inhibitors increase significantly the risk of Clostridium difficile infection in a low-endemicity, non-outbreak hospital setting.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2009; </w:t>
      </w:r>
      <w:r w:rsidRPr="008C260D">
        <w:rPr>
          <w:rFonts w:ascii="Book Antiqua" w:hAnsi="Book Antiqua" w:cs="宋体"/>
          <w:b/>
          <w:bCs/>
          <w:color w:val="000000"/>
          <w:sz w:val="24"/>
          <w:szCs w:val="24"/>
        </w:rPr>
        <w:t>29</w:t>
      </w:r>
      <w:r w:rsidRPr="008C260D">
        <w:rPr>
          <w:rFonts w:ascii="Book Antiqua" w:hAnsi="Book Antiqua" w:cs="宋体"/>
          <w:color w:val="000000"/>
          <w:sz w:val="24"/>
          <w:szCs w:val="24"/>
        </w:rPr>
        <w:t>: 626-634 [PMID: 19183143 DOI: 10.1111/j.1365-2036.2008.03924.x</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23 </w:t>
      </w:r>
      <w:r w:rsidRPr="008C260D">
        <w:rPr>
          <w:rFonts w:ascii="Book Antiqua" w:hAnsi="Book Antiqua" w:cs="宋体"/>
          <w:b/>
          <w:bCs/>
          <w:color w:val="000000"/>
          <w:sz w:val="24"/>
          <w:szCs w:val="24"/>
        </w:rPr>
        <w:t>Wang YP</w:t>
      </w:r>
      <w:r w:rsidRPr="008C260D">
        <w:rPr>
          <w:rFonts w:ascii="Book Antiqua" w:hAnsi="Book Antiqua" w:cs="宋体"/>
          <w:color w:val="000000"/>
          <w:sz w:val="24"/>
          <w:szCs w:val="24"/>
        </w:rPr>
        <w:t xml:space="preserve">, Liu CJ, Chen TJ, Lin YT, Fung CP. Proton pump inhibitor use significantly increases the risk of cryptogenic liver abscess: a population-based study.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2015; </w:t>
      </w:r>
      <w:r w:rsidRPr="008C260D">
        <w:rPr>
          <w:rFonts w:ascii="Book Antiqua" w:hAnsi="Book Antiqua" w:cs="宋体"/>
          <w:b/>
          <w:bCs/>
          <w:color w:val="000000"/>
          <w:sz w:val="24"/>
          <w:szCs w:val="24"/>
        </w:rPr>
        <w:t>41</w:t>
      </w:r>
      <w:r w:rsidRPr="008C260D">
        <w:rPr>
          <w:rFonts w:ascii="Book Antiqua" w:hAnsi="Book Antiqua" w:cs="宋体"/>
          <w:color w:val="000000"/>
          <w:sz w:val="24"/>
          <w:szCs w:val="24"/>
        </w:rPr>
        <w:t>: 1175-1181 [PMID: 25871643 DOI: 10.1111/apt.13203</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24 </w:t>
      </w:r>
      <w:r w:rsidRPr="008C260D">
        <w:rPr>
          <w:rFonts w:ascii="Book Antiqua" w:hAnsi="Book Antiqua" w:cs="宋体"/>
          <w:b/>
          <w:bCs/>
          <w:color w:val="000000"/>
          <w:sz w:val="24"/>
          <w:szCs w:val="24"/>
        </w:rPr>
        <w:t>Bajaj JS</w:t>
      </w:r>
      <w:r w:rsidRPr="008C260D">
        <w:rPr>
          <w:rFonts w:ascii="Book Antiqua" w:hAnsi="Book Antiqua" w:cs="宋体"/>
          <w:color w:val="000000"/>
          <w:sz w:val="24"/>
          <w:szCs w:val="24"/>
        </w:rPr>
        <w:t xml:space="preserve">, Zadvornova Y, Heuman DM, Hafeezullah M, Hoffmann RG, Sanyal AJ, Saeian K. Association of proton pump inhibitor therapy with spontaneous bacterial peritonitis in cirrhotic patients with ascites. </w:t>
      </w:r>
      <w:r w:rsidRPr="008C260D">
        <w:rPr>
          <w:rFonts w:ascii="Book Antiqua" w:hAnsi="Book Antiqua" w:cs="宋体"/>
          <w:i/>
          <w:iCs/>
          <w:color w:val="000000"/>
          <w:sz w:val="24"/>
          <w:szCs w:val="24"/>
        </w:rPr>
        <w:t>Am J Gastroenterol</w:t>
      </w:r>
      <w:r w:rsidRPr="008C260D">
        <w:rPr>
          <w:rFonts w:ascii="Book Antiqua" w:hAnsi="Book Antiqua" w:cs="宋体"/>
          <w:color w:val="000000"/>
          <w:sz w:val="24"/>
          <w:szCs w:val="24"/>
        </w:rPr>
        <w:t xml:space="preserve"> 2009; </w:t>
      </w:r>
      <w:r w:rsidRPr="008C260D">
        <w:rPr>
          <w:rFonts w:ascii="Book Antiqua" w:hAnsi="Book Antiqua" w:cs="宋体"/>
          <w:b/>
          <w:bCs/>
          <w:color w:val="000000"/>
          <w:sz w:val="24"/>
          <w:szCs w:val="24"/>
        </w:rPr>
        <w:t>104</w:t>
      </w:r>
      <w:r w:rsidRPr="008C260D">
        <w:rPr>
          <w:rFonts w:ascii="Book Antiqua" w:hAnsi="Book Antiqua" w:cs="宋体"/>
          <w:color w:val="000000"/>
          <w:sz w:val="24"/>
          <w:szCs w:val="24"/>
        </w:rPr>
        <w:t>: 1130-1134 [PMID: 19337238 DOI: 10.1038/ajg.2009.80</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25 </w:t>
      </w:r>
      <w:r w:rsidRPr="008C260D">
        <w:rPr>
          <w:rFonts w:ascii="Book Antiqua" w:hAnsi="Book Antiqua" w:cs="宋体"/>
          <w:b/>
          <w:bCs/>
          <w:color w:val="000000"/>
          <w:sz w:val="24"/>
          <w:szCs w:val="24"/>
        </w:rPr>
        <w:t>Bajaj JS</w:t>
      </w:r>
      <w:r w:rsidRPr="008C260D">
        <w:rPr>
          <w:rFonts w:ascii="Book Antiqua" w:hAnsi="Book Antiqua" w:cs="宋体"/>
          <w:color w:val="000000"/>
          <w:sz w:val="24"/>
          <w:szCs w:val="24"/>
        </w:rPr>
        <w:t xml:space="preserve">, Ratliff SM, Heuman DM, Lapane KL. Proton pump inhibitors are associated with a high rate of serious infections in veterans with decompensated cirrhosis.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2012; </w:t>
      </w:r>
      <w:r w:rsidRPr="008C260D">
        <w:rPr>
          <w:rFonts w:ascii="Book Antiqua" w:hAnsi="Book Antiqua" w:cs="宋体"/>
          <w:b/>
          <w:bCs/>
          <w:color w:val="000000"/>
          <w:sz w:val="24"/>
          <w:szCs w:val="24"/>
        </w:rPr>
        <w:t>36</w:t>
      </w:r>
      <w:r w:rsidRPr="008C260D">
        <w:rPr>
          <w:rFonts w:ascii="Book Antiqua" w:hAnsi="Book Antiqua" w:cs="宋体"/>
          <w:color w:val="000000"/>
          <w:sz w:val="24"/>
          <w:szCs w:val="24"/>
        </w:rPr>
        <w:t>: 866-874 [PMID: 22966967 DOI: 10.1111/apt.12045]</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26 </w:t>
      </w:r>
      <w:r w:rsidRPr="008C260D">
        <w:rPr>
          <w:rFonts w:ascii="Book Antiqua" w:hAnsi="Book Antiqua" w:cs="宋体"/>
          <w:b/>
          <w:bCs/>
          <w:color w:val="000000"/>
          <w:sz w:val="24"/>
          <w:szCs w:val="24"/>
        </w:rPr>
        <w:t>Bajaj JS</w:t>
      </w:r>
      <w:r w:rsidRPr="008C260D">
        <w:rPr>
          <w:rFonts w:ascii="Book Antiqua" w:hAnsi="Book Antiqua" w:cs="宋体"/>
          <w:color w:val="000000"/>
          <w:sz w:val="24"/>
          <w:szCs w:val="24"/>
        </w:rPr>
        <w:t xml:space="preserve">, O'Leary JG, Reddy KR, Wong F, Biggins SW, Patton H, Fallon MB, Garcia-Tsao G, Maliakkal B, Malik R, Subramanian RM, Thacker LR, Kamath PS. Survival in infection-related acute-on-chronic liver failure is defined by extrahepatic organ failures. </w:t>
      </w:r>
      <w:r w:rsidRPr="008C260D">
        <w:rPr>
          <w:rFonts w:ascii="Book Antiqua" w:hAnsi="Book Antiqua" w:cs="宋体"/>
          <w:i/>
          <w:iCs/>
          <w:color w:val="000000"/>
          <w:sz w:val="24"/>
          <w:szCs w:val="24"/>
        </w:rPr>
        <w:t>Hepatology</w:t>
      </w:r>
      <w:r w:rsidRPr="008C260D">
        <w:rPr>
          <w:rFonts w:ascii="Book Antiqua" w:hAnsi="Book Antiqua" w:cs="宋体"/>
          <w:color w:val="000000"/>
          <w:sz w:val="24"/>
          <w:szCs w:val="24"/>
        </w:rPr>
        <w:t xml:space="preserve"> 2014; </w:t>
      </w:r>
      <w:r w:rsidRPr="008C260D">
        <w:rPr>
          <w:rFonts w:ascii="Book Antiqua" w:hAnsi="Book Antiqua" w:cs="宋体"/>
          <w:b/>
          <w:bCs/>
          <w:color w:val="000000"/>
          <w:sz w:val="24"/>
          <w:szCs w:val="24"/>
        </w:rPr>
        <w:t>60</w:t>
      </w:r>
      <w:r w:rsidRPr="008C260D">
        <w:rPr>
          <w:rFonts w:ascii="Book Antiqua" w:hAnsi="Book Antiqua" w:cs="宋体"/>
          <w:color w:val="000000"/>
          <w:sz w:val="24"/>
          <w:szCs w:val="24"/>
        </w:rPr>
        <w:t>: 250-256 [PMID: 24677131 DOI: 10.1002/hep.27077</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27 </w:t>
      </w:r>
      <w:r w:rsidRPr="008C260D">
        <w:rPr>
          <w:rFonts w:ascii="Book Antiqua" w:hAnsi="Book Antiqua" w:cs="宋体"/>
          <w:b/>
          <w:bCs/>
          <w:color w:val="000000"/>
          <w:sz w:val="24"/>
          <w:szCs w:val="24"/>
        </w:rPr>
        <w:t>Schneider J</w:t>
      </w:r>
      <w:r w:rsidRPr="008C260D">
        <w:rPr>
          <w:rFonts w:ascii="Book Antiqua" w:hAnsi="Book Antiqua" w:cs="宋体"/>
          <w:color w:val="000000"/>
          <w:sz w:val="24"/>
          <w:szCs w:val="24"/>
        </w:rPr>
        <w:t xml:space="preserve">, Weidner W, Hapfelmeier A, Wantia N, Feihl S, Schmid RM, Neu B, von Delius S, Algül H, Huber W, Weber A. The use of proton pump inhibitors and the spectrum and number of biliary pathogens in patients with acute cholangitis.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2014; </w:t>
      </w:r>
      <w:r w:rsidRPr="008C260D">
        <w:rPr>
          <w:rFonts w:ascii="Book Antiqua" w:hAnsi="Book Antiqua" w:cs="宋体"/>
          <w:b/>
          <w:bCs/>
          <w:color w:val="000000"/>
          <w:sz w:val="24"/>
          <w:szCs w:val="24"/>
        </w:rPr>
        <w:t>39</w:t>
      </w:r>
      <w:r w:rsidRPr="008C260D">
        <w:rPr>
          <w:rFonts w:ascii="Book Antiqua" w:hAnsi="Book Antiqua" w:cs="宋体"/>
          <w:color w:val="000000"/>
          <w:sz w:val="24"/>
          <w:szCs w:val="24"/>
        </w:rPr>
        <w:t>: 1194-1203 [PMID: 24628434 DOI: 10.1111/apt.12694</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28 </w:t>
      </w:r>
      <w:r w:rsidRPr="008C260D">
        <w:rPr>
          <w:rFonts w:ascii="Book Antiqua" w:hAnsi="Book Antiqua" w:cs="宋体"/>
          <w:b/>
          <w:bCs/>
          <w:color w:val="000000"/>
          <w:sz w:val="24"/>
          <w:szCs w:val="24"/>
        </w:rPr>
        <w:t>Kedika RR</w:t>
      </w:r>
      <w:r w:rsidRPr="008C260D">
        <w:rPr>
          <w:rFonts w:ascii="Book Antiqua" w:hAnsi="Book Antiqua" w:cs="宋体"/>
          <w:color w:val="000000"/>
          <w:sz w:val="24"/>
          <w:szCs w:val="24"/>
        </w:rPr>
        <w:t xml:space="preserve">, Souza RF, Spechler SJ. Potential anti-inflammatory effects of proton pump inhibitors: a review and discussion of the clinical implications. </w:t>
      </w:r>
      <w:r w:rsidRPr="008C260D">
        <w:rPr>
          <w:rFonts w:ascii="Book Antiqua" w:hAnsi="Book Antiqua" w:cs="宋体"/>
          <w:i/>
          <w:iCs/>
          <w:color w:val="000000"/>
          <w:sz w:val="24"/>
          <w:szCs w:val="24"/>
        </w:rPr>
        <w:t>Dig Dis Sci</w:t>
      </w:r>
      <w:r w:rsidRPr="008C260D">
        <w:rPr>
          <w:rFonts w:ascii="Book Antiqua" w:hAnsi="Book Antiqua" w:cs="宋体"/>
          <w:color w:val="000000"/>
          <w:sz w:val="24"/>
          <w:szCs w:val="24"/>
        </w:rPr>
        <w:t xml:space="preserve"> 2009; </w:t>
      </w:r>
      <w:r w:rsidRPr="008C260D">
        <w:rPr>
          <w:rFonts w:ascii="Book Antiqua" w:hAnsi="Book Antiqua" w:cs="宋体"/>
          <w:b/>
          <w:bCs/>
          <w:color w:val="000000"/>
          <w:sz w:val="24"/>
          <w:szCs w:val="24"/>
        </w:rPr>
        <w:t>54</w:t>
      </w:r>
      <w:r w:rsidRPr="008C260D">
        <w:rPr>
          <w:rFonts w:ascii="Book Antiqua" w:hAnsi="Book Antiqua" w:cs="宋体"/>
          <w:color w:val="000000"/>
          <w:sz w:val="24"/>
          <w:szCs w:val="24"/>
        </w:rPr>
        <w:t>: 2312-2317 [PMID: 19714466 DOI: 10.1007/s10620-009-0951-9</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29 </w:t>
      </w:r>
      <w:r w:rsidRPr="008C260D">
        <w:rPr>
          <w:rFonts w:ascii="Book Antiqua" w:hAnsi="Book Antiqua" w:cs="宋体"/>
          <w:b/>
          <w:bCs/>
          <w:color w:val="000000"/>
          <w:sz w:val="24"/>
          <w:szCs w:val="24"/>
        </w:rPr>
        <w:t>Lombardo L</w:t>
      </w:r>
      <w:r w:rsidRPr="008C260D">
        <w:rPr>
          <w:rFonts w:ascii="Book Antiqua" w:hAnsi="Book Antiqua" w:cs="宋体"/>
          <w:color w:val="000000"/>
          <w:sz w:val="24"/>
          <w:szCs w:val="24"/>
        </w:rPr>
        <w:t xml:space="preserve">, Foti M, Ruggia O, Chiecchio A. Increased incidence of small intestinal bacterial overgrowth during proton pump inhibitor therapy. </w:t>
      </w:r>
      <w:r w:rsidRPr="008C260D">
        <w:rPr>
          <w:rFonts w:ascii="Book Antiqua" w:hAnsi="Book Antiqua" w:cs="宋体"/>
          <w:i/>
          <w:iCs/>
          <w:color w:val="000000"/>
          <w:sz w:val="24"/>
          <w:szCs w:val="24"/>
        </w:rPr>
        <w:t>Clin Gastroenterol Hepatol</w:t>
      </w:r>
      <w:r w:rsidRPr="008C260D">
        <w:rPr>
          <w:rFonts w:ascii="Book Antiqua" w:hAnsi="Book Antiqua" w:cs="宋体"/>
          <w:color w:val="000000"/>
          <w:sz w:val="24"/>
          <w:szCs w:val="24"/>
        </w:rPr>
        <w:t xml:space="preserve"> 2010; </w:t>
      </w:r>
      <w:r w:rsidRPr="008C260D">
        <w:rPr>
          <w:rFonts w:ascii="Book Antiqua" w:hAnsi="Book Antiqua" w:cs="宋体"/>
          <w:b/>
          <w:bCs/>
          <w:color w:val="000000"/>
          <w:sz w:val="24"/>
          <w:szCs w:val="24"/>
        </w:rPr>
        <w:t>8</w:t>
      </w:r>
      <w:r w:rsidRPr="008C260D">
        <w:rPr>
          <w:rFonts w:ascii="Book Antiqua" w:hAnsi="Book Antiqua" w:cs="宋体"/>
          <w:color w:val="000000"/>
          <w:sz w:val="24"/>
          <w:szCs w:val="24"/>
        </w:rPr>
        <w:t>: 504-508 [PMID: 20060064 DOI: 10.1016/j.cgh.2009.12.022</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lastRenderedPageBreak/>
        <w:t xml:space="preserve">30 </w:t>
      </w:r>
      <w:r w:rsidRPr="008C260D">
        <w:rPr>
          <w:rFonts w:ascii="Book Antiqua" w:hAnsi="Book Antiqua" w:cs="宋体"/>
          <w:b/>
          <w:bCs/>
          <w:color w:val="000000"/>
          <w:sz w:val="24"/>
          <w:szCs w:val="24"/>
        </w:rPr>
        <w:t>Sargenti K</w:t>
      </w:r>
      <w:r w:rsidRPr="008C260D">
        <w:rPr>
          <w:rFonts w:ascii="Book Antiqua" w:hAnsi="Book Antiqua" w:cs="宋体"/>
          <w:color w:val="000000"/>
          <w:sz w:val="24"/>
          <w:szCs w:val="24"/>
        </w:rPr>
        <w:t xml:space="preserve">, Prytz H, Strand A, Nilsson E, Kalaitzakis E. Healthcare-associated and nosocomial bacterial infections in cirrhosis: predictors and impact on outcome. </w:t>
      </w:r>
      <w:r w:rsidRPr="008C260D">
        <w:rPr>
          <w:rFonts w:ascii="Book Antiqua" w:hAnsi="Book Antiqua" w:cs="宋体"/>
          <w:i/>
          <w:iCs/>
          <w:color w:val="000000"/>
          <w:sz w:val="24"/>
          <w:szCs w:val="24"/>
        </w:rPr>
        <w:t>Liver Int</w:t>
      </w:r>
      <w:r w:rsidRPr="008C260D">
        <w:rPr>
          <w:rFonts w:ascii="Book Antiqua" w:hAnsi="Book Antiqua" w:cs="宋体"/>
          <w:color w:val="000000"/>
          <w:sz w:val="24"/>
          <w:szCs w:val="24"/>
        </w:rPr>
        <w:t xml:space="preserve"> 2015; </w:t>
      </w:r>
      <w:r w:rsidRPr="008C260D">
        <w:rPr>
          <w:rFonts w:ascii="Book Antiqua" w:hAnsi="Book Antiqua" w:cs="宋体"/>
          <w:b/>
          <w:bCs/>
          <w:color w:val="000000"/>
          <w:sz w:val="24"/>
          <w:szCs w:val="24"/>
        </w:rPr>
        <w:t>35</w:t>
      </w:r>
      <w:r w:rsidRPr="008C260D">
        <w:rPr>
          <w:rFonts w:ascii="Book Antiqua" w:hAnsi="Book Antiqua" w:cs="宋体"/>
          <w:color w:val="000000"/>
          <w:sz w:val="24"/>
          <w:szCs w:val="24"/>
        </w:rPr>
        <w:t>: 391-400 [PMID: 25039438 DOI: 10.1111/liv.12625</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31 </w:t>
      </w:r>
      <w:r w:rsidRPr="008C260D">
        <w:rPr>
          <w:rFonts w:ascii="Book Antiqua" w:hAnsi="Book Antiqua" w:cs="宋体"/>
          <w:b/>
          <w:bCs/>
          <w:color w:val="000000"/>
          <w:sz w:val="24"/>
          <w:szCs w:val="24"/>
        </w:rPr>
        <w:t>Merli M</w:t>
      </w:r>
      <w:r w:rsidRPr="008C260D">
        <w:rPr>
          <w:rFonts w:ascii="Book Antiqua" w:hAnsi="Book Antiqua" w:cs="宋体"/>
          <w:color w:val="000000"/>
          <w:sz w:val="24"/>
          <w:szCs w:val="24"/>
        </w:rPr>
        <w:t xml:space="preserve">, Lucidi C, Di Gregorio V, Giannelli V, Giusto M, Ceccarelli G, Riggio O, Venditti M. The chronic use of beta-blockers and proton pump inhibitors may affect the rate of bacterial infections in cirrhosis. </w:t>
      </w:r>
      <w:r w:rsidRPr="008C260D">
        <w:rPr>
          <w:rFonts w:ascii="Book Antiqua" w:hAnsi="Book Antiqua" w:cs="宋体"/>
          <w:i/>
          <w:iCs/>
          <w:color w:val="000000"/>
          <w:sz w:val="24"/>
          <w:szCs w:val="24"/>
        </w:rPr>
        <w:t>Liver Int</w:t>
      </w:r>
      <w:r w:rsidRPr="008C260D">
        <w:rPr>
          <w:rFonts w:ascii="Book Antiqua" w:hAnsi="Book Antiqua" w:cs="宋体"/>
          <w:color w:val="000000"/>
          <w:sz w:val="24"/>
          <w:szCs w:val="24"/>
        </w:rPr>
        <w:t xml:space="preserve"> 2015; </w:t>
      </w:r>
      <w:r w:rsidRPr="008C260D">
        <w:rPr>
          <w:rFonts w:ascii="Book Antiqua" w:hAnsi="Book Antiqua" w:cs="宋体"/>
          <w:b/>
          <w:bCs/>
          <w:color w:val="000000"/>
          <w:sz w:val="24"/>
          <w:szCs w:val="24"/>
        </w:rPr>
        <w:t>35</w:t>
      </w:r>
      <w:r w:rsidRPr="008C260D">
        <w:rPr>
          <w:rFonts w:ascii="Book Antiqua" w:hAnsi="Book Antiqua" w:cs="宋体"/>
          <w:color w:val="000000"/>
          <w:sz w:val="24"/>
          <w:szCs w:val="24"/>
        </w:rPr>
        <w:t>: 362-369 [PMID: 24836902 DOI: 10.1111/liv.12593</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32 </w:t>
      </w:r>
      <w:r w:rsidRPr="008C260D">
        <w:rPr>
          <w:rFonts w:ascii="Book Antiqua" w:hAnsi="Book Antiqua" w:cs="宋体"/>
          <w:b/>
          <w:bCs/>
          <w:color w:val="000000"/>
          <w:sz w:val="24"/>
          <w:szCs w:val="24"/>
        </w:rPr>
        <w:t>Deshpande A</w:t>
      </w:r>
      <w:r w:rsidRPr="008C260D">
        <w:rPr>
          <w:rFonts w:ascii="Book Antiqua" w:hAnsi="Book Antiqua" w:cs="宋体"/>
          <w:color w:val="000000"/>
          <w:sz w:val="24"/>
          <w:szCs w:val="24"/>
        </w:rPr>
        <w:t xml:space="preserve">, Pasupuleti V, Thota P, Pant C, Mapara S, Hassan S, Rolston DD, Sferra TJ, Hernandez AV. Acid-suppressive therapy is associated with spontaneous bacterial peritonitis in cirrhotic patients: a meta-analysis. </w:t>
      </w:r>
      <w:r w:rsidRPr="008C260D">
        <w:rPr>
          <w:rFonts w:ascii="Book Antiqua" w:hAnsi="Book Antiqua" w:cs="宋体"/>
          <w:i/>
          <w:iCs/>
          <w:color w:val="000000"/>
          <w:sz w:val="24"/>
          <w:szCs w:val="24"/>
        </w:rPr>
        <w:t>J Gastroenterol Hepatol</w:t>
      </w:r>
      <w:r w:rsidRPr="008C260D">
        <w:rPr>
          <w:rFonts w:ascii="Book Antiqua" w:hAnsi="Book Antiqua" w:cs="宋体"/>
          <w:color w:val="000000"/>
          <w:sz w:val="24"/>
          <w:szCs w:val="24"/>
        </w:rPr>
        <w:t xml:space="preserve"> 2013; </w:t>
      </w:r>
      <w:r w:rsidRPr="008C260D">
        <w:rPr>
          <w:rFonts w:ascii="Book Antiqua" w:hAnsi="Book Antiqua" w:cs="宋体"/>
          <w:b/>
          <w:bCs/>
          <w:color w:val="000000"/>
          <w:sz w:val="24"/>
          <w:szCs w:val="24"/>
        </w:rPr>
        <w:t>28</w:t>
      </w:r>
      <w:r w:rsidRPr="008C260D">
        <w:rPr>
          <w:rFonts w:ascii="Book Antiqua" w:hAnsi="Book Antiqua" w:cs="宋体"/>
          <w:color w:val="000000"/>
          <w:sz w:val="24"/>
          <w:szCs w:val="24"/>
        </w:rPr>
        <w:t>: 235-242 [PMID: 23190338 DOI: 10.1111/jgh.12065</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33 </w:t>
      </w:r>
      <w:r w:rsidRPr="008C260D">
        <w:rPr>
          <w:rFonts w:ascii="Book Antiqua" w:hAnsi="Book Antiqua" w:cs="宋体"/>
          <w:b/>
          <w:bCs/>
          <w:color w:val="000000"/>
          <w:sz w:val="24"/>
          <w:szCs w:val="24"/>
        </w:rPr>
        <w:t>Min YW</w:t>
      </w:r>
      <w:r w:rsidRPr="008C260D">
        <w:rPr>
          <w:rFonts w:ascii="Book Antiqua" w:hAnsi="Book Antiqua" w:cs="宋体"/>
          <w:color w:val="000000"/>
          <w:sz w:val="24"/>
          <w:szCs w:val="24"/>
        </w:rPr>
        <w:t xml:space="preserve">, Lim KS, Min BH, Gwak GY, Paik YH, Choi MS, Lee JH, Kim JJ, Koh KC, Paik SW, Yoo BC, Rhee PL. Proton pump inhibitor use significantly increases the risk of spontaneous bacterial peritonitis in 1965 patients with cirrhosis and ascites: a propensity score matched cohort study.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2014; </w:t>
      </w:r>
      <w:r w:rsidRPr="008C260D">
        <w:rPr>
          <w:rFonts w:ascii="Book Antiqua" w:hAnsi="Book Antiqua" w:cs="宋体"/>
          <w:b/>
          <w:bCs/>
          <w:color w:val="000000"/>
          <w:sz w:val="24"/>
          <w:szCs w:val="24"/>
        </w:rPr>
        <w:t>40</w:t>
      </w:r>
      <w:r w:rsidRPr="008C260D">
        <w:rPr>
          <w:rFonts w:ascii="Book Antiqua" w:hAnsi="Book Antiqua" w:cs="宋体"/>
          <w:color w:val="000000"/>
          <w:sz w:val="24"/>
          <w:szCs w:val="24"/>
        </w:rPr>
        <w:t>: 695-704 [PMID: 25078671 DOI: 10.1111/apt.12875</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34 </w:t>
      </w:r>
      <w:r w:rsidRPr="008C260D">
        <w:rPr>
          <w:rFonts w:ascii="Book Antiqua" w:hAnsi="Book Antiqua" w:cs="宋体"/>
          <w:b/>
          <w:bCs/>
          <w:color w:val="000000"/>
          <w:sz w:val="24"/>
          <w:szCs w:val="24"/>
        </w:rPr>
        <w:t>Kwon JH</w:t>
      </w:r>
      <w:r w:rsidRPr="008C260D">
        <w:rPr>
          <w:rFonts w:ascii="Book Antiqua" w:hAnsi="Book Antiqua" w:cs="宋体"/>
          <w:color w:val="000000"/>
          <w:sz w:val="24"/>
          <w:szCs w:val="24"/>
        </w:rPr>
        <w:t xml:space="preserve">, Koh SJ, Kim W, Jung YJ, Kim JW, Kim BG, Lee KL, Im JP, Kim YJ, Kim JS, Yoon JH, Lee HS, Jung HC. Mortality associated with proton pump inhibitors in cirrhotic patients with spontaneous bacterial peritonitis. </w:t>
      </w:r>
      <w:r w:rsidRPr="008C260D">
        <w:rPr>
          <w:rFonts w:ascii="Book Antiqua" w:hAnsi="Book Antiqua" w:cs="宋体"/>
          <w:i/>
          <w:iCs/>
          <w:color w:val="000000"/>
          <w:sz w:val="24"/>
          <w:szCs w:val="24"/>
        </w:rPr>
        <w:t>J Gastroenterol Hepatol</w:t>
      </w:r>
      <w:r w:rsidRPr="008C260D">
        <w:rPr>
          <w:rFonts w:ascii="Book Antiqua" w:hAnsi="Book Antiqua" w:cs="宋体"/>
          <w:color w:val="000000"/>
          <w:sz w:val="24"/>
          <w:szCs w:val="24"/>
        </w:rPr>
        <w:t xml:space="preserve"> 2014; </w:t>
      </w:r>
      <w:r w:rsidRPr="008C260D">
        <w:rPr>
          <w:rFonts w:ascii="Book Antiqua" w:hAnsi="Book Antiqua" w:cs="宋体"/>
          <w:b/>
          <w:bCs/>
          <w:color w:val="000000"/>
          <w:sz w:val="24"/>
          <w:szCs w:val="24"/>
        </w:rPr>
        <w:t>29</w:t>
      </w:r>
      <w:r w:rsidRPr="008C260D">
        <w:rPr>
          <w:rFonts w:ascii="Book Antiqua" w:hAnsi="Book Antiqua" w:cs="宋体"/>
          <w:color w:val="000000"/>
          <w:sz w:val="24"/>
          <w:szCs w:val="24"/>
        </w:rPr>
        <w:t>: 775-781 [PMID: 24219827 DOI: 10.1111/jgh.12426</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35 </w:t>
      </w:r>
      <w:r w:rsidRPr="008C260D">
        <w:rPr>
          <w:rFonts w:ascii="Book Antiqua" w:hAnsi="Book Antiqua" w:cs="宋体"/>
          <w:b/>
          <w:bCs/>
          <w:color w:val="000000"/>
          <w:sz w:val="24"/>
          <w:szCs w:val="24"/>
        </w:rPr>
        <w:t>de Vos M</w:t>
      </w:r>
      <w:r w:rsidRPr="008C260D">
        <w:rPr>
          <w:rFonts w:ascii="Book Antiqua" w:hAnsi="Book Antiqua" w:cs="宋体"/>
          <w:color w:val="000000"/>
          <w:sz w:val="24"/>
          <w:szCs w:val="24"/>
        </w:rPr>
        <w:t xml:space="preserve">, De Vroey B, Garcia BG, Roy C, Kidd F, Henrion J, Deltenre P. Role of proton pump inhibitors in the occurrence and the prognosis of spontaneous bacterial peritonitis in cirrhotic patients with ascites. </w:t>
      </w:r>
      <w:r w:rsidRPr="008C260D">
        <w:rPr>
          <w:rFonts w:ascii="Book Antiqua" w:hAnsi="Book Antiqua" w:cs="宋体"/>
          <w:i/>
          <w:iCs/>
          <w:color w:val="000000"/>
          <w:sz w:val="24"/>
          <w:szCs w:val="24"/>
        </w:rPr>
        <w:t>Liver Int</w:t>
      </w:r>
      <w:r w:rsidRPr="008C260D">
        <w:rPr>
          <w:rFonts w:ascii="Book Antiqua" w:hAnsi="Book Antiqua" w:cs="宋体"/>
          <w:color w:val="000000"/>
          <w:sz w:val="24"/>
          <w:szCs w:val="24"/>
        </w:rPr>
        <w:t xml:space="preserve"> 2013; </w:t>
      </w:r>
      <w:r w:rsidRPr="008C260D">
        <w:rPr>
          <w:rFonts w:ascii="Book Antiqua" w:hAnsi="Book Antiqua" w:cs="宋体"/>
          <w:b/>
          <w:bCs/>
          <w:color w:val="000000"/>
          <w:sz w:val="24"/>
          <w:szCs w:val="24"/>
        </w:rPr>
        <w:t>33</w:t>
      </w:r>
      <w:r w:rsidRPr="008C260D">
        <w:rPr>
          <w:rFonts w:ascii="Book Antiqua" w:hAnsi="Book Antiqua" w:cs="宋体"/>
          <w:color w:val="000000"/>
          <w:sz w:val="24"/>
          <w:szCs w:val="24"/>
        </w:rPr>
        <w:t>: 1316-1323 [PMID: 23730823 DOI: 10.1111/liv.12210</w:t>
      </w:r>
      <w:r w:rsidRPr="00173333">
        <w:rPr>
          <w:rFonts w:ascii="Book Antiqua" w:hAnsi="Book Antiqua" w:cs="宋体"/>
          <w:color w:val="000000"/>
          <w:sz w:val="24"/>
          <w:szCs w:val="24"/>
        </w:rPr>
        <w:t>]</w:t>
      </w:r>
    </w:p>
    <w:p w:rsidR="00A809E2" w:rsidRPr="008C260D" w:rsidRDefault="00A809E2" w:rsidP="00173333">
      <w:pPr>
        <w:spacing w:line="360" w:lineRule="auto"/>
        <w:jc w:val="both"/>
        <w:rPr>
          <w:rFonts w:ascii="Book Antiqua" w:hAnsi="Book Antiqua" w:cs="宋体"/>
          <w:color w:val="000000"/>
          <w:sz w:val="24"/>
          <w:szCs w:val="24"/>
        </w:rPr>
      </w:pPr>
      <w:r w:rsidRPr="008C260D">
        <w:rPr>
          <w:rFonts w:ascii="Book Antiqua" w:hAnsi="Book Antiqua" w:cs="宋体"/>
          <w:color w:val="000000"/>
          <w:sz w:val="24"/>
          <w:szCs w:val="24"/>
        </w:rPr>
        <w:t xml:space="preserve">36 </w:t>
      </w:r>
      <w:r w:rsidRPr="008C260D">
        <w:rPr>
          <w:rFonts w:ascii="Book Antiqua" w:hAnsi="Book Antiqua" w:cs="宋体"/>
          <w:b/>
          <w:bCs/>
          <w:color w:val="000000"/>
          <w:sz w:val="24"/>
          <w:szCs w:val="24"/>
        </w:rPr>
        <w:t>Dultz G</w:t>
      </w:r>
      <w:r w:rsidRPr="008C260D">
        <w:rPr>
          <w:rFonts w:ascii="Book Antiqua" w:hAnsi="Book Antiqua" w:cs="宋体"/>
          <w:color w:val="000000"/>
          <w:sz w:val="24"/>
          <w:szCs w:val="24"/>
        </w:rPr>
        <w:t xml:space="preserve">, Piiper A, Zeuzem S, Kronenberger B, Waidmann O. Proton pump inhibitor treatment is associated with the severity of liver disease and increased mortality in patients with cirrhosis. </w:t>
      </w:r>
      <w:r w:rsidRPr="008C260D">
        <w:rPr>
          <w:rFonts w:ascii="Book Antiqua" w:hAnsi="Book Antiqua" w:cs="宋体"/>
          <w:i/>
          <w:iCs/>
          <w:color w:val="000000"/>
          <w:sz w:val="24"/>
          <w:szCs w:val="24"/>
        </w:rPr>
        <w:t>Aliment Pharmacol Ther</w:t>
      </w:r>
      <w:r w:rsidRPr="008C260D">
        <w:rPr>
          <w:rFonts w:ascii="Book Antiqua" w:hAnsi="Book Antiqua" w:cs="宋体"/>
          <w:color w:val="000000"/>
          <w:sz w:val="24"/>
          <w:szCs w:val="24"/>
        </w:rPr>
        <w:t xml:space="preserve"> 2015; </w:t>
      </w:r>
      <w:r w:rsidRPr="008C260D">
        <w:rPr>
          <w:rFonts w:ascii="Book Antiqua" w:hAnsi="Book Antiqua" w:cs="宋体"/>
          <w:b/>
          <w:bCs/>
          <w:color w:val="000000"/>
          <w:sz w:val="24"/>
          <w:szCs w:val="24"/>
        </w:rPr>
        <w:t>41</w:t>
      </w:r>
      <w:r w:rsidRPr="008C260D">
        <w:rPr>
          <w:rFonts w:ascii="Book Antiqua" w:hAnsi="Book Antiqua" w:cs="宋体"/>
          <w:color w:val="000000"/>
          <w:sz w:val="24"/>
          <w:szCs w:val="24"/>
        </w:rPr>
        <w:t>: 459-466 [PMID: 25523381 DOI: 10.1111/apt.13061</w:t>
      </w:r>
      <w:r w:rsidRPr="00173333">
        <w:rPr>
          <w:rFonts w:ascii="Book Antiqua" w:hAnsi="Book Antiqua" w:cs="宋体"/>
          <w:color w:val="000000"/>
          <w:sz w:val="24"/>
          <w:szCs w:val="24"/>
        </w:rPr>
        <w:t>]</w:t>
      </w:r>
    </w:p>
    <w:p w:rsidR="00A809E2" w:rsidRPr="006B3D6C" w:rsidRDefault="00A809E2" w:rsidP="00AB6E52">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bCs/>
          <w:noProof/>
          <w:lang w:val="en-GB"/>
        </w:rPr>
        <w:t>P-Reviewer:</w:t>
      </w:r>
      <w:r w:rsidRPr="006B3D6C">
        <w:rPr>
          <w:rFonts w:ascii="Book Antiqua" w:hAnsi="Book Antiqua"/>
          <w:color w:val="000000"/>
          <w:lang w:val="en-GB"/>
        </w:rPr>
        <w:t xml:space="preserve"> </w:t>
      </w:r>
      <w:r w:rsidR="00E1040A">
        <w:rPr>
          <w:rFonts w:ascii="Book Antiqua" w:hAnsi="Book Antiqua"/>
          <w:color w:val="000000"/>
          <w:lang w:val="en-GB"/>
        </w:rPr>
        <w:t>Abdel-Salam OME</w:t>
      </w:r>
      <w:r w:rsidRPr="006B3D6C">
        <w:rPr>
          <w:rFonts w:ascii="Book Antiqua" w:hAnsi="Book Antiqu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A809E2" w:rsidRPr="0044675C" w:rsidRDefault="00A809E2" w:rsidP="00AB6E52">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A809E2" w:rsidRPr="00173333" w:rsidRDefault="00A809E2" w:rsidP="00173333">
      <w:pPr>
        <w:spacing w:line="360" w:lineRule="auto"/>
        <w:jc w:val="both"/>
        <w:rPr>
          <w:rFonts w:ascii="Book Antiqua" w:hAnsi="Book Antiqua"/>
          <w:b/>
          <w:color w:val="000000"/>
          <w:sz w:val="24"/>
          <w:szCs w:val="24"/>
          <w:lang w:val="en-US" w:eastAsia="zh-CN"/>
        </w:rPr>
      </w:pPr>
    </w:p>
    <w:sectPr w:rsidR="00A809E2" w:rsidRPr="00173333" w:rsidSect="008B23D5">
      <w:pgSz w:w="11907" w:h="16839" w:code="9"/>
      <w:pgMar w:top="1418" w:right="1134" w:bottom="1134" w:left="1134"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9B" w:rsidRDefault="002D4F9B" w:rsidP="003B0D85">
      <w:r>
        <w:separator/>
      </w:r>
    </w:p>
  </w:endnote>
  <w:endnote w:type="continuationSeparator" w:id="0">
    <w:p w:rsidR="002D4F9B" w:rsidRDefault="002D4F9B" w:rsidP="003B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9B" w:rsidRDefault="002D4F9B" w:rsidP="003B0D85">
      <w:r>
        <w:separator/>
      </w:r>
    </w:p>
  </w:footnote>
  <w:footnote w:type="continuationSeparator" w:id="0">
    <w:p w:rsidR="002D4F9B" w:rsidRDefault="002D4F9B" w:rsidP="003B0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1969"/>
    <w:multiLevelType w:val="hybridMultilevel"/>
    <w:tmpl w:val="54467536"/>
    <w:lvl w:ilvl="0" w:tplc="BE6003AC">
      <w:start w:val="2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17"/>
    <w:rsid w:val="000007FF"/>
    <w:rsid w:val="00002E44"/>
    <w:rsid w:val="000324C2"/>
    <w:rsid w:val="00037AC0"/>
    <w:rsid w:val="00064DA9"/>
    <w:rsid w:val="00086C46"/>
    <w:rsid w:val="000B0D4C"/>
    <w:rsid w:val="000C5E90"/>
    <w:rsid w:val="000D2313"/>
    <w:rsid w:val="000D3CE4"/>
    <w:rsid w:val="000F4B16"/>
    <w:rsid w:val="00105E45"/>
    <w:rsid w:val="00124556"/>
    <w:rsid w:val="00133D14"/>
    <w:rsid w:val="0013529B"/>
    <w:rsid w:val="00151A3C"/>
    <w:rsid w:val="00152F51"/>
    <w:rsid w:val="00157A7D"/>
    <w:rsid w:val="0016388E"/>
    <w:rsid w:val="00171CB0"/>
    <w:rsid w:val="00173333"/>
    <w:rsid w:val="00197259"/>
    <w:rsid w:val="00197568"/>
    <w:rsid w:val="001A6C04"/>
    <w:rsid w:val="001A7EDF"/>
    <w:rsid w:val="001B7F56"/>
    <w:rsid w:val="001E0718"/>
    <w:rsid w:val="001F54EF"/>
    <w:rsid w:val="002006F5"/>
    <w:rsid w:val="00203877"/>
    <w:rsid w:val="00214350"/>
    <w:rsid w:val="002262B7"/>
    <w:rsid w:val="002306D2"/>
    <w:rsid w:val="00255559"/>
    <w:rsid w:val="00282C9C"/>
    <w:rsid w:val="002A4B8A"/>
    <w:rsid w:val="002D4F9B"/>
    <w:rsid w:val="002D6DA8"/>
    <w:rsid w:val="002F05E7"/>
    <w:rsid w:val="002F07A5"/>
    <w:rsid w:val="002F2301"/>
    <w:rsid w:val="00322B8F"/>
    <w:rsid w:val="003300E0"/>
    <w:rsid w:val="00370747"/>
    <w:rsid w:val="00382016"/>
    <w:rsid w:val="00391BDF"/>
    <w:rsid w:val="003A5C53"/>
    <w:rsid w:val="003A67CD"/>
    <w:rsid w:val="003B0D85"/>
    <w:rsid w:val="003B49F0"/>
    <w:rsid w:val="003B7F48"/>
    <w:rsid w:val="003C1ACD"/>
    <w:rsid w:val="003D2DF0"/>
    <w:rsid w:val="003D5799"/>
    <w:rsid w:val="003D6A04"/>
    <w:rsid w:val="003F1E2D"/>
    <w:rsid w:val="004179DB"/>
    <w:rsid w:val="0044611F"/>
    <w:rsid w:val="0044675C"/>
    <w:rsid w:val="00460CC5"/>
    <w:rsid w:val="00484A7A"/>
    <w:rsid w:val="00493BA5"/>
    <w:rsid w:val="00495667"/>
    <w:rsid w:val="004A0E70"/>
    <w:rsid w:val="004A204D"/>
    <w:rsid w:val="004B1739"/>
    <w:rsid w:val="004C62B9"/>
    <w:rsid w:val="004E5403"/>
    <w:rsid w:val="004E6524"/>
    <w:rsid w:val="00500CAF"/>
    <w:rsid w:val="00533629"/>
    <w:rsid w:val="00536F89"/>
    <w:rsid w:val="005412A1"/>
    <w:rsid w:val="00552BDF"/>
    <w:rsid w:val="005665A8"/>
    <w:rsid w:val="00586389"/>
    <w:rsid w:val="005B206F"/>
    <w:rsid w:val="005B526A"/>
    <w:rsid w:val="00607137"/>
    <w:rsid w:val="006112BA"/>
    <w:rsid w:val="006253A2"/>
    <w:rsid w:val="006275C5"/>
    <w:rsid w:val="00630906"/>
    <w:rsid w:val="0064121F"/>
    <w:rsid w:val="006456DF"/>
    <w:rsid w:val="006458EF"/>
    <w:rsid w:val="0065354A"/>
    <w:rsid w:val="00696C39"/>
    <w:rsid w:val="006A44DC"/>
    <w:rsid w:val="006A6D7F"/>
    <w:rsid w:val="006B3D6C"/>
    <w:rsid w:val="006E37A8"/>
    <w:rsid w:val="00720CA8"/>
    <w:rsid w:val="007249CF"/>
    <w:rsid w:val="00740305"/>
    <w:rsid w:val="0076752B"/>
    <w:rsid w:val="0077271D"/>
    <w:rsid w:val="00772996"/>
    <w:rsid w:val="00773E9E"/>
    <w:rsid w:val="00774B86"/>
    <w:rsid w:val="00792012"/>
    <w:rsid w:val="00795A44"/>
    <w:rsid w:val="007B5AB8"/>
    <w:rsid w:val="007C341F"/>
    <w:rsid w:val="007C7ACE"/>
    <w:rsid w:val="007E0CC0"/>
    <w:rsid w:val="007F5639"/>
    <w:rsid w:val="00802C22"/>
    <w:rsid w:val="00825D8A"/>
    <w:rsid w:val="00835E10"/>
    <w:rsid w:val="008403AD"/>
    <w:rsid w:val="00842636"/>
    <w:rsid w:val="00880E9B"/>
    <w:rsid w:val="00885491"/>
    <w:rsid w:val="008875B4"/>
    <w:rsid w:val="00895752"/>
    <w:rsid w:val="008B23D5"/>
    <w:rsid w:val="008C260D"/>
    <w:rsid w:val="008D7BB3"/>
    <w:rsid w:val="008E7507"/>
    <w:rsid w:val="008E7A4C"/>
    <w:rsid w:val="0091095F"/>
    <w:rsid w:val="00913A3A"/>
    <w:rsid w:val="009235FE"/>
    <w:rsid w:val="009370AF"/>
    <w:rsid w:val="00952C27"/>
    <w:rsid w:val="009602C1"/>
    <w:rsid w:val="00983AE8"/>
    <w:rsid w:val="00996601"/>
    <w:rsid w:val="00996B40"/>
    <w:rsid w:val="009A7245"/>
    <w:rsid w:val="009B1B41"/>
    <w:rsid w:val="009D4BE3"/>
    <w:rsid w:val="009F485C"/>
    <w:rsid w:val="00A42B70"/>
    <w:rsid w:val="00A471A5"/>
    <w:rsid w:val="00A67B8A"/>
    <w:rsid w:val="00A73F2B"/>
    <w:rsid w:val="00A75EAF"/>
    <w:rsid w:val="00A76EF4"/>
    <w:rsid w:val="00A809E2"/>
    <w:rsid w:val="00A80CCC"/>
    <w:rsid w:val="00A94D71"/>
    <w:rsid w:val="00A97F5A"/>
    <w:rsid w:val="00AB6E52"/>
    <w:rsid w:val="00B014B1"/>
    <w:rsid w:val="00B06E8A"/>
    <w:rsid w:val="00B06FA0"/>
    <w:rsid w:val="00B24E30"/>
    <w:rsid w:val="00B32A00"/>
    <w:rsid w:val="00B3740B"/>
    <w:rsid w:val="00B5543C"/>
    <w:rsid w:val="00B55AA2"/>
    <w:rsid w:val="00B82CD6"/>
    <w:rsid w:val="00B926CE"/>
    <w:rsid w:val="00BC2078"/>
    <w:rsid w:val="00C007A7"/>
    <w:rsid w:val="00C211D3"/>
    <w:rsid w:val="00C27D81"/>
    <w:rsid w:val="00C341A0"/>
    <w:rsid w:val="00C34626"/>
    <w:rsid w:val="00C615A7"/>
    <w:rsid w:val="00C714D9"/>
    <w:rsid w:val="00C72E55"/>
    <w:rsid w:val="00C873B7"/>
    <w:rsid w:val="00C94B23"/>
    <w:rsid w:val="00CA3195"/>
    <w:rsid w:val="00CB22FC"/>
    <w:rsid w:val="00CB3179"/>
    <w:rsid w:val="00CD0A00"/>
    <w:rsid w:val="00CD44A1"/>
    <w:rsid w:val="00CF36B1"/>
    <w:rsid w:val="00D0099A"/>
    <w:rsid w:val="00D15C83"/>
    <w:rsid w:val="00D56098"/>
    <w:rsid w:val="00D63DB8"/>
    <w:rsid w:val="00D767BE"/>
    <w:rsid w:val="00D77580"/>
    <w:rsid w:val="00D80821"/>
    <w:rsid w:val="00D97556"/>
    <w:rsid w:val="00DA7F42"/>
    <w:rsid w:val="00DD4B17"/>
    <w:rsid w:val="00DE2633"/>
    <w:rsid w:val="00DF2D47"/>
    <w:rsid w:val="00E07A54"/>
    <w:rsid w:val="00E1040A"/>
    <w:rsid w:val="00E44BE8"/>
    <w:rsid w:val="00E70512"/>
    <w:rsid w:val="00EC1F77"/>
    <w:rsid w:val="00EC2D46"/>
    <w:rsid w:val="00EE3D4D"/>
    <w:rsid w:val="00F23038"/>
    <w:rsid w:val="00F36768"/>
    <w:rsid w:val="00F37D51"/>
    <w:rsid w:val="00F61E85"/>
    <w:rsid w:val="00F6239D"/>
    <w:rsid w:val="00F62A5A"/>
    <w:rsid w:val="00F96369"/>
    <w:rsid w:val="00FD7CEC"/>
    <w:rsid w:val="00FF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70"/>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4D71"/>
    <w:rPr>
      <w:rFonts w:ascii="Tahoma" w:hAnsi="Tahoma" w:cs="Tahoma"/>
      <w:sz w:val="16"/>
      <w:szCs w:val="16"/>
    </w:rPr>
  </w:style>
  <w:style w:type="character" w:customStyle="1" w:styleId="BalloonTextChar">
    <w:name w:val="Balloon Text Char"/>
    <w:link w:val="BalloonText"/>
    <w:uiPriority w:val="99"/>
    <w:semiHidden/>
    <w:locked/>
    <w:rsid w:val="00A94D71"/>
    <w:rPr>
      <w:rFonts w:ascii="Tahoma" w:hAnsi="Tahoma" w:cs="Tahoma"/>
      <w:sz w:val="16"/>
      <w:szCs w:val="16"/>
    </w:rPr>
  </w:style>
  <w:style w:type="paragraph" w:customStyle="1" w:styleId="Default">
    <w:name w:val="Default"/>
    <w:uiPriority w:val="99"/>
    <w:rsid w:val="00630906"/>
    <w:pPr>
      <w:autoSpaceDE w:val="0"/>
      <w:autoSpaceDN w:val="0"/>
      <w:adjustRightInd w:val="0"/>
    </w:pPr>
    <w:rPr>
      <w:rFonts w:ascii="Garamond" w:hAnsi="Garamond" w:cs="Garamond"/>
      <w:color w:val="000000"/>
      <w:sz w:val="24"/>
      <w:szCs w:val="24"/>
      <w:lang w:val="it-IT" w:eastAsia="en-US"/>
    </w:rPr>
  </w:style>
  <w:style w:type="character" w:customStyle="1" w:styleId="A5">
    <w:name w:val="A5"/>
    <w:uiPriority w:val="99"/>
    <w:rsid w:val="00630906"/>
    <w:rPr>
      <w:color w:val="000000"/>
      <w:sz w:val="15"/>
    </w:rPr>
  </w:style>
  <w:style w:type="character" w:customStyle="1" w:styleId="A6">
    <w:name w:val="A6"/>
    <w:uiPriority w:val="99"/>
    <w:rsid w:val="00630906"/>
    <w:rPr>
      <w:color w:val="000000"/>
      <w:sz w:val="11"/>
    </w:rPr>
  </w:style>
  <w:style w:type="paragraph" w:styleId="NormalWeb">
    <w:name w:val="Normal (Web)"/>
    <w:basedOn w:val="Normal"/>
    <w:uiPriority w:val="99"/>
    <w:rsid w:val="00983AE8"/>
    <w:pPr>
      <w:spacing w:before="100" w:beforeAutospacing="1" w:after="100" w:afterAutospacing="1"/>
    </w:pPr>
    <w:rPr>
      <w:rFonts w:ascii="Times New Roman" w:hAnsi="Times New Roman"/>
      <w:sz w:val="24"/>
      <w:szCs w:val="24"/>
      <w:lang w:eastAsia="it-IT"/>
    </w:rPr>
  </w:style>
  <w:style w:type="character" w:styleId="Emphasis">
    <w:name w:val="Emphasis"/>
    <w:uiPriority w:val="99"/>
    <w:qFormat/>
    <w:rsid w:val="00D15C83"/>
    <w:rPr>
      <w:rFonts w:cs="Times New Roman"/>
      <w:b/>
      <w:bCs/>
    </w:rPr>
  </w:style>
  <w:style w:type="character" w:customStyle="1" w:styleId="st">
    <w:name w:val="st"/>
    <w:uiPriority w:val="99"/>
    <w:rsid w:val="00D15C83"/>
    <w:rPr>
      <w:rFonts w:cs="Times New Roman"/>
    </w:rPr>
  </w:style>
  <w:style w:type="paragraph" w:styleId="ListParagraph">
    <w:name w:val="List Paragraph"/>
    <w:basedOn w:val="Normal"/>
    <w:uiPriority w:val="99"/>
    <w:qFormat/>
    <w:rsid w:val="00495667"/>
    <w:pPr>
      <w:ind w:left="720"/>
      <w:contextualSpacing/>
    </w:pPr>
  </w:style>
  <w:style w:type="character" w:styleId="Hyperlink">
    <w:name w:val="Hyperlink"/>
    <w:uiPriority w:val="99"/>
    <w:rsid w:val="003D5799"/>
    <w:rPr>
      <w:rFonts w:cs="Times New Roman"/>
      <w:color w:val="0000FF"/>
      <w:u w:val="single"/>
    </w:rPr>
  </w:style>
  <w:style w:type="character" w:customStyle="1" w:styleId="shorttext">
    <w:name w:val="short_text"/>
    <w:uiPriority w:val="99"/>
    <w:rsid w:val="000D2313"/>
    <w:rPr>
      <w:rFonts w:cs="Times New Roman"/>
    </w:rPr>
  </w:style>
  <w:style w:type="character" w:customStyle="1" w:styleId="hps">
    <w:name w:val="hps"/>
    <w:uiPriority w:val="99"/>
    <w:rsid w:val="000D2313"/>
    <w:rPr>
      <w:rFonts w:cs="Times New Roman"/>
    </w:rPr>
  </w:style>
  <w:style w:type="character" w:styleId="CommentReference">
    <w:name w:val="annotation reference"/>
    <w:uiPriority w:val="99"/>
    <w:semiHidden/>
    <w:rsid w:val="009602C1"/>
    <w:rPr>
      <w:rFonts w:cs="Times New Roman"/>
      <w:sz w:val="21"/>
      <w:szCs w:val="21"/>
    </w:rPr>
  </w:style>
  <w:style w:type="paragraph" w:styleId="CommentText">
    <w:name w:val="annotation text"/>
    <w:basedOn w:val="Normal"/>
    <w:link w:val="CommentTextChar"/>
    <w:uiPriority w:val="99"/>
    <w:semiHidden/>
    <w:rsid w:val="009602C1"/>
  </w:style>
  <w:style w:type="character" w:customStyle="1" w:styleId="CommentTextChar">
    <w:name w:val="Comment Text Char"/>
    <w:link w:val="CommentText"/>
    <w:uiPriority w:val="99"/>
    <w:semiHidden/>
    <w:locked/>
    <w:rsid w:val="009602C1"/>
    <w:rPr>
      <w:rFonts w:ascii="Calibri" w:hAnsi="Calibri" w:cs="Times New Roman"/>
    </w:rPr>
  </w:style>
  <w:style w:type="paragraph" w:styleId="CommentSubject">
    <w:name w:val="annotation subject"/>
    <w:basedOn w:val="CommentText"/>
    <w:next w:val="CommentText"/>
    <w:link w:val="CommentSubjectChar"/>
    <w:uiPriority w:val="99"/>
    <w:semiHidden/>
    <w:rsid w:val="009602C1"/>
    <w:rPr>
      <w:b/>
      <w:bCs/>
    </w:rPr>
  </w:style>
  <w:style w:type="character" w:customStyle="1" w:styleId="CommentSubjectChar">
    <w:name w:val="Comment Subject Char"/>
    <w:link w:val="CommentSubject"/>
    <w:uiPriority w:val="99"/>
    <w:semiHidden/>
    <w:locked/>
    <w:rsid w:val="009602C1"/>
    <w:rPr>
      <w:rFonts w:ascii="Calibri" w:hAnsi="Calibri" w:cs="Times New Roman"/>
      <w:b/>
      <w:bCs/>
    </w:rPr>
  </w:style>
  <w:style w:type="paragraph" w:styleId="Revision">
    <w:name w:val="Revision"/>
    <w:hidden/>
    <w:uiPriority w:val="99"/>
    <w:semiHidden/>
    <w:rsid w:val="003A5C53"/>
    <w:rPr>
      <w:sz w:val="22"/>
      <w:szCs w:val="22"/>
      <w:lang w:val="it-IT" w:eastAsia="en-US"/>
    </w:rPr>
  </w:style>
  <w:style w:type="paragraph" w:styleId="Header">
    <w:name w:val="header"/>
    <w:basedOn w:val="Normal"/>
    <w:link w:val="HeaderChar"/>
    <w:uiPriority w:val="99"/>
    <w:rsid w:val="003B0D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3B0D85"/>
    <w:rPr>
      <w:rFonts w:ascii="Calibri" w:hAnsi="Calibri" w:cs="Times New Roman"/>
      <w:sz w:val="18"/>
      <w:szCs w:val="18"/>
    </w:rPr>
  </w:style>
  <w:style w:type="paragraph" w:styleId="Footer">
    <w:name w:val="footer"/>
    <w:basedOn w:val="Normal"/>
    <w:link w:val="FooterChar"/>
    <w:uiPriority w:val="99"/>
    <w:rsid w:val="003B0D85"/>
    <w:pPr>
      <w:tabs>
        <w:tab w:val="center" w:pos="4153"/>
        <w:tab w:val="right" w:pos="8306"/>
      </w:tabs>
      <w:snapToGrid w:val="0"/>
    </w:pPr>
    <w:rPr>
      <w:sz w:val="18"/>
      <w:szCs w:val="18"/>
    </w:rPr>
  </w:style>
  <w:style w:type="character" w:customStyle="1" w:styleId="FooterChar">
    <w:name w:val="Footer Char"/>
    <w:link w:val="Footer"/>
    <w:uiPriority w:val="99"/>
    <w:locked/>
    <w:rsid w:val="003B0D85"/>
    <w:rPr>
      <w:rFonts w:ascii="Calibri" w:hAnsi="Calibri" w:cs="Times New Roman"/>
      <w:sz w:val="18"/>
      <w:szCs w:val="18"/>
    </w:rPr>
  </w:style>
  <w:style w:type="character" w:styleId="Strong">
    <w:name w:val="Strong"/>
    <w:uiPriority w:val="99"/>
    <w:qFormat/>
    <w:rsid w:val="00AB6E52"/>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70"/>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4D71"/>
    <w:rPr>
      <w:rFonts w:ascii="Tahoma" w:hAnsi="Tahoma" w:cs="Tahoma"/>
      <w:sz w:val="16"/>
      <w:szCs w:val="16"/>
    </w:rPr>
  </w:style>
  <w:style w:type="character" w:customStyle="1" w:styleId="BalloonTextChar">
    <w:name w:val="Balloon Text Char"/>
    <w:link w:val="BalloonText"/>
    <w:uiPriority w:val="99"/>
    <w:semiHidden/>
    <w:locked/>
    <w:rsid w:val="00A94D71"/>
    <w:rPr>
      <w:rFonts w:ascii="Tahoma" w:hAnsi="Tahoma" w:cs="Tahoma"/>
      <w:sz w:val="16"/>
      <w:szCs w:val="16"/>
    </w:rPr>
  </w:style>
  <w:style w:type="paragraph" w:customStyle="1" w:styleId="Default">
    <w:name w:val="Default"/>
    <w:uiPriority w:val="99"/>
    <w:rsid w:val="00630906"/>
    <w:pPr>
      <w:autoSpaceDE w:val="0"/>
      <w:autoSpaceDN w:val="0"/>
      <w:adjustRightInd w:val="0"/>
    </w:pPr>
    <w:rPr>
      <w:rFonts w:ascii="Garamond" w:hAnsi="Garamond" w:cs="Garamond"/>
      <w:color w:val="000000"/>
      <w:sz w:val="24"/>
      <w:szCs w:val="24"/>
      <w:lang w:val="it-IT" w:eastAsia="en-US"/>
    </w:rPr>
  </w:style>
  <w:style w:type="character" w:customStyle="1" w:styleId="A5">
    <w:name w:val="A5"/>
    <w:uiPriority w:val="99"/>
    <w:rsid w:val="00630906"/>
    <w:rPr>
      <w:color w:val="000000"/>
      <w:sz w:val="15"/>
    </w:rPr>
  </w:style>
  <w:style w:type="character" w:customStyle="1" w:styleId="A6">
    <w:name w:val="A6"/>
    <w:uiPriority w:val="99"/>
    <w:rsid w:val="00630906"/>
    <w:rPr>
      <w:color w:val="000000"/>
      <w:sz w:val="11"/>
    </w:rPr>
  </w:style>
  <w:style w:type="paragraph" w:styleId="NormalWeb">
    <w:name w:val="Normal (Web)"/>
    <w:basedOn w:val="Normal"/>
    <w:uiPriority w:val="99"/>
    <w:rsid w:val="00983AE8"/>
    <w:pPr>
      <w:spacing w:before="100" w:beforeAutospacing="1" w:after="100" w:afterAutospacing="1"/>
    </w:pPr>
    <w:rPr>
      <w:rFonts w:ascii="Times New Roman" w:hAnsi="Times New Roman"/>
      <w:sz w:val="24"/>
      <w:szCs w:val="24"/>
      <w:lang w:eastAsia="it-IT"/>
    </w:rPr>
  </w:style>
  <w:style w:type="character" w:styleId="Emphasis">
    <w:name w:val="Emphasis"/>
    <w:uiPriority w:val="99"/>
    <w:qFormat/>
    <w:rsid w:val="00D15C83"/>
    <w:rPr>
      <w:rFonts w:cs="Times New Roman"/>
      <w:b/>
      <w:bCs/>
    </w:rPr>
  </w:style>
  <w:style w:type="character" w:customStyle="1" w:styleId="st">
    <w:name w:val="st"/>
    <w:uiPriority w:val="99"/>
    <w:rsid w:val="00D15C83"/>
    <w:rPr>
      <w:rFonts w:cs="Times New Roman"/>
    </w:rPr>
  </w:style>
  <w:style w:type="paragraph" w:styleId="ListParagraph">
    <w:name w:val="List Paragraph"/>
    <w:basedOn w:val="Normal"/>
    <w:uiPriority w:val="99"/>
    <w:qFormat/>
    <w:rsid w:val="00495667"/>
    <w:pPr>
      <w:ind w:left="720"/>
      <w:contextualSpacing/>
    </w:pPr>
  </w:style>
  <w:style w:type="character" w:styleId="Hyperlink">
    <w:name w:val="Hyperlink"/>
    <w:uiPriority w:val="99"/>
    <w:rsid w:val="003D5799"/>
    <w:rPr>
      <w:rFonts w:cs="Times New Roman"/>
      <w:color w:val="0000FF"/>
      <w:u w:val="single"/>
    </w:rPr>
  </w:style>
  <w:style w:type="character" w:customStyle="1" w:styleId="shorttext">
    <w:name w:val="short_text"/>
    <w:uiPriority w:val="99"/>
    <w:rsid w:val="000D2313"/>
    <w:rPr>
      <w:rFonts w:cs="Times New Roman"/>
    </w:rPr>
  </w:style>
  <w:style w:type="character" w:customStyle="1" w:styleId="hps">
    <w:name w:val="hps"/>
    <w:uiPriority w:val="99"/>
    <w:rsid w:val="000D2313"/>
    <w:rPr>
      <w:rFonts w:cs="Times New Roman"/>
    </w:rPr>
  </w:style>
  <w:style w:type="character" w:styleId="CommentReference">
    <w:name w:val="annotation reference"/>
    <w:uiPriority w:val="99"/>
    <w:semiHidden/>
    <w:rsid w:val="009602C1"/>
    <w:rPr>
      <w:rFonts w:cs="Times New Roman"/>
      <w:sz w:val="21"/>
      <w:szCs w:val="21"/>
    </w:rPr>
  </w:style>
  <w:style w:type="paragraph" w:styleId="CommentText">
    <w:name w:val="annotation text"/>
    <w:basedOn w:val="Normal"/>
    <w:link w:val="CommentTextChar"/>
    <w:uiPriority w:val="99"/>
    <w:semiHidden/>
    <w:rsid w:val="009602C1"/>
  </w:style>
  <w:style w:type="character" w:customStyle="1" w:styleId="CommentTextChar">
    <w:name w:val="Comment Text Char"/>
    <w:link w:val="CommentText"/>
    <w:uiPriority w:val="99"/>
    <w:semiHidden/>
    <w:locked/>
    <w:rsid w:val="009602C1"/>
    <w:rPr>
      <w:rFonts w:ascii="Calibri" w:hAnsi="Calibri" w:cs="Times New Roman"/>
    </w:rPr>
  </w:style>
  <w:style w:type="paragraph" w:styleId="CommentSubject">
    <w:name w:val="annotation subject"/>
    <w:basedOn w:val="CommentText"/>
    <w:next w:val="CommentText"/>
    <w:link w:val="CommentSubjectChar"/>
    <w:uiPriority w:val="99"/>
    <w:semiHidden/>
    <w:rsid w:val="009602C1"/>
    <w:rPr>
      <w:b/>
      <w:bCs/>
    </w:rPr>
  </w:style>
  <w:style w:type="character" w:customStyle="1" w:styleId="CommentSubjectChar">
    <w:name w:val="Comment Subject Char"/>
    <w:link w:val="CommentSubject"/>
    <w:uiPriority w:val="99"/>
    <w:semiHidden/>
    <w:locked/>
    <w:rsid w:val="009602C1"/>
    <w:rPr>
      <w:rFonts w:ascii="Calibri" w:hAnsi="Calibri" w:cs="Times New Roman"/>
      <w:b/>
      <w:bCs/>
    </w:rPr>
  </w:style>
  <w:style w:type="paragraph" w:styleId="Revision">
    <w:name w:val="Revision"/>
    <w:hidden/>
    <w:uiPriority w:val="99"/>
    <w:semiHidden/>
    <w:rsid w:val="003A5C53"/>
    <w:rPr>
      <w:sz w:val="22"/>
      <w:szCs w:val="22"/>
      <w:lang w:val="it-IT" w:eastAsia="en-US"/>
    </w:rPr>
  </w:style>
  <w:style w:type="paragraph" w:styleId="Header">
    <w:name w:val="header"/>
    <w:basedOn w:val="Normal"/>
    <w:link w:val="HeaderChar"/>
    <w:uiPriority w:val="99"/>
    <w:rsid w:val="003B0D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3B0D85"/>
    <w:rPr>
      <w:rFonts w:ascii="Calibri" w:hAnsi="Calibri" w:cs="Times New Roman"/>
      <w:sz w:val="18"/>
      <w:szCs w:val="18"/>
    </w:rPr>
  </w:style>
  <w:style w:type="paragraph" w:styleId="Footer">
    <w:name w:val="footer"/>
    <w:basedOn w:val="Normal"/>
    <w:link w:val="FooterChar"/>
    <w:uiPriority w:val="99"/>
    <w:rsid w:val="003B0D85"/>
    <w:pPr>
      <w:tabs>
        <w:tab w:val="center" w:pos="4153"/>
        <w:tab w:val="right" w:pos="8306"/>
      </w:tabs>
      <w:snapToGrid w:val="0"/>
    </w:pPr>
    <w:rPr>
      <w:sz w:val="18"/>
      <w:szCs w:val="18"/>
    </w:rPr>
  </w:style>
  <w:style w:type="character" w:customStyle="1" w:styleId="FooterChar">
    <w:name w:val="Footer Char"/>
    <w:link w:val="Footer"/>
    <w:uiPriority w:val="99"/>
    <w:locked/>
    <w:rsid w:val="003B0D85"/>
    <w:rPr>
      <w:rFonts w:ascii="Calibri" w:hAnsi="Calibri" w:cs="Times New Roman"/>
      <w:sz w:val="18"/>
      <w:szCs w:val="18"/>
    </w:rPr>
  </w:style>
  <w:style w:type="character" w:styleId="Strong">
    <w:name w:val="Strong"/>
    <w:uiPriority w:val="99"/>
    <w:qFormat/>
    <w:rsid w:val="00AB6E5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2259">
      <w:marLeft w:val="0"/>
      <w:marRight w:val="0"/>
      <w:marTop w:val="0"/>
      <w:marBottom w:val="0"/>
      <w:divBdr>
        <w:top w:val="none" w:sz="0" w:space="0" w:color="auto"/>
        <w:left w:val="none" w:sz="0" w:space="0" w:color="auto"/>
        <w:bottom w:val="none" w:sz="0" w:space="0" w:color="auto"/>
        <w:right w:val="none" w:sz="0" w:space="0" w:color="auto"/>
      </w:divBdr>
      <w:divsChild>
        <w:div w:id="1849442267">
          <w:marLeft w:val="0"/>
          <w:marRight w:val="1"/>
          <w:marTop w:val="0"/>
          <w:marBottom w:val="0"/>
          <w:divBdr>
            <w:top w:val="none" w:sz="0" w:space="0" w:color="auto"/>
            <w:left w:val="none" w:sz="0" w:space="0" w:color="auto"/>
            <w:bottom w:val="none" w:sz="0" w:space="0" w:color="auto"/>
            <w:right w:val="none" w:sz="0" w:space="0" w:color="auto"/>
          </w:divBdr>
          <w:divsChild>
            <w:div w:id="1849442268">
              <w:marLeft w:val="0"/>
              <w:marRight w:val="0"/>
              <w:marTop w:val="0"/>
              <w:marBottom w:val="0"/>
              <w:divBdr>
                <w:top w:val="none" w:sz="0" w:space="0" w:color="auto"/>
                <w:left w:val="none" w:sz="0" w:space="0" w:color="auto"/>
                <w:bottom w:val="none" w:sz="0" w:space="0" w:color="auto"/>
                <w:right w:val="none" w:sz="0" w:space="0" w:color="auto"/>
              </w:divBdr>
              <w:divsChild>
                <w:div w:id="1849442261">
                  <w:marLeft w:val="0"/>
                  <w:marRight w:val="1"/>
                  <w:marTop w:val="0"/>
                  <w:marBottom w:val="0"/>
                  <w:divBdr>
                    <w:top w:val="none" w:sz="0" w:space="0" w:color="auto"/>
                    <w:left w:val="none" w:sz="0" w:space="0" w:color="auto"/>
                    <w:bottom w:val="none" w:sz="0" w:space="0" w:color="auto"/>
                    <w:right w:val="none" w:sz="0" w:space="0" w:color="auto"/>
                  </w:divBdr>
                  <w:divsChild>
                    <w:div w:id="1849442258">
                      <w:marLeft w:val="0"/>
                      <w:marRight w:val="0"/>
                      <w:marTop w:val="0"/>
                      <w:marBottom w:val="0"/>
                      <w:divBdr>
                        <w:top w:val="none" w:sz="0" w:space="0" w:color="auto"/>
                        <w:left w:val="none" w:sz="0" w:space="0" w:color="auto"/>
                        <w:bottom w:val="none" w:sz="0" w:space="0" w:color="auto"/>
                        <w:right w:val="none" w:sz="0" w:space="0" w:color="auto"/>
                      </w:divBdr>
                      <w:divsChild>
                        <w:div w:id="1849442270">
                          <w:marLeft w:val="0"/>
                          <w:marRight w:val="0"/>
                          <w:marTop w:val="0"/>
                          <w:marBottom w:val="0"/>
                          <w:divBdr>
                            <w:top w:val="none" w:sz="0" w:space="0" w:color="auto"/>
                            <w:left w:val="none" w:sz="0" w:space="0" w:color="auto"/>
                            <w:bottom w:val="none" w:sz="0" w:space="0" w:color="auto"/>
                            <w:right w:val="none" w:sz="0" w:space="0" w:color="auto"/>
                          </w:divBdr>
                          <w:divsChild>
                            <w:div w:id="1849442256">
                              <w:marLeft w:val="0"/>
                              <w:marRight w:val="0"/>
                              <w:marTop w:val="120"/>
                              <w:marBottom w:val="360"/>
                              <w:divBdr>
                                <w:top w:val="none" w:sz="0" w:space="0" w:color="auto"/>
                                <w:left w:val="none" w:sz="0" w:space="0" w:color="auto"/>
                                <w:bottom w:val="none" w:sz="0" w:space="0" w:color="auto"/>
                                <w:right w:val="none" w:sz="0" w:space="0" w:color="auto"/>
                              </w:divBdr>
                              <w:divsChild>
                                <w:div w:id="1849442265">
                                  <w:marLeft w:val="0"/>
                                  <w:marRight w:val="0"/>
                                  <w:marTop w:val="0"/>
                                  <w:marBottom w:val="0"/>
                                  <w:divBdr>
                                    <w:top w:val="none" w:sz="0" w:space="0" w:color="auto"/>
                                    <w:left w:val="none" w:sz="0" w:space="0" w:color="auto"/>
                                    <w:bottom w:val="none" w:sz="0" w:space="0" w:color="auto"/>
                                    <w:right w:val="none" w:sz="0" w:space="0" w:color="auto"/>
                                  </w:divBdr>
                                  <w:divsChild>
                                    <w:div w:id="18494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442266">
      <w:marLeft w:val="0"/>
      <w:marRight w:val="0"/>
      <w:marTop w:val="0"/>
      <w:marBottom w:val="0"/>
      <w:divBdr>
        <w:top w:val="none" w:sz="0" w:space="0" w:color="auto"/>
        <w:left w:val="none" w:sz="0" w:space="0" w:color="auto"/>
        <w:bottom w:val="none" w:sz="0" w:space="0" w:color="auto"/>
        <w:right w:val="none" w:sz="0" w:space="0" w:color="auto"/>
      </w:divBdr>
    </w:div>
    <w:div w:id="1849442269">
      <w:marLeft w:val="0"/>
      <w:marRight w:val="0"/>
      <w:marTop w:val="0"/>
      <w:marBottom w:val="0"/>
      <w:divBdr>
        <w:top w:val="none" w:sz="0" w:space="0" w:color="auto"/>
        <w:left w:val="none" w:sz="0" w:space="0" w:color="auto"/>
        <w:bottom w:val="none" w:sz="0" w:space="0" w:color="auto"/>
        <w:right w:val="none" w:sz="0" w:space="0" w:color="auto"/>
      </w:divBdr>
      <w:divsChild>
        <w:div w:id="1849442273">
          <w:marLeft w:val="0"/>
          <w:marRight w:val="0"/>
          <w:marTop w:val="0"/>
          <w:marBottom w:val="0"/>
          <w:divBdr>
            <w:top w:val="none" w:sz="0" w:space="0" w:color="auto"/>
            <w:left w:val="none" w:sz="0" w:space="0" w:color="auto"/>
            <w:bottom w:val="none" w:sz="0" w:space="0" w:color="auto"/>
            <w:right w:val="none" w:sz="0" w:space="0" w:color="auto"/>
          </w:divBdr>
          <w:divsChild>
            <w:div w:id="184944227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49442257">
                  <w:marLeft w:val="300"/>
                  <w:marRight w:val="300"/>
                  <w:marTop w:val="450"/>
                  <w:marBottom w:val="300"/>
                  <w:divBdr>
                    <w:top w:val="none" w:sz="0" w:space="0" w:color="auto"/>
                    <w:left w:val="none" w:sz="0" w:space="0" w:color="auto"/>
                    <w:bottom w:val="none" w:sz="0" w:space="0" w:color="auto"/>
                    <w:right w:val="none" w:sz="0" w:space="0" w:color="auto"/>
                  </w:divBdr>
                  <w:divsChild>
                    <w:div w:id="1849442264">
                      <w:marLeft w:val="0"/>
                      <w:marRight w:val="0"/>
                      <w:marTop w:val="0"/>
                      <w:marBottom w:val="0"/>
                      <w:divBdr>
                        <w:top w:val="none" w:sz="0" w:space="0" w:color="auto"/>
                        <w:left w:val="none" w:sz="0" w:space="0" w:color="auto"/>
                        <w:bottom w:val="none" w:sz="0" w:space="0" w:color="auto"/>
                        <w:right w:val="none" w:sz="0" w:space="0" w:color="auto"/>
                      </w:divBdr>
                      <w:divsChild>
                        <w:div w:id="1849442262">
                          <w:marLeft w:val="0"/>
                          <w:marRight w:val="0"/>
                          <w:marTop w:val="0"/>
                          <w:marBottom w:val="0"/>
                          <w:divBdr>
                            <w:top w:val="none" w:sz="0" w:space="0" w:color="auto"/>
                            <w:left w:val="none" w:sz="0" w:space="0" w:color="auto"/>
                            <w:bottom w:val="none" w:sz="0" w:space="0" w:color="auto"/>
                            <w:right w:val="none" w:sz="0" w:space="0" w:color="auto"/>
                          </w:divBdr>
                          <w:divsChild>
                            <w:div w:id="18494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422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2984</Words>
  <Characters>17014</Characters>
  <Application>Microsoft Macintosh Word</Application>
  <DocSecurity>0</DocSecurity>
  <Lines>141</Lines>
  <Paragraphs>39</Paragraphs>
  <ScaleCrop>false</ScaleCrop>
  <Company>ds</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Picardi Antonio</dc:creator>
  <cp:keywords/>
  <dc:description/>
  <cp:lastModifiedBy>Na Ma</cp:lastModifiedBy>
  <cp:revision>2</cp:revision>
  <cp:lastPrinted>2014-06-20T15:36:00Z</cp:lastPrinted>
  <dcterms:created xsi:type="dcterms:W3CDTF">2015-11-04T00:56:00Z</dcterms:created>
  <dcterms:modified xsi:type="dcterms:W3CDTF">2015-11-04T00:56:00Z</dcterms:modified>
</cp:coreProperties>
</file>