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9F6D" w14:textId="6AA8FD83" w:rsidR="00ED5AE5" w:rsidRPr="00CE25D5" w:rsidRDefault="00ED5AE5" w:rsidP="00E715CA">
      <w:pPr>
        <w:spacing w:line="360" w:lineRule="auto"/>
        <w:jc w:val="both"/>
        <w:rPr>
          <w:rFonts w:ascii="Book Antiqua" w:hAnsi="Book Antiqua"/>
          <w:b/>
          <w:i/>
        </w:rPr>
      </w:pPr>
      <w:r w:rsidRPr="00CE25D5">
        <w:rPr>
          <w:rFonts w:ascii="Book Antiqua" w:hAnsi="Book Antiqua"/>
          <w:b/>
        </w:rPr>
        <w:t>Name of Journal</w:t>
      </w:r>
      <w:r w:rsidR="00105C78" w:rsidRPr="00CE25D5">
        <w:rPr>
          <w:rFonts w:ascii="Book Antiqua" w:hAnsi="Book Antiqua"/>
          <w:b/>
        </w:rPr>
        <w:t xml:space="preserve">: </w:t>
      </w:r>
      <w:r w:rsidR="00105C78" w:rsidRPr="00CE25D5">
        <w:rPr>
          <w:rFonts w:ascii="Book Antiqua" w:hAnsi="Book Antiqua"/>
          <w:b/>
          <w:i/>
        </w:rPr>
        <w:t xml:space="preserve">World Journal of </w:t>
      </w:r>
      <w:proofErr w:type="spellStart"/>
      <w:r w:rsidR="00105C78" w:rsidRPr="00CE25D5">
        <w:rPr>
          <w:rFonts w:ascii="Book Antiqua" w:hAnsi="Book Antiqua"/>
          <w:b/>
          <w:i/>
        </w:rPr>
        <w:t>Orthopaedics</w:t>
      </w:r>
      <w:proofErr w:type="spellEnd"/>
    </w:p>
    <w:p w14:paraId="51E4F32F" w14:textId="71D69DD6" w:rsidR="00ED5AE5" w:rsidRPr="00CE25D5" w:rsidRDefault="0060605D" w:rsidP="00E715CA">
      <w:pPr>
        <w:spacing w:line="360" w:lineRule="auto"/>
        <w:jc w:val="both"/>
        <w:rPr>
          <w:rFonts w:ascii="Book Antiqua" w:hAnsi="Book Antiqua"/>
          <w:b/>
        </w:rPr>
      </w:pPr>
      <w:r w:rsidRPr="00CE25D5">
        <w:rPr>
          <w:rFonts w:ascii="Book Antiqua" w:hAnsi="Book Antiqua"/>
          <w:b/>
        </w:rPr>
        <w:t>ESPS Manuscript NO</w:t>
      </w:r>
      <w:r w:rsidR="00105C78" w:rsidRPr="00CE25D5">
        <w:rPr>
          <w:rFonts w:ascii="Book Antiqua" w:hAnsi="Book Antiqua"/>
          <w:b/>
        </w:rPr>
        <w:t>: 20072</w:t>
      </w:r>
    </w:p>
    <w:p w14:paraId="69C398B7" w14:textId="4C390412" w:rsidR="008936BD" w:rsidRPr="00CE25D5" w:rsidRDefault="00105C78" w:rsidP="00E715CA">
      <w:pPr>
        <w:spacing w:line="360" w:lineRule="auto"/>
        <w:jc w:val="both"/>
        <w:rPr>
          <w:rFonts w:ascii="Book Antiqua" w:eastAsia="宋体" w:hAnsi="Book Antiqua"/>
          <w:b/>
          <w:lang w:eastAsia="zh-CN"/>
        </w:rPr>
      </w:pPr>
      <w:r w:rsidRPr="00CE25D5">
        <w:rPr>
          <w:rFonts w:ascii="Book Antiqua" w:hAnsi="Book Antiqua"/>
          <w:b/>
        </w:rPr>
        <w:t xml:space="preserve">Manuscript Type: </w:t>
      </w:r>
      <w:r w:rsidR="008936BD" w:rsidRPr="00CE25D5">
        <w:rPr>
          <w:rFonts w:ascii="Book Antiqua" w:eastAsia="宋体" w:hAnsi="Book Antiqua"/>
          <w:b/>
          <w:lang w:eastAsia="zh-CN"/>
        </w:rPr>
        <w:t>ORIGINAL ARTICLE</w:t>
      </w:r>
    </w:p>
    <w:p w14:paraId="4DDA5699" w14:textId="77777777" w:rsidR="008936BD" w:rsidRPr="00CE25D5" w:rsidRDefault="008936BD" w:rsidP="00E715CA">
      <w:pPr>
        <w:spacing w:line="360" w:lineRule="auto"/>
        <w:jc w:val="both"/>
        <w:rPr>
          <w:rFonts w:ascii="Book Antiqua" w:eastAsia="宋体" w:hAnsi="Book Antiqua"/>
          <w:b/>
          <w:lang w:eastAsia="zh-CN"/>
        </w:rPr>
      </w:pPr>
    </w:p>
    <w:p w14:paraId="62E3C9F4" w14:textId="51721F11" w:rsidR="00105C78" w:rsidRPr="00CE25D5" w:rsidRDefault="00105C78" w:rsidP="00E715CA">
      <w:pPr>
        <w:spacing w:line="360" w:lineRule="auto"/>
        <w:jc w:val="both"/>
        <w:rPr>
          <w:rFonts w:ascii="Book Antiqua" w:eastAsia="宋体" w:hAnsi="Book Antiqua"/>
          <w:b/>
          <w:i/>
          <w:lang w:eastAsia="zh-CN"/>
        </w:rPr>
      </w:pPr>
      <w:r w:rsidRPr="00CE25D5">
        <w:rPr>
          <w:rFonts w:ascii="Book Antiqua" w:hAnsi="Book Antiqua"/>
          <w:b/>
          <w:i/>
        </w:rPr>
        <w:t>Retrospective Cohort Study</w:t>
      </w:r>
    </w:p>
    <w:p w14:paraId="2D4F7444" w14:textId="6A631B29" w:rsidR="003933FA" w:rsidRPr="00CE25D5" w:rsidRDefault="00105C78" w:rsidP="00E715CA">
      <w:pPr>
        <w:spacing w:line="360" w:lineRule="auto"/>
        <w:jc w:val="both"/>
        <w:rPr>
          <w:rFonts w:ascii="Book Antiqua" w:hAnsi="Book Antiqua"/>
          <w:b/>
        </w:rPr>
      </w:pPr>
      <w:r w:rsidRPr="00CE25D5">
        <w:rPr>
          <w:rFonts w:ascii="Book Antiqua" w:hAnsi="Book Antiqua"/>
          <w:b/>
        </w:rPr>
        <w:t>Cost benefit analysis of the use of tranexamic acid in primary lower limb a</w:t>
      </w:r>
      <w:r w:rsidR="00ED6E4A" w:rsidRPr="00CE25D5">
        <w:rPr>
          <w:rFonts w:ascii="Book Antiqua" w:hAnsi="Book Antiqua"/>
          <w:b/>
        </w:rPr>
        <w:t>rthroplasty</w:t>
      </w:r>
      <w:r w:rsidRPr="00CE25D5">
        <w:rPr>
          <w:rFonts w:ascii="Book Antiqua" w:hAnsi="Book Antiqua"/>
          <w:b/>
        </w:rPr>
        <w:t xml:space="preserve">: </w:t>
      </w:r>
      <w:r w:rsidR="003933FA" w:rsidRPr="00CE25D5">
        <w:rPr>
          <w:rFonts w:ascii="Book Antiqua" w:hAnsi="Book Antiqua"/>
          <w:b/>
        </w:rPr>
        <w:t>A retrospective cohort study</w:t>
      </w:r>
    </w:p>
    <w:p w14:paraId="7BEAC7A1" w14:textId="77777777" w:rsidR="00105C78" w:rsidRPr="00CE25D5" w:rsidRDefault="00105C78" w:rsidP="00E715CA">
      <w:pPr>
        <w:spacing w:line="360" w:lineRule="auto"/>
        <w:jc w:val="both"/>
        <w:rPr>
          <w:rFonts w:ascii="Book Antiqua" w:hAnsi="Book Antiqua"/>
          <w:b/>
        </w:rPr>
      </w:pPr>
    </w:p>
    <w:p w14:paraId="78F95A87" w14:textId="6EAA4B62" w:rsidR="00105C78" w:rsidRPr="00CE25D5" w:rsidRDefault="00105C78" w:rsidP="00E715CA">
      <w:pPr>
        <w:spacing w:line="360" w:lineRule="auto"/>
        <w:jc w:val="both"/>
        <w:rPr>
          <w:rFonts w:ascii="Book Antiqua" w:hAnsi="Book Antiqua"/>
        </w:rPr>
      </w:pPr>
      <w:proofErr w:type="spellStart"/>
      <w:r w:rsidRPr="00CE25D5">
        <w:rPr>
          <w:rFonts w:ascii="Book Antiqua" w:hAnsi="Book Antiqua"/>
        </w:rPr>
        <w:t>McGoldrick</w:t>
      </w:r>
      <w:proofErr w:type="spellEnd"/>
      <w:r w:rsidRPr="00CE25D5">
        <w:rPr>
          <w:rFonts w:ascii="Book Antiqua" w:hAnsi="Book Antiqua"/>
        </w:rPr>
        <w:t xml:space="preserve"> </w:t>
      </w:r>
      <w:r w:rsidRPr="00CE25D5">
        <w:rPr>
          <w:rFonts w:ascii="Book Antiqua" w:hAnsi="Book Antiqua"/>
          <w:i/>
        </w:rPr>
        <w:t xml:space="preserve">et al. </w:t>
      </w:r>
      <w:r w:rsidRPr="00CE25D5">
        <w:rPr>
          <w:rFonts w:ascii="Book Antiqua" w:hAnsi="Book Antiqua"/>
        </w:rPr>
        <w:t xml:space="preserve">Cost benefit analysis of </w:t>
      </w:r>
      <w:r w:rsidR="00A953C1" w:rsidRPr="00CE25D5">
        <w:rPr>
          <w:rFonts w:ascii="Book Antiqua" w:hAnsi="Book Antiqua"/>
        </w:rPr>
        <w:t>TXA</w:t>
      </w:r>
      <w:r w:rsidRPr="00CE25D5">
        <w:rPr>
          <w:rFonts w:ascii="Book Antiqua" w:hAnsi="Book Antiqua"/>
        </w:rPr>
        <w:t xml:space="preserve"> in lower limb arthroplasty</w:t>
      </w:r>
    </w:p>
    <w:p w14:paraId="7823186B" w14:textId="77777777" w:rsidR="00ED6E4A" w:rsidRPr="00CE25D5" w:rsidRDefault="00ED6E4A" w:rsidP="00E715CA">
      <w:pPr>
        <w:spacing w:line="360" w:lineRule="auto"/>
        <w:jc w:val="both"/>
        <w:rPr>
          <w:rFonts w:ascii="Book Antiqua" w:hAnsi="Book Antiqua"/>
        </w:rPr>
      </w:pPr>
    </w:p>
    <w:p w14:paraId="67E21B88" w14:textId="1F0B9273" w:rsidR="00105C78" w:rsidRPr="00CE25D5" w:rsidRDefault="0060605D" w:rsidP="00E715CA">
      <w:pPr>
        <w:spacing w:line="360" w:lineRule="auto"/>
        <w:jc w:val="both"/>
        <w:rPr>
          <w:rFonts w:ascii="Book Antiqua" w:hAnsi="Book Antiqua"/>
          <w:b/>
        </w:rPr>
      </w:pPr>
      <w:r w:rsidRPr="00CE25D5">
        <w:rPr>
          <w:rFonts w:ascii="Book Antiqua" w:hAnsi="Book Antiqua"/>
          <w:b/>
        </w:rPr>
        <w:t>Niall P</w:t>
      </w:r>
      <w:r w:rsidR="00ED6E4A" w:rsidRPr="00CE25D5">
        <w:rPr>
          <w:rFonts w:ascii="Book Antiqua" w:hAnsi="Book Antiqua"/>
          <w:b/>
        </w:rPr>
        <w:t xml:space="preserve"> </w:t>
      </w:r>
      <w:proofErr w:type="spellStart"/>
      <w:r w:rsidR="00ED6E4A" w:rsidRPr="00CE25D5">
        <w:rPr>
          <w:rFonts w:ascii="Book Antiqua" w:hAnsi="Book Antiqua"/>
          <w:b/>
        </w:rPr>
        <w:t>McGoldrick</w:t>
      </w:r>
      <w:proofErr w:type="spellEnd"/>
      <w:r w:rsidR="00ED6E4A" w:rsidRPr="00CE25D5">
        <w:rPr>
          <w:rFonts w:ascii="Book Antiqua" w:hAnsi="Book Antiqua"/>
          <w:b/>
        </w:rPr>
        <w:t xml:space="preserve">, </w:t>
      </w:r>
      <w:proofErr w:type="spellStart"/>
      <w:r w:rsidR="00ED6E4A" w:rsidRPr="00CE25D5">
        <w:rPr>
          <w:rFonts w:ascii="Book Antiqua" w:hAnsi="Book Antiqua"/>
          <w:b/>
        </w:rPr>
        <w:t>Eabhann</w:t>
      </w:r>
      <w:proofErr w:type="spellEnd"/>
      <w:r w:rsidRPr="00CE25D5">
        <w:rPr>
          <w:rFonts w:ascii="Book Antiqua" w:hAnsi="Book Antiqua"/>
          <w:b/>
        </w:rPr>
        <w:t xml:space="preserve"> M</w:t>
      </w:r>
      <w:r w:rsidR="00ED6E4A" w:rsidRPr="00CE25D5">
        <w:rPr>
          <w:rFonts w:ascii="Book Antiqua" w:hAnsi="Book Antiqua"/>
          <w:b/>
        </w:rPr>
        <w:t xml:space="preserve"> O’Connor, Nikos</w:t>
      </w:r>
      <w:r w:rsidRPr="00CE25D5">
        <w:rPr>
          <w:rFonts w:ascii="Book Antiqua" w:hAnsi="Book Antiqua"/>
          <w:b/>
        </w:rPr>
        <w:t xml:space="preserve"> </w:t>
      </w:r>
      <w:proofErr w:type="spellStart"/>
      <w:r w:rsidRPr="00CE25D5">
        <w:rPr>
          <w:rFonts w:ascii="Book Antiqua" w:hAnsi="Book Antiqua"/>
          <w:b/>
        </w:rPr>
        <w:t>Davarinos</w:t>
      </w:r>
      <w:proofErr w:type="spellEnd"/>
      <w:r w:rsidRPr="00CE25D5">
        <w:rPr>
          <w:rFonts w:ascii="Book Antiqua" w:hAnsi="Book Antiqua"/>
          <w:b/>
        </w:rPr>
        <w:t>, Rose Galvin, John F</w:t>
      </w:r>
      <w:r w:rsidR="00ED6E4A" w:rsidRPr="00CE25D5">
        <w:rPr>
          <w:rFonts w:ascii="Book Antiqua" w:hAnsi="Book Antiqua"/>
          <w:b/>
        </w:rPr>
        <w:t xml:space="preserve"> Quinlan</w:t>
      </w:r>
    </w:p>
    <w:p w14:paraId="6546A988" w14:textId="77777777" w:rsidR="00ED6E4A" w:rsidRPr="00CE25D5" w:rsidRDefault="00ED6E4A" w:rsidP="00E715CA">
      <w:pPr>
        <w:spacing w:line="360" w:lineRule="auto"/>
        <w:jc w:val="both"/>
        <w:rPr>
          <w:rFonts w:ascii="Book Antiqua" w:hAnsi="Book Antiqua"/>
        </w:rPr>
      </w:pPr>
    </w:p>
    <w:p w14:paraId="62E2AC62" w14:textId="008D9B14" w:rsidR="00ED6E4A" w:rsidRPr="00CE25D5" w:rsidRDefault="006C1B01" w:rsidP="00E715CA">
      <w:pPr>
        <w:spacing w:line="360" w:lineRule="auto"/>
        <w:jc w:val="both"/>
        <w:rPr>
          <w:rFonts w:ascii="Book Antiqua" w:eastAsia="宋体" w:hAnsi="Book Antiqua"/>
          <w:lang w:eastAsia="zh-CN"/>
        </w:rPr>
      </w:pPr>
      <w:r w:rsidRPr="00CE25D5">
        <w:rPr>
          <w:rFonts w:ascii="Book Antiqua" w:hAnsi="Book Antiqua"/>
          <w:b/>
        </w:rPr>
        <w:t>Niall P</w:t>
      </w:r>
      <w:r w:rsidR="00ED6E4A" w:rsidRPr="00CE25D5">
        <w:rPr>
          <w:rFonts w:ascii="Book Antiqua" w:hAnsi="Book Antiqua"/>
          <w:b/>
        </w:rPr>
        <w:t xml:space="preserve"> </w:t>
      </w:r>
      <w:proofErr w:type="spellStart"/>
      <w:r w:rsidR="00ED6E4A" w:rsidRPr="00CE25D5">
        <w:rPr>
          <w:rFonts w:ascii="Book Antiqua" w:hAnsi="Book Antiqua"/>
          <w:b/>
        </w:rPr>
        <w:t>McGoldrick</w:t>
      </w:r>
      <w:proofErr w:type="spellEnd"/>
      <w:r w:rsidR="00ED6E4A" w:rsidRPr="00CE25D5">
        <w:rPr>
          <w:rFonts w:ascii="Book Antiqua" w:hAnsi="Book Antiqua"/>
          <w:b/>
        </w:rPr>
        <w:t xml:space="preserve">, </w:t>
      </w:r>
      <w:proofErr w:type="spellStart"/>
      <w:r w:rsidR="00ED6E4A" w:rsidRPr="00CE25D5">
        <w:rPr>
          <w:rFonts w:ascii="Book Antiqua" w:hAnsi="Book Antiqua"/>
          <w:b/>
        </w:rPr>
        <w:t>Eabhann</w:t>
      </w:r>
      <w:proofErr w:type="spellEnd"/>
      <w:r w:rsidR="00ED6E4A" w:rsidRPr="00CE25D5">
        <w:rPr>
          <w:rFonts w:ascii="Book Antiqua" w:hAnsi="Book Antiqua"/>
          <w:b/>
        </w:rPr>
        <w:t xml:space="preserve"> </w:t>
      </w:r>
      <w:r w:rsidRPr="00CE25D5">
        <w:rPr>
          <w:rFonts w:ascii="Book Antiqua" w:hAnsi="Book Antiqua"/>
          <w:b/>
        </w:rPr>
        <w:t>M</w:t>
      </w:r>
      <w:r w:rsidR="00D03CD6" w:rsidRPr="00CE25D5">
        <w:rPr>
          <w:rFonts w:ascii="Book Antiqua" w:hAnsi="Book Antiqua"/>
          <w:b/>
        </w:rPr>
        <w:t xml:space="preserve"> </w:t>
      </w:r>
      <w:r w:rsidR="00ED6E4A" w:rsidRPr="00CE25D5">
        <w:rPr>
          <w:rFonts w:ascii="Book Antiqua" w:hAnsi="Book Antiqua"/>
          <w:b/>
        </w:rPr>
        <w:t xml:space="preserve">O’Connor, Nikos </w:t>
      </w:r>
      <w:proofErr w:type="spellStart"/>
      <w:r w:rsidR="00ED6E4A" w:rsidRPr="00CE25D5">
        <w:rPr>
          <w:rFonts w:ascii="Book Antiqua" w:hAnsi="Book Antiqua"/>
          <w:b/>
        </w:rPr>
        <w:t>Davarinos</w:t>
      </w:r>
      <w:proofErr w:type="spellEnd"/>
      <w:r w:rsidRPr="00CE25D5">
        <w:rPr>
          <w:rFonts w:ascii="Book Antiqua" w:hAnsi="Book Antiqua"/>
          <w:b/>
        </w:rPr>
        <w:t>, John F</w:t>
      </w:r>
      <w:r w:rsidR="00961C22" w:rsidRPr="00CE25D5">
        <w:rPr>
          <w:rFonts w:ascii="Book Antiqua" w:hAnsi="Book Antiqua"/>
          <w:b/>
        </w:rPr>
        <w:t xml:space="preserve"> Quinlan</w:t>
      </w:r>
      <w:r w:rsidR="00961C22" w:rsidRPr="00CE25D5">
        <w:rPr>
          <w:rFonts w:ascii="Book Antiqua" w:hAnsi="Book Antiqua"/>
        </w:rPr>
        <w:t xml:space="preserve">, Department of Trauma </w:t>
      </w:r>
      <w:r w:rsidRPr="00CE25D5">
        <w:rPr>
          <w:rFonts w:ascii="Book Antiqua" w:eastAsia="宋体" w:hAnsi="Book Antiqua"/>
          <w:lang w:eastAsia="zh-CN"/>
        </w:rPr>
        <w:t>and</w:t>
      </w:r>
      <w:r w:rsidR="00961C22" w:rsidRPr="00CE25D5">
        <w:rPr>
          <w:rFonts w:ascii="Book Antiqua" w:hAnsi="Book Antiqua"/>
        </w:rPr>
        <w:t xml:space="preserve"> </w:t>
      </w:r>
      <w:proofErr w:type="spellStart"/>
      <w:r w:rsidR="00961C22" w:rsidRPr="00CE25D5">
        <w:rPr>
          <w:rFonts w:ascii="Book Antiqua" w:hAnsi="Book Antiqua"/>
        </w:rPr>
        <w:t>Orthopaedic</w:t>
      </w:r>
      <w:proofErr w:type="spellEnd"/>
      <w:r w:rsidR="00961C22" w:rsidRPr="00CE25D5">
        <w:rPr>
          <w:rFonts w:ascii="Book Antiqua" w:hAnsi="Book Antiqua"/>
        </w:rPr>
        <w:t xml:space="preserve"> Surgery, </w:t>
      </w:r>
      <w:proofErr w:type="spellStart"/>
      <w:r w:rsidR="000C4834" w:rsidRPr="00CE25D5">
        <w:rPr>
          <w:rFonts w:ascii="Book Antiqua" w:hAnsi="Book Antiqua"/>
        </w:rPr>
        <w:t>Tallaght</w:t>
      </w:r>
      <w:proofErr w:type="spellEnd"/>
      <w:r w:rsidR="00105C78" w:rsidRPr="00CE25D5">
        <w:rPr>
          <w:rFonts w:ascii="Book Antiqua" w:hAnsi="Book Antiqua"/>
        </w:rPr>
        <w:t xml:space="preserve"> Hospital, </w:t>
      </w:r>
      <w:r w:rsidR="00961C22" w:rsidRPr="00CE25D5">
        <w:rPr>
          <w:rFonts w:ascii="Book Antiqua" w:hAnsi="Book Antiqua"/>
        </w:rPr>
        <w:t xml:space="preserve">Dublin </w:t>
      </w:r>
      <w:r w:rsidR="00105C78" w:rsidRPr="00CE25D5">
        <w:rPr>
          <w:rFonts w:ascii="Book Antiqua" w:hAnsi="Book Antiqua"/>
        </w:rPr>
        <w:t>D24 NR0A,</w:t>
      </w:r>
      <w:r w:rsidRPr="00CE25D5">
        <w:rPr>
          <w:rFonts w:ascii="Book Antiqua" w:hAnsi="Book Antiqua"/>
        </w:rPr>
        <w:t xml:space="preserve"> Ireland</w:t>
      </w:r>
    </w:p>
    <w:p w14:paraId="2CFC0D9C" w14:textId="77777777" w:rsidR="00961C22" w:rsidRPr="00CE25D5" w:rsidRDefault="00961C22" w:rsidP="00E715CA">
      <w:pPr>
        <w:spacing w:line="360" w:lineRule="auto"/>
        <w:jc w:val="both"/>
        <w:rPr>
          <w:rFonts w:ascii="Book Antiqua" w:hAnsi="Book Antiqua"/>
        </w:rPr>
      </w:pPr>
    </w:p>
    <w:p w14:paraId="5CA2E3A0" w14:textId="5382F77A" w:rsidR="00961C22" w:rsidRPr="00CE25D5" w:rsidRDefault="00961C22" w:rsidP="00E715CA">
      <w:pPr>
        <w:spacing w:line="360" w:lineRule="auto"/>
        <w:jc w:val="both"/>
        <w:rPr>
          <w:rFonts w:ascii="Book Antiqua" w:eastAsia="宋体" w:hAnsi="Book Antiqua"/>
          <w:lang w:eastAsia="zh-CN"/>
        </w:rPr>
      </w:pPr>
      <w:r w:rsidRPr="00CE25D5">
        <w:rPr>
          <w:rFonts w:ascii="Book Antiqua" w:hAnsi="Book Antiqua"/>
          <w:b/>
        </w:rPr>
        <w:t>Rose Galvin</w:t>
      </w:r>
      <w:r w:rsidRPr="00CE25D5">
        <w:rPr>
          <w:rFonts w:ascii="Book Antiqua" w:hAnsi="Book Antiqua"/>
        </w:rPr>
        <w:t xml:space="preserve">, </w:t>
      </w:r>
      <w:r w:rsidR="00572A8F" w:rsidRPr="00CE25D5">
        <w:rPr>
          <w:rFonts w:ascii="Book Antiqua" w:hAnsi="Book Antiqua"/>
        </w:rPr>
        <w:t xml:space="preserve">Department of Clinical Therapies, University of Limerick, </w:t>
      </w:r>
      <w:proofErr w:type="spellStart"/>
      <w:r w:rsidR="00105C78" w:rsidRPr="00CE25D5">
        <w:rPr>
          <w:rFonts w:ascii="Book Antiqua" w:hAnsi="Book Antiqua"/>
        </w:rPr>
        <w:t>Castletroy</w:t>
      </w:r>
      <w:proofErr w:type="spellEnd"/>
      <w:r w:rsidR="00105C78" w:rsidRPr="00CE25D5">
        <w:rPr>
          <w:rFonts w:ascii="Book Antiqua" w:hAnsi="Book Antiqua"/>
        </w:rPr>
        <w:t xml:space="preserve">, </w:t>
      </w:r>
      <w:r w:rsidR="006C1B01" w:rsidRPr="00CE25D5">
        <w:rPr>
          <w:rFonts w:ascii="Book Antiqua" w:hAnsi="Book Antiqua"/>
        </w:rPr>
        <w:t>Limerick</w:t>
      </w:r>
      <w:r w:rsidR="00105C78" w:rsidRPr="00CE25D5">
        <w:rPr>
          <w:rFonts w:ascii="Book Antiqua" w:hAnsi="Book Antiqua"/>
        </w:rPr>
        <w:t xml:space="preserve"> V94 T9PX,</w:t>
      </w:r>
      <w:r w:rsidR="006C1B01" w:rsidRPr="00CE25D5">
        <w:rPr>
          <w:rFonts w:ascii="Book Antiqua" w:hAnsi="Book Antiqua"/>
        </w:rPr>
        <w:t xml:space="preserve"> Ireland</w:t>
      </w:r>
    </w:p>
    <w:p w14:paraId="700355AD" w14:textId="77777777" w:rsidR="00961C22" w:rsidRPr="00CE25D5" w:rsidRDefault="00961C22" w:rsidP="00E715CA">
      <w:pPr>
        <w:spacing w:line="360" w:lineRule="auto"/>
        <w:jc w:val="both"/>
        <w:rPr>
          <w:rFonts w:ascii="Book Antiqua" w:hAnsi="Book Antiqua"/>
        </w:rPr>
      </w:pPr>
    </w:p>
    <w:p w14:paraId="4AFAC4E9" w14:textId="6C31DB56" w:rsidR="00961C22" w:rsidRPr="00CE25D5" w:rsidRDefault="004763C5" w:rsidP="00E715CA">
      <w:pPr>
        <w:spacing w:line="360" w:lineRule="auto"/>
        <w:jc w:val="both"/>
        <w:rPr>
          <w:rFonts w:ascii="Book Antiqua" w:hAnsi="Book Antiqua"/>
        </w:rPr>
      </w:pPr>
      <w:r w:rsidRPr="00CE25D5">
        <w:rPr>
          <w:rFonts w:ascii="Book Antiqua" w:hAnsi="Book Antiqua"/>
          <w:b/>
        </w:rPr>
        <w:t>Author contributions:</w:t>
      </w:r>
      <w:r w:rsidR="00961C22" w:rsidRPr="00CE25D5">
        <w:rPr>
          <w:rFonts w:ascii="Book Antiqua" w:hAnsi="Book Antiqua"/>
        </w:rPr>
        <w:t xml:space="preserve"> </w:t>
      </w:r>
      <w:proofErr w:type="spellStart"/>
      <w:r w:rsidR="00961C22" w:rsidRPr="00CE25D5">
        <w:rPr>
          <w:rFonts w:ascii="Book Antiqua" w:hAnsi="Book Antiqua"/>
        </w:rPr>
        <w:t>McGoldrick</w:t>
      </w:r>
      <w:proofErr w:type="spellEnd"/>
      <w:r w:rsidR="00961C22" w:rsidRPr="00CE25D5">
        <w:rPr>
          <w:rFonts w:ascii="Book Antiqua" w:hAnsi="Book Antiqua"/>
        </w:rPr>
        <w:t xml:space="preserve"> NP contributed to the design of the study, analysis and interpretation of data, and writing of the manuscript; O’Connor E</w:t>
      </w:r>
      <w:r w:rsidR="00297150" w:rsidRPr="00CE25D5">
        <w:rPr>
          <w:rFonts w:ascii="Book Antiqua" w:hAnsi="Book Antiqua"/>
        </w:rPr>
        <w:t>M</w:t>
      </w:r>
      <w:r w:rsidR="00961C22" w:rsidRPr="00CE25D5">
        <w:rPr>
          <w:rFonts w:ascii="Book Antiqua" w:hAnsi="Book Antiqua"/>
        </w:rPr>
        <w:t xml:space="preserve"> contributed to the data collection; </w:t>
      </w:r>
      <w:proofErr w:type="spellStart"/>
      <w:r w:rsidR="00961C22" w:rsidRPr="00CE25D5">
        <w:rPr>
          <w:rFonts w:ascii="Book Antiqua" w:hAnsi="Book Antiqua"/>
        </w:rPr>
        <w:t>Davarinos</w:t>
      </w:r>
      <w:proofErr w:type="spellEnd"/>
      <w:r w:rsidR="00961C22" w:rsidRPr="00CE25D5">
        <w:rPr>
          <w:rFonts w:ascii="Book Antiqua" w:hAnsi="Book Antiqua"/>
        </w:rPr>
        <w:t xml:space="preserve"> N contributed to the drafting of the manuscript; Galvin R </w:t>
      </w:r>
      <w:r w:rsidR="007B0A26" w:rsidRPr="00CE25D5">
        <w:rPr>
          <w:rFonts w:ascii="Book Antiqua" w:hAnsi="Book Antiqua"/>
        </w:rPr>
        <w:t>contributed to the analysis of data and drafting of the manuscript</w:t>
      </w:r>
      <w:r w:rsidR="00961C22" w:rsidRPr="00CE25D5">
        <w:rPr>
          <w:rFonts w:ascii="Book Antiqua" w:hAnsi="Book Antiqua"/>
        </w:rPr>
        <w:t>; Quinlan JF contributed to the conception and design of the study, interpretation of data, and drafting of the manuscript.</w:t>
      </w:r>
    </w:p>
    <w:p w14:paraId="45DE5B60" w14:textId="77777777" w:rsidR="00105C78" w:rsidRPr="00CE25D5" w:rsidRDefault="00105C78" w:rsidP="00E715CA">
      <w:pPr>
        <w:spacing w:line="360" w:lineRule="auto"/>
        <w:jc w:val="both"/>
        <w:rPr>
          <w:rFonts w:ascii="Book Antiqua" w:eastAsia="宋体" w:hAnsi="Book Antiqua"/>
          <w:lang w:eastAsia="zh-CN"/>
        </w:rPr>
      </w:pPr>
    </w:p>
    <w:p w14:paraId="1AF5D8D0" w14:textId="319319B3" w:rsidR="004763C5" w:rsidRPr="00CE25D5" w:rsidRDefault="004763C5" w:rsidP="00E715CA">
      <w:pPr>
        <w:spacing w:line="360" w:lineRule="auto"/>
        <w:jc w:val="both"/>
        <w:rPr>
          <w:rFonts w:ascii="Book Antiqua" w:eastAsia="宋体" w:hAnsi="Book Antiqua"/>
          <w:b/>
          <w:lang w:eastAsia="zh-CN"/>
        </w:rPr>
      </w:pPr>
      <w:r w:rsidRPr="00CE25D5">
        <w:rPr>
          <w:rFonts w:ascii="Book Antiqua" w:hAnsi="Book Antiqua"/>
          <w:b/>
        </w:rPr>
        <w:t>Institutional review board statement:</w:t>
      </w:r>
      <w:r w:rsidRPr="00CE25D5">
        <w:rPr>
          <w:rFonts w:ascii="Book Antiqua" w:eastAsia="宋体" w:hAnsi="Book Antiqua"/>
          <w:b/>
          <w:lang w:eastAsia="zh-CN"/>
        </w:rPr>
        <w:t xml:space="preserve"> </w:t>
      </w:r>
      <w:r w:rsidRPr="00CE25D5">
        <w:rPr>
          <w:rFonts w:ascii="Book Antiqua" w:hAnsi="Book Antiqua"/>
        </w:rPr>
        <w:t xml:space="preserve">The study was reviewed and approved by the </w:t>
      </w:r>
      <w:proofErr w:type="spellStart"/>
      <w:r w:rsidRPr="00CE25D5">
        <w:rPr>
          <w:rFonts w:ascii="Book Antiqua" w:hAnsi="Book Antiqua"/>
        </w:rPr>
        <w:t>Tallaght</w:t>
      </w:r>
      <w:proofErr w:type="spellEnd"/>
      <w:r w:rsidRPr="00CE25D5">
        <w:rPr>
          <w:rFonts w:ascii="Book Antiqua" w:hAnsi="Book Antiqua"/>
        </w:rPr>
        <w:t xml:space="preserve"> Hospital Institutional Review Board.</w:t>
      </w:r>
    </w:p>
    <w:p w14:paraId="648B51A4" w14:textId="77777777" w:rsidR="004763C5" w:rsidRPr="00CE25D5" w:rsidRDefault="004763C5" w:rsidP="00E715CA">
      <w:pPr>
        <w:spacing w:line="360" w:lineRule="auto"/>
        <w:jc w:val="both"/>
        <w:rPr>
          <w:rFonts w:ascii="Book Antiqua" w:hAnsi="Book Antiqua"/>
          <w:b/>
        </w:rPr>
      </w:pPr>
    </w:p>
    <w:p w14:paraId="4FC7F59E" w14:textId="337F56AA" w:rsidR="004763C5" w:rsidRPr="00CE25D5" w:rsidRDefault="004763C5" w:rsidP="00E715CA">
      <w:pPr>
        <w:spacing w:line="360" w:lineRule="auto"/>
        <w:jc w:val="both"/>
        <w:rPr>
          <w:rFonts w:ascii="Book Antiqua" w:hAnsi="Book Antiqua"/>
          <w:b/>
        </w:rPr>
      </w:pPr>
      <w:r w:rsidRPr="00CE25D5">
        <w:rPr>
          <w:rFonts w:ascii="Book Antiqua" w:hAnsi="Book Antiqua"/>
          <w:b/>
        </w:rPr>
        <w:lastRenderedPageBreak/>
        <w:t>Informed consent statement:</w:t>
      </w:r>
      <w:r w:rsidRPr="00CE25D5">
        <w:rPr>
          <w:rFonts w:ascii="Book Antiqua" w:hAnsi="Book Antiqua"/>
        </w:rPr>
        <w:t xml:space="preserve"> All study participants or their legal guardian provided consent about personal and medical data collection prior to study enrolment.</w:t>
      </w:r>
    </w:p>
    <w:p w14:paraId="45267D99" w14:textId="77777777" w:rsidR="004763C5" w:rsidRPr="00CE25D5" w:rsidRDefault="004763C5" w:rsidP="00E715CA">
      <w:pPr>
        <w:spacing w:line="360" w:lineRule="auto"/>
        <w:jc w:val="both"/>
        <w:rPr>
          <w:rFonts w:ascii="Book Antiqua" w:hAnsi="Book Antiqua"/>
          <w:b/>
        </w:rPr>
      </w:pPr>
    </w:p>
    <w:p w14:paraId="70AD3032" w14:textId="76C9655E" w:rsidR="004763C5" w:rsidRPr="00CE25D5" w:rsidRDefault="004763C5" w:rsidP="00E715CA">
      <w:pPr>
        <w:spacing w:line="360" w:lineRule="auto"/>
        <w:jc w:val="both"/>
        <w:rPr>
          <w:rFonts w:ascii="Book Antiqua" w:hAnsi="Book Antiqua"/>
          <w:b/>
        </w:rPr>
      </w:pPr>
      <w:r w:rsidRPr="00CE25D5">
        <w:rPr>
          <w:rFonts w:ascii="Book Antiqua" w:hAnsi="Book Antiqua"/>
          <w:b/>
        </w:rPr>
        <w:t>Conflict-of-interest statement:</w:t>
      </w:r>
      <w:r w:rsidRPr="00CE25D5">
        <w:rPr>
          <w:rFonts w:ascii="Book Antiqua" w:hAnsi="Book Antiqua"/>
        </w:rPr>
        <w:t xml:space="preserve"> All the Authors have no conflict of interest related to the manuscript.</w:t>
      </w:r>
    </w:p>
    <w:p w14:paraId="3F1ED14B" w14:textId="77777777" w:rsidR="004763C5" w:rsidRPr="00CE25D5" w:rsidRDefault="004763C5" w:rsidP="00E715CA">
      <w:pPr>
        <w:spacing w:line="360" w:lineRule="auto"/>
        <w:jc w:val="both"/>
        <w:rPr>
          <w:rFonts w:ascii="Book Antiqua" w:hAnsi="Book Antiqua"/>
          <w:b/>
        </w:rPr>
      </w:pPr>
    </w:p>
    <w:p w14:paraId="1C501013" w14:textId="429E12C4" w:rsidR="004763C5" w:rsidRPr="00CE25D5" w:rsidRDefault="004763C5" w:rsidP="00E715CA">
      <w:pPr>
        <w:spacing w:line="360" w:lineRule="auto"/>
        <w:jc w:val="both"/>
        <w:rPr>
          <w:rFonts w:ascii="Book Antiqua" w:hAnsi="Book Antiqua"/>
          <w:b/>
        </w:rPr>
      </w:pPr>
      <w:r w:rsidRPr="00CE25D5">
        <w:rPr>
          <w:rFonts w:ascii="Book Antiqua" w:hAnsi="Book Antiqua"/>
          <w:b/>
        </w:rPr>
        <w:t>Data sharing statement:</w:t>
      </w:r>
      <w:r w:rsidRPr="00CE25D5">
        <w:rPr>
          <w:rFonts w:ascii="Book Antiqua" w:hAnsi="Book Antiqua"/>
        </w:rPr>
        <w:t xml:space="preserve"> The original anonymous dataset is available on request from the corresponding author at niallmcg@gmail.com.</w:t>
      </w:r>
    </w:p>
    <w:p w14:paraId="464A154C" w14:textId="77777777" w:rsidR="004763C5" w:rsidRPr="00CE25D5" w:rsidRDefault="004763C5" w:rsidP="00E715CA">
      <w:pPr>
        <w:spacing w:line="360" w:lineRule="auto"/>
        <w:jc w:val="both"/>
        <w:rPr>
          <w:rFonts w:ascii="Book Antiqua" w:eastAsia="宋体" w:hAnsi="Book Antiqua"/>
          <w:lang w:eastAsia="zh-CN"/>
        </w:rPr>
      </w:pPr>
    </w:p>
    <w:p w14:paraId="5AF41553" w14:textId="77777777" w:rsidR="004763C5" w:rsidRPr="00CE25D5" w:rsidRDefault="004763C5" w:rsidP="00E715CA">
      <w:pPr>
        <w:spacing w:line="360" w:lineRule="auto"/>
        <w:jc w:val="both"/>
        <w:rPr>
          <w:rFonts w:ascii="Book Antiqua" w:hAnsi="Book Antiqua"/>
        </w:rPr>
      </w:pPr>
      <w:bookmarkStart w:id="0" w:name="OLE_LINK507"/>
      <w:bookmarkStart w:id="1" w:name="OLE_LINK506"/>
      <w:bookmarkStart w:id="2" w:name="OLE_LINK496"/>
      <w:bookmarkStart w:id="3" w:name="OLE_LINK479"/>
      <w:r w:rsidRPr="00CE25D5">
        <w:rPr>
          <w:rFonts w:ascii="Book Antiqua" w:hAnsi="Book Antiqua"/>
          <w:b/>
        </w:rPr>
        <w:t xml:space="preserve">Open-Access: </w:t>
      </w:r>
      <w:r w:rsidRPr="00CE25D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E25D5">
          <w:rPr>
            <w:rStyle w:val="Hyperlink"/>
            <w:rFonts w:ascii="Book Antiqua" w:hAnsi="Book Antiqua"/>
            <w:color w:val="auto"/>
          </w:rPr>
          <w:t>http://creativecommons.org/licenses/by-nc/4.0/</w:t>
        </w:r>
      </w:hyperlink>
      <w:bookmarkEnd w:id="0"/>
      <w:bookmarkEnd w:id="1"/>
      <w:bookmarkEnd w:id="2"/>
      <w:bookmarkEnd w:id="3"/>
    </w:p>
    <w:p w14:paraId="4676186D" w14:textId="77777777" w:rsidR="00105C78" w:rsidRPr="00CE25D5" w:rsidRDefault="00105C78" w:rsidP="00E715CA">
      <w:pPr>
        <w:spacing w:line="360" w:lineRule="auto"/>
        <w:jc w:val="both"/>
        <w:rPr>
          <w:rFonts w:ascii="Book Antiqua" w:hAnsi="Book Antiqua"/>
        </w:rPr>
      </w:pPr>
    </w:p>
    <w:p w14:paraId="67795B10" w14:textId="066B165F" w:rsidR="00105C78" w:rsidRPr="00CE25D5" w:rsidRDefault="00572A8F" w:rsidP="00E715CA">
      <w:pPr>
        <w:spacing w:line="360" w:lineRule="auto"/>
        <w:jc w:val="both"/>
        <w:rPr>
          <w:rFonts w:ascii="Book Antiqua" w:hAnsi="Book Antiqua"/>
        </w:rPr>
      </w:pPr>
      <w:r w:rsidRPr="00CE25D5">
        <w:rPr>
          <w:rFonts w:ascii="Book Antiqua" w:hAnsi="Book Antiqua"/>
          <w:b/>
        </w:rPr>
        <w:t xml:space="preserve">Correspondence to: Niall P </w:t>
      </w:r>
      <w:proofErr w:type="spellStart"/>
      <w:r w:rsidRPr="00CE25D5">
        <w:rPr>
          <w:rFonts w:ascii="Book Antiqua" w:hAnsi="Book Antiqua"/>
          <w:b/>
        </w:rPr>
        <w:t>McGoldrick</w:t>
      </w:r>
      <w:proofErr w:type="spellEnd"/>
      <w:r w:rsidRPr="00CE25D5">
        <w:rPr>
          <w:rFonts w:ascii="Book Antiqua" w:hAnsi="Book Antiqua"/>
          <w:b/>
        </w:rPr>
        <w:t>, MB</w:t>
      </w:r>
      <w:r w:rsidR="002A5B6D" w:rsidRPr="00CE25D5">
        <w:rPr>
          <w:rFonts w:ascii="Book Antiqua" w:eastAsia="宋体" w:hAnsi="Book Antiqua"/>
          <w:b/>
          <w:lang w:eastAsia="zh-CN"/>
        </w:rPr>
        <w:t>,</w:t>
      </w:r>
      <w:r w:rsidRPr="00CE25D5">
        <w:rPr>
          <w:rFonts w:ascii="Book Antiqua" w:hAnsi="Book Antiqua"/>
          <w:b/>
        </w:rPr>
        <w:t xml:space="preserve"> </w:t>
      </w:r>
      <w:proofErr w:type="spellStart"/>
      <w:r w:rsidRPr="00CE25D5">
        <w:rPr>
          <w:rFonts w:ascii="Book Antiqua" w:hAnsi="Book Antiqua"/>
          <w:b/>
        </w:rPr>
        <w:t>MCh</w:t>
      </w:r>
      <w:proofErr w:type="spellEnd"/>
      <w:r w:rsidR="002A5B6D" w:rsidRPr="00CE25D5">
        <w:rPr>
          <w:rFonts w:ascii="Book Antiqua" w:eastAsia="宋体" w:hAnsi="Book Antiqua"/>
          <w:b/>
          <w:lang w:eastAsia="zh-CN"/>
        </w:rPr>
        <w:t>,</w:t>
      </w:r>
      <w:r w:rsidRPr="00CE25D5">
        <w:rPr>
          <w:rFonts w:ascii="Book Antiqua" w:hAnsi="Book Antiqua"/>
          <w:b/>
        </w:rPr>
        <w:t xml:space="preserve"> MRCSI</w:t>
      </w:r>
      <w:r w:rsidRPr="00CE25D5">
        <w:rPr>
          <w:rFonts w:ascii="Book Antiqua" w:hAnsi="Book Antiqua"/>
        </w:rPr>
        <w:t xml:space="preserve">, Department of Trauma </w:t>
      </w:r>
      <w:r w:rsidR="002A5B6D" w:rsidRPr="00CE25D5">
        <w:rPr>
          <w:rFonts w:ascii="Book Antiqua" w:eastAsia="宋体" w:hAnsi="Book Antiqua"/>
          <w:lang w:eastAsia="zh-CN"/>
        </w:rPr>
        <w:t>and</w:t>
      </w:r>
      <w:r w:rsidRPr="00CE25D5">
        <w:rPr>
          <w:rFonts w:ascii="Book Antiqua" w:hAnsi="Book Antiqua"/>
        </w:rPr>
        <w:t xml:space="preserve"> </w:t>
      </w:r>
      <w:proofErr w:type="spellStart"/>
      <w:r w:rsidRPr="00CE25D5">
        <w:rPr>
          <w:rFonts w:ascii="Book Antiqua" w:hAnsi="Book Antiqua"/>
        </w:rPr>
        <w:t>Orthopaedic</w:t>
      </w:r>
      <w:proofErr w:type="spellEnd"/>
      <w:r w:rsidRPr="00CE25D5">
        <w:rPr>
          <w:rFonts w:ascii="Book Antiqua" w:hAnsi="Book Antiqua"/>
        </w:rPr>
        <w:t xml:space="preserve"> Surgery, </w:t>
      </w:r>
      <w:proofErr w:type="spellStart"/>
      <w:r w:rsidR="00105C78" w:rsidRPr="00CE25D5">
        <w:rPr>
          <w:rFonts w:ascii="Book Antiqua" w:hAnsi="Book Antiqua"/>
        </w:rPr>
        <w:t>Tallaght</w:t>
      </w:r>
      <w:proofErr w:type="spellEnd"/>
      <w:r w:rsidR="00105C78" w:rsidRPr="00CE25D5">
        <w:rPr>
          <w:rFonts w:ascii="Book Antiqua" w:hAnsi="Book Antiqua"/>
        </w:rPr>
        <w:t xml:space="preserve"> Hospita</w:t>
      </w:r>
      <w:r w:rsidR="002A5B6D" w:rsidRPr="00CE25D5">
        <w:rPr>
          <w:rFonts w:ascii="Book Antiqua" w:hAnsi="Book Antiqua"/>
        </w:rPr>
        <w:t xml:space="preserve">l, </w:t>
      </w:r>
      <w:proofErr w:type="spellStart"/>
      <w:r w:rsidR="002A5B6D" w:rsidRPr="00CE25D5">
        <w:rPr>
          <w:rFonts w:ascii="Book Antiqua" w:hAnsi="Book Antiqua"/>
        </w:rPr>
        <w:t>Belgard</w:t>
      </w:r>
      <w:proofErr w:type="spellEnd"/>
      <w:r w:rsidR="002A5B6D" w:rsidRPr="00CE25D5">
        <w:rPr>
          <w:rFonts w:ascii="Book Antiqua" w:hAnsi="Book Antiqua"/>
        </w:rPr>
        <w:t xml:space="preserve"> Square North, Dublin</w:t>
      </w:r>
      <w:r w:rsidR="00105C78" w:rsidRPr="00CE25D5">
        <w:rPr>
          <w:rFonts w:ascii="Book Antiqua" w:hAnsi="Book Antiqua"/>
        </w:rPr>
        <w:t xml:space="preserve"> D24 NR0A, Ireland.</w:t>
      </w:r>
      <w:r w:rsidR="002A5B6D" w:rsidRPr="00CE25D5">
        <w:rPr>
          <w:rFonts w:ascii="Book Antiqua" w:eastAsia="宋体" w:hAnsi="Book Antiqua"/>
          <w:lang w:eastAsia="zh-CN"/>
        </w:rPr>
        <w:t xml:space="preserve"> </w:t>
      </w:r>
      <w:r w:rsidR="00105C78" w:rsidRPr="00CE25D5">
        <w:rPr>
          <w:rFonts w:ascii="Book Antiqua" w:hAnsi="Book Antiqua"/>
        </w:rPr>
        <w:t>niallmcg@gmail.com</w:t>
      </w:r>
    </w:p>
    <w:p w14:paraId="0AAC9B03" w14:textId="770711BC" w:rsidR="00572A8F" w:rsidRPr="00CE25D5" w:rsidRDefault="00572A8F" w:rsidP="00E715CA">
      <w:pPr>
        <w:spacing w:line="360" w:lineRule="auto"/>
        <w:jc w:val="both"/>
        <w:rPr>
          <w:rFonts w:ascii="Book Antiqua" w:hAnsi="Book Antiqua"/>
        </w:rPr>
      </w:pPr>
      <w:r w:rsidRPr="00CE25D5">
        <w:rPr>
          <w:rFonts w:ascii="Book Antiqua" w:hAnsi="Book Antiqua"/>
          <w:b/>
        </w:rPr>
        <w:t>Telephone:</w:t>
      </w:r>
      <w:r w:rsidR="002A5B6D" w:rsidRPr="00CE25D5">
        <w:rPr>
          <w:rFonts w:ascii="Book Antiqua" w:hAnsi="Book Antiqua"/>
        </w:rPr>
        <w:t xml:space="preserve"> +353-1-414</w:t>
      </w:r>
      <w:r w:rsidRPr="00CE25D5">
        <w:rPr>
          <w:rFonts w:ascii="Book Antiqua" w:hAnsi="Book Antiqua"/>
        </w:rPr>
        <w:t>2000</w:t>
      </w:r>
    </w:p>
    <w:p w14:paraId="2622DE8B" w14:textId="6E8E6E13" w:rsidR="00105C78" w:rsidRPr="00CE25D5" w:rsidRDefault="00105C78" w:rsidP="00E715CA">
      <w:pPr>
        <w:spacing w:line="360" w:lineRule="auto"/>
        <w:jc w:val="both"/>
        <w:rPr>
          <w:rFonts w:ascii="Book Antiqua" w:hAnsi="Book Antiqua"/>
        </w:rPr>
      </w:pPr>
      <w:r w:rsidRPr="00CE25D5">
        <w:rPr>
          <w:rFonts w:ascii="Book Antiqua" w:hAnsi="Book Antiqua"/>
          <w:b/>
        </w:rPr>
        <w:t xml:space="preserve">Fax: </w:t>
      </w:r>
      <w:r w:rsidR="002A5B6D" w:rsidRPr="00CE25D5">
        <w:rPr>
          <w:rFonts w:ascii="Book Antiqua" w:hAnsi="Book Antiqua"/>
        </w:rPr>
        <w:t>+353-1-414</w:t>
      </w:r>
      <w:r w:rsidRPr="00CE25D5">
        <w:rPr>
          <w:rFonts w:ascii="Book Antiqua" w:hAnsi="Book Antiqua"/>
        </w:rPr>
        <w:t>4779</w:t>
      </w:r>
    </w:p>
    <w:p w14:paraId="569937D2" w14:textId="77777777" w:rsidR="00572A8F" w:rsidRPr="00CE25D5" w:rsidRDefault="00572A8F" w:rsidP="00E715CA">
      <w:pPr>
        <w:spacing w:line="360" w:lineRule="auto"/>
        <w:jc w:val="both"/>
        <w:rPr>
          <w:rFonts w:ascii="Book Antiqua" w:hAnsi="Book Antiqua"/>
        </w:rPr>
      </w:pPr>
    </w:p>
    <w:p w14:paraId="4A88D220" w14:textId="13E47E17" w:rsidR="00105C78" w:rsidRPr="00CE25D5" w:rsidRDefault="00105C78" w:rsidP="00E715CA">
      <w:pPr>
        <w:spacing w:line="360" w:lineRule="auto"/>
        <w:jc w:val="both"/>
        <w:rPr>
          <w:rFonts w:ascii="Book Antiqua" w:hAnsi="Book Antiqua"/>
        </w:rPr>
      </w:pPr>
      <w:r w:rsidRPr="00CE25D5">
        <w:rPr>
          <w:rFonts w:ascii="Book Antiqua" w:hAnsi="Book Antiqua"/>
          <w:b/>
        </w:rPr>
        <w:t>Received:</w:t>
      </w:r>
      <w:r w:rsidRPr="00CE25D5">
        <w:rPr>
          <w:rFonts w:ascii="Book Antiqua" w:hAnsi="Book Antiqua"/>
        </w:rPr>
        <w:t xml:space="preserve"> May 28, 2015</w:t>
      </w:r>
    </w:p>
    <w:p w14:paraId="4B83A1D6" w14:textId="4FE53E0F" w:rsidR="00105C78" w:rsidRPr="00CE25D5" w:rsidRDefault="00105C78" w:rsidP="00E715CA">
      <w:pPr>
        <w:spacing w:line="360" w:lineRule="auto"/>
        <w:jc w:val="both"/>
        <w:rPr>
          <w:rFonts w:ascii="Book Antiqua" w:hAnsi="Book Antiqua"/>
        </w:rPr>
      </w:pPr>
      <w:r w:rsidRPr="00CE25D5">
        <w:rPr>
          <w:rFonts w:ascii="Book Antiqua" w:hAnsi="Book Antiqua"/>
          <w:b/>
        </w:rPr>
        <w:t>Peer-review started:</w:t>
      </w:r>
      <w:r w:rsidRPr="00CE25D5">
        <w:rPr>
          <w:rFonts w:ascii="Book Antiqua" w:hAnsi="Book Antiqua"/>
        </w:rPr>
        <w:t xml:space="preserve"> </w:t>
      </w:r>
      <w:r w:rsidR="002A5B6D" w:rsidRPr="00CE25D5">
        <w:rPr>
          <w:rFonts w:ascii="Book Antiqua" w:eastAsia="宋体" w:hAnsi="Book Antiqua"/>
          <w:lang w:eastAsia="zh-CN"/>
        </w:rPr>
        <w:t>June 1</w:t>
      </w:r>
      <w:r w:rsidRPr="00CE25D5">
        <w:rPr>
          <w:rFonts w:ascii="Book Antiqua" w:hAnsi="Book Antiqua"/>
        </w:rPr>
        <w:t>, 2015</w:t>
      </w:r>
    </w:p>
    <w:p w14:paraId="4605998F" w14:textId="0BE002F1" w:rsidR="00105C78" w:rsidRPr="00CE25D5" w:rsidRDefault="00105C78" w:rsidP="00E715CA">
      <w:pPr>
        <w:spacing w:line="360" w:lineRule="auto"/>
        <w:jc w:val="both"/>
        <w:rPr>
          <w:rFonts w:ascii="Book Antiqua" w:hAnsi="Book Antiqua"/>
        </w:rPr>
      </w:pPr>
      <w:r w:rsidRPr="00CE25D5">
        <w:rPr>
          <w:rFonts w:ascii="Book Antiqua" w:hAnsi="Book Antiqua"/>
          <w:b/>
        </w:rPr>
        <w:t>First decision:</w:t>
      </w:r>
      <w:r w:rsidRPr="00CE25D5">
        <w:rPr>
          <w:rFonts w:ascii="Book Antiqua" w:hAnsi="Book Antiqua"/>
        </w:rPr>
        <w:t xml:space="preserve"> </w:t>
      </w:r>
      <w:r w:rsidR="00B72499" w:rsidRPr="00CE25D5">
        <w:rPr>
          <w:rFonts w:ascii="Book Antiqua" w:hAnsi="Book Antiqua"/>
        </w:rPr>
        <w:t>August 4, 2015</w:t>
      </w:r>
    </w:p>
    <w:p w14:paraId="3255425F" w14:textId="63140C0E" w:rsidR="00B72499" w:rsidRPr="00CE25D5" w:rsidRDefault="00B72499" w:rsidP="00E715CA">
      <w:pPr>
        <w:spacing w:line="360" w:lineRule="auto"/>
        <w:jc w:val="both"/>
        <w:rPr>
          <w:rFonts w:ascii="Book Antiqua" w:hAnsi="Book Antiqua"/>
        </w:rPr>
      </w:pPr>
      <w:r w:rsidRPr="00CE25D5">
        <w:rPr>
          <w:rFonts w:ascii="Book Antiqua" w:hAnsi="Book Antiqua"/>
          <w:b/>
        </w:rPr>
        <w:t>Revised:</w:t>
      </w:r>
      <w:r w:rsidR="00AB2356" w:rsidRPr="00CE25D5">
        <w:rPr>
          <w:rFonts w:ascii="Book Antiqua" w:hAnsi="Book Antiqua"/>
          <w:b/>
        </w:rPr>
        <w:t xml:space="preserve"> </w:t>
      </w:r>
      <w:r w:rsidR="00AB2356" w:rsidRPr="00CE25D5">
        <w:rPr>
          <w:rFonts w:ascii="Book Antiqua" w:hAnsi="Book Antiqua"/>
        </w:rPr>
        <w:t>August 14, 2015</w:t>
      </w:r>
    </w:p>
    <w:p w14:paraId="6EBDCB1B" w14:textId="2634ED7A" w:rsidR="00B72499" w:rsidRPr="000B0385" w:rsidRDefault="00B72499" w:rsidP="000B0385">
      <w:pPr>
        <w:rPr>
          <w:rFonts w:ascii="Book Antiqua" w:hAnsi="Book Antiqua"/>
          <w:iCs/>
        </w:rPr>
      </w:pPr>
      <w:r w:rsidRPr="00CE25D5">
        <w:rPr>
          <w:rFonts w:ascii="Book Antiqua" w:hAnsi="Book Antiqua"/>
          <w:b/>
        </w:rPr>
        <w:t>Accepted:</w:t>
      </w:r>
      <w:r w:rsidR="000B0385" w:rsidRPr="000B0385">
        <w:rPr>
          <w:rStyle w:val="Emphasis"/>
        </w:rPr>
        <w:t xml:space="preserve"> </w:t>
      </w:r>
      <w:r w:rsidR="000B0385">
        <w:rPr>
          <w:rStyle w:val="Emphasis"/>
        </w:rPr>
        <w:t>October 1</w:t>
      </w:r>
      <w:r w:rsidR="000B0385" w:rsidRPr="00235CD4">
        <w:rPr>
          <w:rStyle w:val="Emphasis"/>
        </w:rPr>
        <w:t>, 2015</w:t>
      </w:r>
    </w:p>
    <w:p w14:paraId="7E9F4732" w14:textId="1A2909ED" w:rsidR="00B72499" w:rsidRPr="00CE25D5" w:rsidRDefault="00B72499" w:rsidP="00E715CA">
      <w:pPr>
        <w:spacing w:line="360" w:lineRule="auto"/>
        <w:jc w:val="both"/>
        <w:rPr>
          <w:rFonts w:ascii="Book Antiqua" w:hAnsi="Book Antiqua"/>
          <w:b/>
        </w:rPr>
      </w:pPr>
      <w:r w:rsidRPr="00CE25D5">
        <w:rPr>
          <w:rFonts w:ascii="Book Antiqua" w:hAnsi="Book Antiqua"/>
          <w:b/>
        </w:rPr>
        <w:t>Article in press:</w:t>
      </w:r>
    </w:p>
    <w:p w14:paraId="7783E65A" w14:textId="0F666F15" w:rsidR="00B72499" w:rsidRPr="00CE25D5" w:rsidRDefault="00B72499" w:rsidP="00E715CA">
      <w:pPr>
        <w:spacing w:line="360" w:lineRule="auto"/>
        <w:jc w:val="both"/>
        <w:rPr>
          <w:rFonts w:ascii="Book Antiqua" w:hAnsi="Book Antiqua"/>
          <w:b/>
        </w:rPr>
      </w:pPr>
      <w:r w:rsidRPr="00CE25D5">
        <w:rPr>
          <w:rFonts w:ascii="Book Antiqua" w:hAnsi="Book Antiqua"/>
          <w:b/>
        </w:rPr>
        <w:t>Published online:</w:t>
      </w:r>
    </w:p>
    <w:p w14:paraId="6A9779D6" w14:textId="77777777" w:rsidR="002A5B6D" w:rsidRPr="00CE25D5" w:rsidRDefault="002A5B6D" w:rsidP="00E715CA">
      <w:pPr>
        <w:spacing w:line="360" w:lineRule="auto"/>
        <w:jc w:val="both"/>
        <w:rPr>
          <w:rFonts w:ascii="Book Antiqua" w:hAnsi="Book Antiqua"/>
          <w:b/>
        </w:rPr>
      </w:pPr>
      <w:r w:rsidRPr="00CE25D5">
        <w:rPr>
          <w:rFonts w:ascii="Book Antiqua" w:hAnsi="Book Antiqua"/>
          <w:b/>
        </w:rPr>
        <w:lastRenderedPageBreak/>
        <w:br w:type="page"/>
      </w:r>
    </w:p>
    <w:p w14:paraId="64E32BFF" w14:textId="288AA98E" w:rsidR="00196A1A" w:rsidRPr="00CE25D5" w:rsidRDefault="00196A1A" w:rsidP="00E715CA">
      <w:pPr>
        <w:spacing w:line="360" w:lineRule="auto"/>
        <w:jc w:val="both"/>
        <w:rPr>
          <w:rFonts w:ascii="Book Antiqua" w:hAnsi="Book Antiqua"/>
          <w:b/>
        </w:rPr>
      </w:pPr>
      <w:r w:rsidRPr="00CE25D5">
        <w:rPr>
          <w:rFonts w:ascii="Book Antiqua" w:hAnsi="Book Antiqua"/>
          <w:b/>
        </w:rPr>
        <w:lastRenderedPageBreak/>
        <w:t>Abstract</w:t>
      </w:r>
    </w:p>
    <w:p w14:paraId="1ECADA88" w14:textId="1EF82CA9" w:rsidR="00572A8F" w:rsidRPr="00CE25D5" w:rsidRDefault="0060605D" w:rsidP="00E715CA">
      <w:pPr>
        <w:spacing w:line="360" w:lineRule="auto"/>
        <w:jc w:val="both"/>
        <w:rPr>
          <w:rFonts w:ascii="Book Antiqua" w:hAnsi="Book Antiqua"/>
        </w:rPr>
      </w:pPr>
      <w:r w:rsidRPr="00CE25D5">
        <w:rPr>
          <w:rFonts w:ascii="Book Antiqua" w:hAnsi="Book Antiqua"/>
          <w:b/>
        </w:rPr>
        <w:t>AIM:</w:t>
      </w:r>
      <w:r w:rsidRPr="00CE25D5">
        <w:rPr>
          <w:rFonts w:ascii="Book Antiqua" w:hAnsi="Book Antiqua"/>
        </w:rPr>
        <w:t xml:space="preserve"> </w:t>
      </w:r>
      <w:r w:rsidR="00572A8F" w:rsidRPr="00CE25D5">
        <w:rPr>
          <w:rFonts w:ascii="Book Antiqua" w:hAnsi="Book Antiqua"/>
        </w:rPr>
        <w:t xml:space="preserve">To examine the cost benefit conferred </w:t>
      </w:r>
      <w:r w:rsidR="008F16A8" w:rsidRPr="00CE25D5">
        <w:rPr>
          <w:rFonts w:ascii="Book Antiqua" w:hAnsi="Book Antiqua"/>
        </w:rPr>
        <w:t>by the</w:t>
      </w:r>
      <w:r w:rsidR="00572A8F" w:rsidRPr="00CE25D5">
        <w:rPr>
          <w:rFonts w:ascii="Book Antiqua" w:hAnsi="Book Antiqua"/>
        </w:rPr>
        <w:t xml:space="preserve"> perioperative administration of intravenous tranexamic acid </w:t>
      </w:r>
      <w:r w:rsidR="00A953C1" w:rsidRPr="00CE25D5">
        <w:rPr>
          <w:rFonts w:ascii="Book Antiqua" w:hAnsi="Book Antiqua"/>
        </w:rPr>
        <w:t>(TXA)</w:t>
      </w:r>
      <w:r w:rsidR="00A953C1" w:rsidRPr="00CE25D5">
        <w:rPr>
          <w:rFonts w:ascii="Book Antiqua" w:eastAsia="宋体" w:hAnsi="Book Antiqua" w:hint="eastAsia"/>
          <w:lang w:eastAsia="zh-CN"/>
        </w:rPr>
        <w:t xml:space="preserve"> </w:t>
      </w:r>
      <w:r w:rsidR="00572A8F" w:rsidRPr="00CE25D5">
        <w:rPr>
          <w:rFonts w:ascii="Book Antiqua" w:hAnsi="Book Antiqua"/>
        </w:rPr>
        <w:t>in lower limb arthroplasty.</w:t>
      </w:r>
    </w:p>
    <w:p w14:paraId="672E56FD" w14:textId="77777777" w:rsidR="00572A8F" w:rsidRPr="00CE25D5" w:rsidRDefault="00572A8F" w:rsidP="00E715CA">
      <w:pPr>
        <w:spacing w:line="360" w:lineRule="auto"/>
        <w:jc w:val="both"/>
        <w:rPr>
          <w:rFonts w:ascii="Book Antiqua" w:hAnsi="Book Antiqua"/>
        </w:rPr>
      </w:pPr>
    </w:p>
    <w:p w14:paraId="77CC21F7" w14:textId="667B8F6F" w:rsidR="00572A8F" w:rsidRPr="00CE25D5" w:rsidRDefault="0060605D" w:rsidP="00E715CA">
      <w:pPr>
        <w:spacing w:line="360" w:lineRule="auto"/>
        <w:jc w:val="both"/>
        <w:rPr>
          <w:rFonts w:ascii="Book Antiqua" w:hAnsi="Book Antiqua"/>
        </w:rPr>
      </w:pPr>
      <w:r w:rsidRPr="00CE25D5">
        <w:rPr>
          <w:rFonts w:ascii="Book Antiqua" w:hAnsi="Book Antiqua"/>
          <w:b/>
        </w:rPr>
        <w:t>METHODS:</w:t>
      </w:r>
      <w:r w:rsidRPr="00CE25D5">
        <w:rPr>
          <w:rFonts w:ascii="Book Antiqua" w:hAnsi="Book Antiqua"/>
        </w:rPr>
        <w:t xml:space="preserve"> </w:t>
      </w:r>
      <w:r w:rsidR="00572A8F" w:rsidRPr="00CE25D5">
        <w:rPr>
          <w:rFonts w:ascii="Book Antiqua" w:hAnsi="Book Antiqua"/>
        </w:rPr>
        <w:t xml:space="preserve">This study evaluates the use of </w:t>
      </w:r>
      <w:r w:rsidR="00A953C1" w:rsidRPr="00CE25D5">
        <w:rPr>
          <w:rFonts w:ascii="Book Antiqua" w:hAnsi="Book Antiqua"/>
        </w:rPr>
        <w:t>TXA</w:t>
      </w:r>
      <w:r w:rsidR="00572A8F" w:rsidRPr="00CE25D5">
        <w:rPr>
          <w:rFonts w:ascii="Book Antiqua" w:hAnsi="Book Antiqua"/>
        </w:rPr>
        <w:t xml:space="preserve"> in 200 consecutive lower limb arthroplasties performed in a single surgeon series. T</w:t>
      </w:r>
      <w:r w:rsidR="00630773" w:rsidRPr="00CE25D5">
        <w:rPr>
          <w:rFonts w:ascii="Book Antiqua" w:hAnsi="Book Antiqua"/>
        </w:rPr>
        <w:t>he initial 100 patients (control group</w:t>
      </w:r>
      <w:r w:rsidR="00572A8F" w:rsidRPr="00CE25D5">
        <w:rPr>
          <w:rFonts w:ascii="Book Antiqua" w:hAnsi="Book Antiqua"/>
        </w:rPr>
        <w:t xml:space="preserve">) underwent surgery without perioperative administration of </w:t>
      </w:r>
      <w:r w:rsidR="00A953C1" w:rsidRPr="00CE25D5">
        <w:rPr>
          <w:rFonts w:ascii="Book Antiqua" w:hAnsi="Book Antiqua"/>
        </w:rPr>
        <w:t>TXA</w:t>
      </w:r>
      <w:r w:rsidR="00572A8F" w:rsidRPr="00CE25D5">
        <w:rPr>
          <w:rFonts w:ascii="Book Antiqua" w:hAnsi="Book Antiqua"/>
        </w:rPr>
        <w:t xml:space="preserve"> while the s</w:t>
      </w:r>
      <w:r w:rsidR="00630773" w:rsidRPr="00CE25D5">
        <w:rPr>
          <w:rFonts w:ascii="Book Antiqua" w:hAnsi="Book Antiqua"/>
        </w:rPr>
        <w:t>ubsequent 100 patients (</w:t>
      </w:r>
      <w:r w:rsidR="00A953C1" w:rsidRPr="00CE25D5">
        <w:rPr>
          <w:rFonts w:ascii="Book Antiqua" w:hAnsi="Book Antiqua"/>
        </w:rPr>
        <w:t>TXA</w:t>
      </w:r>
      <w:r w:rsidR="00630773" w:rsidRPr="00CE25D5">
        <w:rPr>
          <w:rFonts w:ascii="Book Antiqua" w:hAnsi="Book Antiqua"/>
        </w:rPr>
        <w:t xml:space="preserve"> group)</w:t>
      </w:r>
      <w:r w:rsidR="00572A8F" w:rsidRPr="00CE25D5">
        <w:rPr>
          <w:rFonts w:ascii="Book Antiqua" w:hAnsi="Book Antiqua"/>
        </w:rPr>
        <w:t xml:space="preserve"> all received 1</w:t>
      </w:r>
      <w:r w:rsidR="0011667E" w:rsidRPr="00CE25D5">
        <w:rPr>
          <w:rFonts w:ascii="Book Antiqua" w:eastAsia="宋体" w:hAnsi="Book Antiqua" w:hint="eastAsia"/>
          <w:lang w:eastAsia="zh-CN"/>
        </w:rPr>
        <w:t xml:space="preserve"> </w:t>
      </w:r>
      <w:r w:rsidR="00572A8F" w:rsidRPr="00CE25D5">
        <w:rPr>
          <w:rFonts w:ascii="Book Antiqua" w:hAnsi="Book Antiqua"/>
        </w:rPr>
        <w:t xml:space="preserve">g </w:t>
      </w:r>
      <w:r w:rsidR="00A953C1" w:rsidRPr="00CE25D5">
        <w:rPr>
          <w:rFonts w:ascii="Book Antiqua" w:hAnsi="Book Antiqua"/>
        </w:rPr>
        <w:t>TXA</w:t>
      </w:r>
      <w:r w:rsidR="00572A8F" w:rsidRPr="00CE25D5">
        <w:rPr>
          <w:rFonts w:ascii="Book Antiqua" w:hAnsi="Book Antiqua"/>
        </w:rPr>
        <w:t xml:space="preserve"> at the time of induction of </w:t>
      </w:r>
      <w:proofErr w:type="spellStart"/>
      <w:r w:rsidR="00572A8F" w:rsidRPr="00CE25D5">
        <w:rPr>
          <w:rFonts w:ascii="Book Antiqua" w:hAnsi="Book Antiqua"/>
        </w:rPr>
        <w:t>anaesthesia</w:t>
      </w:r>
      <w:proofErr w:type="spellEnd"/>
      <w:r w:rsidR="00572A8F" w:rsidRPr="00CE25D5">
        <w:rPr>
          <w:rFonts w:ascii="Book Antiqua" w:hAnsi="Book Antiqua"/>
        </w:rPr>
        <w:t xml:space="preserve">. </w:t>
      </w:r>
      <w:r w:rsidR="004449EE" w:rsidRPr="00CE25D5">
        <w:rPr>
          <w:rFonts w:ascii="Book Antiqua" w:hAnsi="Book Antiqua"/>
        </w:rPr>
        <w:t>P</w:t>
      </w:r>
      <w:r w:rsidR="00572A8F" w:rsidRPr="00CE25D5">
        <w:rPr>
          <w:rFonts w:ascii="Book Antiqua" w:hAnsi="Book Antiqua"/>
        </w:rPr>
        <w:t xml:space="preserve">re- and post-operative </w:t>
      </w:r>
      <w:proofErr w:type="spellStart"/>
      <w:r w:rsidR="00572A8F" w:rsidRPr="00CE25D5">
        <w:rPr>
          <w:rFonts w:ascii="Book Antiqua" w:hAnsi="Book Antiqua"/>
        </w:rPr>
        <w:t>haemoglobin</w:t>
      </w:r>
      <w:proofErr w:type="spellEnd"/>
      <w:r w:rsidR="00572A8F" w:rsidRPr="00CE25D5">
        <w:rPr>
          <w:rFonts w:ascii="Book Antiqua" w:hAnsi="Book Antiqua"/>
        </w:rPr>
        <w:t xml:space="preserve">, platelet count, </w:t>
      </w:r>
      <w:proofErr w:type="spellStart"/>
      <w:r w:rsidR="00572A8F" w:rsidRPr="00CE25D5">
        <w:rPr>
          <w:rFonts w:ascii="Book Antiqua" w:hAnsi="Book Antiqua"/>
        </w:rPr>
        <w:t>haematocrit</w:t>
      </w:r>
      <w:proofErr w:type="spellEnd"/>
      <w:r w:rsidR="00572A8F" w:rsidRPr="00CE25D5">
        <w:rPr>
          <w:rFonts w:ascii="Book Antiqua" w:hAnsi="Book Antiqua"/>
        </w:rPr>
        <w:t xml:space="preserve">, the use of blood product post-operatively, </w:t>
      </w:r>
      <w:r w:rsidR="004B2D3E" w:rsidRPr="00CE25D5">
        <w:rPr>
          <w:rFonts w:ascii="Book Antiqua" w:hAnsi="Book Antiqua"/>
        </w:rPr>
        <w:t>length of stay</w:t>
      </w:r>
      <w:r w:rsidR="004449EE" w:rsidRPr="00CE25D5">
        <w:rPr>
          <w:rFonts w:ascii="Book Antiqua" w:hAnsi="Book Antiqua"/>
        </w:rPr>
        <w:t xml:space="preserve"> were examined</w:t>
      </w:r>
      <w:r w:rsidR="00572A8F" w:rsidRPr="00CE25D5">
        <w:rPr>
          <w:rFonts w:ascii="Book Antiqua" w:hAnsi="Book Antiqua"/>
        </w:rPr>
        <w:t>.</w:t>
      </w:r>
      <w:r w:rsidR="004B2D3E" w:rsidRPr="00CE25D5">
        <w:rPr>
          <w:rFonts w:ascii="Book Antiqua" w:hAnsi="Book Antiqua"/>
        </w:rPr>
        <w:t xml:space="preserve"> </w:t>
      </w:r>
      <w:r w:rsidR="004449EE" w:rsidRPr="00CE25D5">
        <w:rPr>
          <w:rFonts w:ascii="Book Antiqua" w:hAnsi="Book Antiqua"/>
        </w:rPr>
        <w:t>A</w:t>
      </w:r>
      <w:r w:rsidR="004B2D3E" w:rsidRPr="00CE25D5">
        <w:rPr>
          <w:rFonts w:ascii="Book Antiqua" w:hAnsi="Book Antiqua"/>
        </w:rPr>
        <w:t xml:space="preserve"> financial analysis of both groups</w:t>
      </w:r>
      <w:r w:rsidR="004449EE" w:rsidRPr="00CE25D5">
        <w:rPr>
          <w:rFonts w:ascii="Book Antiqua" w:hAnsi="Book Antiqua"/>
        </w:rPr>
        <w:t xml:space="preserve"> was then undertaken</w:t>
      </w:r>
      <w:r w:rsidR="004B2D3E" w:rsidRPr="00CE25D5">
        <w:rPr>
          <w:rFonts w:ascii="Book Antiqua" w:hAnsi="Book Antiqua"/>
        </w:rPr>
        <w:t>.</w:t>
      </w:r>
      <w:r w:rsidR="004449EE" w:rsidRPr="00CE25D5">
        <w:rPr>
          <w:rFonts w:ascii="Book Antiqua" w:hAnsi="Book Antiqua"/>
        </w:rPr>
        <w:t xml:space="preserve"> </w:t>
      </w:r>
      <w:r w:rsidR="00572A8F" w:rsidRPr="00CE25D5">
        <w:rPr>
          <w:rFonts w:ascii="Book Antiqua" w:hAnsi="Book Antiqua"/>
        </w:rPr>
        <w:t xml:space="preserve"> </w:t>
      </w:r>
    </w:p>
    <w:p w14:paraId="6D3FFCCF" w14:textId="77777777" w:rsidR="00572A8F" w:rsidRPr="00CE25D5" w:rsidRDefault="00572A8F" w:rsidP="00E715CA">
      <w:pPr>
        <w:spacing w:line="360" w:lineRule="auto"/>
        <w:jc w:val="both"/>
        <w:rPr>
          <w:rFonts w:ascii="Book Antiqua" w:hAnsi="Book Antiqua"/>
        </w:rPr>
      </w:pPr>
    </w:p>
    <w:p w14:paraId="4AD2899C" w14:textId="6C10350A" w:rsidR="00572A8F" w:rsidRPr="00CE25D5" w:rsidRDefault="0060605D" w:rsidP="00E715CA">
      <w:pPr>
        <w:spacing w:line="360" w:lineRule="auto"/>
        <w:jc w:val="both"/>
        <w:rPr>
          <w:rFonts w:ascii="Book Antiqua" w:hAnsi="Book Antiqua"/>
        </w:rPr>
      </w:pPr>
      <w:r w:rsidRPr="00CE25D5">
        <w:rPr>
          <w:rFonts w:ascii="Book Antiqua" w:hAnsi="Book Antiqua"/>
          <w:b/>
        </w:rPr>
        <w:t xml:space="preserve">RESULTS: </w:t>
      </w:r>
      <w:r w:rsidR="004B2D3E" w:rsidRPr="00CE25D5">
        <w:rPr>
          <w:rFonts w:ascii="Book Antiqua" w:hAnsi="Book Antiqua"/>
        </w:rPr>
        <w:t>The mean age of patients in both groups was 63 ± 13 years. There were no significant differences between groups in terms of gender (</w:t>
      </w:r>
      <w:r w:rsidR="00F9735C" w:rsidRPr="00CE25D5">
        <w:rPr>
          <w:rFonts w:ascii="Book Antiqua" w:hAnsi="Book Antiqua"/>
          <w:i/>
        </w:rPr>
        <w:t>P</w:t>
      </w:r>
      <w:r w:rsidR="004B2D3E" w:rsidRPr="00CE25D5">
        <w:rPr>
          <w:rFonts w:ascii="Book Antiqua" w:hAnsi="Book Antiqua"/>
        </w:rPr>
        <w:t xml:space="preserve"> = 0.47), proportion of THR to TKR (</w:t>
      </w:r>
      <w:r w:rsidR="00F9735C" w:rsidRPr="00CE25D5">
        <w:rPr>
          <w:rFonts w:ascii="Book Antiqua" w:hAnsi="Book Antiqua"/>
          <w:i/>
        </w:rPr>
        <w:t>P</w:t>
      </w:r>
      <w:r w:rsidR="004B2D3E" w:rsidRPr="00CE25D5">
        <w:rPr>
          <w:rFonts w:ascii="Book Antiqua" w:hAnsi="Book Antiqua"/>
        </w:rPr>
        <w:t xml:space="preserve"> = 0.25) or pre-operative </w:t>
      </w:r>
      <w:proofErr w:type="spellStart"/>
      <w:r w:rsidR="004B2D3E" w:rsidRPr="00CE25D5">
        <w:rPr>
          <w:rFonts w:ascii="Book Antiqua" w:hAnsi="Book Antiqua"/>
        </w:rPr>
        <w:t>haemoglobin</w:t>
      </w:r>
      <w:proofErr w:type="spellEnd"/>
      <w:r w:rsidR="004B2D3E" w:rsidRPr="00CE25D5">
        <w:rPr>
          <w:rFonts w:ascii="Book Antiqua" w:hAnsi="Book Antiqua"/>
        </w:rPr>
        <w:t xml:space="preserve"> (</w:t>
      </w:r>
      <w:r w:rsidR="00F9735C" w:rsidRPr="00CE25D5">
        <w:rPr>
          <w:rFonts w:ascii="Book Antiqua" w:hAnsi="Book Antiqua"/>
          <w:i/>
        </w:rPr>
        <w:t>P</w:t>
      </w:r>
      <w:r w:rsidR="004B2D3E" w:rsidRPr="00CE25D5">
        <w:rPr>
          <w:rFonts w:ascii="Book Antiqua" w:hAnsi="Book Antiqua"/>
        </w:rPr>
        <w:t xml:space="preserve"> = 0.43). In the control group, the transfusion rate was 22%. In the TXA group</w:t>
      </w:r>
      <w:r w:rsidR="00572A8F" w:rsidRPr="00CE25D5">
        <w:rPr>
          <w:rFonts w:ascii="Book Antiqua" w:hAnsi="Book Antiqua"/>
        </w:rPr>
        <w:t>, the transf</w:t>
      </w:r>
      <w:r w:rsidR="004B2D3E" w:rsidRPr="00CE25D5">
        <w:rPr>
          <w:rFonts w:ascii="Book Antiqua" w:hAnsi="Book Antiqua"/>
        </w:rPr>
        <w:t>usion rate dropped to 2% (</w:t>
      </w:r>
      <w:r w:rsidR="00F9735C" w:rsidRPr="00CE25D5">
        <w:rPr>
          <w:rFonts w:ascii="Book Antiqua" w:hAnsi="Book Antiqua"/>
          <w:i/>
        </w:rPr>
        <w:t>P</w:t>
      </w:r>
      <w:r w:rsidR="004B2D3E" w:rsidRPr="00CE25D5">
        <w:rPr>
          <w:rFonts w:ascii="Book Antiqua" w:hAnsi="Book Antiqua"/>
        </w:rPr>
        <w:t xml:space="preserve"> &lt; 0.00</w:t>
      </w:r>
      <w:r w:rsidR="007A0755" w:rsidRPr="00CE25D5">
        <w:rPr>
          <w:rFonts w:ascii="Book Antiqua" w:hAnsi="Book Antiqua"/>
        </w:rPr>
        <w:t>1</w:t>
      </w:r>
      <w:r w:rsidR="00572A8F" w:rsidRPr="00CE25D5">
        <w:rPr>
          <w:rFonts w:ascii="Book Antiqua" w:hAnsi="Book Antiqua"/>
        </w:rPr>
        <w:t>). The mean po</w:t>
      </w:r>
      <w:r w:rsidR="00F24579" w:rsidRPr="00CE25D5">
        <w:rPr>
          <w:rFonts w:ascii="Book Antiqua" w:hAnsi="Book Antiqua"/>
        </w:rPr>
        <w:t xml:space="preserve">st-operative </w:t>
      </w:r>
      <w:proofErr w:type="spellStart"/>
      <w:r w:rsidR="00F24579" w:rsidRPr="00CE25D5">
        <w:rPr>
          <w:rFonts w:ascii="Book Antiqua" w:hAnsi="Book Antiqua"/>
        </w:rPr>
        <w:t>haemoglobin</w:t>
      </w:r>
      <w:proofErr w:type="spellEnd"/>
      <w:r w:rsidR="00F24579" w:rsidRPr="00CE25D5">
        <w:rPr>
          <w:rFonts w:ascii="Book Antiqua" w:hAnsi="Book Antiqua"/>
        </w:rPr>
        <w:t xml:space="preserve"> was 10.82 ± 1.55</w:t>
      </w:r>
      <w:r w:rsidR="007A0755" w:rsidRPr="00CE25D5">
        <w:rPr>
          <w:rFonts w:ascii="Book Antiqua" w:hAnsi="Book Antiqua"/>
        </w:rPr>
        <w:t xml:space="preserve"> </w:t>
      </w:r>
      <w:r w:rsidR="00F24579" w:rsidRPr="00CE25D5">
        <w:rPr>
          <w:rFonts w:ascii="Book Antiqua" w:hAnsi="Book Antiqua"/>
        </w:rPr>
        <w:t>g/</w:t>
      </w:r>
      <w:proofErr w:type="spellStart"/>
      <w:r w:rsidR="00F24579" w:rsidRPr="00CE25D5">
        <w:rPr>
          <w:rFonts w:ascii="Book Antiqua" w:hAnsi="Book Antiqua"/>
        </w:rPr>
        <w:t>dL</w:t>
      </w:r>
      <w:proofErr w:type="spellEnd"/>
      <w:r w:rsidR="00F24579" w:rsidRPr="00CE25D5">
        <w:rPr>
          <w:rFonts w:ascii="Book Antiqua" w:hAnsi="Book Antiqua"/>
        </w:rPr>
        <w:t xml:space="preserve"> in the co</w:t>
      </w:r>
      <w:r w:rsidR="007A0755" w:rsidRPr="00CE25D5">
        <w:rPr>
          <w:rFonts w:ascii="Book Antiqua" w:hAnsi="Book Antiqua"/>
        </w:rPr>
        <w:t>ntrol group versus 11.33 ± 1.27 g/</w:t>
      </w:r>
      <w:proofErr w:type="spellStart"/>
      <w:r w:rsidR="00F24579" w:rsidRPr="00CE25D5">
        <w:rPr>
          <w:rFonts w:ascii="Book Antiqua" w:hAnsi="Book Antiqua"/>
        </w:rPr>
        <w:t>dL</w:t>
      </w:r>
      <w:proofErr w:type="spellEnd"/>
      <w:r w:rsidR="00F24579" w:rsidRPr="00CE25D5">
        <w:rPr>
          <w:rFonts w:ascii="Book Antiqua" w:hAnsi="Book Antiqua"/>
        </w:rPr>
        <w:t xml:space="preserve"> in the TXA group (</w:t>
      </w:r>
      <w:r w:rsidR="00F9735C" w:rsidRPr="00CE25D5">
        <w:rPr>
          <w:rFonts w:ascii="Book Antiqua" w:hAnsi="Book Antiqua"/>
          <w:i/>
        </w:rPr>
        <w:t>P</w:t>
      </w:r>
      <w:r w:rsidR="00F24579" w:rsidRPr="00CE25D5">
        <w:rPr>
          <w:rFonts w:ascii="Book Antiqua" w:hAnsi="Book Antiqua"/>
        </w:rPr>
        <w:t xml:space="preserve"> = </w:t>
      </w:r>
      <w:r w:rsidR="00572A8F" w:rsidRPr="00CE25D5">
        <w:rPr>
          <w:rFonts w:ascii="Book Antiqua" w:hAnsi="Book Antiqua"/>
        </w:rPr>
        <w:t xml:space="preserve">0.01). The </w:t>
      </w:r>
      <w:r w:rsidR="00F24579" w:rsidRPr="00CE25D5">
        <w:rPr>
          <w:rFonts w:ascii="Book Antiqua" w:hAnsi="Book Antiqua"/>
        </w:rPr>
        <w:t xml:space="preserve">total </w:t>
      </w:r>
      <w:r w:rsidR="00572A8F" w:rsidRPr="00CE25D5">
        <w:rPr>
          <w:rFonts w:ascii="Book Antiqua" w:hAnsi="Book Antiqua"/>
        </w:rPr>
        <w:t>cost of transfused</w:t>
      </w:r>
      <w:r w:rsidR="007A0755" w:rsidRPr="00CE25D5">
        <w:rPr>
          <w:rFonts w:ascii="Book Antiqua" w:hAnsi="Book Antiqua"/>
        </w:rPr>
        <w:t xml:space="preserve"> blood</w:t>
      </w:r>
      <w:r w:rsidR="00572A8F" w:rsidRPr="00CE25D5">
        <w:rPr>
          <w:rFonts w:ascii="Book Antiqua" w:hAnsi="Book Antiqua"/>
        </w:rPr>
        <w:t xml:space="preserve"> </w:t>
      </w:r>
      <w:r w:rsidR="0011667E" w:rsidRPr="00CE25D5">
        <w:rPr>
          <w:rFonts w:ascii="Book Antiqua" w:hAnsi="Book Antiqua"/>
        </w:rPr>
        <w:t>products was €11</w:t>
      </w:r>
      <w:r w:rsidR="00F24579" w:rsidRPr="00CE25D5">
        <w:rPr>
          <w:rFonts w:ascii="Book Antiqua" w:hAnsi="Book Antiqua"/>
        </w:rPr>
        <w:t>055 and €603 respectively</w:t>
      </w:r>
      <w:r w:rsidR="007A0755" w:rsidRPr="00CE25D5">
        <w:rPr>
          <w:rFonts w:ascii="Book Antiqua" w:hAnsi="Book Antiqua"/>
        </w:rPr>
        <w:t>. The mean length of</w:t>
      </w:r>
      <w:r w:rsidR="00572A8F" w:rsidRPr="00CE25D5">
        <w:rPr>
          <w:rFonts w:ascii="Book Antiqua" w:hAnsi="Book Antiqua"/>
        </w:rPr>
        <w:t xml:space="preserve"> stay in </w:t>
      </w:r>
      <w:r w:rsidR="00F24579" w:rsidRPr="00CE25D5">
        <w:rPr>
          <w:rFonts w:ascii="Book Antiqua" w:hAnsi="Book Antiqua"/>
        </w:rPr>
        <w:t xml:space="preserve">the control group was 6.53 ± 5.93 d </w:t>
      </w:r>
      <w:r w:rsidR="00F24579" w:rsidRPr="00CE25D5">
        <w:rPr>
          <w:rFonts w:ascii="Book Antiqua" w:hAnsi="Book Antiqua"/>
          <w:i/>
        </w:rPr>
        <w:t xml:space="preserve">vs </w:t>
      </w:r>
      <w:r w:rsidR="00572A8F" w:rsidRPr="00CE25D5">
        <w:rPr>
          <w:rFonts w:ascii="Book Antiqua" w:hAnsi="Book Antiqua"/>
        </w:rPr>
        <w:t>5.4</w:t>
      </w:r>
      <w:r w:rsidR="00F24579" w:rsidRPr="00CE25D5">
        <w:rPr>
          <w:rFonts w:ascii="Book Antiqua" w:hAnsi="Book Antiqua"/>
        </w:rPr>
        <w:t>7 ± 4.26</w:t>
      </w:r>
      <w:r w:rsidR="00572A8F" w:rsidRPr="00CE25D5">
        <w:rPr>
          <w:rFonts w:ascii="Book Antiqua" w:hAnsi="Book Antiqua"/>
        </w:rPr>
        <w:t xml:space="preserve"> d </w:t>
      </w:r>
      <w:r w:rsidR="00F24579" w:rsidRPr="00CE25D5">
        <w:rPr>
          <w:rFonts w:ascii="Book Antiqua" w:hAnsi="Book Antiqua"/>
        </w:rPr>
        <w:t>in the TXA group (</w:t>
      </w:r>
      <w:r w:rsidR="00F9735C" w:rsidRPr="00CE25D5">
        <w:rPr>
          <w:rFonts w:ascii="Book Antiqua" w:hAnsi="Book Antiqua"/>
          <w:i/>
        </w:rPr>
        <w:t>P</w:t>
      </w:r>
      <w:r w:rsidR="00F24579" w:rsidRPr="00CE25D5">
        <w:rPr>
          <w:rFonts w:ascii="Book Antiqua" w:hAnsi="Book Antiqua"/>
        </w:rPr>
        <w:t xml:space="preserve"> = 0.1</w:t>
      </w:r>
      <w:r w:rsidR="00572A8F" w:rsidRPr="00CE25D5">
        <w:rPr>
          <w:rFonts w:ascii="Book Antiqua" w:hAnsi="Book Antiqua"/>
        </w:rPr>
        <w:t>5) leading to an estimated fin</w:t>
      </w:r>
      <w:r w:rsidR="00F9735C" w:rsidRPr="00CE25D5">
        <w:rPr>
          <w:rFonts w:ascii="Book Antiqua" w:hAnsi="Book Antiqua"/>
        </w:rPr>
        <w:t>ancial saving of €114</w:t>
      </w:r>
      <w:r w:rsidR="00F24579" w:rsidRPr="00CE25D5">
        <w:rPr>
          <w:rFonts w:ascii="Book Antiqua" w:hAnsi="Book Antiqua"/>
        </w:rPr>
        <w:t>586</w:t>
      </w:r>
      <w:r w:rsidR="00572A8F" w:rsidRPr="00CE25D5">
        <w:rPr>
          <w:rFonts w:ascii="Book Antiqua" w:hAnsi="Book Antiqua"/>
        </w:rPr>
        <w:t xml:space="preserve">. </w:t>
      </w:r>
      <w:r w:rsidR="007A0755" w:rsidRPr="00CE25D5">
        <w:rPr>
          <w:rFonts w:ascii="Book Antiqua" w:hAnsi="Book Antiqua"/>
        </w:rPr>
        <w:t>There was one pulmonary embolus in the control group and one deep venous thrombosis in the TXA group.</w:t>
      </w:r>
    </w:p>
    <w:p w14:paraId="09F5FB9E" w14:textId="77777777" w:rsidR="00572A8F" w:rsidRPr="00CE25D5" w:rsidRDefault="00572A8F" w:rsidP="00E715CA">
      <w:pPr>
        <w:spacing w:line="360" w:lineRule="auto"/>
        <w:jc w:val="both"/>
        <w:rPr>
          <w:rFonts w:ascii="Book Antiqua" w:hAnsi="Book Antiqua"/>
        </w:rPr>
      </w:pPr>
    </w:p>
    <w:p w14:paraId="3CC29CFD" w14:textId="39E38099" w:rsidR="00572A8F" w:rsidRPr="00CE25D5" w:rsidRDefault="0060605D" w:rsidP="00E715CA">
      <w:pPr>
        <w:spacing w:line="360" w:lineRule="auto"/>
        <w:jc w:val="both"/>
        <w:rPr>
          <w:rFonts w:ascii="Book Antiqua" w:hAnsi="Book Antiqua"/>
        </w:rPr>
      </w:pPr>
      <w:r w:rsidRPr="00CE25D5">
        <w:rPr>
          <w:rFonts w:ascii="Book Antiqua" w:hAnsi="Book Antiqua"/>
          <w:b/>
        </w:rPr>
        <w:t xml:space="preserve">CONCLUSION: </w:t>
      </w:r>
      <w:r w:rsidR="00FF6381" w:rsidRPr="00CE25D5">
        <w:rPr>
          <w:rFonts w:ascii="Book Antiqua" w:hAnsi="Book Antiqua"/>
          <w:b/>
        </w:rPr>
        <w:t>I</w:t>
      </w:r>
      <w:r w:rsidR="00572A8F" w:rsidRPr="00CE25D5">
        <w:rPr>
          <w:rFonts w:ascii="Book Antiqua" w:hAnsi="Book Antiqua"/>
        </w:rPr>
        <w:t xml:space="preserve">ntravenous </w:t>
      </w:r>
      <w:r w:rsidR="00A953C1" w:rsidRPr="00CE25D5">
        <w:rPr>
          <w:rFonts w:ascii="Book Antiqua" w:hAnsi="Book Antiqua"/>
        </w:rPr>
        <w:t>TXA</w:t>
      </w:r>
      <w:r w:rsidR="005E1F72" w:rsidRPr="00CE25D5">
        <w:rPr>
          <w:rFonts w:ascii="Book Antiqua" w:hAnsi="Book Antiqua"/>
        </w:rPr>
        <w:t xml:space="preserve"> </w:t>
      </w:r>
      <w:r w:rsidR="00FF6381" w:rsidRPr="00CE25D5">
        <w:rPr>
          <w:rFonts w:ascii="Book Antiqua" w:hAnsi="Book Antiqua"/>
        </w:rPr>
        <w:t>reduces</w:t>
      </w:r>
      <w:r w:rsidR="00572A8F" w:rsidRPr="00CE25D5">
        <w:rPr>
          <w:rFonts w:ascii="Book Antiqua" w:hAnsi="Book Antiqua"/>
        </w:rPr>
        <w:t xml:space="preserve"> blood loss in lower limb arthroplasty. </w:t>
      </w:r>
      <w:r w:rsidR="00FF6381" w:rsidRPr="00CE25D5">
        <w:rPr>
          <w:rFonts w:ascii="Book Antiqua" w:hAnsi="Book Antiqua"/>
        </w:rPr>
        <w:t xml:space="preserve">This leads to lower transfusion rates, shorter length of stay in hospital and </w:t>
      </w:r>
      <w:r w:rsidR="00572A8F" w:rsidRPr="00CE25D5">
        <w:rPr>
          <w:rFonts w:ascii="Book Antiqua" w:hAnsi="Book Antiqua"/>
        </w:rPr>
        <w:t xml:space="preserve">significant financial savings. </w:t>
      </w:r>
    </w:p>
    <w:p w14:paraId="4006C324" w14:textId="77777777" w:rsidR="00196A1A" w:rsidRPr="00CE25D5" w:rsidRDefault="00196A1A" w:rsidP="00E715CA">
      <w:pPr>
        <w:spacing w:line="360" w:lineRule="auto"/>
        <w:jc w:val="both"/>
        <w:rPr>
          <w:rFonts w:ascii="Book Antiqua" w:hAnsi="Book Antiqua"/>
          <w:b/>
        </w:rPr>
      </w:pPr>
    </w:p>
    <w:p w14:paraId="1F375641" w14:textId="38B06F73" w:rsidR="0067744B" w:rsidRPr="00CE25D5" w:rsidRDefault="00031CEF" w:rsidP="00E715CA">
      <w:pPr>
        <w:spacing w:line="360" w:lineRule="auto"/>
        <w:jc w:val="both"/>
        <w:rPr>
          <w:rFonts w:ascii="Book Antiqua" w:hAnsi="Book Antiqua"/>
          <w:b/>
        </w:rPr>
      </w:pPr>
      <w:r w:rsidRPr="00CE25D5">
        <w:rPr>
          <w:rFonts w:ascii="Book Antiqua" w:hAnsi="Book Antiqua"/>
          <w:b/>
        </w:rPr>
        <w:t>Key</w:t>
      </w:r>
      <w:r w:rsidR="0060605D" w:rsidRPr="00CE25D5">
        <w:rPr>
          <w:rFonts w:ascii="Book Antiqua" w:eastAsia="宋体" w:hAnsi="Book Antiqua"/>
          <w:b/>
          <w:lang w:eastAsia="zh-CN"/>
        </w:rPr>
        <w:t xml:space="preserve"> </w:t>
      </w:r>
      <w:r w:rsidRPr="00CE25D5">
        <w:rPr>
          <w:rFonts w:ascii="Book Antiqua" w:hAnsi="Book Antiqua"/>
          <w:b/>
        </w:rPr>
        <w:t>words:</w:t>
      </w:r>
      <w:r w:rsidR="0060605D" w:rsidRPr="00CE25D5">
        <w:rPr>
          <w:rFonts w:ascii="Book Antiqua" w:eastAsia="宋体" w:hAnsi="Book Antiqua"/>
          <w:b/>
          <w:lang w:eastAsia="zh-CN"/>
        </w:rPr>
        <w:t xml:space="preserve"> </w:t>
      </w:r>
      <w:r w:rsidR="00F24579" w:rsidRPr="00CE25D5">
        <w:rPr>
          <w:rFonts w:ascii="Book Antiqua" w:hAnsi="Book Antiqua"/>
        </w:rPr>
        <w:t xml:space="preserve">Arthroplasty; </w:t>
      </w:r>
      <w:r w:rsidR="00F9735C" w:rsidRPr="00CE25D5">
        <w:rPr>
          <w:rFonts w:ascii="Book Antiqua" w:hAnsi="Book Antiqua"/>
        </w:rPr>
        <w:t>H</w:t>
      </w:r>
      <w:r w:rsidR="00580449" w:rsidRPr="00CE25D5">
        <w:rPr>
          <w:rFonts w:ascii="Book Antiqua" w:hAnsi="Book Antiqua"/>
        </w:rPr>
        <w:t xml:space="preserve">ip; </w:t>
      </w:r>
      <w:r w:rsidR="00F9735C" w:rsidRPr="00CE25D5">
        <w:rPr>
          <w:rFonts w:ascii="Book Antiqua" w:hAnsi="Book Antiqua"/>
        </w:rPr>
        <w:t>K</w:t>
      </w:r>
      <w:r w:rsidR="00580449" w:rsidRPr="00CE25D5">
        <w:rPr>
          <w:rFonts w:ascii="Book Antiqua" w:hAnsi="Book Antiqua"/>
        </w:rPr>
        <w:t xml:space="preserve">nee; </w:t>
      </w:r>
      <w:r w:rsidR="00F9735C" w:rsidRPr="00CE25D5">
        <w:rPr>
          <w:rFonts w:ascii="Book Antiqua" w:hAnsi="Book Antiqua"/>
        </w:rPr>
        <w:t>T</w:t>
      </w:r>
      <w:r w:rsidR="00F24579" w:rsidRPr="00CE25D5">
        <w:rPr>
          <w:rFonts w:ascii="Book Antiqua" w:hAnsi="Book Antiqua"/>
        </w:rPr>
        <w:t xml:space="preserve">ranexamic acid; </w:t>
      </w:r>
      <w:r w:rsidR="00F9735C" w:rsidRPr="00CE25D5">
        <w:rPr>
          <w:rFonts w:ascii="Book Antiqua" w:hAnsi="Book Antiqua"/>
        </w:rPr>
        <w:t>C</w:t>
      </w:r>
      <w:r w:rsidR="00F24579" w:rsidRPr="00CE25D5">
        <w:rPr>
          <w:rFonts w:ascii="Book Antiqua" w:hAnsi="Book Antiqua"/>
        </w:rPr>
        <w:t>ost-benefit</w:t>
      </w:r>
      <w:r w:rsidR="00AE0C93" w:rsidRPr="00CE25D5">
        <w:rPr>
          <w:rFonts w:ascii="Book Antiqua" w:hAnsi="Book Antiqua"/>
        </w:rPr>
        <w:t xml:space="preserve"> analysis</w:t>
      </w:r>
    </w:p>
    <w:p w14:paraId="15B446A4" w14:textId="77777777" w:rsidR="00196A1A" w:rsidRPr="00CE25D5" w:rsidRDefault="00196A1A" w:rsidP="00E715CA">
      <w:pPr>
        <w:spacing w:line="360" w:lineRule="auto"/>
        <w:jc w:val="both"/>
        <w:rPr>
          <w:rFonts w:ascii="Book Antiqua" w:eastAsia="宋体" w:hAnsi="Book Antiqua"/>
          <w:lang w:eastAsia="zh-CN"/>
        </w:rPr>
      </w:pPr>
    </w:p>
    <w:p w14:paraId="6EE6E044" w14:textId="77777777" w:rsidR="00F9735C" w:rsidRPr="00CE25D5" w:rsidRDefault="00F9735C" w:rsidP="00E715CA">
      <w:pPr>
        <w:spacing w:line="360" w:lineRule="auto"/>
        <w:jc w:val="both"/>
        <w:rPr>
          <w:rFonts w:ascii="Book Antiqua" w:hAnsi="Book Antiqua" w:cs="Arial"/>
        </w:rPr>
      </w:pPr>
      <w:proofErr w:type="gramStart"/>
      <w:r w:rsidRPr="00CE25D5">
        <w:rPr>
          <w:rFonts w:ascii="Book Antiqua" w:hAnsi="Book Antiqua"/>
          <w:b/>
        </w:rPr>
        <w:lastRenderedPageBreak/>
        <w:t xml:space="preserve">© </w:t>
      </w:r>
      <w:r w:rsidRPr="00CE25D5">
        <w:rPr>
          <w:rFonts w:ascii="Book Antiqua" w:hAnsi="Book Antiqua" w:cs="Arial"/>
          <w:b/>
        </w:rPr>
        <w:t>The Author(s) 2015.</w:t>
      </w:r>
      <w:proofErr w:type="gramEnd"/>
      <w:r w:rsidRPr="00CE25D5">
        <w:rPr>
          <w:rFonts w:ascii="Book Antiqua" w:hAnsi="Book Antiqua" w:cs="Arial"/>
        </w:rPr>
        <w:t xml:space="preserve"> Published by </w:t>
      </w:r>
      <w:proofErr w:type="spellStart"/>
      <w:r w:rsidRPr="00CE25D5">
        <w:rPr>
          <w:rFonts w:ascii="Book Antiqua" w:hAnsi="Book Antiqua" w:cs="Arial"/>
        </w:rPr>
        <w:t>Baishideng</w:t>
      </w:r>
      <w:proofErr w:type="spellEnd"/>
      <w:r w:rsidRPr="00CE25D5">
        <w:rPr>
          <w:rFonts w:ascii="Book Antiqua" w:hAnsi="Book Antiqua" w:cs="Arial"/>
        </w:rPr>
        <w:t xml:space="preserve"> Publishing Group Inc. All rights reserved.</w:t>
      </w:r>
    </w:p>
    <w:p w14:paraId="63B05F79" w14:textId="77777777" w:rsidR="00F9735C" w:rsidRPr="00CE25D5" w:rsidRDefault="00F9735C" w:rsidP="00E715CA">
      <w:pPr>
        <w:spacing w:line="360" w:lineRule="auto"/>
        <w:jc w:val="both"/>
        <w:rPr>
          <w:rFonts w:ascii="Book Antiqua" w:eastAsia="宋体" w:hAnsi="Book Antiqua"/>
          <w:lang w:eastAsia="zh-CN"/>
        </w:rPr>
      </w:pPr>
    </w:p>
    <w:p w14:paraId="274B6402" w14:textId="37727BB5" w:rsidR="000C4834" w:rsidRPr="00CE25D5" w:rsidRDefault="008D581D" w:rsidP="00E715CA">
      <w:pPr>
        <w:spacing w:line="360" w:lineRule="auto"/>
        <w:jc w:val="both"/>
        <w:rPr>
          <w:rFonts w:ascii="Book Antiqua" w:hAnsi="Book Antiqua"/>
        </w:rPr>
      </w:pPr>
      <w:r w:rsidRPr="00CE25D5">
        <w:rPr>
          <w:rFonts w:ascii="Book Antiqua" w:hAnsi="Book Antiqua"/>
          <w:b/>
        </w:rPr>
        <w:t>Core t</w:t>
      </w:r>
      <w:r w:rsidR="00031CEF" w:rsidRPr="00CE25D5">
        <w:rPr>
          <w:rFonts w:ascii="Book Antiqua" w:hAnsi="Book Antiqua"/>
          <w:b/>
        </w:rPr>
        <w:t>ip</w:t>
      </w:r>
      <w:r w:rsidRPr="00CE25D5">
        <w:rPr>
          <w:rFonts w:ascii="Book Antiqua" w:hAnsi="Book Antiqua"/>
        </w:rPr>
        <w:t xml:space="preserve">: </w:t>
      </w:r>
      <w:r w:rsidR="007B0A26" w:rsidRPr="00CE25D5">
        <w:rPr>
          <w:rFonts w:ascii="Book Antiqua" w:hAnsi="Book Antiqua"/>
        </w:rPr>
        <w:t>Worldwide the demand for lower limb arthroplasty procedures is increasing in the context of a diminishing economic climate. Total hip replacement and total knee replacement have traditionally been associated with large volume blood loss</w:t>
      </w:r>
      <w:r w:rsidR="007A0755" w:rsidRPr="00CE25D5">
        <w:rPr>
          <w:rFonts w:ascii="Book Antiqua" w:hAnsi="Book Antiqua"/>
        </w:rPr>
        <w:t xml:space="preserve"> and the need for transfusion. Use of p</w:t>
      </w:r>
      <w:r w:rsidR="007B0A26" w:rsidRPr="00CE25D5">
        <w:rPr>
          <w:rFonts w:ascii="Book Antiqua" w:hAnsi="Book Antiqua"/>
        </w:rPr>
        <w:t xml:space="preserve">erioperative intravenous tranexamic acid </w:t>
      </w:r>
      <w:r w:rsidR="00A953C1" w:rsidRPr="00CE25D5">
        <w:rPr>
          <w:rFonts w:ascii="Book Antiqua" w:eastAsia="宋体" w:hAnsi="Book Antiqua" w:hint="eastAsia"/>
          <w:lang w:eastAsia="zh-CN"/>
        </w:rPr>
        <w:t>(</w:t>
      </w:r>
      <w:r w:rsidR="00A953C1" w:rsidRPr="00CE25D5">
        <w:rPr>
          <w:rFonts w:ascii="Book Antiqua" w:hAnsi="Book Antiqua"/>
        </w:rPr>
        <w:t>TXA</w:t>
      </w:r>
      <w:r w:rsidR="00A953C1" w:rsidRPr="00CE25D5">
        <w:rPr>
          <w:rFonts w:ascii="Book Antiqua" w:eastAsia="宋体" w:hAnsi="Book Antiqua" w:hint="eastAsia"/>
          <w:lang w:eastAsia="zh-CN"/>
        </w:rPr>
        <w:t>)</w:t>
      </w:r>
      <w:r w:rsidR="00A953C1" w:rsidRPr="00CE25D5">
        <w:rPr>
          <w:rFonts w:ascii="Book Antiqua" w:hAnsi="Book Antiqua"/>
        </w:rPr>
        <w:t xml:space="preserve"> </w:t>
      </w:r>
      <w:r w:rsidR="007B0A26" w:rsidRPr="00CE25D5">
        <w:rPr>
          <w:rFonts w:ascii="Book Antiqua" w:hAnsi="Book Antiqua"/>
        </w:rPr>
        <w:t xml:space="preserve">has been shown to be a cost effective measure, which reduces the need for transfusion. In this study, </w:t>
      </w:r>
      <w:r w:rsidR="00A953C1" w:rsidRPr="00CE25D5">
        <w:rPr>
          <w:rFonts w:ascii="Book Antiqua" w:hAnsi="Book Antiqua"/>
        </w:rPr>
        <w:t>TXA</w:t>
      </w:r>
      <w:r w:rsidR="007B0A26" w:rsidRPr="00CE25D5">
        <w:rPr>
          <w:rFonts w:ascii="Book Antiqua" w:hAnsi="Book Antiqua"/>
        </w:rPr>
        <w:t xml:space="preserve"> was found to significantly reduce the number of patients requiring blood transfusion post-operatively, which has both clinical and economic significance.</w:t>
      </w:r>
    </w:p>
    <w:p w14:paraId="1248703B" w14:textId="77777777" w:rsidR="000C4834" w:rsidRPr="00CE25D5" w:rsidRDefault="000C4834" w:rsidP="00E715CA">
      <w:pPr>
        <w:spacing w:line="360" w:lineRule="auto"/>
        <w:jc w:val="both"/>
        <w:rPr>
          <w:rFonts w:ascii="Book Antiqua" w:hAnsi="Book Antiqua"/>
          <w:b/>
        </w:rPr>
      </w:pPr>
    </w:p>
    <w:p w14:paraId="493DF726" w14:textId="47324742" w:rsidR="008D581D" w:rsidRPr="00CE25D5" w:rsidRDefault="008D581D" w:rsidP="00E715CA">
      <w:pPr>
        <w:spacing w:line="360" w:lineRule="auto"/>
        <w:jc w:val="both"/>
        <w:rPr>
          <w:rFonts w:ascii="Book Antiqua" w:hAnsi="Book Antiqua"/>
        </w:rPr>
      </w:pPr>
      <w:proofErr w:type="spellStart"/>
      <w:r w:rsidRPr="00BA3290">
        <w:rPr>
          <w:rFonts w:ascii="Book Antiqua" w:hAnsi="Book Antiqua"/>
        </w:rPr>
        <w:t>McGoldrick</w:t>
      </w:r>
      <w:proofErr w:type="spellEnd"/>
      <w:r w:rsidRPr="00BA3290">
        <w:rPr>
          <w:rFonts w:ascii="Book Antiqua" w:hAnsi="Book Antiqua"/>
        </w:rPr>
        <w:t xml:space="preserve"> NP, </w:t>
      </w:r>
      <w:r w:rsidRPr="00CE25D5">
        <w:rPr>
          <w:rFonts w:ascii="Book Antiqua" w:hAnsi="Book Antiqua"/>
        </w:rPr>
        <w:t xml:space="preserve">O’Connor EM, </w:t>
      </w:r>
      <w:proofErr w:type="spellStart"/>
      <w:r w:rsidRPr="00CE25D5">
        <w:rPr>
          <w:rFonts w:ascii="Book Antiqua" w:hAnsi="Book Antiqua"/>
        </w:rPr>
        <w:t>Davarinos</w:t>
      </w:r>
      <w:proofErr w:type="spellEnd"/>
      <w:r w:rsidRPr="00CE25D5">
        <w:rPr>
          <w:rFonts w:ascii="Book Antiqua" w:hAnsi="Book Antiqua"/>
        </w:rPr>
        <w:t xml:space="preserve"> N, Galvin R, Quinlan JF.</w:t>
      </w:r>
      <w:r w:rsidR="00F9735C" w:rsidRPr="00CE25D5">
        <w:rPr>
          <w:rFonts w:ascii="Book Antiqua" w:hAnsi="Book Antiqua"/>
        </w:rPr>
        <w:t xml:space="preserve"> Cost benefit analysis of the use of tranexamic acid in primary lower limb arthroplasty: A retrospective cohort study</w:t>
      </w:r>
      <w:r w:rsidRPr="00CE25D5">
        <w:rPr>
          <w:rFonts w:ascii="Book Antiqua" w:hAnsi="Book Antiqua"/>
        </w:rPr>
        <w:t xml:space="preserve">. </w:t>
      </w:r>
      <w:r w:rsidRPr="00CE25D5">
        <w:rPr>
          <w:rFonts w:ascii="Book Antiqua" w:hAnsi="Book Antiqua"/>
          <w:i/>
        </w:rPr>
        <w:t xml:space="preserve">World J </w:t>
      </w:r>
      <w:proofErr w:type="spellStart"/>
      <w:r w:rsidRPr="00CE25D5">
        <w:rPr>
          <w:rFonts w:ascii="Book Antiqua" w:hAnsi="Book Antiqua"/>
          <w:i/>
        </w:rPr>
        <w:t>Orthop</w:t>
      </w:r>
      <w:proofErr w:type="spellEnd"/>
      <w:r w:rsidRPr="00CE25D5">
        <w:rPr>
          <w:rFonts w:ascii="Book Antiqua" w:hAnsi="Book Antiqua"/>
        </w:rPr>
        <w:t xml:space="preserve"> 2015; </w:t>
      </w:r>
      <w:proofErr w:type="gramStart"/>
      <w:r w:rsidRPr="00CE25D5">
        <w:rPr>
          <w:rFonts w:ascii="Book Antiqua" w:hAnsi="Book Antiqua"/>
        </w:rPr>
        <w:t>In</w:t>
      </w:r>
      <w:proofErr w:type="gramEnd"/>
      <w:r w:rsidRPr="00CE25D5">
        <w:rPr>
          <w:rFonts w:ascii="Book Antiqua" w:hAnsi="Book Antiqua"/>
        </w:rPr>
        <w:t xml:space="preserve"> press</w:t>
      </w:r>
    </w:p>
    <w:p w14:paraId="6EA23640" w14:textId="77777777" w:rsidR="008D581D" w:rsidRPr="00CE25D5" w:rsidRDefault="008D581D" w:rsidP="00E715CA">
      <w:pPr>
        <w:spacing w:line="360" w:lineRule="auto"/>
        <w:jc w:val="both"/>
        <w:rPr>
          <w:rFonts w:ascii="Book Antiqua" w:hAnsi="Book Antiqua"/>
          <w:b/>
        </w:rPr>
      </w:pPr>
    </w:p>
    <w:p w14:paraId="3BFCC103" w14:textId="77777777" w:rsidR="00F9735C" w:rsidRPr="00CE25D5" w:rsidRDefault="00F9735C" w:rsidP="00E715CA">
      <w:pPr>
        <w:spacing w:line="360" w:lineRule="auto"/>
        <w:jc w:val="both"/>
        <w:rPr>
          <w:rFonts w:ascii="Book Antiqua" w:hAnsi="Book Antiqua"/>
          <w:b/>
        </w:rPr>
      </w:pPr>
      <w:r w:rsidRPr="00CE25D5">
        <w:rPr>
          <w:rFonts w:ascii="Book Antiqua" w:hAnsi="Book Antiqua"/>
          <w:b/>
        </w:rPr>
        <w:br w:type="page"/>
      </w:r>
    </w:p>
    <w:p w14:paraId="5BB8AC73" w14:textId="5C978601" w:rsidR="000C4834" w:rsidRPr="00CE25D5" w:rsidRDefault="00F9735C" w:rsidP="00E715CA">
      <w:pPr>
        <w:spacing w:line="360" w:lineRule="auto"/>
        <w:jc w:val="both"/>
        <w:rPr>
          <w:rFonts w:ascii="Book Antiqua" w:hAnsi="Book Antiqua"/>
          <w:b/>
        </w:rPr>
      </w:pPr>
      <w:r w:rsidRPr="00CE25D5">
        <w:rPr>
          <w:rFonts w:ascii="Book Antiqua" w:hAnsi="Book Antiqua"/>
          <w:b/>
        </w:rPr>
        <w:lastRenderedPageBreak/>
        <w:t>INTRODUCTION</w:t>
      </w:r>
    </w:p>
    <w:p w14:paraId="4909F5CD" w14:textId="1D265906" w:rsidR="00F45478" w:rsidRPr="00CE25D5" w:rsidRDefault="00F45478" w:rsidP="00E715CA">
      <w:pPr>
        <w:spacing w:line="360" w:lineRule="auto"/>
        <w:jc w:val="both"/>
        <w:rPr>
          <w:rFonts w:ascii="Book Antiqua" w:hAnsi="Book Antiqua"/>
        </w:rPr>
      </w:pPr>
      <w:r w:rsidRPr="00CE25D5">
        <w:rPr>
          <w:rFonts w:ascii="Book Antiqua" w:hAnsi="Book Antiqua"/>
        </w:rPr>
        <w:t>An aging population globally, coupled with an expansion of the indications for total hip replacement (THR) and total knee replacement (TKR) has meant</w:t>
      </w:r>
      <w:r w:rsidR="007E3E72" w:rsidRPr="00CE25D5">
        <w:rPr>
          <w:rFonts w:ascii="Book Antiqua" w:hAnsi="Book Antiqua"/>
        </w:rPr>
        <w:t xml:space="preserve"> that the demand for lower limb</w:t>
      </w:r>
      <w:r w:rsidRPr="00CE25D5">
        <w:rPr>
          <w:rFonts w:ascii="Book Antiqua" w:hAnsi="Book Antiqua"/>
        </w:rPr>
        <w:t xml:space="preserve"> arthroplasty is expected to increase in the </w:t>
      </w:r>
      <w:proofErr w:type="gramStart"/>
      <w:r w:rsidRPr="00CE25D5">
        <w:rPr>
          <w:rFonts w:ascii="Book Antiqua" w:hAnsi="Book Antiqua"/>
        </w:rPr>
        <w:t>future</w:t>
      </w:r>
      <w:r w:rsidR="00B6057C" w:rsidRPr="00CE25D5">
        <w:rPr>
          <w:rFonts w:ascii="Book Antiqua" w:hAnsi="Book Antiqua"/>
          <w:vertAlign w:val="superscript"/>
        </w:rPr>
        <w:t>[</w:t>
      </w:r>
      <w:proofErr w:type="gramEnd"/>
      <w:r w:rsidR="00B6057C" w:rsidRPr="00CE25D5">
        <w:rPr>
          <w:rFonts w:ascii="Book Antiqua" w:hAnsi="Book Antiqua"/>
          <w:vertAlign w:val="superscript"/>
        </w:rPr>
        <w:t>1]</w:t>
      </w:r>
      <w:r w:rsidRPr="00CE25D5">
        <w:rPr>
          <w:rFonts w:ascii="Book Antiqua" w:hAnsi="Book Antiqua"/>
        </w:rPr>
        <w:t xml:space="preserve">. Against this, the economic climate worldwide has resulted in reduced healthcare funding whilst expecting increased productivity from the </w:t>
      </w:r>
      <w:proofErr w:type="spellStart"/>
      <w:r w:rsidRPr="00CE25D5">
        <w:rPr>
          <w:rFonts w:ascii="Book Antiqua" w:hAnsi="Book Antiqua"/>
        </w:rPr>
        <w:t>orthopaedic</w:t>
      </w:r>
      <w:proofErr w:type="spellEnd"/>
      <w:r w:rsidRPr="00CE25D5">
        <w:rPr>
          <w:rFonts w:ascii="Book Antiqua" w:hAnsi="Book Antiqua"/>
        </w:rPr>
        <w:t xml:space="preserve"> surgeon.</w:t>
      </w:r>
    </w:p>
    <w:p w14:paraId="56BCAACF" w14:textId="155FC2D7" w:rsidR="000C4834" w:rsidRPr="00CE25D5" w:rsidRDefault="00F45478" w:rsidP="00E715CA">
      <w:pPr>
        <w:spacing w:line="360" w:lineRule="auto"/>
        <w:ind w:firstLineChars="100" w:firstLine="240"/>
        <w:jc w:val="both"/>
        <w:rPr>
          <w:rFonts w:ascii="Book Antiqua" w:hAnsi="Book Antiqua"/>
        </w:rPr>
      </w:pPr>
      <w:r w:rsidRPr="00CE25D5">
        <w:rPr>
          <w:rFonts w:ascii="Book Antiqua" w:hAnsi="Book Antiqua"/>
        </w:rPr>
        <w:t>Surgical procedures such as THR and TKR may require allogeneic blood transfusion post-</w:t>
      </w:r>
      <w:proofErr w:type="gramStart"/>
      <w:r w:rsidRPr="00CE25D5">
        <w:rPr>
          <w:rFonts w:ascii="Book Antiqua" w:hAnsi="Book Antiqua"/>
        </w:rPr>
        <w:t>operatively</w:t>
      </w:r>
      <w:r w:rsidR="0011667E" w:rsidRPr="00CE25D5">
        <w:rPr>
          <w:rFonts w:ascii="Book Antiqua" w:hAnsi="Book Antiqua"/>
          <w:vertAlign w:val="superscript"/>
        </w:rPr>
        <w:t>[</w:t>
      </w:r>
      <w:proofErr w:type="gramEnd"/>
      <w:r w:rsidR="0011667E" w:rsidRPr="00CE25D5">
        <w:rPr>
          <w:rFonts w:ascii="Book Antiqua" w:hAnsi="Book Antiqua"/>
          <w:vertAlign w:val="superscript"/>
        </w:rPr>
        <w:t>2,</w:t>
      </w:r>
      <w:r w:rsidR="00B6057C" w:rsidRPr="00CE25D5">
        <w:rPr>
          <w:rFonts w:ascii="Book Antiqua" w:hAnsi="Book Antiqua"/>
          <w:vertAlign w:val="superscript"/>
        </w:rPr>
        <w:t>3]</w:t>
      </w:r>
      <w:r w:rsidRPr="00CE25D5">
        <w:rPr>
          <w:rFonts w:ascii="Book Antiqua" w:hAnsi="Book Antiqua"/>
        </w:rPr>
        <w:t xml:space="preserve">. </w:t>
      </w:r>
      <w:r w:rsidR="00394812" w:rsidRPr="00CE25D5">
        <w:rPr>
          <w:rFonts w:ascii="Book Antiqua" w:hAnsi="Book Antiqua"/>
        </w:rPr>
        <w:t>Perioperative transfusion of blood product</w:t>
      </w:r>
      <w:r w:rsidR="00022BEF" w:rsidRPr="00CE25D5">
        <w:rPr>
          <w:rFonts w:ascii="Book Antiqua" w:hAnsi="Book Antiqua"/>
        </w:rPr>
        <w:t>s</w:t>
      </w:r>
      <w:r w:rsidR="00394812" w:rsidRPr="00CE25D5">
        <w:rPr>
          <w:rFonts w:ascii="Book Antiqua" w:hAnsi="Book Antiqua"/>
        </w:rPr>
        <w:t xml:space="preserve"> not only adds expense to the procedure, but also places the patient at increased risk of wound infection, immune suppression and allergy, transfusion-related lung injury (TRALI) and transmission of viral </w:t>
      </w:r>
      <w:proofErr w:type="gramStart"/>
      <w:r w:rsidR="00394812" w:rsidRPr="00CE25D5">
        <w:rPr>
          <w:rFonts w:ascii="Book Antiqua" w:hAnsi="Book Antiqua"/>
        </w:rPr>
        <w:t>pathogens</w:t>
      </w:r>
      <w:r w:rsidR="00B6057C" w:rsidRPr="00CE25D5">
        <w:rPr>
          <w:rFonts w:ascii="Book Antiqua" w:hAnsi="Book Antiqua"/>
          <w:vertAlign w:val="superscript"/>
        </w:rPr>
        <w:t>[</w:t>
      </w:r>
      <w:proofErr w:type="gramEnd"/>
      <w:r w:rsidR="00B6057C" w:rsidRPr="00CE25D5">
        <w:rPr>
          <w:rFonts w:ascii="Book Antiqua" w:hAnsi="Book Antiqua"/>
          <w:vertAlign w:val="superscript"/>
        </w:rPr>
        <w:t>4-6]</w:t>
      </w:r>
      <w:r w:rsidR="00394812" w:rsidRPr="00CE25D5">
        <w:rPr>
          <w:rFonts w:ascii="Book Antiqua" w:hAnsi="Book Antiqua"/>
        </w:rPr>
        <w:t xml:space="preserve">. </w:t>
      </w:r>
      <w:r w:rsidR="001E3974" w:rsidRPr="00CE25D5">
        <w:rPr>
          <w:rFonts w:ascii="Book Antiqua" w:hAnsi="Book Antiqua"/>
        </w:rPr>
        <w:t xml:space="preserve">Efforts have therefore focused on maintaining post-operative </w:t>
      </w:r>
      <w:proofErr w:type="spellStart"/>
      <w:r w:rsidR="001E3974" w:rsidRPr="00CE25D5">
        <w:rPr>
          <w:rFonts w:ascii="Book Antiqua" w:hAnsi="Book Antiqua"/>
        </w:rPr>
        <w:t>haemoglobin</w:t>
      </w:r>
      <w:proofErr w:type="spellEnd"/>
      <w:r w:rsidR="001E3974" w:rsidRPr="00CE25D5">
        <w:rPr>
          <w:rFonts w:ascii="Book Antiqua" w:hAnsi="Book Antiqua"/>
        </w:rPr>
        <w:t xml:space="preserve"> levels and minimizing the need for blood transfusions. Such measures may reduce overall surgical morbidity and length of in-hospital admission, while minimizing the burden of additional blood tests.</w:t>
      </w:r>
    </w:p>
    <w:p w14:paraId="16E1E220" w14:textId="5319A0C9" w:rsidR="001E3974" w:rsidRPr="00CE25D5" w:rsidRDefault="00B37520" w:rsidP="0011667E">
      <w:pPr>
        <w:spacing w:line="360" w:lineRule="auto"/>
        <w:ind w:firstLineChars="100" w:firstLine="240"/>
        <w:jc w:val="both"/>
        <w:rPr>
          <w:rFonts w:ascii="Book Antiqua" w:hAnsi="Book Antiqua"/>
        </w:rPr>
      </w:pPr>
      <w:r w:rsidRPr="00CE25D5">
        <w:rPr>
          <w:rFonts w:ascii="Book Antiqua" w:hAnsi="Book Antiqua"/>
        </w:rPr>
        <w:t>Perioperative t</w:t>
      </w:r>
      <w:r w:rsidR="001E3974" w:rsidRPr="00CE25D5">
        <w:rPr>
          <w:rFonts w:ascii="Book Antiqua" w:hAnsi="Book Antiqua"/>
        </w:rPr>
        <w:t xml:space="preserve">ranexamic acid (TXA) has emerged as a useful adjunctive agent </w:t>
      </w:r>
      <w:r w:rsidRPr="00CE25D5">
        <w:rPr>
          <w:rFonts w:ascii="Book Antiqua" w:hAnsi="Book Antiqua"/>
        </w:rPr>
        <w:t>in reducing blood loss and the need for blood t</w:t>
      </w:r>
      <w:r w:rsidR="004B2D3E" w:rsidRPr="00CE25D5">
        <w:rPr>
          <w:rFonts w:ascii="Book Antiqua" w:hAnsi="Book Antiqua"/>
        </w:rPr>
        <w:t>ransfusion in lower limb</w:t>
      </w:r>
      <w:r w:rsidRPr="00CE25D5">
        <w:rPr>
          <w:rFonts w:ascii="Book Antiqua" w:hAnsi="Book Antiqua"/>
        </w:rPr>
        <w:t xml:space="preserve"> arth</w:t>
      </w:r>
      <w:r w:rsidR="004B2D3E" w:rsidRPr="00CE25D5">
        <w:rPr>
          <w:rFonts w:ascii="Book Antiqua" w:hAnsi="Book Antiqua"/>
        </w:rPr>
        <w:t>r</w:t>
      </w:r>
      <w:r w:rsidRPr="00CE25D5">
        <w:rPr>
          <w:rFonts w:ascii="Book Antiqua" w:hAnsi="Book Antiqua"/>
        </w:rPr>
        <w:t xml:space="preserve">oplasty. TXA is a synthetic derivative of the amino acid lysine, and exerts </w:t>
      </w:r>
      <w:proofErr w:type="spellStart"/>
      <w:r w:rsidRPr="00CE25D5">
        <w:rPr>
          <w:rFonts w:ascii="Book Antiqua" w:hAnsi="Book Antiqua"/>
        </w:rPr>
        <w:t>antifibrinolytic</w:t>
      </w:r>
      <w:proofErr w:type="spellEnd"/>
      <w:r w:rsidRPr="00CE25D5">
        <w:rPr>
          <w:rFonts w:ascii="Book Antiqua" w:hAnsi="Book Antiqua"/>
        </w:rPr>
        <w:t xml:space="preserve"> activity by competitively binding the lysine sites on plasminogen. It is thought that this makes blood clots more resistant to degradation, thereby preventing further blood loss.</w:t>
      </w:r>
    </w:p>
    <w:p w14:paraId="722FD503" w14:textId="1FCFFA9C" w:rsidR="00B37520" w:rsidRPr="00CE25D5" w:rsidRDefault="00B37520" w:rsidP="0011667E">
      <w:pPr>
        <w:spacing w:line="360" w:lineRule="auto"/>
        <w:ind w:firstLineChars="98" w:firstLine="235"/>
        <w:jc w:val="both"/>
        <w:rPr>
          <w:rFonts w:ascii="Book Antiqua" w:hAnsi="Book Antiqua"/>
        </w:rPr>
      </w:pPr>
      <w:r w:rsidRPr="00CE25D5">
        <w:rPr>
          <w:rFonts w:ascii="Book Antiqua" w:hAnsi="Book Antiqua"/>
        </w:rPr>
        <w:t xml:space="preserve">Several recent studies have reported </w:t>
      </w:r>
      <w:proofErr w:type="spellStart"/>
      <w:r w:rsidRPr="00CE25D5">
        <w:rPr>
          <w:rFonts w:ascii="Book Antiqua" w:hAnsi="Book Antiqua"/>
        </w:rPr>
        <w:t>favourable</w:t>
      </w:r>
      <w:proofErr w:type="spellEnd"/>
      <w:r w:rsidRPr="00CE25D5">
        <w:rPr>
          <w:rFonts w:ascii="Book Antiqua" w:hAnsi="Book Antiqua"/>
        </w:rPr>
        <w:t xml:space="preserve"> outcomes for intravenous administration of TXA in both THR and </w:t>
      </w:r>
      <w:proofErr w:type="gramStart"/>
      <w:r w:rsidRPr="00CE25D5">
        <w:rPr>
          <w:rFonts w:ascii="Book Antiqua" w:hAnsi="Book Antiqua"/>
        </w:rPr>
        <w:t>TKR</w:t>
      </w:r>
      <w:r w:rsidR="0011667E" w:rsidRPr="00CE25D5">
        <w:rPr>
          <w:rFonts w:ascii="Book Antiqua" w:hAnsi="Book Antiqua"/>
          <w:vertAlign w:val="superscript"/>
        </w:rPr>
        <w:t>[</w:t>
      </w:r>
      <w:proofErr w:type="gramEnd"/>
      <w:r w:rsidR="0011667E" w:rsidRPr="00CE25D5">
        <w:rPr>
          <w:rFonts w:ascii="Book Antiqua" w:hAnsi="Book Antiqua"/>
          <w:vertAlign w:val="superscript"/>
        </w:rPr>
        <w:t>7,</w:t>
      </w:r>
      <w:r w:rsidR="00B6057C" w:rsidRPr="00CE25D5">
        <w:rPr>
          <w:rFonts w:ascii="Book Antiqua" w:hAnsi="Book Antiqua"/>
          <w:vertAlign w:val="superscript"/>
        </w:rPr>
        <w:t>8]</w:t>
      </w:r>
      <w:r w:rsidR="004A55FE" w:rsidRPr="00CE25D5">
        <w:rPr>
          <w:rFonts w:ascii="Book Antiqua" w:hAnsi="Book Antiqua"/>
        </w:rPr>
        <w:t>.</w:t>
      </w:r>
      <w:r w:rsidRPr="00CE25D5">
        <w:rPr>
          <w:rFonts w:ascii="Book Antiqua" w:hAnsi="Book Antiqua"/>
        </w:rPr>
        <w:t xml:space="preserve"> </w:t>
      </w:r>
      <w:r w:rsidR="007A0755" w:rsidRPr="00CE25D5">
        <w:rPr>
          <w:rFonts w:ascii="Book Antiqua" w:hAnsi="Book Antiqua"/>
        </w:rPr>
        <w:t>Studies examining o</w:t>
      </w:r>
      <w:r w:rsidRPr="00CE25D5">
        <w:rPr>
          <w:rFonts w:ascii="Book Antiqua" w:hAnsi="Book Antiqua"/>
        </w:rPr>
        <w:t>ral and t</w:t>
      </w:r>
      <w:r w:rsidR="007A0755" w:rsidRPr="00CE25D5">
        <w:rPr>
          <w:rFonts w:ascii="Book Antiqua" w:hAnsi="Book Antiqua"/>
        </w:rPr>
        <w:t>opical administration of TXA have</w:t>
      </w:r>
      <w:r w:rsidRPr="00CE25D5">
        <w:rPr>
          <w:rFonts w:ascii="Book Antiqua" w:hAnsi="Book Antiqua"/>
        </w:rPr>
        <w:t xml:space="preserve"> also demonstrated promising </w:t>
      </w:r>
      <w:proofErr w:type="gramStart"/>
      <w:r w:rsidRPr="00CE25D5">
        <w:rPr>
          <w:rFonts w:ascii="Book Antiqua" w:hAnsi="Book Antiqua"/>
        </w:rPr>
        <w:t>results</w:t>
      </w:r>
      <w:r w:rsidR="0011667E" w:rsidRPr="00CE25D5">
        <w:rPr>
          <w:rFonts w:ascii="Book Antiqua" w:hAnsi="Book Antiqua"/>
          <w:vertAlign w:val="superscript"/>
        </w:rPr>
        <w:t>[</w:t>
      </w:r>
      <w:proofErr w:type="gramEnd"/>
      <w:r w:rsidR="0011667E" w:rsidRPr="00CE25D5">
        <w:rPr>
          <w:rFonts w:ascii="Book Antiqua" w:hAnsi="Book Antiqua"/>
          <w:vertAlign w:val="superscript"/>
        </w:rPr>
        <w:t>9,</w:t>
      </w:r>
      <w:r w:rsidR="00B6057C" w:rsidRPr="00CE25D5">
        <w:rPr>
          <w:rFonts w:ascii="Book Antiqua" w:hAnsi="Book Antiqua"/>
          <w:vertAlign w:val="superscript"/>
        </w:rPr>
        <w:t>10]</w:t>
      </w:r>
      <w:r w:rsidRPr="00CE25D5">
        <w:rPr>
          <w:rFonts w:ascii="Book Antiqua" w:hAnsi="Book Antiqua"/>
        </w:rPr>
        <w:t>.</w:t>
      </w:r>
    </w:p>
    <w:p w14:paraId="2659AA5C" w14:textId="27C2B48A" w:rsidR="009D3396" w:rsidRPr="00CE25D5" w:rsidRDefault="009D3396" w:rsidP="0011667E">
      <w:pPr>
        <w:spacing w:line="360" w:lineRule="auto"/>
        <w:ind w:firstLineChars="100" w:firstLine="240"/>
        <w:jc w:val="both"/>
        <w:rPr>
          <w:rFonts w:ascii="Book Antiqua" w:hAnsi="Book Antiqua"/>
        </w:rPr>
      </w:pPr>
      <w:r w:rsidRPr="00CE25D5">
        <w:rPr>
          <w:rFonts w:ascii="Book Antiqua" w:hAnsi="Book Antiqua"/>
        </w:rPr>
        <w:t>The primary aim of this study was to evaluate whether the use of intravenous TXA in elective primar</w:t>
      </w:r>
      <w:r w:rsidR="00495EA5" w:rsidRPr="00CE25D5">
        <w:rPr>
          <w:rFonts w:ascii="Book Antiqua" w:hAnsi="Book Antiqua"/>
        </w:rPr>
        <w:t>y THR and TKR in a single surgeon series</w:t>
      </w:r>
      <w:r w:rsidRPr="00CE25D5">
        <w:rPr>
          <w:rFonts w:ascii="Book Antiqua" w:hAnsi="Book Antiqua"/>
        </w:rPr>
        <w:t xml:space="preserve"> resulted in </w:t>
      </w:r>
      <w:r w:rsidR="00FA4478" w:rsidRPr="00CE25D5">
        <w:rPr>
          <w:rFonts w:ascii="Book Antiqua" w:hAnsi="Book Antiqua"/>
        </w:rPr>
        <w:t xml:space="preserve">reduced transfusion rate of packed red blood cells. </w:t>
      </w:r>
      <w:r w:rsidR="0067744B" w:rsidRPr="00CE25D5">
        <w:rPr>
          <w:rFonts w:ascii="Book Antiqua" w:hAnsi="Book Antiqua"/>
        </w:rPr>
        <w:t>Seconda</w:t>
      </w:r>
      <w:r w:rsidR="007A0755" w:rsidRPr="00CE25D5">
        <w:rPr>
          <w:rFonts w:ascii="Book Antiqua" w:hAnsi="Book Antiqua"/>
        </w:rPr>
        <w:t>ry aims included examining the e</w:t>
      </w:r>
      <w:r w:rsidR="0067744B" w:rsidRPr="00CE25D5">
        <w:rPr>
          <w:rFonts w:ascii="Book Antiqua" w:hAnsi="Book Antiqua"/>
        </w:rPr>
        <w:t xml:space="preserve">ffect of TXA on post-operative </w:t>
      </w:r>
      <w:proofErr w:type="spellStart"/>
      <w:r w:rsidR="0067744B" w:rsidRPr="00CE25D5">
        <w:rPr>
          <w:rFonts w:ascii="Book Antiqua" w:hAnsi="Book Antiqua"/>
        </w:rPr>
        <w:t>haemoglobin</w:t>
      </w:r>
      <w:proofErr w:type="spellEnd"/>
      <w:r w:rsidR="0067744B" w:rsidRPr="00CE25D5">
        <w:rPr>
          <w:rFonts w:ascii="Book Antiqua" w:hAnsi="Book Antiqua"/>
        </w:rPr>
        <w:t xml:space="preserve">, </w:t>
      </w:r>
      <w:proofErr w:type="spellStart"/>
      <w:r w:rsidR="0067744B" w:rsidRPr="00CE25D5">
        <w:rPr>
          <w:rFonts w:ascii="Book Antiqua" w:hAnsi="Book Antiqua"/>
        </w:rPr>
        <w:t>haematocrit</w:t>
      </w:r>
      <w:proofErr w:type="spellEnd"/>
      <w:r w:rsidR="0067744B" w:rsidRPr="00CE25D5">
        <w:rPr>
          <w:rFonts w:ascii="Book Antiqua" w:hAnsi="Book Antiqua"/>
        </w:rPr>
        <w:t xml:space="preserve"> and platelet count, length of stay in hospital, rate of deep venous thrombosis (DVT) and pulmonary embolism (PE) and to assess whether its use is cost effective.</w:t>
      </w:r>
    </w:p>
    <w:p w14:paraId="08CDF942" w14:textId="77777777" w:rsidR="0011667E" w:rsidRPr="00CE25D5" w:rsidRDefault="0011667E" w:rsidP="00E715CA">
      <w:pPr>
        <w:spacing w:line="360" w:lineRule="auto"/>
        <w:jc w:val="both"/>
        <w:rPr>
          <w:rFonts w:ascii="Book Antiqua" w:eastAsia="宋体" w:hAnsi="Book Antiqua"/>
          <w:lang w:eastAsia="zh-CN"/>
        </w:rPr>
      </w:pPr>
    </w:p>
    <w:p w14:paraId="1EF1B891" w14:textId="0EE5C8D5" w:rsidR="000C4834" w:rsidRPr="00CE25D5" w:rsidRDefault="0011667E" w:rsidP="00E715CA">
      <w:pPr>
        <w:spacing w:line="360" w:lineRule="auto"/>
        <w:jc w:val="both"/>
        <w:rPr>
          <w:rFonts w:ascii="Book Antiqua" w:hAnsi="Book Antiqua"/>
          <w:b/>
        </w:rPr>
      </w:pPr>
      <w:r w:rsidRPr="00CE25D5">
        <w:rPr>
          <w:rFonts w:ascii="Book Antiqua" w:hAnsi="Book Antiqua"/>
          <w:b/>
        </w:rPr>
        <w:t>MATERIALS AND METHODS</w:t>
      </w:r>
    </w:p>
    <w:p w14:paraId="3A4265B2" w14:textId="4AD61D8B" w:rsidR="000C4834" w:rsidRPr="00CE25D5" w:rsidRDefault="00F93ACB" w:rsidP="00E715CA">
      <w:pPr>
        <w:spacing w:line="360" w:lineRule="auto"/>
        <w:jc w:val="both"/>
        <w:rPr>
          <w:rFonts w:ascii="Book Antiqua" w:hAnsi="Book Antiqua"/>
        </w:rPr>
      </w:pPr>
      <w:r w:rsidRPr="00CE25D5">
        <w:rPr>
          <w:rFonts w:ascii="Book Antiqua" w:hAnsi="Book Antiqua"/>
        </w:rPr>
        <w:t>This study was a</w:t>
      </w:r>
      <w:r w:rsidR="00E12A20" w:rsidRPr="00CE25D5">
        <w:rPr>
          <w:rFonts w:ascii="Book Antiqua" w:hAnsi="Book Antiqua"/>
        </w:rPr>
        <w:t xml:space="preserve"> retrospective review of a cohort of 200 consecutive primary total </w:t>
      </w:r>
      <w:r w:rsidR="00D03CD6" w:rsidRPr="00CE25D5">
        <w:rPr>
          <w:rFonts w:ascii="Book Antiqua" w:hAnsi="Book Antiqua"/>
        </w:rPr>
        <w:t>knee and hip replacements</w:t>
      </w:r>
      <w:r w:rsidR="00E12A20" w:rsidRPr="00CE25D5">
        <w:rPr>
          <w:rFonts w:ascii="Book Antiqua" w:hAnsi="Book Antiqua"/>
        </w:rPr>
        <w:t xml:space="preserve"> performed by a single </w:t>
      </w:r>
      <w:proofErr w:type="spellStart"/>
      <w:r w:rsidR="00E12A20" w:rsidRPr="00CE25D5">
        <w:rPr>
          <w:rFonts w:ascii="Book Antiqua" w:hAnsi="Book Antiqua"/>
        </w:rPr>
        <w:t>orthopaedic</w:t>
      </w:r>
      <w:proofErr w:type="spellEnd"/>
      <w:r w:rsidR="00E12A20" w:rsidRPr="00CE25D5">
        <w:rPr>
          <w:rFonts w:ascii="Book Antiqua" w:hAnsi="Book Antiqua"/>
        </w:rPr>
        <w:t xml:space="preserve"> surgeon at a single institution between September 2013 and March 2015. The initial 100 joints were all performed without perioperative a</w:t>
      </w:r>
      <w:r w:rsidR="00990E03" w:rsidRPr="00CE25D5">
        <w:rPr>
          <w:rFonts w:ascii="Book Antiqua" w:hAnsi="Book Antiqua"/>
        </w:rPr>
        <w:t>dministration of TXA</w:t>
      </w:r>
      <w:r w:rsidR="00122272" w:rsidRPr="00CE25D5">
        <w:rPr>
          <w:rFonts w:ascii="Book Antiqua" w:hAnsi="Book Antiqua"/>
        </w:rPr>
        <w:t xml:space="preserve"> (control group)</w:t>
      </w:r>
      <w:r w:rsidR="00E12A20" w:rsidRPr="00CE25D5">
        <w:rPr>
          <w:rFonts w:ascii="Book Antiqua" w:hAnsi="Book Antiqua"/>
        </w:rPr>
        <w:t xml:space="preserve">. The subsequent 100 joints were all performed with additional perioperative </w:t>
      </w:r>
      <w:r w:rsidR="00990E03" w:rsidRPr="00CE25D5">
        <w:rPr>
          <w:rFonts w:ascii="Book Antiqua" w:hAnsi="Book Antiqua"/>
        </w:rPr>
        <w:t>TXA</w:t>
      </w:r>
      <w:r w:rsidR="00122272" w:rsidRPr="00CE25D5">
        <w:rPr>
          <w:rFonts w:ascii="Book Antiqua" w:hAnsi="Book Antiqua"/>
        </w:rPr>
        <w:t xml:space="preserve"> (</w:t>
      </w:r>
      <w:r w:rsidR="00990E03" w:rsidRPr="00CE25D5">
        <w:rPr>
          <w:rFonts w:ascii="Book Antiqua" w:hAnsi="Book Antiqua"/>
        </w:rPr>
        <w:t>TXA</w:t>
      </w:r>
      <w:r w:rsidR="00122272" w:rsidRPr="00CE25D5">
        <w:rPr>
          <w:rFonts w:ascii="Book Antiqua" w:hAnsi="Book Antiqua"/>
        </w:rPr>
        <w:t xml:space="preserve"> group)</w:t>
      </w:r>
      <w:r w:rsidR="009030F1" w:rsidRPr="00CE25D5">
        <w:rPr>
          <w:rFonts w:ascii="Book Antiqua" w:hAnsi="Book Antiqua"/>
        </w:rPr>
        <w:t>. Revision joints, arthroplasties</w:t>
      </w:r>
      <w:r w:rsidR="00E12A20" w:rsidRPr="00CE25D5">
        <w:rPr>
          <w:rFonts w:ascii="Book Antiqua" w:hAnsi="Book Antiqua"/>
        </w:rPr>
        <w:t xml:space="preserve"> </w:t>
      </w:r>
      <w:proofErr w:type="spellStart"/>
      <w:r w:rsidR="00E12A20" w:rsidRPr="00CE25D5">
        <w:rPr>
          <w:rFonts w:ascii="Book Antiqua" w:hAnsi="Book Antiqua"/>
        </w:rPr>
        <w:t>perfomed</w:t>
      </w:r>
      <w:proofErr w:type="spellEnd"/>
      <w:r w:rsidR="00E12A20" w:rsidRPr="00CE25D5">
        <w:rPr>
          <w:rFonts w:ascii="Book Antiqua" w:hAnsi="Book Antiqua"/>
        </w:rPr>
        <w:t xml:space="preserve"> for fracture, and simultaneous bilateral procedures were excluded from the </w:t>
      </w:r>
      <w:r w:rsidR="009030F1" w:rsidRPr="00CE25D5">
        <w:rPr>
          <w:rFonts w:ascii="Book Antiqua" w:hAnsi="Book Antiqua"/>
        </w:rPr>
        <w:t>analysis</w:t>
      </w:r>
      <w:r w:rsidR="00E12A20" w:rsidRPr="00CE25D5">
        <w:rPr>
          <w:rFonts w:ascii="Book Antiqua" w:hAnsi="Book Antiqua"/>
        </w:rPr>
        <w:t xml:space="preserve">. </w:t>
      </w:r>
    </w:p>
    <w:p w14:paraId="758D9076" w14:textId="2AC28A31" w:rsidR="00E12A20" w:rsidRPr="00CE25D5" w:rsidRDefault="009030F1" w:rsidP="002F1F52">
      <w:pPr>
        <w:spacing w:line="360" w:lineRule="auto"/>
        <w:ind w:firstLineChars="100" w:firstLine="240"/>
        <w:jc w:val="both"/>
        <w:rPr>
          <w:rFonts w:ascii="Book Antiqua" w:hAnsi="Book Antiqua"/>
        </w:rPr>
      </w:pPr>
      <w:r w:rsidRPr="00CE25D5">
        <w:rPr>
          <w:rFonts w:ascii="Book Antiqua" w:hAnsi="Book Antiqua"/>
        </w:rPr>
        <w:t>Preoperative antibiotic prophylaxis followed local institutional protocol and consisted of intravenou</w:t>
      </w:r>
      <w:r w:rsidR="00903CB8" w:rsidRPr="00CE25D5">
        <w:rPr>
          <w:rFonts w:ascii="Book Antiqua" w:hAnsi="Book Antiqua"/>
        </w:rPr>
        <w:t xml:space="preserve">s cefuroxime, or alternatively </w:t>
      </w:r>
      <w:proofErr w:type="spellStart"/>
      <w:r w:rsidR="00903CB8" w:rsidRPr="00CE25D5">
        <w:rPr>
          <w:rFonts w:ascii="Book Antiqua" w:hAnsi="Book Antiqua"/>
        </w:rPr>
        <w:t>teicoplanin</w:t>
      </w:r>
      <w:proofErr w:type="spellEnd"/>
      <w:r w:rsidRPr="00CE25D5">
        <w:rPr>
          <w:rFonts w:ascii="Book Antiqua" w:hAnsi="Book Antiqua"/>
        </w:rPr>
        <w:t xml:space="preserve"> if there was a history of cephalosporin or penicillin allergy. Vancomycin was </w:t>
      </w:r>
      <w:proofErr w:type="spellStart"/>
      <w:r w:rsidRPr="00CE25D5">
        <w:rPr>
          <w:rFonts w:ascii="Book Antiqua" w:hAnsi="Book Antiqua"/>
        </w:rPr>
        <w:t>utilised</w:t>
      </w:r>
      <w:proofErr w:type="spellEnd"/>
      <w:r w:rsidRPr="00CE25D5">
        <w:rPr>
          <w:rFonts w:ascii="Book Antiqua" w:hAnsi="Book Antiqua"/>
        </w:rPr>
        <w:t xml:space="preserve"> in select case</w:t>
      </w:r>
      <w:r w:rsidR="00D03CD6" w:rsidRPr="00CE25D5">
        <w:rPr>
          <w:rFonts w:ascii="Book Antiqua" w:hAnsi="Book Antiqua"/>
        </w:rPr>
        <w:t>s</w:t>
      </w:r>
      <w:r w:rsidRPr="00CE25D5">
        <w:rPr>
          <w:rFonts w:ascii="Book Antiqua" w:hAnsi="Book Antiqua"/>
        </w:rPr>
        <w:t xml:space="preserve"> where there was a history of </w:t>
      </w:r>
      <w:r w:rsidR="0047658D" w:rsidRPr="00CE25D5">
        <w:rPr>
          <w:rFonts w:ascii="Book Antiqua" w:hAnsi="Book Antiqua"/>
          <w:i/>
        </w:rPr>
        <w:t>Methicillin Resistant Staphylococcus Aureus</w:t>
      </w:r>
      <w:r w:rsidR="0047658D" w:rsidRPr="00CE25D5">
        <w:rPr>
          <w:rFonts w:ascii="Book Antiqua" w:hAnsi="Book Antiqua" w:hint="eastAsia"/>
        </w:rPr>
        <w:t xml:space="preserve"> </w:t>
      </w:r>
      <w:r w:rsidR="0047658D" w:rsidRPr="00CE25D5">
        <w:rPr>
          <w:rFonts w:ascii="Book Antiqua" w:hAnsi="Book Antiqua"/>
        </w:rPr>
        <w:t>(</w:t>
      </w:r>
      <w:r w:rsidR="0047658D" w:rsidRPr="00CE25D5">
        <w:rPr>
          <w:rFonts w:ascii="Book Antiqua" w:hAnsi="Book Antiqua"/>
          <w:i/>
        </w:rPr>
        <w:t>MRSA</w:t>
      </w:r>
      <w:r w:rsidR="0047658D" w:rsidRPr="00CE25D5">
        <w:rPr>
          <w:rFonts w:ascii="Book Antiqua" w:hAnsi="Book Antiqua"/>
        </w:rPr>
        <w:t>)</w:t>
      </w:r>
      <w:r w:rsidRPr="00CE25D5">
        <w:rPr>
          <w:rFonts w:ascii="Book Antiqua" w:hAnsi="Book Antiqua"/>
        </w:rPr>
        <w:t xml:space="preserve"> present.</w:t>
      </w:r>
      <w:r w:rsidR="00D03CD6" w:rsidRPr="00CE25D5">
        <w:rPr>
          <w:rFonts w:ascii="Book Antiqua" w:hAnsi="Book Antiqua"/>
        </w:rPr>
        <w:t xml:space="preserve"> Preoperative antibiotics were administered </w:t>
      </w:r>
      <w:r w:rsidR="00F93ACB" w:rsidRPr="00CE25D5">
        <w:rPr>
          <w:rFonts w:ascii="Book Antiqua" w:hAnsi="Book Antiqua"/>
        </w:rPr>
        <w:t xml:space="preserve">at induction of </w:t>
      </w:r>
      <w:proofErr w:type="spellStart"/>
      <w:r w:rsidR="00F93ACB" w:rsidRPr="00CE25D5">
        <w:rPr>
          <w:rFonts w:ascii="Book Antiqua" w:hAnsi="Book Antiqua"/>
        </w:rPr>
        <w:t>anaesthesia</w:t>
      </w:r>
      <w:proofErr w:type="spellEnd"/>
      <w:r w:rsidR="00F93ACB" w:rsidRPr="00CE25D5">
        <w:rPr>
          <w:rFonts w:ascii="Book Antiqua" w:hAnsi="Book Antiqua"/>
        </w:rPr>
        <w:t>,</w:t>
      </w:r>
      <w:r w:rsidR="00D03CD6" w:rsidRPr="00CE25D5">
        <w:rPr>
          <w:rFonts w:ascii="Book Antiqua" w:hAnsi="Book Antiqua"/>
        </w:rPr>
        <w:t xml:space="preserve"> within one hour of skin incision.</w:t>
      </w:r>
    </w:p>
    <w:p w14:paraId="0A13E605" w14:textId="5575E584" w:rsidR="00630773" w:rsidRPr="00CE25D5" w:rsidRDefault="00D03CD6" w:rsidP="002F1F52">
      <w:pPr>
        <w:spacing w:line="360" w:lineRule="auto"/>
        <w:ind w:firstLineChars="100" w:firstLine="240"/>
        <w:jc w:val="both"/>
        <w:rPr>
          <w:rFonts w:ascii="Book Antiqua" w:hAnsi="Book Antiqua"/>
        </w:rPr>
      </w:pPr>
      <w:r w:rsidRPr="00CE25D5">
        <w:rPr>
          <w:rFonts w:ascii="Book Antiqua" w:hAnsi="Book Antiqua"/>
        </w:rPr>
        <w:t xml:space="preserve">All </w:t>
      </w:r>
      <w:r w:rsidR="00E715CA" w:rsidRPr="00CE25D5">
        <w:rPr>
          <w:rFonts w:ascii="Book Antiqua" w:hAnsi="Book Antiqua"/>
        </w:rPr>
        <w:t>THR</w:t>
      </w:r>
      <w:r w:rsidR="00297150" w:rsidRPr="00CE25D5">
        <w:rPr>
          <w:rFonts w:ascii="Book Antiqua" w:hAnsi="Book Antiqua"/>
        </w:rPr>
        <w:t>s were performed following</w:t>
      </w:r>
      <w:r w:rsidRPr="00CE25D5">
        <w:rPr>
          <w:rFonts w:ascii="Book Antiqua" w:hAnsi="Book Antiqua"/>
        </w:rPr>
        <w:t xml:space="preserve"> a uniform technique using anterolateral approach to the joint. Both </w:t>
      </w:r>
      <w:proofErr w:type="spellStart"/>
      <w:r w:rsidRPr="00CE25D5">
        <w:rPr>
          <w:rFonts w:ascii="Book Antiqua" w:hAnsi="Book Antiqua"/>
        </w:rPr>
        <w:t>uncemented</w:t>
      </w:r>
      <w:proofErr w:type="spellEnd"/>
      <w:r w:rsidRPr="00CE25D5">
        <w:rPr>
          <w:rFonts w:ascii="Book Antiqua" w:hAnsi="Book Antiqua"/>
        </w:rPr>
        <w:t xml:space="preserve"> and cemented techniques were </w:t>
      </w:r>
      <w:proofErr w:type="spellStart"/>
      <w:r w:rsidRPr="00CE25D5">
        <w:rPr>
          <w:rFonts w:ascii="Book Antiqua" w:hAnsi="Book Antiqua"/>
        </w:rPr>
        <w:t>utilised</w:t>
      </w:r>
      <w:proofErr w:type="spellEnd"/>
      <w:r w:rsidR="009B2BBF" w:rsidRPr="00CE25D5">
        <w:rPr>
          <w:rFonts w:ascii="Book Antiqua" w:hAnsi="Book Antiqua"/>
        </w:rPr>
        <w:t xml:space="preserve"> as determined by the operating surgeon</w:t>
      </w:r>
      <w:r w:rsidRPr="00CE25D5">
        <w:rPr>
          <w:rFonts w:ascii="Book Antiqua" w:hAnsi="Book Antiqua"/>
        </w:rPr>
        <w:t xml:space="preserve">. </w:t>
      </w:r>
      <w:r w:rsidR="009B2BBF" w:rsidRPr="00CE25D5">
        <w:rPr>
          <w:rFonts w:ascii="Book Antiqua" w:hAnsi="Book Antiqua"/>
        </w:rPr>
        <w:t xml:space="preserve">All </w:t>
      </w:r>
      <w:r w:rsidR="00E715CA" w:rsidRPr="00CE25D5">
        <w:rPr>
          <w:rFonts w:ascii="Book Antiqua" w:hAnsi="Book Antiqua"/>
        </w:rPr>
        <w:t>TKR</w:t>
      </w:r>
      <w:r w:rsidR="009B2BBF" w:rsidRPr="00CE25D5">
        <w:rPr>
          <w:rFonts w:ascii="Book Antiqua" w:hAnsi="Book Antiqua"/>
        </w:rPr>
        <w:t xml:space="preserve">s were performed through a medial </w:t>
      </w:r>
      <w:proofErr w:type="spellStart"/>
      <w:r w:rsidR="009B2BBF" w:rsidRPr="00CE25D5">
        <w:rPr>
          <w:rFonts w:ascii="Book Antiqua" w:hAnsi="Book Antiqua"/>
        </w:rPr>
        <w:t>parapatellar</w:t>
      </w:r>
      <w:proofErr w:type="spellEnd"/>
      <w:r w:rsidR="009B2BBF" w:rsidRPr="00CE25D5">
        <w:rPr>
          <w:rFonts w:ascii="Book Antiqua" w:hAnsi="Book Antiqua"/>
        </w:rPr>
        <w:t xml:space="preserve"> approach to the knee. </w:t>
      </w:r>
      <w:r w:rsidR="002F1F52" w:rsidRPr="00CE25D5">
        <w:rPr>
          <w:rFonts w:ascii="Book Antiqua" w:eastAsia="宋体" w:hAnsi="Book Antiqua" w:hint="eastAsia"/>
          <w:lang w:eastAsia="zh-CN"/>
        </w:rPr>
        <w:t>One gram</w:t>
      </w:r>
      <w:r w:rsidR="00630773" w:rsidRPr="00CE25D5">
        <w:rPr>
          <w:rFonts w:ascii="Book Antiqua" w:hAnsi="Book Antiqua"/>
        </w:rPr>
        <w:t xml:space="preserve"> of </w:t>
      </w:r>
      <w:r w:rsidR="00990E03" w:rsidRPr="00CE25D5">
        <w:rPr>
          <w:rFonts w:ascii="Book Antiqua" w:hAnsi="Book Antiqua"/>
        </w:rPr>
        <w:t>TXA</w:t>
      </w:r>
      <w:r w:rsidR="00630773" w:rsidRPr="00CE25D5">
        <w:rPr>
          <w:rFonts w:ascii="Book Antiqua" w:hAnsi="Book Antiqua"/>
        </w:rPr>
        <w:t xml:space="preserve"> was administered parentally at the time of preoperative antibiotic adm</w:t>
      </w:r>
      <w:r w:rsidR="007A0755" w:rsidRPr="00CE25D5">
        <w:rPr>
          <w:rFonts w:ascii="Book Antiqua" w:hAnsi="Book Antiqua"/>
        </w:rPr>
        <w:t>inistration in the TXA group</w:t>
      </w:r>
      <w:r w:rsidR="00630773" w:rsidRPr="00CE25D5">
        <w:rPr>
          <w:rFonts w:ascii="Book Antiqua" w:hAnsi="Book Antiqua"/>
        </w:rPr>
        <w:t xml:space="preserve">. </w:t>
      </w:r>
      <w:r w:rsidR="009B2BBF" w:rsidRPr="00CE25D5">
        <w:rPr>
          <w:rFonts w:ascii="Book Antiqua" w:hAnsi="Book Antiqua"/>
        </w:rPr>
        <w:t xml:space="preserve">Intraoperative surgical drains were placed routinely in all joints, and removed on the first post-operative day. Deep venous thrombosis prophylaxis consisted of </w:t>
      </w:r>
      <w:proofErr w:type="spellStart"/>
      <w:r w:rsidR="009B2BBF" w:rsidRPr="00CE25D5">
        <w:rPr>
          <w:rFonts w:ascii="Book Antiqua" w:hAnsi="Book Antiqua"/>
        </w:rPr>
        <w:t>thrombo</w:t>
      </w:r>
      <w:proofErr w:type="spellEnd"/>
      <w:r w:rsidR="009B2BBF" w:rsidRPr="00CE25D5">
        <w:rPr>
          <w:rFonts w:ascii="Book Antiqua" w:hAnsi="Book Antiqua"/>
        </w:rPr>
        <w:t xml:space="preserve">-embolic deterrent stockings worn for six weeks post-operatively and chemical prophylaxis consisting of subcutaneous low molecular weight heparin </w:t>
      </w:r>
      <w:r w:rsidR="00990E03" w:rsidRPr="00CE25D5">
        <w:rPr>
          <w:rFonts w:ascii="Book Antiqua" w:hAnsi="Book Antiqua"/>
        </w:rPr>
        <w:t xml:space="preserve">for three days </w:t>
      </w:r>
      <w:r w:rsidR="009B2BBF" w:rsidRPr="00CE25D5">
        <w:rPr>
          <w:rFonts w:ascii="Book Antiqua" w:hAnsi="Book Antiqua"/>
        </w:rPr>
        <w:t xml:space="preserve">while an in-patient on the ward. Oral rivaroxaban was </w:t>
      </w:r>
      <w:r w:rsidR="00990E03" w:rsidRPr="00CE25D5">
        <w:rPr>
          <w:rFonts w:ascii="Book Antiqua" w:hAnsi="Book Antiqua"/>
        </w:rPr>
        <w:t xml:space="preserve">then </w:t>
      </w:r>
      <w:r w:rsidR="00D350C9" w:rsidRPr="00CE25D5">
        <w:rPr>
          <w:rFonts w:ascii="Book Antiqua" w:hAnsi="Book Antiqua"/>
        </w:rPr>
        <w:t>commenced on the fourth</w:t>
      </w:r>
      <w:r w:rsidR="00630773" w:rsidRPr="00CE25D5">
        <w:rPr>
          <w:rFonts w:ascii="Book Antiqua" w:hAnsi="Book Antiqua"/>
        </w:rPr>
        <w:t xml:space="preserve"> post-operative day and continued</w:t>
      </w:r>
      <w:r w:rsidR="009B2BBF" w:rsidRPr="00CE25D5">
        <w:rPr>
          <w:rFonts w:ascii="Book Antiqua" w:hAnsi="Book Antiqua"/>
        </w:rPr>
        <w:t xml:space="preserve"> until </w:t>
      </w:r>
      <w:r w:rsidR="00990E03" w:rsidRPr="00CE25D5">
        <w:rPr>
          <w:rFonts w:ascii="Book Antiqua" w:hAnsi="Book Antiqua"/>
        </w:rPr>
        <w:t xml:space="preserve">the end of the second </w:t>
      </w:r>
      <w:r w:rsidR="009B2BBF" w:rsidRPr="00CE25D5">
        <w:rPr>
          <w:rFonts w:ascii="Book Antiqua" w:hAnsi="Book Antiqua"/>
        </w:rPr>
        <w:t>week post-operatively</w:t>
      </w:r>
      <w:r w:rsidR="00990E03" w:rsidRPr="00CE25D5">
        <w:rPr>
          <w:rFonts w:ascii="Book Antiqua" w:hAnsi="Book Antiqua"/>
        </w:rPr>
        <w:t xml:space="preserve"> for TKR, and the end of the fifth week post-operatively for THR, as per NICE guidelines</w:t>
      </w:r>
      <w:r w:rsidR="009B2BBF" w:rsidRPr="00CE25D5">
        <w:rPr>
          <w:rFonts w:ascii="Book Antiqua" w:hAnsi="Book Antiqua"/>
        </w:rPr>
        <w:t>.</w:t>
      </w:r>
      <w:r w:rsidR="00630773" w:rsidRPr="00CE25D5">
        <w:rPr>
          <w:rFonts w:ascii="Book Antiqua" w:hAnsi="Book Antiqua"/>
        </w:rPr>
        <w:t xml:space="preserve"> </w:t>
      </w:r>
      <w:r w:rsidR="007D6842" w:rsidRPr="00CE25D5">
        <w:rPr>
          <w:rFonts w:ascii="Book Antiqua" w:hAnsi="Book Antiqua"/>
        </w:rPr>
        <w:t>On the second</w:t>
      </w:r>
      <w:r w:rsidR="009B2BBF" w:rsidRPr="00CE25D5">
        <w:rPr>
          <w:rFonts w:ascii="Book Antiqua" w:hAnsi="Book Antiqua"/>
        </w:rPr>
        <w:t xml:space="preserve"> post-operative day, a full blood count was </w:t>
      </w:r>
      <w:r w:rsidR="00AC38AE" w:rsidRPr="00CE25D5">
        <w:rPr>
          <w:rFonts w:ascii="Book Antiqua" w:hAnsi="Book Antiqua"/>
        </w:rPr>
        <w:t xml:space="preserve">performed. The hospital transfusion protocol was </w:t>
      </w:r>
      <w:r w:rsidR="00AC38AE" w:rsidRPr="00CE25D5">
        <w:rPr>
          <w:rFonts w:ascii="Book Antiqua" w:hAnsi="Book Antiqua"/>
        </w:rPr>
        <w:lastRenderedPageBreak/>
        <w:t xml:space="preserve">initiated where </w:t>
      </w:r>
      <w:r w:rsidR="00630773" w:rsidRPr="00CE25D5">
        <w:rPr>
          <w:rFonts w:ascii="Book Antiqua" w:hAnsi="Book Antiqua"/>
        </w:rPr>
        <w:t xml:space="preserve">a </w:t>
      </w:r>
      <w:r w:rsidR="00AC38AE" w:rsidRPr="00CE25D5">
        <w:rPr>
          <w:rFonts w:ascii="Book Antiqua" w:hAnsi="Book Antiqua"/>
        </w:rPr>
        <w:t xml:space="preserve">patient’s </w:t>
      </w:r>
      <w:proofErr w:type="spellStart"/>
      <w:r w:rsidR="00AC38AE" w:rsidRPr="00CE25D5">
        <w:rPr>
          <w:rFonts w:ascii="Book Antiqua" w:hAnsi="Book Antiqua"/>
        </w:rPr>
        <w:t>haemoglobin</w:t>
      </w:r>
      <w:proofErr w:type="spellEnd"/>
      <w:r w:rsidR="00AC38AE" w:rsidRPr="00CE25D5">
        <w:rPr>
          <w:rFonts w:ascii="Book Antiqua" w:hAnsi="Book Antiqua"/>
        </w:rPr>
        <w:t xml:space="preserve"> was less than 8 g/</w:t>
      </w:r>
      <w:proofErr w:type="spellStart"/>
      <w:r w:rsidR="00AC38AE" w:rsidRPr="00CE25D5">
        <w:rPr>
          <w:rFonts w:ascii="Book Antiqua" w:hAnsi="Book Antiqua"/>
        </w:rPr>
        <w:t>dL</w:t>
      </w:r>
      <w:proofErr w:type="spellEnd"/>
      <w:r w:rsidR="00AF268F" w:rsidRPr="00CE25D5">
        <w:rPr>
          <w:rFonts w:ascii="Book Antiqua" w:hAnsi="Book Antiqua"/>
        </w:rPr>
        <w:t xml:space="preserve"> or the patient was</w:t>
      </w:r>
      <w:r w:rsidR="00AC38AE" w:rsidRPr="00CE25D5">
        <w:rPr>
          <w:rFonts w:ascii="Book Antiqua" w:hAnsi="Book Antiqua"/>
        </w:rPr>
        <w:t xml:space="preserve"> symptomatic with </w:t>
      </w:r>
      <w:proofErr w:type="spellStart"/>
      <w:r w:rsidR="00AC38AE" w:rsidRPr="00CE25D5">
        <w:rPr>
          <w:rFonts w:ascii="Book Antiqua" w:hAnsi="Book Antiqua"/>
        </w:rPr>
        <w:t>anaemia</w:t>
      </w:r>
      <w:proofErr w:type="spellEnd"/>
      <w:r w:rsidR="00AC38AE" w:rsidRPr="00CE25D5">
        <w:rPr>
          <w:rFonts w:ascii="Book Antiqua" w:hAnsi="Book Antiqua"/>
        </w:rPr>
        <w:t>.</w:t>
      </w:r>
      <w:r w:rsidR="00AF268F" w:rsidRPr="00CE25D5">
        <w:rPr>
          <w:rFonts w:ascii="Book Antiqua" w:hAnsi="Book Antiqua"/>
        </w:rPr>
        <w:t xml:space="preserve"> </w:t>
      </w:r>
    </w:p>
    <w:p w14:paraId="181A1985" w14:textId="19D85D7D" w:rsidR="009B2BBF" w:rsidRPr="00CE25D5" w:rsidRDefault="00AF268F" w:rsidP="002F1F52">
      <w:pPr>
        <w:spacing w:line="360" w:lineRule="auto"/>
        <w:ind w:firstLineChars="100" w:firstLine="240"/>
        <w:jc w:val="both"/>
        <w:rPr>
          <w:rFonts w:ascii="Book Antiqua" w:hAnsi="Book Antiqua"/>
        </w:rPr>
      </w:pPr>
      <w:r w:rsidRPr="00CE25D5">
        <w:rPr>
          <w:rFonts w:ascii="Book Antiqua" w:hAnsi="Book Antiqua"/>
        </w:rPr>
        <w:t xml:space="preserve">The following variables were ascertained following retrospective review of data: </w:t>
      </w:r>
      <w:r w:rsidR="00CE25D5" w:rsidRPr="00CE25D5">
        <w:rPr>
          <w:rFonts w:ascii="Book Antiqua" w:hAnsi="Book Antiqua"/>
        </w:rPr>
        <w:t>A</w:t>
      </w:r>
      <w:r w:rsidRPr="00CE25D5">
        <w:rPr>
          <w:rFonts w:ascii="Book Antiqua" w:hAnsi="Book Antiqua"/>
        </w:rPr>
        <w:t xml:space="preserve">ge, gender, pre-operative and post-operative </w:t>
      </w:r>
      <w:proofErr w:type="spellStart"/>
      <w:r w:rsidRPr="00CE25D5">
        <w:rPr>
          <w:rFonts w:ascii="Book Antiqua" w:hAnsi="Book Antiqua"/>
        </w:rPr>
        <w:t>haemoglobin</w:t>
      </w:r>
      <w:proofErr w:type="spellEnd"/>
      <w:r w:rsidRPr="00CE25D5">
        <w:rPr>
          <w:rFonts w:ascii="Book Antiqua" w:hAnsi="Book Antiqua"/>
        </w:rPr>
        <w:t xml:space="preserve">, pre-operative and post-operative </w:t>
      </w:r>
      <w:proofErr w:type="spellStart"/>
      <w:r w:rsidRPr="00CE25D5">
        <w:rPr>
          <w:rFonts w:ascii="Book Antiqua" w:hAnsi="Book Antiqua"/>
        </w:rPr>
        <w:t>haematocrit</w:t>
      </w:r>
      <w:proofErr w:type="spellEnd"/>
      <w:r w:rsidRPr="00CE25D5">
        <w:rPr>
          <w:rFonts w:ascii="Book Antiqua" w:hAnsi="Book Antiqua"/>
        </w:rPr>
        <w:t>, pre-operative and post-operative platelet</w:t>
      </w:r>
      <w:r w:rsidR="00630773" w:rsidRPr="00CE25D5">
        <w:rPr>
          <w:rFonts w:ascii="Book Antiqua" w:hAnsi="Book Antiqua"/>
        </w:rPr>
        <w:t xml:space="preserve"> </w:t>
      </w:r>
      <w:r w:rsidRPr="00CE25D5">
        <w:rPr>
          <w:rFonts w:ascii="Book Antiqua" w:hAnsi="Book Antiqua"/>
        </w:rPr>
        <w:t>count</w:t>
      </w:r>
      <w:r w:rsidR="00630773" w:rsidRPr="00CE25D5">
        <w:rPr>
          <w:rFonts w:ascii="Book Antiqua" w:hAnsi="Book Antiqua"/>
        </w:rPr>
        <w:t xml:space="preserve">s, </w:t>
      </w:r>
      <w:proofErr w:type="spellStart"/>
      <w:r w:rsidR="00630773" w:rsidRPr="00CE25D5">
        <w:rPr>
          <w:rFonts w:ascii="Book Antiqua" w:hAnsi="Book Antiqua"/>
        </w:rPr>
        <w:t>tranfusions</w:t>
      </w:r>
      <w:proofErr w:type="spellEnd"/>
      <w:r w:rsidR="00630773" w:rsidRPr="00CE25D5">
        <w:rPr>
          <w:rFonts w:ascii="Book Antiqua" w:hAnsi="Book Antiqua"/>
        </w:rPr>
        <w:t xml:space="preserve"> of blood product, length of stay </w:t>
      </w:r>
      <w:r w:rsidR="00AF4041" w:rsidRPr="00CE25D5">
        <w:rPr>
          <w:rFonts w:ascii="Book Antiqua" w:hAnsi="Book Antiqua"/>
        </w:rPr>
        <w:t xml:space="preserve">in days </w:t>
      </w:r>
      <w:r w:rsidR="00630773" w:rsidRPr="00CE25D5">
        <w:rPr>
          <w:rFonts w:ascii="Book Antiqua" w:hAnsi="Book Antiqua"/>
        </w:rPr>
        <w:t>and thrombotic complications including DVT or pulmonary embolus.</w:t>
      </w:r>
    </w:p>
    <w:p w14:paraId="7AFB2F58" w14:textId="4438915D" w:rsidR="00630773" w:rsidRPr="00CE25D5" w:rsidRDefault="00630773" w:rsidP="00B95E99">
      <w:pPr>
        <w:spacing w:line="360" w:lineRule="auto"/>
        <w:ind w:firstLineChars="100" w:firstLine="240"/>
        <w:jc w:val="both"/>
        <w:rPr>
          <w:rFonts w:ascii="Book Antiqua" w:hAnsi="Book Antiqua"/>
        </w:rPr>
      </w:pPr>
      <w:r w:rsidRPr="00CE25D5">
        <w:rPr>
          <w:rFonts w:ascii="Book Antiqua" w:hAnsi="Book Antiqua"/>
        </w:rPr>
        <w:t>In consultation with our hospital blood ba</w:t>
      </w:r>
      <w:r w:rsidR="004449EE" w:rsidRPr="00CE25D5">
        <w:rPr>
          <w:rFonts w:ascii="Book Antiqua" w:hAnsi="Book Antiqua"/>
        </w:rPr>
        <w:t xml:space="preserve">nk and purchasing department, </w:t>
      </w:r>
      <w:r w:rsidRPr="00CE25D5">
        <w:rPr>
          <w:rFonts w:ascii="Book Antiqua" w:hAnsi="Book Antiqua"/>
        </w:rPr>
        <w:t>the cost of a vial of 1</w:t>
      </w:r>
      <w:r w:rsidR="00B95E99" w:rsidRPr="00CE25D5">
        <w:rPr>
          <w:rFonts w:ascii="Book Antiqua" w:eastAsia="宋体" w:hAnsi="Book Antiqua" w:hint="eastAsia"/>
          <w:lang w:eastAsia="zh-CN"/>
        </w:rPr>
        <w:t xml:space="preserve"> </w:t>
      </w:r>
      <w:r w:rsidRPr="00CE25D5">
        <w:rPr>
          <w:rFonts w:ascii="Book Antiqua" w:hAnsi="Book Antiqua"/>
        </w:rPr>
        <w:t xml:space="preserve">g </w:t>
      </w:r>
      <w:r w:rsidR="008C69F5" w:rsidRPr="00CE25D5">
        <w:rPr>
          <w:rFonts w:ascii="Book Antiqua" w:hAnsi="Book Antiqua"/>
        </w:rPr>
        <w:t>of TXA</w:t>
      </w:r>
      <w:r w:rsidRPr="00CE25D5">
        <w:rPr>
          <w:rFonts w:ascii="Book Antiqua" w:hAnsi="Book Antiqua"/>
        </w:rPr>
        <w:t xml:space="preserve"> </w:t>
      </w:r>
      <w:r w:rsidR="004449EE" w:rsidRPr="00CE25D5">
        <w:rPr>
          <w:rFonts w:ascii="Book Antiqua" w:hAnsi="Book Antiqua"/>
        </w:rPr>
        <w:t xml:space="preserve">was determined </w:t>
      </w:r>
      <w:r w:rsidRPr="00CE25D5">
        <w:rPr>
          <w:rFonts w:ascii="Book Antiqua" w:hAnsi="Book Antiqua"/>
        </w:rPr>
        <w:t>at €0.75 at our institution. One unit of packed red blood ce</w:t>
      </w:r>
      <w:r w:rsidR="007D6842" w:rsidRPr="00CE25D5">
        <w:rPr>
          <w:rFonts w:ascii="Book Antiqua" w:hAnsi="Book Antiqua"/>
        </w:rPr>
        <w:t>lls cost €201, and a single “bed-</w:t>
      </w:r>
      <w:r w:rsidRPr="00CE25D5">
        <w:rPr>
          <w:rFonts w:ascii="Book Antiqua" w:hAnsi="Book Antiqua"/>
        </w:rPr>
        <w:t>day</w:t>
      </w:r>
      <w:r w:rsidR="00AF4041" w:rsidRPr="00CE25D5">
        <w:rPr>
          <w:rFonts w:ascii="Book Antiqua" w:hAnsi="Book Antiqua"/>
        </w:rPr>
        <w:t xml:space="preserve"> used</w:t>
      </w:r>
      <w:r w:rsidR="007D6842" w:rsidRPr="00CE25D5">
        <w:rPr>
          <w:rFonts w:ascii="Book Antiqua" w:hAnsi="Book Antiqua"/>
        </w:rPr>
        <w:t>”</w:t>
      </w:r>
      <w:r w:rsidR="00AF4041" w:rsidRPr="00CE25D5">
        <w:rPr>
          <w:rFonts w:ascii="Book Antiqua" w:hAnsi="Book Antiqua"/>
        </w:rPr>
        <w:t xml:space="preserve"> (BDU)</w:t>
      </w:r>
      <w:r w:rsidRPr="00CE25D5">
        <w:rPr>
          <w:rFonts w:ascii="Book Antiqua" w:hAnsi="Book Antiqua"/>
        </w:rPr>
        <w:t xml:space="preserve"> at our institution wa</w:t>
      </w:r>
      <w:r w:rsidR="002F6FD4" w:rsidRPr="00CE25D5">
        <w:rPr>
          <w:rFonts w:ascii="Book Antiqua" w:hAnsi="Book Antiqua"/>
        </w:rPr>
        <w:t xml:space="preserve">s valued at €1081. </w:t>
      </w:r>
      <w:r w:rsidR="00AF4041" w:rsidRPr="00CE25D5">
        <w:rPr>
          <w:rFonts w:ascii="Book Antiqua" w:hAnsi="Book Antiqua"/>
        </w:rPr>
        <w:t xml:space="preserve">“Bed-days used” is a measure of hospital activity. A single BDU may be defined as a patient occupying an in-patient bed for all or part of one 24-h period. </w:t>
      </w:r>
      <w:r w:rsidR="002F6FD4" w:rsidRPr="00CE25D5">
        <w:rPr>
          <w:rFonts w:ascii="Book Antiqua" w:hAnsi="Book Antiqua"/>
        </w:rPr>
        <w:t>All figures we</w:t>
      </w:r>
      <w:r w:rsidR="007D6842" w:rsidRPr="00CE25D5">
        <w:rPr>
          <w:rFonts w:ascii="Book Antiqua" w:hAnsi="Book Antiqua"/>
        </w:rPr>
        <w:t>re correct in respect of 2015</w:t>
      </w:r>
      <w:r w:rsidRPr="00CE25D5">
        <w:rPr>
          <w:rFonts w:ascii="Book Antiqua" w:hAnsi="Book Antiqua"/>
        </w:rPr>
        <w:t>.</w:t>
      </w:r>
      <w:r w:rsidR="00AF4041" w:rsidRPr="00CE25D5">
        <w:rPr>
          <w:rFonts w:ascii="Book Antiqua" w:hAnsi="Book Antiqua"/>
        </w:rPr>
        <w:t xml:space="preserve"> </w:t>
      </w:r>
    </w:p>
    <w:p w14:paraId="724F37D4" w14:textId="0BC8944F" w:rsidR="00FA4478" w:rsidRPr="00CE25D5" w:rsidRDefault="00EC0A6D" w:rsidP="00B95E99">
      <w:pPr>
        <w:spacing w:line="360" w:lineRule="auto"/>
        <w:ind w:firstLineChars="100" w:firstLine="240"/>
        <w:jc w:val="both"/>
        <w:rPr>
          <w:rFonts w:ascii="Book Antiqua" w:hAnsi="Book Antiqua"/>
        </w:rPr>
      </w:pPr>
      <w:r w:rsidRPr="00CE25D5">
        <w:rPr>
          <w:rFonts w:ascii="Book Antiqua" w:hAnsi="Book Antiqua"/>
        </w:rPr>
        <w:t>Descriptive statistics were used to represent the data including proportions, means and standard deviations. Independent sample</w:t>
      </w:r>
      <w:r w:rsidRPr="00CE25D5">
        <w:rPr>
          <w:rFonts w:ascii="Book Antiqua" w:hAnsi="Book Antiqua"/>
          <w:i/>
        </w:rPr>
        <w:t xml:space="preserve"> t</w:t>
      </w:r>
      <w:r w:rsidRPr="00CE25D5">
        <w:rPr>
          <w:rFonts w:ascii="Book Antiqua" w:hAnsi="Book Antiqua"/>
        </w:rPr>
        <w:t xml:space="preserve">-tests were used to assess continuous outputs, and two sample tests of proportion were used for binary outcomes. </w:t>
      </w:r>
      <w:r w:rsidR="009B2BBF" w:rsidRPr="00CE25D5">
        <w:rPr>
          <w:rFonts w:ascii="Book Antiqua" w:hAnsi="Book Antiqua"/>
        </w:rPr>
        <w:t>S</w:t>
      </w:r>
      <w:r w:rsidR="008055FC" w:rsidRPr="00CE25D5">
        <w:rPr>
          <w:rFonts w:ascii="Book Antiqua" w:hAnsi="Book Antiqua"/>
        </w:rPr>
        <w:t>tatistical analysis was performed using Stata statistica</w:t>
      </w:r>
      <w:r w:rsidR="00FA4478" w:rsidRPr="00CE25D5">
        <w:rPr>
          <w:rFonts w:ascii="Book Antiqua" w:hAnsi="Book Antiqua"/>
        </w:rPr>
        <w:t>l software package, version 13</w:t>
      </w:r>
      <w:r w:rsidR="008055FC" w:rsidRPr="00CE25D5">
        <w:rPr>
          <w:rFonts w:ascii="Book Antiqua" w:hAnsi="Book Antiqua"/>
        </w:rPr>
        <w:t xml:space="preserve"> (</w:t>
      </w:r>
      <w:proofErr w:type="spellStart"/>
      <w:r w:rsidR="008055FC" w:rsidRPr="00CE25D5">
        <w:rPr>
          <w:rFonts w:ascii="Book Antiqua" w:hAnsi="Book Antiqua"/>
        </w:rPr>
        <w:t>StataCorp</w:t>
      </w:r>
      <w:proofErr w:type="spellEnd"/>
      <w:r w:rsidR="008055FC" w:rsidRPr="00CE25D5">
        <w:rPr>
          <w:rFonts w:ascii="Book Antiqua" w:hAnsi="Book Antiqua"/>
        </w:rPr>
        <w:t>, Texas, U</w:t>
      </w:r>
      <w:r w:rsidR="00B95E99" w:rsidRPr="00CE25D5">
        <w:rPr>
          <w:rFonts w:ascii="Book Antiqua" w:eastAsia="宋体" w:hAnsi="Book Antiqua" w:hint="eastAsia"/>
          <w:lang w:eastAsia="zh-CN"/>
        </w:rPr>
        <w:t xml:space="preserve">nited </w:t>
      </w:r>
      <w:r w:rsidR="008055FC" w:rsidRPr="00CE25D5">
        <w:rPr>
          <w:rFonts w:ascii="Book Antiqua" w:hAnsi="Book Antiqua"/>
        </w:rPr>
        <w:t>S</w:t>
      </w:r>
      <w:r w:rsidR="00B95E99" w:rsidRPr="00CE25D5">
        <w:rPr>
          <w:rFonts w:ascii="Book Antiqua" w:eastAsia="宋体" w:hAnsi="Book Antiqua" w:hint="eastAsia"/>
          <w:lang w:eastAsia="zh-CN"/>
        </w:rPr>
        <w:t>tates</w:t>
      </w:r>
      <w:r w:rsidR="008055FC" w:rsidRPr="00CE25D5">
        <w:rPr>
          <w:rFonts w:ascii="Book Antiqua" w:hAnsi="Book Antiqua"/>
        </w:rPr>
        <w:t xml:space="preserve">). A value of </w:t>
      </w:r>
      <w:r w:rsidR="00B95E99" w:rsidRPr="00CE25D5">
        <w:rPr>
          <w:rFonts w:ascii="Book Antiqua" w:hAnsi="Book Antiqua"/>
          <w:i/>
        </w:rPr>
        <w:t>P</w:t>
      </w:r>
      <w:r w:rsidR="008055FC" w:rsidRPr="00CE25D5">
        <w:rPr>
          <w:rFonts w:ascii="Book Antiqua" w:hAnsi="Book Antiqua"/>
        </w:rPr>
        <w:t xml:space="preserve"> &lt; 0.05 was considered to be statistically significant.</w:t>
      </w:r>
    </w:p>
    <w:p w14:paraId="1458F20E" w14:textId="77777777" w:rsidR="00B6057C" w:rsidRPr="00CE25D5" w:rsidRDefault="00B6057C" w:rsidP="00E715CA">
      <w:pPr>
        <w:spacing w:line="360" w:lineRule="auto"/>
        <w:jc w:val="both"/>
        <w:rPr>
          <w:rFonts w:ascii="Book Antiqua" w:eastAsia="宋体" w:hAnsi="Book Antiqua"/>
          <w:lang w:eastAsia="zh-CN"/>
        </w:rPr>
      </w:pPr>
    </w:p>
    <w:p w14:paraId="12F4FCF9" w14:textId="5CA97E72" w:rsidR="000C4834" w:rsidRPr="00CE25D5" w:rsidRDefault="00B95E99" w:rsidP="00E715CA">
      <w:pPr>
        <w:spacing w:line="360" w:lineRule="auto"/>
        <w:jc w:val="both"/>
        <w:rPr>
          <w:rFonts w:ascii="Book Antiqua" w:hAnsi="Book Antiqua"/>
        </w:rPr>
      </w:pPr>
      <w:r w:rsidRPr="00CE25D5">
        <w:rPr>
          <w:rFonts w:ascii="Book Antiqua" w:hAnsi="Book Antiqua"/>
          <w:b/>
        </w:rPr>
        <w:t>RESULTS</w:t>
      </w:r>
    </w:p>
    <w:p w14:paraId="5B99A86F" w14:textId="3F7B6539" w:rsidR="000C4834" w:rsidRPr="00CE25D5" w:rsidRDefault="00EC0A6D" w:rsidP="00E715CA">
      <w:pPr>
        <w:spacing w:line="360" w:lineRule="auto"/>
        <w:jc w:val="both"/>
        <w:rPr>
          <w:rFonts w:ascii="Book Antiqua" w:hAnsi="Book Antiqua"/>
        </w:rPr>
      </w:pPr>
      <w:r w:rsidRPr="00CE25D5">
        <w:rPr>
          <w:rFonts w:ascii="Book Antiqua" w:hAnsi="Book Antiqua"/>
        </w:rPr>
        <w:t xml:space="preserve">A total of 200 patients were included in this study. </w:t>
      </w:r>
      <w:r w:rsidR="00CE25D5">
        <w:rPr>
          <w:rFonts w:ascii="Book Antiqua" w:eastAsia="宋体" w:hAnsi="Book Antiqua" w:hint="eastAsia"/>
          <w:lang w:eastAsia="zh-CN"/>
        </w:rPr>
        <w:t xml:space="preserve">One hundred </w:t>
      </w:r>
      <w:r w:rsidRPr="00CE25D5">
        <w:rPr>
          <w:rFonts w:ascii="Book Antiqua" w:hAnsi="Book Antiqua"/>
        </w:rPr>
        <w:t xml:space="preserve">patients were included in the control group, </w:t>
      </w:r>
      <w:r w:rsidR="00990E03" w:rsidRPr="00CE25D5">
        <w:rPr>
          <w:rFonts w:ascii="Book Antiqua" w:hAnsi="Book Antiqua"/>
        </w:rPr>
        <w:t>who did</w:t>
      </w:r>
      <w:r w:rsidRPr="00CE25D5">
        <w:rPr>
          <w:rFonts w:ascii="Book Antiqua" w:hAnsi="Book Antiqua"/>
        </w:rPr>
        <w:t xml:space="preserve"> not receive perioperative </w:t>
      </w:r>
      <w:r w:rsidR="008C69F5" w:rsidRPr="00CE25D5">
        <w:rPr>
          <w:rFonts w:ascii="Book Antiqua" w:hAnsi="Book Antiqua"/>
        </w:rPr>
        <w:t>TXA</w:t>
      </w:r>
      <w:r w:rsidRPr="00CE25D5">
        <w:rPr>
          <w:rFonts w:ascii="Book Antiqua" w:hAnsi="Book Antiqua"/>
        </w:rPr>
        <w:t xml:space="preserve">. </w:t>
      </w:r>
      <w:r w:rsidR="00CE25D5">
        <w:rPr>
          <w:rFonts w:ascii="Book Antiqua" w:eastAsia="宋体" w:hAnsi="Book Antiqua" w:hint="eastAsia"/>
          <w:lang w:eastAsia="zh-CN"/>
        </w:rPr>
        <w:t>One hundred</w:t>
      </w:r>
      <w:r w:rsidRPr="00CE25D5">
        <w:rPr>
          <w:rFonts w:ascii="Book Antiqua" w:hAnsi="Book Antiqua"/>
        </w:rPr>
        <w:t xml:space="preserve"> patients were included in the </w:t>
      </w:r>
      <w:r w:rsidR="008C69F5" w:rsidRPr="00CE25D5">
        <w:rPr>
          <w:rFonts w:ascii="Book Antiqua" w:hAnsi="Book Antiqua"/>
        </w:rPr>
        <w:t>TXA</w:t>
      </w:r>
      <w:r w:rsidRPr="00CE25D5">
        <w:rPr>
          <w:rFonts w:ascii="Book Antiqua" w:hAnsi="Book Antiqua"/>
        </w:rPr>
        <w:t xml:space="preserve"> group, </w:t>
      </w:r>
      <w:r w:rsidR="00990E03" w:rsidRPr="00CE25D5">
        <w:rPr>
          <w:rFonts w:ascii="Book Antiqua" w:hAnsi="Book Antiqua"/>
        </w:rPr>
        <w:t>who</w:t>
      </w:r>
      <w:r w:rsidRPr="00CE25D5">
        <w:rPr>
          <w:rFonts w:ascii="Book Antiqua" w:hAnsi="Book Antiqua"/>
        </w:rPr>
        <w:t xml:space="preserve"> receive</w:t>
      </w:r>
      <w:r w:rsidR="00990E03" w:rsidRPr="00CE25D5">
        <w:rPr>
          <w:rFonts w:ascii="Book Antiqua" w:hAnsi="Book Antiqua"/>
        </w:rPr>
        <w:t>d</w:t>
      </w:r>
      <w:r w:rsidRPr="00CE25D5">
        <w:rPr>
          <w:rFonts w:ascii="Book Antiqua" w:hAnsi="Book Antiqua"/>
        </w:rPr>
        <w:t xml:space="preserve"> </w:t>
      </w:r>
      <w:r w:rsidR="008C69F5" w:rsidRPr="00CE25D5">
        <w:rPr>
          <w:rFonts w:ascii="Book Antiqua" w:hAnsi="Book Antiqua"/>
        </w:rPr>
        <w:t>TXA</w:t>
      </w:r>
      <w:r w:rsidRPr="00CE25D5">
        <w:rPr>
          <w:rFonts w:ascii="Book Antiqua" w:hAnsi="Book Antiqua"/>
        </w:rPr>
        <w:t xml:space="preserve"> at the time of surgery. The average age of par</w:t>
      </w:r>
      <w:r w:rsidR="007D6842" w:rsidRPr="00CE25D5">
        <w:rPr>
          <w:rFonts w:ascii="Book Antiqua" w:hAnsi="Book Antiqua"/>
        </w:rPr>
        <w:t>ticipants in both groups was 63</w:t>
      </w:r>
      <w:r w:rsidR="00C93DA8" w:rsidRPr="00CE25D5">
        <w:rPr>
          <w:rFonts w:ascii="Book Antiqua" w:hAnsi="Book Antiqua"/>
        </w:rPr>
        <w:t xml:space="preserve"> ± 13 years. </w:t>
      </w:r>
      <w:r w:rsidRPr="00CE25D5">
        <w:rPr>
          <w:rFonts w:ascii="Book Antiqua" w:hAnsi="Book Antiqua"/>
        </w:rPr>
        <w:t>Table 1 displays the baseline characteristics of patients</w:t>
      </w:r>
      <w:r w:rsidR="008F0475" w:rsidRPr="00CE25D5">
        <w:rPr>
          <w:rFonts w:ascii="Book Antiqua" w:hAnsi="Book Antiqua"/>
        </w:rPr>
        <w:t xml:space="preserve">. There were no statistically </w:t>
      </w:r>
      <w:r w:rsidRPr="00CE25D5">
        <w:rPr>
          <w:rFonts w:ascii="Book Antiqua" w:hAnsi="Book Antiqua"/>
        </w:rPr>
        <w:t xml:space="preserve">significant differences between the groups across all variables at baseline. </w:t>
      </w:r>
      <w:r w:rsidR="00E72592" w:rsidRPr="00CE25D5">
        <w:rPr>
          <w:rFonts w:ascii="Book Antiqua" w:hAnsi="Book Antiqua"/>
        </w:rPr>
        <w:t>The control group (</w:t>
      </w:r>
      <w:r w:rsidR="00E72592" w:rsidRPr="00CE25D5">
        <w:rPr>
          <w:rFonts w:ascii="Book Antiqua" w:hAnsi="Book Antiqua"/>
          <w:i/>
        </w:rPr>
        <w:t>n</w:t>
      </w:r>
      <w:r w:rsidR="00E72592" w:rsidRPr="00CE25D5">
        <w:rPr>
          <w:rFonts w:ascii="Book Antiqua" w:hAnsi="Book Antiqua"/>
        </w:rPr>
        <w:t xml:space="preserve"> = 100) comprised 40 TKR and 60 THR. The </w:t>
      </w:r>
      <w:r w:rsidR="008C69F5" w:rsidRPr="00CE25D5">
        <w:rPr>
          <w:rFonts w:ascii="Book Antiqua" w:hAnsi="Book Antiqua"/>
        </w:rPr>
        <w:t>TXA</w:t>
      </w:r>
      <w:r w:rsidR="00E72592" w:rsidRPr="00CE25D5">
        <w:rPr>
          <w:rFonts w:ascii="Book Antiqua" w:hAnsi="Book Antiqua"/>
        </w:rPr>
        <w:t xml:space="preserve"> group (</w:t>
      </w:r>
      <w:r w:rsidR="00E72592" w:rsidRPr="00CE25D5">
        <w:rPr>
          <w:rFonts w:ascii="Book Antiqua" w:hAnsi="Book Antiqua"/>
          <w:i/>
        </w:rPr>
        <w:t>n</w:t>
      </w:r>
      <w:r w:rsidR="00E72592" w:rsidRPr="00CE25D5">
        <w:rPr>
          <w:rFonts w:ascii="Book Antiqua" w:hAnsi="Book Antiqua"/>
        </w:rPr>
        <w:t xml:space="preserve"> = 100) consisted of 48 TKR and 52 THR. </w:t>
      </w:r>
    </w:p>
    <w:p w14:paraId="6F749DB2" w14:textId="77777777" w:rsidR="00EC0A6D" w:rsidRPr="00CE25D5" w:rsidRDefault="00EC0A6D" w:rsidP="00E715CA">
      <w:pPr>
        <w:spacing w:line="360" w:lineRule="auto"/>
        <w:jc w:val="both"/>
        <w:rPr>
          <w:rFonts w:ascii="Book Antiqua" w:hAnsi="Book Antiqua"/>
        </w:rPr>
      </w:pPr>
    </w:p>
    <w:p w14:paraId="67D29B1D" w14:textId="60008DEA" w:rsidR="00EC0A6D" w:rsidRPr="00CE25D5" w:rsidRDefault="00FA4478" w:rsidP="00E715CA">
      <w:pPr>
        <w:spacing w:line="360" w:lineRule="auto"/>
        <w:jc w:val="both"/>
        <w:rPr>
          <w:rFonts w:ascii="Book Antiqua" w:hAnsi="Book Antiqua"/>
          <w:b/>
          <w:i/>
        </w:rPr>
      </w:pPr>
      <w:r w:rsidRPr="00CE25D5">
        <w:rPr>
          <w:rFonts w:ascii="Book Antiqua" w:hAnsi="Book Antiqua"/>
          <w:b/>
          <w:i/>
        </w:rPr>
        <w:t xml:space="preserve">Primary </w:t>
      </w:r>
      <w:r w:rsidR="00FB180B" w:rsidRPr="00CE25D5">
        <w:rPr>
          <w:rFonts w:ascii="Book Antiqua" w:hAnsi="Book Antiqua"/>
          <w:b/>
          <w:i/>
        </w:rPr>
        <w:t>o</w:t>
      </w:r>
      <w:r w:rsidRPr="00CE25D5">
        <w:rPr>
          <w:rFonts w:ascii="Book Antiqua" w:hAnsi="Book Antiqua"/>
          <w:b/>
          <w:i/>
        </w:rPr>
        <w:t>utcome – proportion of patients requiring transfusion</w:t>
      </w:r>
    </w:p>
    <w:p w14:paraId="1301F20F" w14:textId="38074FD6" w:rsidR="00FA4478" w:rsidRPr="00CE25D5" w:rsidRDefault="00FA4478" w:rsidP="00E715CA">
      <w:pPr>
        <w:spacing w:line="360" w:lineRule="auto"/>
        <w:jc w:val="both"/>
        <w:rPr>
          <w:rFonts w:ascii="Book Antiqua" w:hAnsi="Book Antiqua"/>
        </w:rPr>
      </w:pPr>
      <w:r w:rsidRPr="00CE25D5">
        <w:rPr>
          <w:rFonts w:ascii="Book Antiqua" w:hAnsi="Book Antiqua"/>
        </w:rPr>
        <w:lastRenderedPageBreak/>
        <w:t xml:space="preserve">There was a </w:t>
      </w:r>
      <w:r w:rsidR="00854655" w:rsidRPr="00CE25D5">
        <w:rPr>
          <w:rFonts w:ascii="Book Antiqua" w:hAnsi="Book Antiqua"/>
        </w:rPr>
        <w:t xml:space="preserve">highly </w:t>
      </w:r>
      <w:r w:rsidRPr="00CE25D5">
        <w:rPr>
          <w:rFonts w:ascii="Book Antiqua" w:hAnsi="Book Antiqua"/>
        </w:rPr>
        <w:t>significant difference between the groups (</w:t>
      </w:r>
      <w:r w:rsidR="00FB180B" w:rsidRPr="00CE25D5">
        <w:rPr>
          <w:rFonts w:ascii="Book Antiqua" w:hAnsi="Book Antiqua"/>
          <w:i/>
        </w:rPr>
        <w:t>P</w:t>
      </w:r>
      <w:r w:rsidRPr="00CE25D5">
        <w:rPr>
          <w:rFonts w:ascii="Book Antiqua" w:hAnsi="Book Antiqua"/>
        </w:rPr>
        <w:t xml:space="preserve"> &lt; 0.00</w:t>
      </w:r>
      <w:r w:rsidR="003567A1" w:rsidRPr="00CE25D5">
        <w:rPr>
          <w:rFonts w:ascii="Book Antiqua" w:hAnsi="Book Antiqua"/>
        </w:rPr>
        <w:t>1</w:t>
      </w:r>
      <w:r w:rsidRPr="00CE25D5">
        <w:rPr>
          <w:rFonts w:ascii="Book Antiqua" w:hAnsi="Book Antiqua"/>
        </w:rPr>
        <w:t>) in the proportion of patients who required transfusion following surgery (2</w:t>
      </w:r>
      <w:r w:rsidR="0017423F" w:rsidRPr="00CE25D5">
        <w:rPr>
          <w:rFonts w:ascii="Book Antiqua" w:hAnsi="Book Antiqua"/>
        </w:rPr>
        <w:t>2 patients in the control group</w:t>
      </w:r>
      <w:r w:rsidRPr="00DE2013">
        <w:rPr>
          <w:rFonts w:ascii="Book Antiqua" w:hAnsi="Book Antiqua"/>
          <w:i/>
        </w:rPr>
        <w:t xml:space="preserve"> vs </w:t>
      </w:r>
      <w:r w:rsidRPr="00CE25D5">
        <w:rPr>
          <w:rFonts w:ascii="Book Antiqua" w:hAnsi="Book Antiqua"/>
        </w:rPr>
        <w:t xml:space="preserve">2 patients in the TXA group). However, the number of units of blood received by </w:t>
      </w:r>
      <w:r w:rsidR="00AF4041" w:rsidRPr="00CE25D5">
        <w:rPr>
          <w:rFonts w:ascii="Book Antiqua" w:hAnsi="Book Antiqua"/>
        </w:rPr>
        <w:t xml:space="preserve">those </w:t>
      </w:r>
      <w:r w:rsidRPr="00CE25D5">
        <w:rPr>
          <w:rFonts w:ascii="Book Antiqua" w:hAnsi="Book Antiqua"/>
        </w:rPr>
        <w:t xml:space="preserve">individuals </w:t>
      </w:r>
      <w:r w:rsidR="00E812A2" w:rsidRPr="00CE25D5">
        <w:rPr>
          <w:rFonts w:ascii="Book Antiqua" w:hAnsi="Book Antiqua"/>
        </w:rPr>
        <w:t>that required</w:t>
      </w:r>
      <w:r w:rsidRPr="00CE25D5">
        <w:rPr>
          <w:rFonts w:ascii="Book Antiqua" w:hAnsi="Book Antiqua"/>
        </w:rPr>
        <w:t xml:space="preserve"> transfusion did not differ significantly between </w:t>
      </w:r>
      <w:r w:rsidR="00E812A2" w:rsidRPr="00CE25D5">
        <w:rPr>
          <w:rFonts w:ascii="Book Antiqua" w:hAnsi="Book Antiqua"/>
        </w:rPr>
        <w:t xml:space="preserve">the </w:t>
      </w:r>
      <w:r w:rsidRPr="00CE25D5">
        <w:rPr>
          <w:rFonts w:ascii="Book Antiqua" w:hAnsi="Book Antiqua"/>
        </w:rPr>
        <w:t>groups (</w:t>
      </w:r>
      <w:r w:rsidR="00FB180B" w:rsidRPr="00CE25D5">
        <w:rPr>
          <w:rFonts w:ascii="Book Antiqua" w:hAnsi="Book Antiqua"/>
          <w:i/>
        </w:rPr>
        <w:t>P</w:t>
      </w:r>
      <w:r w:rsidRPr="00CE25D5">
        <w:rPr>
          <w:rFonts w:ascii="Book Antiqua" w:hAnsi="Book Antiqua"/>
        </w:rPr>
        <w:t xml:space="preserve"> = 0.34).</w:t>
      </w:r>
    </w:p>
    <w:p w14:paraId="656E2310" w14:textId="77777777" w:rsidR="00FA4478" w:rsidRPr="00CE25D5" w:rsidRDefault="00FA4478" w:rsidP="00E715CA">
      <w:pPr>
        <w:spacing w:line="360" w:lineRule="auto"/>
        <w:jc w:val="both"/>
        <w:rPr>
          <w:rFonts w:ascii="Book Antiqua" w:hAnsi="Book Antiqua"/>
        </w:rPr>
      </w:pPr>
    </w:p>
    <w:p w14:paraId="4D43FBAC" w14:textId="793F068D" w:rsidR="00FA4478" w:rsidRPr="00CE25D5" w:rsidRDefault="00FA4478" w:rsidP="00E715CA">
      <w:pPr>
        <w:spacing w:line="360" w:lineRule="auto"/>
        <w:jc w:val="both"/>
        <w:rPr>
          <w:rFonts w:ascii="Book Antiqua" w:hAnsi="Book Antiqua"/>
          <w:b/>
          <w:i/>
        </w:rPr>
      </w:pPr>
      <w:r w:rsidRPr="00CE25D5">
        <w:rPr>
          <w:rFonts w:ascii="Book Antiqua" w:hAnsi="Book Antiqua"/>
          <w:b/>
          <w:i/>
        </w:rPr>
        <w:t xml:space="preserve">Secondary </w:t>
      </w:r>
      <w:r w:rsidR="00FB180B" w:rsidRPr="00CE25D5">
        <w:rPr>
          <w:rFonts w:ascii="Book Antiqua" w:hAnsi="Book Antiqua"/>
          <w:b/>
          <w:i/>
        </w:rPr>
        <w:t>o</w:t>
      </w:r>
      <w:r w:rsidRPr="00CE25D5">
        <w:rPr>
          <w:rFonts w:ascii="Book Antiqua" w:hAnsi="Book Antiqua"/>
          <w:b/>
          <w:i/>
        </w:rPr>
        <w:t>utcomes</w:t>
      </w:r>
    </w:p>
    <w:p w14:paraId="14D1BE35" w14:textId="1BF0831F" w:rsidR="00FA4478" w:rsidRPr="00CE25D5" w:rsidRDefault="00FA4478" w:rsidP="00E715CA">
      <w:pPr>
        <w:spacing w:line="360" w:lineRule="auto"/>
        <w:jc w:val="both"/>
        <w:rPr>
          <w:rFonts w:ascii="Book Antiqua" w:hAnsi="Book Antiqua"/>
        </w:rPr>
      </w:pPr>
      <w:r w:rsidRPr="00CE25D5">
        <w:rPr>
          <w:rFonts w:ascii="Book Antiqua" w:hAnsi="Book Antiqua"/>
        </w:rPr>
        <w:t xml:space="preserve">Table 2 indicates that there were significant differences in </w:t>
      </w:r>
      <w:proofErr w:type="spellStart"/>
      <w:r w:rsidRPr="00CE25D5">
        <w:rPr>
          <w:rFonts w:ascii="Book Antiqua" w:hAnsi="Book Antiqua"/>
        </w:rPr>
        <w:t>haemoglobin</w:t>
      </w:r>
      <w:proofErr w:type="spellEnd"/>
      <w:r w:rsidRPr="00CE25D5">
        <w:rPr>
          <w:rFonts w:ascii="Book Antiqua" w:hAnsi="Book Antiqua"/>
        </w:rPr>
        <w:t xml:space="preserve"> and </w:t>
      </w:r>
      <w:proofErr w:type="spellStart"/>
      <w:r w:rsidRPr="00CE25D5">
        <w:rPr>
          <w:rFonts w:ascii="Book Antiqua" w:hAnsi="Book Antiqua"/>
        </w:rPr>
        <w:t>haematocrit</w:t>
      </w:r>
      <w:proofErr w:type="spellEnd"/>
      <w:r w:rsidRPr="00CE25D5">
        <w:rPr>
          <w:rFonts w:ascii="Book Antiqua" w:hAnsi="Book Antiqua"/>
        </w:rPr>
        <w:t xml:space="preserve"> levels between the groups following surgery (</w:t>
      </w:r>
      <w:r w:rsidR="00FB180B" w:rsidRPr="00CE25D5">
        <w:rPr>
          <w:rFonts w:ascii="Book Antiqua" w:hAnsi="Book Antiqua"/>
          <w:i/>
        </w:rPr>
        <w:t>P</w:t>
      </w:r>
      <w:r w:rsidRPr="00CE25D5">
        <w:rPr>
          <w:rFonts w:ascii="Book Antiqua" w:hAnsi="Book Antiqua"/>
        </w:rPr>
        <w:t xml:space="preserve"> = 0.01).</w:t>
      </w:r>
      <w:r w:rsidR="00514343" w:rsidRPr="00CE25D5">
        <w:rPr>
          <w:rFonts w:ascii="Book Antiqua" w:hAnsi="Book Antiqua"/>
        </w:rPr>
        <w:t xml:space="preserve"> Differences in post-operative platelet counts between the groups were not statistically different (</w:t>
      </w:r>
      <w:r w:rsidR="00FB180B" w:rsidRPr="00CE25D5">
        <w:rPr>
          <w:rFonts w:ascii="Book Antiqua" w:hAnsi="Book Antiqua"/>
          <w:i/>
        </w:rPr>
        <w:t>P</w:t>
      </w:r>
      <w:r w:rsidR="00514343" w:rsidRPr="00CE25D5">
        <w:rPr>
          <w:rFonts w:ascii="Book Antiqua" w:hAnsi="Book Antiqua"/>
        </w:rPr>
        <w:t xml:space="preserve"> = 0.25). The mean length of stay in hospital</w:t>
      </w:r>
      <w:r w:rsidR="00AF4041" w:rsidRPr="00CE25D5">
        <w:rPr>
          <w:rFonts w:ascii="Book Antiqua" w:hAnsi="Book Antiqua"/>
        </w:rPr>
        <w:t>, equivalent to BDUs</w:t>
      </w:r>
      <w:r w:rsidR="008C69F5" w:rsidRPr="00CE25D5">
        <w:rPr>
          <w:rFonts w:ascii="Book Antiqua" w:hAnsi="Book Antiqua"/>
        </w:rPr>
        <w:t>,</w:t>
      </w:r>
      <w:r w:rsidR="00514343" w:rsidRPr="00CE25D5">
        <w:rPr>
          <w:rFonts w:ascii="Book Antiqua" w:hAnsi="Book Antiqua"/>
        </w:rPr>
        <w:t xml:space="preserve"> for the TXA group was 5.47 </w:t>
      </w:r>
      <w:r w:rsidR="001D239F" w:rsidRPr="00CE25D5">
        <w:rPr>
          <w:rFonts w:ascii="Book Antiqua" w:hAnsi="Book Antiqua"/>
        </w:rPr>
        <w:t xml:space="preserve">± 4.26 d </w:t>
      </w:r>
      <w:r w:rsidR="001D239F" w:rsidRPr="00CE25D5">
        <w:rPr>
          <w:rFonts w:ascii="Book Antiqua" w:hAnsi="Book Antiqua"/>
          <w:i/>
        </w:rPr>
        <w:t>vs</w:t>
      </w:r>
      <w:r w:rsidR="001D239F" w:rsidRPr="00CE25D5">
        <w:rPr>
          <w:rFonts w:ascii="Book Antiqua" w:hAnsi="Book Antiqua"/>
        </w:rPr>
        <w:t xml:space="preserve"> 6.53 ± 5.92 d for patients in the control group, although this difference was not statistically significant (</w:t>
      </w:r>
      <w:r w:rsidR="00FB180B" w:rsidRPr="00CE25D5">
        <w:rPr>
          <w:rFonts w:ascii="Book Antiqua" w:hAnsi="Book Antiqua"/>
          <w:i/>
        </w:rPr>
        <w:t>P</w:t>
      </w:r>
      <w:r w:rsidR="001D239F" w:rsidRPr="00CE25D5">
        <w:rPr>
          <w:rFonts w:ascii="Book Antiqua" w:hAnsi="Book Antiqua"/>
        </w:rPr>
        <w:t xml:space="preserve"> = 0.15).</w:t>
      </w:r>
    </w:p>
    <w:p w14:paraId="125824DB" w14:textId="63A62D0B" w:rsidR="007B0A26" w:rsidRPr="00CE25D5" w:rsidRDefault="007B0A26" w:rsidP="00FB180B">
      <w:pPr>
        <w:spacing w:line="360" w:lineRule="auto"/>
        <w:ind w:firstLineChars="100" w:firstLine="240"/>
        <w:jc w:val="both"/>
        <w:rPr>
          <w:rFonts w:ascii="Book Antiqua" w:hAnsi="Book Antiqua"/>
        </w:rPr>
      </w:pPr>
      <w:r w:rsidRPr="00CE25D5">
        <w:rPr>
          <w:rFonts w:ascii="Book Antiqua" w:hAnsi="Book Antiqua"/>
        </w:rPr>
        <w:t>In the control group, one patient developed multiple pulmonary emboli on the second post-operative day following TKR. In the TXA group, one patient developed a deep venous thrombosis in the peroneal vein one</w:t>
      </w:r>
      <w:r w:rsidR="006E1E63" w:rsidRPr="00CE25D5">
        <w:rPr>
          <w:rFonts w:ascii="Book Antiqua" w:hAnsi="Book Antiqua"/>
        </w:rPr>
        <w:t xml:space="preserve"> week</w:t>
      </w:r>
      <w:r w:rsidRPr="00CE25D5">
        <w:rPr>
          <w:rFonts w:ascii="Book Antiqua" w:hAnsi="Book Antiqua"/>
        </w:rPr>
        <w:t xml:space="preserve"> post-operatively following TKR. Both patients recovered uneventfully.</w:t>
      </w:r>
    </w:p>
    <w:p w14:paraId="4EB6AB0C" w14:textId="429400A8" w:rsidR="007B0A26" w:rsidRPr="00CE25D5" w:rsidRDefault="007B0A26" w:rsidP="00D65097">
      <w:pPr>
        <w:spacing w:line="360" w:lineRule="auto"/>
        <w:ind w:firstLineChars="100" w:firstLine="240"/>
        <w:jc w:val="both"/>
        <w:rPr>
          <w:rFonts w:ascii="Book Antiqua" w:hAnsi="Book Antiqua"/>
        </w:rPr>
      </w:pPr>
      <w:r w:rsidRPr="00CE25D5">
        <w:rPr>
          <w:rFonts w:ascii="Book Antiqua" w:hAnsi="Book Antiqua"/>
        </w:rPr>
        <w:t>Two patients in the TXA group required blood transfusion. One patient was a 72</w:t>
      </w:r>
      <w:r w:rsidR="00D65097" w:rsidRPr="00CE25D5">
        <w:rPr>
          <w:rFonts w:ascii="Book Antiqua" w:eastAsia="宋体" w:hAnsi="Book Antiqua" w:hint="eastAsia"/>
          <w:lang w:eastAsia="zh-CN"/>
        </w:rPr>
        <w:t>-</w:t>
      </w:r>
      <w:r w:rsidRPr="00CE25D5">
        <w:rPr>
          <w:rFonts w:ascii="Book Antiqua" w:hAnsi="Book Antiqua"/>
        </w:rPr>
        <w:t xml:space="preserve">year-old lady who underwent uneventful left TKR. Her pre-operative </w:t>
      </w:r>
      <w:proofErr w:type="spellStart"/>
      <w:r w:rsidRPr="00CE25D5">
        <w:rPr>
          <w:rFonts w:ascii="Book Antiqua" w:hAnsi="Book Antiqua"/>
        </w:rPr>
        <w:t>haemoglobin</w:t>
      </w:r>
      <w:proofErr w:type="spellEnd"/>
      <w:r w:rsidRPr="00CE25D5">
        <w:rPr>
          <w:rFonts w:ascii="Book Antiqua" w:hAnsi="Book Antiqua"/>
        </w:rPr>
        <w:t xml:space="preserve"> dropped from 10.4 g/</w:t>
      </w:r>
      <w:proofErr w:type="spellStart"/>
      <w:r w:rsidRPr="00CE25D5">
        <w:rPr>
          <w:rFonts w:ascii="Book Antiqua" w:hAnsi="Book Antiqua"/>
        </w:rPr>
        <w:t>dL</w:t>
      </w:r>
      <w:proofErr w:type="spellEnd"/>
      <w:r w:rsidRPr="00CE25D5">
        <w:rPr>
          <w:rFonts w:ascii="Book Antiqua" w:hAnsi="Book Antiqua"/>
        </w:rPr>
        <w:t xml:space="preserve"> to 7.4 g/</w:t>
      </w:r>
      <w:proofErr w:type="spellStart"/>
      <w:r w:rsidRPr="00CE25D5">
        <w:rPr>
          <w:rFonts w:ascii="Book Antiqua" w:hAnsi="Book Antiqua"/>
        </w:rPr>
        <w:t>dL</w:t>
      </w:r>
      <w:proofErr w:type="spellEnd"/>
      <w:r w:rsidRPr="00CE25D5">
        <w:rPr>
          <w:rFonts w:ascii="Book Antiqua" w:hAnsi="Book Antiqua"/>
        </w:rPr>
        <w:t>. Although asymptomatic, she activated the transfusion protocol and was transfused two units of blood. The second patient transfused blood was a 78</w:t>
      </w:r>
      <w:r w:rsidR="00D65097" w:rsidRPr="00CE25D5">
        <w:rPr>
          <w:rFonts w:ascii="Book Antiqua" w:eastAsia="宋体" w:hAnsi="Book Antiqua" w:hint="eastAsia"/>
          <w:lang w:eastAsia="zh-CN"/>
        </w:rPr>
        <w:t>-</w:t>
      </w:r>
      <w:r w:rsidRPr="00CE25D5">
        <w:rPr>
          <w:rFonts w:ascii="Book Antiqua" w:hAnsi="Book Antiqua"/>
        </w:rPr>
        <w:t xml:space="preserve">year-old lady who underwent uneventful right THR. She had a background history of a myelodysplastic syndrome and B12 deficiency. She was transfused </w:t>
      </w:r>
      <w:proofErr w:type="spellStart"/>
      <w:r w:rsidRPr="00CE25D5">
        <w:rPr>
          <w:rFonts w:ascii="Book Antiqua" w:hAnsi="Book Antiqua"/>
        </w:rPr>
        <w:t>perioperatively</w:t>
      </w:r>
      <w:proofErr w:type="spellEnd"/>
      <w:r w:rsidRPr="00CE25D5">
        <w:rPr>
          <w:rFonts w:ascii="Book Antiqua" w:hAnsi="Book Antiqua"/>
        </w:rPr>
        <w:t xml:space="preserve"> on the advice of the </w:t>
      </w:r>
      <w:proofErr w:type="spellStart"/>
      <w:r w:rsidRPr="00CE25D5">
        <w:rPr>
          <w:rFonts w:ascii="Book Antiqua" w:hAnsi="Book Antiqua"/>
        </w:rPr>
        <w:t>haematology</w:t>
      </w:r>
      <w:proofErr w:type="spellEnd"/>
      <w:r w:rsidRPr="00CE25D5">
        <w:rPr>
          <w:rFonts w:ascii="Book Antiqua" w:hAnsi="Book Antiqua"/>
        </w:rPr>
        <w:t xml:space="preserve"> service. </w:t>
      </w:r>
    </w:p>
    <w:p w14:paraId="3997C66A" w14:textId="77777777" w:rsidR="001D239F" w:rsidRPr="00CE25D5" w:rsidRDefault="001D239F" w:rsidP="00E715CA">
      <w:pPr>
        <w:spacing w:line="360" w:lineRule="auto"/>
        <w:jc w:val="both"/>
        <w:rPr>
          <w:rFonts w:ascii="Book Antiqua" w:hAnsi="Book Antiqua"/>
        </w:rPr>
      </w:pPr>
    </w:p>
    <w:p w14:paraId="0EA3A867" w14:textId="25A67B3D" w:rsidR="001D239F" w:rsidRPr="00CE25D5" w:rsidRDefault="001D239F" w:rsidP="00E715CA">
      <w:pPr>
        <w:spacing w:line="360" w:lineRule="auto"/>
        <w:jc w:val="both"/>
        <w:rPr>
          <w:rFonts w:ascii="Book Antiqua" w:hAnsi="Book Antiqua"/>
          <w:b/>
          <w:i/>
        </w:rPr>
      </w:pPr>
      <w:r w:rsidRPr="00CE25D5">
        <w:rPr>
          <w:rFonts w:ascii="Book Antiqua" w:hAnsi="Book Antiqua"/>
          <w:b/>
          <w:i/>
        </w:rPr>
        <w:t xml:space="preserve">Cost </w:t>
      </w:r>
      <w:r w:rsidR="00D65097" w:rsidRPr="00CE25D5">
        <w:rPr>
          <w:rFonts w:ascii="Book Antiqua" w:hAnsi="Book Antiqua"/>
          <w:b/>
          <w:i/>
        </w:rPr>
        <w:t>a</w:t>
      </w:r>
      <w:r w:rsidRPr="00CE25D5">
        <w:rPr>
          <w:rFonts w:ascii="Book Antiqua" w:hAnsi="Book Antiqua"/>
          <w:b/>
          <w:i/>
        </w:rPr>
        <w:t>nalysis</w:t>
      </w:r>
    </w:p>
    <w:p w14:paraId="5E1F8452" w14:textId="1C31826F" w:rsidR="00AD0EE7" w:rsidRPr="00CE25D5" w:rsidRDefault="00A94673" w:rsidP="00E715CA">
      <w:pPr>
        <w:spacing w:line="360" w:lineRule="auto"/>
        <w:jc w:val="both"/>
        <w:rPr>
          <w:rFonts w:ascii="Book Antiqua" w:hAnsi="Book Antiqua"/>
        </w:rPr>
      </w:pPr>
      <w:r w:rsidRPr="00CE25D5">
        <w:rPr>
          <w:rFonts w:ascii="Book Antiqua" w:hAnsi="Book Antiqua"/>
        </w:rPr>
        <w:t xml:space="preserve">This study </w:t>
      </w:r>
      <w:r w:rsidR="001D239F" w:rsidRPr="00CE25D5">
        <w:rPr>
          <w:rFonts w:ascii="Book Antiqua" w:hAnsi="Book Antiqua"/>
        </w:rPr>
        <w:t xml:space="preserve">analyzed the financial benefit of TXA in terms of reduction in transfusion rate and reduction in </w:t>
      </w:r>
      <w:r w:rsidR="0089203E" w:rsidRPr="00CE25D5">
        <w:rPr>
          <w:rFonts w:ascii="Book Antiqua" w:hAnsi="Book Antiqua"/>
        </w:rPr>
        <w:t>length of stay in hospital</w:t>
      </w:r>
      <w:r w:rsidR="001D239F" w:rsidRPr="00CE25D5">
        <w:rPr>
          <w:rFonts w:ascii="Book Antiqua" w:hAnsi="Book Antiqua"/>
        </w:rPr>
        <w:t>. At a cost of €0.75 per 1</w:t>
      </w:r>
      <w:r w:rsidR="00D65097" w:rsidRPr="00CE25D5">
        <w:rPr>
          <w:rFonts w:ascii="Book Antiqua" w:eastAsia="宋体" w:hAnsi="Book Antiqua" w:hint="eastAsia"/>
          <w:lang w:eastAsia="zh-CN"/>
        </w:rPr>
        <w:t xml:space="preserve"> </w:t>
      </w:r>
      <w:r w:rsidR="001D239F" w:rsidRPr="00CE25D5">
        <w:rPr>
          <w:rFonts w:ascii="Book Antiqua" w:hAnsi="Book Antiqua"/>
        </w:rPr>
        <w:t xml:space="preserve">g </w:t>
      </w:r>
      <w:r w:rsidR="008C69F5" w:rsidRPr="00CE25D5">
        <w:rPr>
          <w:rFonts w:ascii="Book Antiqua" w:hAnsi="Book Antiqua"/>
        </w:rPr>
        <w:t xml:space="preserve">of </w:t>
      </w:r>
      <w:r w:rsidR="001D239F" w:rsidRPr="00CE25D5">
        <w:rPr>
          <w:rFonts w:ascii="Book Antiqua" w:hAnsi="Book Antiqua"/>
        </w:rPr>
        <w:t xml:space="preserve">TXA, the total cost burden for use of TXA for 100 arthroplasties </w:t>
      </w:r>
      <w:r w:rsidR="004449EE" w:rsidRPr="00CE25D5">
        <w:rPr>
          <w:rFonts w:ascii="Book Antiqua" w:hAnsi="Book Antiqua"/>
        </w:rPr>
        <w:t xml:space="preserve">was calculated </w:t>
      </w:r>
      <w:r w:rsidR="001D239F" w:rsidRPr="00CE25D5">
        <w:rPr>
          <w:rFonts w:ascii="Book Antiqua" w:hAnsi="Book Antiqua"/>
        </w:rPr>
        <w:t>at €75. There was a 20% difference</w:t>
      </w:r>
      <w:r w:rsidR="0089203E" w:rsidRPr="00CE25D5">
        <w:rPr>
          <w:rFonts w:ascii="Book Antiqua" w:hAnsi="Book Antiqua"/>
        </w:rPr>
        <w:t xml:space="preserve"> </w:t>
      </w:r>
      <w:r w:rsidR="001D239F" w:rsidRPr="00CE25D5">
        <w:rPr>
          <w:rFonts w:ascii="Book Antiqua" w:hAnsi="Book Antiqua"/>
        </w:rPr>
        <w:t xml:space="preserve">in transfusion rate between the </w:t>
      </w:r>
      <w:r w:rsidR="001D239F" w:rsidRPr="00CE25D5">
        <w:rPr>
          <w:rFonts w:ascii="Book Antiqua" w:hAnsi="Book Antiqua"/>
        </w:rPr>
        <w:lastRenderedPageBreak/>
        <w:t xml:space="preserve">control and TXA group, in </w:t>
      </w:r>
      <w:proofErr w:type="spellStart"/>
      <w:r w:rsidR="001D239F" w:rsidRPr="00CE25D5">
        <w:rPr>
          <w:rFonts w:ascii="Book Antiqua" w:hAnsi="Book Antiqua"/>
        </w:rPr>
        <w:t>favour</w:t>
      </w:r>
      <w:proofErr w:type="spellEnd"/>
      <w:r w:rsidR="001D239F" w:rsidRPr="00CE25D5">
        <w:rPr>
          <w:rFonts w:ascii="Book Antiqua" w:hAnsi="Book Antiqua"/>
        </w:rPr>
        <w:t xml:space="preserve"> of the latter. </w:t>
      </w:r>
      <w:r w:rsidR="0089203E" w:rsidRPr="00CE25D5">
        <w:rPr>
          <w:rFonts w:ascii="Book Antiqua" w:hAnsi="Book Antiqua"/>
        </w:rPr>
        <w:t xml:space="preserve">A total of 55 units of blood were transfused in the control group, in contrast to 3 units of blood in the TXA group. </w:t>
      </w:r>
      <w:r w:rsidR="001D239F" w:rsidRPr="00CE25D5">
        <w:rPr>
          <w:rFonts w:ascii="Book Antiqua" w:hAnsi="Book Antiqua"/>
        </w:rPr>
        <w:t xml:space="preserve">With a cost of €201 per unit of packed red cells, we therefore estimated the savings in terms of transfusion </w:t>
      </w:r>
      <w:r w:rsidR="0089203E" w:rsidRPr="00CE25D5">
        <w:rPr>
          <w:rFonts w:ascii="Book Antiqua" w:hAnsi="Book Antiqua"/>
        </w:rPr>
        <w:t>following TXA administration at €10</w:t>
      </w:r>
      <w:r w:rsidR="006152A5" w:rsidRPr="00CE25D5">
        <w:rPr>
          <w:rFonts w:ascii="Book Antiqua" w:hAnsi="Book Antiqua"/>
        </w:rPr>
        <w:t>452. When this figure wa</w:t>
      </w:r>
      <w:r w:rsidR="0089203E" w:rsidRPr="00CE25D5">
        <w:rPr>
          <w:rFonts w:ascii="Book Antiqua" w:hAnsi="Book Antiqua"/>
        </w:rPr>
        <w:t>s offset against the cost of TXA, we estimate</w:t>
      </w:r>
      <w:r w:rsidR="006152A5" w:rsidRPr="00CE25D5">
        <w:rPr>
          <w:rFonts w:ascii="Book Antiqua" w:hAnsi="Book Antiqua"/>
        </w:rPr>
        <w:t>d</w:t>
      </w:r>
      <w:r w:rsidR="0089203E" w:rsidRPr="00CE25D5">
        <w:rPr>
          <w:rFonts w:ascii="Book Antiqua" w:hAnsi="Book Antiqua"/>
        </w:rPr>
        <w:t xml:space="preserve"> overall savings of €10</w:t>
      </w:r>
      <w:r w:rsidR="008C69F5" w:rsidRPr="00CE25D5">
        <w:rPr>
          <w:rFonts w:ascii="Book Antiqua" w:hAnsi="Book Antiqua"/>
        </w:rPr>
        <w:t>37</w:t>
      </w:r>
      <w:r w:rsidR="00D65097" w:rsidRPr="00CE25D5">
        <w:rPr>
          <w:rFonts w:ascii="Book Antiqua" w:hAnsi="Book Antiqua"/>
        </w:rPr>
        <w:t>7, equivalent to €103</w:t>
      </w:r>
      <w:r w:rsidR="00D65097" w:rsidRPr="00CE25D5">
        <w:rPr>
          <w:rFonts w:ascii="Book Antiqua" w:eastAsia="宋体" w:hAnsi="Book Antiqua" w:hint="eastAsia"/>
          <w:lang w:eastAsia="zh-CN"/>
        </w:rPr>
        <w:t>.</w:t>
      </w:r>
      <w:r w:rsidR="008C69F5" w:rsidRPr="00CE25D5">
        <w:rPr>
          <w:rFonts w:ascii="Book Antiqua" w:hAnsi="Book Antiqua"/>
        </w:rPr>
        <w:t>77</w:t>
      </w:r>
      <w:r w:rsidR="0089203E" w:rsidRPr="00CE25D5">
        <w:rPr>
          <w:rFonts w:ascii="Book Antiqua" w:hAnsi="Book Antiqua"/>
        </w:rPr>
        <w:t xml:space="preserve"> per patient.</w:t>
      </w:r>
    </w:p>
    <w:p w14:paraId="167C2FE4" w14:textId="03EF6F1E" w:rsidR="0089203E" w:rsidRPr="00CE25D5" w:rsidRDefault="0089203E" w:rsidP="00D65097">
      <w:pPr>
        <w:spacing w:line="360" w:lineRule="auto"/>
        <w:ind w:firstLineChars="100" w:firstLine="240"/>
        <w:jc w:val="both"/>
        <w:rPr>
          <w:rFonts w:ascii="Book Antiqua" w:hAnsi="Book Antiqua"/>
        </w:rPr>
      </w:pPr>
      <w:r w:rsidRPr="00CE25D5">
        <w:rPr>
          <w:rFonts w:ascii="Book Antiqua" w:hAnsi="Book Antiqua"/>
        </w:rPr>
        <w:t>On average, the control group remained in hospital for 6</w:t>
      </w:r>
      <w:r w:rsidR="006152A5" w:rsidRPr="00CE25D5">
        <w:rPr>
          <w:rFonts w:ascii="Book Antiqua" w:hAnsi="Book Antiqua"/>
        </w:rPr>
        <w:t>.53 d, equivalent to 653 BDUs</w:t>
      </w:r>
      <w:r w:rsidRPr="00CE25D5">
        <w:rPr>
          <w:rFonts w:ascii="Book Antiqua" w:hAnsi="Book Antiqua"/>
        </w:rPr>
        <w:t xml:space="preserve"> </w:t>
      </w:r>
      <w:r w:rsidR="008C69F5" w:rsidRPr="00CE25D5">
        <w:rPr>
          <w:rFonts w:ascii="Book Antiqua" w:hAnsi="Book Antiqua"/>
        </w:rPr>
        <w:t xml:space="preserve">in total </w:t>
      </w:r>
      <w:r w:rsidRPr="00CE25D5">
        <w:rPr>
          <w:rFonts w:ascii="Book Antiqua" w:hAnsi="Book Antiqua"/>
        </w:rPr>
        <w:t>for this cohort. The TXA group</w:t>
      </w:r>
      <w:r w:rsidR="00D65097" w:rsidRPr="00CE25D5">
        <w:rPr>
          <w:rFonts w:ascii="Book Antiqua" w:hAnsi="Book Antiqua"/>
        </w:rPr>
        <w:t xml:space="preserve"> averaged 5.47 d</w:t>
      </w:r>
      <w:r w:rsidR="006152A5" w:rsidRPr="00CE25D5">
        <w:rPr>
          <w:rFonts w:ascii="Book Antiqua" w:hAnsi="Book Antiqua"/>
        </w:rPr>
        <w:t>, or 547 BDUs</w:t>
      </w:r>
      <w:r w:rsidR="004449EE" w:rsidRPr="00CE25D5">
        <w:rPr>
          <w:rFonts w:ascii="Book Antiqua" w:hAnsi="Book Antiqua"/>
        </w:rPr>
        <w:t xml:space="preserve"> in total in hospital. It was</w:t>
      </w:r>
      <w:r w:rsidRPr="00CE25D5">
        <w:rPr>
          <w:rFonts w:ascii="Book Antiqua" w:hAnsi="Book Antiqua"/>
        </w:rPr>
        <w:t xml:space="preserve"> therefore calculated that for 100 patients given TXA </w:t>
      </w:r>
      <w:proofErr w:type="spellStart"/>
      <w:r w:rsidRPr="00CE25D5">
        <w:rPr>
          <w:rFonts w:ascii="Book Antiqua" w:hAnsi="Book Antiqua"/>
        </w:rPr>
        <w:t>perioperatively</w:t>
      </w:r>
      <w:proofErr w:type="spellEnd"/>
      <w:r w:rsidRPr="00CE25D5">
        <w:rPr>
          <w:rFonts w:ascii="Book Antiqua" w:hAnsi="Book Antiqua"/>
        </w:rPr>
        <w:t xml:space="preserve">, a total of 106 d were saved, at a cost of €1081 per </w:t>
      </w:r>
      <w:r w:rsidR="006152A5" w:rsidRPr="00CE25D5">
        <w:rPr>
          <w:rFonts w:ascii="Book Antiqua" w:hAnsi="Book Antiqua"/>
        </w:rPr>
        <w:t>BDU</w:t>
      </w:r>
      <w:r w:rsidR="00C06CC7" w:rsidRPr="00CE25D5">
        <w:rPr>
          <w:rFonts w:ascii="Book Antiqua" w:hAnsi="Book Antiqua"/>
        </w:rPr>
        <w:t>. On this basis, we estimated savings of €114586, or €1145.86 per patient. Table 3 summarizes our cost analysis.</w:t>
      </w:r>
    </w:p>
    <w:p w14:paraId="64A5B5F1" w14:textId="77777777" w:rsidR="00196A1A" w:rsidRPr="00CE25D5" w:rsidRDefault="00196A1A" w:rsidP="00E715CA">
      <w:pPr>
        <w:spacing w:line="360" w:lineRule="auto"/>
        <w:jc w:val="both"/>
        <w:rPr>
          <w:rFonts w:ascii="Book Antiqua" w:eastAsia="宋体" w:hAnsi="Book Antiqua"/>
          <w:b/>
          <w:lang w:eastAsia="zh-CN"/>
        </w:rPr>
      </w:pPr>
    </w:p>
    <w:p w14:paraId="30DF8B35" w14:textId="2A8F475C" w:rsidR="000C4834" w:rsidRPr="00CE25D5" w:rsidRDefault="00D65097" w:rsidP="00E715CA">
      <w:pPr>
        <w:spacing w:line="360" w:lineRule="auto"/>
        <w:jc w:val="both"/>
        <w:rPr>
          <w:rFonts w:ascii="Book Antiqua" w:hAnsi="Book Antiqua"/>
          <w:b/>
        </w:rPr>
      </w:pPr>
      <w:r w:rsidRPr="00CE25D5">
        <w:rPr>
          <w:rFonts w:ascii="Book Antiqua" w:hAnsi="Book Antiqua"/>
          <w:b/>
        </w:rPr>
        <w:t>DISCUSSION</w:t>
      </w:r>
    </w:p>
    <w:p w14:paraId="3FA2975C" w14:textId="0FF473A4" w:rsidR="00F93ACB" w:rsidRPr="00CE25D5" w:rsidRDefault="00982172" w:rsidP="00E715CA">
      <w:pPr>
        <w:spacing w:line="360" w:lineRule="auto"/>
        <w:jc w:val="both"/>
        <w:rPr>
          <w:rFonts w:ascii="Book Antiqua" w:hAnsi="Book Antiqua"/>
        </w:rPr>
      </w:pPr>
      <w:r w:rsidRPr="00CE25D5">
        <w:rPr>
          <w:rFonts w:ascii="Book Antiqua" w:hAnsi="Book Antiqua"/>
        </w:rPr>
        <w:t xml:space="preserve">Elective THR and TKR are among the most common surgical procedures that may lead to considerable blood loss requiring </w:t>
      </w:r>
      <w:proofErr w:type="gramStart"/>
      <w:r w:rsidRPr="00CE25D5">
        <w:rPr>
          <w:rFonts w:ascii="Book Antiqua" w:hAnsi="Book Antiqua"/>
        </w:rPr>
        <w:t>transfusion</w:t>
      </w:r>
      <w:r w:rsidR="00D65097" w:rsidRPr="00CE25D5">
        <w:rPr>
          <w:rFonts w:ascii="Book Antiqua" w:hAnsi="Book Antiqua"/>
          <w:vertAlign w:val="superscript"/>
        </w:rPr>
        <w:t>[</w:t>
      </w:r>
      <w:proofErr w:type="gramEnd"/>
      <w:r w:rsidR="00D65097" w:rsidRPr="00CE25D5">
        <w:rPr>
          <w:rFonts w:ascii="Book Antiqua" w:hAnsi="Book Antiqua"/>
          <w:vertAlign w:val="superscript"/>
        </w:rPr>
        <w:t>11,</w:t>
      </w:r>
      <w:r w:rsidR="004A55FE" w:rsidRPr="00CE25D5">
        <w:rPr>
          <w:rFonts w:ascii="Book Antiqua" w:hAnsi="Book Antiqua"/>
          <w:vertAlign w:val="superscript"/>
        </w:rPr>
        <w:t>12]</w:t>
      </w:r>
      <w:r w:rsidRPr="00CE25D5">
        <w:rPr>
          <w:rFonts w:ascii="Book Antiqua" w:hAnsi="Book Antiqua"/>
        </w:rPr>
        <w:t xml:space="preserve">. </w:t>
      </w:r>
      <w:r w:rsidR="00AB7646" w:rsidRPr="00CE25D5">
        <w:rPr>
          <w:rFonts w:ascii="Book Antiqua" w:hAnsi="Book Antiqua"/>
        </w:rPr>
        <w:t xml:space="preserve">Blood loss following lower limb arthroplasty remains a concern for </w:t>
      </w:r>
      <w:proofErr w:type="spellStart"/>
      <w:r w:rsidR="00AB7646" w:rsidRPr="00CE25D5">
        <w:rPr>
          <w:rFonts w:ascii="Book Antiqua" w:hAnsi="Book Antiqua"/>
        </w:rPr>
        <w:t>orthopaedic</w:t>
      </w:r>
      <w:proofErr w:type="spellEnd"/>
      <w:r w:rsidR="00AB7646" w:rsidRPr="00CE25D5">
        <w:rPr>
          <w:rFonts w:ascii="Book Antiqua" w:hAnsi="Book Antiqua"/>
        </w:rPr>
        <w:t xml:space="preserve"> surgeons, although the rates of significant blood loss have improved over the past quarter of a </w:t>
      </w:r>
      <w:proofErr w:type="gramStart"/>
      <w:r w:rsidR="00AB7646" w:rsidRPr="00CE25D5">
        <w:rPr>
          <w:rFonts w:ascii="Book Antiqua" w:hAnsi="Book Antiqua"/>
        </w:rPr>
        <w:t>century</w:t>
      </w:r>
      <w:r w:rsidR="004A55FE" w:rsidRPr="00CE25D5">
        <w:rPr>
          <w:rFonts w:ascii="Book Antiqua" w:hAnsi="Book Antiqua"/>
          <w:vertAlign w:val="superscript"/>
        </w:rPr>
        <w:t>[</w:t>
      </w:r>
      <w:proofErr w:type="gramEnd"/>
      <w:r w:rsidR="004A55FE" w:rsidRPr="00CE25D5">
        <w:rPr>
          <w:rFonts w:ascii="Book Antiqua" w:hAnsi="Book Antiqua"/>
          <w:vertAlign w:val="superscript"/>
        </w:rPr>
        <w:t>13]</w:t>
      </w:r>
      <w:r w:rsidR="00AB7646" w:rsidRPr="00CE25D5">
        <w:rPr>
          <w:rFonts w:ascii="Book Antiqua" w:hAnsi="Book Antiqua"/>
        </w:rPr>
        <w:t>. Despite this, b</w:t>
      </w:r>
      <w:r w:rsidR="00DF286C" w:rsidRPr="00CE25D5">
        <w:rPr>
          <w:rFonts w:ascii="Book Antiqua" w:hAnsi="Book Antiqua"/>
        </w:rPr>
        <w:t xml:space="preserve">lood losses of up to 1500 mL or higher following TKR have been </w:t>
      </w:r>
      <w:proofErr w:type="gramStart"/>
      <w:r w:rsidR="00DF286C" w:rsidRPr="00CE25D5">
        <w:rPr>
          <w:rFonts w:ascii="Book Antiqua" w:hAnsi="Book Antiqua"/>
        </w:rPr>
        <w:t>reported</w:t>
      </w:r>
      <w:r w:rsidR="004A55FE" w:rsidRPr="00CE25D5">
        <w:rPr>
          <w:rFonts w:ascii="Book Antiqua" w:hAnsi="Book Antiqua"/>
          <w:vertAlign w:val="superscript"/>
        </w:rPr>
        <w:t>[</w:t>
      </w:r>
      <w:proofErr w:type="gramEnd"/>
      <w:r w:rsidR="004A55FE" w:rsidRPr="00CE25D5">
        <w:rPr>
          <w:rFonts w:ascii="Book Antiqua" w:hAnsi="Book Antiqua"/>
          <w:vertAlign w:val="superscript"/>
        </w:rPr>
        <w:t>14]</w:t>
      </w:r>
      <w:r w:rsidR="00DF286C" w:rsidRPr="00CE25D5">
        <w:rPr>
          <w:rFonts w:ascii="Book Antiqua" w:hAnsi="Book Antiqua"/>
        </w:rPr>
        <w:t xml:space="preserve">. </w:t>
      </w:r>
    </w:p>
    <w:p w14:paraId="1A1CF4B7" w14:textId="1FD911BA" w:rsidR="00AB7646" w:rsidRPr="00CE25D5" w:rsidRDefault="00DF286C" w:rsidP="00D65097">
      <w:pPr>
        <w:spacing w:line="360" w:lineRule="auto"/>
        <w:ind w:firstLineChars="100" w:firstLine="240"/>
        <w:jc w:val="both"/>
        <w:rPr>
          <w:rFonts w:ascii="Book Antiqua" w:hAnsi="Book Antiqua"/>
        </w:rPr>
      </w:pPr>
      <w:proofErr w:type="spellStart"/>
      <w:r w:rsidRPr="00CE25D5">
        <w:rPr>
          <w:rFonts w:ascii="Book Antiqua" w:hAnsi="Book Antiqua"/>
        </w:rPr>
        <w:t>Orthopaedic</w:t>
      </w:r>
      <w:proofErr w:type="spellEnd"/>
      <w:r w:rsidRPr="00CE25D5">
        <w:rPr>
          <w:rFonts w:ascii="Book Antiqua" w:hAnsi="Book Antiqua"/>
        </w:rPr>
        <w:t xml:space="preserve"> surgeons have generally tended to minimize the use of allogen</w:t>
      </w:r>
      <w:r w:rsidR="00D541C9" w:rsidRPr="00CE25D5">
        <w:rPr>
          <w:rFonts w:ascii="Book Antiqua" w:hAnsi="Book Antiqua"/>
        </w:rPr>
        <w:t>e</w:t>
      </w:r>
      <w:r w:rsidRPr="00CE25D5">
        <w:rPr>
          <w:rFonts w:ascii="Book Antiqua" w:hAnsi="Book Antiqua"/>
        </w:rPr>
        <w:t xml:space="preserve">ic blood transfusion in THR and TKR on the basis of concerns for potentially serious complications including </w:t>
      </w:r>
      <w:proofErr w:type="gramStart"/>
      <w:r w:rsidRPr="00CE25D5">
        <w:rPr>
          <w:rFonts w:ascii="Book Antiqua" w:hAnsi="Book Antiqua"/>
        </w:rPr>
        <w:t>sepsis</w:t>
      </w:r>
      <w:r w:rsidR="004A55FE" w:rsidRPr="00CE25D5">
        <w:rPr>
          <w:rFonts w:ascii="Book Antiqua" w:hAnsi="Book Antiqua"/>
          <w:vertAlign w:val="superscript"/>
        </w:rPr>
        <w:t>[</w:t>
      </w:r>
      <w:proofErr w:type="gramEnd"/>
      <w:r w:rsidR="004A55FE" w:rsidRPr="00CE25D5">
        <w:rPr>
          <w:rFonts w:ascii="Book Antiqua" w:hAnsi="Book Antiqua"/>
          <w:vertAlign w:val="superscript"/>
        </w:rPr>
        <w:t>15]</w:t>
      </w:r>
      <w:r w:rsidRPr="00CE25D5">
        <w:rPr>
          <w:rFonts w:ascii="Book Antiqua" w:hAnsi="Book Antiqua"/>
        </w:rPr>
        <w:t>, increased length of stay in hospital</w:t>
      </w:r>
      <w:r w:rsidR="004A55FE" w:rsidRPr="00CE25D5">
        <w:rPr>
          <w:rFonts w:ascii="Book Antiqua" w:hAnsi="Book Antiqua"/>
          <w:vertAlign w:val="superscript"/>
        </w:rPr>
        <w:t>[16]</w:t>
      </w:r>
      <w:r w:rsidRPr="00CE25D5">
        <w:rPr>
          <w:rFonts w:ascii="Book Antiqua" w:hAnsi="Book Antiqua"/>
        </w:rPr>
        <w:t>, and mortality</w:t>
      </w:r>
      <w:r w:rsidR="004A55FE" w:rsidRPr="00CE25D5">
        <w:rPr>
          <w:rFonts w:ascii="Book Antiqua" w:hAnsi="Book Antiqua"/>
          <w:vertAlign w:val="superscript"/>
        </w:rPr>
        <w:t>[17]</w:t>
      </w:r>
      <w:r w:rsidRPr="00CE25D5">
        <w:rPr>
          <w:rFonts w:ascii="Book Antiqua" w:hAnsi="Book Antiqua"/>
        </w:rPr>
        <w:t xml:space="preserve">. </w:t>
      </w:r>
      <w:r w:rsidR="00AB7646" w:rsidRPr="00CE25D5">
        <w:rPr>
          <w:rFonts w:ascii="Book Antiqua" w:hAnsi="Book Antiqua"/>
        </w:rPr>
        <w:t>Efforts have therefore focused on the use of pharmacological agents</w:t>
      </w:r>
      <w:r w:rsidR="00D135D2" w:rsidRPr="00CE25D5">
        <w:rPr>
          <w:rFonts w:ascii="Book Antiqua" w:hAnsi="Book Antiqua"/>
        </w:rPr>
        <w:t xml:space="preserve"> and other methods</w:t>
      </w:r>
      <w:r w:rsidR="00AB7646" w:rsidRPr="00CE25D5">
        <w:rPr>
          <w:rFonts w:ascii="Book Antiqua" w:hAnsi="Book Antiqua"/>
        </w:rPr>
        <w:t xml:space="preserve"> to minimize blood loss.</w:t>
      </w:r>
      <w:r w:rsidR="00D135D2" w:rsidRPr="00CE25D5">
        <w:rPr>
          <w:rFonts w:ascii="Book Antiqua" w:hAnsi="Book Antiqua"/>
        </w:rPr>
        <w:t xml:space="preserve"> Autologous </w:t>
      </w:r>
      <w:proofErr w:type="gramStart"/>
      <w:r w:rsidR="00D135D2" w:rsidRPr="00CE25D5">
        <w:rPr>
          <w:rFonts w:ascii="Book Antiqua" w:hAnsi="Book Antiqua"/>
        </w:rPr>
        <w:t>transfusion</w:t>
      </w:r>
      <w:r w:rsidR="004A55FE" w:rsidRPr="00CE25D5">
        <w:rPr>
          <w:rFonts w:ascii="Book Antiqua" w:hAnsi="Book Antiqua"/>
          <w:vertAlign w:val="superscript"/>
        </w:rPr>
        <w:t>[</w:t>
      </w:r>
      <w:proofErr w:type="gramEnd"/>
      <w:r w:rsidR="004A55FE" w:rsidRPr="00CE25D5">
        <w:rPr>
          <w:rFonts w:ascii="Book Antiqua" w:hAnsi="Book Antiqua"/>
          <w:vertAlign w:val="superscript"/>
        </w:rPr>
        <w:t>18]</w:t>
      </w:r>
      <w:r w:rsidR="004B772A" w:rsidRPr="00CE25D5">
        <w:rPr>
          <w:rFonts w:ascii="Book Antiqua" w:hAnsi="Book Antiqua"/>
        </w:rPr>
        <w:t>, cryotherapy</w:t>
      </w:r>
      <w:r w:rsidR="004A55FE" w:rsidRPr="00CE25D5">
        <w:rPr>
          <w:rFonts w:ascii="Book Antiqua" w:hAnsi="Book Antiqua"/>
          <w:vertAlign w:val="superscript"/>
        </w:rPr>
        <w:t>[19]</w:t>
      </w:r>
      <w:r w:rsidR="004B772A" w:rsidRPr="00CE25D5">
        <w:rPr>
          <w:rFonts w:ascii="Book Antiqua" w:hAnsi="Book Antiqua"/>
        </w:rPr>
        <w:t xml:space="preserve">, hypotensive </w:t>
      </w:r>
      <w:proofErr w:type="spellStart"/>
      <w:r w:rsidR="004B772A" w:rsidRPr="00CE25D5">
        <w:rPr>
          <w:rFonts w:ascii="Book Antiqua" w:hAnsi="Book Antiqua"/>
        </w:rPr>
        <w:t>anaesthesia</w:t>
      </w:r>
      <w:proofErr w:type="spellEnd"/>
      <w:r w:rsidR="004A55FE" w:rsidRPr="00CE25D5">
        <w:rPr>
          <w:rFonts w:ascii="Book Antiqua" w:hAnsi="Book Antiqua"/>
          <w:vertAlign w:val="superscript"/>
        </w:rPr>
        <w:t>[20]</w:t>
      </w:r>
      <w:r w:rsidR="00CD333D" w:rsidRPr="00CE25D5">
        <w:rPr>
          <w:rFonts w:ascii="Book Antiqua" w:hAnsi="Book Antiqua"/>
        </w:rPr>
        <w:t>, fibrin tissue adhesive</w:t>
      </w:r>
      <w:r w:rsidR="004A55FE" w:rsidRPr="00CE25D5">
        <w:rPr>
          <w:rFonts w:ascii="Book Antiqua" w:hAnsi="Book Antiqua"/>
          <w:vertAlign w:val="superscript"/>
        </w:rPr>
        <w:t>[21]</w:t>
      </w:r>
      <w:r w:rsidR="00CD333D" w:rsidRPr="00CE25D5">
        <w:rPr>
          <w:rFonts w:ascii="Book Antiqua" w:hAnsi="Book Antiqua"/>
        </w:rPr>
        <w:t xml:space="preserve"> </w:t>
      </w:r>
      <w:r w:rsidR="004B772A" w:rsidRPr="00CE25D5">
        <w:rPr>
          <w:rFonts w:ascii="Book Antiqua" w:hAnsi="Book Antiqua"/>
        </w:rPr>
        <w:t>and erythropoietin alpha (EPO)</w:t>
      </w:r>
      <w:r w:rsidR="004A55FE" w:rsidRPr="00CE25D5">
        <w:rPr>
          <w:rFonts w:ascii="Book Antiqua" w:hAnsi="Book Antiqua"/>
          <w:vertAlign w:val="superscript"/>
        </w:rPr>
        <w:t>[22]</w:t>
      </w:r>
      <w:r w:rsidR="00CD333D" w:rsidRPr="00CE25D5">
        <w:rPr>
          <w:rFonts w:ascii="Book Antiqua" w:hAnsi="Book Antiqua"/>
        </w:rPr>
        <w:t xml:space="preserve"> </w:t>
      </w:r>
      <w:r w:rsidR="004B772A" w:rsidRPr="00CE25D5">
        <w:rPr>
          <w:rFonts w:ascii="Book Antiqua" w:hAnsi="Book Antiqua"/>
        </w:rPr>
        <w:t xml:space="preserve">have been studied </w:t>
      </w:r>
      <w:r w:rsidR="0066041E" w:rsidRPr="00CE25D5">
        <w:rPr>
          <w:rFonts w:ascii="Book Antiqua" w:hAnsi="Book Antiqua"/>
        </w:rPr>
        <w:t>in this regard.</w:t>
      </w:r>
    </w:p>
    <w:p w14:paraId="4E63F7A3" w14:textId="7D05B6D5" w:rsidR="00FB2D1A" w:rsidRPr="00CE25D5" w:rsidRDefault="00B76FAA" w:rsidP="00D65097">
      <w:pPr>
        <w:spacing w:line="360" w:lineRule="auto"/>
        <w:ind w:firstLineChars="100" w:firstLine="240"/>
        <w:jc w:val="both"/>
        <w:rPr>
          <w:rFonts w:ascii="Book Antiqua" w:hAnsi="Book Antiqua"/>
        </w:rPr>
      </w:pPr>
      <w:r w:rsidRPr="00CE25D5">
        <w:rPr>
          <w:rFonts w:ascii="Book Antiqua" w:hAnsi="Book Antiqua"/>
        </w:rPr>
        <w:t xml:space="preserve">The </w:t>
      </w:r>
      <w:r w:rsidR="00517E78" w:rsidRPr="00CE25D5">
        <w:rPr>
          <w:rFonts w:ascii="Book Antiqua" w:hAnsi="Book Antiqua"/>
        </w:rPr>
        <w:t xml:space="preserve">first reported </w:t>
      </w:r>
      <w:r w:rsidRPr="00CE25D5">
        <w:rPr>
          <w:rFonts w:ascii="Book Antiqua" w:hAnsi="Book Antiqua"/>
        </w:rPr>
        <w:t xml:space="preserve">successful use of </w:t>
      </w:r>
      <w:r w:rsidR="00517E78" w:rsidRPr="00CE25D5">
        <w:rPr>
          <w:rFonts w:ascii="Book Antiqua" w:hAnsi="Book Antiqua"/>
        </w:rPr>
        <w:t>TXA in knee arthroplasty</w:t>
      </w:r>
      <w:r w:rsidRPr="00CE25D5">
        <w:rPr>
          <w:rFonts w:ascii="Book Antiqua" w:hAnsi="Book Antiqua"/>
        </w:rPr>
        <w:t xml:space="preserve"> </w:t>
      </w:r>
      <w:r w:rsidR="00D135D2" w:rsidRPr="00CE25D5">
        <w:rPr>
          <w:rFonts w:ascii="Book Antiqua" w:hAnsi="Book Antiqua"/>
        </w:rPr>
        <w:t xml:space="preserve">by </w:t>
      </w:r>
      <w:proofErr w:type="spellStart"/>
      <w:r w:rsidR="00D135D2" w:rsidRPr="00CE25D5">
        <w:rPr>
          <w:rFonts w:ascii="Book Antiqua" w:hAnsi="Book Antiqua"/>
        </w:rPr>
        <w:t>Benoni</w:t>
      </w:r>
      <w:proofErr w:type="spellEnd"/>
      <w:r w:rsidR="00D135D2" w:rsidRPr="00CE25D5">
        <w:rPr>
          <w:rFonts w:ascii="Book Antiqua" w:hAnsi="Book Antiqua"/>
        </w:rPr>
        <w:t xml:space="preserve"> </w:t>
      </w:r>
      <w:r w:rsidR="00D135D2" w:rsidRPr="00CE25D5">
        <w:rPr>
          <w:rFonts w:ascii="Book Antiqua" w:hAnsi="Book Antiqua"/>
          <w:i/>
        </w:rPr>
        <w:t xml:space="preserve">et </w:t>
      </w:r>
      <w:proofErr w:type="gramStart"/>
      <w:r w:rsidR="00D135D2" w:rsidRPr="00CE25D5">
        <w:rPr>
          <w:rFonts w:ascii="Book Antiqua" w:hAnsi="Book Antiqua"/>
          <w:i/>
        </w:rPr>
        <w:t>a</w:t>
      </w:r>
      <w:r w:rsidR="00D65097" w:rsidRPr="00CE25D5">
        <w:rPr>
          <w:rFonts w:ascii="Book Antiqua" w:eastAsia="宋体" w:hAnsi="Book Antiqua" w:hint="eastAsia"/>
          <w:i/>
          <w:lang w:eastAsia="zh-CN"/>
        </w:rPr>
        <w:t>l</w:t>
      </w:r>
      <w:r w:rsidR="00D65097" w:rsidRPr="00CE25D5">
        <w:rPr>
          <w:rFonts w:ascii="Book Antiqua" w:hAnsi="Book Antiqua"/>
          <w:vertAlign w:val="superscript"/>
        </w:rPr>
        <w:t>[</w:t>
      </w:r>
      <w:proofErr w:type="gramEnd"/>
      <w:r w:rsidR="00D65097" w:rsidRPr="00CE25D5">
        <w:rPr>
          <w:rFonts w:ascii="Book Antiqua" w:hAnsi="Book Antiqua"/>
          <w:vertAlign w:val="superscript"/>
        </w:rPr>
        <w:t>23]</w:t>
      </w:r>
      <w:r w:rsidR="00D135D2" w:rsidRPr="00CE25D5">
        <w:rPr>
          <w:rFonts w:ascii="Book Antiqua" w:hAnsi="Book Antiqua"/>
        </w:rPr>
        <w:t xml:space="preserve"> in 1995</w:t>
      </w:r>
      <w:r w:rsidR="0090084B" w:rsidRPr="00CE25D5">
        <w:rPr>
          <w:rFonts w:ascii="Book Antiqua" w:hAnsi="Book Antiqua"/>
        </w:rPr>
        <w:t xml:space="preserve"> has</w:t>
      </w:r>
      <w:r w:rsidR="00517E78" w:rsidRPr="00CE25D5">
        <w:rPr>
          <w:rFonts w:ascii="Book Antiqua" w:hAnsi="Book Antiqua"/>
        </w:rPr>
        <w:t xml:space="preserve"> led to increased interest in the use of </w:t>
      </w:r>
      <w:proofErr w:type="spellStart"/>
      <w:r w:rsidR="00517E78" w:rsidRPr="00CE25D5">
        <w:rPr>
          <w:rFonts w:ascii="Book Antiqua" w:hAnsi="Book Antiqua"/>
        </w:rPr>
        <w:t>antifibrinolytics</w:t>
      </w:r>
      <w:proofErr w:type="spellEnd"/>
      <w:r w:rsidR="00517E78" w:rsidRPr="00CE25D5">
        <w:rPr>
          <w:rFonts w:ascii="Book Antiqua" w:hAnsi="Book Antiqua"/>
        </w:rPr>
        <w:t xml:space="preserve"> in lower limb arthroplasty</w:t>
      </w:r>
      <w:r w:rsidR="00D135D2" w:rsidRPr="00CE25D5">
        <w:rPr>
          <w:rFonts w:ascii="Book Antiqua" w:hAnsi="Book Antiqua"/>
        </w:rPr>
        <w:t xml:space="preserve">. </w:t>
      </w:r>
      <w:r w:rsidR="006E1E63" w:rsidRPr="00CE25D5">
        <w:rPr>
          <w:rFonts w:ascii="Book Antiqua" w:hAnsi="Book Antiqua"/>
        </w:rPr>
        <w:t>A number of studies including</w:t>
      </w:r>
      <w:r w:rsidR="0066041E" w:rsidRPr="00CE25D5">
        <w:rPr>
          <w:rFonts w:ascii="Book Antiqua" w:hAnsi="Book Antiqua"/>
        </w:rPr>
        <w:t xml:space="preserve"> retrospective and systematic reviews have supported the use of TXA in </w:t>
      </w:r>
      <w:proofErr w:type="gramStart"/>
      <w:r w:rsidR="0066041E" w:rsidRPr="00CE25D5">
        <w:rPr>
          <w:rFonts w:ascii="Book Antiqua" w:hAnsi="Book Antiqua"/>
        </w:rPr>
        <w:t>arthroplasty</w:t>
      </w:r>
      <w:r w:rsidR="00D65097" w:rsidRPr="00CE25D5">
        <w:rPr>
          <w:rFonts w:ascii="Book Antiqua" w:hAnsi="Book Antiqua"/>
          <w:vertAlign w:val="superscript"/>
        </w:rPr>
        <w:t>[</w:t>
      </w:r>
      <w:proofErr w:type="gramEnd"/>
      <w:r w:rsidR="00D65097" w:rsidRPr="00CE25D5">
        <w:rPr>
          <w:rFonts w:ascii="Book Antiqua" w:hAnsi="Book Antiqua"/>
          <w:vertAlign w:val="superscript"/>
        </w:rPr>
        <w:t>8,9,24,</w:t>
      </w:r>
      <w:r w:rsidR="004A55FE" w:rsidRPr="00CE25D5">
        <w:rPr>
          <w:rFonts w:ascii="Book Antiqua" w:hAnsi="Book Antiqua"/>
          <w:vertAlign w:val="superscript"/>
        </w:rPr>
        <w:t>25]</w:t>
      </w:r>
      <w:r w:rsidR="00E2330A" w:rsidRPr="00CE25D5">
        <w:rPr>
          <w:rFonts w:ascii="Book Antiqua" w:hAnsi="Book Antiqua"/>
        </w:rPr>
        <w:t xml:space="preserve">. This </w:t>
      </w:r>
      <w:r w:rsidR="00E2330A" w:rsidRPr="00CE25D5">
        <w:rPr>
          <w:rFonts w:ascii="Book Antiqua" w:hAnsi="Book Antiqua"/>
        </w:rPr>
        <w:lastRenderedPageBreak/>
        <w:t>study examined the affect of perioperative intravenous TXA on blood loss in lower limb arthroplasty. A statistically significant difference (</w:t>
      </w:r>
      <w:r w:rsidR="00D65097" w:rsidRPr="00CE25D5">
        <w:rPr>
          <w:rFonts w:ascii="Book Antiqua" w:hAnsi="Book Antiqua"/>
          <w:i/>
        </w:rPr>
        <w:t>P</w:t>
      </w:r>
      <w:r w:rsidR="00E2330A" w:rsidRPr="00CE25D5">
        <w:rPr>
          <w:rFonts w:ascii="Book Antiqua" w:hAnsi="Book Antiqua"/>
        </w:rPr>
        <w:t xml:space="preserve"> &lt; 0.001) was i</w:t>
      </w:r>
      <w:r w:rsidR="00FB2D1A" w:rsidRPr="00CE25D5">
        <w:rPr>
          <w:rFonts w:ascii="Book Antiqua" w:hAnsi="Book Antiqua"/>
        </w:rPr>
        <w:t>dentified in the number of patients</w:t>
      </w:r>
      <w:r w:rsidR="00E2330A" w:rsidRPr="00CE25D5">
        <w:rPr>
          <w:rFonts w:ascii="Book Antiqua" w:hAnsi="Book Antiqua"/>
        </w:rPr>
        <w:t xml:space="preserve"> </w:t>
      </w:r>
      <w:r w:rsidR="00FB2D1A" w:rsidRPr="00CE25D5">
        <w:rPr>
          <w:rFonts w:ascii="Book Antiqua" w:hAnsi="Book Antiqua"/>
        </w:rPr>
        <w:t>transfused in the control group (</w:t>
      </w:r>
      <w:r w:rsidR="00FB2D1A" w:rsidRPr="00CE25D5">
        <w:rPr>
          <w:rFonts w:ascii="Book Antiqua" w:hAnsi="Book Antiqua"/>
          <w:i/>
        </w:rPr>
        <w:t>n</w:t>
      </w:r>
      <w:r w:rsidR="00FB2D1A" w:rsidRPr="00CE25D5">
        <w:rPr>
          <w:rFonts w:ascii="Book Antiqua" w:hAnsi="Book Antiqua"/>
        </w:rPr>
        <w:t xml:space="preserve"> = 22) </w:t>
      </w:r>
      <w:r w:rsidR="00E2330A" w:rsidRPr="00CE25D5">
        <w:rPr>
          <w:rFonts w:ascii="Book Antiqua" w:hAnsi="Book Antiqua"/>
        </w:rPr>
        <w:t>versus the TXA group</w:t>
      </w:r>
      <w:r w:rsidR="00FB2D1A" w:rsidRPr="00CE25D5">
        <w:rPr>
          <w:rFonts w:ascii="Book Antiqua" w:hAnsi="Book Antiqua"/>
        </w:rPr>
        <w:t xml:space="preserve"> (</w:t>
      </w:r>
      <w:r w:rsidR="00FB2D1A" w:rsidRPr="00CE25D5">
        <w:rPr>
          <w:rFonts w:ascii="Book Antiqua" w:hAnsi="Book Antiqua"/>
          <w:i/>
        </w:rPr>
        <w:t>n</w:t>
      </w:r>
      <w:r w:rsidR="00FB2D1A" w:rsidRPr="00CE25D5">
        <w:rPr>
          <w:rFonts w:ascii="Book Antiqua" w:hAnsi="Book Antiqua"/>
        </w:rPr>
        <w:t xml:space="preserve"> = 2)</w:t>
      </w:r>
      <w:r w:rsidR="00E2330A" w:rsidRPr="00CE25D5">
        <w:rPr>
          <w:rFonts w:ascii="Book Antiqua" w:hAnsi="Book Antiqua"/>
        </w:rPr>
        <w:t xml:space="preserve">. This has </w:t>
      </w:r>
      <w:r w:rsidR="00FB2D1A" w:rsidRPr="00CE25D5">
        <w:rPr>
          <w:rFonts w:ascii="Book Antiqua" w:hAnsi="Book Antiqua"/>
        </w:rPr>
        <w:t>clinical</w:t>
      </w:r>
      <w:r w:rsidR="00E2330A" w:rsidRPr="00CE25D5">
        <w:rPr>
          <w:rFonts w:ascii="Book Antiqua" w:hAnsi="Book Antiqua"/>
        </w:rPr>
        <w:t xml:space="preserve"> significance</w:t>
      </w:r>
      <w:r w:rsidR="00FB2D1A" w:rsidRPr="00CE25D5">
        <w:rPr>
          <w:rFonts w:ascii="Book Antiqua" w:hAnsi="Book Antiqua"/>
        </w:rPr>
        <w:t xml:space="preserve"> for the patient</w:t>
      </w:r>
      <w:r w:rsidR="00E2330A" w:rsidRPr="00CE25D5">
        <w:rPr>
          <w:rFonts w:ascii="Book Antiqua" w:hAnsi="Book Antiqua"/>
        </w:rPr>
        <w:t xml:space="preserve">. </w:t>
      </w:r>
      <w:r w:rsidR="005E145B" w:rsidRPr="00CE25D5">
        <w:rPr>
          <w:rFonts w:ascii="Book Antiqua" w:hAnsi="Book Antiqua"/>
        </w:rPr>
        <w:t>With a drop in the number of patients transfused from 22% to 2%, p</w:t>
      </w:r>
      <w:r w:rsidR="00C31626" w:rsidRPr="00CE25D5">
        <w:rPr>
          <w:rFonts w:ascii="Book Antiqua" w:hAnsi="Book Antiqua"/>
        </w:rPr>
        <w:t>atients we</w:t>
      </w:r>
      <w:r w:rsidR="00E2330A" w:rsidRPr="00CE25D5">
        <w:rPr>
          <w:rFonts w:ascii="Book Antiqua" w:hAnsi="Book Antiqua"/>
        </w:rPr>
        <w:t>re at reduced risk of recognized transfusion related complications.</w:t>
      </w:r>
      <w:r w:rsidR="005E145B" w:rsidRPr="00CE25D5">
        <w:rPr>
          <w:rFonts w:ascii="Book Antiqua" w:hAnsi="Book Antiqua"/>
        </w:rPr>
        <w:t xml:space="preserve"> These figures are similar to the findings of </w:t>
      </w:r>
      <w:r w:rsidR="006070C5" w:rsidRPr="00CE25D5">
        <w:rPr>
          <w:rFonts w:ascii="Book Antiqua" w:hAnsi="Book Antiqua"/>
        </w:rPr>
        <w:t xml:space="preserve">Tuttle </w:t>
      </w:r>
      <w:r w:rsidR="006070C5" w:rsidRPr="00CE25D5">
        <w:rPr>
          <w:rFonts w:ascii="Book Antiqua" w:hAnsi="Book Antiqua"/>
          <w:i/>
        </w:rPr>
        <w:t>et al</w:t>
      </w:r>
      <w:r w:rsidR="004A55FE" w:rsidRPr="00CE25D5">
        <w:rPr>
          <w:rFonts w:ascii="Book Antiqua" w:hAnsi="Book Antiqua"/>
          <w:vertAlign w:val="superscript"/>
        </w:rPr>
        <w:t>[10]</w:t>
      </w:r>
      <w:r w:rsidR="006070C5" w:rsidRPr="00CE25D5">
        <w:rPr>
          <w:rFonts w:ascii="Book Antiqua" w:hAnsi="Book Antiqua"/>
        </w:rPr>
        <w:t xml:space="preserve"> and </w:t>
      </w:r>
      <w:r w:rsidR="005E145B" w:rsidRPr="00CE25D5">
        <w:rPr>
          <w:rFonts w:ascii="Book Antiqua" w:hAnsi="Book Antiqua"/>
        </w:rPr>
        <w:t xml:space="preserve">Gillette </w:t>
      </w:r>
      <w:r w:rsidR="005E145B" w:rsidRPr="00CE25D5">
        <w:rPr>
          <w:rFonts w:ascii="Book Antiqua" w:hAnsi="Book Antiqua"/>
          <w:i/>
        </w:rPr>
        <w:t>et al</w:t>
      </w:r>
      <w:r w:rsidR="004A55FE" w:rsidRPr="00CE25D5">
        <w:rPr>
          <w:rFonts w:ascii="Book Antiqua" w:hAnsi="Book Antiqua"/>
          <w:vertAlign w:val="superscript"/>
        </w:rPr>
        <w:t>[26]</w:t>
      </w:r>
      <w:r w:rsidR="005E145B" w:rsidRPr="00CE25D5">
        <w:rPr>
          <w:rFonts w:ascii="Book Antiqua" w:hAnsi="Book Antiqua"/>
        </w:rPr>
        <w:t xml:space="preserve"> who have reported transfusion rates </w:t>
      </w:r>
      <w:r w:rsidR="00F46E77" w:rsidRPr="00CE25D5">
        <w:rPr>
          <w:rFonts w:ascii="Book Antiqua" w:hAnsi="Book Antiqua"/>
        </w:rPr>
        <w:t xml:space="preserve">post TXA </w:t>
      </w:r>
      <w:r w:rsidR="005E145B" w:rsidRPr="00CE25D5">
        <w:rPr>
          <w:rFonts w:ascii="Book Antiqua" w:hAnsi="Book Antiqua"/>
        </w:rPr>
        <w:t xml:space="preserve">of </w:t>
      </w:r>
      <w:r w:rsidR="006070C5" w:rsidRPr="00CE25D5">
        <w:rPr>
          <w:rFonts w:ascii="Book Antiqua" w:hAnsi="Book Antiqua"/>
        </w:rPr>
        <w:t>17.5% versus 5.5% and</w:t>
      </w:r>
      <w:r w:rsidR="005E145B" w:rsidRPr="00CE25D5">
        <w:rPr>
          <w:rFonts w:ascii="Book Antiqua" w:hAnsi="Book Antiqua"/>
        </w:rPr>
        <w:t xml:space="preserve"> </w:t>
      </w:r>
      <w:r w:rsidR="006070C5" w:rsidRPr="00CE25D5">
        <w:rPr>
          <w:rFonts w:ascii="Book Antiqua" w:hAnsi="Book Antiqua"/>
        </w:rPr>
        <w:t xml:space="preserve">21.6% versus 8.9%, </w:t>
      </w:r>
      <w:r w:rsidR="005E145B" w:rsidRPr="00CE25D5">
        <w:rPr>
          <w:rFonts w:ascii="Book Antiqua" w:hAnsi="Book Antiqua"/>
        </w:rPr>
        <w:t xml:space="preserve">respectively. </w:t>
      </w:r>
    </w:p>
    <w:p w14:paraId="38C2C300" w14:textId="606F21C9" w:rsidR="00FB2D1A" w:rsidRPr="00CE25D5" w:rsidRDefault="00FB2D1A" w:rsidP="00D65097">
      <w:pPr>
        <w:spacing w:line="360" w:lineRule="auto"/>
        <w:ind w:firstLineChars="100" w:firstLine="240"/>
        <w:jc w:val="both"/>
        <w:rPr>
          <w:rFonts w:ascii="Book Antiqua" w:hAnsi="Book Antiqua"/>
        </w:rPr>
      </w:pPr>
      <w:r w:rsidRPr="00CE25D5">
        <w:rPr>
          <w:rFonts w:ascii="Book Antiqua" w:hAnsi="Book Antiqua"/>
        </w:rPr>
        <w:t xml:space="preserve">Statistically significant differences were also found between pre-operative and post-operative </w:t>
      </w:r>
      <w:proofErr w:type="spellStart"/>
      <w:r w:rsidRPr="00CE25D5">
        <w:rPr>
          <w:rFonts w:ascii="Book Antiqua" w:hAnsi="Book Antiqua"/>
        </w:rPr>
        <w:t>haemoglobin</w:t>
      </w:r>
      <w:proofErr w:type="spellEnd"/>
      <w:r w:rsidRPr="00CE25D5">
        <w:rPr>
          <w:rFonts w:ascii="Book Antiqua" w:hAnsi="Book Antiqua"/>
        </w:rPr>
        <w:t xml:space="preserve"> (</w:t>
      </w:r>
      <w:r w:rsidR="00D65097" w:rsidRPr="00CE25D5">
        <w:rPr>
          <w:rFonts w:ascii="Book Antiqua" w:hAnsi="Book Antiqua"/>
          <w:i/>
        </w:rPr>
        <w:t>P</w:t>
      </w:r>
      <w:r w:rsidRPr="00CE25D5">
        <w:rPr>
          <w:rFonts w:ascii="Book Antiqua" w:hAnsi="Book Antiqua"/>
        </w:rPr>
        <w:t xml:space="preserve"> = 0.01) and </w:t>
      </w:r>
      <w:proofErr w:type="spellStart"/>
      <w:r w:rsidRPr="00CE25D5">
        <w:rPr>
          <w:rFonts w:ascii="Book Antiqua" w:hAnsi="Book Antiqua"/>
        </w:rPr>
        <w:t>haematocrit</w:t>
      </w:r>
      <w:proofErr w:type="spellEnd"/>
      <w:r w:rsidRPr="00CE25D5">
        <w:rPr>
          <w:rFonts w:ascii="Book Antiqua" w:hAnsi="Book Antiqua"/>
        </w:rPr>
        <w:t xml:space="preserve"> (</w:t>
      </w:r>
      <w:r w:rsidR="00D65097" w:rsidRPr="00CE25D5">
        <w:rPr>
          <w:rFonts w:ascii="Book Antiqua" w:hAnsi="Book Antiqua"/>
          <w:i/>
        </w:rPr>
        <w:t>P</w:t>
      </w:r>
      <w:r w:rsidRPr="00CE25D5">
        <w:rPr>
          <w:rFonts w:ascii="Book Antiqua" w:hAnsi="Book Antiqua"/>
        </w:rPr>
        <w:t xml:space="preserve"> = 0.01). </w:t>
      </w:r>
      <w:r w:rsidR="00B70DE8" w:rsidRPr="00CE25D5">
        <w:rPr>
          <w:rFonts w:ascii="Book Antiqua" w:hAnsi="Book Antiqua"/>
        </w:rPr>
        <w:t xml:space="preserve">Higher post-operative </w:t>
      </w:r>
      <w:proofErr w:type="spellStart"/>
      <w:r w:rsidR="00B70DE8" w:rsidRPr="00CE25D5">
        <w:rPr>
          <w:rFonts w:ascii="Book Antiqua" w:hAnsi="Book Antiqua"/>
        </w:rPr>
        <w:t>haemoglobin</w:t>
      </w:r>
      <w:proofErr w:type="spellEnd"/>
      <w:r w:rsidR="00B70DE8" w:rsidRPr="00CE25D5">
        <w:rPr>
          <w:rFonts w:ascii="Book Antiqua" w:hAnsi="Book Antiqua"/>
        </w:rPr>
        <w:t xml:space="preserve"> may reduce the number of laboratory tests performed during admission, while also reducing </w:t>
      </w:r>
      <w:r w:rsidR="00F46E77" w:rsidRPr="00CE25D5">
        <w:rPr>
          <w:rFonts w:ascii="Book Antiqua" w:hAnsi="Book Antiqua"/>
        </w:rPr>
        <w:t xml:space="preserve">patient </w:t>
      </w:r>
      <w:r w:rsidR="00B70DE8" w:rsidRPr="00CE25D5">
        <w:rPr>
          <w:rFonts w:ascii="Book Antiqua" w:hAnsi="Book Antiqua"/>
        </w:rPr>
        <w:t xml:space="preserve">fatigue, hypotensive episodes, and length of stay in </w:t>
      </w:r>
      <w:proofErr w:type="gramStart"/>
      <w:r w:rsidR="00B70DE8" w:rsidRPr="00CE25D5">
        <w:rPr>
          <w:rFonts w:ascii="Book Antiqua" w:hAnsi="Book Antiqua"/>
        </w:rPr>
        <w:t>hospital</w:t>
      </w:r>
      <w:r w:rsidR="004A55FE" w:rsidRPr="00CE25D5">
        <w:rPr>
          <w:rFonts w:ascii="Book Antiqua" w:hAnsi="Book Antiqua"/>
          <w:vertAlign w:val="superscript"/>
        </w:rPr>
        <w:t>[</w:t>
      </w:r>
      <w:proofErr w:type="gramEnd"/>
      <w:r w:rsidR="004A55FE" w:rsidRPr="00CE25D5">
        <w:rPr>
          <w:rFonts w:ascii="Book Antiqua" w:hAnsi="Book Antiqua"/>
          <w:vertAlign w:val="superscript"/>
        </w:rPr>
        <w:t>26]</w:t>
      </w:r>
      <w:r w:rsidR="00B70DE8" w:rsidRPr="00CE25D5">
        <w:rPr>
          <w:rFonts w:ascii="Book Antiqua" w:hAnsi="Book Antiqua"/>
        </w:rPr>
        <w:t>.</w:t>
      </w:r>
      <w:r w:rsidR="0090084B" w:rsidRPr="00CE25D5">
        <w:rPr>
          <w:rFonts w:ascii="Book Antiqua" w:hAnsi="Book Antiqua"/>
        </w:rPr>
        <w:t xml:space="preserve"> This may result in improved savings in overall cost.</w:t>
      </w:r>
    </w:p>
    <w:p w14:paraId="3AF4FC74" w14:textId="180E1A65" w:rsidR="002F6FD4" w:rsidRPr="00CE25D5" w:rsidRDefault="005E145B" w:rsidP="00D65097">
      <w:pPr>
        <w:spacing w:line="360" w:lineRule="auto"/>
        <w:ind w:firstLineChars="100" w:firstLine="240"/>
        <w:jc w:val="both"/>
        <w:rPr>
          <w:rFonts w:ascii="Book Antiqua" w:hAnsi="Book Antiqua"/>
        </w:rPr>
      </w:pPr>
      <w:r w:rsidRPr="00CE25D5">
        <w:rPr>
          <w:rFonts w:ascii="Book Antiqua" w:hAnsi="Book Antiqua"/>
        </w:rPr>
        <w:t xml:space="preserve">Financial savings may also be made in terms of the cost of blood products, the expense of additional blood tests and laboratory </w:t>
      </w:r>
      <w:proofErr w:type="spellStart"/>
      <w:r w:rsidRPr="00CE25D5">
        <w:rPr>
          <w:rFonts w:ascii="Book Antiqua" w:hAnsi="Book Antiqua"/>
        </w:rPr>
        <w:t>labour</w:t>
      </w:r>
      <w:proofErr w:type="spellEnd"/>
      <w:r w:rsidR="00F46E77" w:rsidRPr="00CE25D5">
        <w:rPr>
          <w:rFonts w:ascii="Book Antiqua" w:hAnsi="Book Antiqua"/>
        </w:rPr>
        <w:t>, and the overall length of stay in hospital</w:t>
      </w:r>
      <w:r w:rsidRPr="00CE25D5">
        <w:rPr>
          <w:rFonts w:ascii="Book Antiqua" w:hAnsi="Book Antiqua"/>
        </w:rPr>
        <w:t xml:space="preserve">. </w:t>
      </w:r>
      <w:r w:rsidR="00F46E77" w:rsidRPr="00CE25D5">
        <w:rPr>
          <w:rFonts w:ascii="Book Antiqua" w:hAnsi="Book Antiqua"/>
        </w:rPr>
        <w:t xml:space="preserve">The use of TXA in this series resulted </w:t>
      </w:r>
      <w:r w:rsidR="009B62A9" w:rsidRPr="00CE25D5">
        <w:rPr>
          <w:rFonts w:ascii="Book Antiqua" w:hAnsi="Book Antiqua"/>
        </w:rPr>
        <w:t>in estimated savings of the cost of blood products of €104.52</w:t>
      </w:r>
      <w:r w:rsidR="00F46E77" w:rsidRPr="00CE25D5">
        <w:rPr>
          <w:rFonts w:ascii="Book Antiqua" w:hAnsi="Book Antiqua"/>
        </w:rPr>
        <w:t xml:space="preserve"> per patient. </w:t>
      </w:r>
      <w:r w:rsidR="006E1E63" w:rsidRPr="00CE25D5">
        <w:rPr>
          <w:rFonts w:ascii="Book Antiqua" w:hAnsi="Book Antiqua"/>
        </w:rPr>
        <w:t>Although the difference in</w:t>
      </w:r>
      <w:r w:rsidR="009B62A9" w:rsidRPr="00CE25D5">
        <w:rPr>
          <w:rFonts w:ascii="Book Antiqua" w:hAnsi="Book Antiqua"/>
        </w:rPr>
        <w:t xml:space="preserve"> length of stay in hospital between the control and TXA groups only trended towards statistical significance (</w:t>
      </w:r>
      <w:r w:rsidR="00D65097" w:rsidRPr="00CE25D5">
        <w:rPr>
          <w:rFonts w:ascii="Book Antiqua" w:hAnsi="Book Antiqua"/>
          <w:i/>
        </w:rPr>
        <w:t>P</w:t>
      </w:r>
      <w:r w:rsidR="009B62A9" w:rsidRPr="00CE25D5">
        <w:rPr>
          <w:rFonts w:ascii="Book Antiqua" w:hAnsi="Book Antiqua"/>
        </w:rPr>
        <w:t xml:space="preserve"> = 0.15), in financial terms there was a significant difference. Patients in the TXA group left hospital on average one day earlier than those in the control, with estimated savings of €1145.86 per patient. </w:t>
      </w:r>
      <w:r w:rsidR="00B94699" w:rsidRPr="00CE25D5">
        <w:rPr>
          <w:rFonts w:ascii="Book Antiqua" w:hAnsi="Book Antiqua"/>
        </w:rPr>
        <w:t>Larger studies may demonstrate statistical difference in terms of length of stay. Nevertheless, t</w:t>
      </w:r>
      <w:r w:rsidR="009B62A9" w:rsidRPr="00CE25D5">
        <w:rPr>
          <w:rFonts w:ascii="Book Antiqua" w:hAnsi="Book Antiqua"/>
        </w:rPr>
        <w:t xml:space="preserve">hese findings support the growing body of evidence supporting the cost effectiveness of both intravenous and topical formulations of </w:t>
      </w:r>
      <w:proofErr w:type="gramStart"/>
      <w:r w:rsidR="009B62A9" w:rsidRPr="00CE25D5">
        <w:rPr>
          <w:rFonts w:ascii="Book Antiqua" w:hAnsi="Book Antiqua"/>
        </w:rPr>
        <w:t>TXA</w:t>
      </w:r>
      <w:r w:rsidR="00D65097" w:rsidRPr="00CE25D5">
        <w:rPr>
          <w:rFonts w:ascii="Book Antiqua" w:hAnsi="Book Antiqua"/>
          <w:vertAlign w:val="superscript"/>
        </w:rPr>
        <w:t>[</w:t>
      </w:r>
      <w:proofErr w:type="gramEnd"/>
      <w:r w:rsidR="00D65097" w:rsidRPr="00CE25D5">
        <w:rPr>
          <w:rFonts w:ascii="Book Antiqua" w:hAnsi="Book Antiqua"/>
          <w:vertAlign w:val="superscript"/>
        </w:rPr>
        <w:t>10,</w:t>
      </w:r>
      <w:r w:rsidR="004A55FE" w:rsidRPr="00CE25D5">
        <w:rPr>
          <w:rFonts w:ascii="Book Antiqua" w:hAnsi="Book Antiqua"/>
          <w:vertAlign w:val="superscript"/>
        </w:rPr>
        <w:t>26]</w:t>
      </w:r>
      <w:r w:rsidR="009B62A9" w:rsidRPr="00CE25D5">
        <w:rPr>
          <w:rFonts w:ascii="Book Antiqua" w:hAnsi="Book Antiqua"/>
        </w:rPr>
        <w:t xml:space="preserve">. </w:t>
      </w:r>
      <w:r w:rsidR="00B22338" w:rsidRPr="00CE25D5">
        <w:rPr>
          <w:rFonts w:ascii="Book Antiqua" w:hAnsi="Book Antiqua"/>
        </w:rPr>
        <w:t>Recent evidence furth</w:t>
      </w:r>
      <w:r w:rsidR="00B94699" w:rsidRPr="00CE25D5">
        <w:rPr>
          <w:rFonts w:ascii="Book Antiqua" w:hAnsi="Book Antiqua"/>
        </w:rPr>
        <w:t xml:space="preserve">er suggests TXA is </w:t>
      </w:r>
      <w:r w:rsidR="006E1E63" w:rsidRPr="00CE25D5">
        <w:rPr>
          <w:rFonts w:ascii="Book Antiqua" w:hAnsi="Book Antiqua"/>
        </w:rPr>
        <w:t xml:space="preserve">also </w:t>
      </w:r>
      <w:r w:rsidR="00B94699" w:rsidRPr="00CE25D5">
        <w:rPr>
          <w:rFonts w:ascii="Book Antiqua" w:hAnsi="Book Antiqua"/>
        </w:rPr>
        <w:t>safe in high-</w:t>
      </w:r>
      <w:r w:rsidR="00B22338" w:rsidRPr="00CE25D5">
        <w:rPr>
          <w:rFonts w:ascii="Book Antiqua" w:hAnsi="Book Antiqua"/>
        </w:rPr>
        <w:t xml:space="preserve">risk arthroplasty </w:t>
      </w:r>
      <w:proofErr w:type="gramStart"/>
      <w:r w:rsidR="00B22338" w:rsidRPr="00CE25D5">
        <w:rPr>
          <w:rFonts w:ascii="Book Antiqua" w:hAnsi="Book Antiqua"/>
        </w:rPr>
        <w:t>patients</w:t>
      </w:r>
      <w:r w:rsidR="004A55FE" w:rsidRPr="00CE25D5">
        <w:rPr>
          <w:rFonts w:ascii="Book Antiqua" w:hAnsi="Book Antiqua"/>
          <w:vertAlign w:val="superscript"/>
        </w:rPr>
        <w:t>[</w:t>
      </w:r>
      <w:proofErr w:type="gramEnd"/>
      <w:r w:rsidR="004A55FE" w:rsidRPr="00CE25D5">
        <w:rPr>
          <w:rFonts w:ascii="Book Antiqua" w:hAnsi="Book Antiqua"/>
          <w:vertAlign w:val="superscript"/>
        </w:rPr>
        <w:t>27]</w:t>
      </w:r>
      <w:r w:rsidR="00B22338" w:rsidRPr="00CE25D5">
        <w:rPr>
          <w:rFonts w:ascii="Book Antiqua" w:hAnsi="Book Antiqua"/>
        </w:rPr>
        <w:t>.</w:t>
      </w:r>
    </w:p>
    <w:p w14:paraId="134397DF" w14:textId="49B53FC9" w:rsidR="00B22338" w:rsidRPr="00CE25D5" w:rsidRDefault="00D135D2" w:rsidP="00D65097">
      <w:pPr>
        <w:spacing w:line="360" w:lineRule="auto"/>
        <w:ind w:firstLineChars="98" w:firstLine="235"/>
        <w:jc w:val="both"/>
        <w:rPr>
          <w:rFonts w:ascii="Book Antiqua" w:hAnsi="Book Antiqua"/>
        </w:rPr>
      </w:pPr>
      <w:r w:rsidRPr="00CE25D5">
        <w:rPr>
          <w:rFonts w:ascii="Book Antiqua" w:hAnsi="Book Antiqua"/>
        </w:rPr>
        <w:t>There are</w:t>
      </w:r>
      <w:r w:rsidR="00FD3C54" w:rsidRPr="00CE25D5">
        <w:rPr>
          <w:rFonts w:ascii="Book Antiqua" w:hAnsi="Book Antiqua"/>
        </w:rPr>
        <w:t xml:space="preserve"> potential</w:t>
      </w:r>
      <w:r w:rsidRPr="00CE25D5">
        <w:rPr>
          <w:rFonts w:ascii="Book Antiqua" w:hAnsi="Book Antiqua"/>
        </w:rPr>
        <w:t xml:space="preserve"> limitations to this stud</w:t>
      </w:r>
      <w:r w:rsidR="00FD3C54" w:rsidRPr="00CE25D5">
        <w:rPr>
          <w:rFonts w:ascii="Book Antiqua" w:hAnsi="Book Antiqua"/>
        </w:rPr>
        <w:t xml:space="preserve">y. </w:t>
      </w:r>
      <w:r w:rsidR="00B22338" w:rsidRPr="00CE25D5">
        <w:rPr>
          <w:rFonts w:ascii="Book Antiqua" w:hAnsi="Book Antiqua"/>
        </w:rPr>
        <w:t>The findings of this stu</w:t>
      </w:r>
      <w:r w:rsidR="00B94699" w:rsidRPr="00CE25D5">
        <w:rPr>
          <w:rFonts w:ascii="Book Antiqua" w:hAnsi="Book Antiqua"/>
        </w:rPr>
        <w:t>dy are inherently limited by it</w:t>
      </w:r>
      <w:r w:rsidR="004A55FE" w:rsidRPr="00CE25D5">
        <w:rPr>
          <w:rFonts w:ascii="Book Antiqua" w:hAnsi="Book Antiqua"/>
        </w:rPr>
        <w:t>s retrospective nature. Moreo</w:t>
      </w:r>
      <w:r w:rsidR="00B22338" w:rsidRPr="00CE25D5">
        <w:rPr>
          <w:rFonts w:ascii="Book Antiqua" w:hAnsi="Book Antiqua"/>
        </w:rPr>
        <w:t>ver</w:t>
      </w:r>
      <w:r w:rsidR="00B94699" w:rsidRPr="00CE25D5">
        <w:rPr>
          <w:rFonts w:ascii="Book Antiqua" w:hAnsi="Book Antiqua"/>
        </w:rPr>
        <w:t xml:space="preserve">, patients were not randomized into either the control or TXA groups, and this potentially introduces a selection bias. However, the </w:t>
      </w:r>
      <w:r w:rsidR="00AE0C93" w:rsidRPr="00CE25D5">
        <w:rPr>
          <w:rFonts w:ascii="Book Antiqua" w:hAnsi="Book Antiqua"/>
        </w:rPr>
        <w:t xml:space="preserve">200 </w:t>
      </w:r>
      <w:r w:rsidR="00B94699" w:rsidRPr="00CE25D5">
        <w:rPr>
          <w:rFonts w:ascii="Book Antiqua" w:hAnsi="Book Antiqua"/>
        </w:rPr>
        <w:t xml:space="preserve">patients included </w:t>
      </w:r>
      <w:r w:rsidR="00AE0C93" w:rsidRPr="00CE25D5">
        <w:rPr>
          <w:rFonts w:ascii="Book Antiqua" w:hAnsi="Book Antiqua"/>
        </w:rPr>
        <w:t xml:space="preserve">in this </w:t>
      </w:r>
      <w:r w:rsidR="00AE0C93" w:rsidRPr="00CE25D5">
        <w:rPr>
          <w:rFonts w:ascii="Book Antiqua" w:hAnsi="Book Antiqua"/>
        </w:rPr>
        <w:lastRenderedPageBreak/>
        <w:t xml:space="preserve">analysis were consecutive, and underwent arthroplasty following a standardized technique, and in a single surgeon series. Additionally, no statistically significant differences in baseline variables between the groups were found. </w:t>
      </w:r>
    </w:p>
    <w:p w14:paraId="5CD5E1DE" w14:textId="6218951F" w:rsidR="00C06CC7" w:rsidRPr="00CE25D5" w:rsidRDefault="00AE0C93" w:rsidP="00D65097">
      <w:pPr>
        <w:spacing w:line="360" w:lineRule="auto"/>
        <w:ind w:firstLineChars="100" w:firstLine="240"/>
        <w:jc w:val="both"/>
        <w:rPr>
          <w:rFonts w:ascii="Book Antiqua" w:hAnsi="Book Antiqua"/>
        </w:rPr>
      </w:pPr>
      <w:r w:rsidRPr="00CE25D5">
        <w:rPr>
          <w:rFonts w:ascii="Book Antiqua" w:hAnsi="Book Antiqua"/>
        </w:rPr>
        <w:t xml:space="preserve">In conclusion, the addition of perioperative intravenous TXA has been shown to reduce the rate of blood transfusion post-operatively while also generating considerable cost savings. </w:t>
      </w:r>
    </w:p>
    <w:p w14:paraId="7017477D" w14:textId="77777777" w:rsidR="00D65097" w:rsidRPr="00CE25D5" w:rsidRDefault="00D65097" w:rsidP="00E715CA">
      <w:pPr>
        <w:spacing w:line="360" w:lineRule="auto"/>
        <w:jc w:val="both"/>
        <w:rPr>
          <w:rFonts w:ascii="Book Antiqua" w:eastAsia="宋体" w:hAnsi="Book Antiqua"/>
          <w:b/>
          <w:lang w:eastAsia="zh-CN"/>
        </w:rPr>
      </w:pPr>
    </w:p>
    <w:p w14:paraId="2901963C" w14:textId="0167214C" w:rsidR="00897318" w:rsidRPr="00CE25D5" w:rsidRDefault="00897318" w:rsidP="00E715CA">
      <w:pPr>
        <w:spacing w:line="360" w:lineRule="auto"/>
        <w:jc w:val="both"/>
        <w:rPr>
          <w:rFonts w:ascii="Book Antiqua" w:hAnsi="Book Antiqua"/>
          <w:b/>
        </w:rPr>
      </w:pPr>
      <w:r w:rsidRPr="00CE25D5">
        <w:rPr>
          <w:rFonts w:ascii="Book Antiqua" w:hAnsi="Book Antiqua"/>
          <w:b/>
        </w:rPr>
        <w:t>COMMENTS</w:t>
      </w:r>
    </w:p>
    <w:p w14:paraId="3CED3844" w14:textId="567F3619" w:rsidR="00897318" w:rsidRPr="00CE25D5" w:rsidRDefault="00897318" w:rsidP="00E715CA">
      <w:pPr>
        <w:spacing w:line="360" w:lineRule="auto"/>
        <w:jc w:val="both"/>
        <w:rPr>
          <w:rFonts w:ascii="Book Antiqua" w:hAnsi="Book Antiqua"/>
          <w:b/>
          <w:i/>
        </w:rPr>
      </w:pPr>
      <w:r w:rsidRPr="00CE25D5">
        <w:rPr>
          <w:rFonts w:ascii="Book Antiqua" w:hAnsi="Book Antiqua"/>
          <w:b/>
          <w:i/>
        </w:rPr>
        <w:t>Background</w:t>
      </w:r>
    </w:p>
    <w:p w14:paraId="73945294" w14:textId="252F3F1F" w:rsidR="00897318" w:rsidRPr="00CE25D5" w:rsidRDefault="002F13B6" w:rsidP="00E715CA">
      <w:pPr>
        <w:spacing w:line="360" w:lineRule="auto"/>
        <w:jc w:val="both"/>
        <w:rPr>
          <w:rFonts w:ascii="Book Antiqua" w:hAnsi="Book Antiqua"/>
        </w:rPr>
      </w:pPr>
      <w:r w:rsidRPr="00CE25D5">
        <w:rPr>
          <w:rFonts w:ascii="Book Antiqua" w:hAnsi="Book Antiqua"/>
        </w:rPr>
        <w:t xml:space="preserve">Hip and knee arthroplasty can potentially result in large volume blood loss, with the consequent need for transfusion of blood products. This carries increased risk to the patient, while also is a costly intervention. </w:t>
      </w:r>
      <w:proofErr w:type="spellStart"/>
      <w:r w:rsidRPr="00CE25D5">
        <w:rPr>
          <w:rFonts w:ascii="Book Antiqua" w:hAnsi="Book Antiqua"/>
        </w:rPr>
        <w:t>Antifibrinolytic</w:t>
      </w:r>
      <w:proofErr w:type="spellEnd"/>
      <w:r w:rsidRPr="00CE25D5">
        <w:rPr>
          <w:rFonts w:ascii="Book Antiqua" w:hAnsi="Book Antiqua"/>
        </w:rPr>
        <w:t xml:space="preserve"> agents such as tranexamic acid </w:t>
      </w:r>
      <w:r w:rsidR="00A953C1" w:rsidRPr="00CE25D5">
        <w:rPr>
          <w:rFonts w:ascii="Book Antiqua" w:eastAsia="宋体" w:hAnsi="Book Antiqua" w:hint="eastAsia"/>
          <w:lang w:eastAsia="zh-CN"/>
        </w:rPr>
        <w:t>(</w:t>
      </w:r>
      <w:r w:rsidR="00A953C1" w:rsidRPr="00CE25D5">
        <w:rPr>
          <w:rFonts w:ascii="Book Antiqua" w:hAnsi="Book Antiqua"/>
        </w:rPr>
        <w:t>TXA</w:t>
      </w:r>
      <w:r w:rsidR="00A953C1" w:rsidRPr="00CE25D5">
        <w:rPr>
          <w:rFonts w:ascii="Book Antiqua" w:eastAsia="宋体" w:hAnsi="Book Antiqua" w:hint="eastAsia"/>
          <w:lang w:eastAsia="zh-CN"/>
        </w:rPr>
        <w:t>)</w:t>
      </w:r>
      <w:r w:rsidR="00A953C1" w:rsidRPr="00CE25D5">
        <w:rPr>
          <w:rFonts w:ascii="Book Antiqua" w:hAnsi="Book Antiqua"/>
        </w:rPr>
        <w:t xml:space="preserve"> </w:t>
      </w:r>
      <w:r w:rsidRPr="00CE25D5">
        <w:rPr>
          <w:rFonts w:ascii="Book Antiqua" w:hAnsi="Book Antiqua"/>
        </w:rPr>
        <w:t xml:space="preserve">were originally described in the trauma setting to prevent blood loss. </w:t>
      </w:r>
    </w:p>
    <w:p w14:paraId="36034258" w14:textId="77777777" w:rsidR="008047BF" w:rsidRPr="00CE25D5" w:rsidRDefault="008047BF" w:rsidP="00E715CA">
      <w:pPr>
        <w:spacing w:line="360" w:lineRule="auto"/>
        <w:jc w:val="both"/>
        <w:rPr>
          <w:rFonts w:ascii="Book Antiqua" w:hAnsi="Book Antiqua"/>
          <w:b/>
        </w:rPr>
      </w:pPr>
    </w:p>
    <w:p w14:paraId="1C30FBB8" w14:textId="711E129F" w:rsidR="00897318" w:rsidRPr="00CE25D5" w:rsidRDefault="00897318" w:rsidP="00E715CA">
      <w:pPr>
        <w:spacing w:line="360" w:lineRule="auto"/>
        <w:jc w:val="both"/>
        <w:rPr>
          <w:rFonts w:ascii="Book Antiqua" w:hAnsi="Book Antiqua"/>
          <w:b/>
          <w:i/>
        </w:rPr>
      </w:pPr>
      <w:r w:rsidRPr="00CE25D5">
        <w:rPr>
          <w:rFonts w:ascii="Book Antiqua" w:hAnsi="Book Antiqua"/>
          <w:b/>
          <w:i/>
        </w:rPr>
        <w:t>Research frontiers</w:t>
      </w:r>
    </w:p>
    <w:p w14:paraId="1E357060" w14:textId="1A99F6E2" w:rsidR="00897318" w:rsidRPr="00CE25D5" w:rsidRDefault="00D10512" w:rsidP="00E715CA">
      <w:pPr>
        <w:spacing w:line="360" w:lineRule="auto"/>
        <w:jc w:val="both"/>
        <w:rPr>
          <w:rFonts w:ascii="Book Antiqua" w:hAnsi="Book Antiqua"/>
        </w:rPr>
      </w:pPr>
      <w:r w:rsidRPr="00CE25D5">
        <w:rPr>
          <w:rFonts w:ascii="Book Antiqua" w:hAnsi="Book Antiqua"/>
        </w:rPr>
        <w:t xml:space="preserve">There has been increased interest among in the use of </w:t>
      </w:r>
      <w:r w:rsidR="00A953C1" w:rsidRPr="00CE25D5">
        <w:rPr>
          <w:rFonts w:ascii="Book Antiqua" w:hAnsi="Book Antiqua"/>
        </w:rPr>
        <w:t>TXA</w:t>
      </w:r>
      <w:r w:rsidR="005C43CE" w:rsidRPr="00CE25D5">
        <w:rPr>
          <w:rFonts w:ascii="Book Antiqua" w:hAnsi="Book Antiqua"/>
        </w:rPr>
        <w:t xml:space="preserve"> as a means of reducing blood loss</w:t>
      </w:r>
      <w:r w:rsidRPr="00CE25D5">
        <w:rPr>
          <w:rFonts w:ascii="Book Antiqua" w:hAnsi="Book Antiqua"/>
        </w:rPr>
        <w:t xml:space="preserve"> in lower limb arthroplasty. </w:t>
      </w:r>
      <w:r w:rsidR="005C43CE" w:rsidRPr="00CE25D5">
        <w:rPr>
          <w:rFonts w:ascii="Book Antiqua" w:hAnsi="Book Antiqua"/>
        </w:rPr>
        <w:t>Concerns remain, however, regarding possible increased risk of thromboembolic disease.</w:t>
      </w:r>
    </w:p>
    <w:p w14:paraId="2E73BB45" w14:textId="77777777" w:rsidR="00D10512" w:rsidRPr="00CE25D5" w:rsidRDefault="00D10512" w:rsidP="00E715CA">
      <w:pPr>
        <w:spacing w:line="360" w:lineRule="auto"/>
        <w:jc w:val="both"/>
        <w:rPr>
          <w:rFonts w:ascii="Book Antiqua" w:hAnsi="Book Antiqua"/>
          <w:b/>
        </w:rPr>
      </w:pPr>
    </w:p>
    <w:p w14:paraId="423CBD03" w14:textId="2F2C007F" w:rsidR="00897318" w:rsidRPr="00CE25D5" w:rsidRDefault="00897318" w:rsidP="00E715CA">
      <w:pPr>
        <w:spacing w:line="360" w:lineRule="auto"/>
        <w:jc w:val="both"/>
        <w:rPr>
          <w:rFonts w:ascii="Book Antiqua" w:hAnsi="Book Antiqua"/>
          <w:b/>
          <w:i/>
        </w:rPr>
      </w:pPr>
      <w:r w:rsidRPr="00CE25D5">
        <w:rPr>
          <w:rFonts w:ascii="Book Antiqua" w:hAnsi="Book Antiqua"/>
          <w:b/>
          <w:i/>
        </w:rPr>
        <w:t>Innovations and breakthroughs</w:t>
      </w:r>
    </w:p>
    <w:p w14:paraId="411B30A5" w14:textId="6EBA8E77" w:rsidR="005C43CE" w:rsidRPr="00CE25D5" w:rsidRDefault="005C43CE" w:rsidP="00E715CA">
      <w:pPr>
        <w:spacing w:line="360" w:lineRule="auto"/>
        <w:jc w:val="both"/>
        <w:rPr>
          <w:rFonts w:ascii="Book Antiqua" w:hAnsi="Book Antiqua"/>
        </w:rPr>
      </w:pPr>
      <w:r w:rsidRPr="00CE25D5">
        <w:rPr>
          <w:rFonts w:ascii="Book Antiqua" w:hAnsi="Book Antiqua"/>
        </w:rPr>
        <w:t xml:space="preserve">In a large single surgeon series of 200 consecutive lower limb arthroplasties, the perioperative use of </w:t>
      </w:r>
      <w:r w:rsidR="00A953C1" w:rsidRPr="00CE25D5">
        <w:rPr>
          <w:rFonts w:ascii="Book Antiqua" w:hAnsi="Book Antiqua"/>
        </w:rPr>
        <w:t>TXA</w:t>
      </w:r>
      <w:r w:rsidRPr="00CE25D5">
        <w:rPr>
          <w:rFonts w:ascii="Book Antiqua" w:hAnsi="Book Antiqua"/>
        </w:rPr>
        <w:t xml:space="preserve"> resulted in significant financial savings. There was no increased rate of thromboembolic disease following the use of </w:t>
      </w:r>
      <w:r w:rsidR="00A953C1" w:rsidRPr="00CE25D5">
        <w:rPr>
          <w:rFonts w:ascii="Book Antiqua" w:hAnsi="Book Antiqua"/>
        </w:rPr>
        <w:t>TXA</w:t>
      </w:r>
      <w:r w:rsidRPr="00CE25D5">
        <w:rPr>
          <w:rFonts w:ascii="Book Antiqua" w:hAnsi="Book Antiqua"/>
        </w:rPr>
        <w:t>.</w:t>
      </w:r>
    </w:p>
    <w:p w14:paraId="71465D89" w14:textId="77777777" w:rsidR="005C43CE" w:rsidRPr="00CE25D5" w:rsidRDefault="005C43CE" w:rsidP="00E715CA">
      <w:pPr>
        <w:spacing w:line="360" w:lineRule="auto"/>
        <w:jc w:val="both"/>
        <w:rPr>
          <w:rFonts w:ascii="Book Antiqua" w:hAnsi="Book Antiqua"/>
          <w:b/>
        </w:rPr>
      </w:pPr>
    </w:p>
    <w:p w14:paraId="61C9E8D2" w14:textId="3343AD53" w:rsidR="00897318" w:rsidRPr="00CE25D5" w:rsidRDefault="00897318" w:rsidP="00E715CA">
      <w:pPr>
        <w:spacing w:line="360" w:lineRule="auto"/>
        <w:jc w:val="both"/>
        <w:rPr>
          <w:rFonts w:ascii="Book Antiqua" w:hAnsi="Book Antiqua"/>
          <w:b/>
          <w:i/>
        </w:rPr>
      </w:pPr>
      <w:r w:rsidRPr="00CE25D5">
        <w:rPr>
          <w:rFonts w:ascii="Book Antiqua" w:hAnsi="Book Antiqua"/>
          <w:b/>
          <w:i/>
        </w:rPr>
        <w:t>Applications</w:t>
      </w:r>
    </w:p>
    <w:p w14:paraId="4F219221" w14:textId="7DD847EB" w:rsidR="00D10512" w:rsidRPr="00CE25D5" w:rsidRDefault="005C43CE" w:rsidP="00E715CA">
      <w:pPr>
        <w:spacing w:line="360" w:lineRule="auto"/>
        <w:jc w:val="both"/>
        <w:rPr>
          <w:rFonts w:ascii="Book Antiqua" w:hAnsi="Book Antiqua"/>
        </w:rPr>
      </w:pPr>
      <w:r w:rsidRPr="00CE25D5">
        <w:rPr>
          <w:rFonts w:ascii="Book Antiqua" w:hAnsi="Book Antiqua"/>
        </w:rPr>
        <w:t xml:space="preserve">In a time of increasing demand being placed on diminishing health resources, measures that result in cost savings should be encouraged. However, care must be taken to ensure that the use of newer agents is safe to patients. Perioperative </w:t>
      </w:r>
      <w:r w:rsidR="00A953C1" w:rsidRPr="00CE25D5">
        <w:rPr>
          <w:rFonts w:ascii="Book Antiqua" w:hAnsi="Book Antiqua"/>
        </w:rPr>
        <w:t>TXA</w:t>
      </w:r>
      <w:r w:rsidRPr="00CE25D5">
        <w:rPr>
          <w:rFonts w:ascii="Book Antiqua" w:hAnsi="Book Antiqua"/>
        </w:rPr>
        <w:t xml:space="preserve"> appears to provide a </w:t>
      </w:r>
      <w:proofErr w:type="spellStart"/>
      <w:r w:rsidRPr="00CE25D5">
        <w:rPr>
          <w:rFonts w:ascii="Book Antiqua" w:hAnsi="Book Antiqua"/>
        </w:rPr>
        <w:t>favourable</w:t>
      </w:r>
      <w:proofErr w:type="spellEnd"/>
      <w:r w:rsidRPr="00CE25D5">
        <w:rPr>
          <w:rFonts w:ascii="Book Antiqua" w:hAnsi="Book Antiqua"/>
        </w:rPr>
        <w:t xml:space="preserve"> cost-benefit profile, while </w:t>
      </w:r>
      <w:r w:rsidRPr="00CE25D5">
        <w:rPr>
          <w:rFonts w:ascii="Book Antiqua" w:hAnsi="Book Antiqua"/>
        </w:rPr>
        <w:lastRenderedPageBreak/>
        <w:t xml:space="preserve">also being safe in lower limb arthroplasty. Further study is required to evaluate the thromboembolic risk of </w:t>
      </w:r>
      <w:r w:rsidR="00A953C1" w:rsidRPr="00CE25D5">
        <w:rPr>
          <w:rFonts w:ascii="Book Antiqua" w:hAnsi="Book Antiqua"/>
        </w:rPr>
        <w:t>TXA</w:t>
      </w:r>
      <w:r w:rsidRPr="00CE25D5">
        <w:rPr>
          <w:rFonts w:ascii="Book Antiqua" w:hAnsi="Book Antiqua"/>
        </w:rPr>
        <w:t xml:space="preserve"> in lower limb arthroplasty.</w:t>
      </w:r>
    </w:p>
    <w:p w14:paraId="081CCC55" w14:textId="77777777" w:rsidR="005C43CE" w:rsidRPr="00CE25D5" w:rsidRDefault="005C43CE" w:rsidP="00E715CA">
      <w:pPr>
        <w:spacing w:line="360" w:lineRule="auto"/>
        <w:jc w:val="both"/>
        <w:rPr>
          <w:rFonts w:ascii="Book Antiqua" w:hAnsi="Book Antiqua"/>
        </w:rPr>
      </w:pPr>
    </w:p>
    <w:p w14:paraId="7FD30263" w14:textId="465D25D7" w:rsidR="00897318" w:rsidRPr="00CE25D5" w:rsidRDefault="00897318" w:rsidP="00E715CA">
      <w:pPr>
        <w:spacing w:line="360" w:lineRule="auto"/>
        <w:jc w:val="both"/>
        <w:rPr>
          <w:rFonts w:ascii="Book Antiqua" w:hAnsi="Book Antiqua"/>
          <w:b/>
          <w:i/>
        </w:rPr>
      </w:pPr>
      <w:r w:rsidRPr="00CE25D5">
        <w:rPr>
          <w:rFonts w:ascii="Book Antiqua" w:hAnsi="Book Antiqua"/>
          <w:b/>
          <w:i/>
        </w:rPr>
        <w:t>Terminology</w:t>
      </w:r>
    </w:p>
    <w:p w14:paraId="5D0F8F7E" w14:textId="16D7601F" w:rsidR="00897318" w:rsidRPr="00CE25D5" w:rsidRDefault="00D10512" w:rsidP="00E715CA">
      <w:pPr>
        <w:spacing w:line="360" w:lineRule="auto"/>
        <w:jc w:val="both"/>
        <w:rPr>
          <w:rFonts w:ascii="Book Antiqua" w:hAnsi="Book Antiqua"/>
        </w:rPr>
      </w:pPr>
      <w:r w:rsidRPr="00CE25D5">
        <w:rPr>
          <w:rFonts w:ascii="Book Antiqua" w:hAnsi="Book Antiqua"/>
        </w:rPr>
        <w:t xml:space="preserve">TXA is an abbreviation for tranexamic acid, an </w:t>
      </w:r>
      <w:proofErr w:type="spellStart"/>
      <w:r w:rsidRPr="00CE25D5">
        <w:rPr>
          <w:rFonts w:ascii="Book Antiqua" w:hAnsi="Book Antiqua"/>
        </w:rPr>
        <w:t>antifibrinolytic</w:t>
      </w:r>
      <w:proofErr w:type="spellEnd"/>
      <w:r w:rsidRPr="00CE25D5">
        <w:rPr>
          <w:rFonts w:ascii="Book Antiqua" w:hAnsi="Book Antiqua"/>
        </w:rPr>
        <w:t xml:space="preserve"> agent. It stabilizes clot by competitively binding to plasminogen.</w:t>
      </w:r>
    </w:p>
    <w:p w14:paraId="3900B49C" w14:textId="77777777" w:rsidR="00897318" w:rsidRPr="00CE25D5" w:rsidRDefault="00897318" w:rsidP="00E715CA">
      <w:pPr>
        <w:spacing w:line="360" w:lineRule="auto"/>
        <w:jc w:val="both"/>
        <w:rPr>
          <w:rFonts w:ascii="Book Antiqua" w:hAnsi="Book Antiqua"/>
          <w:b/>
        </w:rPr>
      </w:pPr>
    </w:p>
    <w:p w14:paraId="6B1D845C" w14:textId="06C60A81" w:rsidR="00897318" w:rsidRPr="00CE25D5" w:rsidRDefault="00D10512" w:rsidP="00E715CA">
      <w:pPr>
        <w:spacing w:line="360" w:lineRule="auto"/>
        <w:jc w:val="both"/>
        <w:rPr>
          <w:rFonts w:ascii="Book Antiqua" w:hAnsi="Book Antiqua"/>
          <w:b/>
          <w:i/>
        </w:rPr>
      </w:pPr>
      <w:r w:rsidRPr="00CE25D5">
        <w:rPr>
          <w:rFonts w:ascii="Book Antiqua" w:hAnsi="Book Antiqua"/>
          <w:b/>
          <w:i/>
        </w:rPr>
        <w:t>Peer</w:t>
      </w:r>
      <w:r w:rsidR="00A953C1" w:rsidRPr="00CE25D5">
        <w:rPr>
          <w:rFonts w:ascii="Book Antiqua" w:eastAsia="宋体" w:hAnsi="Book Antiqua" w:hint="eastAsia"/>
          <w:b/>
          <w:i/>
          <w:lang w:eastAsia="zh-CN"/>
        </w:rPr>
        <w:t>-</w:t>
      </w:r>
      <w:r w:rsidR="00A953C1" w:rsidRPr="00CE25D5">
        <w:rPr>
          <w:rFonts w:ascii="Book Antiqua" w:hAnsi="Book Antiqua"/>
          <w:b/>
          <w:i/>
        </w:rPr>
        <w:t>r</w:t>
      </w:r>
      <w:r w:rsidRPr="00CE25D5">
        <w:rPr>
          <w:rFonts w:ascii="Book Antiqua" w:hAnsi="Book Antiqua"/>
          <w:b/>
          <w:i/>
        </w:rPr>
        <w:t>eview</w:t>
      </w:r>
    </w:p>
    <w:p w14:paraId="768DB221" w14:textId="746F2531" w:rsidR="00A953C1" w:rsidRPr="00CE25D5" w:rsidRDefault="00E80894" w:rsidP="00E715CA">
      <w:pPr>
        <w:spacing w:line="360" w:lineRule="auto"/>
        <w:jc w:val="both"/>
        <w:rPr>
          <w:rFonts w:ascii="Book Antiqua" w:eastAsia="宋体" w:hAnsi="Book Antiqua"/>
          <w:lang w:eastAsia="zh-CN"/>
        </w:rPr>
      </w:pPr>
      <w:r w:rsidRPr="00CE25D5">
        <w:rPr>
          <w:rFonts w:ascii="Book Antiqua" w:eastAsia="宋体" w:hAnsi="Book Antiqua" w:hint="eastAsia"/>
          <w:lang w:eastAsia="zh-CN"/>
        </w:rPr>
        <w:t xml:space="preserve">This is </w:t>
      </w:r>
      <w:r w:rsidR="000B0385" w:rsidRPr="00CE25D5">
        <w:rPr>
          <w:rFonts w:ascii="Book Antiqua" w:eastAsia="宋体" w:hAnsi="Book Antiqua"/>
          <w:lang w:eastAsia="zh-CN"/>
        </w:rPr>
        <w:t>a</w:t>
      </w:r>
      <w:r w:rsidRPr="00CE25D5">
        <w:rPr>
          <w:rFonts w:ascii="Book Antiqua" w:eastAsia="宋体" w:hAnsi="Book Antiqua" w:hint="eastAsia"/>
          <w:lang w:eastAsia="zh-CN"/>
        </w:rPr>
        <w:t xml:space="preserve"> good article.</w:t>
      </w:r>
    </w:p>
    <w:p w14:paraId="1173763A" w14:textId="77777777" w:rsidR="00E80894" w:rsidRPr="00CE25D5" w:rsidRDefault="00E80894" w:rsidP="00E715CA">
      <w:pPr>
        <w:spacing w:line="360" w:lineRule="auto"/>
        <w:jc w:val="both"/>
        <w:rPr>
          <w:rFonts w:ascii="Book Antiqua" w:eastAsia="宋体" w:hAnsi="Book Antiqua"/>
          <w:b/>
          <w:lang w:eastAsia="zh-CN"/>
        </w:rPr>
      </w:pPr>
    </w:p>
    <w:p w14:paraId="2FA8987D" w14:textId="77777777" w:rsidR="00E80894" w:rsidRPr="00CE25D5" w:rsidRDefault="00E80894">
      <w:pPr>
        <w:rPr>
          <w:rFonts w:ascii="Book Antiqua" w:hAnsi="Book Antiqua"/>
          <w:b/>
        </w:rPr>
      </w:pPr>
      <w:r w:rsidRPr="00CE25D5">
        <w:rPr>
          <w:rFonts w:ascii="Book Antiqua" w:hAnsi="Book Antiqua"/>
          <w:b/>
        </w:rPr>
        <w:br w:type="page"/>
      </w:r>
      <w:bookmarkStart w:id="4" w:name="_GoBack"/>
      <w:bookmarkEnd w:id="4"/>
    </w:p>
    <w:p w14:paraId="1902E167" w14:textId="1B5F3CB4" w:rsidR="00A953C1" w:rsidRPr="00CE25D5" w:rsidRDefault="00A953C1" w:rsidP="001A7EFD">
      <w:pPr>
        <w:spacing w:line="360" w:lineRule="auto"/>
        <w:jc w:val="both"/>
        <w:rPr>
          <w:rFonts w:ascii="Book Antiqua" w:hAnsi="Book Antiqua"/>
        </w:rPr>
      </w:pPr>
      <w:r w:rsidRPr="00CE25D5">
        <w:rPr>
          <w:rFonts w:ascii="Book Antiqua" w:hAnsi="Book Antiqua"/>
          <w:b/>
        </w:rPr>
        <w:lastRenderedPageBreak/>
        <w:t>REFERENCES</w:t>
      </w:r>
    </w:p>
    <w:p w14:paraId="6A3953F6"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 </w:t>
      </w:r>
      <w:proofErr w:type="spellStart"/>
      <w:r w:rsidRPr="00CE25D5">
        <w:rPr>
          <w:rFonts w:ascii="Book Antiqua" w:eastAsia="宋体" w:hAnsi="Book Antiqua" w:cs="宋体"/>
          <w:b/>
          <w:bCs/>
          <w:lang w:eastAsia="zh-CN"/>
        </w:rPr>
        <w:t>Iorio</w:t>
      </w:r>
      <w:proofErr w:type="spellEnd"/>
      <w:r w:rsidRPr="00CE25D5">
        <w:rPr>
          <w:rFonts w:ascii="Book Antiqua" w:eastAsia="宋体" w:hAnsi="Book Antiqua" w:cs="宋体"/>
          <w:b/>
          <w:bCs/>
          <w:lang w:eastAsia="zh-CN"/>
        </w:rPr>
        <w:t xml:space="preserve"> R</w:t>
      </w:r>
      <w:r w:rsidRPr="00CE25D5">
        <w:rPr>
          <w:rFonts w:ascii="Book Antiqua" w:eastAsia="宋体" w:hAnsi="Book Antiqua" w:cs="宋体"/>
          <w:lang w:eastAsia="zh-CN"/>
        </w:rPr>
        <w:t xml:space="preserve">, Robb WJ, Healy WL, Berry DJ, </w:t>
      </w:r>
      <w:proofErr w:type="spellStart"/>
      <w:r w:rsidRPr="00CE25D5">
        <w:rPr>
          <w:rFonts w:ascii="Book Antiqua" w:eastAsia="宋体" w:hAnsi="Book Antiqua" w:cs="宋体"/>
          <w:lang w:eastAsia="zh-CN"/>
        </w:rPr>
        <w:t>Hozack</w:t>
      </w:r>
      <w:proofErr w:type="spellEnd"/>
      <w:r w:rsidRPr="00CE25D5">
        <w:rPr>
          <w:rFonts w:ascii="Book Antiqua" w:eastAsia="宋体" w:hAnsi="Book Antiqua" w:cs="宋体"/>
          <w:lang w:eastAsia="zh-CN"/>
        </w:rPr>
        <w:t xml:space="preserve"> WJ, Kyle RF, </w:t>
      </w:r>
      <w:proofErr w:type="spellStart"/>
      <w:r w:rsidRPr="00CE25D5">
        <w:rPr>
          <w:rFonts w:ascii="Book Antiqua" w:eastAsia="宋体" w:hAnsi="Book Antiqua" w:cs="宋体"/>
          <w:lang w:eastAsia="zh-CN"/>
        </w:rPr>
        <w:t>Lewallen</w:t>
      </w:r>
      <w:proofErr w:type="spellEnd"/>
      <w:r w:rsidRPr="00CE25D5">
        <w:rPr>
          <w:rFonts w:ascii="Book Antiqua" w:eastAsia="宋体" w:hAnsi="Book Antiqua" w:cs="宋体"/>
          <w:lang w:eastAsia="zh-CN"/>
        </w:rPr>
        <w:t xml:space="preserve"> DG, Trousdale RT, </w:t>
      </w:r>
      <w:proofErr w:type="spellStart"/>
      <w:r w:rsidRPr="00CE25D5">
        <w:rPr>
          <w:rFonts w:ascii="Book Antiqua" w:eastAsia="宋体" w:hAnsi="Book Antiqua" w:cs="宋体"/>
          <w:lang w:eastAsia="zh-CN"/>
        </w:rPr>
        <w:t>Jiranek</w:t>
      </w:r>
      <w:proofErr w:type="spellEnd"/>
      <w:r w:rsidRPr="00CE25D5">
        <w:rPr>
          <w:rFonts w:ascii="Book Antiqua" w:eastAsia="宋体" w:hAnsi="Book Antiqua" w:cs="宋体"/>
          <w:lang w:eastAsia="zh-CN"/>
        </w:rPr>
        <w:t xml:space="preserve"> WA, </w:t>
      </w:r>
      <w:proofErr w:type="spellStart"/>
      <w:r w:rsidRPr="00CE25D5">
        <w:rPr>
          <w:rFonts w:ascii="Book Antiqua" w:eastAsia="宋体" w:hAnsi="Book Antiqua" w:cs="宋体"/>
          <w:lang w:eastAsia="zh-CN"/>
        </w:rPr>
        <w:t>Stamos</w:t>
      </w:r>
      <w:proofErr w:type="spellEnd"/>
      <w:r w:rsidRPr="00CE25D5">
        <w:rPr>
          <w:rFonts w:ascii="Book Antiqua" w:eastAsia="宋体" w:hAnsi="Book Antiqua" w:cs="宋体"/>
          <w:lang w:eastAsia="zh-CN"/>
        </w:rPr>
        <w:t xml:space="preserve"> VP, Parsley BS. </w:t>
      </w:r>
      <w:proofErr w:type="spellStart"/>
      <w:r w:rsidRPr="00CE25D5">
        <w:rPr>
          <w:rFonts w:ascii="Book Antiqua" w:eastAsia="宋体" w:hAnsi="Book Antiqua" w:cs="宋体"/>
          <w:lang w:eastAsia="zh-CN"/>
        </w:rPr>
        <w:t>Orthopaedic</w:t>
      </w:r>
      <w:proofErr w:type="spellEnd"/>
      <w:r w:rsidRPr="00CE25D5">
        <w:rPr>
          <w:rFonts w:ascii="Book Antiqua" w:eastAsia="宋体" w:hAnsi="Book Antiqua" w:cs="宋体"/>
          <w:lang w:eastAsia="zh-CN"/>
        </w:rPr>
        <w:t xml:space="preserve"> surgeon workforce and volume assessment for total hip and knee replacement in the United States: preparing for an epidemic.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Am</w:t>
      </w:r>
      <w:r w:rsidRPr="00CE25D5">
        <w:rPr>
          <w:rFonts w:ascii="Book Antiqua" w:eastAsia="宋体" w:hAnsi="Book Antiqua" w:cs="宋体"/>
          <w:lang w:eastAsia="zh-CN"/>
        </w:rPr>
        <w:t xml:space="preserve"> 2008; </w:t>
      </w:r>
      <w:r w:rsidRPr="00CE25D5">
        <w:rPr>
          <w:rFonts w:ascii="Book Antiqua" w:eastAsia="宋体" w:hAnsi="Book Antiqua" w:cs="宋体"/>
          <w:b/>
          <w:bCs/>
          <w:lang w:eastAsia="zh-CN"/>
        </w:rPr>
        <w:t>90</w:t>
      </w:r>
      <w:r w:rsidRPr="00CE25D5">
        <w:rPr>
          <w:rFonts w:ascii="Book Antiqua" w:eastAsia="宋体" w:hAnsi="Book Antiqua" w:cs="宋体"/>
          <w:lang w:eastAsia="zh-CN"/>
        </w:rPr>
        <w:t>: 1598-1605 [PMID: 18594111 DOI: 10.2106/JBJS.H.00067]</w:t>
      </w:r>
    </w:p>
    <w:p w14:paraId="3456F0A4"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 </w:t>
      </w:r>
      <w:proofErr w:type="spellStart"/>
      <w:r w:rsidRPr="00CE25D5">
        <w:rPr>
          <w:rFonts w:ascii="Book Antiqua" w:eastAsia="宋体" w:hAnsi="Book Antiqua" w:cs="宋体"/>
          <w:b/>
          <w:bCs/>
          <w:lang w:eastAsia="zh-CN"/>
        </w:rPr>
        <w:t>Aderinto</w:t>
      </w:r>
      <w:proofErr w:type="spellEnd"/>
      <w:r w:rsidRPr="00CE25D5">
        <w:rPr>
          <w:rFonts w:ascii="Book Antiqua" w:eastAsia="宋体" w:hAnsi="Book Antiqua" w:cs="宋体"/>
          <w:b/>
          <w:bCs/>
          <w:lang w:eastAsia="zh-CN"/>
        </w:rPr>
        <w:t xml:space="preserve"> J</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Brenkel</w:t>
      </w:r>
      <w:proofErr w:type="spellEnd"/>
      <w:r w:rsidRPr="00CE25D5">
        <w:rPr>
          <w:rFonts w:ascii="Book Antiqua" w:eastAsia="宋体" w:hAnsi="Book Antiqua" w:cs="宋体"/>
          <w:lang w:eastAsia="zh-CN"/>
        </w:rPr>
        <w:t xml:space="preserve"> IJ. </w:t>
      </w:r>
      <w:proofErr w:type="gramStart"/>
      <w:r w:rsidRPr="00CE25D5">
        <w:rPr>
          <w:rFonts w:ascii="Book Antiqua" w:eastAsia="宋体" w:hAnsi="Book Antiqua" w:cs="宋体"/>
          <w:lang w:eastAsia="zh-CN"/>
        </w:rPr>
        <w:t>Pre-operative predictors of the requirement for blood transfusion following total hip replacement.</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Br</w:t>
      </w:r>
      <w:r w:rsidRPr="00CE25D5">
        <w:rPr>
          <w:rFonts w:ascii="Book Antiqua" w:eastAsia="宋体" w:hAnsi="Book Antiqua" w:cs="宋体"/>
          <w:lang w:eastAsia="zh-CN"/>
        </w:rPr>
        <w:t xml:space="preserve"> 2004; </w:t>
      </w:r>
      <w:r w:rsidRPr="00CE25D5">
        <w:rPr>
          <w:rFonts w:ascii="Book Antiqua" w:eastAsia="宋体" w:hAnsi="Book Antiqua" w:cs="宋体"/>
          <w:b/>
          <w:bCs/>
          <w:lang w:eastAsia="zh-CN"/>
        </w:rPr>
        <w:t>86</w:t>
      </w:r>
      <w:r w:rsidRPr="00CE25D5">
        <w:rPr>
          <w:rFonts w:ascii="Book Antiqua" w:eastAsia="宋体" w:hAnsi="Book Antiqua" w:cs="宋体"/>
          <w:lang w:eastAsia="zh-CN"/>
        </w:rPr>
        <w:t>: 970-973 [PMID: 15446520 DOI: 10.1302/0301-620X.86B7.14682]</w:t>
      </w:r>
    </w:p>
    <w:p w14:paraId="065A891E"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3 </w:t>
      </w:r>
      <w:r w:rsidRPr="00CE25D5">
        <w:rPr>
          <w:rFonts w:ascii="Book Antiqua" w:eastAsia="宋体" w:hAnsi="Book Antiqua" w:cs="宋体"/>
          <w:b/>
          <w:bCs/>
          <w:lang w:eastAsia="zh-CN"/>
        </w:rPr>
        <w:t>Li B</w:t>
      </w:r>
      <w:r w:rsidRPr="00CE25D5">
        <w:rPr>
          <w:rFonts w:ascii="Book Antiqua" w:eastAsia="宋体" w:hAnsi="Book Antiqua" w:cs="宋体"/>
          <w:lang w:eastAsia="zh-CN"/>
        </w:rPr>
        <w:t xml:space="preserve">, Wen Y, Wu H, Qian Q, Lin X, Zhao H. </w:t>
      </w:r>
      <w:proofErr w:type="gramStart"/>
      <w:r w:rsidRPr="00CE25D5">
        <w:rPr>
          <w:rFonts w:ascii="Book Antiqua" w:eastAsia="宋体" w:hAnsi="Book Antiqua" w:cs="宋体"/>
          <w:lang w:eastAsia="zh-CN"/>
        </w:rPr>
        <w:t>The effect of tourniquet use on hidden blood loss in total knee arthroplasty.</w:t>
      </w:r>
      <w:proofErr w:type="gramEnd"/>
      <w:r w:rsidRPr="00CE25D5">
        <w:rPr>
          <w:rFonts w:ascii="Book Antiqua" w:eastAsia="宋体" w:hAnsi="Book Antiqua" w:cs="宋体"/>
          <w:lang w:eastAsia="zh-CN"/>
        </w:rPr>
        <w:t xml:space="preserve"> </w:t>
      </w:r>
      <w:proofErr w:type="spellStart"/>
      <w:r w:rsidRPr="00CE25D5">
        <w:rPr>
          <w:rFonts w:ascii="Book Antiqua" w:eastAsia="宋体" w:hAnsi="Book Antiqua" w:cs="宋体"/>
          <w:i/>
          <w:iCs/>
          <w:lang w:eastAsia="zh-CN"/>
        </w:rPr>
        <w:t>Int</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Orthop</w:t>
      </w:r>
      <w:proofErr w:type="spellEnd"/>
      <w:r w:rsidRPr="00CE25D5">
        <w:rPr>
          <w:rFonts w:ascii="Book Antiqua" w:eastAsia="宋体" w:hAnsi="Book Antiqua" w:cs="宋体"/>
          <w:lang w:eastAsia="zh-CN"/>
        </w:rPr>
        <w:t xml:space="preserve"> 2009; </w:t>
      </w:r>
      <w:r w:rsidRPr="00CE25D5">
        <w:rPr>
          <w:rFonts w:ascii="Book Antiqua" w:eastAsia="宋体" w:hAnsi="Book Antiqua" w:cs="宋体"/>
          <w:b/>
          <w:bCs/>
          <w:lang w:eastAsia="zh-CN"/>
        </w:rPr>
        <w:t>33</w:t>
      </w:r>
      <w:r w:rsidRPr="00CE25D5">
        <w:rPr>
          <w:rFonts w:ascii="Book Antiqua" w:eastAsia="宋体" w:hAnsi="Book Antiqua" w:cs="宋体"/>
          <w:lang w:eastAsia="zh-CN"/>
        </w:rPr>
        <w:t>: 1263-1268 [PMID: 18751703 DOI: 10.1007/s00264-008-0647-3]</w:t>
      </w:r>
    </w:p>
    <w:p w14:paraId="5A4AE697"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4 </w:t>
      </w:r>
      <w:proofErr w:type="spellStart"/>
      <w:r w:rsidRPr="00CE25D5">
        <w:rPr>
          <w:rFonts w:ascii="Book Antiqua" w:eastAsia="宋体" w:hAnsi="Book Antiqua" w:cs="宋体"/>
          <w:b/>
          <w:bCs/>
          <w:lang w:eastAsia="zh-CN"/>
        </w:rPr>
        <w:t>Rawn</w:t>
      </w:r>
      <w:proofErr w:type="spellEnd"/>
      <w:r w:rsidRPr="00CE25D5">
        <w:rPr>
          <w:rFonts w:ascii="Book Antiqua" w:eastAsia="宋体" w:hAnsi="Book Antiqua" w:cs="宋体"/>
          <w:b/>
          <w:bCs/>
          <w:lang w:eastAsia="zh-CN"/>
        </w:rPr>
        <w:t xml:space="preserve"> J</w:t>
      </w:r>
      <w:r w:rsidRPr="00CE25D5">
        <w:rPr>
          <w:rFonts w:ascii="Book Antiqua" w:eastAsia="宋体" w:hAnsi="Book Antiqua" w:cs="宋体"/>
          <w:lang w:eastAsia="zh-CN"/>
        </w:rPr>
        <w:t>.</w:t>
      </w:r>
      <w:proofErr w:type="gramEnd"/>
      <w:r w:rsidRPr="00CE25D5">
        <w:rPr>
          <w:rFonts w:ascii="Book Antiqua" w:eastAsia="宋体" w:hAnsi="Book Antiqua" w:cs="宋体"/>
          <w:lang w:eastAsia="zh-CN"/>
        </w:rPr>
        <w:t xml:space="preserve"> </w:t>
      </w:r>
      <w:proofErr w:type="gramStart"/>
      <w:r w:rsidRPr="00CE25D5">
        <w:rPr>
          <w:rFonts w:ascii="Book Antiqua" w:eastAsia="宋体" w:hAnsi="Book Antiqua" w:cs="宋体"/>
          <w:lang w:eastAsia="zh-CN"/>
        </w:rPr>
        <w:t>The silent risks of blood transfusion.</w:t>
      </w:r>
      <w:proofErr w:type="gramEnd"/>
      <w:r w:rsidRPr="00CE25D5">
        <w:rPr>
          <w:rFonts w:ascii="Book Antiqua" w:eastAsia="宋体" w:hAnsi="Book Antiqua" w:cs="宋体"/>
          <w:lang w:eastAsia="zh-CN"/>
        </w:rPr>
        <w:t xml:space="preserve"> </w:t>
      </w:r>
      <w:proofErr w:type="spellStart"/>
      <w:r w:rsidRPr="00CE25D5">
        <w:rPr>
          <w:rFonts w:ascii="Book Antiqua" w:eastAsia="宋体" w:hAnsi="Book Antiqua" w:cs="宋体"/>
          <w:i/>
          <w:iCs/>
          <w:lang w:eastAsia="zh-CN"/>
        </w:rPr>
        <w:t>Curr</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Opin</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Anaesthesiol</w:t>
      </w:r>
      <w:proofErr w:type="spellEnd"/>
      <w:r w:rsidRPr="00CE25D5">
        <w:rPr>
          <w:rFonts w:ascii="Book Antiqua" w:eastAsia="宋体" w:hAnsi="Book Antiqua" w:cs="宋体"/>
          <w:lang w:eastAsia="zh-CN"/>
        </w:rPr>
        <w:t xml:space="preserve"> 2008; </w:t>
      </w:r>
      <w:r w:rsidRPr="00CE25D5">
        <w:rPr>
          <w:rFonts w:ascii="Book Antiqua" w:eastAsia="宋体" w:hAnsi="Book Antiqua" w:cs="宋体"/>
          <w:b/>
          <w:bCs/>
          <w:lang w:eastAsia="zh-CN"/>
        </w:rPr>
        <w:t>21</w:t>
      </w:r>
      <w:r w:rsidRPr="00CE25D5">
        <w:rPr>
          <w:rFonts w:ascii="Book Antiqua" w:eastAsia="宋体" w:hAnsi="Book Antiqua" w:cs="宋体"/>
          <w:lang w:eastAsia="zh-CN"/>
        </w:rPr>
        <w:t>: 664-668 [PMID: 18784496 DOI: 10.1097/ACO.0b013e32830f1fd1]</w:t>
      </w:r>
    </w:p>
    <w:p w14:paraId="067D0C85"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5 </w:t>
      </w:r>
      <w:proofErr w:type="spellStart"/>
      <w:r w:rsidRPr="00CE25D5">
        <w:rPr>
          <w:rFonts w:ascii="Book Antiqua" w:eastAsia="宋体" w:hAnsi="Book Antiqua" w:cs="宋体"/>
          <w:b/>
          <w:bCs/>
          <w:lang w:eastAsia="zh-CN"/>
        </w:rPr>
        <w:t>Bierbaum</w:t>
      </w:r>
      <w:proofErr w:type="spellEnd"/>
      <w:r w:rsidRPr="00CE25D5">
        <w:rPr>
          <w:rFonts w:ascii="Book Antiqua" w:eastAsia="宋体" w:hAnsi="Book Antiqua" w:cs="宋体"/>
          <w:b/>
          <w:bCs/>
          <w:lang w:eastAsia="zh-CN"/>
        </w:rPr>
        <w:t xml:space="preserve"> BE</w:t>
      </w:r>
      <w:r w:rsidRPr="00CE25D5">
        <w:rPr>
          <w:rFonts w:ascii="Book Antiqua" w:eastAsia="宋体" w:hAnsi="Book Antiqua" w:cs="宋体"/>
          <w:lang w:eastAsia="zh-CN"/>
        </w:rPr>
        <w:t xml:space="preserve">, Callaghan JJ, </w:t>
      </w:r>
      <w:proofErr w:type="spellStart"/>
      <w:r w:rsidRPr="00CE25D5">
        <w:rPr>
          <w:rFonts w:ascii="Book Antiqua" w:eastAsia="宋体" w:hAnsi="Book Antiqua" w:cs="宋体"/>
          <w:lang w:eastAsia="zh-CN"/>
        </w:rPr>
        <w:t>Galante</w:t>
      </w:r>
      <w:proofErr w:type="spellEnd"/>
      <w:r w:rsidRPr="00CE25D5">
        <w:rPr>
          <w:rFonts w:ascii="Book Antiqua" w:eastAsia="宋体" w:hAnsi="Book Antiqua" w:cs="宋体"/>
          <w:lang w:eastAsia="zh-CN"/>
        </w:rPr>
        <w:t xml:space="preserve"> JO, </w:t>
      </w:r>
      <w:proofErr w:type="spellStart"/>
      <w:r w:rsidRPr="00CE25D5">
        <w:rPr>
          <w:rFonts w:ascii="Book Antiqua" w:eastAsia="宋体" w:hAnsi="Book Antiqua" w:cs="宋体"/>
          <w:lang w:eastAsia="zh-CN"/>
        </w:rPr>
        <w:t>Rubash</w:t>
      </w:r>
      <w:proofErr w:type="spellEnd"/>
      <w:r w:rsidRPr="00CE25D5">
        <w:rPr>
          <w:rFonts w:ascii="Book Antiqua" w:eastAsia="宋体" w:hAnsi="Book Antiqua" w:cs="宋体"/>
          <w:lang w:eastAsia="zh-CN"/>
        </w:rPr>
        <w:t xml:space="preserve"> HE, </w:t>
      </w:r>
      <w:proofErr w:type="spellStart"/>
      <w:r w:rsidRPr="00CE25D5">
        <w:rPr>
          <w:rFonts w:ascii="Book Antiqua" w:eastAsia="宋体" w:hAnsi="Book Antiqua" w:cs="宋体"/>
          <w:lang w:eastAsia="zh-CN"/>
        </w:rPr>
        <w:t>Tooms</w:t>
      </w:r>
      <w:proofErr w:type="spellEnd"/>
      <w:r w:rsidRPr="00CE25D5">
        <w:rPr>
          <w:rFonts w:ascii="Book Antiqua" w:eastAsia="宋体" w:hAnsi="Book Antiqua" w:cs="宋体"/>
          <w:lang w:eastAsia="zh-CN"/>
        </w:rPr>
        <w:t xml:space="preserve"> RE, </w:t>
      </w:r>
      <w:proofErr w:type="gramStart"/>
      <w:r w:rsidRPr="00CE25D5">
        <w:rPr>
          <w:rFonts w:ascii="Book Antiqua" w:eastAsia="宋体" w:hAnsi="Book Antiqua" w:cs="宋体"/>
          <w:lang w:eastAsia="zh-CN"/>
        </w:rPr>
        <w:t>Welch</w:t>
      </w:r>
      <w:proofErr w:type="gramEnd"/>
      <w:r w:rsidRPr="00CE25D5">
        <w:rPr>
          <w:rFonts w:ascii="Book Antiqua" w:eastAsia="宋体" w:hAnsi="Book Antiqua" w:cs="宋体"/>
          <w:lang w:eastAsia="zh-CN"/>
        </w:rPr>
        <w:t xml:space="preserve"> RB. </w:t>
      </w:r>
      <w:proofErr w:type="gramStart"/>
      <w:r w:rsidRPr="00CE25D5">
        <w:rPr>
          <w:rFonts w:ascii="Book Antiqua" w:eastAsia="宋体" w:hAnsi="Book Antiqua" w:cs="宋体"/>
          <w:lang w:eastAsia="zh-CN"/>
        </w:rPr>
        <w:t>An analysis of blood management in patients having a total hip or knee arthroplasty.</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Am</w:t>
      </w:r>
      <w:r w:rsidRPr="00CE25D5">
        <w:rPr>
          <w:rFonts w:ascii="Book Antiqua" w:eastAsia="宋体" w:hAnsi="Book Antiqua" w:cs="宋体"/>
          <w:lang w:eastAsia="zh-CN"/>
        </w:rPr>
        <w:t xml:space="preserve"> 1999; </w:t>
      </w:r>
      <w:r w:rsidRPr="00CE25D5">
        <w:rPr>
          <w:rFonts w:ascii="Book Antiqua" w:eastAsia="宋体" w:hAnsi="Book Antiqua" w:cs="宋体"/>
          <w:b/>
          <w:bCs/>
          <w:lang w:eastAsia="zh-CN"/>
        </w:rPr>
        <w:t>81</w:t>
      </w:r>
      <w:r w:rsidRPr="00CE25D5">
        <w:rPr>
          <w:rFonts w:ascii="Book Antiqua" w:eastAsia="宋体" w:hAnsi="Book Antiqua" w:cs="宋体"/>
          <w:lang w:eastAsia="zh-CN"/>
        </w:rPr>
        <w:t>: 2-10 [PMID: 9973048]</w:t>
      </w:r>
    </w:p>
    <w:p w14:paraId="0655FFBE"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6 </w:t>
      </w:r>
      <w:proofErr w:type="spellStart"/>
      <w:r w:rsidRPr="00CE25D5">
        <w:rPr>
          <w:rFonts w:ascii="Book Antiqua" w:eastAsia="宋体" w:hAnsi="Book Antiqua" w:cs="宋体"/>
          <w:b/>
          <w:bCs/>
          <w:lang w:eastAsia="zh-CN"/>
        </w:rPr>
        <w:t>Moonen</w:t>
      </w:r>
      <w:proofErr w:type="spellEnd"/>
      <w:r w:rsidRPr="00CE25D5">
        <w:rPr>
          <w:rFonts w:ascii="Book Antiqua" w:eastAsia="宋体" w:hAnsi="Book Antiqua" w:cs="宋体"/>
          <w:b/>
          <w:bCs/>
          <w:lang w:eastAsia="zh-CN"/>
        </w:rPr>
        <w:t xml:space="preserve"> AF</w:t>
      </w:r>
      <w:r w:rsidRPr="00CE25D5">
        <w:rPr>
          <w:rFonts w:ascii="Book Antiqua" w:eastAsia="宋体" w:hAnsi="Book Antiqua" w:cs="宋体"/>
          <w:lang w:eastAsia="zh-CN"/>
        </w:rPr>
        <w:t xml:space="preserve">, Neal TD, Pilot P. </w:t>
      </w:r>
      <w:proofErr w:type="spellStart"/>
      <w:r w:rsidRPr="00CE25D5">
        <w:rPr>
          <w:rFonts w:ascii="Book Antiqua" w:eastAsia="宋体" w:hAnsi="Book Antiqua" w:cs="宋体"/>
          <w:lang w:eastAsia="zh-CN"/>
        </w:rPr>
        <w:t>Peri</w:t>
      </w:r>
      <w:proofErr w:type="spellEnd"/>
      <w:r w:rsidRPr="00CE25D5">
        <w:rPr>
          <w:rFonts w:ascii="Book Antiqua" w:eastAsia="宋体" w:hAnsi="Book Antiqua" w:cs="宋体"/>
          <w:lang w:eastAsia="zh-CN"/>
        </w:rPr>
        <w:t xml:space="preserve">-operative blood management in elective </w:t>
      </w:r>
      <w:proofErr w:type="spellStart"/>
      <w:r w:rsidRPr="00CE25D5">
        <w:rPr>
          <w:rFonts w:ascii="Book Antiqua" w:eastAsia="宋体" w:hAnsi="Book Antiqua" w:cs="宋体"/>
          <w:lang w:eastAsia="zh-CN"/>
        </w:rPr>
        <w:t>orthopaedic</w:t>
      </w:r>
      <w:proofErr w:type="spellEnd"/>
      <w:r w:rsidRPr="00CE25D5">
        <w:rPr>
          <w:rFonts w:ascii="Book Antiqua" w:eastAsia="宋体" w:hAnsi="Book Antiqua" w:cs="宋体"/>
          <w:lang w:eastAsia="zh-CN"/>
        </w:rPr>
        <w:t xml:space="preserve"> surgery.</w:t>
      </w:r>
      <w:proofErr w:type="gramEnd"/>
      <w:r w:rsidRPr="00CE25D5">
        <w:rPr>
          <w:rFonts w:ascii="Book Antiqua" w:eastAsia="宋体" w:hAnsi="Book Antiqua" w:cs="宋体"/>
          <w:lang w:eastAsia="zh-CN"/>
        </w:rPr>
        <w:t xml:space="preserve"> </w:t>
      </w:r>
      <w:proofErr w:type="gramStart"/>
      <w:r w:rsidRPr="00CE25D5">
        <w:rPr>
          <w:rFonts w:ascii="Book Antiqua" w:eastAsia="宋体" w:hAnsi="Book Antiqua" w:cs="宋体"/>
          <w:lang w:eastAsia="zh-CN"/>
        </w:rPr>
        <w:t>A critical review of the literature.</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Injury</w:t>
      </w:r>
      <w:r w:rsidRPr="00CE25D5">
        <w:rPr>
          <w:rFonts w:ascii="Book Antiqua" w:eastAsia="宋体" w:hAnsi="Book Antiqua" w:cs="宋体"/>
          <w:lang w:eastAsia="zh-CN"/>
        </w:rPr>
        <w:t xml:space="preserve"> 2006; </w:t>
      </w:r>
      <w:r w:rsidRPr="00CE25D5">
        <w:rPr>
          <w:rFonts w:ascii="Book Antiqua" w:eastAsia="宋体" w:hAnsi="Book Antiqua" w:cs="宋体"/>
          <w:b/>
          <w:bCs/>
          <w:lang w:eastAsia="zh-CN"/>
        </w:rPr>
        <w:t xml:space="preserve">37 </w:t>
      </w:r>
      <w:proofErr w:type="spellStart"/>
      <w:r w:rsidRPr="00CE25D5">
        <w:rPr>
          <w:rFonts w:ascii="Book Antiqua" w:eastAsia="宋体" w:hAnsi="Book Antiqua" w:cs="宋体"/>
          <w:bCs/>
          <w:lang w:eastAsia="zh-CN"/>
        </w:rPr>
        <w:t>Suppl</w:t>
      </w:r>
      <w:proofErr w:type="spellEnd"/>
      <w:r w:rsidRPr="00CE25D5">
        <w:rPr>
          <w:rFonts w:ascii="Book Antiqua" w:eastAsia="宋体" w:hAnsi="Book Antiqua" w:cs="宋体"/>
          <w:bCs/>
          <w:lang w:eastAsia="zh-CN"/>
        </w:rPr>
        <w:t xml:space="preserve"> 5</w:t>
      </w:r>
      <w:r w:rsidRPr="00CE25D5">
        <w:rPr>
          <w:rFonts w:ascii="Book Antiqua" w:eastAsia="宋体" w:hAnsi="Book Antiqua" w:cs="宋体"/>
          <w:lang w:eastAsia="zh-CN"/>
        </w:rPr>
        <w:t>: S11-S16 [PMID: 17338906 DOI: 10.1016/S0020-1383(07)70006-2]</w:t>
      </w:r>
    </w:p>
    <w:p w14:paraId="2C40E30F"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7 </w:t>
      </w:r>
      <w:proofErr w:type="spellStart"/>
      <w:r w:rsidRPr="00CE25D5">
        <w:rPr>
          <w:rFonts w:ascii="Book Antiqua" w:eastAsia="宋体" w:hAnsi="Book Antiqua" w:cs="宋体"/>
          <w:b/>
          <w:bCs/>
          <w:lang w:eastAsia="zh-CN"/>
        </w:rPr>
        <w:t>Alshryda</w:t>
      </w:r>
      <w:proofErr w:type="spellEnd"/>
      <w:r w:rsidRPr="00CE25D5">
        <w:rPr>
          <w:rFonts w:ascii="Book Antiqua" w:eastAsia="宋体" w:hAnsi="Book Antiqua" w:cs="宋体"/>
          <w:b/>
          <w:bCs/>
          <w:lang w:eastAsia="zh-CN"/>
        </w:rPr>
        <w:t xml:space="preserve"> S</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Sarda</w:t>
      </w:r>
      <w:proofErr w:type="spellEnd"/>
      <w:r w:rsidRPr="00CE25D5">
        <w:rPr>
          <w:rFonts w:ascii="Book Antiqua" w:eastAsia="宋体" w:hAnsi="Book Antiqua" w:cs="宋体"/>
          <w:lang w:eastAsia="zh-CN"/>
        </w:rPr>
        <w:t xml:space="preserve"> P, </w:t>
      </w:r>
      <w:proofErr w:type="spellStart"/>
      <w:r w:rsidRPr="00CE25D5">
        <w:rPr>
          <w:rFonts w:ascii="Book Antiqua" w:eastAsia="宋体" w:hAnsi="Book Antiqua" w:cs="宋体"/>
          <w:lang w:eastAsia="zh-CN"/>
        </w:rPr>
        <w:t>Sukeik</w:t>
      </w:r>
      <w:proofErr w:type="spellEnd"/>
      <w:r w:rsidRPr="00CE25D5">
        <w:rPr>
          <w:rFonts w:ascii="Book Antiqua" w:eastAsia="宋体" w:hAnsi="Book Antiqua" w:cs="宋体"/>
          <w:lang w:eastAsia="zh-CN"/>
        </w:rPr>
        <w:t xml:space="preserve"> M, </w:t>
      </w:r>
      <w:proofErr w:type="spellStart"/>
      <w:r w:rsidRPr="00CE25D5">
        <w:rPr>
          <w:rFonts w:ascii="Book Antiqua" w:eastAsia="宋体" w:hAnsi="Book Antiqua" w:cs="宋体"/>
          <w:lang w:eastAsia="zh-CN"/>
        </w:rPr>
        <w:t>Nargol</w:t>
      </w:r>
      <w:proofErr w:type="spellEnd"/>
      <w:r w:rsidRPr="00CE25D5">
        <w:rPr>
          <w:rFonts w:ascii="Book Antiqua" w:eastAsia="宋体" w:hAnsi="Book Antiqua" w:cs="宋体"/>
          <w:lang w:eastAsia="zh-CN"/>
        </w:rPr>
        <w:t xml:space="preserve"> A, Blenkinsopp J, Mason JM. Tranexamic acid in total knee replacement: a systematic review and meta-analysis.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Br</w:t>
      </w:r>
      <w:r w:rsidRPr="00CE25D5">
        <w:rPr>
          <w:rFonts w:ascii="Book Antiqua" w:eastAsia="宋体" w:hAnsi="Book Antiqua" w:cs="宋体"/>
          <w:lang w:eastAsia="zh-CN"/>
        </w:rPr>
        <w:t xml:space="preserve"> 2011; </w:t>
      </w:r>
      <w:r w:rsidRPr="00CE25D5">
        <w:rPr>
          <w:rFonts w:ascii="Book Antiqua" w:eastAsia="宋体" w:hAnsi="Book Antiqua" w:cs="宋体"/>
          <w:b/>
          <w:bCs/>
          <w:lang w:eastAsia="zh-CN"/>
        </w:rPr>
        <w:t>93</w:t>
      </w:r>
      <w:r w:rsidRPr="00CE25D5">
        <w:rPr>
          <w:rFonts w:ascii="Book Antiqua" w:eastAsia="宋体" w:hAnsi="Book Antiqua" w:cs="宋体"/>
          <w:lang w:eastAsia="zh-CN"/>
        </w:rPr>
        <w:t>: 1577-1585 [PMID: 22161917 DOI: 10.1302/0301-620X.93B12.26989]</w:t>
      </w:r>
    </w:p>
    <w:p w14:paraId="5053716B"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8 </w:t>
      </w:r>
      <w:proofErr w:type="gramStart"/>
      <w:r w:rsidRPr="00CE25D5">
        <w:rPr>
          <w:rFonts w:ascii="Book Antiqua" w:eastAsia="宋体" w:hAnsi="Book Antiqua" w:cs="宋体"/>
          <w:b/>
          <w:bCs/>
          <w:lang w:eastAsia="zh-CN"/>
        </w:rPr>
        <w:t>Wind</w:t>
      </w:r>
      <w:proofErr w:type="gramEnd"/>
      <w:r w:rsidRPr="00CE25D5">
        <w:rPr>
          <w:rFonts w:ascii="Book Antiqua" w:eastAsia="宋体" w:hAnsi="Book Antiqua" w:cs="宋体"/>
          <w:b/>
          <w:bCs/>
          <w:lang w:eastAsia="zh-CN"/>
        </w:rPr>
        <w:t xml:space="preserve"> TC</w:t>
      </w:r>
      <w:r w:rsidRPr="00CE25D5">
        <w:rPr>
          <w:rFonts w:ascii="Book Antiqua" w:eastAsia="宋体" w:hAnsi="Book Antiqua" w:cs="宋体"/>
          <w:lang w:eastAsia="zh-CN"/>
        </w:rPr>
        <w:t xml:space="preserve">, Barfield WR, </w:t>
      </w:r>
      <w:proofErr w:type="spellStart"/>
      <w:r w:rsidRPr="00CE25D5">
        <w:rPr>
          <w:rFonts w:ascii="Book Antiqua" w:eastAsia="宋体" w:hAnsi="Book Antiqua" w:cs="宋体"/>
          <w:lang w:eastAsia="zh-CN"/>
        </w:rPr>
        <w:t>Moskal</w:t>
      </w:r>
      <w:proofErr w:type="spellEnd"/>
      <w:r w:rsidRPr="00CE25D5">
        <w:rPr>
          <w:rFonts w:ascii="Book Antiqua" w:eastAsia="宋体" w:hAnsi="Book Antiqua" w:cs="宋体"/>
          <w:lang w:eastAsia="zh-CN"/>
        </w:rPr>
        <w:t xml:space="preserve"> JT. </w:t>
      </w:r>
      <w:proofErr w:type="gramStart"/>
      <w:r w:rsidRPr="00CE25D5">
        <w:rPr>
          <w:rFonts w:ascii="Book Antiqua" w:eastAsia="宋体" w:hAnsi="Book Antiqua" w:cs="宋体"/>
          <w:lang w:eastAsia="zh-CN"/>
        </w:rPr>
        <w:t>The effect of tranexamic acid on transfusion rate in primary total hip arthroplasty.</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J Arthroplasty</w:t>
      </w:r>
      <w:r w:rsidRPr="00CE25D5">
        <w:rPr>
          <w:rFonts w:ascii="Book Antiqua" w:eastAsia="宋体" w:hAnsi="Book Antiqua" w:cs="宋体"/>
          <w:lang w:eastAsia="zh-CN"/>
        </w:rPr>
        <w:t xml:space="preserve"> 2014; </w:t>
      </w:r>
      <w:r w:rsidRPr="00CE25D5">
        <w:rPr>
          <w:rFonts w:ascii="Book Antiqua" w:eastAsia="宋体" w:hAnsi="Book Antiqua" w:cs="宋体"/>
          <w:b/>
          <w:bCs/>
          <w:lang w:eastAsia="zh-CN"/>
        </w:rPr>
        <w:t>29</w:t>
      </w:r>
      <w:r w:rsidRPr="00CE25D5">
        <w:rPr>
          <w:rFonts w:ascii="Book Antiqua" w:eastAsia="宋体" w:hAnsi="Book Antiqua" w:cs="宋体"/>
          <w:lang w:eastAsia="zh-CN"/>
        </w:rPr>
        <w:t>: 387-389 [PMID: 23790499 DOI: 10.1016/j.arth.2013.05.026]</w:t>
      </w:r>
    </w:p>
    <w:p w14:paraId="2C32EDD7"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9 </w:t>
      </w:r>
      <w:proofErr w:type="spellStart"/>
      <w:r w:rsidRPr="00CE25D5">
        <w:rPr>
          <w:rFonts w:ascii="Book Antiqua" w:eastAsia="宋体" w:hAnsi="Book Antiqua" w:cs="宋体"/>
          <w:b/>
          <w:bCs/>
          <w:lang w:eastAsia="zh-CN"/>
        </w:rPr>
        <w:t>Kagoma</w:t>
      </w:r>
      <w:proofErr w:type="spellEnd"/>
      <w:r w:rsidRPr="00CE25D5">
        <w:rPr>
          <w:rFonts w:ascii="Book Antiqua" w:eastAsia="宋体" w:hAnsi="Book Antiqua" w:cs="宋体"/>
          <w:b/>
          <w:bCs/>
          <w:lang w:eastAsia="zh-CN"/>
        </w:rPr>
        <w:t xml:space="preserve"> YK</w:t>
      </w:r>
      <w:r w:rsidRPr="00CE25D5">
        <w:rPr>
          <w:rFonts w:ascii="Book Antiqua" w:eastAsia="宋体" w:hAnsi="Book Antiqua" w:cs="宋体"/>
          <w:lang w:eastAsia="zh-CN"/>
        </w:rPr>
        <w:t xml:space="preserve">, Crowther MA, </w:t>
      </w:r>
      <w:proofErr w:type="spellStart"/>
      <w:r w:rsidRPr="00CE25D5">
        <w:rPr>
          <w:rFonts w:ascii="Book Antiqua" w:eastAsia="宋体" w:hAnsi="Book Antiqua" w:cs="宋体"/>
          <w:lang w:eastAsia="zh-CN"/>
        </w:rPr>
        <w:t>Douketis</w:t>
      </w:r>
      <w:proofErr w:type="spellEnd"/>
      <w:r w:rsidRPr="00CE25D5">
        <w:rPr>
          <w:rFonts w:ascii="Book Antiqua" w:eastAsia="宋体" w:hAnsi="Book Antiqua" w:cs="宋体"/>
          <w:lang w:eastAsia="zh-CN"/>
        </w:rPr>
        <w:t xml:space="preserve"> J, Bhandari M, </w:t>
      </w:r>
      <w:proofErr w:type="spellStart"/>
      <w:r w:rsidRPr="00CE25D5">
        <w:rPr>
          <w:rFonts w:ascii="Book Antiqua" w:eastAsia="宋体" w:hAnsi="Book Antiqua" w:cs="宋体"/>
          <w:lang w:eastAsia="zh-CN"/>
        </w:rPr>
        <w:t>Eikelboom</w:t>
      </w:r>
      <w:proofErr w:type="spellEnd"/>
      <w:r w:rsidRPr="00CE25D5">
        <w:rPr>
          <w:rFonts w:ascii="Book Antiqua" w:eastAsia="宋体" w:hAnsi="Book Antiqua" w:cs="宋体"/>
          <w:lang w:eastAsia="zh-CN"/>
        </w:rPr>
        <w:t xml:space="preserve"> J, Lim W. Use of </w:t>
      </w:r>
      <w:proofErr w:type="spellStart"/>
      <w:r w:rsidRPr="00CE25D5">
        <w:rPr>
          <w:rFonts w:ascii="Book Antiqua" w:eastAsia="宋体" w:hAnsi="Book Antiqua" w:cs="宋体"/>
          <w:lang w:eastAsia="zh-CN"/>
        </w:rPr>
        <w:t>antifibrinolytic</w:t>
      </w:r>
      <w:proofErr w:type="spellEnd"/>
      <w:r w:rsidRPr="00CE25D5">
        <w:rPr>
          <w:rFonts w:ascii="Book Antiqua" w:eastAsia="宋体" w:hAnsi="Book Antiqua" w:cs="宋体"/>
          <w:lang w:eastAsia="zh-CN"/>
        </w:rPr>
        <w:t xml:space="preserve"> therapy to reduce transfusion in patients undergoing orthopedic surgery: a systematic review of randomized trials. </w:t>
      </w:r>
      <w:proofErr w:type="spellStart"/>
      <w:r w:rsidRPr="00CE25D5">
        <w:rPr>
          <w:rFonts w:ascii="Book Antiqua" w:eastAsia="宋体" w:hAnsi="Book Antiqua" w:cs="宋体"/>
          <w:i/>
          <w:iCs/>
          <w:lang w:eastAsia="zh-CN"/>
        </w:rPr>
        <w:t>Thromb</w:t>
      </w:r>
      <w:proofErr w:type="spellEnd"/>
      <w:r w:rsidRPr="00CE25D5">
        <w:rPr>
          <w:rFonts w:ascii="Book Antiqua" w:eastAsia="宋体" w:hAnsi="Book Antiqua" w:cs="宋体"/>
          <w:i/>
          <w:iCs/>
          <w:lang w:eastAsia="zh-CN"/>
        </w:rPr>
        <w:t xml:space="preserve"> Res</w:t>
      </w:r>
      <w:r w:rsidRPr="00CE25D5">
        <w:rPr>
          <w:rFonts w:ascii="Book Antiqua" w:eastAsia="宋体" w:hAnsi="Book Antiqua" w:cs="宋体"/>
          <w:lang w:eastAsia="zh-CN"/>
        </w:rPr>
        <w:t xml:space="preserve"> 2009; </w:t>
      </w:r>
      <w:r w:rsidRPr="00CE25D5">
        <w:rPr>
          <w:rFonts w:ascii="Book Antiqua" w:eastAsia="宋体" w:hAnsi="Book Antiqua" w:cs="宋体"/>
          <w:b/>
          <w:bCs/>
          <w:lang w:eastAsia="zh-CN"/>
        </w:rPr>
        <w:t>123</w:t>
      </w:r>
      <w:r w:rsidRPr="00CE25D5">
        <w:rPr>
          <w:rFonts w:ascii="Book Antiqua" w:eastAsia="宋体" w:hAnsi="Book Antiqua" w:cs="宋体"/>
          <w:lang w:eastAsia="zh-CN"/>
        </w:rPr>
        <w:t>: 687-696 [PMID: 19007970 DOI: 10.1016/j.thromres.2008.09.015]</w:t>
      </w:r>
    </w:p>
    <w:p w14:paraId="38DB0E06"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lastRenderedPageBreak/>
        <w:t xml:space="preserve">10 </w:t>
      </w:r>
      <w:r w:rsidRPr="00CE25D5">
        <w:rPr>
          <w:rFonts w:ascii="Book Antiqua" w:eastAsia="宋体" w:hAnsi="Book Antiqua" w:cs="宋体"/>
          <w:b/>
          <w:bCs/>
          <w:lang w:eastAsia="zh-CN"/>
        </w:rPr>
        <w:t>Tuttle JR</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Ritterman</w:t>
      </w:r>
      <w:proofErr w:type="spellEnd"/>
      <w:r w:rsidRPr="00CE25D5">
        <w:rPr>
          <w:rFonts w:ascii="Book Antiqua" w:eastAsia="宋体" w:hAnsi="Book Antiqua" w:cs="宋体"/>
          <w:lang w:eastAsia="zh-CN"/>
        </w:rPr>
        <w:t xml:space="preserve"> SA, Cassidy DB, </w:t>
      </w:r>
      <w:proofErr w:type="spellStart"/>
      <w:r w:rsidRPr="00CE25D5">
        <w:rPr>
          <w:rFonts w:ascii="Book Antiqua" w:eastAsia="宋体" w:hAnsi="Book Antiqua" w:cs="宋体"/>
          <w:lang w:eastAsia="zh-CN"/>
        </w:rPr>
        <w:t>Anazonwu</w:t>
      </w:r>
      <w:proofErr w:type="spellEnd"/>
      <w:r w:rsidRPr="00CE25D5">
        <w:rPr>
          <w:rFonts w:ascii="Book Antiqua" w:eastAsia="宋体" w:hAnsi="Book Antiqua" w:cs="宋体"/>
          <w:lang w:eastAsia="zh-CN"/>
        </w:rPr>
        <w:t xml:space="preserve"> WA, Froehlich JA, Rubin LE. Cost benefit analysis of topical tranexamic acid in primary total hip and knee arthroplasty. </w:t>
      </w:r>
      <w:r w:rsidRPr="00CE25D5">
        <w:rPr>
          <w:rFonts w:ascii="Book Antiqua" w:eastAsia="宋体" w:hAnsi="Book Antiqua" w:cs="宋体"/>
          <w:i/>
          <w:iCs/>
          <w:lang w:eastAsia="zh-CN"/>
        </w:rPr>
        <w:t>J Arthroplasty</w:t>
      </w:r>
      <w:r w:rsidRPr="00CE25D5">
        <w:rPr>
          <w:rFonts w:ascii="Book Antiqua" w:eastAsia="宋体" w:hAnsi="Book Antiqua" w:cs="宋体"/>
          <w:lang w:eastAsia="zh-CN"/>
        </w:rPr>
        <w:t xml:space="preserve"> 2014; </w:t>
      </w:r>
      <w:r w:rsidRPr="00CE25D5">
        <w:rPr>
          <w:rFonts w:ascii="Book Antiqua" w:eastAsia="宋体" w:hAnsi="Book Antiqua" w:cs="宋体"/>
          <w:b/>
          <w:bCs/>
          <w:lang w:eastAsia="zh-CN"/>
        </w:rPr>
        <w:t>29</w:t>
      </w:r>
      <w:r w:rsidRPr="00CE25D5">
        <w:rPr>
          <w:rFonts w:ascii="Book Antiqua" w:eastAsia="宋体" w:hAnsi="Book Antiqua" w:cs="宋体"/>
          <w:lang w:eastAsia="zh-CN"/>
        </w:rPr>
        <w:t>: 1512-1515 [PMID: 24630599 DOI: 10.1016/j.arth.2014.01.031]</w:t>
      </w:r>
    </w:p>
    <w:p w14:paraId="46B5C981"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11 </w:t>
      </w:r>
      <w:proofErr w:type="spellStart"/>
      <w:r w:rsidRPr="00CE25D5">
        <w:rPr>
          <w:rFonts w:ascii="Book Antiqua" w:eastAsia="宋体" w:hAnsi="Book Antiqua" w:cs="宋体"/>
          <w:b/>
          <w:bCs/>
          <w:lang w:eastAsia="zh-CN"/>
        </w:rPr>
        <w:t>Hogshire</w:t>
      </w:r>
      <w:proofErr w:type="spellEnd"/>
      <w:r w:rsidRPr="00CE25D5">
        <w:rPr>
          <w:rFonts w:ascii="Book Antiqua" w:eastAsia="宋体" w:hAnsi="Book Antiqua" w:cs="宋体"/>
          <w:b/>
          <w:bCs/>
          <w:lang w:eastAsia="zh-CN"/>
        </w:rPr>
        <w:t xml:space="preserve"> L</w:t>
      </w:r>
      <w:r w:rsidRPr="00CE25D5">
        <w:rPr>
          <w:rFonts w:ascii="Book Antiqua" w:eastAsia="宋体" w:hAnsi="Book Antiqua" w:cs="宋体"/>
          <w:lang w:eastAsia="zh-CN"/>
        </w:rPr>
        <w:t>, Carson JL.</w:t>
      </w:r>
      <w:proofErr w:type="gramEnd"/>
      <w:r w:rsidRPr="00CE25D5">
        <w:rPr>
          <w:rFonts w:ascii="Book Antiqua" w:eastAsia="宋体" w:hAnsi="Book Antiqua" w:cs="宋体"/>
          <w:lang w:eastAsia="zh-CN"/>
        </w:rPr>
        <w:t xml:space="preserve"> Red blood cell transfusion: what is the evidence when to transfuse? </w:t>
      </w:r>
      <w:proofErr w:type="spellStart"/>
      <w:r w:rsidRPr="00CE25D5">
        <w:rPr>
          <w:rFonts w:ascii="Book Antiqua" w:eastAsia="宋体" w:hAnsi="Book Antiqua" w:cs="宋体"/>
          <w:i/>
          <w:iCs/>
          <w:lang w:eastAsia="zh-CN"/>
        </w:rPr>
        <w:t>Curr</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Opin</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Hematol</w:t>
      </w:r>
      <w:proofErr w:type="spellEnd"/>
      <w:r w:rsidRPr="00CE25D5">
        <w:rPr>
          <w:rFonts w:ascii="Book Antiqua" w:eastAsia="宋体" w:hAnsi="Book Antiqua" w:cs="宋体"/>
          <w:lang w:eastAsia="zh-CN"/>
        </w:rPr>
        <w:t xml:space="preserve"> 2013; </w:t>
      </w:r>
      <w:r w:rsidRPr="00CE25D5">
        <w:rPr>
          <w:rFonts w:ascii="Book Antiqua" w:eastAsia="宋体" w:hAnsi="Book Antiqua" w:cs="宋体"/>
          <w:b/>
          <w:bCs/>
          <w:lang w:eastAsia="zh-CN"/>
        </w:rPr>
        <w:t>20</w:t>
      </w:r>
      <w:r w:rsidRPr="00CE25D5">
        <w:rPr>
          <w:rFonts w:ascii="Book Antiqua" w:eastAsia="宋体" w:hAnsi="Book Antiqua" w:cs="宋体"/>
          <w:lang w:eastAsia="zh-CN"/>
        </w:rPr>
        <w:t>: 546-551 [PMID: 23945271 DOI: 10.1097/MOH.0b013e32836508bd]</w:t>
      </w:r>
    </w:p>
    <w:p w14:paraId="47004516"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12 </w:t>
      </w:r>
      <w:r w:rsidRPr="00CE25D5">
        <w:rPr>
          <w:rFonts w:ascii="Book Antiqua" w:eastAsia="宋体" w:hAnsi="Book Antiqua" w:cs="宋体"/>
          <w:b/>
          <w:bCs/>
          <w:lang w:eastAsia="zh-CN"/>
        </w:rPr>
        <w:t>Hart A</w:t>
      </w:r>
      <w:r w:rsidRPr="00CE25D5">
        <w:rPr>
          <w:rFonts w:ascii="Book Antiqua" w:eastAsia="宋体" w:hAnsi="Book Antiqua" w:cs="宋体"/>
          <w:lang w:eastAsia="zh-CN"/>
        </w:rPr>
        <w:t xml:space="preserve">, Khalil JA, Carli A, </w:t>
      </w:r>
      <w:proofErr w:type="spellStart"/>
      <w:r w:rsidRPr="00CE25D5">
        <w:rPr>
          <w:rFonts w:ascii="Book Antiqua" w:eastAsia="宋体" w:hAnsi="Book Antiqua" w:cs="宋体"/>
          <w:lang w:eastAsia="zh-CN"/>
        </w:rPr>
        <w:t>Huk</w:t>
      </w:r>
      <w:proofErr w:type="spellEnd"/>
      <w:r w:rsidRPr="00CE25D5">
        <w:rPr>
          <w:rFonts w:ascii="Book Antiqua" w:eastAsia="宋体" w:hAnsi="Book Antiqua" w:cs="宋体"/>
          <w:lang w:eastAsia="zh-CN"/>
        </w:rPr>
        <w:t xml:space="preserve"> O, </w:t>
      </w:r>
      <w:proofErr w:type="spellStart"/>
      <w:r w:rsidRPr="00CE25D5">
        <w:rPr>
          <w:rFonts w:ascii="Book Antiqua" w:eastAsia="宋体" w:hAnsi="Book Antiqua" w:cs="宋体"/>
          <w:lang w:eastAsia="zh-CN"/>
        </w:rPr>
        <w:t>Zukor</w:t>
      </w:r>
      <w:proofErr w:type="spellEnd"/>
      <w:r w:rsidRPr="00CE25D5">
        <w:rPr>
          <w:rFonts w:ascii="Book Antiqua" w:eastAsia="宋体" w:hAnsi="Book Antiqua" w:cs="宋体"/>
          <w:lang w:eastAsia="zh-CN"/>
        </w:rPr>
        <w:t xml:space="preserve"> D, Antoniou J. Blood transfusion in primary total hip and knee arthroplasty. </w:t>
      </w:r>
      <w:proofErr w:type="gramStart"/>
      <w:r w:rsidRPr="00CE25D5">
        <w:rPr>
          <w:rFonts w:ascii="Book Antiqua" w:eastAsia="宋体" w:hAnsi="Book Antiqua" w:cs="宋体"/>
          <w:lang w:eastAsia="zh-CN"/>
        </w:rPr>
        <w:t>Incidence, risk factors, and thirty-day complication rates.</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Am</w:t>
      </w:r>
      <w:r w:rsidRPr="00CE25D5">
        <w:rPr>
          <w:rFonts w:ascii="Book Antiqua" w:eastAsia="宋体" w:hAnsi="Book Antiqua" w:cs="宋体"/>
          <w:lang w:eastAsia="zh-CN"/>
        </w:rPr>
        <w:t xml:space="preserve"> 2014; </w:t>
      </w:r>
      <w:r w:rsidRPr="00CE25D5">
        <w:rPr>
          <w:rFonts w:ascii="Book Antiqua" w:eastAsia="宋体" w:hAnsi="Book Antiqua" w:cs="宋体"/>
          <w:b/>
          <w:bCs/>
          <w:lang w:eastAsia="zh-CN"/>
        </w:rPr>
        <w:t>96</w:t>
      </w:r>
      <w:r w:rsidRPr="00CE25D5">
        <w:rPr>
          <w:rFonts w:ascii="Book Antiqua" w:eastAsia="宋体" w:hAnsi="Book Antiqua" w:cs="宋体"/>
          <w:lang w:eastAsia="zh-CN"/>
        </w:rPr>
        <w:t>: 1945-1951 [PMID: 25471908 DOI: 10.2106/JBJS.N.00077]</w:t>
      </w:r>
    </w:p>
    <w:p w14:paraId="7067340E" w14:textId="38882388"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13 </w:t>
      </w:r>
      <w:r w:rsidRPr="00CE25D5">
        <w:rPr>
          <w:rFonts w:ascii="Book Antiqua" w:eastAsia="宋体" w:hAnsi="Book Antiqua" w:cs="宋体"/>
          <w:b/>
          <w:bCs/>
          <w:lang w:eastAsia="zh-CN"/>
        </w:rPr>
        <w:t>Keating EM</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Meding</w:t>
      </w:r>
      <w:proofErr w:type="spellEnd"/>
      <w:r w:rsidRPr="00CE25D5">
        <w:rPr>
          <w:rFonts w:ascii="Book Antiqua" w:eastAsia="宋体" w:hAnsi="Book Antiqua" w:cs="宋体"/>
          <w:lang w:eastAsia="zh-CN"/>
        </w:rPr>
        <w:t xml:space="preserve"> JB.</w:t>
      </w:r>
      <w:proofErr w:type="gramEnd"/>
      <w:r w:rsidRPr="00CE25D5">
        <w:rPr>
          <w:rFonts w:ascii="Book Antiqua" w:eastAsia="宋体" w:hAnsi="Book Antiqua" w:cs="宋体"/>
          <w:lang w:eastAsia="zh-CN"/>
        </w:rPr>
        <w:t xml:space="preserve"> Perioperative blood management practices in elective </w:t>
      </w:r>
      <w:proofErr w:type="spellStart"/>
      <w:r w:rsidRPr="00CE25D5">
        <w:rPr>
          <w:rFonts w:ascii="Book Antiqua" w:eastAsia="宋体" w:hAnsi="Book Antiqua" w:cs="宋体"/>
          <w:lang w:eastAsia="zh-CN"/>
        </w:rPr>
        <w:t>orthopaedic</w:t>
      </w:r>
      <w:proofErr w:type="spellEnd"/>
      <w:r w:rsidRPr="00CE25D5">
        <w:rPr>
          <w:rFonts w:ascii="Book Antiqua" w:eastAsia="宋体" w:hAnsi="Book Antiqua" w:cs="宋体"/>
          <w:lang w:eastAsia="zh-CN"/>
        </w:rPr>
        <w:t xml:space="preserve"> surgery. </w:t>
      </w:r>
      <w:r w:rsidRPr="00CE25D5">
        <w:rPr>
          <w:rFonts w:ascii="Book Antiqua" w:eastAsia="宋体" w:hAnsi="Book Antiqua" w:cs="宋体"/>
          <w:i/>
          <w:iCs/>
          <w:lang w:eastAsia="zh-CN"/>
        </w:rPr>
        <w:t xml:space="preserve">J Am </w:t>
      </w:r>
      <w:proofErr w:type="spellStart"/>
      <w:r w:rsidRPr="00CE25D5">
        <w:rPr>
          <w:rFonts w:ascii="Book Antiqua" w:eastAsia="宋体" w:hAnsi="Book Antiqua" w:cs="宋体"/>
          <w:i/>
          <w:iCs/>
          <w:lang w:eastAsia="zh-CN"/>
        </w:rPr>
        <w:t>Acad</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Orthop</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lang w:eastAsia="zh-CN"/>
        </w:rPr>
        <w:t xml:space="preserve"> </w:t>
      </w:r>
      <w:r w:rsidR="00805A02" w:rsidRPr="00CE25D5">
        <w:rPr>
          <w:rFonts w:ascii="Book Antiqua" w:eastAsia="宋体" w:hAnsi="Book Antiqua" w:cs="宋体" w:hint="eastAsia"/>
          <w:lang w:eastAsia="zh-CN"/>
        </w:rPr>
        <w:t>2002</w:t>
      </w:r>
      <w:r w:rsidRPr="00CE25D5">
        <w:rPr>
          <w:rFonts w:ascii="Book Antiqua" w:eastAsia="宋体" w:hAnsi="Book Antiqua" w:cs="宋体"/>
          <w:lang w:eastAsia="zh-CN"/>
        </w:rPr>
        <w:t xml:space="preserve">; </w:t>
      </w:r>
      <w:r w:rsidRPr="00CE25D5">
        <w:rPr>
          <w:rFonts w:ascii="Book Antiqua" w:eastAsia="宋体" w:hAnsi="Book Antiqua" w:cs="宋体"/>
          <w:b/>
          <w:bCs/>
          <w:lang w:eastAsia="zh-CN"/>
        </w:rPr>
        <w:t>10</w:t>
      </w:r>
      <w:r w:rsidRPr="00CE25D5">
        <w:rPr>
          <w:rFonts w:ascii="Book Antiqua" w:eastAsia="宋体" w:hAnsi="Book Antiqua" w:cs="宋体"/>
          <w:lang w:eastAsia="zh-CN"/>
        </w:rPr>
        <w:t>: 393-400 [PMID: 12470041]</w:t>
      </w:r>
    </w:p>
    <w:p w14:paraId="4244FFD6"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14 </w:t>
      </w:r>
      <w:proofErr w:type="spellStart"/>
      <w:r w:rsidRPr="00CE25D5">
        <w:rPr>
          <w:rFonts w:ascii="Book Antiqua" w:eastAsia="宋体" w:hAnsi="Book Antiqua" w:cs="宋体"/>
          <w:b/>
          <w:bCs/>
          <w:lang w:eastAsia="zh-CN"/>
        </w:rPr>
        <w:t>Sehat</w:t>
      </w:r>
      <w:proofErr w:type="spellEnd"/>
      <w:r w:rsidRPr="00CE25D5">
        <w:rPr>
          <w:rFonts w:ascii="Book Antiqua" w:eastAsia="宋体" w:hAnsi="Book Antiqua" w:cs="宋体"/>
          <w:b/>
          <w:bCs/>
          <w:lang w:eastAsia="zh-CN"/>
        </w:rPr>
        <w:t xml:space="preserve"> KR</w:t>
      </w:r>
      <w:r w:rsidRPr="00CE25D5">
        <w:rPr>
          <w:rFonts w:ascii="Book Antiqua" w:eastAsia="宋体" w:hAnsi="Book Antiqua" w:cs="宋体"/>
          <w:lang w:eastAsia="zh-CN"/>
        </w:rPr>
        <w:t xml:space="preserve">, Evans RL, Newman JH. Hidden blood loss following hip and knee arthroplasty. Correct management of blood loss should take hidden loss into account.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Br</w:t>
      </w:r>
      <w:r w:rsidRPr="00CE25D5">
        <w:rPr>
          <w:rFonts w:ascii="Book Antiqua" w:eastAsia="宋体" w:hAnsi="Book Antiqua" w:cs="宋体"/>
          <w:lang w:eastAsia="zh-CN"/>
        </w:rPr>
        <w:t xml:space="preserve"> 2004; </w:t>
      </w:r>
      <w:r w:rsidRPr="00CE25D5">
        <w:rPr>
          <w:rFonts w:ascii="Book Antiqua" w:eastAsia="宋体" w:hAnsi="Book Antiqua" w:cs="宋体"/>
          <w:b/>
          <w:bCs/>
          <w:lang w:eastAsia="zh-CN"/>
        </w:rPr>
        <w:t>86</w:t>
      </w:r>
      <w:r w:rsidRPr="00CE25D5">
        <w:rPr>
          <w:rFonts w:ascii="Book Antiqua" w:eastAsia="宋体" w:hAnsi="Book Antiqua" w:cs="宋体"/>
          <w:lang w:eastAsia="zh-CN"/>
        </w:rPr>
        <w:t>: 561-565 [PMID: 15174554]</w:t>
      </w:r>
    </w:p>
    <w:p w14:paraId="6C178D3B"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15 </w:t>
      </w:r>
      <w:proofErr w:type="spellStart"/>
      <w:r w:rsidRPr="00CE25D5">
        <w:rPr>
          <w:rFonts w:ascii="Book Antiqua" w:eastAsia="宋体" w:hAnsi="Book Antiqua" w:cs="宋体"/>
          <w:b/>
          <w:bCs/>
          <w:lang w:eastAsia="zh-CN"/>
        </w:rPr>
        <w:t>Innerhofer</w:t>
      </w:r>
      <w:proofErr w:type="spellEnd"/>
      <w:r w:rsidRPr="00CE25D5">
        <w:rPr>
          <w:rFonts w:ascii="Book Antiqua" w:eastAsia="宋体" w:hAnsi="Book Antiqua" w:cs="宋体"/>
          <w:b/>
          <w:bCs/>
          <w:lang w:eastAsia="zh-CN"/>
        </w:rPr>
        <w:t xml:space="preserve"> P</w:t>
      </w:r>
      <w:r w:rsidRPr="00CE25D5">
        <w:rPr>
          <w:rFonts w:ascii="Book Antiqua" w:eastAsia="宋体" w:hAnsi="Book Antiqua" w:cs="宋体"/>
          <w:lang w:eastAsia="zh-CN"/>
        </w:rPr>
        <w:t xml:space="preserve">, Klingler A, </w:t>
      </w:r>
      <w:proofErr w:type="spellStart"/>
      <w:r w:rsidRPr="00CE25D5">
        <w:rPr>
          <w:rFonts w:ascii="Book Antiqua" w:eastAsia="宋体" w:hAnsi="Book Antiqua" w:cs="宋体"/>
          <w:lang w:eastAsia="zh-CN"/>
        </w:rPr>
        <w:t>Klimmer</w:t>
      </w:r>
      <w:proofErr w:type="spellEnd"/>
      <w:r w:rsidRPr="00CE25D5">
        <w:rPr>
          <w:rFonts w:ascii="Book Antiqua" w:eastAsia="宋体" w:hAnsi="Book Antiqua" w:cs="宋体"/>
          <w:lang w:eastAsia="zh-CN"/>
        </w:rPr>
        <w:t xml:space="preserve"> C, Fries D, </w:t>
      </w:r>
      <w:proofErr w:type="spellStart"/>
      <w:r w:rsidRPr="00CE25D5">
        <w:rPr>
          <w:rFonts w:ascii="Book Antiqua" w:eastAsia="宋体" w:hAnsi="Book Antiqua" w:cs="宋体"/>
          <w:lang w:eastAsia="zh-CN"/>
        </w:rPr>
        <w:t>Nussbaumer</w:t>
      </w:r>
      <w:proofErr w:type="spellEnd"/>
      <w:r w:rsidRPr="00CE25D5">
        <w:rPr>
          <w:rFonts w:ascii="Book Antiqua" w:eastAsia="宋体" w:hAnsi="Book Antiqua" w:cs="宋体"/>
          <w:lang w:eastAsia="zh-CN"/>
        </w:rPr>
        <w:t xml:space="preserve"> W. Risk for postoperative infection after transfusion of white blood cell-filtered allogeneic or autologous blood components in orthopedic patients undergoing primary arthroplasty. </w:t>
      </w:r>
      <w:r w:rsidRPr="00CE25D5">
        <w:rPr>
          <w:rFonts w:ascii="Book Antiqua" w:eastAsia="宋体" w:hAnsi="Book Antiqua" w:cs="宋体"/>
          <w:i/>
          <w:iCs/>
          <w:lang w:eastAsia="zh-CN"/>
        </w:rPr>
        <w:t>Transfusion</w:t>
      </w:r>
      <w:r w:rsidRPr="00CE25D5">
        <w:rPr>
          <w:rFonts w:ascii="Book Antiqua" w:eastAsia="宋体" w:hAnsi="Book Antiqua" w:cs="宋体"/>
          <w:lang w:eastAsia="zh-CN"/>
        </w:rPr>
        <w:t xml:space="preserve"> 2005; </w:t>
      </w:r>
      <w:r w:rsidRPr="00CE25D5">
        <w:rPr>
          <w:rFonts w:ascii="Book Antiqua" w:eastAsia="宋体" w:hAnsi="Book Antiqua" w:cs="宋体"/>
          <w:b/>
          <w:bCs/>
          <w:lang w:eastAsia="zh-CN"/>
        </w:rPr>
        <w:t>45</w:t>
      </w:r>
      <w:r w:rsidRPr="00CE25D5">
        <w:rPr>
          <w:rFonts w:ascii="Book Antiqua" w:eastAsia="宋体" w:hAnsi="Book Antiqua" w:cs="宋体"/>
          <w:lang w:eastAsia="zh-CN"/>
        </w:rPr>
        <w:t>: 103-110 [PMID: 15647025 DOI: 10.1111/j.1537-2995.2005.04149.x]</w:t>
      </w:r>
    </w:p>
    <w:p w14:paraId="5E91FE21"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16 </w:t>
      </w:r>
      <w:r w:rsidRPr="00CE25D5">
        <w:rPr>
          <w:rFonts w:ascii="Book Antiqua" w:eastAsia="宋体" w:hAnsi="Book Antiqua" w:cs="宋体"/>
          <w:b/>
          <w:bCs/>
          <w:lang w:eastAsia="zh-CN"/>
        </w:rPr>
        <w:t>Browne JA</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Adib</w:t>
      </w:r>
      <w:proofErr w:type="spellEnd"/>
      <w:r w:rsidRPr="00CE25D5">
        <w:rPr>
          <w:rFonts w:ascii="Book Antiqua" w:eastAsia="宋体" w:hAnsi="Book Antiqua" w:cs="宋体"/>
          <w:lang w:eastAsia="zh-CN"/>
        </w:rPr>
        <w:t xml:space="preserve"> F, Brown TE, </w:t>
      </w:r>
      <w:proofErr w:type="spellStart"/>
      <w:r w:rsidRPr="00CE25D5">
        <w:rPr>
          <w:rFonts w:ascii="Book Antiqua" w:eastAsia="宋体" w:hAnsi="Book Antiqua" w:cs="宋体"/>
          <w:lang w:eastAsia="zh-CN"/>
        </w:rPr>
        <w:t>Novicoff</w:t>
      </w:r>
      <w:proofErr w:type="spellEnd"/>
      <w:r w:rsidRPr="00CE25D5">
        <w:rPr>
          <w:rFonts w:ascii="Book Antiqua" w:eastAsia="宋体" w:hAnsi="Book Antiqua" w:cs="宋体"/>
          <w:lang w:eastAsia="zh-CN"/>
        </w:rPr>
        <w:t xml:space="preserve"> WM. Transfusion rates are increasing following total hip arthroplasty: risk factors and outcomes. </w:t>
      </w:r>
      <w:r w:rsidRPr="00CE25D5">
        <w:rPr>
          <w:rFonts w:ascii="Book Antiqua" w:eastAsia="宋体" w:hAnsi="Book Antiqua" w:cs="宋体"/>
          <w:i/>
          <w:iCs/>
          <w:lang w:eastAsia="zh-CN"/>
        </w:rPr>
        <w:t>J Arthroplasty</w:t>
      </w:r>
      <w:r w:rsidRPr="00CE25D5">
        <w:rPr>
          <w:rFonts w:ascii="Book Antiqua" w:eastAsia="宋体" w:hAnsi="Book Antiqua" w:cs="宋体"/>
          <w:lang w:eastAsia="zh-CN"/>
        </w:rPr>
        <w:t xml:space="preserve"> 2013; </w:t>
      </w:r>
      <w:r w:rsidRPr="00CE25D5">
        <w:rPr>
          <w:rFonts w:ascii="Book Antiqua" w:eastAsia="宋体" w:hAnsi="Book Antiqua" w:cs="宋体"/>
          <w:b/>
          <w:bCs/>
          <w:lang w:eastAsia="zh-CN"/>
        </w:rPr>
        <w:t>28</w:t>
      </w:r>
      <w:r w:rsidRPr="00CE25D5">
        <w:rPr>
          <w:rFonts w:ascii="Book Antiqua" w:eastAsia="宋体" w:hAnsi="Book Antiqua" w:cs="宋体"/>
          <w:lang w:eastAsia="zh-CN"/>
        </w:rPr>
        <w:t>: 34-37 [PMID: 23896359 DOI: 10.1016/j.arth.2013.03.035]</w:t>
      </w:r>
    </w:p>
    <w:p w14:paraId="21CF0ED5"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17 </w:t>
      </w:r>
      <w:r w:rsidRPr="00CE25D5">
        <w:rPr>
          <w:rFonts w:ascii="Book Antiqua" w:eastAsia="宋体" w:hAnsi="Book Antiqua" w:cs="宋体"/>
          <w:b/>
          <w:bCs/>
          <w:lang w:eastAsia="zh-CN"/>
        </w:rPr>
        <w:t>Pedersen AB</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Mehnert</w:t>
      </w:r>
      <w:proofErr w:type="spellEnd"/>
      <w:r w:rsidRPr="00CE25D5">
        <w:rPr>
          <w:rFonts w:ascii="Book Antiqua" w:eastAsia="宋体" w:hAnsi="Book Antiqua" w:cs="宋体"/>
          <w:lang w:eastAsia="zh-CN"/>
        </w:rPr>
        <w:t xml:space="preserve"> F, Overgaard S, Johnsen SP. Allogeneic blood transfusion and prognosis following total hip replacement: a population-based follow up study. </w:t>
      </w:r>
      <w:r w:rsidRPr="00CE25D5">
        <w:rPr>
          <w:rFonts w:ascii="Book Antiqua" w:eastAsia="宋体" w:hAnsi="Book Antiqua" w:cs="宋体"/>
          <w:i/>
          <w:iCs/>
          <w:lang w:eastAsia="zh-CN"/>
        </w:rPr>
        <w:t xml:space="preserve">BMC </w:t>
      </w:r>
      <w:proofErr w:type="spellStart"/>
      <w:r w:rsidRPr="00CE25D5">
        <w:rPr>
          <w:rFonts w:ascii="Book Antiqua" w:eastAsia="宋体" w:hAnsi="Book Antiqua" w:cs="宋体"/>
          <w:i/>
          <w:iCs/>
          <w:lang w:eastAsia="zh-CN"/>
        </w:rPr>
        <w:t>Musculoskelet</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Disord</w:t>
      </w:r>
      <w:proofErr w:type="spellEnd"/>
      <w:r w:rsidRPr="00CE25D5">
        <w:rPr>
          <w:rFonts w:ascii="Book Antiqua" w:eastAsia="宋体" w:hAnsi="Book Antiqua" w:cs="宋体"/>
          <w:lang w:eastAsia="zh-CN"/>
        </w:rPr>
        <w:t xml:space="preserve"> 2009; </w:t>
      </w:r>
      <w:r w:rsidRPr="00CE25D5">
        <w:rPr>
          <w:rFonts w:ascii="Book Antiqua" w:eastAsia="宋体" w:hAnsi="Book Antiqua" w:cs="宋体"/>
          <w:b/>
          <w:bCs/>
          <w:lang w:eastAsia="zh-CN"/>
        </w:rPr>
        <w:t>10</w:t>
      </w:r>
      <w:r w:rsidRPr="00CE25D5">
        <w:rPr>
          <w:rFonts w:ascii="Book Antiqua" w:eastAsia="宋体" w:hAnsi="Book Antiqua" w:cs="宋体"/>
          <w:lang w:eastAsia="zh-CN"/>
        </w:rPr>
        <w:t>: 167 [PMID: 20040083 DOI: 10.1186/1471-2474-10-167]</w:t>
      </w:r>
    </w:p>
    <w:p w14:paraId="1F78C8DD"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18 </w:t>
      </w:r>
      <w:proofErr w:type="spellStart"/>
      <w:r w:rsidRPr="00CE25D5">
        <w:rPr>
          <w:rFonts w:ascii="Book Antiqua" w:eastAsia="宋体" w:hAnsi="Book Antiqua" w:cs="宋体"/>
          <w:b/>
          <w:bCs/>
          <w:lang w:eastAsia="zh-CN"/>
        </w:rPr>
        <w:t>Parvizi</w:t>
      </w:r>
      <w:proofErr w:type="spellEnd"/>
      <w:r w:rsidRPr="00CE25D5">
        <w:rPr>
          <w:rFonts w:ascii="Book Antiqua" w:eastAsia="宋体" w:hAnsi="Book Antiqua" w:cs="宋体"/>
          <w:b/>
          <w:bCs/>
          <w:lang w:eastAsia="zh-CN"/>
        </w:rPr>
        <w:t xml:space="preserve"> J</w:t>
      </w:r>
      <w:r w:rsidRPr="00CE25D5">
        <w:rPr>
          <w:rFonts w:ascii="Book Antiqua" w:eastAsia="宋体" w:hAnsi="Book Antiqua" w:cs="宋体"/>
          <w:lang w:eastAsia="zh-CN"/>
        </w:rPr>
        <w:t xml:space="preserve">, Chaudhry S, </w:t>
      </w:r>
      <w:proofErr w:type="spellStart"/>
      <w:r w:rsidRPr="00CE25D5">
        <w:rPr>
          <w:rFonts w:ascii="Book Antiqua" w:eastAsia="宋体" w:hAnsi="Book Antiqua" w:cs="宋体"/>
          <w:lang w:eastAsia="zh-CN"/>
        </w:rPr>
        <w:t>Rasouli</w:t>
      </w:r>
      <w:proofErr w:type="spellEnd"/>
      <w:r w:rsidRPr="00CE25D5">
        <w:rPr>
          <w:rFonts w:ascii="Book Antiqua" w:eastAsia="宋体" w:hAnsi="Book Antiqua" w:cs="宋体"/>
          <w:lang w:eastAsia="zh-CN"/>
        </w:rPr>
        <w:t xml:space="preserve"> MR, Pulido L, Joshi A, Herman JH, Rothman RH. Who needs autologous blood donation in joint replacement? </w:t>
      </w:r>
      <w:r w:rsidRPr="00CE25D5">
        <w:rPr>
          <w:rFonts w:ascii="Book Antiqua" w:eastAsia="宋体" w:hAnsi="Book Antiqua" w:cs="宋体"/>
          <w:i/>
          <w:iCs/>
          <w:lang w:eastAsia="zh-CN"/>
        </w:rPr>
        <w:t xml:space="preserve">J Knee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lang w:eastAsia="zh-CN"/>
        </w:rPr>
        <w:t xml:space="preserve"> 2011; </w:t>
      </w:r>
      <w:r w:rsidRPr="00CE25D5">
        <w:rPr>
          <w:rFonts w:ascii="Book Antiqua" w:eastAsia="宋体" w:hAnsi="Book Antiqua" w:cs="宋体"/>
          <w:b/>
          <w:bCs/>
          <w:lang w:eastAsia="zh-CN"/>
        </w:rPr>
        <w:t>24</w:t>
      </w:r>
      <w:r w:rsidRPr="00CE25D5">
        <w:rPr>
          <w:rFonts w:ascii="Book Antiqua" w:eastAsia="宋体" w:hAnsi="Book Antiqua" w:cs="宋体"/>
          <w:lang w:eastAsia="zh-CN"/>
        </w:rPr>
        <w:t>: 25-31 [PMID: 21618935 DOI: 10.1055/s-0031-1275404]</w:t>
      </w:r>
    </w:p>
    <w:p w14:paraId="77BE84B3"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lastRenderedPageBreak/>
        <w:t xml:space="preserve">19 </w:t>
      </w:r>
      <w:r w:rsidRPr="00CE25D5">
        <w:rPr>
          <w:rFonts w:ascii="Book Antiqua" w:eastAsia="宋体" w:hAnsi="Book Antiqua" w:cs="宋体"/>
          <w:b/>
          <w:bCs/>
          <w:lang w:eastAsia="zh-CN"/>
        </w:rPr>
        <w:t>Gibbons CE</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Solan</w:t>
      </w:r>
      <w:proofErr w:type="spellEnd"/>
      <w:r w:rsidRPr="00CE25D5">
        <w:rPr>
          <w:rFonts w:ascii="Book Antiqua" w:eastAsia="宋体" w:hAnsi="Book Antiqua" w:cs="宋体"/>
          <w:lang w:eastAsia="zh-CN"/>
        </w:rPr>
        <w:t xml:space="preserve"> MC, Ricketts DM, Patterson M. Cryotherapy compared with Robert Jones bandage after total knee replacement: a prospective randomized trial. </w:t>
      </w:r>
      <w:proofErr w:type="spellStart"/>
      <w:r w:rsidRPr="00CE25D5">
        <w:rPr>
          <w:rFonts w:ascii="Book Antiqua" w:eastAsia="宋体" w:hAnsi="Book Antiqua" w:cs="宋体"/>
          <w:i/>
          <w:iCs/>
          <w:lang w:eastAsia="zh-CN"/>
        </w:rPr>
        <w:t>Int</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Orthop</w:t>
      </w:r>
      <w:proofErr w:type="spellEnd"/>
      <w:r w:rsidRPr="00CE25D5">
        <w:rPr>
          <w:rFonts w:ascii="Book Antiqua" w:eastAsia="宋体" w:hAnsi="Book Antiqua" w:cs="宋体"/>
          <w:lang w:eastAsia="zh-CN"/>
        </w:rPr>
        <w:t xml:space="preserve"> 2001; </w:t>
      </w:r>
      <w:r w:rsidRPr="00CE25D5">
        <w:rPr>
          <w:rFonts w:ascii="Book Antiqua" w:eastAsia="宋体" w:hAnsi="Book Antiqua" w:cs="宋体"/>
          <w:b/>
          <w:bCs/>
          <w:lang w:eastAsia="zh-CN"/>
        </w:rPr>
        <w:t>25</w:t>
      </w:r>
      <w:r w:rsidRPr="00CE25D5">
        <w:rPr>
          <w:rFonts w:ascii="Book Antiqua" w:eastAsia="宋体" w:hAnsi="Book Antiqua" w:cs="宋体"/>
          <w:lang w:eastAsia="zh-CN"/>
        </w:rPr>
        <w:t>: 250-252 [PMID: 11561502 DOI: 10.1007/s002640100227]</w:t>
      </w:r>
    </w:p>
    <w:p w14:paraId="62F5ACA1" w14:textId="59C7DCBD"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20 </w:t>
      </w:r>
      <w:proofErr w:type="spellStart"/>
      <w:r w:rsidRPr="00CE25D5">
        <w:rPr>
          <w:rFonts w:ascii="Book Antiqua" w:eastAsia="宋体" w:hAnsi="Book Antiqua" w:cs="宋体"/>
          <w:b/>
          <w:bCs/>
          <w:lang w:eastAsia="zh-CN"/>
        </w:rPr>
        <w:t>Juelsgaard</w:t>
      </w:r>
      <w:proofErr w:type="spellEnd"/>
      <w:r w:rsidRPr="00CE25D5">
        <w:rPr>
          <w:rFonts w:ascii="Book Antiqua" w:eastAsia="宋体" w:hAnsi="Book Antiqua" w:cs="宋体"/>
          <w:b/>
          <w:bCs/>
          <w:lang w:eastAsia="zh-CN"/>
        </w:rPr>
        <w:t xml:space="preserve"> P</w:t>
      </w:r>
      <w:r w:rsidRPr="00CE25D5">
        <w:rPr>
          <w:rFonts w:ascii="Book Antiqua" w:eastAsia="宋体" w:hAnsi="Book Antiqua" w:cs="宋体"/>
          <w:lang w:eastAsia="zh-CN"/>
        </w:rPr>
        <w:t xml:space="preserve">, Larsen UT, </w:t>
      </w:r>
      <w:proofErr w:type="spellStart"/>
      <w:r w:rsidRPr="00CE25D5">
        <w:rPr>
          <w:rFonts w:ascii="Book Antiqua" w:eastAsia="宋体" w:hAnsi="Book Antiqua" w:cs="宋体"/>
          <w:lang w:eastAsia="zh-CN"/>
        </w:rPr>
        <w:t>Sørensen</w:t>
      </w:r>
      <w:proofErr w:type="spellEnd"/>
      <w:r w:rsidRPr="00CE25D5">
        <w:rPr>
          <w:rFonts w:ascii="Book Antiqua" w:eastAsia="宋体" w:hAnsi="Book Antiqua" w:cs="宋体"/>
          <w:lang w:eastAsia="zh-CN"/>
        </w:rPr>
        <w:t xml:space="preserve"> JV, Madsen F, </w:t>
      </w:r>
      <w:proofErr w:type="spellStart"/>
      <w:r w:rsidRPr="00CE25D5">
        <w:rPr>
          <w:rFonts w:ascii="Book Antiqua" w:eastAsia="宋体" w:hAnsi="Book Antiqua" w:cs="宋体"/>
          <w:lang w:eastAsia="zh-CN"/>
        </w:rPr>
        <w:t>Søballe</w:t>
      </w:r>
      <w:proofErr w:type="spellEnd"/>
      <w:r w:rsidRPr="00CE25D5">
        <w:rPr>
          <w:rFonts w:ascii="Book Antiqua" w:eastAsia="宋体" w:hAnsi="Book Antiqua" w:cs="宋体"/>
          <w:lang w:eastAsia="zh-CN"/>
        </w:rPr>
        <w:t xml:space="preserve"> K. Hypotensive epidural anesthesia in total knee replacement without tourniquet: reduced blood loss and transfusion. </w:t>
      </w:r>
      <w:proofErr w:type="spellStart"/>
      <w:r w:rsidRPr="00CE25D5">
        <w:rPr>
          <w:rFonts w:ascii="Book Antiqua" w:eastAsia="宋体" w:hAnsi="Book Antiqua" w:cs="宋体"/>
          <w:i/>
          <w:iCs/>
          <w:lang w:eastAsia="zh-CN"/>
        </w:rPr>
        <w:t>Reg</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Anesth</w:t>
      </w:r>
      <w:proofErr w:type="spellEnd"/>
      <w:r w:rsidRPr="00CE25D5">
        <w:rPr>
          <w:rFonts w:ascii="Book Antiqua" w:eastAsia="宋体" w:hAnsi="Book Antiqua" w:cs="宋体"/>
          <w:i/>
          <w:iCs/>
          <w:lang w:eastAsia="zh-CN"/>
        </w:rPr>
        <w:t xml:space="preserve"> Pain Med</w:t>
      </w:r>
      <w:r w:rsidRPr="00CE25D5">
        <w:rPr>
          <w:rFonts w:ascii="Book Antiqua" w:eastAsia="宋体" w:hAnsi="Book Antiqua" w:cs="宋体"/>
          <w:lang w:eastAsia="zh-CN"/>
        </w:rPr>
        <w:t xml:space="preserve"> </w:t>
      </w:r>
      <w:r w:rsidR="00805A02" w:rsidRPr="00CE25D5">
        <w:rPr>
          <w:rFonts w:ascii="Book Antiqua" w:eastAsia="宋体" w:hAnsi="Book Antiqua" w:cs="宋体" w:hint="eastAsia"/>
          <w:lang w:eastAsia="zh-CN"/>
        </w:rPr>
        <w:t>2001</w:t>
      </w:r>
      <w:r w:rsidRPr="00CE25D5">
        <w:rPr>
          <w:rFonts w:ascii="Book Antiqua" w:eastAsia="宋体" w:hAnsi="Book Antiqua" w:cs="宋体"/>
          <w:lang w:eastAsia="zh-CN"/>
        </w:rPr>
        <w:t xml:space="preserve">; </w:t>
      </w:r>
      <w:r w:rsidRPr="00CE25D5">
        <w:rPr>
          <w:rFonts w:ascii="Book Antiqua" w:eastAsia="宋体" w:hAnsi="Book Antiqua" w:cs="宋体"/>
          <w:b/>
          <w:bCs/>
          <w:lang w:eastAsia="zh-CN"/>
        </w:rPr>
        <w:t>26</w:t>
      </w:r>
      <w:r w:rsidRPr="00CE25D5">
        <w:rPr>
          <w:rFonts w:ascii="Book Antiqua" w:eastAsia="宋体" w:hAnsi="Book Antiqua" w:cs="宋体"/>
          <w:lang w:eastAsia="zh-CN"/>
        </w:rPr>
        <w:t>: 105-110 [PMID: 11251132 DOI: 10.1097/00115550-200103000-00003]</w:t>
      </w:r>
    </w:p>
    <w:p w14:paraId="05EC8205"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21 </w:t>
      </w:r>
      <w:r w:rsidRPr="00CE25D5">
        <w:rPr>
          <w:rFonts w:ascii="Book Antiqua" w:eastAsia="宋体" w:hAnsi="Book Antiqua" w:cs="宋体"/>
          <w:b/>
          <w:bCs/>
          <w:lang w:eastAsia="zh-CN"/>
        </w:rPr>
        <w:t>Molloy DO</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Archbold</w:t>
      </w:r>
      <w:proofErr w:type="spellEnd"/>
      <w:r w:rsidRPr="00CE25D5">
        <w:rPr>
          <w:rFonts w:ascii="Book Antiqua" w:eastAsia="宋体" w:hAnsi="Book Antiqua" w:cs="宋体"/>
          <w:lang w:eastAsia="zh-CN"/>
        </w:rPr>
        <w:t xml:space="preserve"> HA, </w:t>
      </w:r>
      <w:proofErr w:type="spellStart"/>
      <w:r w:rsidRPr="00CE25D5">
        <w:rPr>
          <w:rFonts w:ascii="Book Antiqua" w:eastAsia="宋体" w:hAnsi="Book Antiqua" w:cs="宋体"/>
          <w:lang w:eastAsia="zh-CN"/>
        </w:rPr>
        <w:t>Ogonda</w:t>
      </w:r>
      <w:proofErr w:type="spellEnd"/>
      <w:r w:rsidRPr="00CE25D5">
        <w:rPr>
          <w:rFonts w:ascii="Book Antiqua" w:eastAsia="宋体" w:hAnsi="Book Antiqua" w:cs="宋体"/>
          <w:lang w:eastAsia="zh-CN"/>
        </w:rPr>
        <w:t xml:space="preserve"> L, </w:t>
      </w:r>
      <w:proofErr w:type="spellStart"/>
      <w:r w:rsidRPr="00CE25D5">
        <w:rPr>
          <w:rFonts w:ascii="Book Antiqua" w:eastAsia="宋体" w:hAnsi="Book Antiqua" w:cs="宋体"/>
          <w:lang w:eastAsia="zh-CN"/>
        </w:rPr>
        <w:t>McConway</w:t>
      </w:r>
      <w:proofErr w:type="spellEnd"/>
      <w:r w:rsidRPr="00CE25D5">
        <w:rPr>
          <w:rFonts w:ascii="Book Antiqua" w:eastAsia="宋体" w:hAnsi="Book Antiqua" w:cs="宋体"/>
          <w:lang w:eastAsia="zh-CN"/>
        </w:rPr>
        <w:t xml:space="preserve"> J, Wilson RK, </w:t>
      </w:r>
      <w:proofErr w:type="spellStart"/>
      <w:r w:rsidRPr="00CE25D5">
        <w:rPr>
          <w:rFonts w:ascii="Book Antiqua" w:eastAsia="宋体" w:hAnsi="Book Antiqua" w:cs="宋体"/>
          <w:lang w:eastAsia="zh-CN"/>
        </w:rPr>
        <w:t>Beverland</w:t>
      </w:r>
      <w:proofErr w:type="spellEnd"/>
      <w:r w:rsidRPr="00CE25D5">
        <w:rPr>
          <w:rFonts w:ascii="Book Antiqua" w:eastAsia="宋体" w:hAnsi="Book Antiqua" w:cs="宋体"/>
          <w:lang w:eastAsia="zh-CN"/>
        </w:rPr>
        <w:t xml:space="preserve"> DE. Comparison of topical fibrin spray and tranexamic acid on blood loss after total knee replacement: a prospective, </w:t>
      </w:r>
      <w:proofErr w:type="spellStart"/>
      <w:r w:rsidRPr="00CE25D5">
        <w:rPr>
          <w:rFonts w:ascii="Book Antiqua" w:eastAsia="宋体" w:hAnsi="Book Antiqua" w:cs="宋体"/>
          <w:lang w:eastAsia="zh-CN"/>
        </w:rPr>
        <w:t>randomised</w:t>
      </w:r>
      <w:proofErr w:type="spellEnd"/>
      <w:r w:rsidRPr="00CE25D5">
        <w:rPr>
          <w:rFonts w:ascii="Book Antiqua" w:eastAsia="宋体" w:hAnsi="Book Antiqua" w:cs="宋体"/>
          <w:lang w:eastAsia="zh-CN"/>
        </w:rPr>
        <w:t xml:space="preserve"> controlled trial. </w:t>
      </w:r>
      <w:r w:rsidRPr="00CE25D5">
        <w:rPr>
          <w:rFonts w:ascii="Book Antiqua" w:eastAsia="宋体" w:hAnsi="Book Antiqua" w:cs="宋体"/>
          <w:i/>
          <w:iCs/>
          <w:lang w:eastAsia="zh-CN"/>
        </w:rPr>
        <w:t xml:space="preserve">J Bone Joint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i/>
          <w:iCs/>
          <w:lang w:eastAsia="zh-CN"/>
        </w:rPr>
        <w:t xml:space="preserve"> Br</w:t>
      </w:r>
      <w:r w:rsidRPr="00CE25D5">
        <w:rPr>
          <w:rFonts w:ascii="Book Antiqua" w:eastAsia="宋体" w:hAnsi="Book Antiqua" w:cs="宋体"/>
          <w:lang w:eastAsia="zh-CN"/>
        </w:rPr>
        <w:t xml:space="preserve"> 2007; </w:t>
      </w:r>
      <w:r w:rsidRPr="00CE25D5">
        <w:rPr>
          <w:rFonts w:ascii="Book Antiqua" w:eastAsia="宋体" w:hAnsi="Book Antiqua" w:cs="宋体"/>
          <w:b/>
          <w:bCs/>
          <w:lang w:eastAsia="zh-CN"/>
        </w:rPr>
        <w:t>89</w:t>
      </w:r>
      <w:r w:rsidRPr="00CE25D5">
        <w:rPr>
          <w:rFonts w:ascii="Book Antiqua" w:eastAsia="宋体" w:hAnsi="Book Antiqua" w:cs="宋体"/>
          <w:lang w:eastAsia="zh-CN"/>
        </w:rPr>
        <w:t>: 306-309 [PMID: 17356139 DOI: 10.1302/0301-620X.89B3.17565]</w:t>
      </w:r>
    </w:p>
    <w:p w14:paraId="5D44B203"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22 </w:t>
      </w:r>
      <w:proofErr w:type="spellStart"/>
      <w:r w:rsidRPr="00CE25D5">
        <w:rPr>
          <w:rFonts w:ascii="Book Antiqua" w:eastAsia="宋体" w:hAnsi="Book Antiqua" w:cs="宋体"/>
          <w:b/>
          <w:bCs/>
          <w:lang w:eastAsia="zh-CN"/>
        </w:rPr>
        <w:t>Bedair</w:t>
      </w:r>
      <w:proofErr w:type="spellEnd"/>
      <w:r w:rsidRPr="00CE25D5">
        <w:rPr>
          <w:rFonts w:ascii="Book Antiqua" w:eastAsia="宋体" w:hAnsi="Book Antiqua" w:cs="宋体"/>
          <w:b/>
          <w:bCs/>
          <w:lang w:eastAsia="zh-CN"/>
        </w:rPr>
        <w:t xml:space="preserve"> H</w:t>
      </w:r>
      <w:r w:rsidRPr="00CE25D5">
        <w:rPr>
          <w:rFonts w:ascii="Book Antiqua" w:eastAsia="宋体" w:hAnsi="Book Antiqua" w:cs="宋体"/>
          <w:lang w:eastAsia="zh-CN"/>
        </w:rPr>
        <w:t xml:space="preserve">, Yang J, Dwyer MK, McCarthy JC. Preoperative erythropoietin alpha reduces postoperative transfusions in THA and TKA but may not be cost-effective. </w:t>
      </w:r>
      <w:proofErr w:type="spellStart"/>
      <w:r w:rsidRPr="00CE25D5">
        <w:rPr>
          <w:rFonts w:ascii="Book Antiqua" w:eastAsia="宋体" w:hAnsi="Book Antiqua" w:cs="宋体"/>
          <w:i/>
          <w:iCs/>
          <w:lang w:eastAsia="zh-CN"/>
        </w:rPr>
        <w:t>Clin</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Orthop</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Relat</w:t>
      </w:r>
      <w:proofErr w:type="spellEnd"/>
      <w:r w:rsidRPr="00CE25D5">
        <w:rPr>
          <w:rFonts w:ascii="Book Antiqua" w:eastAsia="宋体" w:hAnsi="Book Antiqua" w:cs="宋体"/>
          <w:i/>
          <w:iCs/>
          <w:lang w:eastAsia="zh-CN"/>
        </w:rPr>
        <w:t xml:space="preserve"> Res</w:t>
      </w:r>
      <w:r w:rsidRPr="00CE25D5">
        <w:rPr>
          <w:rFonts w:ascii="Book Antiqua" w:eastAsia="宋体" w:hAnsi="Book Antiqua" w:cs="宋体"/>
          <w:lang w:eastAsia="zh-CN"/>
        </w:rPr>
        <w:t xml:space="preserve"> 2015; </w:t>
      </w:r>
      <w:r w:rsidRPr="00CE25D5">
        <w:rPr>
          <w:rFonts w:ascii="Book Antiqua" w:eastAsia="宋体" w:hAnsi="Book Antiqua" w:cs="宋体"/>
          <w:b/>
          <w:bCs/>
          <w:lang w:eastAsia="zh-CN"/>
        </w:rPr>
        <w:t>473</w:t>
      </w:r>
      <w:r w:rsidRPr="00CE25D5">
        <w:rPr>
          <w:rFonts w:ascii="Book Antiqua" w:eastAsia="宋体" w:hAnsi="Book Antiqua" w:cs="宋体"/>
          <w:lang w:eastAsia="zh-CN"/>
        </w:rPr>
        <w:t>: 590-596 [PMID: 25106796 DOI: 10.1007/s11999-014-3819-z]</w:t>
      </w:r>
    </w:p>
    <w:p w14:paraId="2F6DFFC6"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23 </w:t>
      </w:r>
      <w:proofErr w:type="spellStart"/>
      <w:r w:rsidRPr="00CE25D5">
        <w:rPr>
          <w:rFonts w:ascii="Book Antiqua" w:eastAsia="宋体" w:hAnsi="Book Antiqua" w:cs="宋体"/>
          <w:b/>
          <w:bCs/>
          <w:lang w:eastAsia="zh-CN"/>
        </w:rPr>
        <w:t>Benoni</w:t>
      </w:r>
      <w:proofErr w:type="spellEnd"/>
      <w:r w:rsidRPr="00CE25D5">
        <w:rPr>
          <w:rFonts w:ascii="Book Antiqua" w:eastAsia="宋体" w:hAnsi="Book Antiqua" w:cs="宋体"/>
          <w:b/>
          <w:bCs/>
          <w:lang w:eastAsia="zh-CN"/>
        </w:rPr>
        <w:t xml:space="preserve"> G</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Carlsson</w:t>
      </w:r>
      <w:proofErr w:type="spellEnd"/>
      <w:r w:rsidRPr="00CE25D5">
        <w:rPr>
          <w:rFonts w:ascii="Book Antiqua" w:eastAsia="宋体" w:hAnsi="Book Antiqua" w:cs="宋体"/>
          <w:lang w:eastAsia="zh-CN"/>
        </w:rPr>
        <w:t xml:space="preserve"> A, </w:t>
      </w:r>
      <w:proofErr w:type="spellStart"/>
      <w:r w:rsidRPr="00CE25D5">
        <w:rPr>
          <w:rFonts w:ascii="Book Antiqua" w:eastAsia="宋体" w:hAnsi="Book Antiqua" w:cs="宋体"/>
          <w:lang w:eastAsia="zh-CN"/>
        </w:rPr>
        <w:t>Petersson</w:t>
      </w:r>
      <w:proofErr w:type="spellEnd"/>
      <w:r w:rsidRPr="00CE25D5">
        <w:rPr>
          <w:rFonts w:ascii="Book Antiqua" w:eastAsia="宋体" w:hAnsi="Book Antiqua" w:cs="宋体"/>
          <w:lang w:eastAsia="zh-CN"/>
        </w:rPr>
        <w:t xml:space="preserve"> C, </w:t>
      </w:r>
      <w:proofErr w:type="spellStart"/>
      <w:r w:rsidRPr="00CE25D5">
        <w:rPr>
          <w:rFonts w:ascii="Book Antiqua" w:eastAsia="宋体" w:hAnsi="Book Antiqua" w:cs="宋体"/>
          <w:lang w:eastAsia="zh-CN"/>
        </w:rPr>
        <w:t>Fredin</w:t>
      </w:r>
      <w:proofErr w:type="spellEnd"/>
      <w:r w:rsidRPr="00CE25D5">
        <w:rPr>
          <w:rFonts w:ascii="Book Antiqua" w:eastAsia="宋体" w:hAnsi="Book Antiqua" w:cs="宋体"/>
          <w:lang w:eastAsia="zh-CN"/>
        </w:rPr>
        <w:t xml:space="preserve"> H. </w:t>
      </w:r>
      <w:proofErr w:type="gramStart"/>
      <w:r w:rsidRPr="00CE25D5">
        <w:rPr>
          <w:rFonts w:ascii="Book Antiqua" w:eastAsia="宋体" w:hAnsi="Book Antiqua" w:cs="宋体"/>
          <w:lang w:eastAsia="zh-CN"/>
        </w:rPr>
        <w:t>Does</w:t>
      </w:r>
      <w:proofErr w:type="gramEnd"/>
      <w:r w:rsidRPr="00CE25D5">
        <w:rPr>
          <w:rFonts w:ascii="Book Antiqua" w:eastAsia="宋体" w:hAnsi="Book Antiqua" w:cs="宋体"/>
          <w:lang w:eastAsia="zh-CN"/>
        </w:rPr>
        <w:t xml:space="preserve"> tranexamic acid reduce blood loss in knee arthroplasty? </w:t>
      </w:r>
      <w:r w:rsidRPr="00CE25D5">
        <w:rPr>
          <w:rFonts w:ascii="Book Antiqua" w:eastAsia="宋体" w:hAnsi="Book Antiqua" w:cs="宋体"/>
          <w:i/>
          <w:iCs/>
          <w:lang w:eastAsia="zh-CN"/>
        </w:rPr>
        <w:t xml:space="preserve">Am J Knee </w:t>
      </w:r>
      <w:proofErr w:type="spellStart"/>
      <w:r w:rsidRPr="00CE25D5">
        <w:rPr>
          <w:rFonts w:ascii="Book Antiqua" w:eastAsia="宋体" w:hAnsi="Book Antiqua" w:cs="宋体"/>
          <w:i/>
          <w:iCs/>
          <w:lang w:eastAsia="zh-CN"/>
        </w:rPr>
        <w:t>Surg</w:t>
      </w:r>
      <w:proofErr w:type="spellEnd"/>
      <w:r w:rsidRPr="00CE25D5">
        <w:rPr>
          <w:rFonts w:ascii="Book Antiqua" w:eastAsia="宋体" w:hAnsi="Book Antiqua" w:cs="宋体"/>
          <w:lang w:eastAsia="zh-CN"/>
        </w:rPr>
        <w:t xml:space="preserve"> 1995; </w:t>
      </w:r>
      <w:r w:rsidRPr="00CE25D5">
        <w:rPr>
          <w:rFonts w:ascii="Book Antiqua" w:eastAsia="宋体" w:hAnsi="Book Antiqua" w:cs="宋体"/>
          <w:b/>
          <w:bCs/>
          <w:lang w:eastAsia="zh-CN"/>
        </w:rPr>
        <w:t>8</w:t>
      </w:r>
      <w:r w:rsidRPr="00CE25D5">
        <w:rPr>
          <w:rFonts w:ascii="Book Antiqua" w:eastAsia="宋体" w:hAnsi="Book Antiqua" w:cs="宋体"/>
          <w:lang w:eastAsia="zh-CN"/>
        </w:rPr>
        <w:t>: 88-92 [PMID: 7552611]</w:t>
      </w:r>
    </w:p>
    <w:p w14:paraId="29FA0AE0" w14:textId="77777777" w:rsidR="001A7EFD" w:rsidRPr="00CE25D5" w:rsidRDefault="001A7EFD" w:rsidP="001A7EFD">
      <w:pPr>
        <w:spacing w:line="360" w:lineRule="auto"/>
        <w:jc w:val="both"/>
        <w:rPr>
          <w:rFonts w:ascii="Book Antiqua" w:eastAsia="宋体" w:hAnsi="Book Antiqua" w:cs="宋体"/>
          <w:lang w:eastAsia="zh-CN"/>
        </w:rPr>
      </w:pPr>
      <w:r w:rsidRPr="00CE25D5">
        <w:rPr>
          <w:rFonts w:ascii="Book Antiqua" w:eastAsia="宋体" w:hAnsi="Book Antiqua" w:cs="宋体"/>
          <w:lang w:eastAsia="zh-CN"/>
        </w:rPr>
        <w:t xml:space="preserve">24 </w:t>
      </w:r>
      <w:proofErr w:type="gramStart"/>
      <w:r w:rsidRPr="00CE25D5">
        <w:rPr>
          <w:rFonts w:ascii="Book Antiqua" w:eastAsia="宋体" w:hAnsi="Book Antiqua" w:cs="宋体"/>
          <w:b/>
          <w:bCs/>
          <w:lang w:eastAsia="zh-CN"/>
        </w:rPr>
        <w:t>Wind</w:t>
      </w:r>
      <w:proofErr w:type="gramEnd"/>
      <w:r w:rsidRPr="00CE25D5">
        <w:rPr>
          <w:rFonts w:ascii="Book Antiqua" w:eastAsia="宋体" w:hAnsi="Book Antiqua" w:cs="宋体"/>
          <w:b/>
          <w:bCs/>
          <w:lang w:eastAsia="zh-CN"/>
        </w:rPr>
        <w:t xml:space="preserve"> TC</w:t>
      </w:r>
      <w:r w:rsidRPr="00CE25D5">
        <w:rPr>
          <w:rFonts w:ascii="Book Antiqua" w:eastAsia="宋体" w:hAnsi="Book Antiqua" w:cs="宋体"/>
          <w:lang w:eastAsia="zh-CN"/>
        </w:rPr>
        <w:t xml:space="preserve">, Barfield WR, </w:t>
      </w:r>
      <w:proofErr w:type="spellStart"/>
      <w:r w:rsidRPr="00CE25D5">
        <w:rPr>
          <w:rFonts w:ascii="Book Antiqua" w:eastAsia="宋体" w:hAnsi="Book Antiqua" w:cs="宋体"/>
          <w:lang w:eastAsia="zh-CN"/>
        </w:rPr>
        <w:t>Moskal</w:t>
      </w:r>
      <w:proofErr w:type="spellEnd"/>
      <w:r w:rsidRPr="00CE25D5">
        <w:rPr>
          <w:rFonts w:ascii="Book Antiqua" w:eastAsia="宋体" w:hAnsi="Book Antiqua" w:cs="宋体"/>
          <w:lang w:eastAsia="zh-CN"/>
        </w:rPr>
        <w:t xml:space="preserve"> JT. </w:t>
      </w:r>
      <w:proofErr w:type="gramStart"/>
      <w:r w:rsidRPr="00CE25D5">
        <w:rPr>
          <w:rFonts w:ascii="Book Antiqua" w:eastAsia="宋体" w:hAnsi="Book Antiqua" w:cs="宋体"/>
          <w:lang w:eastAsia="zh-CN"/>
        </w:rPr>
        <w:t>The effect of tranexamic acid on blood loss and transfusion rate in primary total knee arthroplasty.</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J Arthroplasty</w:t>
      </w:r>
      <w:r w:rsidRPr="00CE25D5">
        <w:rPr>
          <w:rFonts w:ascii="Book Antiqua" w:eastAsia="宋体" w:hAnsi="Book Antiqua" w:cs="宋体"/>
          <w:lang w:eastAsia="zh-CN"/>
        </w:rPr>
        <w:t xml:space="preserve"> 2013; </w:t>
      </w:r>
      <w:r w:rsidRPr="00CE25D5">
        <w:rPr>
          <w:rFonts w:ascii="Book Antiqua" w:eastAsia="宋体" w:hAnsi="Book Antiqua" w:cs="宋体"/>
          <w:b/>
          <w:bCs/>
          <w:lang w:eastAsia="zh-CN"/>
        </w:rPr>
        <w:t>28</w:t>
      </w:r>
      <w:r w:rsidRPr="00CE25D5">
        <w:rPr>
          <w:rFonts w:ascii="Book Antiqua" w:eastAsia="宋体" w:hAnsi="Book Antiqua" w:cs="宋体"/>
          <w:lang w:eastAsia="zh-CN"/>
        </w:rPr>
        <w:t>: 1080-1083 [PMID: 23541868 DOI: 10.1016/j.arth.2012.11.016]</w:t>
      </w:r>
    </w:p>
    <w:p w14:paraId="787FF2D6"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25 </w:t>
      </w:r>
      <w:proofErr w:type="spellStart"/>
      <w:r w:rsidRPr="00CE25D5">
        <w:rPr>
          <w:rFonts w:ascii="Book Antiqua" w:eastAsia="宋体" w:hAnsi="Book Antiqua" w:cs="宋体"/>
          <w:b/>
          <w:bCs/>
          <w:lang w:eastAsia="zh-CN"/>
        </w:rPr>
        <w:t>Alshryda</w:t>
      </w:r>
      <w:proofErr w:type="spellEnd"/>
      <w:r w:rsidRPr="00CE25D5">
        <w:rPr>
          <w:rFonts w:ascii="Book Antiqua" w:eastAsia="宋体" w:hAnsi="Book Antiqua" w:cs="宋体"/>
          <w:b/>
          <w:bCs/>
          <w:lang w:eastAsia="zh-CN"/>
        </w:rPr>
        <w:t xml:space="preserve"> S</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Sukeik</w:t>
      </w:r>
      <w:proofErr w:type="spellEnd"/>
      <w:r w:rsidRPr="00CE25D5">
        <w:rPr>
          <w:rFonts w:ascii="Book Antiqua" w:eastAsia="宋体" w:hAnsi="Book Antiqua" w:cs="宋体"/>
          <w:lang w:eastAsia="zh-CN"/>
        </w:rPr>
        <w:t xml:space="preserve"> M, </w:t>
      </w:r>
      <w:proofErr w:type="spellStart"/>
      <w:r w:rsidRPr="00CE25D5">
        <w:rPr>
          <w:rFonts w:ascii="Book Antiqua" w:eastAsia="宋体" w:hAnsi="Book Antiqua" w:cs="宋体"/>
          <w:lang w:eastAsia="zh-CN"/>
        </w:rPr>
        <w:t>Sarda</w:t>
      </w:r>
      <w:proofErr w:type="spellEnd"/>
      <w:r w:rsidRPr="00CE25D5">
        <w:rPr>
          <w:rFonts w:ascii="Book Antiqua" w:eastAsia="宋体" w:hAnsi="Book Antiqua" w:cs="宋体"/>
          <w:lang w:eastAsia="zh-CN"/>
        </w:rPr>
        <w:t xml:space="preserve"> P, Blenkinsopp J, Haddad FS, Mason JM.</w:t>
      </w:r>
      <w:proofErr w:type="gramEnd"/>
      <w:r w:rsidRPr="00CE25D5">
        <w:rPr>
          <w:rFonts w:ascii="Book Antiqua" w:eastAsia="宋体" w:hAnsi="Book Antiqua" w:cs="宋体"/>
          <w:lang w:eastAsia="zh-CN"/>
        </w:rPr>
        <w:t xml:space="preserve"> </w:t>
      </w:r>
      <w:proofErr w:type="gramStart"/>
      <w:r w:rsidRPr="00CE25D5">
        <w:rPr>
          <w:rFonts w:ascii="Book Antiqua" w:eastAsia="宋体" w:hAnsi="Book Antiqua" w:cs="宋体"/>
          <w:lang w:eastAsia="zh-CN"/>
        </w:rPr>
        <w:t>A systematic review and meta-analysis of the topical administration of tranexamic acid in total hip and knee replacement.</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Bone Joint J</w:t>
      </w:r>
      <w:r w:rsidRPr="00CE25D5">
        <w:rPr>
          <w:rFonts w:ascii="Book Antiqua" w:eastAsia="宋体" w:hAnsi="Book Antiqua" w:cs="宋体"/>
          <w:lang w:eastAsia="zh-CN"/>
        </w:rPr>
        <w:t xml:space="preserve"> 2014; </w:t>
      </w:r>
      <w:r w:rsidRPr="00CE25D5">
        <w:rPr>
          <w:rFonts w:ascii="Book Antiqua" w:eastAsia="宋体" w:hAnsi="Book Antiqua" w:cs="宋体"/>
          <w:b/>
          <w:bCs/>
          <w:lang w:eastAsia="zh-CN"/>
        </w:rPr>
        <w:t>96-B</w:t>
      </w:r>
      <w:r w:rsidRPr="00CE25D5">
        <w:rPr>
          <w:rFonts w:ascii="Book Antiqua" w:eastAsia="宋体" w:hAnsi="Book Antiqua" w:cs="宋体"/>
          <w:lang w:eastAsia="zh-CN"/>
        </w:rPr>
        <w:t>: 1005-1015 [PMID: 25086114 DOI: 10.1302/0301-620X.96B8.33745]</w:t>
      </w:r>
    </w:p>
    <w:p w14:paraId="5F93F62C"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26 </w:t>
      </w:r>
      <w:r w:rsidRPr="00CE25D5">
        <w:rPr>
          <w:rFonts w:ascii="Book Antiqua" w:eastAsia="宋体" w:hAnsi="Book Antiqua" w:cs="宋体"/>
          <w:b/>
          <w:bCs/>
          <w:lang w:eastAsia="zh-CN"/>
        </w:rPr>
        <w:t>Gillette BP</w:t>
      </w:r>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Maradit</w:t>
      </w:r>
      <w:proofErr w:type="spellEnd"/>
      <w:r w:rsidRPr="00CE25D5">
        <w:rPr>
          <w:rFonts w:ascii="Book Antiqua" w:eastAsia="宋体" w:hAnsi="Book Antiqua" w:cs="宋体"/>
          <w:lang w:eastAsia="zh-CN"/>
        </w:rPr>
        <w:t xml:space="preserve"> </w:t>
      </w:r>
      <w:proofErr w:type="spellStart"/>
      <w:r w:rsidRPr="00CE25D5">
        <w:rPr>
          <w:rFonts w:ascii="Book Antiqua" w:eastAsia="宋体" w:hAnsi="Book Antiqua" w:cs="宋体"/>
          <w:lang w:eastAsia="zh-CN"/>
        </w:rPr>
        <w:t>Kremers</w:t>
      </w:r>
      <w:proofErr w:type="spellEnd"/>
      <w:r w:rsidRPr="00CE25D5">
        <w:rPr>
          <w:rFonts w:ascii="Book Antiqua" w:eastAsia="宋体" w:hAnsi="Book Antiqua" w:cs="宋体"/>
          <w:lang w:eastAsia="zh-CN"/>
        </w:rPr>
        <w:t xml:space="preserve"> H, Duncan CM, Smith HM, Trousdale RT, </w:t>
      </w:r>
      <w:proofErr w:type="spellStart"/>
      <w:r w:rsidRPr="00CE25D5">
        <w:rPr>
          <w:rFonts w:ascii="Book Antiqua" w:eastAsia="宋体" w:hAnsi="Book Antiqua" w:cs="宋体"/>
          <w:lang w:eastAsia="zh-CN"/>
        </w:rPr>
        <w:t>Pagnano</w:t>
      </w:r>
      <w:proofErr w:type="spellEnd"/>
      <w:r w:rsidRPr="00CE25D5">
        <w:rPr>
          <w:rFonts w:ascii="Book Antiqua" w:eastAsia="宋体" w:hAnsi="Book Antiqua" w:cs="宋体"/>
          <w:lang w:eastAsia="zh-CN"/>
        </w:rPr>
        <w:t xml:space="preserve"> MW, Sierra RJ.</w:t>
      </w:r>
      <w:proofErr w:type="gramEnd"/>
      <w:r w:rsidRPr="00CE25D5">
        <w:rPr>
          <w:rFonts w:ascii="Book Antiqua" w:eastAsia="宋体" w:hAnsi="Book Antiqua" w:cs="宋体"/>
          <w:lang w:eastAsia="zh-CN"/>
        </w:rPr>
        <w:t xml:space="preserve"> </w:t>
      </w:r>
      <w:proofErr w:type="gramStart"/>
      <w:r w:rsidRPr="00CE25D5">
        <w:rPr>
          <w:rFonts w:ascii="Book Antiqua" w:eastAsia="宋体" w:hAnsi="Book Antiqua" w:cs="宋体"/>
          <w:lang w:eastAsia="zh-CN"/>
        </w:rPr>
        <w:t>Economic impact of tranexamic acid in healthy patients undergoing primary total hip and knee arthroplasty.</w:t>
      </w:r>
      <w:proofErr w:type="gramEnd"/>
      <w:r w:rsidRPr="00CE25D5">
        <w:rPr>
          <w:rFonts w:ascii="Book Antiqua" w:eastAsia="宋体" w:hAnsi="Book Antiqua" w:cs="宋体"/>
          <w:lang w:eastAsia="zh-CN"/>
        </w:rPr>
        <w:t xml:space="preserve"> </w:t>
      </w:r>
      <w:r w:rsidRPr="00CE25D5">
        <w:rPr>
          <w:rFonts w:ascii="Book Antiqua" w:eastAsia="宋体" w:hAnsi="Book Antiqua" w:cs="宋体"/>
          <w:i/>
          <w:iCs/>
          <w:lang w:eastAsia="zh-CN"/>
        </w:rPr>
        <w:t>J Arthroplasty</w:t>
      </w:r>
      <w:r w:rsidRPr="00CE25D5">
        <w:rPr>
          <w:rFonts w:ascii="Book Antiqua" w:eastAsia="宋体" w:hAnsi="Book Antiqua" w:cs="宋体"/>
          <w:lang w:eastAsia="zh-CN"/>
        </w:rPr>
        <w:t xml:space="preserve"> 2013; </w:t>
      </w:r>
      <w:r w:rsidRPr="00CE25D5">
        <w:rPr>
          <w:rFonts w:ascii="Book Antiqua" w:eastAsia="宋体" w:hAnsi="Book Antiqua" w:cs="宋体"/>
          <w:b/>
          <w:bCs/>
          <w:lang w:eastAsia="zh-CN"/>
        </w:rPr>
        <w:t>28</w:t>
      </w:r>
      <w:r w:rsidRPr="00CE25D5">
        <w:rPr>
          <w:rFonts w:ascii="Book Antiqua" w:eastAsia="宋体" w:hAnsi="Book Antiqua" w:cs="宋体"/>
          <w:lang w:eastAsia="zh-CN"/>
        </w:rPr>
        <w:t>: 137-139 [PMID: 23886409 DOI: 10.1016/j.arth.2013.04.054]</w:t>
      </w:r>
    </w:p>
    <w:p w14:paraId="4A57EE8B" w14:textId="77777777" w:rsidR="001A7EFD" w:rsidRPr="00CE25D5" w:rsidRDefault="001A7EFD" w:rsidP="001A7EFD">
      <w:pPr>
        <w:spacing w:line="360" w:lineRule="auto"/>
        <w:jc w:val="both"/>
        <w:rPr>
          <w:rFonts w:ascii="Book Antiqua" w:eastAsia="宋体" w:hAnsi="Book Antiqua" w:cs="宋体"/>
          <w:lang w:eastAsia="zh-CN"/>
        </w:rPr>
      </w:pPr>
      <w:proofErr w:type="gramStart"/>
      <w:r w:rsidRPr="00CE25D5">
        <w:rPr>
          <w:rFonts w:ascii="Book Antiqua" w:eastAsia="宋体" w:hAnsi="Book Antiqua" w:cs="宋体"/>
          <w:lang w:eastAsia="zh-CN"/>
        </w:rPr>
        <w:t xml:space="preserve">27 </w:t>
      </w:r>
      <w:r w:rsidRPr="00CE25D5">
        <w:rPr>
          <w:rFonts w:ascii="Book Antiqua" w:eastAsia="宋体" w:hAnsi="Book Antiqua" w:cs="宋体"/>
          <w:b/>
          <w:bCs/>
          <w:lang w:eastAsia="zh-CN"/>
        </w:rPr>
        <w:t>Whiting DR</w:t>
      </w:r>
      <w:r w:rsidRPr="00CE25D5">
        <w:rPr>
          <w:rFonts w:ascii="Book Antiqua" w:eastAsia="宋体" w:hAnsi="Book Antiqua" w:cs="宋体"/>
          <w:lang w:eastAsia="zh-CN"/>
        </w:rPr>
        <w:t xml:space="preserve">, Gillette BP, Duncan C, Smith H, </w:t>
      </w:r>
      <w:proofErr w:type="spellStart"/>
      <w:r w:rsidRPr="00CE25D5">
        <w:rPr>
          <w:rFonts w:ascii="Book Antiqua" w:eastAsia="宋体" w:hAnsi="Book Antiqua" w:cs="宋体"/>
          <w:lang w:eastAsia="zh-CN"/>
        </w:rPr>
        <w:t>Pagnano</w:t>
      </w:r>
      <w:proofErr w:type="spellEnd"/>
      <w:r w:rsidRPr="00CE25D5">
        <w:rPr>
          <w:rFonts w:ascii="Book Antiqua" w:eastAsia="宋体" w:hAnsi="Book Antiqua" w:cs="宋体"/>
          <w:lang w:eastAsia="zh-CN"/>
        </w:rPr>
        <w:t xml:space="preserve"> MW, Sierra RJ.</w:t>
      </w:r>
      <w:proofErr w:type="gramEnd"/>
      <w:r w:rsidRPr="00CE25D5">
        <w:rPr>
          <w:rFonts w:ascii="Book Antiqua" w:eastAsia="宋体" w:hAnsi="Book Antiqua" w:cs="宋体"/>
          <w:lang w:eastAsia="zh-CN"/>
        </w:rPr>
        <w:t xml:space="preserve"> Preliminary results suggest tranexamic acid is safe and effective in </w:t>
      </w:r>
      <w:r w:rsidRPr="00CE25D5">
        <w:rPr>
          <w:rFonts w:ascii="Book Antiqua" w:eastAsia="宋体" w:hAnsi="Book Antiqua" w:cs="宋体"/>
          <w:lang w:eastAsia="zh-CN"/>
        </w:rPr>
        <w:lastRenderedPageBreak/>
        <w:t xml:space="preserve">arthroplasty patients with severe comorbidities. </w:t>
      </w:r>
      <w:proofErr w:type="spellStart"/>
      <w:r w:rsidRPr="00CE25D5">
        <w:rPr>
          <w:rFonts w:ascii="Book Antiqua" w:eastAsia="宋体" w:hAnsi="Book Antiqua" w:cs="宋体"/>
          <w:i/>
          <w:iCs/>
          <w:lang w:eastAsia="zh-CN"/>
        </w:rPr>
        <w:t>Clin</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Orthop</w:t>
      </w:r>
      <w:proofErr w:type="spellEnd"/>
      <w:r w:rsidRPr="00CE25D5">
        <w:rPr>
          <w:rFonts w:ascii="Book Antiqua" w:eastAsia="宋体" w:hAnsi="Book Antiqua" w:cs="宋体"/>
          <w:i/>
          <w:iCs/>
          <w:lang w:eastAsia="zh-CN"/>
        </w:rPr>
        <w:t xml:space="preserve"> </w:t>
      </w:r>
      <w:proofErr w:type="spellStart"/>
      <w:r w:rsidRPr="00CE25D5">
        <w:rPr>
          <w:rFonts w:ascii="Book Antiqua" w:eastAsia="宋体" w:hAnsi="Book Antiqua" w:cs="宋体"/>
          <w:i/>
          <w:iCs/>
          <w:lang w:eastAsia="zh-CN"/>
        </w:rPr>
        <w:t>Relat</w:t>
      </w:r>
      <w:proofErr w:type="spellEnd"/>
      <w:r w:rsidRPr="00CE25D5">
        <w:rPr>
          <w:rFonts w:ascii="Book Antiqua" w:eastAsia="宋体" w:hAnsi="Book Antiqua" w:cs="宋体"/>
          <w:i/>
          <w:iCs/>
          <w:lang w:eastAsia="zh-CN"/>
        </w:rPr>
        <w:t xml:space="preserve"> Res</w:t>
      </w:r>
      <w:r w:rsidRPr="00CE25D5">
        <w:rPr>
          <w:rFonts w:ascii="Book Antiqua" w:eastAsia="宋体" w:hAnsi="Book Antiqua" w:cs="宋体"/>
          <w:lang w:eastAsia="zh-CN"/>
        </w:rPr>
        <w:t xml:space="preserve"> 2014; </w:t>
      </w:r>
      <w:r w:rsidRPr="00CE25D5">
        <w:rPr>
          <w:rFonts w:ascii="Book Antiqua" w:eastAsia="宋体" w:hAnsi="Book Antiqua" w:cs="宋体"/>
          <w:b/>
          <w:bCs/>
          <w:lang w:eastAsia="zh-CN"/>
        </w:rPr>
        <w:t>472</w:t>
      </w:r>
      <w:r w:rsidRPr="00CE25D5">
        <w:rPr>
          <w:rFonts w:ascii="Book Antiqua" w:eastAsia="宋体" w:hAnsi="Book Antiqua" w:cs="宋体"/>
          <w:lang w:eastAsia="zh-CN"/>
        </w:rPr>
        <w:t>: 66-72 [PMID: 23817754 DOI: 10.1007/s11999-013-3134-0]</w:t>
      </w:r>
    </w:p>
    <w:p w14:paraId="73E4F689" w14:textId="0DFF398B" w:rsidR="00196A1A" w:rsidRPr="00CE25D5" w:rsidRDefault="00196A1A" w:rsidP="001A7EFD">
      <w:pPr>
        <w:spacing w:line="360" w:lineRule="auto"/>
        <w:jc w:val="both"/>
        <w:rPr>
          <w:rFonts w:ascii="Book Antiqua" w:hAnsi="Book Antiqua"/>
        </w:rPr>
      </w:pPr>
    </w:p>
    <w:p w14:paraId="320CA250" w14:textId="767622ED" w:rsidR="001B48E3" w:rsidRPr="00CE25D5" w:rsidRDefault="00A953C1" w:rsidP="00805A02">
      <w:pPr>
        <w:spacing w:line="360" w:lineRule="auto"/>
        <w:jc w:val="right"/>
        <w:rPr>
          <w:rFonts w:ascii="Book Antiqua" w:hAnsi="Book Antiqua"/>
        </w:rPr>
      </w:pPr>
      <w:r w:rsidRPr="00CE25D5">
        <w:rPr>
          <w:rFonts w:ascii="Book Antiqua" w:hAnsi="Book Antiqua"/>
          <w:b/>
        </w:rPr>
        <w:t>P-Reviewer:</w:t>
      </w:r>
      <w:r w:rsidR="002233BA" w:rsidRPr="00CE25D5">
        <w:rPr>
          <w:rFonts w:ascii="Book Antiqua" w:hAnsi="Book Antiqua" w:cs="Tahoma"/>
        </w:rPr>
        <w:t xml:space="preserve"> Slater</w:t>
      </w:r>
      <w:r w:rsidR="002233BA" w:rsidRPr="00CE25D5">
        <w:rPr>
          <w:rFonts w:ascii="Book Antiqua" w:eastAsia="宋体" w:hAnsi="Book Antiqua" w:cs="Tahoma"/>
          <w:lang w:eastAsia="zh-CN"/>
        </w:rPr>
        <w:t xml:space="preserve"> GL</w:t>
      </w:r>
      <w:r w:rsidRPr="00CE25D5">
        <w:rPr>
          <w:rFonts w:ascii="Book Antiqua" w:hAnsi="Book Antiqua"/>
          <w:b/>
        </w:rPr>
        <w:t xml:space="preserve"> S-Editor: </w:t>
      </w:r>
      <w:r w:rsidRPr="00CE25D5">
        <w:rPr>
          <w:rFonts w:ascii="Book Antiqua" w:hAnsi="Book Antiqua"/>
        </w:rPr>
        <w:t>Ji FF</w:t>
      </w:r>
      <w:r w:rsidRPr="00CE25D5">
        <w:rPr>
          <w:rFonts w:ascii="Book Antiqua" w:hAnsi="Book Antiqua"/>
          <w:b/>
        </w:rPr>
        <w:t xml:space="preserve"> L-Editor: E-Editor:</w:t>
      </w:r>
    </w:p>
    <w:p w14:paraId="213BAD15" w14:textId="329BE106" w:rsidR="00A953C1" w:rsidRPr="00CE25D5" w:rsidRDefault="00A953C1" w:rsidP="00805A02">
      <w:pPr>
        <w:spacing w:line="360" w:lineRule="auto"/>
        <w:jc w:val="right"/>
        <w:rPr>
          <w:rFonts w:ascii="Book Antiqua" w:hAnsi="Book Antiqua"/>
        </w:rPr>
      </w:pPr>
      <w:r w:rsidRPr="00CE25D5">
        <w:rPr>
          <w:rFonts w:ascii="Book Antiqua" w:hAnsi="Book Antiqua"/>
        </w:rPr>
        <w:br w:type="page"/>
      </w:r>
    </w:p>
    <w:p w14:paraId="2114766D" w14:textId="77777777" w:rsidR="008656A6" w:rsidRPr="00CE25D5" w:rsidRDefault="008656A6" w:rsidP="00E715CA">
      <w:pPr>
        <w:spacing w:line="360" w:lineRule="auto"/>
        <w:jc w:val="both"/>
        <w:rPr>
          <w:rFonts w:ascii="Book Antiqua" w:eastAsia="宋体" w:hAnsi="Book Antiqua"/>
          <w:b/>
          <w:lang w:eastAsia="zh-CN"/>
        </w:rPr>
      </w:pPr>
    </w:p>
    <w:tbl>
      <w:tblPr>
        <w:tblStyle w:val="TableGrid"/>
        <w:tblW w:w="9083" w:type="dxa"/>
        <w:tblLook w:val="04A0" w:firstRow="1" w:lastRow="0" w:firstColumn="1" w:lastColumn="0" w:noHBand="0" w:noVBand="1"/>
      </w:tblPr>
      <w:tblGrid>
        <w:gridCol w:w="2802"/>
        <w:gridCol w:w="2023"/>
        <w:gridCol w:w="2129"/>
        <w:gridCol w:w="2129"/>
      </w:tblGrid>
      <w:tr w:rsidR="00CE25D5" w:rsidRPr="00CE25D5" w14:paraId="629EE9A9" w14:textId="77777777" w:rsidTr="00D20880">
        <w:tc>
          <w:tcPr>
            <w:tcW w:w="9083" w:type="dxa"/>
            <w:gridSpan w:val="4"/>
            <w:tcBorders>
              <w:top w:val="nil"/>
              <w:left w:val="nil"/>
              <w:bottom w:val="single" w:sz="4" w:space="0" w:color="auto"/>
              <w:right w:val="nil"/>
            </w:tcBorders>
          </w:tcPr>
          <w:p w14:paraId="0F4EF1CC" w14:textId="66BE006B" w:rsidR="00CB0F8F" w:rsidRPr="00CE25D5" w:rsidRDefault="000A31FE" w:rsidP="00E715CA">
            <w:pPr>
              <w:spacing w:line="360" w:lineRule="auto"/>
              <w:jc w:val="both"/>
              <w:rPr>
                <w:rFonts w:ascii="Book Antiqua" w:hAnsi="Book Antiqua"/>
                <w:b/>
              </w:rPr>
            </w:pPr>
            <w:r w:rsidRPr="00CE25D5">
              <w:rPr>
                <w:rFonts w:ascii="Book Antiqua" w:hAnsi="Book Antiqua"/>
                <w:b/>
              </w:rPr>
              <w:t>Table 1 Pat</w:t>
            </w:r>
            <w:r w:rsidR="00CB0F8F" w:rsidRPr="00CE25D5">
              <w:rPr>
                <w:rFonts w:ascii="Book Antiqua" w:hAnsi="Book Antiqua"/>
                <w:b/>
              </w:rPr>
              <w:t xml:space="preserve">ient </w:t>
            </w:r>
            <w:r w:rsidR="00A953C1" w:rsidRPr="00CE25D5">
              <w:rPr>
                <w:rFonts w:ascii="Book Antiqua" w:hAnsi="Book Antiqua"/>
                <w:b/>
              </w:rPr>
              <w:t>d</w:t>
            </w:r>
            <w:r w:rsidR="00CB0F8F" w:rsidRPr="00CE25D5">
              <w:rPr>
                <w:rFonts w:ascii="Book Antiqua" w:hAnsi="Book Antiqua"/>
                <w:b/>
              </w:rPr>
              <w:t>emographics</w:t>
            </w:r>
          </w:p>
        </w:tc>
      </w:tr>
      <w:tr w:rsidR="00CE25D5" w:rsidRPr="00CE25D5" w14:paraId="2007910F" w14:textId="77777777" w:rsidTr="008C69F5">
        <w:tc>
          <w:tcPr>
            <w:tcW w:w="2802" w:type="dxa"/>
            <w:tcBorders>
              <w:left w:val="nil"/>
              <w:bottom w:val="single" w:sz="4" w:space="0" w:color="auto"/>
              <w:right w:val="nil"/>
            </w:tcBorders>
          </w:tcPr>
          <w:p w14:paraId="0576EE56" w14:textId="77777777" w:rsidR="00CB0F8F" w:rsidRPr="00CE25D5" w:rsidRDefault="00CB0F8F" w:rsidP="00E715CA">
            <w:pPr>
              <w:spacing w:line="360" w:lineRule="auto"/>
              <w:jc w:val="both"/>
              <w:rPr>
                <w:rFonts w:ascii="Book Antiqua" w:hAnsi="Book Antiqua"/>
                <w:b/>
              </w:rPr>
            </w:pPr>
          </w:p>
        </w:tc>
        <w:tc>
          <w:tcPr>
            <w:tcW w:w="2023" w:type="dxa"/>
            <w:tcBorders>
              <w:left w:val="nil"/>
              <w:bottom w:val="single" w:sz="4" w:space="0" w:color="auto"/>
              <w:right w:val="nil"/>
            </w:tcBorders>
          </w:tcPr>
          <w:p w14:paraId="3EA208F9" w14:textId="222F9028" w:rsidR="00CB0F8F" w:rsidRPr="00CE25D5" w:rsidRDefault="00F46763" w:rsidP="00E715CA">
            <w:pPr>
              <w:spacing w:line="360" w:lineRule="auto"/>
              <w:jc w:val="both"/>
              <w:rPr>
                <w:rFonts w:ascii="Book Antiqua" w:hAnsi="Book Antiqua"/>
                <w:b/>
              </w:rPr>
            </w:pPr>
            <w:r w:rsidRPr="00CE25D5">
              <w:rPr>
                <w:rFonts w:ascii="Book Antiqua" w:hAnsi="Book Antiqua"/>
                <w:b/>
              </w:rPr>
              <w:t xml:space="preserve">Control </w:t>
            </w:r>
            <w:r w:rsidR="00676B4C" w:rsidRPr="00CE25D5">
              <w:rPr>
                <w:rFonts w:ascii="Book Antiqua" w:hAnsi="Book Antiqua"/>
                <w:b/>
              </w:rPr>
              <w:t>g</w:t>
            </w:r>
            <w:r w:rsidRPr="00CE25D5">
              <w:rPr>
                <w:rFonts w:ascii="Book Antiqua" w:hAnsi="Book Antiqua"/>
                <w:b/>
              </w:rPr>
              <w:t>roup (</w:t>
            </w:r>
            <w:r w:rsidRPr="00CE25D5">
              <w:rPr>
                <w:rFonts w:ascii="Book Antiqua" w:hAnsi="Book Antiqua"/>
                <w:b/>
                <w:i/>
              </w:rPr>
              <w:t>n</w:t>
            </w:r>
            <w:r w:rsidRPr="00CE25D5">
              <w:rPr>
                <w:rFonts w:ascii="Book Antiqua" w:hAnsi="Book Antiqua"/>
                <w:b/>
              </w:rPr>
              <w:t xml:space="preserve"> = 100)</w:t>
            </w:r>
          </w:p>
        </w:tc>
        <w:tc>
          <w:tcPr>
            <w:tcW w:w="2129" w:type="dxa"/>
            <w:tcBorders>
              <w:left w:val="nil"/>
              <w:bottom w:val="single" w:sz="4" w:space="0" w:color="auto"/>
              <w:right w:val="nil"/>
            </w:tcBorders>
          </w:tcPr>
          <w:p w14:paraId="3F9CE4F6" w14:textId="20050932" w:rsidR="008C69F5" w:rsidRPr="00CE25D5" w:rsidRDefault="008C69F5" w:rsidP="00E715CA">
            <w:pPr>
              <w:spacing w:line="360" w:lineRule="auto"/>
              <w:jc w:val="both"/>
              <w:rPr>
                <w:rFonts w:ascii="Book Antiqua" w:hAnsi="Book Antiqua"/>
                <w:b/>
              </w:rPr>
            </w:pPr>
            <w:r w:rsidRPr="00CE25D5">
              <w:rPr>
                <w:rFonts w:ascii="Book Antiqua" w:hAnsi="Book Antiqua"/>
                <w:b/>
              </w:rPr>
              <w:t>TXA</w:t>
            </w:r>
            <w:r w:rsidR="00F46763" w:rsidRPr="00CE25D5">
              <w:rPr>
                <w:rFonts w:ascii="Book Antiqua" w:hAnsi="Book Antiqua"/>
                <w:b/>
              </w:rPr>
              <w:t xml:space="preserve"> </w:t>
            </w:r>
            <w:r w:rsidR="00676B4C" w:rsidRPr="00CE25D5">
              <w:rPr>
                <w:rFonts w:ascii="Book Antiqua" w:hAnsi="Book Antiqua"/>
                <w:b/>
              </w:rPr>
              <w:t>g</w:t>
            </w:r>
            <w:r w:rsidR="00F46763" w:rsidRPr="00CE25D5">
              <w:rPr>
                <w:rFonts w:ascii="Book Antiqua" w:hAnsi="Book Antiqua"/>
                <w:b/>
              </w:rPr>
              <w:t xml:space="preserve">roup </w:t>
            </w:r>
          </w:p>
          <w:p w14:paraId="693F06FB" w14:textId="01088BBC" w:rsidR="00CB0F8F" w:rsidRPr="00CE25D5" w:rsidRDefault="00F46763" w:rsidP="00E715CA">
            <w:pPr>
              <w:spacing w:line="360" w:lineRule="auto"/>
              <w:jc w:val="both"/>
              <w:rPr>
                <w:rFonts w:ascii="Book Antiqua" w:hAnsi="Book Antiqua"/>
                <w:b/>
              </w:rPr>
            </w:pPr>
            <w:r w:rsidRPr="00CE25D5">
              <w:rPr>
                <w:rFonts w:ascii="Book Antiqua" w:hAnsi="Book Antiqua"/>
                <w:b/>
              </w:rPr>
              <w:t>(</w:t>
            </w:r>
            <w:r w:rsidRPr="00CE25D5">
              <w:rPr>
                <w:rFonts w:ascii="Book Antiqua" w:hAnsi="Book Antiqua"/>
                <w:b/>
                <w:i/>
              </w:rPr>
              <w:t>n</w:t>
            </w:r>
            <w:r w:rsidRPr="00CE25D5">
              <w:rPr>
                <w:rFonts w:ascii="Book Antiqua" w:hAnsi="Book Antiqua"/>
                <w:b/>
              </w:rPr>
              <w:t xml:space="preserve"> = 100)</w:t>
            </w:r>
          </w:p>
        </w:tc>
        <w:tc>
          <w:tcPr>
            <w:tcW w:w="2129" w:type="dxa"/>
            <w:tcBorders>
              <w:left w:val="nil"/>
              <w:bottom w:val="single" w:sz="4" w:space="0" w:color="auto"/>
              <w:right w:val="nil"/>
            </w:tcBorders>
          </w:tcPr>
          <w:p w14:paraId="31FBB2D0" w14:textId="2D358D94" w:rsidR="00CB0F8F" w:rsidRPr="00CE25D5" w:rsidRDefault="00676B4C" w:rsidP="00E715CA">
            <w:pPr>
              <w:spacing w:line="360" w:lineRule="auto"/>
              <w:jc w:val="both"/>
              <w:rPr>
                <w:rFonts w:ascii="Book Antiqua" w:hAnsi="Book Antiqua"/>
                <w:b/>
              </w:rPr>
            </w:pPr>
            <w:r w:rsidRPr="00CE25D5">
              <w:rPr>
                <w:rFonts w:ascii="Book Antiqua" w:hAnsi="Book Antiqua"/>
                <w:b/>
                <w:i/>
              </w:rPr>
              <w:t>P</w:t>
            </w:r>
            <w:r w:rsidR="00F46763" w:rsidRPr="00CE25D5">
              <w:rPr>
                <w:rFonts w:ascii="Book Antiqua" w:hAnsi="Book Antiqua"/>
                <w:b/>
              </w:rPr>
              <w:t xml:space="preserve"> </w:t>
            </w:r>
            <w:r w:rsidRPr="00CE25D5">
              <w:rPr>
                <w:rFonts w:ascii="Book Antiqua" w:hAnsi="Book Antiqua"/>
                <w:b/>
              </w:rPr>
              <w:t>v</w:t>
            </w:r>
            <w:r w:rsidR="00F46763" w:rsidRPr="00CE25D5">
              <w:rPr>
                <w:rFonts w:ascii="Book Antiqua" w:hAnsi="Book Antiqua"/>
                <w:b/>
              </w:rPr>
              <w:t>alue</w:t>
            </w:r>
          </w:p>
        </w:tc>
      </w:tr>
      <w:tr w:rsidR="00CE25D5" w:rsidRPr="00CE25D5" w14:paraId="7E832240" w14:textId="77777777" w:rsidTr="008C69F5">
        <w:tc>
          <w:tcPr>
            <w:tcW w:w="2802" w:type="dxa"/>
            <w:tcBorders>
              <w:left w:val="nil"/>
              <w:bottom w:val="nil"/>
              <w:right w:val="nil"/>
            </w:tcBorders>
          </w:tcPr>
          <w:p w14:paraId="5D54A877" w14:textId="6476D2B4" w:rsidR="00CB0F8F" w:rsidRPr="00CE25D5" w:rsidRDefault="00F46763" w:rsidP="00E715CA">
            <w:pPr>
              <w:spacing w:line="360" w:lineRule="auto"/>
              <w:jc w:val="both"/>
              <w:rPr>
                <w:rFonts w:ascii="Book Antiqua" w:hAnsi="Book Antiqua"/>
                <w:b/>
              </w:rPr>
            </w:pPr>
            <w:r w:rsidRPr="00CE25D5">
              <w:rPr>
                <w:rFonts w:ascii="Book Antiqua" w:hAnsi="Book Antiqua"/>
                <w:b/>
              </w:rPr>
              <w:t>Male</w:t>
            </w:r>
            <w:r w:rsidR="00DD0C11" w:rsidRPr="00CE25D5">
              <w:rPr>
                <w:rFonts w:ascii="Book Antiqua" w:hAnsi="Book Antiqua"/>
                <w:b/>
              </w:rPr>
              <w:t>/</w:t>
            </w:r>
            <w:r w:rsidR="00676B4C" w:rsidRPr="00CE25D5">
              <w:rPr>
                <w:rFonts w:ascii="Book Antiqua" w:hAnsi="Book Antiqua"/>
                <w:b/>
              </w:rPr>
              <w:t>f</w:t>
            </w:r>
            <w:r w:rsidR="00DD0C11" w:rsidRPr="00CE25D5">
              <w:rPr>
                <w:rFonts w:ascii="Book Antiqua" w:hAnsi="Book Antiqua"/>
                <w:b/>
              </w:rPr>
              <w:t>emale</w:t>
            </w:r>
          </w:p>
        </w:tc>
        <w:tc>
          <w:tcPr>
            <w:tcW w:w="2023" w:type="dxa"/>
            <w:tcBorders>
              <w:left w:val="nil"/>
              <w:bottom w:val="nil"/>
              <w:right w:val="nil"/>
            </w:tcBorders>
          </w:tcPr>
          <w:p w14:paraId="13CFCA08" w14:textId="597220BA" w:rsidR="00CB0F8F" w:rsidRPr="00CE25D5" w:rsidRDefault="00F46763" w:rsidP="00E715CA">
            <w:pPr>
              <w:spacing w:line="360" w:lineRule="auto"/>
              <w:jc w:val="both"/>
              <w:rPr>
                <w:rFonts w:ascii="Book Antiqua" w:hAnsi="Book Antiqua"/>
                <w:b/>
              </w:rPr>
            </w:pPr>
            <w:r w:rsidRPr="00CE25D5">
              <w:rPr>
                <w:rFonts w:ascii="Book Antiqua" w:hAnsi="Book Antiqua"/>
                <w:b/>
              </w:rPr>
              <w:t>49</w:t>
            </w:r>
            <w:r w:rsidR="00DD0C11" w:rsidRPr="00CE25D5">
              <w:rPr>
                <w:rFonts w:ascii="Book Antiqua" w:hAnsi="Book Antiqua"/>
                <w:b/>
              </w:rPr>
              <w:t>/51</w:t>
            </w:r>
          </w:p>
        </w:tc>
        <w:tc>
          <w:tcPr>
            <w:tcW w:w="2129" w:type="dxa"/>
            <w:tcBorders>
              <w:left w:val="nil"/>
              <w:bottom w:val="nil"/>
              <w:right w:val="nil"/>
            </w:tcBorders>
          </w:tcPr>
          <w:p w14:paraId="25863E7E" w14:textId="648135CF" w:rsidR="00CB0F8F" w:rsidRPr="00CE25D5" w:rsidRDefault="00F46763" w:rsidP="00E715CA">
            <w:pPr>
              <w:spacing w:line="360" w:lineRule="auto"/>
              <w:jc w:val="both"/>
              <w:rPr>
                <w:rFonts w:ascii="Book Antiqua" w:hAnsi="Book Antiqua"/>
                <w:b/>
              </w:rPr>
            </w:pPr>
            <w:r w:rsidRPr="00CE25D5">
              <w:rPr>
                <w:rFonts w:ascii="Book Antiqua" w:hAnsi="Book Antiqua"/>
                <w:b/>
              </w:rPr>
              <w:t>44</w:t>
            </w:r>
            <w:r w:rsidR="00DD0C11" w:rsidRPr="00CE25D5">
              <w:rPr>
                <w:rFonts w:ascii="Book Antiqua" w:hAnsi="Book Antiqua"/>
                <w:b/>
              </w:rPr>
              <w:t>/56</w:t>
            </w:r>
          </w:p>
        </w:tc>
        <w:tc>
          <w:tcPr>
            <w:tcW w:w="2129" w:type="dxa"/>
            <w:tcBorders>
              <w:left w:val="nil"/>
              <w:bottom w:val="nil"/>
              <w:right w:val="nil"/>
            </w:tcBorders>
          </w:tcPr>
          <w:p w14:paraId="2A183A59" w14:textId="0F26F1B1" w:rsidR="00CB0F8F" w:rsidRPr="00CE25D5" w:rsidRDefault="00DD0C11" w:rsidP="00E715CA">
            <w:pPr>
              <w:spacing w:line="360" w:lineRule="auto"/>
              <w:jc w:val="both"/>
              <w:rPr>
                <w:rFonts w:ascii="Book Antiqua" w:hAnsi="Book Antiqua"/>
                <w:b/>
              </w:rPr>
            </w:pPr>
            <w:r w:rsidRPr="00CE25D5">
              <w:rPr>
                <w:rFonts w:ascii="Book Antiqua" w:hAnsi="Book Antiqua"/>
                <w:b/>
              </w:rPr>
              <w:t>0.47</w:t>
            </w:r>
          </w:p>
        </w:tc>
      </w:tr>
      <w:tr w:rsidR="00CE25D5" w:rsidRPr="00CE25D5" w14:paraId="235D592D" w14:textId="77777777" w:rsidTr="008C69F5">
        <w:tc>
          <w:tcPr>
            <w:tcW w:w="2802" w:type="dxa"/>
            <w:tcBorders>
              <w:top w:val="nil"/>
              <w:left w:val="nil"/>
              <w:bottom w:val="nil"/>
              <w:right w:val="nil"/>
            </w:tcBorders>
          </w:tcPr>
          <w:p w14:paraId="4CBF5C9D" w14:textId="57DE9884" w:rsidR="00CB0F8F" w:rsidRPr="00CE25D5" w:rsidRDefault="00F46763" w:rsidP="00E715CA">
            <w:pPr>
              <w:spacing w:line="360" w:lineRule="auto"/>
              <w:jc w:val="both"/>
              <w:rPr>
                <w:rFonts w:ascii="Book Antiqua" w:hAnsi="Book Antiqua"/>
                <w:b/>
              </w:rPr>
            </w:pPr>
            <w:r w:rsidRPr="00CE25D5">
              <w:rPr>
                <w:rFonts w:ascii="Book Antiqua" w:hAnsi="Book Antiqua"/>
                <w:b/>
              </w:rPr>
              <w:t xml:space="preserve">Age </w:t>
            </w:r>
            <w:r w:rsidR="008C69F5" w:rsidRPr="00CE25D5">
              <w:rPr>
                <w:rFonts w:ascii="Book Antiqua" w:hAnsi="Book Antiqua"/>
                <w:b/>
              </w:rPr>
              <w:t>in years</w:t>
            </w:r>
          </w:p>
        </w:tc>
        <w:tc>
          <w:tcPr>
            <w:tcW w:w="2023" w:type="dxa"/>
            <w:tcBorders>
              <w:top w:val="nil"/>
              <w:left w:val="nil"/>
              <w:bottom w:val="nil"/>
              <w:right w:val="nil"/>
            </w:tcBorders>
          </w:tcPr>
          <w:p w14:paraId="6450D7A9" w14:textId="4099B56D" w:rsidR="00CB0F8F" w:rsidRPr="00CE25D5" w:rsidRDefault="00F46763" w:rsidP="00E715CA">
            <w:pPr>
              <w:spacing w:line="360" w:lineRule="auto"/>
              <w:jc w:val="both"/>
              <w:rPr>
                <w:rFonts w:ascii="Book Antiqua" w:hAnsi="Book Antiqua"/>
                <w:b/>
              </w:rPr>
            </w:pPr>
            <w:r w:rsidRPr="00CE25D5">
              <w:rPr>
                <w:rFonts w:ascii="Book Antiqua" w:hAnsi="Book Antiqua"/>
                <w:b/>
              </w:rPr>
              <w:t>62.</w:t>
            </w:r>
            <w:r w:rsidR="008C69F5" w:rsidRPr="00CE25D5">
              <w:rPr>
                <w:rFonts w:ascii="Book Antiqua" w:hAnsi="Book Antiqua"/>
                <w:b/>
              </w:rPr>
              <w:t xml:space="preserve">57 ± </w:t>
            </w:r>
            <w:r w:rsidR="00DD0C11" w:rsidRPr="00CE25D5">
              <w:rPr>
                <w:rFonts w:ascii="Book Antiqua" w:hAnsi="Book Antiqua"/>
                <w:b/>
              </w:rPr>
              <w:t>12.14</w:t>
            </w:r>
          </w:p>
        </w:tc>
        <w:tc>
          <w:tcPr>
            <w:tcW w:w="2129" w:type="dxa"/>
            <w:tcBorders>
              <w:top w:val="nil"/>
              <w:left w:val="nil"/>
              <w:bottom w:val="nil"/>
              <w:right w:val="nil"/>
            </w:tcBorders>
          </w:tcPr>
          <w:p w14:paraId="0C6E6C6D" w14:textId="1B2E1E9D" w:rsidR="00CB0F8F" w:rsidRPr="00CE25D5" w:rsidRDefault="00F46763" w:rsidP="00E715CA">
            <w:pPr>
              <w:spacing w:line="360" w:lineRule="auto"/>
              <w:jc w:val="both"/>
              <w:rPr>
                <w:rFonts w:ascii="Book Antiqua" w:hAnsi="Book Antiqua"/>
                <w:b/>
              </w:rPr>
            </w:pPr>
            <w:r w:rsidRPr="00CE25D5">
              <w:rPr>
                <w:rFonts w:ascii="Book Antiqua" w:hAnsi="Book Antiqua"/>
                <w:b/>
              </w:rPr>
              <w:t>62.9</w:t>
            </w:r>
            <w:r w:rsidR="008C69F5" w:rsidRPr="00CE25D5">
              <w:rPr>
                <w:rFonts w:ascii="Book Antiqua" w:hAnsi="Book Antiqua"/>
                <w:b/>
              </w:rPr>
              <w:t xml:space="preserve"> ± </w:t>
            </w:r>
            <w:r w:rsidR="00DD0C11" w:rsidRPr="00CE25D5">
              <w:rPr>
                <w:rFonts w:ascii="Book Antiqua" w:hAnsi="Book Antiqua"/>
                <w:b/>
              </w:rPr>
              <w:t>12.6</w:t>
            </w:r>
          </w:p>
        </w:tc>
        <w:tc>
          <w:tcPr>
            <w:tcW w:w="2129" w:type="dxa"/>
            <w:tcBorders>
              <w:top w:val="nil"/>
              <w:left w:val="nil"/>
              <w:bottom w:val="nil"/>
              <w:right w:val="nil"/>
            </w:tcBorders>
          </w:tcPr>
          <w:p w14:paraId="03425902" w14:textId="5F86CD5A" w:rsidR="00CB0F8F" w:rsidRPr="00CE25D5" w:rsidRDefault="00DD0C11" w:rsidP="00E715CA">
            <w:pPr>
              <w:spacing w:line="360" w:lineRule="auto"/>
              <w:jc w:val="both"/>
              <w:rPr>
                <w:rFonts w:ascii="Book Antiqua" w:hAnsi="Book Antiqua"/>
                <w:b/>
              </w:rPr>
            </w:pPr>
            <w:r w:rsidRPr="00CE25D5">
              <w:rPr>
                <w:rFonts w:ascii="Book Antiqua" w:hAnsi="Book Antiqua"/>
                <w:b/>
              </w:rPr>
              <w:t>0.86</w:t>
            </w:r>
          </w:p>
        </w:tc>
      </w:tr>
      <w:tr w:rsidR="00CE25D5" w:rsidRPr="00CE25D5" w14:paraId="345E0E70" w14:textId="77777777" w:rsidTr="008C69F5">
        <w:tc>
          <w:tcPr>
            <w:tcW w:w="2802" w:type="dxa"/>
            <w:tcBorders>
              <w:top w:val="nil"/>
              <w:left w:val="nil"/>
              <w:bottom w:val="nil"/>
              <w:right w:val="nil"/>
            </w:tcBorders>
          </w:tcPr>
          <w:p w14:paraId="4F32D6B6" w14:textId="586344AD" w:rsidR="00CB0F8F" w:rsidRPr="00CE25D5" w:rsidRDefault="00F46763" w:rsidP="00E715CA">
            <w:pPr>
              <w:spacing w:line="360" w:lineRule="auto"/>
              <w:jc w:val="both"/>
              <w:rPr>
                <w:rFonts w:ascii="Book Antiqua" w:hAnsi="Book Antiqua"/>
                <w:b/>
              </w:rPr>
            </w:pPr>
            <w:r w:rsidRPr="00CE25D5">
              <w:rPr>
                <w:rFonts w:ascii="Book Antiqua" w:hAnsi="Book Antiqua"/>
                <w:b/>
              </w:rPr>
              <w:t>THR</w:t>
            </w:r>
            <w:r w:rsidR="00DD0C11" w:rsidRPr="00CE25D5">
              <w:rPr>
                <w:rFonts w:ascii="Book Antiqua" w:hAnsi="Book Antiqua"/>
                <w:b/>
              </w:rPr>
              <w:t>/TKR</w:t>
            </w:r>
          </w:p>
        </w:tc>
        <w:tc>
          <w:tcPr>
            <w:tcW w:w="2023" w:type="dxa"/>
            <w:tcBorders>
              <w:top w:val="nil"/>
              <w:left w:val="nil"/>
              <w:bottom w:val="nil"/>
              <w:right w:val="nil"/>
            </w:tcBorders>
          </w:tcPr>
          <w:p w14:paraId="6C63D9E8" w14:textId="677FC0B9" w:rsidR="00CB0F8F" w:rsidRPr="00CE25D5" w:rsidRDefault="00F46763" w:rsidP="00E715CA">
            <w:pPr>
              <w:spacing w:line="360" w:lineRule="auto"/>
              <w:jc w:val="both"/>
              <w:rPr>
                <w:rFonts w:ascii="Book Antiqua" w:hAnsi="Book Antiqua"/>
                <w:b/>
              </w:rPr>
            </w:pPr>
            <w:r w:rsidRPr="00CE25D5">
              <w:rPr>
                <w:rFonts w:ascii="Book Antiqua" w:hAnsi="Book Antiqua"/>
                <w:b/>
              </w:rPr>
              <w:t>60</w:t>
            </w:r>
            <w:r w:rsidR="00DD0C11" w:rsidRPr="00CE25D5">
              <w:rPr>
                <w:rFonts w:ascii="Book Antiqua" w:hAnsi="Book Antiqua"/>
                <w:b/>
              </w:rPr>
              <w:t>/40</w:t>
            </w:r>
          </w:p>
        </w:tc>
        <w:tc>
          <w:tcPr>
            <w:tcW w:w="2129" w:type="dxa"/>
            <w:tcBorders>
              <w:top w:val="nil"/>
              <w:left w:val="nil"/>
              <w:bottom w:val="nil"/>
              <w:right w:val="nil"/>
            </w:tcBorders>
          </w:tcPr>
          <w:p w14:paraId="4DAB98A9" w14:textId="2B1166C1" w:rsidR="00CB0F8F" w:rsidRPr="00CE25D5" w:rsidRDefault="00F46763" w:rsidP="00E715CA">
            <w:pPr>
              <w:spacing w:line="360" w:lineRule="auto"/>
              <w:jc w:val="both"/>
              <w:rPr>
                <w:rFonts w:ascii="Book Antiqua" w:hAnsi="Book Antiqua"/>
                <w:b/>
              </w:rPr>
            </w:pPr>
            <w:r w:rsidRPr="00CE25D5">
              <w:rPr>
                <w:rFonts w:ascii="Book Antiqua" w:hAnsi="Book Antiqua"/>
                <w:b/>
              </w:rPr>
              <w:t>52</w:t>
            </w:r>
            <w:r w:rsidR="00DD0C11" w:rsidRPr="00CE25D5">
              <w:rPr>
                <w:rFonts w:ascii="Book Antiqua" w:hAnsi="Book Antiqua"/>
                <w:b/>
              </w:rPr>
              <w:t>/48</w:t>
            </w:r>
          </w:p>
        </w:tc>
        <w:tc>
          <w:tcPr>
            <w:tcW w:w="2129" w:type="dxa"/>
            <w:tcBorders>
              <w:top w:val="nil"/>
              <w:left w:val="nil"/>
              <w:bottom w:val="nil"/>
              <w:right w:val="nil"/>
            </w:tcBorders>
          </w:tcPr>
          <w:p w14:paraId="4B0C5D24" w14:textId="549C4361" w:rsidR="00CB0F8F" w:rsidRPr="00CE25D5" w:rsidRDefault="00DD0C11" w:rsidP="00E715CA">
            <w:pPr>
              <w:spacing w:line="360" w:lineRule="auto"/>
              <w:jc w:val="both"/>
              <w:rPr>
                <w:rFonts w:ascii="Book Antiqua" w:hAnsi="Book Antiqua"/>
                <w:b/>
              </w:rPr>
            </w:pPr>
            <w:r w:rsidRPr="00CE25D5">
              <w:rPr>
                <w:rFonts w:ascii="Book Antiqua" w:hAnsi="Book Antiqua"/>
                <w:b/>
              </w:rPr>
              <w:t>0.25</w:t>
            </w:r>
          </w:p>
        </w:tc>
      </w:tr>
      <w:tr w:rsidR="00CE25D5" w:rsidRPr="00CE25D5" w14:paraId="332137F1" w14:textId="77777777" w:rsidTr="008C69F5">
        <w:tc>
          <w:tcPr>
            <w:tcW w:w="2802" w:type="dxa"/>
            <w:tcBorders>
              <w:top w:val="nil"/>
              <w:left w:val="nil"/>
              <w:bottom w:val="nil"/>
              <w:right w:val="nil"/>
            </w:tcBorders>
          </w:tcPr>
          <w:p w14:paraId="649ACB72" w14:textId="1B79E087" w:rsidR="00CB0F8F" w:rsidRPr="00CE25D5" w:rsidRDefault="00F46763" w:rsidP="00E715CA">
            <w:pPr>
              <w:spacing w:line="360" w:lineRule="auto"/>
              <w:jc w:val="both"/>
              <w:rPr>
                <w:rFonts w:ascii="Book Antiqua" w:hAnsi="Book Antiqua"/>
                <w:b/>
              </w:rPr>
            </w:pPr>
            <w:r w:rsidRPr="00CE25D5">
              <w:rPr>
                <w:rFonts w:ascii="Book Antiqua" w:hAnsi="Book Antiqua"/>
                <w:b/>
              </w:rPr>
              <w:t xml:space="preserve">Pre-operative </w:t>
            </w:r>
            <w:proofErr w:type="spellStart"/>
            <w:r w:rsidRPr="00CE25D5">
              <w:rPr>
                <w:rFonts w:ascii="Book Antiqua" w:hAnsi="Book Antiqua"/>
                <w:b/>
              </w:rPr>
              <w:t>Hgb</w:t>
            </w:r>
            <w:proofErr w:type="spellEnd"/>
            <w:r w:rsidR="008C69F5" w:rsidRPr="00CE25D5">
              <w:rPr>
                <w:rFonts w:ascii="Book Antiqua" w:hAnsi="Book Antiqua"/>
                <w:b/>
              </w:rPr>
              <w:t xml:space="preserve"> </w:t>
            </w:r>
          </w:p>
        </w:tc>
        <w:tc>
          <w:tcPr>
            <w:tcW w:w="2023" w:type="dxa"/>
            <w:tcBorders>
              <w:top w:val="nil"/>
              <w:left w:val="nil"/>
              <w:bottom w:val="nil"/>
              <w:right w:val="nil"/>
            </w:tcBorders>
          </w:tcPr>
          <w:p w14:paraId="217BD0A6" w14:textId="41C6E160" w:rsidR="00CB0F8F" w:rsidRPr="00CE25D5" w:rsidRDefault="00F46763" w:rsidP="00E715CA">
            <w:pPr>
              <w:spacing w:line="360" w:lineRule="auto"/>
              <w:jc w:val="both"/>
              <w:rPr>
                <w:rFonts w:ascii="Book Antiqua" w:hAnsi="Book Antiqua"/>
                <w:b/>
              </w:rPr>
            </w:pPr>
            <w:r w:rsidRPr="00CE25D5">
              <w:rPr>
                <w:rFonts w:ascii="Book Antiqua" w:hAnsi="Book Antiqua"/>
                <w:b/>
              </w:rPr>
              <w:t>13.</w:t>
            </w:r>
            <w:r w:rsidR="00DD0C11" w:rsidRPr="00CE25D5">
              <w:rPr>
                <w:rFonts w:ascii="Book Antiqua" w:hAnsi="Book Antiqua"/>
                <w:b/>
              </w:rPr>
              <w:t>61</w:t>
            </w:r>
            <w:r w:rsidR="008C69F5" w:rsidRPr="00CE25D5">
              <w:rPr>
                <w:rFonts w:ascii="Book Antiqua" w:hAnsi="Book Antiqua"/>
                <w:b/>
              </w:rPr>
              <w:t xml:space="preserve"> ± </w:t>
            </w:r>
            <w:r w:rsidR="00DD0C11" w:rsidRPr="00CE25D5">
              <w:rPr>
                <w:rFonts w:ascii="Book Antiqua" w:hAnsi="Book Antiqua"/>
                <w:b/>
              </w:rPr>
              <w:t>1.42</w:t>
            </w:r>
          </w:p>
        </w:tc>
        <w:tc>
          <w:tcPr>
            <w:tcW w:w="2129" w:type="dxa"/>
            <w:tcBorders>
              <w:top w:val="nil"/>
              <w:left w:val="nil"/>
              <w:bottom w:val="nil"/>
              <w:right w:val="nil"/>
            </w:tcBorders>
          </w:tcPr>
          <w:p w14:paraId="260029ED" w14:textId="631BA75F" w:rsidR="00CB0F8F" w:rsidRPr="00CE25D5" w:rsidRDefault="00F46763" w:rsidP="00E715CA">
            <w:pPr>
              <w:spacing w:line="360" w:lineRule="auto"/>
              <w:jc w:val="both"/>
              <w:rPr>
                <w:rFonts w:ascii="Book Antiqua" w:hAnsi="Book Antiqua"/>
                <w:b/>
              </w:rPr>
            </w:pPr>
            <w:r w:rsidRPr="00CE25D5">
              <w:rPr>
                <w:rFonts w:ascii="Book Antiqua" w:hAnsi="Book Antiqua"/>
                <w:b/>
              </w:rPr>
              <w:t>13.</w:t>
            </w:r>
            <w:r w:rsidR="008C69F5" w:rsidRPr="00CE25D5">
              <w:rPr>
                <w:rFonts w:ascii="Book Antiqua" w:hAnsi="Book Antiqua"/>
                <w:b/>
              </w:rPr>
              <w:t xml:space="preserve">77 ± </w:t>
            </w:r>
            <w:r w:rsidR="00DD0C11" w:rsidRPr="00CE25D5">
              <w:rPr>
                <w:rFonts w:ascii="Book Antiqua" w:hAnsi="Book Antiqua"/>
                <w:b/>
              </w:rPr>
              <w:t>1.41</w:t>
            </w:r>
          </w:p>
        </w:tc>
        <w:tc>
          <w:tcPr>
            <w:tcW w:w="2129" w:type="dxa"/>
            <w:tcBorders>
              <w:top w:val="nil"/>
              <w:left w:val="nil"/>
              <w:bottom w:val="nil"/>
              <w:right w:val="nil"/>
            </w:tcBorders>
          </w:tcPr>
          <w:p w14:paraId="6F5536B9" w14:textId="11A5A4F4" w:rsidR="00DD0C11" w:rsidRPr="00CE25D5" w:rsidRDefault="00DD0C11" w:rsidP="00E715CA">
            <w:pPr>
              <w:spacing w:line="360" w:lineRule="auto"/>
              <w:jc w:val="both"/>
              <w:rPr>
                <w:rFonts w:ascii="Book Antiqua" w:hAnsi="Book Antiqua"/>
                <w:b/>
              </w:rPr>
            </w:pPr>
            <w:r w:rsidRPr="00CE25D5">
              <w:rPr>
                <w:rFonts w:ascii="Book Antiqua" w:hAnsi="Book Antiqua"/>
                <w:b/>
              </w:rPr>
              <w:t>0.43</w:t>
            </w:r>
          </w:p>
        </w:tc>
      </w:tr>
      <w:tr w:rsidR="00CE25D5" w:rsidRPr="00CE25D5" w14:paraId="0E0A6DAA" w14:textId="77777777" w:rsidTr="008C69F5">
        <w:tc>
          <w:tcPr>
            <w:tcW w:w="2802" w:type="dxa"/>
            <w:tcBorders>
              <w:top w:val="nil"/>
              <w:left w:val="nil"/>
              <w:bottom w:val="nil"/>
              <w:right w:val="nil"/>
            </w:tcBorders>
          </w:tcPr>
          <w:p w14:paraId="028F73F7" w14:textId="34FD849A" w:rsidR="00DD0C11" w:rsidRPr="00CE25D5" w:rsidRDefault="008C69F5" w:rsidP="00E715CA">
            <w:pPr>
              <w:spacing w:line="360" w:lineRule="auto"/>
              <w:jc w:val="both"/>
              <w:rPr>
                <w:rFonts w:ascii="Book Antiqua" w:hAnsi="Book Antiqua"/>
                <w:b/>
              </w:rPr>
            </w:pPr>
            <w:r w:rsidRPr="00CE25D5">
              <w:rPr>
                <w:rFonts w:ascii="Book Antiqua" w:hAnsi="Book Antiqua"/>
                <w:b/>
              </w:rPr>
              <w:t xml:space="preserve">Pre-operative </w:t>
            </w:r>
            <w:proofErr w:type="spellStart"/>
            <w:r w:rsidRPr="00CE25D5">
              <w:rPr>
                <w:rFonts w:ascii="Book Antiqua" w:hAnsi="Book Antiqua"/>
                <w:b/>
              </w:rPr>
              <w:t>Hct</w:t>
            </w:r>
            <w:proofErr w:type="spellEnd"/>
            <w:r w:rsidRPr="00CE25D5">
              <w:rPr>
                <w:rFonts w:ascii="Book Antiqua" w:hAnsi="Book Antiqua"/>
                <w:b/>
              </w:rPr>
              <w:t xml:space="preserve"> </w:t>
            </w:r>
          </w:p>
        </w:tc>
        <w:tc>
          <w:tcPr>
            <w:tcW w:w="2023" w:type="dxa"/>
            <w:tcBorders>
              <w:top w:val="nil"/>
              <w:left w:val="nil"/>
              <w:bottom w:val="nil"/>
              <w:right w:val="nil"/>
            </w:tcBorders>
          </w:tcPr>
          <w:p w14:paraId="54607C42" w14:textId="53550360" w:rsidR="00DD0C11" w:rsidRPr="00CE25D5" w:rsidRDefault="00DD0C11" w:rsidP="00E715CA">
            <w:pPr>
              <w:spacing w:line="360" w:lineRule="auto"/>
              <w:jc w:val="both"/>
              <w:rPr>
                <w:rFonts w:ascii="Book Antiqua" w:hAnsi="Book Antiqua"/>
                <w:b/>
              </w:rPr>
            </w:pPr>
            <w:r w:rsidRPr="00CE25D5">
              <w:rPr>
                <w:rFonts w:ascii="Book Antiqua" w:hAnsi="Book Antiqua"/>
                <w:b/>
              </w:rPr>
              <w:t xml:space="preserve">0.41 </w:t>
            </w:r>
            <w:r w:rsidR="008C69F5" w:rsidRPr="00CE25D5">
              <w:rPr>
                <w:rFonts w:ascii="Book Antiqua" w:hAnsi="Book Antiqua"/>
                <w:b/>
              </w:rPr>
              <w:t>± 0.04</w:t>
            </w:r>
          </w:p>
        </w:tc>
        <w:tc>
          <w:tcPr>
            <w:tcW w:w="2129" w:type="dxa"/>
            <w:tcBorders>
              <w:top w:val="nil"/>
              <w:left w:val="nil"/>
              <w:bottom w:val="nil"/>
              <w:right w:val="nil"/>
            </w:tcBorders>
          </w:tcPr>
          <w:p w14:paraId="148BCC4B" w14:textId="39060A9F" w:rsidR="00DD0C11" w:rsidRPr="00CE25D5" w:rsidRDefault="008C69F5" w:rsidP="00E715CA">
            <w:pPr>
              <w:spacing w:line="360" w:lineRule="auto"/>
              <w:jc w:val="both"/>
              <w:rPr>
                <w:rFonts w:ascii="Book Antiqua" w:hAnsi="Book Antiqua"/>
                <w:b/>
              </w:rPr>
            </w:pPr>
            <w:r w:rsidRPr="00CE25D5">
              <w:rPr>
                <w:rFonts w:ascii="Book Antiqua" w:hAnsi="Book Antiqua"/>
                <w:b/>
              </w:rPr>
              <w:t>0.41 ± 0.04</w:t>
            </w:r>
          </w:p>
        </w:tc>
        <w:tc>
          <w:tcPr>
            <w:tcW w:w="2129" w:type="dxa"/>
            <w:tcBorders>
              <w:top w:val="nil"/>
              <w:left w:val="nil"/>
              <w:bottom w:val="nil"/>
              <w:right w:val="nil"/>
            </w:tcBorders>
          </w:tcPr>
          <w:p w14:paraId="52291B55" w14:textId="089DF9C3" w:rsidR="00DD0C11" w:rsidRPr="00CE25D5" w:rsidRDefault="00DD0C11" w:rsidP="00E715CA">
            <w:pPr>
              <w:spacing w:line="360" w:lineRule="auto"/>
              <w:jc w:val="both"/>
              <w:rPr>
                <w:rFonts w:ascii="Book Antiqua" w:hAnsi="Book Antiqua"/>
                <w:b/>
              </w:rPr>
            </w:pPr>
            <w:r w:rsidRPr="00CE25D5">
              <w:rPr>
                <w:rFonts w:ascii="Book Antiqua" w:hAnsi="Book Antiqua"/>
                <w:b/>
              </w:rPr>
              <w:t>0.32</w:t>
            </w:r>
          </w:p>
        </w:tc>
      </w:tr>
      <w:tr w:rsidR="00DD0C11" w:rsidRPr="00CE25D5" w14:paraId="27B8105A" w14:textId="77777777" w:rsidTr="008C69F5">
        <w:tc>
          <w:tcPr>
            <w:tcW w:w="2802" w:type="dxa"/>
            <w:tcBorders>
              <w:top w:val="nil"/>
              <w:left w:val="nil"/>
              <w:bottom w:val="nil"/>
              <w:right w:val="nil"/>
            </w:tcBorders>
          </w:tcPr>
          <w:p w14:paraId="6DC38CEE" w14:textId="793D9D87" w:rsidR="00DD0C11" w:rsidRPr="00CE25D5" w:rsidRDefault="00DD0C11" w:rsidP="00E715CA">
            <w:pPr>
              <w:spacing w:line="360" w:lineRule="auto"/>
              <w:jc w:val="both"/>
              <w:rPr>
                <w:rFonts w:ascii="Book Antiqua" w:hAnsi="Book Antiqua"/>
                <w:b/>
              </w:rPr>
            </w:pPr>
            <w:r w:rsidRPr="00CE25D5">
              <w:rPr>
                <w:rFonts w:ascii="Book Antiqua" w:hAnsi="Book Antiqua"/>
                <w:b/>
              </w:rPr>
              <w:t xml:space="preserve">Pre-operative </w:t>
            </w:r>
            <w:r w:rsidR="00C81DFD" w:rsidRPr="00CE25D5">
              <w:rPr>
                <w:rFonts w:ascii="Book Antiqua" w:hAnsi="Book Antiqua"/>
                <w:b/>
              </w:rPr>
              <w:t>platelets</w:t>
            </w:r>
          </w:p>
        </w:tc>
        <w:tc>
          <w:tcPr>
            <w:tcW w:w="2023" w:type="dxa"/>
            <w:tcBorders>
              <w:top w:val="nil"/>
              <w:left w:val="nil"/>
              <w:bottom w:val="nil"/>
              <w:right w:val="nil"/>
            </w:tcBorders>
          </w:tcPr>
          <w:p w14:paraId="02027236" w14:textId="6C950871" w:rsidR="00DD0C11" w:rsidRPr="00CE25D5" w:rsidRDefault="008C69F5" w:rsidP="00E715CA">
            <w:pPr>
              <w:spacing w:line="360" w:lineRule="auto"/>
              <w:jc w:val="both"/>
              <w:rPr>
                <w:rFonts w:ascii="Book Antiqua" w:hAnsi="Book Antiqua"/>
                <w:b/>
              </w:rPr>
            </w:pPr>
            <w:r w:rsidRPr="00CE25D5">
              <w:rPr>
                <w:rFonts w:ascii="Book Antiqua" w:hAnsi="Book Antiqua"/>
                <w:b/>
              </w:rPr>
              <w:t xml:space="preserve">253.01 ± </w:t>
            </w:r>
            <w:r w:rsidR="00C81DFD" w:rsidRPr="00CE25D5">
              <w:rPr>
                <w:rFonts w:ascii="Book Antiqua" w:hAnsi="Book Antiqua"/>
                <w:b/>
              </w:rPr>
              <w:t>55.87</w:t>
            </w:r>
          </w:p>
        </w:tc>
        <w:tc>
          <w:tcPr>
            <w:tcW w:w="2129" w:type="dxa"/>
            <w:tcBorders>
              <w:top w:val="nil"/>
              <w:left w:val="nil"/>
              <w:bottom w:val="nil"/>
              <w:right w:val="nil"/>
            </w:tcBorders>
          </w:tcPr>
          <w:p w14:paraId="32E43CE3" w14:textId="178C6B7C" w:rsidR="00DD0C11" w:rsidRPr="00CE25D5" w:rsidRDefault="008C69F5" w:rsidP="00E715CA">
            <w:pPr>
              <w:spacing w:line="360" w:lineRule="auto"/>
              <w:jc w:val="both"/>
              <w:rPr>
                <w:rFonts w:ascii="Book Antiqua" w:hAnsi="Book Antiqua"/>
                <w:b/>
              </w:rPr>
            </w:pPr>
            <w:r w:rsidRPr="00CE25D5">
              <w:rPr>
                <w:rFonts w:ascii="Book Antiqua" w:hAnsi="Book Antiqua"/>
                <w:b/>
              </w:rPr>
              <w:t xml:space="preserve">256.85 ± </w:t>
            </w:r>
            <w:r w:rsidR="00C81DFD" w:rsidRPr="00CE25D5">
              <w:rPr>
                <w:rFonts w:ascii="Book Antiqua" w:hAnsi="Book Antiqua"/>
                <w:b/>
              </w:rPr>
              <w:t>69.75</w:t>
            </w:r>
          </w:p>
        </w:tc>
        <w:tc>
          <w:tcPr>
            <w:tcW w:w="2129" w:type="dxa"/>
            <w:tcBorders>
              <w:top w:val="nil"/>
              <w:left w:val="nil"/>
              <w:bottom w:val="nil"/>
              <w:right w:val="nil"/>
            </w:tcBorders>
          </w:tcPr>
          <w:p w14:paraId="79009DF1" w14:textId="2BEB424D" w:rsidR="00DD0C11" w:rsidRPr="00CE25D5" w:rsidRDefault="00C81DFD" w:rsidP="00E715CA">
            <w:pPr>
              <w:spacing w:line="360" w:lineRule="auto"/>
              <w:jc w:val="both"/>
              <w:rPr>
                <w:rFonts w:ascii="Book Antiqua" w:hAnsi="Book Antiqua"/>
                <w:b/>
              </w:rPr>
            </w:pPr>
            <w:r w:rsidRPr="00CE25D5">
              <w:rPr>
                <w:rFonts w:ascii="Book Antiqua" w:hAnsi="Book Antiqua"/>
                <w:b/>
              </w:rPr>
              <w:t>0.67</w:t>
            </w:r>
          </w:p>
        </w:tc>
      </w:tr>
    </w:tbl>
    <w:p w14:paraId="031D3764" w14:textId="77777777" w:rsidR="00514343" w:rsidRPr="00CE25D5" w:rsidRDefault="00514343" w:rsidP="00E715CA">
      <w:pPr>
        <w:spacing w:line="360" w:lineRule="auto"/>
        <w:jc w:val="both"/>
        <w:rPr>
          <w:rFonts w:ascii="Book Antiqua" w:hAnsi="Book Antiqua"/>
          <w:b/>
        </w:rPr>
      </w:pPr>
    </w:p>
    <w:p w14:paraId="27A0EF35" w14:textId="5AA79966" w:rsidR="00514343" w:rsidRPr="00CE25D5" w:rsidRDefault="00676B4C" w:rsidP="00E715CA">
      <w:pPr>
        <w:spacing w:line="360" w:lineRule="auto"/>
        <w:jc w:val="both"/>
        <w:rPr>
          <w:rFonts w:ascii="Book Antiqua" w:eastAsia="宋体" w:hAnsi="Book Antiqua"/>
          <w:lang w:eastAsia="zh-CN"/>
        </w:rPr>
      </w:pPr>
      <w:r w:rsidRPr="00CE25D5">
        <w:rPr>
          <w:rFonts w:ascii="Book Antiqua" w:hAnsi="Book Antiqua"/>
        </w:rPr>
        <w:t>THR</w:t>
      </w:r>
      <w:r w:rsidRPr="00CE25D5">
        <w:rPr>
          <w:rFonts w:ascii="Book Antiqua" w:eastAsia="宋体" w:hAnsi="Book Antiqua" w:hint="eastAsia"/>
          <w:lang w:eastAsia="zh-CN"/>
        </w:rPr>
        <w:t xml:space="preserve">: </w:t>
      </w:r>
      <w:r w:rsidRPr="00CE25D5">
        <w:rPr>
          <w:rFonts w:ascii="Book Antiqua" w:hAnsi="Book Antiqua"/>
        </w:rPr>
        <w:t>Total hip replacement</w:t>
      </w:r>
      <w:r w:rsidRPr="00CE25D5">
        <w:rPr>
          <w:rFonts w:ascii="Book Antiqua" w:eastAsia="宋体" w:hAnsi="Book Antiqua" w:hint="eastAsia"/>
          <w:lang w:eastAsia="zh-CN"/>
        </w:rPr>
        <w:t>;</w:t>
      </w:r>
      <w:r w:rsidRPr="00CE25D5">
        <w:rPr>
          <w:rFonts w:ascii="Book Antiqua" w:hAnsi="Book Antiqua"/>
        </w:rPr>
        <w:t xml:space="preserve"> TKR</w:t>
      </w:r>
      <w:r w:rsidRPr="00CE25D5">
        <w:rPr>
          <w:rFonts w:ascii="Book Antiqua" w:eastAsia="宋体" w:hAnsi="Book Antiqua" w:hint="eastAsia"/>
          <w:lang w:eastAsia="zh-CN"/>
        </w:rPr>
        <w:t>:</w:t>
      </w:r>
      <w:r w:rsidRPr="00CE25D5">
        <w:rPr>
          <w:rFonts w:ascii="Book Antiqua" w:hAnsi="Book Antiqua"/>
        </w:rPr>
        <w:t xml:space="preserve"> Total knee replacement</w:t>
      </w:r>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Hgb</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Haemoglobin</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Hct</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Haematocrit</w:t>
      </w:r>
      <w:proofErr w:type="spellEnd"/>
      <w:r w:rsidR="00CE25D5">
        <w:rPr>
          <w:rFonts w:ascii="Book Antiqua" w:eastAsia="宋体" w:hAnsi="Book Antiqua" w:hint="eastAsia"/>
          <w:lang w:eastAsia="zh-CN"/>
        </w:rPr>
        <w:t>;</w:t>
      </w:r>
      <w:r w:rsidR="00CE25D5" w:rsidRPr="00CE25D5">
        <w:rPr>
          <w:rFonts w:ascii="Book Antiqua" w:hAnsi="Book Antiqua"/>
          <w:b/>
        </w:rPr>
        <w:t xml:space="preserve"> </w:t>
      </w:r>
      <w:r w:rsidR="00CE25D5" w:rsidRPr="00CE25D5">
        <w:rPr>
          <w:rFonts w:ascii="Book Antiqua" w:hAnsi="Book Antiqua"/>
        </w:rPr>
        <w:t>TXA</w:t>
      </w:r>
      <w:r w:rsidR="00CE25D5" w:rsidRPr="00CE25D5">
        <w:rPr>
          <w:rFonts w:ascii="Book Antiqua" w:eastAsia="宋体" w:hAnsi="Book Antiqua" w:hint="eastAsia"/>
          <w:lang w:eastAsia="zh-CN"/>
        </w:rPr>
        <w:t xml:space="preserve">: </w:t>
      </w:r>
      <w:r w:rsidR="00DE2013">
        <w:rPr>
          <w:rFonts w:ascii="Book Antiqua" w:eastAsia="宋体" w:hAnsi="Book Antiqua" w:hint="eastAsia"/>
          <w:lang w:eastAsia="zh-CN"/>
        </w:rPr>
        <w:t>T</w:t>
      </w:r>
      <w:r w:rsidR="00CE25D5" w:rsidRPr="00CE25D5">
        <w:rPr>
          <w:rFonts w:ascii="Book Antiqua" w:hAnsi="Book Antiqua"/>
        </w:rPr>
        <w:t>ranexamic acid</w:t>
      </w:r>
      <w:r w:rsidR="00CE25D5" w:rsidRPr="00CE25D5">
        <w:rPr>
          <w:rFonts w:ascii="Book Antiqua" w:eastAsia="宋体" w:hAnsi="Book Antiqua" w:hint="eastAsia"/>
          <w:lang w:eastAsia="zh-CN"/>
        </w:rPr>
        <w:t>.</w:t>
      </w:r>
    </w:p>
    <w:p w14:paraId="64059673" w14:textId="77777777" w:rsidR="00514343" w:rsidRPr="00CE25D5" w:rsidRDefault="00514343" w:rsidP="00E715CA">
      <w:pPr>
        <w:spacing w:line="360" w:lineRule="auto"/>
        <w:jc w:val="both"/>
        <w:rPr>
          <w:rFonts w:ascii="Book Antiqua" w:hAnsi="Book Antiqua"/>
          <w:b/>
        </w:rPr>
      </w:pPr>
    </w:p>
    <w:p w14:paraId="36D17457" w14:textId="77777777" w:rsidR="00C06CC7" w:rsidRPr="00CE25D5" w:rsidRDefault="00C06CC7" w:rsidP="00E715CA">
      <w:pPr>
        <w:spacing w:line="360" w:lineRule="auto"/>
        <w:jc w:val="both"/>
        <w:rPr>
          <w:rFonts w:ascii="Book Antiqua" w:hAnsi="Book Antiqua"/>
          <w:b/>
        </w:rPr>
      </w:pPr>
    </w:p>
    <w:p w14:paraId="1C69001B" w14:textId="77777777" w:rsidR="00C06CC7" w:rsidRPr="00CE25D5" w:rsidRDefault="00C06CC7" w:rsidP="00E715CA">
      <w:pPr>
        <w:spacing w:line="360" w:lineRule="auto"/>
        <w:jc w:val="both"/>
        <w:rPr>
          <w:rFonts w:ascii="Book Antiqua" w:hAnsi="Book Antiqua"/>
          <w:b/>
        </w:rPr>
      </w:pPr>
    </w:p>
    <w:p w14:paraId="0335BEC4" w14:textId="77777777" w:rsidR="00C06CC7" w:rsidRPr="00CE25D5" w:rsidRDefault="00C06CC7" w:rsidP="00E715CA">
      <w:pPr>
        <w:spacing w:line="360" w:lineRule="auto"/>
        <w:jc w:val="both"/>
        <w:rPr>
          <w:rFonts w:ascii="Book Antiqua" w:hAnsi="Book Antiqua"/>
          <w:b/>
        </w:rPr>
      </w:pPr>
    </w:p>
    <w:p w14:paraId="3FE40619" w14:textId="77777777" w:rsidR="00C06CC7" w:rsidRPr="00CE25D5" w:rsidRDefault="00C06CC7" w:rsidP="00E715CA">
      <w:pPr>
        <w:spacing w:line="360" w:lineRule="auto"/>
        <w:jc w:val="both"/>
        <w:rPr>
          <w:rFonts w:ascii="Book Antiqua" w:hAnsi="Book Antiqua"/>
          <w:b/>
        </w:rPr>
      </w:pPr>
    </w:p>
    <w:p w14:paraId="29CABCF6" w14:textId="77777777" w:rsidR="00C06CC7" w:rsidRPr="00CE25D5" w:rsidRDefault="00C06CC7" w:rsidP="00E715CA">
      <w:pPr>
        <w:spacing w:line="360" w:lineRule="auto"/>
        <w:jc w:val="both"/>
        <w:rPr>
          <w:rFonts w:ascii="Book Antiqua" w:hAnsi="Book Antiqua"/>
          <w:b/>
        </w:rPr>
      </w:pPr>
    </w:p>
    <w:p w14:paraId="61BFE59C" w14:textId="77777777" w:rsidR="00C06CC7" w:rsidRPr="00CE25D5" w:rsidRDefault="00C06CC7" w:rsidP="00E715CA">
      <w:pPr>
        <w:spacing w:line="360" w:lineRule="auto"/>
        <w:jc w:val="both"/>
        <w:rPr>
          <w:rFonts w:ascii="Book Antiqua" w:hAnsi="Book Antiqua"/>
          <w:b/>
        </w:rPr>
      </w:pPr>
    </w:p>
    <w:p w14:paraId="19D86D03" w14:textId="77777777" w:rsidR="00C06CC7" w:rsidRPr="00CE25D5" w:rsidRDefault="00C06CC7" w:rsidP="00E715CA">
      <w:pPr>
        <w:spacing w:line="360" w:lineRule="auto"/>
        <w:jc w:val="both"/>
        <w:rPr>
          <w:rFonts w:ascii="Book Antiqua" w:hAnsi="Book Antiqua"/>
          <w:b/>
        </w:rPr>
      </w:pPr>
    </w:p>
    <w:p w14:paraId="1EDACFAD" w14:textId="77777777" w:rsidR="00C06CC7" w:rsidRPr="00CE25D5" w:rsidRDefault="00C06CC7" w:rsidP="00E715CA">
      <w:pPr>
        <w:spacing w:line="360" w:lineRule="auto"/>
        <w:jc w:val="both"/>
        <w:rPr>
          <w:rFonts w:ascii="Book Antiqua" w:hAnsi="Book Antiqua"/>
          <w:b/>
        </w:rPr>
      </w:pPr>
    </w:p>
    <w:p w14:paraId="4B5DF38B" w14:textId="77777777" w:rsidR="00C06CC7" w:rsidRPr="00CE25D5" w:rsidRDefault="00C06CC7" w:rsidP="00E715CA">
      <w:pPr>
        <w:spacing w:line="360" w:lineRule="auto"/>
        <w:jc w:val="both"/>
        <w:rPr>
          <w:rFonts w:ascii="Book Antiqua" w:hAnsi="Book Antiqua"/>
          <w:b/>
        </w:rPr>
      </w:pPr>
    </w:p>
    <w:p w14:paraId="6E54F136" w14:textId="77777777" w:rsidR="00C06CC7" w:rsidRPr="00CE25D5" w:rsidRDefault="00C06CC7" w:rsidP="00E715CA">
      <w:pPr>
        <w:spacing w:line="360" w:lineRule="auto"/>
        <w:jc w:val="both"/>
        <w:rPr>
          <w:rFonts w:ascii="Book Antiqua" w:hAnsi="Book Antiqua"/>
          <w:b/>
        </w:rPr>
      </w:pPr>
    </w:p>
    <w:p w14:paraId="4BB69D07" w14:textId="77777777" w:rsidR="00C06CC7" w:rsidRPr="00CE25D5" w:rsidRDefault="00C06CC7" w:rsidP="00E715CA">
      <w:pPr>
        <w:spacing w:line="360" w:lineRule="auto"/>
        <w:jc w:val="both"/>
        <w:rPr>
          <w:rFonts w:ascii="Book Antiqua" w:hAnsi="Book Antiqua"/>
          <w:b/>
        </w:rPr>
      </w:pPr>
    </w:p>
    <w:p w14:paraId="37B2EB7D" w14:textId="77777777" w:rsidR="00C06CC7" w:rsidRPr="00CE25D5" w:rsidRDefault="00C06CC7" w:rsidP="00E715CA">
      <w:pPr>
        <w:spacing w:line="360" w:lineRule="auto"/>
        <w:jc w:val="both"/>
        <w:rPr>
          <w:rFonts w:ascii="Book Antiqua" w:hAnsi="Book Antiqua"/>
          <w:b/>
        </w:rPr>
      </w:pPr>
    </w:p>
    <w:p w14:paraId="6600DAFF" w14:textId="77777777" w:rsidR="00C06CC7" w:rsidRPr="00CE25D5" w:rsidRDefault="00C06CC7" w:rsidP="00E715CA">
      <w:pPr>
        <w:spacing w:line="360" w:lineRule="auto"/>
        <w:jc w:val="both"/>
        <w:rPr>
          <w:rFonts w:ascii="Book Antiqua" w:hAnsi="Book Antiqua"/>
          <w:b/>
        </w:rPr>
      </w:pPr>
    </w:p>
    <w:p w14:paraId="7481E0A7" w14:textId="77777777" w:rsidR="00C06CC7" w:rsidRPr="00CE25D5" w:rsidRDefault="00C06CC7" w:rsidP="00E715CA">
      <w:pPr>
        <w:spacing w:line="360" w:lineRule="auto"/>
        <w:jc w:val="both"/>
        <w:rPr>
          <w:rFonts w:ascii="Book Antiqua" w:hAnsi="Book Antiqua"/>
          <w:b/>
        </w:rPr>
      </w:pPr>
    </w:p>
    <w:p w14:paraId="35945856" w14:textId="77777777" w:rsidR="00C06CC7" w:rsidRPr="00CE25D5" w:rsidRDefault="00C06CC7" w:rsidP="00E715CA">
      <w:pPr>
        <w:spacing w:line="360" w:lineRule="auto"/>
        <w:jc w:val="both"/>
        <w:rPr>
          <w:rFonts w:ascii="Book Antiqua" w:hAnsi="Book Antiqua"/>
          <w:b/>
        </w:rPr>
      </w:pPr>
    </w:p>
    <w:p w14:paraId="7CD4D904" w14:textId="77777777" w:rsidR="008C69F5" w:rsidRPr="00CE25D5" w:rsidRDefault="008C69F5" w:rsidP="00E715CA">
      <w:pPr>
        <w:spacing w:line="360" w:lineRule="auto"/>
        <w:jc w:val="both"/>
        <w:rPr>
          <w:rFonts w:ascii="Book Antiqua" w:hAnsi="Book Antiqua"/>
          <w:b/>
        </w:rPr>
      </w:pPr>
    </w:p>
    <w:p w14:paraId="75D2FF30" w14:textId="77777777" w:rsidR="008C69F5" w:rsidRPr="00CE25D5" w:rsidRDefault="008C69F5" w:rsidP="00E715CA">
      <w:pPr>
        <w:spacing w:line="360" w:lineRule="auto"/>
        <w:jc w:val="both"/>
        <w:rPr>
          <w:rFonts w:ascii="Book Antiqua" w:hAnsi="Book Antiqua"/>
          <w:b/>
        </w:rPr>
      </w:pPr>
    </w:p>
    <w:p w14:paraId="0C965CD3" w14:textId="77777777" w:rsidR="008C69F5" w:rsidRPr="00CE25D5" w:rsidRDefault="008C69F5" w:rsidP="00E715CA">
      <w:pPr>
        <w:spacing w:line="360" w:lineRule="auto"/>
        <w:jc w:val="both"/>
        <w:rPr>
          <w:rFonts w:ascii="Book Antiqua" w:hAnsi="Book Antiqua"/>
          <w:b/>
        </w:rPr>
      </w:pPr>
    </w:p>
    <w:tbl>
      <w:tblPr>
        <w:tblStyle w:val="TableGrid"/>
        <w:tblW w:w="89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9"/>
        <w:gridCol w:w="2129"/>
        <w:gridCol w:w="2129"/>
        <w:gridCol w:w="36"/>
      </w:tblGrid>
      <w:tr w:rsidR="00CE25D5" w:rsidRPr="00CE25D5" w14:paraId="3349BEF6" w14:textId="77777777" w:rsidTr="00D20880">
        <w:tc>
          <w:tcPr>
            <w:tcW w:w="8941" w:type="dxa"/>
            <w:gridSpan w:val="5"/>
            <w:tcBorders>
              <w:top w:val="nil"/>
              <w:bottom w:val="single" w:sz="4" w:space="0" w:color="auto"/>
            </w:tcBorders>
          </w:tcPr>
          <w:p w14:paraId="3847BDD1" w14:textId="15C9A938" w:rsidR="0017423F" w:rsidRPr="00CE25D5" w:rsidRDefault="0017423F" w:rsidP="00E715CA">
            <w:pPr>
              <w:spacing w:line="360" w:lineRule="auto"/>
              <w:jc w:val="both"/>
              <w:rPr>
                <w:rFonts w:ascii="Book Antiqua" w:hAnsi="Book Antiqua"/>
                <w:b/>
              </w:rPr>
            </w:pPr>
            <w:r w:rsidRPr="00CE25D5">
              <w:rPr>
                <w:rFonts w:ascii="Book Antiqua" w:hAnsi="Book Antiqua"/>
                <w:b/>
              </w:rPr>
              <w:lastRenderedPageBreak/>
              <w:t>Table 2 Differences between the groups following surgery</w:t>
            </w:r>
          </w:p>
        </w:tc>
      </w:tr>
      <w:tr w:rsidR="00CE25D5" w:rsidRPr="00CE25D5" w14:paraId="25EFD0AF" w14:textId="77777777" w:rsidTr="008C69F5">
        <w:trPr>
          <w:gridAfter w:val="1"/>
          <w:wAfter w:w="36" w:type="dxa"/>
        </w:trPr>
        <w:tc>
          <w:tcPr>
            <w:tcW w:w="2518" w:type="dxa"/>
            <w:tcBorders>
              <w:top w:val="single" w:sz="4" w:space="0" w:color="auto"/>
              <w:bottom w:val="single" w:sz="4" w:space="0" w:color="auto"/>
            </w:tcBorders>
          </w:tcPr>
          <w:p w14:paraId="2F2FBA83" w14:textId="77777777" w:rsidR="0017423F" w:rsidRPr="00CE25D5" w:rsidRDefault="0017423F" w:rsidP="00E715CA">
            <w:pPr>
              <w:spacing w:line="360" w:lineRule="auto"/>
              <w:jc w:val="both"/>
              <w:rPr>
                <w:rFonts w:ascii="Book Antiqua" w:hAnsi="Book Antiqua"/>
                <w:b/>
              </w:rPr>
            </w:pPr>
          </w:p>
        </w:tc>
        <w:tc>
          <w:tcPr>
            <w:tcW w:w="2129" w:type="dxa"/>
            <w:tcBorders>
              <w:top w:val="single" w:sz="4" w:space="0" w:color="auto"/>
              <w:bottom w:val="single" w:sz="4" w:space="0" w:color="auto"/>
            </w:tcBorders>
          </w:tcPr>
          <w:p w14:paraId="0E7FBD3F" w14:textId="48E53275" w:rsidR="0017423F" w:rsidRPr="00CE25D5" w:rsidRDefault="0017423F" w:rsidP="00E715CA">
            <w:pPr>
              <w:spacing w:line="360" w:lineRule="auto"/>
              <w:jc w:val="both"/>
              <w:rPr>
                <w:rFonts w:ascii="Book Antiqua" w:hAnsi="Book Antiqua"/>
                <w:b/>
              </w:rPr>
            </w:pPr>
            <w:r w:rsidRPr="00CE25D5">
              <w:rPr>
                <w:rFonts w:ascii="Book Antiqua" w:hAnsi="Book Antiqua"/>
                <w:b/>
              </w:rPr>
              <w:t xml:space="preserve">Control </w:t>
            </w:r>
            <w:r w:rsidR="00676B4C" w:rsidRPr="00CE25D5">
              <w:rPr>
                <w:rFonts w:ascii="Book Antiqua" w:hAnsi="Book Antiqua"/>
                <w:b/>
              </w:rPr>
              <w:t>g</w:t>
            </w:r>
            <w:r w:rsidRPr="00CE25D5">
              <w:rPr>
                <w:rFonts w:ascii="Book Antiqua" w:hAnsi="Book Antiqua"/>
                <w:b/>
              </w:rPr>
              <w:t>roup</w:t>
            </w:r>
          </w:p>
          <w:p w14:paraId="5512F095" w14:textId="558BCFAF" w:rsidR="0017423F" w:rsidRPr="00CE25D5" w:rsidRDefault="0017423F" w:rsidP="00E715CA">
            <w:pPr>
              <w:spacing w:line="360" w:lineRule="auto"/>
              <w:jc w:val="both"/>
              <w:rPr>
                <w:rFonts w:ascii="Book Antiqua" w:hAnsi="Book Antiqua"/>
                <w:b/>
              </w:rPr>
            </w:pPr>
            <w:r w:rsidRPr="00CE25D5">
              <w:rPr>
                <w:rFonts w:ascii="Book Antiqua" w:hAnsi="Book Antiqua"/>
                <w:b/>
              </w:rPr>
              <w:t>(n = 100)</w:t>
            </w:r>
          </w:p>
        </w:tc>
        <w:tc>
          <w:tcPr>
            <w:tcW w:w="2129" w:type="dxa"/>
            <w:tcBorders>
              <w:top w:val="single" w:sz="4" w:space="0" w:color="auto"/>
              <w:bottom w:val="single" w:sz="4" w:space="0" w:color="auto"/>
            </w:tcBorders>
          </w:tcPr>
          <w:p w14:paraId="5A9A3445" w14:textId="3A09210F" w:rsidR="008C69F5" w:rsidRPr="00CE25D5" w:rsidRDefault="008C69F5" w:rsidP="00E715CA">
            <w:pPr>
              <w:spacing w:line="360" w:lineRule="auto"/>
              <w:jc w:val="both"/>
              <w:rPr>
                <w:rFonts w:ascii="Book Antiqua" w:hAnsi="Book Antiqua"/>
                <w:b/>
              </w:rPr>
            </w:pPr>
            <w:r w:rsidRPr="00CE25D5">
              <w:rPr>
                <w:rFonts w:ascii="Book Antiqua" w:hAnsi="Book Antiqua"/>
                <w:b/>
              </w:rPr>
              <w:t>TXA</w:t>
            </w:r>
            <w:r w:rsidR="0017423F" w:rsidRPr="00CE25D5">
              <w:rPr>
                <w:rFonts w:ascii="Book Antiqua" w:hAnsi="Book Antiqua"/>
                <w:b/>
              </w:rPr>
              <w:t xml:space="preserve"> </w:t>
            </w:r>
            <w:r w:rsidR="00676B4C" w:rsidRPr="00CE25D5">
              <w:rPr>
                <w:rFonts w:ascii="Book Antiqua" w:hAnsi="Book Antiqua"/>
                <w:b/>
              </w:rPr>
              <w:t>g</w:t>
            </w:r>
            <w:r w:rsidR="0017423F" w:rsidRPr="00CE25D5">
              <w:rPr>
                <w:rFonts w:ascii="Book Antiqua" w:hAnsi="Book Antiqua"/>
                <w:b/>
              </w:rPr>
              <w:t xml:space="preserve">roup </w:t>
            </w:r>
          </w:p>
          <w:p w14:paraId="52A4586C" w14:textId="68D41B1F" w:rsidR="0017423F" w:rsidRPr="00CE25D5" w:rsidRDefault="0017423F" w:rsidP="00E715CA">
            <w:pPr>
              <w:spacing w:line="360" w:lineRule="auto"/>
              <w:jc w:val="both"/>
              <w:rPr>
                <w:rFonts w:ascii="Book Antiqua" w:hAnsi="Book Antiqua"/>
                <w:b/>
              </w:rPr>
            </w:pPr>
            <w:r w:rsidRPr="00CE25D5">
              <w:rPr>
                <w:rFonts w:ascii="Book Antiqua" w:hAnsi="Book Antiqua"/>
                <w:b/>
              </w:rPr>
              <w:t>(</w:t>
            </w:r>
            <w:r w:rsidRPr="00CE25D5">
              <w:rPr>
                <w:rFonts w:ascii="Book Antiqua" w:hAnsi="Book Antiqua"/>
                <w:b/>
                <w:i/>
              </w:rPr>
              <w:t xml:space="preserve">n </w:t>
            </w:r>
            <w:r w:rsidRPr="00CE25D5">
              <w:rPr>
                <w:rFonts w:ascii="Book Antiqua" w:hAnsi="Book Antiqua"/>
                <w:b/>
              </w:rPr>
              <w:t>= 100)</w:t>
            </w:r>
          </w:p>
        </w:tc>
        <w:tc>
          <w:tcPr>
            <w:tcW w:w="2129" w:type="dxa"/>
            <w:tcBorders>
              <w:top w:val="single" w:sz="4" w:space="0" w:color="auto"/>
              <w:bottom w:val="single" w:sz="4" w:space="0" w:color="auto"/>
            </w:tcBorders>
          </w:tcPr>
          <w:p w14:paraId="05E10E57" w14:textId="49CF44CC" w:rsidR="0017423F" w:rsidRPr="00CE25D5" w:rsidRDefault="00676B4C" w:rsidP="00E715CA">
            <w:pPr>
              <w:spacing w:line="360" w:lineRule="auto"/>
              <w:jc w:val="both"/>
              <w:rPr>
                <w:rFonts w:ascii="Book Antiqua" w:hAnsi="Book Antiqua"/>
                <w:b/>
              </w:rPr>
            </w:pPr>
            <w:r w:rsidRPr="00CE25D5">
              <w:rPr>
                <w:rFonts w:ascii="Book Antiqua" w:hAnsi="Book Antiqua"/>
                <w:b/>
                <w:i/>
              </w:rPr>
              <w:t>P</w:t>
            </w:r>
            <w:r w:rsidR="0017423F" w:rsidRPr="00CE25D5">
              <w:rPr>
                <w:rFonts w:ascii="Book Antiqua" w:hAnsi="Book Antiqua"/>
                <w:b/>
              </w:rPr>
              <w:t xml:space="preserve"> </w:t>
            </w:r>
            <w:r w:rsidRPr="00CE25D5">
              <w:rPr>
                <w:rFonts w:ascii="Book Antiqua" w:hAnsi="Book Antiqua"/>
                <w:b/>
              </w:rPr>
              <w:t>v</w:t>
            </w:r>
            <w:r w:rsidR="0017423F" w:rsidRPr="00CE25D5">
              <w:rPr>
                <w:rFonts w:ascii="Book Antiqua" w:hAnsi="Book Antiqua"/>
                <w:b/>
              </w:rPr>
              <w:t>alue</w:t>
            </w:r>
          </w:p>
        </w:tc>
      </w:tr>
      <w:tr w:rsidR="00CE25D5" w:rsidRPr="00CE25D5" w14:paraId="4A29D855" w14:textId="77777777" w:rsidTr="008C69F5">
        <w:trPr>
          <w:gridAfter w:val="1"/>
          <w:wAfter w:w="36" w:type="dxa"/>
        </w:trPr>
        <w:tc>
          <w:tcPr>
            <w:tcW w:w="2518" w:type="dxa"/>
            <w:tcBorders>
              <w:top w:val="single" w:sz="4" w:space="0" w:color="auto"/>
            </w:tcBorders>
          </w:tcPr>
          <w:p w14:paraId="7C25A270" w14:textId="4CA1CA19" w:rsidR="0017423F" w:rsidRPr="00CE25D5" w:rsidRDefault="0017423F" w:rsidP="00E715CA">
            <w:pPr>
              <w:spacing w:line="360" w:lineRule="auto"/>
              <w:jc w:val="both"/>
              <w:rPr>
                <w:rFonts w:ascii="Book Antiqua" w:hAnsi="Book Antiqua"/>
                <w:b/>
              </w:rPr>
            </w:pPr>
            <w:r w:rsidRPr="00CE25D5">
              <w:rPr>
                <w:rFonts w:ascii="Book Antiqua" w:hAnsi="Book Antiqua"/>
                <w:b/>
              </w:rPr>
              <w:t xml:space="preserve">Post-operative </w:t>
            </w:r>
            <w:proofErr w:type="spellStart"/>
            <w:r w:rsidRPr="00CE25D5">
              <w:rPr>
                <w:rFonts w:ascii="Book Antiqua" w:hAnsi="Book Antiqua"/>
                <w:b/>
              </w:rPr>
              <w:t>Hgb</w:t>
            </w:r>
            <w:proofErr w:type="spellEnd"/>
          </w:p>
        </w:tc>
        <w:tc>
          <w:tcPr>
            <w:tcW w:w="2129" w:type="dxa"/>
            <w:tcBorders>
              <w:top w:val="single" w:sz="4" w:space="0" w:color="auto"/>
            </w:tcBorders>
          </w:tcPr>
          <w:p w14:paraId="4AD58CDC" w14:textId="13A26A2D"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10.82 ± </w:t>
            </w:r>
            <w:r w:rsidR="00514343" w:rsidRPr="00CE25D5">
              <w:rPr>
                <w:rFonts w:ascii="Book Antiqua" w:hAnsi="Book Antiqua"/>
                <w:b/>
              </w:rPr>
              <w:t>1.55</w:t>
            </w:r>
          </w:p>
        </w:tc>
        <w:tc>
          <w:tcPr>
            <w:tcW w:w="2129" w:type="dxa"/>
            <w:tcBorders>
              <w:top w:val="single" w:sz="4" w:space="0" w:color="auto"/>
            </w:tcBorders>
          </w:tcPr>
          <w:p w14:paraId="7D89BC98" w14:textId="4F3F32C2"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11.33 ± </w:t>
            </w:r>
            <w:r w:rsidR="00514343" w:rsidRPr="00CE25D5">
              <w:rPr>
                <w:rFonts w:ascii="Book Antiqua" w:hAnsi="Book Antiqua"/>
                <w:b/>
              </w:rPr>
              <w:t>1.27</w:t>
            </w:r>
          </w:p>
        </w:tc>
        <w:tc>
          <w:tcPr>
            <w:tcW w:w="2129" w:type="dxa"/>
            <w:tcBorders>
              <w:top w:val="single" w:sz="4" w:space="0" w:color="auto"/>
            </w:tcBorders>
          </w:tcPr>
          <w:p w14:paraId="281509E8" w14:textId="71967447" w:rsidR="0017423F" w:rsidRPr="00CE25D5" w:rsidRDefault="00514343" w:rsidP="00E715CA">
            <w:pPr>
              <w:spacing w:line="360" w:lineRule="auto"/>
              <w:jc w:val="both"/>
              <w:rPr>
                <w:rFonts w:ascii="Book Antiqua" w:hAnsi="Book Antiqua"/>
                <w:b/>
              </w:rPr>
            </w:pPr>
            <w:r w:rsidRPr="00CE25D5">
              <w:rPr>
                <w:rFonts w:ascii="Book Antiqua" w:hAnsi="Book Antiqua"/>
                <w:b/>
              </w:rPr>
              <w:t>0.01</w:t>
            </w:r>
          </w:p>
        </w:tc>
      </w:tr>
      <w:tr w:rsidR="00CE25D5" w:rsidRPr="00CE25D5" w14:paraId="4D7A5A2D" w14:textId="77777777" w:rsidTr="008C69F5">
        <w:trPr>
          <w:gridAfter w:val="1"/>
          <w:wAfter w:w="36" w:type="dxa"/>
        </w:trPr>
        <w:tc>
          <w:tcPr>
            <w:tcW w:w="2518" w:type="dxa"/>
          </w:tcPr>
          <w:p w14:paraId="425D008F" w14:textId="7183B0EB"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Post-operative </w:t>
            </w:r>
            <w:proofErr w:type="spellStart"/>
            <w:r w:rsidRPr="00CE25D5">
              <w:rPr>
                <w:rFonts w:ascii="Book Antiqua" w:hAnsi="Book Antiqua"/>
                <w:b/>
              </w:rPr>
              <w:t>Hct</w:t>
            </w:r>
            <w:proofErr w:type="spellEnd"/>
          </w:p>
        </w:tc>
        <w:tc>
          <w:tcPr>
            <w:tcW w:w="2129" w:type="dxa"/>
          </w:tcPr>
          <w:p w14:paraId="04EB32F6" w14:textId="29E80CE3"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0.32 ± </w:t>
            </w:r>
            <w:r w:rsidR="00514343" w:rsidRPr="00CE25D5">
              <w:rPr>
                <w:rFonts w:ascii="Book Antiqua" w:hAnsi="Book Antiqua"/>
                <w:b/>
              </w:rPr>
              <w:t>0.05</w:t>
            </w:r>
          </w:p>
        </w:tc>
        <w:tc>
          <w:tcPr>
            <w:tcW w:w="2129" w:type="dxa"/>
          </w:tcPr>
          <w:p w14:paraId="4E0EC602" w14:textId="4966BE8E"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0.34 ± </w:t>
            </w:r>
            <w:r w:rsidR="00514343" w:rsidRPr="00CE25D5">
              <w:rPr>
                <w:rFonts w:ascii="Book Antiqua" w:hAnsi="Book Antiqua"/>
                <w:b/>
              </w:rPr>
              <w:t>0.04</w:t>
            </w:r>
          </w:p>
        </w:tc>
        <w:tc>
          <w:tcPr>
            <w:tcW w:w="2129" w:type="dxa"/>
          </w:tcPr>
          <w:p w14:paraId="27CF0EDF" w14:textId="0759C724" w:rsidR="0017423F" w:rsidRPr="00CE25D5" w:rsidRDefault="00514343" w:rsidP="00E715CA">
            <w:pPr>
              <w:spacing w:line="360" w:lineRule="auto"/>
              <w:jc w:val="both"/>
              <w:rPr>
                <w:rFonts w:ascii="Book Antiqua" w:hAnsi="Book Antiqua"/>
                <w:b/>
              </w:rPr>
            </w:pPr>
            <w:r w:rsidRPr="00CE25D5">
              <w:rPr>
                <w:rFonts w:ascii="Book Antiqua" w:hAnsi="Book Antiqua"/>
                <w:b/>
              </w:rPr>
              <w:t>0.01</w:t>
            </w:r>
          </w:p>
        </w:tc>
      </w:tr>
      <w:tr w:rsidR="00CE25D5" w:rsidRPr="00CE25D5" w14:paraId="00EDCED2" w14:textId="77777777" w:rsidTr="008C69F5">
        <w:trPr>
          <w:gridAfter w:val="1"/>
          <w:wAfter w:w="36" w:type="dxa"/>
        </w:trPr>
        <w:tc>
          <w:tcPr>
            <w:tcW w:w="2518" w:type="dxa"/>
          </w:tcPr>
          <w:p w14:paraId="69E25007" w14:textId="31F6F83F"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Post-operative platelets </w:t>
            </w:r>
          </w:p>
        </w:tc>
        <w:tc>
          <w:tcPr>
            <w:tcW w:w="2129" w:type="dxa"/>
          </w:tcPr>
          <w:p w14:paraId="2A251B06" w14:textId="06C55574"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204.32 ± </w:t>
            </w:r>
            <w:r w:rsidR="00514343" w:rsidRPr="00CE25D5">
              <w:rPr>
                <w:rFonts w:ascii="Book Antiqua" w:hAnsi="Book Antiqua"/>
                <w:b/>
              </w:rPr>
              <w:t>44.68</w:t>
            </w:r>
          </w:p>
        </w:tc>
        <w:tc>
          <w:tcPr>
            <w:tcW w:w="2129" w:type="dxa"/>
          </w:tcPr>
          <w:p w14:paraId="6C8A8008" w14:textId="3FC727FB"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212.22 ± </w:t>
            </w:r>
            <w:r w:rsidR="00514343" w:rsidRPr="00CE25D5">
              <w:rPr>
                <w:rFonts w:ascii="Book Antiqua" w:hAnsi="Book Antiqua"/>
                <w:b/>
              </w:rPr>
              <w:t>52.49</w:t>
            </w:r>
          </w:p>
        </w:tc>
        <w:tc>
          <w:tcPr>
            <w:tcW w:w="2129" w:type="dxa"/>
          </w:tcPr>
          <w:p w14:paraId="185E9E5B" w14:textId="68637484" w:rsidR="0017423F" w:rsidRPr="00CE25D5" w:rsidRDefault="00514343" w:rsidP="00E715CA">
            <w:pPr>
              <w:spacing w:line="360" w:lineRule="auto"/>
              <w:jc w:val="both"/>
              <w:rPr>
                <w:rFonts w:ascii="Book Antiqua" w:hAnsi="Book Antiqua"/>
                <w:b/>
              </w:rPr>
            </w:pPr>
            <w:r w:rsidRPr="00CE25D5">
              <w:rPr>
                <w:rFonts w:ascii="Book Antiqua" w:hAnsi="Book Antiqua"/>
                <w:b/>
              </w:rPr>
              <w:t>0.25</w:t>
            </w:r>
          </w:p>
        </w:tc>
      </w:tr>
      <w:tr w:rsidR="0017423F" w:rsidRPr="00CE25D5" w14:paraId="27932A48" w14:textId="77777777" w:rsidTr="008C69F5">
        <w:trPr>
          <w:gridAfter w:val="1"/>
          <w:wAfter w:w="36" w:type="dxa"/>
        </w:trPr>
        <w:tc>
          <w:tcPr>
            <w:tcW w:w="2518" w:type="dxa"/>
          </w:tcPr>
          <w:p w14:paraId="3E2405E3" w14:textId="1C86088D" w:rsidR="0017423F" w:rsidRPr="00CE25D5" w:rsidRDefault="00514343" w:rsidP="00E715CA">
            <w:pPr>
              <w:spacing w:line="360" w:lineRule="auto"/>
              <w:jc w:val="both"/>
              <w:rPr>
                <w:rFonts w:ascii="Book Antiqua" w:hAnsi="Book Antiqua"/>
                <w:b/>
              </w:rPr>
            </w:pPr>
            <w:r w:rsidRPr="00CE25D5">
              <w:rPr>
                <w:rFonts w:ascii="Book Antiqua" w:hAnsi="Book Antiqua"/>
                <w:b/>
              </w:rPr>
              <w:t>Mean Length</w:t>
            </w:r>
            <w:r w:rsidR="008C69F5" w:rsidRPr="00CE25D5">
              <w:rPr>
                <w:rFonts w:ascii="Book Antiqua" w:hAnsi="Book Antiqua"/>
                <w:b/>
              </w:rPr>
              <w:t xml:space="preserve"> of Stay in Hospital in days</w:t>
            </w:r>
          </w:p>
        </w:tc>
        <w:tc>
          <w:tcPr>
            <w:tcW w:w="2129" w:type="dxa"/>
          </w:tcPr>
          <w:p w14:paraId="0702A6C4" w14:textId="4A4CB998"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6.53 ± </w:t>
            </w:r>
            <w:r w:rsidR="00514343" w:rsidRPr="00CE25D5">
              <w:rPr>
                <w:rFonts w:ascii="Book Antiqua" w:hAnsi="Book Antiqua"/>
                <w:b/>
              </w:rPr>
              <w:t>5.92</w:t>
            </w:r>
          </w:p>
        </w:tc>
        <w:tc>
          <w:tcPr>
            <w:tcW w:w="2129" w:type="dxa"/>
          </w:tcPr>
          <w:p w14:paraId="0BC46F38" w14:textId="0E472F93" w:rsidR="0017423F" w:rsidRPr="00CE25D5" w:rsidRDefault="008C69F5" w:rsidP="00E715CA">
            <w:pPr>
              <w:spacing w:line="360" w:lineRule="auto"/>
              <w:jc w:val="both"/>
              <w:rPr>
                <w:rFonts w:ascii="Book Antiqua" w:hAnsi="Book Antiqua"/>
                <w:b/>
              </w:rPr>
            </w:pPr>
            <w:r w:rsidRPr="00CE25D5">
              <w:rPr>
                <w:rFonts w:ascii="Book Antiqua" w:hAnsi="Book Antiqua"/>
                <w:b/>
              </w:rPr>
              <w:t xml:space="preserve">5.47 ± </w:t>
            </w:r>
            <w:r w:rsidR="00514343" w:rsidRPr="00CE25D5">
              <w:rPr>
                <w:rFonts w:ascii="Book Antiqua" w:hAnsi="Book Antiqua"/>
                <w:b/>
              </w:rPr>
              <w:t>4.26</w:t>
            </w:r>
          </w:p>
        </w:tc>
        <w:tc>
          <w:tcPr>
            <w:tcW w:w="2129" w:type="dxa"/>
          </w:tcPr>
          <w:p w14:paraId="09EB6BCC" w14:textId="0510FE08" w:rsidR="0017423F" w:rsidRPr="00CE25D5" w:rsidRDefault="00514343" w:rsidP="00E715CA">
            <w:pPr>
              <w:spacing w:line="360" w:lineRule="auto"/>
              <w:jc w:val="both"/>
              <w:rPr>
                <w:rFonts w:ascii="Book Antiqua" w:hAnsi="Book Antiqua"/>
                <w:b/>
              </w:rPr>
            </w:pPr>
            <w:r w:rsidRPr="00CE25D5">
              <w:rPr>
                <w:rFonts w:ascii="Book Antiqua" w:hAnsi="Book Antiqua"/>
                <w:b/>
              </w:rPr>
              <w:t>0.15</w:t>
            </w:r>
          </w:p>
        </w:tc>
      </w:tr>
    </w:tbl>
    <w:p w14:paraId="4101065C" w14:textId="77777777" w:rsidR="0017423F" w:rsidRPr="00CE25D5" w:rsidRDefault="0017423F" w:rsidP="00E715CA">
      <w:pPr>
        <w:spacing w:line="360" w:lineRule="auto"/>
        <w:jc w:val="both"/>
        <w:rPr>
          <w:rFonts w:ascii="Book Antiqua" w:hAnsi="Book Antiqua"/>
          <w:b/>
        </w:rPr>
      </w:pPr>
    </w:p>
    <w:p w14:paraId="170DA3DA" w14:textId="7A851475" w:rsidR="00C06CC7" w:rsidRPr="00CE25D5" w:rsidRDefault="00676B4C" w:rsidP="00E715CA">
      <w:pPr>
        <w:spacing w:line="360" w:lineRule="auto"/>
        <w:jc w:val="both"/>
        <w:rPr>
          <w:rFonts w:ascii="Book Antiqua" w:eastAsia="宋体" w:hAnsi="Book Antiqua"/>
          <w:lang w:eastAsia="zh-CN"/>
        </w:rPr>
      </w:pPr>
      <w:proofErr w:type="spellStart"/>
      <w:r w:rsidRPr="00CE25D5">
        <w:rPr>
          <w:rFonts w:ascii="Book Antiqua" w:hAnsi="Book Antiqua"/>
        </w:rPr>
        <w:t>Hgb</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Haemoglobin</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Hct</w:t>
      </w:r>
      <w:proofErr w:type="spellEnd"/>
      <w:r w:rsidRPr="00CE25D5">
        <w:rPr>
          <w:rFonts w:ascii="Book Antiqua" w:eastAsia="宋体" w:hAnsi="Book Antiqua" w:hint="eastAsia"/>
          <w:lang w:eastAsia="zh-CN"/>
        </w:rPr>
        <w:t>:</w:t>
      </w:r>
      <w:r w:rsidRPr="00CE25D5">
        <w:rPr>
          <w:rFonts w:ascii="Book Antiqua" w:hAnsi="Book Antiqua"/>
        </w:rPr>
        <w:t xml:space="preserve"> </w:t>
      </w:r>
      <w:proofErr w:type="spellStart"/>
      <w:r w:rsidRPr="00CE25D5">
        <w:rPr>
          <w:rFonts w:ascii="Book Antiqua" w:hAnsi="Book Antiqua"/>
        </w:rPr>
        <w:t>Haematocrit</w:t>
      </w:r>
      <w:proofErr w:type="spellEnd"/>
      <w:r w:rsidR="00CE25D5">
        <w:rPr>
          <w:rFonts w:ascii="Book Antiqua" w:eastAsia="宋体" w:hAnsi="Book Antiqua" w:hint="eastAsia"/>
          <w:lang w:eastAsia="zh-CN"/>
        </w:rPr>
        <w:t xml:space="preserve">; </w:t>
      </w:r>
      <w:r w:rsidR="00CE25D5" w:rsidRPr="00CE25D5">
        <w:rPr>
          <w:rFonts w:ascii="Book Antiqua" w:hAnsi="Book Antiqua"/>
        </w:rPr>
        <w:t>TXA</w:t>
      </w:r>
      <w:r w:rsidR="00CE25D5" w:rsidRPr="00CE25D5">
        <w:rPr>
          <w:rFonts w:ascii="Book Antiqua" w:eastAsia="宋体" w:hAnsi="Book Antiqua" w:hint="eastAsia"/>
          <w:lang w:eastAsia="zh-CN"/>
        </w:rPr>
        <w:t xml:space="preserve">: </w:t>
      </w:r>
      <w:r w:rsidR="00DE2013">
        <w:rPr>
          <w:rFonts w:ascii="Book Antiqua" w:eastAsia="宋体" w:hAnsi="Book Antiqua" w:hint="eastAsia"/>
          <w:lang w:eastAsia="zh-CN"/>
        </w:rPr>
        <w:t>T</w:t>
      </w:r>
      <w:r w:rsidR="00CE25D5" w:rsidRPr="00CE25D5">
        <w:rPr>
          <w:rFonts w:ascii="Book Antiqua" w:hAnsi="Book Antiqua"/>
        </w:rPr>
        <w:t>ranexamic acid</w:t>
      </w:r>
      <w:r w:rsidR="00CE25D5" w:rsidRPr="00CE25D5">
        <w:rPr>
          <w:rFonts w:ascii="Book Antiqua" w:eastAsia="宋体" w:hAnsi="Book Antiqua" w:hint="eastAsia"/>
          <w:lang w:eastAsia="zh-CN"/>
        </w:rPr>
        <w:t>.</w:t>
      </w:r>
    </w:p>
    <w:p w14:paraId="0153960D" w14:textId="77777777" w:rsidR="00C06CC7" w:rsidRPr="00CE25D5" w:rsidRDefault="00C06CC7" w:rsidP="00E715CA">
      <w:pPr>
        <w:spacing w:line="360" w:lineRule="auto"/>
        <w:jc w:val="both"/>
        <w:rPr>
          <w:rFonts w:ascii="Book Antiqua" w:hAnsi="Book Antiqua"/>
          <w:b/>
        </w:rPr>
      </w:pPr>
    </w:p>
    <w:p w14:paraId="7EB01882" w14:textId="77777777" w:rsidR="00C06CC7" w:rsidRPr="00CE25D5" w:rsidRDefault="00C06CC7" w:rsidP="00E715CA">
      <w:pPr>
        <w:spacing w:line="360" w:lineRule="auto"/>
        <w:jc w:val="both"/>
        <w:rPr>
          <w:rFonts w:ascii="Book Antiqua" w:hAnsi="Book Antiqua"/>
          <w:b/>
        </w:rPr>
      </w:pPr>
    </w:p>
    <w:p w14:paraId="44A91E60" w14:textId="77777777" w:rsidR="00C06CC7" w:rsidRPr="00CE25D5" w:rsidRDefault="00C06CC7" w:rsidP="00E715CA">
      <w:pPr>
        <w:spacing w:line="360" w:lineRule="auto"/>
        <w:jc w:val="both"/>
        <w:rPr>
          <w:rFonts w:ascii="Book Antiqua" w:hAnsi="Book Antiqua"/>
          <w:b/>
        </w:rPr>
      </w:pPr>
    </w:p>
    <w:p w14:paraId="26FF2484" w14:textId="77777777" w:rsidR="00C06CC7" w:rsidRPr="00CE25D5" w:rsidRDefault="00C06CC7" w:rsidP="00E715CA">
      <w:pPr>
        <w:spacing w:line="360" w:lineRule="auto"/>
        <w:jc w:val="both"/>
        <w:rPr>
          <w:rFonts w:ascii="Book Antiqua" w:hAnsi="Book Antiqua"/>
          <w:b/>
        </w:rPr>
      </w:pPr>
    </w:p>
    <w:p w14:paraId="2528950D" w14:textId="77777777" w:rsidR="00C06CC7" w:rsidRPr="00CE25D5" w:rsidRDefault="00C06CC7" w:rsidP="00E715CA">
      <w:pPr>
        <w:spacing w:line="360" w:lineRule="auto"/>
        <w:jc w:val="both"/>
        <w:rPr>
          <w:rFonts w:ascii="Book Antiqua" w:hAnsi="Book Antiqua"/>
          <w:b/>
        </w:rPr>
      </w:pPr>
    </w:p>
    <w:p w14:paraId="20EAD6F0" w14:textId="77777777" w:rsidR="00C06CC7" w:rsidRPr="00CE25D5" w:rsidRDefault="00C06CC7" w:rsidP="00E715CA">
      <w:pPr>
        <w:spacing w:line="360" w:lineRule="auto"/>
        <w:jc w:val="both"/>
        <w:rPr>
          <w:rFonts w:ascii="Book Antiqua" w:hAnsi="Book Antiqua"/>
          <w:b/>
        </w:rPr>
      </w:pPr>
    </w:p>
    <w:p w14:paraId="6C44660A" w14:textId="77777777" w:rsidR="00C06CC7" w:rsidRPr="00CE25D5" w:rsidRDefault="00C06CC7" w:rsidP="00E715CA">
      <w:pPr>
        <w:spacing w:line="360" w:lineRule="auto"/>
        <w:jc w:val="both"/>
        <w:rPr>
          <w:rFonts w:ascii="Book Antiqua" w:hAnsi="Book Antiqua"/>
          <w:b/>
        </w:rPr>
      </w:pPr>
    </w:p>
    <w:p w14:paraId="170B77F5" w14:textId="77777777" w:rsidR="00C06CC7" w:rsidRPr="00CE25D5" w:rsidRDefault="00C06CC7" w:rsidP="00E715CA">
      <w:pPr>
        <w:spacing w:line="360" w:lineRule="auto"/>
        <w:jc w:val="both"/>
        <w:rPr>
          <w:rFonts w:ascii="Book Antiqua" w:hAnsi="Book Antiqua"/>
          <w:b/>
        </w:rPr>
      </w:pPr>
    </w:p>
    <w:p w14:paraId="2E05C241" w14:textId="77777777" w:rsidR="00C06CC7" w:rsidRPr="00CE25D5" w:rsidRDefault="00C06CC7" w:rsidP="00E715CA">
      <w:pPr>
        <w:spacing w:line="360" w:lineRule="auto"/>
        <w:jc w:val="both"/>
        <w:rPr>
          <w:rFonts w:ascii="Book Antiqua" w:hAnsi="Book Antiqua"/>
          <w:b/>
        </w:rPr>
      </w:pPr>
    </w:p>
    <w:p w14:paraId="2DF9FFB2" w14:textId="77777777" w:rsidR="00C06CC7" w:rsidRPr="00CE25D5" w:rsidRDefault="00C06CC7" w:rsidP="00E715CA">
      <w:pPr>
        <w:spacing w:line="360" w:lineRule="auto"/>
        <w:jc w:val="both"/>
        <w:rPr>
          <w:rFonts w:ascii="Book Antiqua" w:hAnsi="Book Antiqua"/>
          <w:b/>
        </w:rPr>
      </w:pPr>
    </w:p>
    <w:p w14:paraId="6AD31F76" w14:textId="77777777" w:rsidR="00C06CC7" w:rsidRPr="00CE25D5" w:rsidRDefault="00C06CC7" w:rsidP="00E715CA">
      <w:pPr>
        <w:spacing w:line="360" w:lineRule="auto"/>
        <w:jc w:val="both"/>
        <w:rPr>
          <w:rFonts w:ascii="Book Antiqua" w:hAnsi="Book Antiqua"/>
          <w:b/>
        </w:rPr>
      </w:pPr>
    </w:p>
    <w:p w14:paraId="406ADCDD" w14:textId="77777777" w:rsidR="00C06CC7" w:rsidRPr="00CE25D5" w:rsidRDefault="00C06CC7" w:rsidP="00E715CA">
      <w:pPr>
        <w:spacing w:line="360" w:lineRule="auto"/>
        <w:jc w:val="both"/>
        <w:rPr>
          <w:rFonts w:ascii="Book Antiqua" w:hAnsi="Book Antiqua"/>
          <w:b/>
        </w:rPr>
      </w:pPr>
    </w:p>
    <w:p w14:paraId="5EA7F2CF" w14:textId="77777777" w:rsidR="00C06CC7" w:rsidRPr="00CE25D5" w:rsidRDefault="00C06CC7" w:rsidP="00E715CA">
      <w:pPr>
        <w:spacing w:line="360" w:lineRule="auto"/>
        <w:jc w:val="both"/>
        <w:rPr>
          <w:rFonts w:ascii="Book Antiqua" w:hAnsi="Book Antiqua"/>
          <w:b/>
        </w:rPr>
      </w:pPr>
    </w:p>
    <w:p w14:paraId="6C1AD7F2" w14:textId="77777777" w:rsidR="00C06CC7" w:rsidRPr="00CE25D5" w:rsidRDefault="00C06CC7" w:rsidP="00E715CA">
      <w:pPr>
        <w:spacing w:line="360" w:lineRule="auto"/>
        <w:jc w:val="both"/>
        <w:rPr>
          <w:rFonts w:ascii="Book Antiqua" w:hAnsi="Book Antiqua"/>
          <w:b/>
        </w:rPr>
      </w:pPr>
    </w:p>
    <w:p w14:paraId="5CDB5C91" w14:textId="77777777" w:rsidR="00C06CC7" w:rsidRPr="00CE25D5" w:rsidRDefault="00C06CC7" w:rsidP="00E715CA">
      <w:pPr>
        <w:spacing w:line="360" w:lineRule="auto"/>
        <w:jc w:val="both"/>
        <w:rPr>
          <w:rFonts w:ascii="Book Antiqua" w:hAnsi="Book Antiqua"/>
          <w:b/>
        </w:rPr>
      </w:pPr>
    </w:p>
    <w:p w14:paraId="667B180A" w14:textId="77777777" w:rsidR="00C06CC7" w:rsidRPr="00CE25D5" w:rsidRDefault="00C06CC7" w:rsidP="00E715CA">
      <w:pPr>
        <w:spacing w:line="360" w:lineRule="auto"/>
        <w:jc w:val="both"/>
        <w:rPr>
          <w:rFonts w:ascii="Book Antiqua" w:hAnsi="Book Antiqua"/>
          <w:b/>
        </w:rPr>
      </w:pPr>
    </w:p>
    <w:p w14:paraId="1B563105" w14:textId="77777777" w:rsidR="00C06CC7" w:rsidRPr="00CE25D5" w:rsidRDefault="00C06CC7" w:rsidP="00E715CA">
      <w:pPr>
        <w:spacing w:line="360" w:lineRule="auto"/>
        <w:jc w:val="both"/>
        <w:rPr>
          <w:rFonts w:ascii="Book Antiqua" w:hAnsi="Book Antiqua"/>
          <w:b/>
        </w:rPr>
      </w:pPr>
    </w:p>
    <w:p w14:paraId="3A94DA09" w14:textId="77777777" w:rsidR="008C69F5" w:rsidRPr="00CE25D5" w:rsidRDefault="008C69F5" w:rsidP="00E715CA">
      <w:pPr>
        <w:spacing w:line="360" w:lineRule="auto"/>
        <w:jc w:val="both"/>
        <w:rPr>
          <w:rFonts w:ascii="Book Antiqua" w:hAnsi="Book Antiqua"/>
          <w:b/>
        </w:rPr>
      </w:pPr>
    </w:p>
    <w:p w14:paraId="7B7D6003" w14:textId="77777777" w:rsidR="008C69F5" w:rsidRPr="00CE25D5" w:rsidRDefault="008C69F5" w:rsidP="00E715CA">
      <w:pPr>
        <w:spacing w:line="360" w:lineRule="auto"/>
        <w:jc w:val="both"/>
        <w:rPr>
          <w:rFonts w:ascii="Book Antiqua" w:hAnsi="Book Antiqua"/>
          <w:b/>
        </w:rPr>
      </w:pPr>
    </w:p>
    <w:p w14:paraId="13D93DA4" w14:textId="77777777" w:rsidR="008C69F5" w:rsidRPr="00CE25D5" w:rsidRDefault="008C69F5" w:rsidP="00E715CA">
      <w:pPr>
        <w:spacing w:line="360" w:lineRule="auto"/>
        <w:jc w:val="both"/>
        <w:rPr>
          <w:rFonts w:ascii="Book Antiqua" w:eastAsia="宋体" w:hAnsi="Book Antiqua"/>
          <w:b/>
          <w:lang w:eastAsia="zh-CN"/>
        </w:rPr>
      </w:pPr>
    </w:p>
    <w:p w14:paraId="741AEA9C" w14:textId="77777777" w:rsidR="006C3B70" w:rsidRPr="00CE25D5" w:rsidRDefault="006C3B70" w:rsidP="00E715CA">
      <w:pPr>
        <w:spacing w:line="360" w:lineRule="auto"/>
        <w:jc w:val="both"/>
        <w:rPr>
          <w:rFonts w:ascii="Book Antiqua" w:eastAsia="宋体" w:hAnsi="Book Antiqua"/>
          <w:b/>
          <w:lang w:eastAsia="zh-CN"/>
        </w:rPr>
      </w:pPr>
    </w:p>
    <w:tbl>
      <w:tblPr>
        <w:tblStyle w:val="TableGrid"/>
        <w:tblW w:w="9189" w:type="dxa"/>
        <w:tblBorders>
          <w:left w:val="none" w:sz="0" w:space="0" w:color="auto"/>
          <w:right w:val="none" w:sz="0" w:space="0" w:color="auto"/>
        </w:tblBorders>
        <w:tblLook w:val="04A0" w:firstRow="1" w:lastRow="0" w:firstColumn="1" w:lastColumn="0" w:noHBand="0" w:noVBand="1"/>
      </w:tblPr>
      <w:tblGrid>
        <w:gridCol w:w="2802"/>
        <w:gridCol w:w="2129"/>
        <w:gridCol w:w="2129"/>
        <w:gridCol w:w="2129"/>
      </w:tblGrid>
      <w:tr w:rsidR="00CE25D5" w:rsidRPr="00CE25D5" w14:paraId="1BCFB00E" w14:textId="77777777" w:rsidTr="00D20880">
        <w:tc>
          <w:tcPr>
            <w:tcW w:w="9189" w:type="dxa"/>
            <w:gridSpan w:val="4"/>
            <w:tcBorders>
              <w:top w:val="nil"/>
              <w:bottom w:val="single" w:sz="4" w:space="0" w:color="auto"/>
            </w:tcBorders>
          </w:tcPr>
          <w:p w14:paraId="65EEF8E7" w14:textId="786CC0DE" w:rsidR="00C06CC7" w:rsidRPr="00CE25D5" w:rsidRDefault="00C06CC7" w:rsidP="00E715CA">
            <w:pPr>
              <w:spacing w:line="360" w:lineRule="auto"/>
              <w:jc w:val="both"/>
              <w:rPr>
                <w:rFonts w:ascii="Book Antiqua" w:hAnsi="Book Antiqua"/>
                <w:b/>
              </w:rPr>
            </w:pPr>
            <w:r w:rsidRPr="00CE25D5">
              <w:rPr>
                <w:rFonts w:ascii="Book Antiqua" w:hAnsi="Book Antiqua"/>
                <w:b/>
              </w:rPr>
              <w:lastRenderedPageBreak/>
              <w:t xml:space="preserve">Table 3 Cost </w:t>
            </w:r>
            <w:r w:rsidR="006C3B70" w:rsidRPr="00CE25D5">
              <w:rPr>
                <w:rFonts w:ascii="Book Antiqua" w:hAnsi="Book Antiqua"/>
                <w:b/>
              </w:rPr>
              <w:t>a</w:t>
            </w:r>
            <w:r w:rsidRPr="00CE25D5">
              <w:rPr>
                <w:rFonts w:ascii="Book Antiqua" w:hAnsi="Book Antiqua"/>
                <w:b/>
              </w:rPr>
              <w:t>nalysis</w:t>
            </w:r>
          </w:p>
        </w:tc>
      </w:tr>
      <w:tr w:rsidR="00CE25D5" w:rsidRPr="00CE25D5" w14:paraId="661D2848" w14:textId="77777777" w:rsidTr="008C69F5">
        <w:tc>
          <w:tcPr>
            <w:tcW w:w="2802" w:type="dxa"/>
            <w:tcBorders>
              <w:bottom w:val="single" w:sz="4" w:space="0" w:color="auto"/>
              <w:right w:val="nil"/>
            </w:tcBorders>
          </w:tcPr>
          <w:p w14:paraId="09A1BF6A" w14:textId="77777777" w:rsidR="00C06CC7" w:rsidRPr="00CE25D5" w:rsidRDefault="00C06CC7" w:rsidP="00E715CA">
            <w:pPr>
              <w:spacing w:line="360" w:lineRule="auto"/>
              <w:jc w:val="both"/>
              <w:rPr>
                <w:rFonts w:ascii="Book Antiqua" w:hAnsi="Book Antiqua"/>
                <w:b/>
              </w:rPr>
            </w:pPr>
          </w:p>
        </w:tc>
        <w:tc>
          <w:tcPr>
            <w:tcW w:w="2129" w:type="dxa"/>
            <w:tcBorders>
              <w:left w:val="nil"/>
              <w:bottom w:val="single" w:sz="4" w:space="0" w:color="auto"/>
              <w:right w:val="nil"/>
            </w:tcBorders>
          </w:tcPr>
          <w:p w14:paraId="658B2037" w14:textId="6EBE61CE" w:rsidR="00C06CC7" w:rsidRPr="00CE25D5" w:rsidRDefault="00C06CC7" w:rsidP="00E715CA">
            <w:pPr>
              <w:spacing w:line="360" w:lineRule="auto"/>
              <w:jc w:val="both"/>
              <w:rPr>
                <w:rFonts w:ascii="Book Antiqua" w:hAnsi="Book Antiqua"/>
                <w:b/>
              </w:rPr>
            </w:pPr>
            <w:r w:rsidRPr="00CE25D5">
              <w:rPr>
                <w:rFonts w:ascii="Book Antiqua" w:hAnsi="Book Antiqua"/>
                <w:b/>
              </w:rPr>
              <w:t xml:space="preserve">Control </w:t>
            </w:r>
            <w:r w:rsidR="006C3B70" w:rsidRPr="00CE25D5">
              <w:rPr>
                <w:rFonts w:ascii="Book Antiqua" w:hAnsi="Book Antiqua"/>
                <w:b/>
              </w:rPr>
              <w:t>g</w:t>
            </w:r>
            <w:r w:rsidRPr="00CE25D5">
              <w:rPr>
                <w:rFonts w:ascii="Book Antiqua" w:hAnsi="Book Antiqua"/>
                <w:b/>
              </w:rPr>
              <w:t>roup</w:t>
            </w:r>
          </w:p>
          <w:p w14:paraId="1D38ED13" w14:textId="255FDC89" w:rsidR="00C06CC7" w:rsidRPr="00CE25D5" w:rsidRDefault="00C06CC7" w:rsidP="00E715CA">
            <w:pPr>
              <w:spacing w:line="360" w:lineRule="auto"/>
              <w:jc w:val="both"/>
              <w:rPr>
                <w:rFonts w:ascii="Book Antiqua" w:hAnsi="Book Antiqua"/>
                <w:b/>
              </w:rPr>
            </w:pPr>
            <w:r w:rsidRPr="00CE25D5">
              <w:rPr>
                <w:rFonts w:ascii="Book Antiqua" w:hAnsi="Book Antiqua"/>
                <w:b/>
              </w:rPr>
              <w:t>(</w:t>
            </w:r>
            <w:r w:rsidRPr="00CE25D5">
              <w:rPr>
                <w:rFonts w:ascii="Book Antiqua" w:hAnsi="Book Antiqua"/>
                <w:b/>
                <w:i/>
              </w:rPr>
              <w:t>n</w:t>
            </w:r>
            <w:r w:rsidRPr="00CE25D5">
              <w:rPr>
                <w:rFonts w:ascii="Book Antiqua" w:hAnsi="Book Antiqua"/>
                <w:b/>
              </w:rPr>
              <w:t xml:space="preserve"> = 100)</w:t>
            </w:r>
          </w:p>
        </w:tc>
        <w:tc>
          <w:tcPr>
            <w:tcW w:w="2129" w:type="dxa"/>
            <w:tcBorders>
              <w:left w:val="nil"/>
              <w:bottom w:val="single" w:sz="4" w:space="0" w:color="auto"/>
              <w:right w:val="nil"/>
            </w:tcBorders>
          </w:tcPr>
          <w:p w14:paraId="74565A47" w14:textId="5D8B793D" w:rsidR="00C06CC7" w:rsidRPr="00CE25D5" w:rsidRDefault="00C06CC7" w:rsidP="00E715CA">
            <w:pPr>
              <w:spacing w:line="360" w:lineRule="auto"/>
              <w:jc w:val="both"/>
              <w:rPr>
                <w:rFonts w:ascii="Book Antiqua" w:hAnsi="Book Antiqua"/>
                <w:b/>
              </w:rPr>
            </w:pPr>
            <w:r w:rsidRPr="00CE25D5">
              <w:rPr>
                <w:rFonts w:ascii="Book Antiqua" w:hAnsi="Book Antiqua"/>
                <w:b/>
              </w:rPr>
              <w:t xml:space="preserve">TXA </w:t>
            </w:r>
            <w:r w:rsidR="006C3B70" w:rsidRPr="00CE25D5">
              <w:rPr>
                <w:rFonts w:ascii="Book Antiqua" w:hAnsi="Book Antiqua"/>
                <w:b/>
              </w:rPr>
              <w:t>g</w:t>
            </w:r>
            <w:r w:rsidRPr="00CE25D5">
              <w:rPr>
                <w:rFonts w:ascii="Book Antiqua" w:hAnsi="Book Antiqua"/>
                <w:b/>
              </w:rPr>
              <w:t>roup</w:t>
            </w:r>
          </w:p>
          <w:p w14:paraId="2BEBA1C8" w14:textId="15B431BD" w:rsidR="00C06CC7" w:rsidRPr="00CE25D5" w:rsidRDefault="00C06CC7" w:rsidP="00E715CA">
            <w:pPr>
              <w:spacing w:line="360" w:lineRule="auto"/>
              <w:jc w:val="both"/>
              <w:rPr>
                <w:rFonts w:ascii="Book Antiqua" w:hAnsi="Book Antiqua"/>
                <w:b/>
              </w:rPr>
            </w:pPr>
            <w:r w:rsidRPr="00CE25D5">
              <w:rPr>
                <w:rFonts w:ascii="Book Antiqua" w:hAnsi="Book Antiqua"/>
                <w:b/>
              </w:rPr>
              <w:t>(</w:t>
            </w:r>
            <w:r w:rsidRPr="00CE25D5">
              <w:rPr>
                <w:rFonts w:ascii="Book Antiqua" w:hAnsi="Book Antiqua"/>
                <w:b/>
                <w:i/>
              </w:rPr>
              <w:t>n</w:t>
            </w:r>
            <w:r w:rsidRPr="00CE25D5">
              <w:rPr>
                <w:rFonts w:ascii="Book Antiqua" w:hAnsi="Book Antiqua"/>
                <w:b/>
              </w:rPr>
              <w:t xml:space="preserve"> = 100</w:t>
            </w:r>
            <w:r w:rsidR="00AF4041" w:rsidRPr="00CE25D5">
              <w:rPr>
                <w:rFonts w:ascii="Book Antiqua" w:hAnsi="Book Antiqua"/>
                <w:b/>
              </w:rPr>
              <w:t>)</w:t>
            </w:r>
          </w:p>
        </w:tc>
        <w:tc>
          <w:tcPr>
            <w:tcW w:w="2129" w:type="dxa"/>
            <w:tcBorders>
              <w:left w:val="nil"/>
              <w:bottom w:val="single" w:sz="4" w:space="0" w:color="auto"/>
            </w:tcBorders>
          </w:tcPr>
          <w:p w14:paraId="09AA521F" w14:textId="02CF6610" w:rsidR="00C06CC7" w:rsidRPr="00CE25D5" w:rsidRDefault="00C06CC7" w:rsidP="00E715CA">
            <w:pPr>
              <w:spacing w:line="360" w:lineRule="auto"/>
              <w:jc w:val="both"/>
              <w:rPr>
                <w:rFonts w:ascii="Book Antiqua" w:hAnsi="Book Antiqua"/>
                <w:b/>
              </w:rPr>
            </w:pPr>
            <w:r w:rsidRPr="00CE25D5">
              <w:rPr>
                <w:rFonts w:ascii="Book Antiqua" w:hAnsi="Book Antiqua"/>
                <w:b/>
              </w:rPr>
              <w:t>Difference</w:t>
            </w:r>
          </w:p>
        </w:tc>
      </w:tr>
      <w:tr w:rsidR="00CE25D5" w:rsidRPr="00CE25D5" w14:paraId="52DD580C" w14:textId="77777777" w:rsidTr="008C69F5">
        <w:tc>
          <w:tcPr>
            <w:tcW w:w="2802" w:type="dxa"/>
            <w:tcBorders>
              <w:bottom w:val="nil"/>
              <w:right w:val="nil"/>
            </w:tcBorders>
          </w:tcPr>
          <w:p w14:paraId="079F34C4" w14:textId="6BCB082C" w:rsidR="00C06CC7" w:rsidRPr="00CE25D5" w:rsidRDefault="00C06CC7" w:rsidP="006C3B70">
            <w:pPr>
              <w:spacing w:line="360" w:lineRule="auto"/>
              <w:jc w:val="both"/>
              <w:rPr>
                <w:rFonts w:ascii="Book Antiqua" w:hAnsi="Book Antiqua"/>
                <w:b/>
              </w:rPr>
            </w:pPr>
            <w:r w:rsidRPr="00CE25D5">
              <w:rPr>
                <w:rFonts w:ascii="Book Antiqua" w:hAnsi="Book Antiqua"/>
                <w:b/>
              </w:rPr>
              <w:t>N</w:t>
            </w:r>
            <w:r w:rsidR="006C3B70" w:rsidRPr="00CE25D5">
              <w:rPr>
                <w:rFonts w:ascii="Book Antiqua" w:eastAsia="宋体" w:hAnsi="Book Antiqua" w:hint="eastAsia"/>
                <w:b/>
                <w:lang w:eastAsia="zh-CN"/>
              </w:rPr>
              <w:t>o.</w:t>
            </w:r>
            <w:r w:rsidRPr="00CE25D5">
              <w:rPr>
                <w:rFonts w:ascii="Book Antiqua" w:hAnsi="Book Antiqua"/>
                <w:b/>
              </w:rPr>
              <w:t xml:space="preserve"> of patients transfused</w:t>
            </w:r>
          </w:p>
        </w:tc>
        <w:tc>
          <w:tcPr>
            <w:tcW w:w="2129" w:type="dxa"/>
            <w:tcBorders>
              <w:left w:val="nil"/>
              <w:bottom w:val="nil"/>
              <w:right w:val="nil"/>
            </w:tcBorders>
          </w:tcPr>
          <w:p w14:paraId="01B7F82E" w14:textId="05587E72" w:rsidR="00C06CC7" w:rsidRPr="00CE25D5" w:rsidRDefault="00C06CC7" w:rsidP="00E715CA">
            <w:pPr>
              <w:spacing w:line="360" w:lineRule="auto"/>
              <w:jc w:val="both"/>
              <w:rPr>
                <w:rFonts w:ascii="Book Antiqua" w:hAnsi="Book Antiqua"/>
                <w:b/>
              </w:rPr>
            </w:pPr>
            <w:r w:rsidRPr="00CE25D5">
              <w:rPr>
                <w:rFonts w:ascii="Book Antiqua" w:hAnsi="Book Antiqua"/>
                <w:b/>
              </w:rPr>
              <w:t>22</w:t>
            </w:r>
          </w:p>
        </w:tc>
        <w:tc>
          <w:tcPr>
            <w:tcW w:w="2129" w:type="dxa"/>
            <w:tcBorders>
              <w:left w:val="nil"/>
              <w:bottom w:val="nil"/>
              <w:right w:val="nil"/>
            </w:tcBorders>
          </w:tcPr>
          <w:p w14:paraId="09B8C04D" w14:textId="2EF78440" w:rsidR="00C06CC7" w:rsidRPr="00CE25D5" w:rsidRDefault="00C06CC7" w:rsidP="00E715CA">
            <w:pPr>
              <w:spacing w:line="360" w:lineRule="auto"/>
              <w:jc w:val="both"/>
              <w:rPr>
                <w:rFonts w:ascii="Book Antiqua" w:hAnsi="Book Antiqua"/>
                <w:b/>
              </w:rPr>
            </w:pPr>
            <w:r w:rsidRPr="00CE25D5">
              <w:rPr>
                <w:rFonts w:ascii="Book Antiqua" w:hAnsi="Book Antiqua"/>
                <w:b/>
              </w:rPr>
              <w:t>2</w:t>
            </w:r>
          </w:p>
        </w:tc>
        <w:tc>
          <w:tcPr>
            <w:tcW w:w="2129" w:type="dxa"/>
            <w:tcBorders>
              <w:left w:val="nil"/>
              <w:bottom w:val="nil"/>
            </w:tcBorders>
          </w:tcPr>
          <w:p w14:paraId="0FB5F74F" w14:textId="689964DD" w:rsidR="00C06CC7" w:rsidRPr="00CE25D5" w:rsidRDefault="00C06CC7" w:rsidP="00E715CA">
            <w:pPr>
              <w:spacing w:line="360" w:lineRule="auto"/>
              <w:jc w:val="both"/>
              <w:rPr>
                <w:rFonts w:ascii="Book Antiqua" w:hAnsi="Book Antiqua"/>
                <w:b/>
              </w:rPr>
            </w:pPr>
            <w:r w:rsidRPr="00CE25D5">
              <w:rPr>
                <w:rFonts w:ascii="Book Antiqua" w:hAnsi="Book Antiqua"/>
                <w:b/>
              </w:rPr>
              <w:t>20</w:t>
            </w:r>
          </w:p>
        </w:tc>
      </w:tr>
      <w:tr w:rsidR="00CE25D5" w:rsidRPr="00CE25D5" w14:paraId="42AF62E6" w14:textId="77777777" w:rsidTr="008C69F5">
        <w:tc>
          <w:tcPr>
            <w:tcW w:w="2802" w:type="dxa"/>
            <w:tcBorders>
              <w:top w:val="nil"/>
              <w:bottom w:val="nil"/>
              <w:right w:val="nil"/>
            </w:tcBorders>
          </w:tcPr>
          <w:p w14:paraId="1087A475" w14:textId="576176A3" w:rsidR="00C06CC7" w:rsidRPr="00CE25D5" w:rsidRDefault="00C06CC7" w:rsidP="006C3B70">
            <w:pPr>
              <w:spacing w:line="360" w:lineRule="auto"/>
              <w:jc w:val="both"/>
              <w:rPr>
                <w:rFonts w:ascii="Book Antiqua" w:hAnsi="Book Antiqua"/>
                <w:b/>
              </w:rPr>
            </w:pPr>
            <w:r w:rsidRPr="00CE25D5">
              <w:rPr>
                <w:rFonts w:ascii="Book Antiqua" w:hAnsi="Book Antiqua"/>
                <w:b/>
              </w:rPr>
              <w:t>N</w:t>
            </w:r>
            <w:r w:rsidR="006C3B70" w:rsidRPr="00CE25D5">
              <w:rPr>
                <w:rFonts w:ascii="Book Antiqua" w:eastAsia="宋体" w:hAnsi="Book Antiqua" w:hint="eastAsia"/>
                <w:b/>
                <w:lang w:eastAsia="zh-CN"/>
              </w:rPr>
              <w:t>o.</w:t>
            </w:r>
            <w:r w:rsidRPr="00CE25D5">
              <w:rPr>
                <w:rFonts w:ascii="Book Antiqua" w:hAnsi="Book Antiqua"/>
                <w:b/>
              </w:rPr>
              <w:t xml:space="preserve"> of units transfused</w:t>
            </w:r>
          </w:p>
        </w:tc>
        <w:tc>
          <w:tcPr>
            <w:tcW w:w="2129" w:type="dxa"/>
            <w:tcBorders>
              <w:top w:val="nil"/>
              <w:left w:val="nil"/>
              <w:bottom w:val="nil"/>
              <w:right w:val="nil"/>
            </w:tcBorders>
          </w:tcPr>
          <w:p w14:paraId="3EBCE170" w14:textId="4A3CA943" w:rsidR="00C06CC7" w:rsidRPr="00CE25D5" w:rsidRDefault="00C06CC7" w:rsidP="00E715CA">
            <w:pPr>
              <w:spacing w:line="360" w:lineRule="auto"/>
              <w:jc w:val="both"/>
              <w:rPr>
                <w:rFonts w:ascii="Book Antiqua" w:hAnsi="Book Antiqua"/>
                <w:b/>
              </w:rPr>
            </w:pPr>
            <w:r w:rsidRPr="00CE25D5">
              <w:rPr>
                <w:rFonts w:ascii="Book Antiqua" w:hAnsi="Book Antiqua"/>
                <w:b/>
              </w:rPr>
              <w:t>55</w:t>
            </w:r>
          </w:p>
        </w:tc>
        <w:tc>
          <w:tcPr>
            <w:tcW w:w="2129" w:type="dxa"/>
            <w:tcBorders>
              <w:top w:val="nil"/>
              <w:left w:val="nil"/>
              <w:bottom w:val="nil"/>
              <w:right w:val="nil"/>
            </w:tcBorders>
          </w:tcPr>
          <w:p w14:paraId="6F2163B8" w14:textId="14363C72" w:rsidR="00C06CC7" w:rsidRPr="00CE25D5" w:rsidRDefault="00C06CC7" w:rsidP="00E715CA">
            <w:pPr>
              <w:spacing w:line="360" w:lineRule="auto"/>
              <w:jc w:val="both"/>
              <w:rPr>
                <w:rFonts w:ascii="Book Antiqua" w:hAnsi="Book Antiqua"/>
                <w:b/>
              </w:rPr>
            </w:pPr>
            <w:r w:rsidRPr="00CE25D5">
              <w:rPr>
                <w:rFonts w:ascii="Book Antiqua" w:hAnsi="Book Antiqua"/>
                <w:b/>
              </w:rPr>
              <w:t>3</w:t>
            </w:r>
          </w:p>
        </w:tc>
        <w:tc>
          <w:tcPr>
            <w:tcW w:w="2129" w:type="dxa"/>
            <w:tcBorders>
              <w:top w:val="nil"/>
              <w:left w:val="nil"/>
              <w:bottom w:val="nil"/>
            </w:tcBorders>
          </w:tcPr>
          <w:p w14:paraId="6EFB8878" w14:textId="7FB9915D" w:rsidR="00C06CC7" w:rsidRPr="00CE25D5" w:rsidRDefault="00C06CC7" w:rsidP="00E715CA">
            <w:pPr>
              <w:spacing w:line="360" w:lineRule="auto"/>
              <w:jc w:val="both"/>
              <w:rPr>
                <w:rFonts w:ascii="Book Antiqua" w:hAnsi="Book Antiqua"/>
                <w:b/>
              </w:rPr>
            </w:pPr>
            <w:r w:rsidRPr="00CE25D5">
              <w:rPr>
                <w:rFonts w:ascii="Book Antiqua" w:hAnsi="Book Antiqua"/>
                <w:b/>
              </w:rPr>
              <w:t>52</w:t>
            </w:r>
          </w:p>
        </w:tc>
      </w:tr>
      <w:tr w:rsidR="00CE25D5" w:rsidRPr="00CE25D5" w14:paraId="2985BD3A" w14:textId="77777777" w:rsidTr="008C69F5">
        <w:tc>
          <w:tcPr>
            <w:tcW w:w="2802" w:type="dxa"/>
            <w:tcBorders>
              <w:top w:val="nil"/>
              <w:bottom w:val="nil"/>
              <w:right w:val="nil"/>
            </w:tcBorders>
          </w:tcPr>
          <w:p w14:paraId="5D71DC68" w14:textId="6CA5571A" w:rsidR="00C06CC7" w:rsidRPr="00CE25D5" w:rsidRDefault="00C06CC7" w:rsidP="00E715CA">
            <w:pPr>
              <w:spacing w:line="360" w:lineRule="auto"/>
              <w:jc w:val="both"/>
              <w:rPr>
                <w:rFonts w:ascii="Book Antiqua" w:hAnsi="Book Antiqua"/>
                <w:b/>
              </w:rPr>
            </w:pPr>
            <w:r w:rsidRPr="00CE25D5">
              <w:rPr>
                <w:rFonts w:ascii="Book Antiqua" w:hAnsi="Book Antiqua"/>
                <w:b/>
              </w:rPr>
              <w:t>Total cost of transfusion</w:t>
            </w:r>
          </w:p>
        </w:tc>
        <w:tc>
          <w:tcPr>
            <w:tcW w:w="2129" w:type="dxa"/>
            <w:tcBorders>
              <w:top w:val="nil"/>
              <w:left w:val="nil"/>
              <w:bottom w:val="nil"/>
              <w:right w:val="nil"/>
            </w:tcBorders>
          </w:tcPr>
          <w:p w14:paraId="74216D3A" w14:textId="6FA4B4E5" w:rsidR="00C06CC7" w:rsidRPr="00CE25D5" w:rsidRDefault="00C06CC7" w:rsidP="00E715CA">
            <w:pPr>
              <w:spacing w:line="360" w:lineRule="auto"/>
              <w:jc w:val="both"/>
              <w:rPr>
                <w:rFonts w:ascii="Book Antiqua" w:hAnsi="Book Antiqua"/>
                <w:b/>
              </w:rPr>
            </w:pPr>
            <w:r w:rsidRPr="00CE25D5">
              <w:rPr>
                <w:rFonts w:ascii="Book Antiqua" w:hAnsi="Book Antiqua"/>
                <w:b/>
              </w:rPr>
              <w:t>€11055</w:t>
            </w:r>
          </w:p>
        </w:tc>
        <w:tc>
          <w:tcPr>
            <w:tcW w:w="2129" w:type="dxa"/>
            <w:tcBorders>
              <w:top w:val="nil"/>
              <w:left w:val="nil"/>
              <w:bottom w:val="nil"/>
              <w:right w:val="nil"/>
            </w:tcBorders>
          </w:tcPr>
          <w:p w14:paraId="4168360B" w14:textId="45EE0636" w:rsidR="00C06CC7" w:rsidRPr="00CE25D5" w:rsidRDefault="00C06CC7" w:rsidP="00E715CA">
            <w:pPr>
              <w:spacing w:line="360" w:lineRule="auto"/>
              <w:jc w:val="both"/>
              <w:rPr>
                <w:rFonts w:ascii="Book Antiqua" w:hAnsi="Book Antiqua"/>
                <w:b/>
              </w:rPr>
            </w:pPr>
            <w:r w:rsidRPr="00CE25D5">
              <w:rPr>
                <w:rFonts w:ascii="Book Antiqua" w:hAnsi="Book Antiqua"/>
                <w:b/>
              </w:rPr>
              <w:t>€603</w:t>
            </w:r>
          </w:p>
        </w:tc>
        <w:tc>
          <w:tcPr>
            <w:tcW w:w="2129" w:type="dxa"/>
            <w:tcBorders>
              <w:top w:val="nil"/>
              <w:left w:val="nil"/>
              <w:bottom w:val="nil"/>
            </w:tcBorders>
          </w:tcPr>
          <w:p w14:paraId="55EE1418" w14:textId="1CBCB519" w:rsidR="00C06CC7" w:rsidRPr="00CE25D5" w:rsidRDefault="00C06CC7" w:rsidP="00E715CA">
            <w:pPr>
              <w:spacing w:line="360" w:lineRule="auto"/>
              <w:jc w:val="both"/>
              <w:rPr>
                <w:rFonts w:ascii="Book Antiqua" w:hAnsi="Book Antiqua"/>
                <w:b/>
              </w:rPr>
            </w:pPr>
            <w:r w:rsidRPr="00CE25D5">
              <w:rPr>
                <w:rFonts w:ascii="Book Antiqua" w:hAnsi="Book Antiqua"/>
                <w:b/>
              </w:rPr>
              <w:t>€10452</w:t>
            </w:r>
          </w:p>
        </w:tc>
      </w:tr>
      <w:tr w:rsidR="00CE25D5" w:rsidRPr="00CE25D5" w14:paraId="0FF91E03" w14:textId="77777777" w:rsidTr="008C69F5">
        <w:tc>
          <w:tcPr>
            <w:tcW w:w="2802" w:type="dxa"/>
            <w:tcBorders>
              <w:top w:val="nil"/>
              <w:bottom w:val="nil"/>
              <w:right w:val="nil"/>
            </w:tcBorders>
          </w:tcPr>
          <w:p w14:paraId="0AB9321D" w14:textId="4A234D6D" w:rsidR="00C06CC7" w:rsidRPr="00CE25D5" w:rsidRDefault="009C5ED2" w:rsidP="00E715CA">
            <w:pPr>
              <w:spacing w:line="360" w:lineRule="auto"/>
              <w:jc w:val="both"/>
              <w:rPr>
                <w:rFonts w:ascii="Book Antiqua" w:eastAsia="宋体" w:hAnsi="Book Antiqua"/>
                <w:b/>
                <w:lang w:eastAsia="zh-CN"/>
              </w:rPr>
            </w:pPr>
            <w:r w:rsidRPr="00CE25D5">
              <w:rPr>
                <w:rFonts w:ascii="Book Antiqua" w:hAnsi="Book Antiqua"/>
                <w:b/>
              </w:rPr>
              <w:t>BDU</w:t>
            </w:r>
          </w:p>
        </w:tc>
        <w:tc>
          <w:tcPr>
            <w:tcW w:w="2129" w:type="dxa"/>
            <w:tcBorders>
              <w:top w:val="nil"/>
              <w:left w:val="nil"/>
              <w:bottom w:val="nil"/>
              <w:right w:val="nil"/>
            </w:tcBorders>
          </w:tcPr>
          <w:p w14:paraId="7DC4466B" w14:textId="2DE17CB7" w:rsidR="00C06CC7" w:rsidRPr="00CE25D5" w:rsidRDefault="00C06CC7" w:rsidP="00E715CA">
            <w:pPr>
              <w:spacing w:line="360" w:lineRule="auto"/>
              <w:jc w:val="both"/>
              <w:rPr>
                <w:rFonts w:ascii="Book Antiqua" w:hAnsi="Book Antiqua"/>
                <w:b/>
              </w:rPr>
            </w:pPr>
            <w:r w:rsidRPr="00CE25D5">
              <w:rPr>
                <w:rFonts w:ascii="Book Antiqua" w:hAnsi="Book Antiqua"/>
                <w:b/>
              </w:rPr>
              <w:t>653</w:t>
            </w:r>
          </w:p>
        </w:tc>
        <w:tc>
          <w:tcPr>
            <w:tcW w:w="2129" w:type="dxa"/>
            <w:tcBorders>
              <w:top w:val="nil"/>
              <w:left w:val="nil"/>
              <w:bottom w:val="nil"/>
              <w:right w:val="nil"/>
            </w:tcBorders>
          </w:tcPr>
          <w:p w14:paraId="6DCE6670" w14:textId="3E7A4821" w:rsidR="00C06CC7" w:rsidRPr="00CE25D5" w:rsidRDefault="00C06CC7" w:rsidP="00E715CA">
            <w:pPr>
              <w:spacing w:line="360" w:lineRule="auto"/>
              <w:jc w:val="both"/>
              <w:rPr>
                <w:rFonts w:ascii="Book Antiqua" w:hAnsi="Book Antiqua"/>
                <w:b/>
              </w:rPr>
            </w:pPr>
            <w:r w:rsidRPr="00CE25D5">
              <w:rPr>
                <w:rFonts w:ascii="Book Antiqua" w:hAnsi="Book Antiqua"/>
                <w:b/>
              </w:rPr>
              <w:t>547</w:t>
            </w:r>
          </w:p>
        </w:tc>
        <w:tc>
          <w:tcPr>
            <w:tcW w:w="2129" w:type="dxa"/>
            <w:tcBorders>
              <w:top w:val="nil"/>
              <w:left w:val="nil"/>
              <w:bottom w:val="nil"/>
            </w:tcBorders>
          </w:tcPr>
          <w:p w14:paraId="223CC25D" w14:textId="742DF70C" w:rsidR="00C06CC7" w:rsidRPr="00CE25D5" w:rsidRDefault="00C06CC7" w:rsidP="00E715CA">
            <w:pPr>
              <w:spacing w:line="360" w:lineRule="auto"/>
              <w:jc w:val="both"/>
              <w:rPr>
                <w:rFonts w:ascii="Book Antiqua" w:hAnsi="Book Antiqua"/>
                <w:b/>
              </w:rPr>
            </w:pPr>
            <w:r w:rsidRPr="00CE25D5">
              <w:rPr>
                <w:rFonts w:ascii="Book Antiqua" w:hAnsi="Book Antiqua"/>
                <w:b/>
              </w:rPr>
              <w:t>106</w:t>
            </w:r>
          </w:p>
        </w:tc>
      </w:tr>
      <w:tr w:rsidR="00C06CC7" w:rsidRPr="00CE25D5" w14:paraId="5301DD18" w14:textId="77777777" w:rsidTr="008C69F5">
        <w:tc>
          <w:tcPr>
            <w:tcW w:w="2802" w:type="dxa"/>
            <w:tcBorders>
              <w:top w:val="nil"/>
              <w:right w:val="nil"/>
            </w:tcBorders>
          </w:tcPr>
          <w:p w14:paraId="630123B7" w14:textId="7002B9DE" w:rsidR="00C06CC7" w:rsidRPr="00CE25D5" w:rsidRDefault="00AF4041" w:rsidP="00E715CA">
            <w:pPr>
              <w:spacing w:line="360" w:lineRule="auto"/>
              <w:jc w:val="both"/>
              <w:rPr>
                <w:rFonts w:ascii="Book Antiqua" w:hAnsi="Book Antiqua"/>
                <w:b/>
              </w:rPr>
            </w:pPr>
            <w:r w:rsidRPr="00CE25D5">
              <w:rPr>
                <w:rFonts w:ascii="Book Antiqua" w:hAnsi="Book Antiqua"/>
                <w:b/>
              </w:rPr>
              <w:t>Total cost of BDU</w:t>
            </w:r>
          </w:p>
        </w:tc>
        <w:tc>
          <w:tcPr>
            <w:tcW w:w="2129" w:type="dxa"/>
            <w:tcBorders>
              <w:top w:val="nil"/>
              <w:left w:val="nil"/>
              <w:right w:val="nil"/>
            </w:tcBorders>
          </w:tcPr>
          <w:p w14:paraId="3DC42063" w14:textId="475E3686" w:rsidR="00C06CC7" w:rsidRPr="00CE25D5" w:rsidRDefault="00C06CC7" w:rsidP="00E715CA">
            <w:pPr>
              <w:spacing w:line="360" w:lineRule="auto"/>
              <w:jc w:val="both"/>
              <w:rPr>
                <w:rFonts w:ascii="Book Antiqua" w:hAnsi="Book Antiqua"/>
                <w:b/>
              </w:rPr>
            </w:pPr>
            <w:r w:rsidRPr="00CE25D5">
              <w:rPr>
                <w:rFonts w:ascii="Book Antiqua" w:hAnsi="Book Antiqua"/>
                <w:b/>
              </w:rPr>
              <w:t>€705893</w:t>
            </w:r>
          </w:p>
        </w:tc>
        <w:tc>
          <w:tcPr>
            <w:tcW w:w="2129" w:type="dxa"/>
            <w:tcBorders>
              <w:top w:val="nil"/>
              <w:left w:val="nil"/>
              <w:right w:val="nil"/>
            </w:tcBorders>
          </w:tcPr>
          <w:p w14:paraId="281B47F0" w14:textId="045E8A0D" w:rsidR="00C06CC7" w:rsidRPr="00CE25D5" w:rsidRDefault="00C06CC7" w:rsidP="00E715CA">
            <w:pPr>
              <w:spacing w:line="360" w:lineRule="auto"/>
              <w:jc w:val="both"/>
              <w:rPr>
                <w:rFonts w:ascii="Book Antiqua" w:hAnsi="Book Antiqua"/>
                <w:b/>
              </w:rPr>
            </w:pPr>
            <w:r w:rsidRPr="00CE25D5">
              <w:rPr>
                <w:rFonts w:ascii="Book Antiqua" w:hAnsi="Book Antiqua"/>
                <w:b/>
              </w:rPr>
              <w:t>€591307</w:t>
            </w:r>
          </w:p>
        </w:tc>
        <w:tc>
          <w:tcPr>
            <w:tcW w:w="2129" w:type="dxa"/>
            <w:tcBorders>
              <w:top w:val="nil"/>
              <w:left w:val="nil"/>
            </w:tcBorders>
          </w:tcPr>
          <w:p w14:paraId="39A39116" w14:textId="4AF66BE8" w:rsidR="00C06CC7" w:rsidRPr="00CE25D5" w:rsidRDefault="009C5ED2" w:rsidP="00E715CA">
            <w:pPr>
              <w:spacing w:line="360" w:lineRule="auto"/>
              <w:jc w:val="both"/>
              <w:rPr>
                <w:rFonts w:ascii="Book Antiqua" w:hAnsi="Book Antiqua"/>
                <w:b/>
              </w:rPr>
            </w:pPr>
            <w:r w:rsidRPr="00CE25D5">
              <w:rPr>
                <w:rFonts w:ascii="Book Antiqua" w:hAnsi="Book Antiqua"/>
                <w:b/>
              </w:rPr>
              <w:t>€114</w:t>
            </w:r>
            <w:r w:rsidR="00AF4041" w:rsidRPr="00CE25D5">
              <w:rPr>
                <w:rFonts w:ascii="Book Antiqua" w:hAnsi="Book Antiqua"/>
                <w:b/>
              </w:rPr>
              <w:t>586</w:t>
            </w:r>
          </w:p>
        </w:tc>
      </w:tr>
    </w:tbl>
    <w:p w14:paraId="54A34A2F" w14:textId="77777777" w:rsidR="00C06CC7" w:rsidRPr="00CE25D5" w:rsidRDefault="00C06CC7" w:rsidP="00E715CA">
      <w:pPr>
        <w:spacing w:line="360" w:lineRule="auto"/>
        <w:jc w:val="both"/>
        <w:rPr>
          <w:rFonts w:ascii="Book Antiqua" w:hAnsi="Book Antiqua"/>
          <w:b/>
        </w:rPr>
      </w:pPr>
    </w:p>
    <w:p w14:paraId="2B6F6705" w14:textId="5BC6A088" w:rsidR="00AE0C93" w:rsidRPr="00CE25D5" w:rsidRDefault="009C5ED2" w:rsidP="00E715CA">
      <w:pPr>
        <w:spacing w:line="360" w:lineRule="auto"/>
        <w:jc w:val="both"/>
        <w:rPr>
          <w:rFonts w:ascii="Book Antiqua" w:eastAsia="宋体" w:hAnsi="Book Antiqua"/>
          <w:b/>
          <w:lang w:eastAsia="zh-CN"/>
        </w:rPr>
      </w:pPr>
      <w:r w:rsidRPr="00CE25D5">
        <w:rPr>
          <w:rFonts w:ascii="Book Antiqua" w:hAnsi="Book Antiqua"/>
        </w:rPr>
        <w:t>BDU</w:t>
      </w:r>
      <w:r w:rsidRPr="00CE25D5">
        <w:rPr>
          <w:rFonts w:ascii="Book Antiqua" w:eastAsia="宋体" w:hAnsi="Book Antiqua" w:hint="eastAsia"/>
          <w:lang w:eastAsia="zh-CN"/>
        </w:rPr>
        <w:t>:</w:t>
      </w:r>
      <w:r w:rsidRPr="00CE25D5">
        <w:rPr>
          <w:rFonts w:ascii="Book Antiqua" w:hAnsi="Book Antiqua"/>
        </w:rPr>
        <w:t xml:space="preserve"> Bed days used</w:t>
      </w:r>
      <w:r w:rsidR="00CE25D5">
        <w:rPr>
          <w:rFonts w:ascii="Book Antiqua" w:eastAsia="宋体" w:hAnsi="Book Antiqua" w:hint="eastAsia"/>
          <w:lang w:eastAsia="zh-CN"/>
        </w:rPr>
        <w:t xml:space="preserve">; </w:t>
      </w:r>
      <w:r w:rsidR="00CE25D5" w:rsidRPr="00CE25D5">
        <w:rPr>
          <w:rFonts w:ascii="Book Antiqua" w:hAnsi="Book Antiqua"/>
        </w:rPr>
        <w:t>TXA</w:t>
      </w:r>
      <w:r w:rsidR="00CE25D5" w:rsidRPr="00CE25D5">
        <w:rPr>
          <w:rFonts w:ascii="Book Antiqua" w:eastAsia="宋体" w:hAnsi="Book Antiqua" w:hint="eastAsia"/>
          <w:lang w:eastAsia="zh-CN"/>
        </w:rPr>
        <w:t xml:space="preserve">: </w:t>
      </w:r>
      <w:r w:rsidR="00DE2013">
        <w:rPr>
          <w:rFonts w:ascii="Book Antiqua" w:eastAsia="宋体" w:hAnsi="Book Antiqua" w:hint="eastAsia"/>
          <w:lang w:eastAsia="zh-CN"/>
        </w:rPr>
        <w:t>T</w:t>
      </w:r>
      <w:r w:rsidR="00CE25D5" w:rsidRPr="00CE25D5">
        <w:rPr>
          <w:rFonts w:ascii="Book Antiqua" w:hAnsi="Book Antiqua"/>
        </w:rPr>
        <w:t>ranexamic acid</w:t>
      </w:r>
      <w:r w:rsidR="00CE25D5" w:rsidRPr="00CE25D5">
        <w:rPr>
          <w:rFonts w:ascii="Book Antiqua" w:eastAsia="宋体" w:hAnsi="Book Antiqua" w:hint="eastAsia"/>
          <w:lang w:eastAsia="zh-CN"/>
        </w:rPr>
        <w:t>.</w:t>
      </w:r>
    </w:p>
    <w:p w14:paraId="6BD00301" w14:textId="77777777" w:rsidR="00AE0C93" w:rsidRPr="00CE25D5" w:rsidRDefault="00AE0C93" w:rsidP="00E715CA">
      <w:pPr>
        <w:spacing w:line="360" w:lineRule="auto"/>
        <w:jc w:val="both"/>
        <w:rPr>
          <w:rFonts w:ascii="Book Antiqua" w:hAnsi="Book Antiqua"/>
          <w:b/>
        </w:rPr>
      </w:pPr>
    </w:p>
    <w:p w14:paraId="2610358D" w14:textId="77777777" w:rsidR="00AE0C93" w:rsidRPr="00CE25D5" w:rsidRDefault="00AE0C93" w:rsidP="00E715CA">
      <w:pPr>
        <w:spacing w:line="360" w:lineRule="auto"/>
        <w:jc w:val="both"/>
        <w:rPr>
          <w:rFonts w:ascii="Book Antiqua" w:hAnsi="Book Antiqua"/>
          <w:b/>
        </w:rPr>
      </w:pPr>
    </w:p>
    <w:p w14:paraId="56E3232F" w14:textId="77777777" w:rsidR="00AE0C93" w:rsidRPr="00CE25D5" w:rsidRDefault="00AE0C93" w:rsidP="00E715CA">
      <w:pPr>
        <w:spacing w:line="360" w:lineRule="auto"/>
        <w:jc w:val="both"/>
        <w:rPr>
          <w:rFonts w:ascii="Book Antiqua" w:hAnsi="Book Antiqua"/>
          <w:b/>
        </w:rPr>
      </w:pPr>
    </w:p>
    <w:p w14:paraId="70DD3B10" w14:textId="7FCF1F8F" w:rsidR="00B37520" w:rsidRPr="00CE25D5" w:rsidRDefault="00B37520" w:rsidP="00E715CA">
      <w:pPr>
        <w:spacing w:line="360" w:lineRule="auto"/>
        <w:jc w:val="both"/>
        <w:rPr>
          <w:rFonts w:ascii="Book Antiqua" w:hAnsi="Book Antiqua"/>
          <w:b/>
        </w:rPr>
      </w:pPr>
    </w:p>
    <w:p w14:paraId="10CA05A5" w14:textId="77777777" w:rsidR="00F45478" w:rsidRPr="00CE25D5" w:rsidRDefault="00F45478" w:rsidP="00E715CA">
      <w:pPr>
        <w:spacing w:line="360" w:lineRule="auto"/>
        <w:jc w:val="both"/>
        <w:rPr>
          <w:rFonts w:ascii="Book Antiqua" w:hAnsi="Book Antiqua"/>
          <w:b/>
        </w:rPr>
      </w:pPr>
    </w:p>
    <w:p w14:paraId="5E7A3343" w14:textId="6331F4F3" w:rsidR="00CB0F8F" w:rsidRPr="00CE25D5" w:rsidRDefault="00F45478" w:rsidP="00E715CA">
      <w:pPr>
        <w:spacing w:line="360" w:lineRule="auto"/>
        <w:jc w:val="both"/>
        <w:rPr>
          <w:rFonts w:ascii="Book Antiqua" w:hAnsi="Book Antiqua"/>
          <w:b/>
        </w:rPr>
      </w:pPr>
      <w:r w:rsidRPr="00CE25D5">
        <w:rPr>
          <w:rFonts w:ascii="Book Antiqua" w:hAnsi="Book Antiqua"/>
          <w:b/>
        </w:rPr>
        <w:fldChar w:fldCharType="begin"/>
      </w:r>
      <w:r w:rsidRPr="00CE25D5">
        <w:rPr>
          <w:rFonts w:ascii="Book Antiqua" w:hAnsi="Book Antiqua"/>
          <w:b/>
        </w:rPr>
        <w:instrText xml:space="preserve"> ADDIN EN.REFLIST </w:instrText>
      </w:r>
      <w:r w:rsidRPr="00CE25D5">
        <w:rPr>
          <w:rFonts w:ascii="Book Antiqua" w:hAnsi="Book Antiqua"/>
          <w:b/>
        </w:rPr>
        <w:fldChar w:fldCharType="end"/>
      </w:r>
    </w:p>
    <w:sectPr w:rsidR="00CB0F8F" w:rsidRPr="00CE25D5" w:rsidSect="00AC06A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E3D2" w14:textId="77777777" w:rsidR="00F22325" w:rsidRDefault="00F22325" w:rsidP="00196A1A">
      <w:r>
        <w:separator/>
      </w:r>
    </w:p>
  </w:endnote>
  <w:endnote w:type="continuationSeparator" w:id="0">
    <w:p w14:paraId="37E5C266" w14:textId="77777777" w:rsidR="00F22325" w:rsidRDefault="00F22325" w:rsidP="0019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45F2" w14:textId="77777777" w:rsidR="005C43CE" w:rsidRDefault="005C43CE" w:rsidP="0019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83F54" w14:textId="77777777" w:rsidR="005C43CE" w:rsidRDefault="005C43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E015" w14:textId="77777777" w:rsidR="005C43CE" w:rsidRDefault="005C43CE" w:rsidP="0019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385">
      <w:rPr>
        <w:rStyle w:val="PageNumber"/>
        <w:noProof/>
      </w:rPr>
      <w:t>20</w:t>
    </w:r>
    <w:r>
      <w:rPr>
        <w:rStyle w:val="PageNumber"/>
      </w:rPr>
      <w:fldChar w:fldCharType="end"/>
    </w:r>
  </w:p>
  <w:p w14:paraId="0E6B23E6" w14:textId="77777777" w:rsidR="005C43CE" w:rsidRDefault="005C4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51C7" w14:textId="77777777" w:rsidR="00F22325" w:rsidRDefault="00F22325" w:rsidP="00196A1A">
      <w:r>
        <w:separator/>
      </w:r>
    </w:p>
  </w:footnote>
  <w:footnote w:type="continuationSeparator" w:id="0">
    <w:p w14:paraId="4044E00F" w14:textId="77777777" w:rsidR="00F22325" w:rsidRDefault="00F22325" w:rsidP="0019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Surge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D6E4A"/>
    <w:rsid w:val="00012814"/>
    <w:rsid w:val="00022BEF"/>
    <w:rsid w:val="00031CEF"/>
    <w:rsid w:val="0008006A"/>
    <w:rsid w:val="00084475"/>
    <w:rsid w:val="00084F71"/>
    <w:rsid w:val="00093B24"/>
    <w:rsid w:val="000A31FE"/>
    <w:rsid w:val="000B0385"/>
    <w:rsid w:val="000C4834"/>
    <w:rsid w:val="00105C78"/>
    <w:rsid w:val="00115EE3"/>
    <w:rsid w:val="0011667E"/>
    <w:rsid w:val="0012024B"/>
    <w:rsid w:val="00122272"/>
    <w:rsid w:val="0013311E"/>
    <w:rsid w:val="0017423F"/>
    <w:rsid w:val="00196A1A"/>
    <w:rsid w:val="001A7EFD"/>
    <w:rsid w:val="001B48E3"/>
    <w:rsid w:val="001D239F"/>
    <w:rsid w:val="001E3974"/>
    <w:rsid w:val="001E771A"/>
    <w:rsid w:val="002233BA"/>
    <w:rsid w:val="00297150"/>
    <w:rsid w:val="002A5B6D"/>
    <w:rsid w:val="002D7CFC"/>
    <w:rsid w:val="002F13B6"/>
    <w:rsid w:val="002F1F52"/>
    <w:rsid w:val="002F6FD4"/>
    <w:rsid w:val="003560E8"/>
    <w:rsid w:val="003567A1"/>
    <w:rsid w:val="003933FA"/>
    <w:rsid w:val="00394812"/>
    <w:rsid w:val="004449EE"/>
    <w:rsid w:val="00454CFE"/>
    <w:rsid w:val="0047175D"/>
    <w:rsid w:val="004763C5"/>
    <w:rsid w:val="0047658D"/>
    <w:rsid w:val="00495EA5"/>
    <w:rsid w:val="004A55FE"/>
    <w:rsid w:val="004B2D3E"/>
    <w:rsid w:val="004B772A"/>
    <w:rsid w:val="004C01A3"/>
    <w:rsid w:val="004F2181"/>
    <w:rsid w:val="00514343"/>
    <w:rsid w:val="00517E78"/>
    <w:rsid w:val="00534610"/>
    <w:rsid w:val="00572A8F"/>
    <w:rsid w:val="00580449"/>
    <w:rsid w:val="005C43CE"/>
    <w:rsid w:val="005E145B"/>
    <w:rsid w:val="005E1F72"/>
    <w:rsid w:val="0060605D"/>
    <w:rsid w:val="006070C5"/>
    <w:rsid w:val="006152A5"/>
    <w:rsid w:val="00630084"/>
    <w:rsid w:val="00630773"/>
    <w:rsid w:val="00654535"/>
    <w:rsid w:val="0066041E"/>
    <w:rsid w:val="00676B4C"/>
    <w:rsid w:val="0067744B"/>
    <w:rsid w:val="006C1B01"/>
    <w:rsid w:val="006C3B70"/>
    <w:rsid w:val="006E1E63"/>
    <w:rsid w:val="00781FB7"/>
    <w:rsid w:val="007A0755"/>
    <w:rsid w:val="007A6B80"/>
    <w:rsid w:val="007B0A26"/>
    <w:rsid w:val="007D6842"/>
    <w:rsid w:val="007E3E72"/>
    <w:rsid w:val="008047BF"/>
    <w:rsid w:val="008055FC"/>
    <w:rsid w:val="00805A02"/>
    <w:rsid w:val="00854655"/>
    <w:rsid w:val="008656A6"/>
    <w:rsid w:val="0089203E"/>
    <w:rsid w:val="008936BD"/>
    <w:rsid w:val="00897318"/>
    <w:rsid w:val="008977A3"/>
    <w:rsid w:val="008B7BAE"/>
    <w:rsid w:val="008C69F5"/>
    <w:rsid w:val="008D581D"/>
    <w:rsid w:val="008F0475"/>
    <w:rsid w:val="008F16A8"/>
    <w:rsid w:val="0090084B"/>
    <w:rsid w:val="009030F1"/>
    <w:rsid w:val="00903CB8"/>
    <w:rsid w:val="00961C22"/>
    <w:rsid w:val="00982172"/>
    <w:rsid w:val="00990E03"/>
    <w:rsid w:val="009B2BBF"/>
    <w:rsid w:val="009B62A9"/>
    <w:rsid w:val="009C5ED2"/>
    <w:rsid w:val="009D3396"/>
    <w:rsid w:val="00A17832"/>
    <w:rsid w:val="00A51E10"/>
    <w:rsid w:val="00A7230A"/>
    <w:rsid w:val="00A94673"/>
    <w:rsid w:val="00A94BC1"/>
    <w:rsid w:val="00A953C1"/>
    <w:rsid w:val="00AB2356"/>
    <w:rsid w:val="00AB7646"/>
    <w:rsid w:val="00AC06AD"/>
    <w:rsid w:val="00AC2452"/>
    <w:rsid w:val="00AC38AE"/>
    <w:rsid w:val="00AD0EE7"/>
    <w:rsid w:val="00AD1A82"/>
    <w:rsid w:val="00AE0C93"/>
    <w:rsid w:val="00AE7DF5"/>
    <w:rsid w:val="00AF268F"/>
    <w:rsid w:val="00AF4041"/>
    <w:rsid w:val="00B03554"/>
    <w:rsid w:val="00B22338"/>
    <w:rsid w:val="00B37520"/>
    <w:rsid w:val="00B56729"/>
    <w:rsid w:val="00B6057C"/>
    <w:rsid w:val="00B70DE8"/>
    <w:rsid w:val="00B72499"/>
    <w:rsid w:val="00B76FAA"/>
    <w:rsid w:val="00B94699"/>
    <w:rsid w:val="00B95E99"/>
    <w:rsid w:val="00BA3290"/>
    <w:rsid w:val="00BF0208"/>
    <w:rsid w:val="00C06CC7"/>
    <w:rsid w:val="00C31626"/>
    <w:rsid w:val="00C81DFD"/>
    <w:rsid w:val="00C93DA8"/>
    <w:rsid w:val="00CA04EA"/>
    <w:rsid w:val="00CB0F8F"/>
    <w:rsid w:val="00CD333D"/>
    <w:rsid w:val="00CE25D5"/>
    <w:rsid w:val="00D03CD6"/>
    <w:rsid w:val="00D10512"/>
    <w:rsid w:val="00D135D2"/>
    <w:rsid w:val="00D20880"/>
    <w:rsid w:val="00D350C9"/>
    <w:rsid w:val="00D541C9"/>
    <w:rsid w:val="00D65097"/>
    <w:rsid w:val="00D7556D"/>
    <w:rsid w:val="00DD0C11"/>
    <w:rsid w:val="00DE2013"/>
    <w:rsid w:val="00DF286C"/>
    <w:rsid w:val="00DF7DCB"/>
    <w:rsid w:val="00E12A20"/>
    <w:rsid w:val="00E2330A"/>
    <w:rsid w:val="00E3089D"/>
    <w:rsid w:val="00E715CA"/>
    <w:rsid w:val="00E72592"/>
    <w:rsid w:val="00E80894"/>
    <w:rsid w:val="00E812A2"/>
    <w:rsid w:val="00EB325E"/>
    <w:rsid w:val="00EC0A6D"/>
    <w:rsid w:val="00ED5AE5"/>
    <w:rsid w:val="00ED6E4A"/>
    <w:rsid w:val="00F22325"/>
    <w:rsid w:val="00F24579"/>
    <w:rsid w:val="00F45478"/>
    <w:rsid w:val="00F46763"/>
    <w:rsid w:val="00F46E77"/>
    <w:rsid w:val="00F93ACB"/>
    <w:rsid w:val="00F9735C"/>
    <w:rsid w:val="00FA4478"/>
    <w:rsid w:val="00FB180B"/>
    <w:rsid w:val="00FB2D1A"/>
    <w:rsid w:val="00FB2F1F"/>
    <w:rsid w:val="00FD2FC5"/>
    <w:rsid w:val="00FD3C54"/>
    <w:rsid w:val="00FF11DC"/>
    <w:rsid w:val="00FF510F"/>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B2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8F"/>
    <w:rPr>
      <w:color w:val="0000FF" w:themeColor="hyperlink"/>
      <w:u w:val="single"/>
    </w:rPr>
  </w:style>
  <w:style w:type="table" w:styleId="TableGrid">
    <w:name w:val="Table Grid"/>
    <w:basedOn w:val="TableNormal"/>
    <w:uiPriority w:val="59"/>
    <w:rsid w:val="00CB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4B"/>
    <w:rPr>
      <w:rFonts w:ascii="Tahoma" w:hAnsi="Tahoma" w:cs="Tahoma"/>
      <w:sz w:val="16"/>
      <w:szCs w:val="16"/>
    </w:rPr>
  </w:style>
  <w:style w:type="character" w:customStyle="1" w:styleId="BalloonTextChar">
    <w:name w:val="Balloon Text Char"/>
    <w:basedOn w:val="DefaultParagraphFont"/>
    <w:link w:val="BalloonText"/>
    <w:uiPriority w:val="99"/>
    <w:semiHidden/>
    <w:rsid w:val="0067744B"/>
    <w:rPr>
      <w:rFonts w:ascii="Tahoma" w:hAnsi="Tahoma" w:cs="Tahoma"/>
      <w:sz w:val="16"/>
      <w:szCs w:val="16"/>
    </w:rPr>
  </w:style>
  <w:style w:type="paragraph" w:styleId="Footer">
    <w:name w:val="footer"/>
    <w:basedOn w:val="Normal"/>
    <w:link w:val="FooterChar"/>
    <w:uiPriority w:val="99"/>
    <w:unhideWhenUsed/>
    <w:rsid w:val="00196A1A"/>
    <w:pPr>
      <w:tabs>
        <w:tab w:val="center" w:pos="4320"/>
        <w:tab w:val="right" w:pos="8640"/>
      </w:tabs>
    </w:pPr>
  </w:style>
  <w:style w:type="character" w:customStyle="1" w:styleId="FooterChar">
    <w:name w:val="Footer Char"/>
    <w:basedOn w:val="DefaultParagraphFont"/>
    <w:link w:val="Footer"/>
    <w:uiPriority w:val="99"/>
    <w:rsid w:val="00196A1A"/>
  </w:style>
  <w:style w:type="character" w:styleId="PageNumber">
    <w:name w:val="page number"/>
    <w:basedOn w:val="DefaultParagraphFont"/>
    <w:uiPriority w:val="99"/>
    <w:semiHidden/>
    <w:unhideWhenUsed/>
    <w:rsid w:val="00196A1A"/>
  </w:style>
  <w:style w:type="paragraph" w:styleId="Header">
    <w:name w:val="header"/>
    <w:basedOn w:val="Normal"/>
    <w:link w:val="HeaderChar"/>
    <w:uiPriority w:val="99"/>
    <w:unhideWhenUsed/>
    <w:rsid w:val="00BA32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3290"/>
    <w:rPr>
      <w:sz w:val="18"/>
      <w:szCs w:val="18"/>
    </w:rPr>
  </w:style>
  <w:style w:type="character" w:styleId="Emphasis">
    <w:name w:val="Emphasis"/>
    <w:qFormat/>
    <w:rsid w:val="000B03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8F"/>
    <w:rPr>
      <w:color w:val="0000FF" w:themeColor="hyperlink"/>
      <w:u w:val="single"/>
    </w:rPr>
  </w:style>
  <w:style w:type="table" w:styleId="TableGrid">
    <w:name w:val="Table Grid"/>
    <w:basedOn w:val="TableNormal"/>
    <w:uiPriority w:val="59"/>
    <w:rsid w:val="00CB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4B"/>
    <w:rPr>
      <w:rFonts w:ascii="Tahoma" w:hAnsi="Tahoma" w:cs="Tahoma"/>
      <w:sz w:val="16"/>
      <w:szCs w:val="16"/>
    </w:rPr>
  </w:style>
  <w:style w:type="character" w:customStyle="1" w:styleId="BalloonTextChar">
    <w:name w:val="Balloon Text Char"/>
    <w:basedOn w:val="DefaultParagraphFont"/>
    <w:link w:val="BalloonText"/>
    <w:uiPriority w:val="99"/>
    <w:semiHidden/>
    <w:rsid w:val="0067744B"/>
    <w:rPr>
      <w:rFonts w:ascii="Tahoma" w:hAnsi="Tahoma" w:cs="Tahoma"/>
      <w:sz w:val="16"/>
      <w:szCs w:val="16"/>
    </w:rPr>
  </w:style>
  <w:style w:type="paragraph" w:styleId="Footer">
    <w:name w:val="footer"/>
    <w:basedOn w:val="Normal"/>
    <w:link w:val="FooterChar"/>
    <w:uiPriority w:val="99"/>
    <w:unhideWhenUsed/>
    <w:rsid w:val="00196A1A"/>
    <w:pPr>
      <w:tabs>
        <w:tab w:val="center" w:pos="4320"/>
        <w:tab w:val="right" w:pos="8640"/>
      </w:tabs>
    </w:pPr>
  </w:style>
  <w:style w:type="character" w:customStyle="1" w:styleId="FooterChar">
    <w:name w:val="Footer Char"/>
    <w:basedOn w:val="DefaultParagraphFont"/>
    <w:link w:val="Footer"/>
    <w:uiPriority w:val="99"/>
    <w:rsid w:val="00196A1A"/>
  </w:style>
  <w:style w:type="character" w:styleId="PageNumber">
    <w:name w:val="page number"/>
    <w:basedOn w:val="DefaultParagraphFont"/>
    <w:uiPriority w:val="99"/>
    <w:semiHidden/>
    <w:unhideWhenUsed/>
    <w:rsid w:val="00196A1A"/>
  </w:style>
  <w:style w:type="paragraph" w:styleId="Header">
    <w:name w:val="header"/>
    <w:basedOn w:val="Normal"/>
    <w:link w:val="HeaderChar"/>
    <w:uiPriority w:val="99"/>
    <w:unhideWhenUsed/>
    <w:rsid w:val="00BA32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3290"/>
    <w:rPr>
      <w:sz w:val="18"/>
      <w:szCs w:val="18"/>
    </w:rPr>
  </w:style>
  <w:style w:type="character" w:styleId="Emphasis">
    <w:name w:val="Emphasis"/>
    <w:qFormat/>
    <w:rsid w:val="000B03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8931">
      <w:bodyDiv w:val="1"/>
      <w:marLeft w:val="0"/>
      <w:marRight w:val="0"/>
      <w:marTop w:val="0"/>
      <w:marBottom w:val="0"/>
      <w:divBdr>
        <w:top w:val="none" w:sz="0" w:space="0" w:color="auto"/>
        <w:left w:val="none" w:sz="0" w:space="0" w:color="auto"/>
        <w:bottom w:val="none" w:sz="0" w:space="0" w:color="auto"/>
        <w:right w:val="none" w:sz="0" w:space="0" w:color="auto"/>
      </w:divBdr>
      <w:divsChild>
        <w:div w:id="1955791487">
          <w:marLeft w:val="0"/>
          <w:marRight w:val="0"/>
          <w:marTop w:val="0"/>
          <w:marBottom w:val="0"/>
          <w:divBdr>
            <w:top w:val="none" w:sz="0" w:space="0" w:color="auto"/>
            <w:left w:val="none" w:sz="0" w:space="0" w:color="auto"/>
            <w:bottom w:val="none" w:sz="0" w:space="0" w:color="auto"/>
            <w:right w:val="none" w:sz="0" w:space="0" w:color="auto"/>
          </w:divBdr>
          <w:divsChild>
            <w:div w:id="1223567003">
              <w:marLeft w:val="0"/>
              <w:marRight w:val="0"/>
              <w:marTop w:val="0"/>
              <w:marBottom w:val="0"/>
              <w:divBdr>
                <w:top w:val="none" w:sz="0" w:space="0" w:color="auto"/>
                <w:left w:val="none" w:sz="0" w:space="0" w:color="auto"/>
                <w:bottom w:val="none" w:sz="0" w:space="0" w:color="auto"/>
                <w:right w:val="none" w:sz="0" w:space="0" w:color="auto"/>
              </w:divBdr>
            </w:div>
            <w:div w:id="615411353">
              <w:marLeft w:val="0"/>
              <w:marRight w:val="0"/>
              <w:marTop w:val="0"/>
              <w:marBottom w:val="0"/>
              <w:divBdr>
                <w:top w:val="none" w:sz="0" w:space="0" w:color="auto"/>
                <w:left w:val="none" w:sz="0" w:space="0" w:color="auto"/>
                <w:bottom w:val="none" w:sz="0" w:space="0" w:color="auto"/>
                <w:right w:val="none" w:sz="0" w:space="0" w:color="auto"/>
              </w:divBdr>
            </w:div>
            <w:div w:id="367460624">
              <w:marLeft w:val="0"/>
              <w:marRight w:val="0"/>
              <w:marTop w:val="0"/>
              <w:marBottom w:val="0"/>
              <w:divBdr>
                <w:top w:val="none" w:sz="0" w:space="0" w:color="auto"/>
                <w:left w:val="none" w:sz="0" w:space="0" w:color="auto"/>
                <w:bottom w:val="none" w:sz="0" w:space="0" w:color="auto"/>
                <w:right w:val="none" w:sz="0" w:space="0" w:color="auto"/>
              </w:divBdr>
            </w:div>
            <w:div w:id="1075905602">
              <w:marLeft w:val="0"/>
              <w:marRight w:val="0"/>
              <w:marTop w:val="0"/>
              <w:marBottom w:val="0"/>
              <w:divBdr>
                <w:top w:val="none" w:sz="0" w:space="0" w:color="auto"/>
                <w:left w:val="none" w:sz="0" w:space="0" w:color="auto"/>
                <w:bottom w:val="none" w:sz="0" w:space="0" w:color="auto"/>
                <w:right w:val="none" w:sz="0" w:space="0" w:color="auto"/>
              </w:divBdr>
            </w:div>
            <w:div w:id="1466389677">
              <w:marLeft w:val="0"/>
              <w:marRight w:val="0"/>
              <w:marTop w:val="0"/>
              <w:marBottom w:val="0"/>
              <w:divBdr>
                <w:top w:val="none" w:sz="0" w:space="0" w:color="auto"/>
                <w:left w:val="none" w:sz="0" w:space="0" w:color="auto"/>
                <w:bottom w:val="none" w:sz="0" w:space="0" w:color="auto"/>
                <w:right w:val="none" w:sz="0" w:space="0" w:color="auto"/>
              </w:divBdr>
            </w:div>
            <w:div w:id="346253000">
              <w:marLeft w:val="0"/>
              <w:marRight w:val="0"/>
              <w:marTop w:val="0"/>
              <w:marBottom w:val="0"/>
              <w:divBdr>
                <w:top w:val="none" w:sz="0" w:space="0" w:color="auto"/>
                <w:left w:val="none" w:sz="0" w:space="0" w:color="auto"/>
                <w:bottom w:val="none" w:sz="0" w:space="0" w:color="auto"/>
                <w:right w:val="none" w:sz="0" w:space="0" w:color="auto"/>
              </w:divBdr>
            </w:div>
            <w:div w:id="963392418">
              <w:marLeft w:val="0"/>
              <w:marRight w:val="0"/>
              <w:marTop w:val="0"/>
              <w:marBottom w:val="0"/>
              <w:divBdr>
                <w:top w:val="none" w:sz="0" w:space="0" w:color="auto"/>
                <w:left w:val="none" w:sz="0" w:space="0" w:color="auto"/>
                <w:bottom w:val="none" w:sz="0" w:space="0" w:color="auto"/>
                <w:right w:val="none" w:sz="0" w:space="0" w:color="auto"/>
              </w:divBdr>
            </w:div>
            <w:div w:id="1592666567">
              <w:marLeft w:val="0"/>
              <w:marRight w:val="0"/>
              <w:marTop w:val="0"/>
              <w:marBottom w:val="0"/>
              <w:divBdr>
                <w:top w:val="none" w:sz="0" w:space="0" w:color="auto"/>
                <w:left w:val="none" w:sz="0" w:space="0" w:color="auto"/>
                <w:bottom w:val="none" w:sz="0" w:space="0" w:color="auto"/>
                <w:right w:val="none" w:sz="0" w:space="0" w:color="auto"/>
              </w:divBdr>
            </w:div>
            <w:div w:id="1399136554">
              <w:marLeft w:val="0"/>
              <w:marRight w:val="0"/>
              <w:marTop w:val="0"/>
              <w:marBottom w:val="0"/>
              <w:divBdr>
                <w:top w:val="none" w:sz="0" w:space="0" w:color="auto"/>
                <w:left w:val="none" w:sz="0" w:space="0" w:color="auto"/>
                <w:bottom w:val="none" w:sz="0" w:space="0" w:color="auto"/>
                <w:right w:val="none" w:sz="0" w:space="0" w:color="auto"/>
              </w:divBdr>
            </w:div>
            <w:div w:id="1731532943">
              <w:marLeft w:val="0"/>
              <w:marRight w:val="0"/>
              <w:marTop w:val="0"/>
              <w:marBottom w:val="0"/>
              <w:divBdr>
                <w:top w:val="none" w:sz="0" w:space="0" w:color="auto"/>
                <w:left w:val="none" w:sz="0" w:space="0" w:color="auto"/>
                <w:bottom w:val="none" w:sz="0" w:space="0" w:color="auto"/>
                <w:right w:val="none" w:sz="0" w:space="0" w:color="auto"/>
              </w:divBdr>
            </w:div>
            <w:div w:id="976842048">
              <w:marLeft w:val="0"/>
              <w:marRight w:val="0"/>
              <w:marTop w:val="0"/>
              <w:marBottom w:val="0"/>
              <w:divBdr>
                <w:top w:val="none" w:sz="0" w:space="0" w:color="auto"/>
                <w:left w:val="none" w:sz="0" w:space="0" w:color="auto"/>
                <w:bottom w:val="none" w:sz="0" w:space="0" w:color="auto"/>
                <w:right w:val="none" w:sz="0" w:space="0" w:color="auto"/>
              </w:divBdr>
            </w:div>
            <w:div w:id="1783300889">
              <w:marLeft w:val="0"/>
              <w:marRight w:val="0"/>
              <w:marTop w:val="0"/>
              <w:marBottom w:val="0"/>
              <w:divBdr>
                <w:top w:val="none" w:sz="0" w:space="0" w:color="auto"/>
                <w:left w:val="none" w:sz="0" w:space="0" w:color="auto"/>
                <w:bottom w:val="none" w:sz="0" w:space="0" w:color="auto"/>
                <w:right w:val="none" w:sz="0" w:space="0" w:color="auto"/>
              </w:divBdr>
            </w:div>
            <w:div w:id="1563826171">
              <w:marLeft w:val="0"/>
              <w:marRight w:val="0"/>
              <w:marTop w:val="0"/>
              <w:marBottom w:val="0"/>
              <w:divBdr>
                <w:top w:val="none" w:sz="0" w:space="0" w:color="auto"/>
                <w:left w:val="none" w:sz="0" w:space="0" w:color="auto"/>
                <w:bottom w:val="none" w:sz="0" w:space="0" w:color="auto"/>
                <w:right w:val="none" w:sz="0" w:space="0" w:color="auto"/>
              </w:divBdr>
            </w:div>
            <w:div w:id="187649391">
              <w:marLeft w:val="0"/>
              <w:marRight w:val="0"/>
              <w:marTop w:val="0"/>
              <w:marBottom w:val="0"/>
              <w:divBdr>
                <w:top w:val="none" w:sz="0" w:space="0" w:color="auto"/>
                <w:left w:val="none" w:sz="0" w:space="0" w:color="auto"/>
                <w:bottom w:val="none" w:sz="0" w:space="0" w:color="auto"/>
                <w:right w:val="none" w:sz="0" w:space="0" w:color="auto"/>
              </w:divBdr>
            </w:div>
            <w:div w:id="1121806408">
              <w:marLeft w:val="0"/>
              <w:marRight w:val="0"/>
              <w:marTop w:val="0"/>
              <w:marBottom w:val="0"/>
              <w:divBdr>
                <w:top w:val="none" w:sz="0" w:space="0" w:color="auto"/>
                <w:left w:val="none" w:sz="0" w:space="0" w:color="auto"/>
                <w:bottom w:val="none" w:sz="0" w:space="0" w:color="auto"/>
                <w:right w:val="none" w:sz="0" w:space="0" w:color="auto"/>
              </w:divBdr>
            </w:div>
            <w:div w:id="902446263">
              <w:marLeft w:val="0"/>
              <w:marRight w:val="0"/>
              <w:marTop w:val="0"/>
              <w:marBottom w:val="0"/>
              <w:divBdr>
                <w:top w:val="none" w:sz="0" w:space="0" w:color="auto"/>
                <w:left w:val="none" w:sz="0" w:space="0" w:color="auto"/>
                <w:bottom w:val="none" w:sz="0" w:space="0" w:color="auto"/>
                <w:right w:val="none" w:sz="0" w:space="0" w:color="auto"/>
              </w:divBdr>
            </w:div>
            <w:div w:id="1481000722">
              <w:marLeft w:val="0"/>
              <w:marRight w:val="0"/>
              <w:marTop w:val="0"/>
              <w:marBottom w:val="0"/>
              <w:divBdr>
                <w:top w:val="none" w:sz="0" w:space="0" w:color="auto"/>
                <w:left w:val="none" w:sz="0" w:space="0" w:color="auto"/>
                <w:bottom w:val="none" w:sz="0" w:space="0" w:color="auto"/>
                <w:right w:val="none" w:sz="0" w:space="0" w:color="auto"/>
              </w:divBdr>
            </w:div>
            <w:div w:id="604651390">
              <w:marLeft w:val="0"/>
              <w:marRight w:val="0"/>
              <w:marTop w:val="0"/>
              <w:marBottom w:val="0"/>
              <w:divBdr>
                <w:top w:val="none" w:sz="0" w:space="0" w:color="auto"/>
                <w:left w:val="none" w:sz="0" w:space="0" w:color="auto"/>
                <w:bottom w:val="none" w:sz="0" w:space="0" w:color="auto"/>
                <w:right w:val="none" w:sz="0" w:space="0" w:color="auto"/>
              </w:divBdr>
            </w:div>
            <w:div w:id="1745565069">
              <w:marLeft w:val="0"/>
              <w:marRight w:val="0"/>
              <w:marTop w:val="0"/>
              <w:marBottom w:val="0"/>
              <w:divBdr>
                <w:top w:val="none" w:sz="0" w:space="0" w:color="auto"/>
                <w:left w:val="none" w:sz="0" w:space="0" w:color="auto"/>
                <w:bottom w:val="none" w:sz="0" w:space="0" w:color="auto"/>
                <w:right w:val="none" w:sz="0" w:space="0" w:color="auto"/>
              </w:divBdr>
            </w:div>
            <w:div w:id="29190230">
              <w:marLeft w:val="0"/>
              <w:marRight w:val="0"/>
              <w:marTop w:val="0"/>
              <w:marBottom w:val="0"/>
              <w:divBdr>
                <w:top w:val="none" w:sz="0" w:space="0" w:color="auto"/>
                <w:left w:val="none" w:sz="0" w:space="0" w:color="auto"/>
                <w:bottom w:val="none" w:sz="0" w:space="0" w:color="auto"/>
                <w:right w:val="none" w:sz="0" w:space="0" w:color="auto"/>
              </w:divBdr>
            </w:div>
            <w:div w:id="1319185158">
              <w:marLeft w:val="0"/>
              <w:marRight w:val="0"/>
              <w:marTop w:val="0"/>
              <w:marBottom w:val="0"/>
              <w:divBdr>
                <w:top w:val="none" w:sz="0" w:space="0" w:color="auto"/>
                <w:left w:val="none" w:sz="0" w:space="0" w:color="auto"/>
                <w:bottom w:val="none" w:sz="0" w:space="0" w:color="auto"/>
                <w:right w:val="none" w:sz="0" w:space="0" w:color="auto"/>
              </w:divBdr>
            </w:div>
            <w:div w:id="400561325">
              <w:marLeft w:val="0"/>
              <w:marRight w:val="0"/>
              <w:marTop w:val="0"/>
              <w:marBottom w:val="0"/>
              <w:divBdr>
                <w:top w:val="none" w:sz="0" w:space="0" w:color="auto"/>
                <w:left w:val="none" w:sz="0" w:space="0" w:color="auto"/>
                <w:bottom w:val="none" w:sz="0" w:space="0" w:color="auto"/>
                <w:right w:val="none" w:sz="0" w:space="0" w:color="auto"/>
              </w:divBdr>
            </w:div>
            <w:div w:id="820119042">
              <w:marLeft w:val="0"/>
              <w:marRight w:val="0"/>
              <w:marTop w:val="0"/>
              <w:marBottom w:val="0"/>
              <w:divBdr>
                <w:top w:val="none" w:sz="0" w:space="0" w:color="auto"/>
                <w:left w:val="none" w:sz="0" w:space="0" w:color="auto"/>
                <w:bottom w:val="none" w:sz="0" w:space="0" w:color="auto"/>
                <w:right w:val="none" w:sz="0" w:space="0" w:color="auto"/>
              </w:divBdr>
            </w:div>
            <w:div w:id="2141612141">
              <w:marLeft w:val="0"/>
              <w:marRight w:val="0"/>
              <w:marTop w:val="0"/>
              <w:marBottom w:val="0"/>
              <w:divBdr>
                <w:top w:val="none" w:sz="0" w:space="0" w:color="auto"/>
                <w:left w:val="none" w:sz="0" w:space="0" w:color="auto"/>
                <w:bottom w:val="none" w:sz="0" w:space="0" w:color="auto"/>
                <w:right w:val="none" w:sz="0" w:space="0" w:color="auto"/>
              </w:divBdr>
            </w:div>
            <w:div w:id="898200657">
              <w:marLeft w:val="0"/>
              <w:marRight w:val="0"/>
              <w:marTop w:val="0"/>
              <w:marBottom w:val="0"/>
              <w:divBdr>
                <w:top w:val="none" w:sz="0" w:space="0" w:color="auto"/>
                <w:left w:val="none" w:sz="0" w:space="0" w:color="auto"/>
                <w:bottom w:val="none" w:sz="0" w:space="0" w:color="auto"/>
                <w:right w:val="none" w:sz="0" w:space="0" w:color="auto"/>
              </w:divBdr>
            </w:div>
            <w:div w:id="1645037947">
              <w:marLeft w:val="0"/>
              <w:marRight w:val="0"/>
              <w:marTop w:val="0"/>
              <w:marBottom w:val="0"/>
              <w:divBdr>
                <w:top w:val="none" w:sz="0" w:space="0" w:color="auto"/>
                <w:left w:val="none" w:sz="0" w:space="0" w:color="auto"/>
                <w:bottom w:val="none" w:sz="0" w:space="0" w:color="auto"/>
                <w:right w:val="none" w:sz="0" w:space="0" w:color="auto"/>
              </w:divBdr>
            </w:div>
            <w:div w:id="556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297">
      <w:bodyDiv w:val="1"/>
      <w:marLeft w:val="0"/>
      <w:marRight w:val="0"/>
      <w:marTop w:val="0"/>
      <w:marBottom w:val="0"/>
      <w:divBdr>
        <w:top w:val="none" w:sz="0" w:space="0" w:color="auto"/>
        <w:left w:val="none" w:sz="0" w:space="0" w:color="auto"/>
        <w:bottom w:val="none" w:sz="0" w:space="0" w:color="auto"/>
        <w:right w:val="none" w:sz="0" w:space="0" w:color="auto"/>
      </w:divBdr>
      <w:divsChild>
        <w:div w:id="140394900">
          <w:marLeft w:val="0"/>
          <w:marRight w:val="0"/>
          <w:marTop w:val="0"/>
          <w:marBottom w:val="0"/>
          <w:divBdr>
            <w:top w:val="none" w:sz="0" w:space="0" w:color="auto"/>
            <w:left w:val="none" w:sz="0" w:space="0" w:color="auto"/>
            <w:bottom w:val="none" w:sz="0" w:space="0" w:color="auto"/>
            <w:right w:val="none" w:sz="0" w:space="0" w:color="auto"/>
          </w:divBdr>
          <w:divsChild>
            <w:div w:id="1627618961">
              <w:marLeft w:val="0"/>
              <w:marRight w:val="0"/>
              <w:marTop w:val="0"/>
              <w:marBottom w:val="0"/>
              <w:divBdr>
                <w:top w:val="none" w:sz="0" w:space="0" w:color="auto"/>
                <w:left w:val="none" w:sz="0" w:space="0" w:color="auto"/>
                <w:bottom w:val="none" w:sz="0" w:space="0" w:color="auto"/>
                <w:right w:val="none" w:sz="0" w:space="0" w:color="auto"/>
              </w:divBdr>
            </w:div>
            <w:div w:id="931427925">
              <w:marLeft w:val="0"/>
              <w:marRight w:val="0"/>
              <w:marTop w:val="0"/>
              <w:marBottom w:val="0"/>
              <w:divBdr>
                <w:top w:val="none" w:sz="0" w:space="0" w:color="auto"/>
                <w:left w:val="none" w:sz="0" w:space="0" w:color="auto"/>
                <w:bottom w:val="none" w:sz="0" w:space="0" w:color="auto"/>
                <w:right w:val="none" w:sz="0" w:space="0" w:color="auto"/>
              </w:divBdr>
            </w:div>
            <w:div w:id="1170293851">
              <w:marLeft w:val="0"/>
              <w:marRight w:val="0"/>
              <w:marTop w:val="0"/>
              <w:marBottom w:val="0"/>
              <w:divBdr>
                <w:top w:val="none" w:sz="0" w:space="0" w:color="auto"/>
                <w:left w:val="none" w:sz="0" w:space="0" w:color="auto"/>
                <w:bottom w:val="none" w:sz="0" w:space="0" w:color="auto"/>
                <w:right w:val="none" w:sz="0" w:space="0" w:color="auto"/>
              </w:divBdr>
            </w:div>
            <w:div w:id="1909680841">
              <w:marLeft w:val="0"/>
              <w:marRight w:val="0"/>
              <w:marTop w:val="0"/>
              <w:marBottom w:val="0"/>
              <w:divBdr>
                <w:top w:val="none" w:sz="0" w:space="0" w:color="auto"/>
                <w:left w:val="none" w:sz="0" w:space="0" w:color="auto"/>
                <w:bottom w:val="none" w:sz="0" w:space="0" w:color="auto"/>
                <w:right w:val="none" w:sz="0" w:space="0" w:color="auto"/>
              </w:divBdr>
            </w:div>
            <w:div w:id="1079980168">
              <w:marLeft w:val="0"/>
              <w:marRight w:val="0"/>
              <w:marTop w:val="0"/>
              <w:marBottom w:val="0"/>
              <w:divBdr>
                <w:top w:val="none" w:sz="0" w:space="0" w:color="auto"/>
                <w:left w:val="none" w:sz="0" w:space="0" w:color="auto"/>
                <w:bottom w:val="none" w:sz="0" w:space="0" w:color="auto"/>
                <w:right w:val="none" w:sz="0" w:space="0" w:color="auto"/>
              </w:divBdr>
            </w:div>
            <w:div w:id="1767384906">
              <w:marLeft w:val="0"/>
              <w:marRight w:val="0"/>
              <w:marTop w:val="0"/>
              <w:marBottom w:val="0"/>
              <w:divBdr>
                <w:top w:val="none" w:sz="0" w:space="0" w:color="auto"/>
                <w:left w:val="none" w:sz="0" w:space="0" w:color="auto"/>
                <w:bottom w:val="none" w:sz="0" w:space="0" w:color="auto"/>
                <w:right w:val="none" w:sz="0" w:space="0" w:color="auto"/>
              </w:divBdr>
            </w:div>
            <w:div w:id="1314259165">
              <w:marLeft w:val="0"/>
              <w:marRight w:val="0"/>
              <w:marTop w:val="0"/>
              <w:marBottom w:val="0"/>
              <w:divBdr>
                <w:top w:val="none" w:sz="0" w:space="0" w:color="auto"/>
                <w:left w:val="none" w:sz="0" w:space="0" w:color="auto"/>
                <w:bottom w:val="none" w:sz="0" w:space="0" w:color="auto"/>
                <w:right w:val="none" w:sz="0" w:space="0" w:color="auto"/>
              </w:divBdr>
            </w:div>
            <w:div w:id="496698591">
              <w:marLeft w:val="0"/>
              <w:marRight w:val="0"/>
              <w:marTop w:val="0"/>
              <w:marBottom w:val="0"/>
              <w:divBdr>
                <w:top w:val="none" w:sz="0" w:space="0" w:color="auto"/>
                <w:left w:val="none" w:sz="0" w:space="0" w:color="auto"/>
                <w:bottom w:val="none" w:sz="0" w:space="0" w:color="auto"/>
                <w:right w:val="none" w:sz="0" w:space="0" w:color="auto"/>
              </w:divBdr>
            </w:div>
            <w:div w:id="1466044674">
              <w:marLeft w:val="0"/>
              <w:marRight w:val="0"/>
              <w:marTop w:val="0"/>
              <w:marBottom w:val="0"/>
              <w:divBdr>
                <w:top w:val="none" w:sz="0" w:space="0" w:color="auto"/>
                <w:left w:val="none" w:sz="0" w:space="0" w:color="auto"/>
                <w:bottom w:val="none" w:sz="0" w:space="0" w:color="auto"/>
                <w:right w:val="none" w:sz="0" w:space="0" w:color="auto"/>
              </w:divBdr>
            </w:div>
            <w:div w:id="17902135">
              <w:marLeft w:val="0"/>
              <w:marRight w:val="0"/>
              <w:marTop w:val="0"/>
              <w:marBottom w:val="0"/>
              <w:divBdr>
                <w:top w:val="none" w:sz="0" w:space="0" w:color="auto"/>
                <w:left w:val="none" w:sz="0" w:space="0" w:color="auto"/>
                <w:bottom w:val="none" w:sz="0" w:space="0" w:color="auto"/>
                <w:right w:val="none" w:sz="0" w:space="0" w:color="auto"/>
              </w:divBdr>
            </w:div>
            <w:div w:id="68117813">
              <w:marLeft w:val="0"/>
              <w:marRight w:val="0"/>
              <w:marTop w:val="0"/>
              <w:marBottom w:val="0"/>
              <w:divBdr>
                <w:top w:val="none" w:sz="0" w:space="0" w:color="auto"/>
                <w:left w:val="none" w:sz="0" w:space="0" w:color="auto"/>
                <w:bottom w:val="none" w:sz="0" w:space="0" w:color="auto"/>
                <w:right w:val="none" w:sz="0" w:space="0" w:color="auto"/>
              </w:divBdr>
            </w:div>
            <w:div w:id="1086220685">
              <w:marLeft w:val="0"/>
              <w:marRight w:val="0"/>
              <w:marTop w:val="0"/>
              <w:marBottom w:val="0"/>
              <w:divBdr>
                <w:top w:val="none" w:sz="0" w:space="0" w:color="auto"/>
                <w:left w:val="none" w:sz="0" w:space="0" w:color="auto"/>
                <w:bottom w:val="none" w:sz="0" w:space="0" w:color="auto"/>
                <w:right w:val="none" w:sz="0" w:space="0" w:color="auto"/>
              </w:divBdr>
            </w:div>
            <w:div w:id="1926914586">
              <w:marLeft w:val="0"/>
              <w:marRight w:val="0"/>
              <w:marTop w:val="0"/>
              <w:marBottom w:val="0"/>
              <w:divBdr>
                <w:top w:val="none" w:sz="0" w:space="0" w:color="auto"/>
                <w:left w:val="none" w:sz="0" w:space="0" w:color="auto"/>
                <w:bottom w:val="none" w:sz="0" w:space="0" w:color="auto"/>
                <w:right w:val="none" w:sz="0" w:space="0" w:color="auto"/>
              </w:divBdr>
            </w:div>
            <w:div w:id="454756201">
              <w:marLeft w:val="0"/>
              <w:marRight w:val="0"/>
              <w:marTop w:val="0"/>
              <w:marBottom w:val="0"/>
              <w:divBdr>
                <w:top w:val="none" w:sz="0" w:space="0" w:color="auto"/>
                <w:left w:val="none" w:sz="0" w:space="0" w:color="auto"/>
                <w:bottom w:val="none" w:sz="0" w:space="0" w:color="auto"/>
                <w:right w:val="none" w:sz="0" w:space="0" w:color="auto"/>
              </w:divBdr>
            </w:div>
            <w:div w:id="1530291299">
              <w:marLeft w:val="0"/>
              <w:marRight w:val="0"/>
              <w:marTop w:val="0"/>
              <w:marBottom w:val="0"/>
              <w:divBdr>
                <w:top w:val="none" w:sz="0" w:space="0" w:color="auto"/>
                <w:left w:val="none" w:sz="0" w:space="0" w:color="auto"/>
                <w:bottom w:val="none" w:sz="0" w:space="0" w:color="auto"/>
                <w:right w:val="none" w:sz="0" w:space="0" w:color="auto"/>
              </w:divBdr>
            </w:div>
            <w:div w:id="1241795308">
              <w:marLeft w:val="0"/>
              <w:marRight w:val="0"/>
              <w:marTop w:val="0"/>
              <w:marBottom w:val="0"/>
              <w:divBdr>
                <w:top w:val="none" w:sz="0" w:space="0" w:color="auto"/>
                <w:left w:val="none" w:sz="0" w:space="0" w:color="auto"/>
                <w:bottom w:val="none" w:sz="0" w:space="0" w:color="auto"/>
                <w:right w:val="none" w:sz="0" w:space="0" w:color="auto"/>
              </w:divBdr>
            </w:div>
            <w:div w:id="1349677867">
              <w:marLeft w:val="0"/>
              <w:marRight w:val="0"/>
              <w:marTop w:val="0"/>
              <w:marBottom w:val="0"/>
              <w:divBdr>
                <w:top w:val="none" w:sz="0" w:space="0" w:color="auto"/>
                <w:left w:val="none" w:sz="0" w:space="0" w:color="auto"/>
                <w:bottom w:val="none" w:sz="0" w:space="0" w:color="auto"/>
                <w:right w:val="none" w:sz="0" w:space="0" w:color="auto"/>
              </w:divBdr>
            </w:div>
            <w:div w:id="1752044577">
              <w:marLeft w:val="0"/>
              <w:marRight w:val="0"/>
              <w:marTop w:val="0"/>
              <w:marBottom w:val="0"/>
              <w:divBdr>
                <w:top w:val="none" w:sz="0" w:space="0" w:color="auto"/>
                <w:left w:val="none" w:sz="0" w:space="0" w:color="auto"/>
                <w:bottom w:val="none" w:sz="0" w:space="0" w:color="auto"/>
                <w:right w:val="none" w:sz="0" w:space="0" w:color="auto"/>
              </w:divBdr>
            </w:div>
            <w:div w:id="1059864462">
              <w:marLeft w:val="0"/>
              <w:marRight w:val="0"/>
              <w:marTop w:val="0"/>
              <w:marBottom w:val="0"/>
              <w:divBdr>
                <w:top w:val="none" w:sz="0" w:space="0" w:color="auto"/>
                <w:left w:val="none" w:sz="0" w:space="0" w:color="auto"/>
                <w:bottom w:val="none" w:sz="0" w:space="0" w:color="auto"/>
                <w:right w:val="none" w:sz="0" w:space="0" w:color="auto"/>
              </w:divBdr>
            </w:div>
            <w:div w:id="1054039800">
              <w:marLeft w:val="0"/>
              <w:marRight w:val="0"/>
              <w:marTop w:val="0"/>
              <w:marBottom w:val="0"/>
              <w:divBdr>
                <w:top w:val="none" w:sz="0" w:space="0" w:color="auto"/>
                <w:left w:val="none" w:sz="0" w:space="0" w:color="auto"/>
                <w:bottom w:val="none" w:sz="0" w:space="0" w:color="auto"/>
                <w:right w:val="none" w:sz="0" w:space="0" w:color="auto"/>
              </w:divBdr>
            </w:div>
            <w:div w:id="2098088654">
              <w:marLeft w:val="0"/>
              <w:marRight w:val="0"/>
              <w:marTop w:val="0"/>
              <w:marBottom w:val="0"/>
              <w:divBdr>
                <w:top w:val="none" w:sz="0" w:space="0" w:color="auto"/>
                <w:left w:val="none" w:sz="0" w:space="0" w:color="auto"/>
                <w:bottom w:val="none" w:sz="0" w:space="0" w:color="auto"/>
                <w:right w:val="none" w:sz="0" w:space="0" w:color="auto"/>
              </w:divBdr>
            </w:div>
            <w:div w:id="1377242815">
              <w:marLeft w:val="0"/>
              <w:marRight w:val="0"/>
              <w:marTop w:val="0"/>
              <w:marBottom w:val="0"/>
              <w:divBdr>
                <w:top w:val="none" w:sz="0" w:space="0" w:color="auto"/>
                <w:left w:val="none" w:sz="0" w:space="0" w:color="auto"/>
                <w:bottom w:val="none" w:sz="0" w:space="0" w:color="auto"/>
                <w:right w:val="none" w:sz="0" w:space="0" w:color="auto"/>
              </w:divBdr>
            </w:div>
            <w:div w:id="975834613">
              <w:marLeft w:val="0"/>
              <w:marRight w:val="0"/>
              <w:marTop w:val="0"/>
              <w:marBottom w:val="0"/>
              <w:divBdr>
                <w:top w:val="none" w:sz="0" w:space="0" w:color="auto"/>
                <w:left w:val="none" w:sz="0" w:space="0" w:color="auto"/>
                <w:bottom w:val="none" w:sz="0" w:space="0" w:color="auto"/>
                <w:right w:val="none" w:sz="0" w:space="0" w:color="auto"/>
              </w:divBdr>
            </w:div>
            <w:div w:id="2020236524">
              <w:marLeft w:val="0"/>
              <w:marRight w:val="0"/>
              <w:marTop w:val="0"/>
              <w:marBottom w:val="0"/>
              <w:divBdr>
                <w:top w:val="none" w:sz="0" w:space="0" w:color="auto"/>
                <w:left w:val="none" w:sz="0" w:space="0" w:color="auto"/>
                <w:bottom w:val="none" w:sz="0" w:space="0" w:color="auto"/>
                <w:right w:val="none" w:sz="0" w:space="0" w:color="auto"/>
              </w:divBdr>
            </w:div>
            <w:div w:id="1595477616">
              <w:marLeft w:val="0"/>
              <w:marRight w:val="0"/>
              <w:marTop w:val="0"/>
              <w:marBottom w:val="0"/>
              <w:divBdr>
                <w:top w:val="none" w:sz="0" w:space="0" w:color="auto"/>
                <w:left w:val="none" w:sz="0" w:space="0" w:color="auto"/>
                <w:bottom w:val="none" w:sz="0" w:space="0" w:color="auto"/>
                <w:right w:val="none" w:sz="0" w:space="0" w:color="auto"/>
              </w:divBdr>
            </w:div>
            <w:div w:id="1523587545">
              <w:marLeft w:val="0"/>
              <w:marRight w:val="0"/>
              <w:marTop w:val="0"/>
              <w:marBottom w:val="0"/>
              <w:divBdr>
                <w:top w:val="none" w:sz="0" w:space="0" w:color="auto"/>
                <w:left w:val="none" w:sz="0" w:space="0" w:color="auto"/>
                <w:bottom w:val="none" w:sz="0" w:space="0" w:color="auto"/>
                <w:right w:val="none" w:sz="0" w:space="0" w:color="auto"/>
              </w:divBdr>
            </w:div>
            <w:div w:id="451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4132</Words>
  <Characters>23553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McGoldrick</dc:creator>
  <cp:keywords/>
  <dc:description/>
  <cp:lastModifiedBy>Na Ma</cp:lastModifiedBy>
  <cp:revision>2</cp:revision>
  <cp:lastPrinted>2015-05-26T17:13:00Z</cp:lastPrinted>
  <dcterms:created xsi:type="dcterms:W3CDTF">2015-10-02T00:05:00Z</dcterms:created>
  <dcterms:modified xsi:type="dcterms:W3CDTF">2015-10-02T00:05:00Z</dcterms:modified>
</cp:coreProperties>
</file>