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EAC" w:rsidRPr="001326F0" w:rsidRDefault="00342EAC" w:rsidP="00342EAC">
      <w:pPr>
        <w:widowControl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043"/>
      <w:bookmarkStart w:id="10" w:name="OLE_LINK1420"/>
      <w:bookmarkStart w:id="11" w:name="OLE_LINK1540"/>
      <w:bookmarkStart w:id="12" w:name="OLE_LINK1602"/>
      <w:bookmarkStart w:id="13" w:name="OLE_LINK2188"/>
      <w:bookmarkStart w:id="14" w:name="OLE_LINK2180"/>
      <w:r w:rsidRPr="001326F0">
        <w:rPr>
          <w:rFonts w:ascii="Book Antiqua" w:eastAsia="Times New Roman" w:hAnsi="Book Antiqua" w:cs="SimSun"/>
          <w:b/>
          <w:kern w:val="2"/>
          <w:sz w:val="24"/>
          <w:szCs w:val="24"/>
          <w:lang w:val="en-US" w:eastAsia="zh-CN"/>
        </w:rPr>
        <w:t xml:space="preserve">Name of journal: </w:t>
      </w:r>
      <w:bookmarkStart w:id="15" w:name="OLE_LINK718"/>
      <w:bookmarkStart w:id="16" w:name="OLE_LINK719"/>
      <w:bookmarkStart w:id="17" w:name="OLE_LINK645"/>
      <w:bookmarkStart w:id="18" w:name="OLE_LINK661"/>
      <w:bookmarkStart w:id="19" w:name="OLE_LINK696"/>
      <w:bookmarkStart w:id="20" w:name="OLE_LINK1068"/>
      <w:bookmarkStart w:id="21" w:name="OLE_LINK335"/>
      <w:r w:rsidRPr="001326F0">
        <w:rPr>
          <w:rFonts w:ascii="Book Antiqua" w:eastAsia="Times New Roman" w:hAnsi="Book Antiqua" w:cs="SimSun"/>
          <w:i/>
          <w:sz w:val="24"/>
          <w:szCs w:val="21"/>
          <w:lang w:val="en-US" w:eastAsia="zh-CN"/>
        </w:rPr>
        <w:t>World Journal of Gastroenterology</w:t>
      </w:r>
      <w:bookmarkEnd w:id="15"/>
      <w:bookmarkEnd w:id="16"/>
      <w:bookmarkEnd w:id="17"/>
      <w:bookmarkEnd w:id="18"/>
      <w:bookmarkEnd w:id="19"/>
      <w:bookmarkEnd w:id="20"/>
      <w:bookmarkEnd w:id="21"/>
    </w:p>
    <w:p w:rsidR="00342EAC" w:rsidRPr="001326F0" w:rsidRDefault="00342EAC" w:rsidP="00342EAC">
      <w:pPr>
        <w:widowControl w:val="0"/>
        <w:spacing w:after="0" w:line="360" w:lineRule="auto"/>
        <w:jc w:val="both"/>
        <w:rPr>
          <w:rFonts w:ascii="Book Antiqua" w:eastAsia="Times New Roman" w:hAnsi="Book Antiqua" w:cs="SimSun"/>
          <w:b/>
          <w:i/>
          <w:kern w:val="2"/>
          <w:sz w:val="24"/>
          <w:szCs w:val="24"/>
          <w:lang w:val="en-US" w:eastAsia="zh-CN"/>
        </w:rPr>
      </w:pPr>
      <w:bookmarkStart w:id="22" w:name="OLE_LINK19"/>
      <w:bookmarkStart w:id="23" w:name="OLE_LINK21"/>
      <w:r w:rsidRPr="001326F0">
        <w:rPr>
          <w:rFonts w:ascii="Book Antiqua" w:eastAsia="SimSun" w:hAnsi="Book Antiqua" w:cs="Arial"/>
          <w:b/>
          <w:kern w:val="2"/>
          <w:sz w:val="24"/>
          <w:szCs w:val="24"/>
          <w:lang w:val="en" w:eastAsia="zh-CN"/>
        </w:rPr>
        <w:t xml:space="preserve">ESPS Manuscript NO: </w:t>
      </w:r>
      <w:r w:rsidRPr="001326F0">
        <w:rPr>
          <w:rFonts w:ascii="Book Antiqua" w:eastAsia="SimSun" w:hAnsi="Book Antiqua" w:cs="Arial" w:hint="eastAsia"/>
          <w:b/>
          <w:kern w:val="2"/>
          <w:sz w:val="24"/>
          <w:szCs w:val="24"/>
          <w:lang w:val="en" w:eastAsia="zh-CN"/>
        </w:rPr>
        <w:t>20135</w:t>
      </w:r>
    </w:p>
    <w:p w:rsidR="00342EAC" w:rsidRPr="001326F0" w:rsidRDefault="00342EAC" w:rsidP="00342EAC">
      <w:pPr>
        <w:widowControl w:val="0"/>
        <w:spacing w:after="0" w:line="240" w:lineRule="auto"/>
        <w:jc w:val="both"/>
        <w:rPr>
          <w:rFonts w:ascii="Book Antiqua" w:eastAsia="SimSun" w:hAnsi="Book Antiqua" w:cs="Times New Roman"/>
          <w:b/>
          <w:kern w:val="2"/>
          <w:sz w:val="24"/>
          <w:szCs w:val="24"/>
          <w:lang w:val="en-US" w:eastAsia="zh-CN"/>
        </w:rPr>
      </w:pPr>
      <w:bookmarkStart w:id="24" w:name="OLE_LINK886"/>
      <w:bookmarkStart w:id="25" w:name="OLE_LINK887"/>
      <w:bookmarkStart w:id="26" w:name="OLE_LINK888"/>
      <w:bookmarkStart w:id="27" w:name="OLE_LINK1072"/>
      <w:bookmarkStart w:id="28" w:name="OLE_LINK863"/>
      <w:bookmarkStart w:id="29" w:name="OLE_LINK965"/>
      <w:bookmarkStart w:id="30" w:name="OLE_LINK897"/>
      <w:bookmarkStart w:id="31" w:name="OLE_LINK1021"/>
      <w:bookmarkStart w:id="32" w:name="OLE_LINK870"/>
      <w:bookmarkStart w:id="33" w:name="OLE_LINK1029"/>
      <w:bookmarkStart w:id="34" w:name="OLE_LINK1154"/>
      <w:bookmarkStart w:id="35" w:name="OLE_LINK950"/>
      <w:bookmarkStart w:id="36" w:name="OLE_LINK1191"/>
      <w:bookmarkStart w:id="37" w:name="OLE_LINK1225"/>
      <w:bookmarkStart w:id="38" w:name="OLE_LINK1131"/>
      <w:bookmarkStart w:id="39" w:name="OLE_LINK1064"/>
      <w:bookmarkStart w:id="40" w:name="OLE_LINK1165"/>
      <w:bookmarkStart w:id="41" w:name="OLE_LINK1333"/>
      <w:bookmarkStart w:id="42" w:name="OLE_LINK1367"/>
      <w:bookmarkStart w:id="43" w:name="OLE_LINK1400"/>
      <w:bookmarkStart w:id="44" w:name="OLE_LINK1616"/>
      <w:bookmarkStart w:id="45" w:name="OLE_LINK1378"/>
      <w:bookmarkStart w:id="46" w:name="OLE_LINK1489"/>
      <w:bookmarkStart w:id="47" w:name="OLE_LINK1379"/>
      <w:bookmarkStart w:id="48" w:name="OLE_LINK1638"/>
      <w:bookmarkStart w:id="49" w:name="OLE_LINK1758"/>
      <w:bookmarkStart w:id="50" w:name="OLE_LINK1764"/>
      <w:bookmarkStart w:id="51" w:name="OLE_LINK1715"/>
      <w:bookmarkStart w:id="52" w:name="OLE_LINK1893"/>
      <w:bookmarkStart w:id="53" w:name="OLE_LINK1929"/>
      <w:bookmarkStart w:id="54" w:name="OLE_LINK1972"/>
      <w:bookmarkStart w:id="55" w:name="OLE_LINK1717"/>
      <w:bookmarkStart w:id="56" w:name="OLE_LINK1785"/>
      <w:bookmarkStart w:id="57" w:name="OLE_LINK1908"/>
      <w:bookmarkStart w:id="58" w:name="OLE_LINK1933"/>
      <w:bookmarkStart w:id="59" w:name="OLE_LINK1867"/>
      <w:bookmarkStart w:id="60" w:name="OLE_LINK1904"/>
      <w:bookmarkStart w:id="61" w:name="OLE_LINK1937"/>
      <w:bookmarkStart w:id="62" w:name="OLE_LINK2022"/>
      <w:bookmarkStart w:id="63" w:name="OLE_LINK2062"/>
      <w:bookmarkStart w:id="64" w:name="OLE_LINK2119"/>
      <w:bookmarkStart w:id="65" w:name="OLE_LINK2067"/>
      <w:bookmarkStart w:id="66" w:name="OLE_LINK2244"/>
      <w:bookmarkStart w:id="67" w:name="OLE_LINK2000"/>
      <w:bookmarkStart w:id="68" w:name="OLE_LINK5"/>
      <w:bookmarkEnd w:id="0"/>
      <w:bookmarkEnd w:id="1"/>
      <w:bookmarkEnd w:id="22"/>
      <w:bookmarkEnd w:id="23"/>
      <w:r w:rsidRPr="001326F0">
        <w:rPr>
          <w:rFonts w:ascii="Book Antiqua" w:eastAsia="SimSun" w:hAnsi="Book Antiqua" w:cs="Times New Roman"/>
          <w:b/>
          <w:kern w:val="2"/>
          <w:sz w:val="24"/>
          <w:szCs w:val="24"/>
          <w:lang w:val="en-US" w:eastAsia="zh-CN"/>
        </w:rPr>
        <w:t>Manuscript Type</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1326F0">
        <w:rPr>
          <w:rFonts w:ascii="Book Antiqua" w:eastAsia="SimSun" w:hAnsi="Book Antiqua" w:cs="Times New Roman"/>
          <w:b/>
          <w:sz w:val="24"/>
          <w:szCs w:val="24"/>
          <w:lang w:val="en-US" w:eastAsia="zh-CN"/>
        </w:rPr>
        <w:t>:</w:t>
      </w:r>
      <w:bookmarkEnd w:id="2"/>
      <w:bookmarkEnd w:id="3"/>
      <w:r w:rsidRPr="001326F0">
        <w:rPr>
          <w:rFonts w:ascii="Book Antiqua" w:eastAsia="SimSun" w:hAnsi="Book Antiqua" w:cs="Times New Roman"/>
          <w:b/>
          <w:sz w:val="24"/>
          <w:szCs w:val="24"/>
          <w:lang w:val="en-US" w:eastAsia="zh-CN"/>
        </w:rPr>
        <w:t xml:space="preserve"> </w:t>
      </w:r>
      <w:bookmarkStart w:id="69" w:name="OLE_LINK7"/>
      <w:bookmarkStart w:id="70" w:name="OLE_LINK8"/>
      <w:bookmarkStart w:id="71" w:name="OLE_LINK1386"/>
      <w:bookmarkStart w:id="72" w:name="OLE_LINK37"/>
      <w:bookmarkEnd w:id="4"/>
      <w:bookmarkEnd w:id="5"/>
      <w:bookmarkEnd w:id="6"/>
      <w:r w:rsidRPr="001326F0">
        <w:rPr>
          <w:rFonts w:ascii="Book Antiqua" w:eastAsia="SimSun" w:hAnsi="Book Antiqua" w:cs="Times New Roman" w:hint="eastAsia"/>
          <w:b/>
          <w:sz w:val="24"/>
          <w:szCs w:val="24"/>
          <w:lang w:val="en-US" w:eastAsia="zh-CN"/>
        </w:rPr>
        <w:t>TOPIC HIGHLIGHT</w:t>
      </w:r>
    </w:p>
    <w:bookmarkEnd w:id="7"/>
    <w:bookmarkEnd w:id="8"/>
    <w:bookmarkEnd w:id="9"/>
    <w:bookmarkEnd w:id="10"/>
    <w:bookmarkEnd w:id="11"/>
    <w:bookmarkEnd w:id="12"/>
    <w:bookmarkEnd w:id="13"/>
    <w:bookmarkEnd w:id="14"/>
    <w:bookmarkEnd w:id="68"/>
    <w:bookmarkEnd w:id="69"/>
    <w:bookmarkEnd w:id="70"/>
    <w:bookmarkEnd w:id="71"/>
    <w:bookmarkEnd w:id="72"/>
    <w:p w:rsidR="00342EAC" w:rsidRPr="001326F0" w:rsidRDefault="00342EAC" w:rsidP="00746C86">
      <w:pPr>
        <w:adjustRightInd w:val="0"/>
        <w:snapToGrid w:val="0"/>
        <w:spacing w:after="0" w:line="360" w:lineRule="auto"/>
        <w:jc w:val="both"/>
        <w:rPr>
          <w:rFonts w:ascii="Book Antiqua" w:hAnsi="Book Antiqua" w:cs="Times New Roman"/>
          <w:b/>
          <w:sz w:val="24"/>
          <w:szCs w:val="24"/>
          <w:lang w:val="en-US" w:eastAsia="zh-CN"/>
        </w:rPr>
      </w:pPr>
    </w:p>
    <w:p w:rsidR="00342EAC" w:rsidRPr="004976A4" w:rsidRDefault="000866DE" w:rsidP="00746C86">
      <w:pPr>
        <w:adjustRightInd w:val="0"/>
        <w:snapToGrid w:val="0"/>
        <w:spacing w:after="0" w:line="360" w:lineRule="auto"/>
        <w:jc w:val="both"/>
        <w:rPr>
          <w:rFonts w:ascii="Book Antiqua" w:hAnsi="Book Antiqua" w:cs="Times New Roman"/>
          <w:sz w:val="24"/>
          <w:szCs w:val="24"/>
          <w:lang w:eastAsia="zh-CN"/>
        </w:rPr>
      </w:pPr>
      <w:r w:rsidRPr="004976A4">
        <w:rPr>
          <w:rFonts w:ascii="Book Antiqua" w:hAnsi="Book Antiqua" w:cs="Times New Roman"/>
          <w:sz w:val="24"/>
          <w:szCs w:val="24"/>
          <w:lang w:eastAsia="zh-CN"/>
        </w:rPr>
        <w:t>2015 Advances in Laparoscopic Surgery</w:t>
      </w:r>
    </w:p>
    <w:p w:rsidR="000866DE" w:rsidRPr="001326F0" w:rsidRDefault="000866DE" w:rsidP="00746C86">
      <w:pPr>
        <w:adjustRightInd w:val="0"/>
        <w:snapToGrid w:val="0"/>
        <w:spacing w:after="0" w:line="360" w:lineRule="auto"/>
        <w:jc w:val="both"/>
        <w:rPr>
          <w:rFonts w:ascii="Book Antiqua" w:hAnsi="Book Antiqua" w:cs="Times New Roman"/>
          <w:b/>
          <w:sz w:val="24"/>
          <w:szCs w:val="24"/>
          <w:lang w:eastAsia="zh-CN"/>
        </w:rPr>
      </w:pPr>
    </w:p>
    <w:p w:rsidR="00DB7B9B" w:rsidRPr="001326F0" w:rsidRDefault="00DB7B9B" w:rsidP="00746C86">
      <w:pPr>
        <w:adjustRightInd w:val="0"/>
        <w:snapToGrid w:val="0"/>
        <w:spacing w:after="0" w:line="360" w:lineRule="auto"/>
        <w:jc w:val="both"/>
        <w:rPr>
          <w:rFonts w:ascii="Book Antiqua" w:hAnsi="Book Antiqua" w:cs="Times New Roman"/>
          <w:b/>
          <w:sz w:val="24"/>
          <w:szCs w:val="24"/>
          <w:lang w:val="en-US" w:eastAsia="zh-CN"/>
        </w:rPr>
      </w:pPr>
      <w:bookmarkStart w:id="73" w:name="OLE_LINK2555"/>
      <w:bookmarkStart w:id="74" w:name="OLE_LINK2556"/>
      <w:r w:rsidRPr="001326F0">
        <w:rPr>
          <w:rFonts w:ascii="Book Antiqua" w:hAnsi="Book Antiqua" w:cs="Times New Roman"/>
          <w:b/>
          <w:sz w:val="24"/>
          <w:szCs w:val="24"/>
          <w:lang w:val="en-US"/>
        </w:rPr>
        <w:t xml:space="preserve">New </w:t>
      </w:r>
      <w:r w:rsidR="00BB77AF" w:rsidRPr="001326F0">
        <w:rPr>
          <w:rFonts w:ascii="Book Antiqua" w:hAnsi="Book Antiqua" w:cs="Times New Roman"/>
          <w:b/>
          <w:sz w:val="24"/>
          <w:szCs w:val="24"/>
          <w:lang w:val="en-US"/>
        </w:rPr>
        <w:t xml:space="preserve">obesity </w:t>
      </w:r>
      <w:r w:rsidRPr="001326F0">
        <w:rPr>
          <w:rFonts w:ascii="Book Antiqua" w:hAnsi="Book Antiqua" w:cs="Times New Roman"/>
          <w:b/>
          <w:sz w:val="24"/>
          <w:szCs w:val="24"/>
          <w:lang w:val="en-US"/>
        </w:rPr>
        <w:t>classification criteria</w:t>
      </w:r>
      <w:r w:rsidR="00BB77AF" w:rsidRPr="001326F0">
        <w:rPr>
          <w:rFonts w:ascii="Book Antiqua" w:hAnsi="Book Antiqua" w:cs="Times New Roman"/>
          <w:b/>
          <w:sz w:val="24"/>
          <w:szCs w:val="24"/>
          <w:lang w:val="en-US"/>
        </w:rPr>
        <w:t xml:space="preserve"> as</w:t>
      </w:r>
      <w:r w:rsidR="004D2CB3" w:rsidRPr="001326F0">
        <w:rPr>
          <w:rFonts w:ascii="Book Antiqua" w:hAnsi="Book Antiqua" w:cs="Times New Roman"/>
          <w:b/>
          <w:sz w:val="24"/>
          <w:szCs w:val="24"/>
          <w:lang w:val="en-US"/>
        </w:rPr>
        <w:t xml:space="preserve"> a</w:t>
      </w:r>
      <w:r w:rsidR="00BB77AF" w:rsidRPr="001326F0">
        <w:rPr>
          <w:rFonts w:ascii="Book Antiqua" w:hAnsi="Book Antiqua" w:cs="Times New Roman"/>
          <w:b/>
          <w:sz w:val="24"/>
          <w:szCs w:val="24"/>
          <w:lang w:val="en-US"/>
        </w:rPr>
        <w:t xml:space="preserve"> tool for </w:t>
      </w:r>
      <w:r w:rsidR="003649A5" w:rsidRPr="001326F0">
        <w:rPr>
          <w:rFonts w:ascii="Book Antiqua" w:hAnsi="Book Antiqua" w:cs="Times New Roman"/>
          <w:b/>
          <w:sz w:val="24"/>
          <w:szCs w:val="24"/>
          <w:lang w:val="en-US"/>
        </w:rPr>
        <w:t>bariatric</w:t>
      </w:r>
      <w:r w:rsidRPr="001326F0">
        <w:rPr>
          <w:rFonts w:ascii="Book Antiqua" w:hAnsi="Book Antiqua" w:cs="Times New Roman"/>
          <w:b/>
          <w:sz w:val="24"/>
          <w:szCs w:val="24"/>
          <w:lang w:val="en-US"/>
        </w:rPr>
        <w:t xml:space="preserve"> surgery </w:t>
      </w:r>
      <w:r w:rsidR="00BB77AF" w:rsidRPr="001326F0">
        <w:rPr>
          <w:rFonts w:ascii="Book Antiqua" w:hAnsi="Book Antiqua" w:cs="Times New Roman"/>
          <w:b/>
          <w:sz w:val="24"/>
          <w:szCs w:val="24"/>
          <w:lang w:val="en-US"/>
        </w:rPr>
        <w:t>indication</w:t>
      </w:r>
    </w:p>
    <w:bookmarkEnd w:id="73"/>
    <w:bookmarkEnd w:id="74"/>
    <w:p w:rsidR="00DB7B9B" w:rsidRPr="001326F0" w:rsidRDefault="00DB7B9B" w:rsidP="00746C86">
      <w:pPr>
        <w:adjustRightInd w:val="0"/>
        <w:snapToGrid w:val="0"/>
        <w:spacing w:after="0" w:line="360" w:lineRule="auto"/>
        <w:jc w:val="both"/>
        <w:rPr>
          <w:rFonts w:ascii="Book Antiqua" w:hAnsi="Book Antiqua" w:cs="Times New Roman"/>
          <w:b/>
          <w:sz w:val="24"/>
          <w:szCs w:val="24"/>
          <w:lang w:val="en-US" w:eastAsia="zh-CN"/>
        </w:rPr>
      </w:pPr>
    </w:p>
    <w:p w:rsidR="00B776B6" w:rsidRPr="001326F0" w:rsidRDefault="000866DE" w:rsidP="00746C86">
      <w:pPr>
        <w:adjustRightInd w:val="0"/>
        <w:snapToGrid w:val="0"/>
        <w:spacing w:after="0" w:line="360" w:lineRule="auto"/>
        <w:jc w:val="both"/>
        <w:rPr>
          <w:rFonts w:ascii="Book Antiqua" w:hAnsi="Book Antiqua"/>
          <w:sz w:val="24"/>
          <w:szCs w:val="24"/>
          <w:lang w:val="es-ES_tradnl"/>
        </w:rPr>
      </w:pPr>
      <w:bookmarkStart w:id="75" w:name="OLE_LINK414"/>
      <w:bookmarkStart w:id="76" w:name="OLE_LINK419"/>
      <w:bookmarkStart w:id="77" w:name="OLE_LINK593"/>
      <w:bookmarkStart w:id="78" w:name="OLE_LINK1045"/>
      <w:bookmarkStart w:id="79" w:name="OLE_LINK527"/>
      <w:bookmarkStart w:id="80" w:name="OLE_LINK626"/>
      <w:bookmarkStart w:id="81" w:name="OLE_LINK698"/>
      <w:bookmarkStart w:id="82" w:name="OLE_LINK741"/>
      <w:bookmarkStart w:id="83" w:name="OLE_LINK1014"/>
      <w:bookmarkStart w:id="84" w:name="OLE_LINK1177"/>
      <w:bookmarkStart w:id="85" w:name="OLE_LINK1349"/>
      <w:bookmarkStart w:id="86" w:name="OLE_LINK278"/>
      <w:bookmarkStart w:id="87" w:name="OLE_LINK1405"/>
      <w:bookmarkStart w:id="88" w:name="OLE_LINK1789"/>
      <w:bookmarkStart w:id="89" w:name="OLE_LINK1875"/>
      <w:bookmarkStart w:id="90" w:name="OLE_LINK1950"/>
      <w:bookmarkStart w:id="91" w:name="OLE_LINK2077"/>
      <w:bookmarkStart w:id="92" w:name="OLE_LINK2232"/>
      <w:bookmarkStart w:id="93" w:name="OLE_LINK1989"/>
      <w:bookmarkStart w:id="94" w:name="OLE_LINK1990"/>
      <w:bookmarkStart w:id="95" w:name="OLE_LINK893"/>
      <w:bookmarkStart w:id="96" w:name="OLE_LINK256"/>
      <w:bookmarkStart w:id="97" w:name="OLE_LINK380"/>
      <w:bookmarkStart w:id="98" w:name="OLE_LINK1232"/>
      <w:bookmarkStart w:id="99" w:name="OLE_LINK282"/>
      <w:bookmarkStart w:id="100" w:name="OLE_LINK474"/>
      <w:bookmarkStart w:id="101" w:name="OLE_LINK1873"/>
      <w:bookmarkStart w:id="102" w:name="OLE_LINK1866"/>
      <w:bookmarkStart w:id="103" w:name="OLE_LINK1957"/>
      <w:bookmarkStart w:id="104" w:name="OLE_LINK2650"/>
      <w:bookmarkStart w:id="105" w:name="OLE_LINK2662"/>
      <w:bookmarkStart w:id="106" w:name="OLE_LINK2859"/>
      <w:bookmarkStart w:id="107" w:name="OLE_LINK2896"/>
      <w:bookmarkStart w:id="108" w:name="OLE_LINK2975"/>
      <w:bookmarkStart w:id="109" w:name="OLE_LINK2963"/>
      <w:bookmarkStart w:id="110" w:name="OLE_LINK3017"/>
      <w:bookmarkStart w:id="111" w:name="OLE_LINK3076"/>
      <w:bookmarkStart w:id="112" w:name="OLE_LINK3086"/>
      <w:bookmarkStart w:id="113" w:name="OLE_LINK3224"/>
      <w:r w:rsidRPr="001326F0">
        <w:rPr>
          <w:rFonts w:ascii="Book Antiqua" w:hAnsi="Book Antiqua" w:cs="Times New Roman"/>
          <w:sz w:val="24"/>
          <w:szCs w:val="24"/>
        </w:rPr>
        <w:t>De Lorenzo</w:t>
      </w:r>
      <w:r w:rsidRPr="001326F0">
        <w:rPr>
          <w:rFonts w:ascii="Book Antiqua" w:hAnsi="Book Antiqua" w:cs="Times New Roman"/>
          <w:sz w:val="24"/>
          <w:szCs w:val="24"/>
          <w:lang w:val="es-ES_tradnl"/>
        </w:rPr>
        <w:t xml:space="preserve"> </w:t>
      </w:r>
      <w:r w:rsidRPr="001326F0">
        <w:rPr>
          <w:rFonts w:ascii="Book Antiqua" w:hAnsi="Book Antiqua" w:cs="Times New Roman" w:hint="eastAsia"/>
          <w:sz w:val="24"/>
          <w:szCs w:val="24"/>
          <w:lang w:val="es-ES_tradnl" w:eastAsia="zh-CN"/>
        </w:rPr>
        <w:t xml:space="preserve">A </w:t>
      </w:r>
      <w:r w:rsidR="00D74C7F" w:rsidRPr="001326F0">
        <w:rPr>
          <w:rFonts w:ascii="Book Antiqua" w:hAnsi="Book Antiqua" w:cs="Times New Roman" w:hint="eastAsia"/>
          <w:i/>
          <w:sz w:val="24"/>
          <w:szCs w:val="24"/>
          <w:lang w:val="es-ES_tradnl" w:eastAsia="zh-CN"/>
        </w:rPr>
        <w:t xml:space="preserve">et al. </w:t>
      </w:r>
      <w:r w:rsidR="00B776B6" w:rsidRPr="001326F0">
        <w:rPr>
          <w:rFonts w:ascii="Book Antiqua" w:hAnsi="Book Antiqua" w:cs="Times New Roman"/>
          <w:sz w:val="24"/>
          <w:szCs w:val="24"/>
          <w:lang w:val="es-ES_tradnl"/>
        </w:rPr>
        <w:t xml:space="preserve">New </w:t>
      </w:r>
      <w:r w:rsidR="00BB77AF" w:rsidRPr="001326F0">
        <w:rPr>
          <w:rFonts w:ascii="Book Antiqua" w:hAnsi="Book Antiqua" w:cs="Times New Roman"/>
          <w:sz w:val="24"/>
          <w:szCs w:val="24"/>
          <w:lang w:val="es-ES_tradnl"/>
        </w:rPr>
        <w:t xml:space="preserve">obesity </w:t>
      </w:r>
      <w:r w:rsidR="00B776B6" w:rsidRPr="001326F0">
        <w:rPr>
          <w:rFonts w:ascii="Book Antiqua" w:hAnsi="Book Antiqua" w:cs="Times New Roman"/>
          <w:sz w:val="24"/>
          <w:szCs w:val="24"/>
          <w:lang w:val="es-ES_tradnl"/>
        </w:rPr>
        <w:t>cla</w:t>
      </w:r>
      <w:r w:rsidR="00BB77AF" w:rsidRPr="001326F0">
        <w:rPr>
          <w:rFonts w:ascii="Book Antiqua" w:hAnsi="Book Antiqua" w:cs="Times New Roman"/>
          <w:sz w:val="24"/>
          <w:szCs w:val="24"/>
          <w:lang w:val="es-ES_tradnl"/>
        </w:rPr>
        <w:t xml:space="preserve">ssification criteria </w:t>
      </w:r>
    </w:p>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rsidR="00C63E0A" w:rsidRPr="001326F0" w:rsidRDefault="00C63E0A" w:rsidP="00746C86">
      <w:pPr>
        <w:adjustRightInd w:val="0"/>
        <w:snapToGrid w:val="0"/>
        <w:spacing w:after="0" w:line="360" w:lineRule="auto"/>
        <w:jc w:val="both"/>
        <w:rPr>
          <w:rFonts w:ascii="Book Antiqua" w:hAnsi="Book Antiqua"/>
          <w:sz w:val="24"/>
          <w:szCs w:val="24"/>
        </w:rPr>
      </w:pPr>
    </w:p>
    <w:p w:rsidR="006322E3" w:rsidRPr="001326F0" w:rsidRDefault="006322E3" w:rsidP="00746C86">
      <w:pPr>
        <w:adjustRightInd w:val="0"/>
        <w:snapToGrid w:val="0"/>
        <w:spacing w:after="0" w:line="360" w:lineRule="auto"/>
        <w:jc w:val="both"/>
        <w:rPr>
          <w:rFonts w:ascii="Book Antiqua" w:hAnsi="Book Antiqua" w:cs="Times New Roman"/>
          <w:sz w:val="24"/>
          <w:szCs w:val="24"/>
          <w:lang w:eastAsia="zh-CN"/>
        </w:rPr>
      </w:pPr>
      <w:bookmarkStart w:id="114" w:name="OLE_LINK2557"/>
      <w:bookmarkStart w:id="115" w:name="OLE_LINK2558"/>
      <w:r w:rsidRPr="001326F0">
        <w:rPr>
          <w:rFonts w:ascii="Book Antiqua" w:hAnsi="Book Antiqua" w:cs="Times New Roman"/>
          <w:sz w:val="24"/>
          <w:szCs w:val="24"/>
        </w:rPr>
        <w:t>Antonino De Lorenzo</w:t>
      </w:r>
      <w:r w:rsidR="005F1590" w:rsidRPr="001326F0">
        <w:rPr>
          <w:rFonts w:ascii="Book Antiqua" w:hAnsi="Book Antiqua" w:cs="Times New Roman"/>
          <w:sz w:val="24"/>
          <w:szCs w:val="24"/>
        </w:rPr>
        <w:t>, Laura Soldati</w:t>
      </w:r>
      <w:r w:rsidRPr="001326F0">
        <w:rPr>
          <w:rFonts w:ascii="Book Antiqua" w:hAnsi="Book Antiqua" w:cs="Times New Roman"/>
          <w:sz w:val="24"/>
          <w:szCs w:val="24"/>
        </w:rPr>
        <w:t>, Francesca Sarlo,</w:t>
      </w:r>
      <w:r w:rsidR="005F1590" w:rsidRPr="001326F0">
        <w:rPr>
          <w:rFonts w:ascii="Book Antiqua" w:hAnsi="Book Antiqua" w:cs="Times New Roman"/>
          <w:sz w:val="24"/>
          <w:szCs w:val="24"/>
        </w:rPr>
        <w:t xml:space="preserve"> Menotti Calvani</w:t>
      </w:r>
      <w:r w:rsidRPr="001326F0">
        <w:rPr>
          <w:rFonts w:ascii="Book Antiqua" w:hAnsi="Book Antiqua" w:cs="Times New Roman"/>
          <w:sz w:val="24"/>
          <w:szCs w:val="24"/>
        </w:rPr>
        <w:t>,</w:t>
      </w:r>
      <w:r w:rsidR="005F1590" w:rsidRPr="001326F0">
        <w:rPr>
          <w:rFonts w:ascii="Book Antiqua" w:hAnsi="Book Antiqua" w:cs="Times New Roman"/>
          <w:sz w:val="24"/>
          <w:szCs w:val="24"/>
        </w:rPr>
        <w:t xml:space="preserve"> Nicola Di Lorenzo,</w:t>
      </w:r>
      <w:r w:rsidRPr="001326F0">
        <w:rPr>
          <w:rFonts w:ascii="Book Antiqua" w:hAnsi="Book Antiqua" w:cs="Times New Roman"/>
          <w:sz w:val="24"/>
          <w:szCs w:val="24"/>
        </w:rPr>
        <w:t xml:space="preserve"> Laura Di Renzo</w:t>
      </w:r>
    </w:p>
    <w:bookmarkEnd w:id="114"/>
    <w:bookmarkEnd w:id="115"/>
    <w:p w:rsidR="006322E3" w:rsidRPr="001326F0" w:rsidRDefault="006322E3" w:rsidP="00746C86">
      <w:pPr>
        <w:autoSpaceDE w:val="0"/>
        <w:autoSpaceDN w:val="0"/>
        <w:adjustRightInd w:val="0"/>
        <w:snapToGrid w:val="0"/>
        <w:spacing w:after="0" w:line="360" w:lineRule="auto"/>
        <w:jc w:val="both"/>
        <w:textAlignment w:val="center"/>
        <w:rPr>
          <w:rFonts w:ascii="Book Antiqua" w:eastAsia="宋体 Italic" w:hAnsi="Book Antiqua" w:cs="Times New Roman"/>
          <w:spacing w:val="-2"/>
          <w:sz w:val="24"/>
          <w:szCs w:val="24"/>
        </w:rPr>
      </w:pPr>
    </w:p>
    <w:p w:rsidR="009C071C" w:rsidRPr="001326F0" w:rsidRDefault="000866DE" w:rsidP="00814887">
      <w:pPr>
        <w:autoSpaceDE w:val="0"/>
        <w:autoSpaceDN w:val="0"/>
        <w:adjustRightInd w:val="0"/>
        <w:snapToGrid w:val="0"/>
        <w:spacing w:after="0" w:line="360" w:lineRule="auto"/>
        <w:jc w:val="both"/>
        <w:textAlignment w:val="center"/>
        <w:rPr>
          <w:rFonts w:ascii="Book Antiqua" w:eastAsia="宋体 Italic" w:hAnsi="Book Antiqua" w:cs="Times New Roman"/>
          <w:spacing w:val="-2"/>
          <w:sz w:val="24"/>
          <w:szCs w:val="24"/>
        </w:rPr>
      </w:pPr>
      <w:r w:rsidRPr="001326F0">
        <w:rPr>
          <w:rFonts w:ascii="Book Antiqua" w:eastAsia="宋体 Italic" w:hAnsi="Book Antiqua" w:cs="Times New Roman"/>
          <w:b/>
          <w:spacing w:val="-2"/>
          <w:sz w:val="24"/>
          <w:szCs w:val="24"/>
        </w:rPr>
        <w:t>Antonino De Lorenzo, Menotti Calvani, Laura Di Renzo</w:t>
      </w:r>
      <w:r w:rsidRPr="001326F0">
        <w:rPr>
          <w:rFonts w:ascii="Book Antiqua" w:eastAsia="宋体 Italic" w:hAnsi="Book Antiqua" w:cs="Times New Roman" w:hint="eastAsia"/>
          <w:b/>
          <w:spacing w:val="-2"/>
          <w:sz w:val="24"/>
          <w:szCs w:val="24"/>
          <w:lang w:eastAsia="zh-CN"/>
        </w:rPr>
        <w:t xml:space="preserve">, </w:t>
      </w:r>
      <w:r w:rsidR="009C071C" w:rsidRPr="001326F0">
        <w:rPr>
          <w:rFonts w:ascii="Book Antiqua" w:eastAsia="宋体 Italic" w:hAnsi="Book Antiqua" w:cs="Times New Roman"/>
          <w:spacing w:val="-2"/>
          <w:sz w:val="24"/>
          <w:szCs w:val="24"/>
        </w:rPr>
        <w:t>Division of Clinical Nutrition and Nutrigenomic, Department of Biomedicine and Prevention, University of Tor Vergata, 00133 Rome, Italy</w:t>
      </w:r>
    </w:p>
    <w:p w:rsidR="000866DE" w:rsidRPr="001326F0" w:rsidRDefault="000866DE" w:rsidP="000866DE">
      <w:pPr>
        <w:pStyle w:val="ListParagraph"/>
        <w:autoSpaceDE w:val="0"/>
        <w:autoSpaceDN w:val="0"/>
        <w:adjustRightInd w:val="0"/>
        <w:snapToGrid w:val="0"/>
        <w:spacing w:after="0" w:line="360" w:lineRule="auto"/>
        <w:ind w:left="0"/>
        <w:contextualSpacing w:val="0"/>
        <w:jc w:val="both"/>
        <w:textAlignment w:val="center"/>
        <w:rPr>
          <w:rFonts w:ascii="Book Antiqua" w:eastAsia="宋体 Italic" w:hAnsi="Book Antiqua" w:cs="Times New Roman"/>
          <w:spacing w:val="-2"/>
          <w:sz w:val="24"/>
          <w:szCs w:val="24"/>
        </w:rPr>
      </w:pPr>
    </w:p>
    <w:p w:rsidR="007639FA" w:rsidRPr="001326F0" w:rsidRDefault="000866DE" w:rsidP="00814887">
      <w:pPr>
        <w:pStyle w:val="ListParagraph"/>
        <w:autoSpaceDE w:val="0"/>
        <w:autoSpaceDN w:val="0"/>
        <w:adjustRightInd w:val="0"/>
        <w:snapToGrid w:val="0"/>
        <w:spacing w:after="0" w:line="360" w:lineRule="auto"/>
        <w:ind w:left="0"/>
        <w:contextualSpacing w:val="0"/>
        <w:jc w:val="both"/>
        <w:rPr>
          <w:rFonts w:ascii="Book Antiqua" w:eastAsia="宋体 Italic" w:hAnsi="Book Antiqua" w:cs="Times New Roman"/>
          <w:spacing w:val="-2"/>
          <w:sz w:val="24"/>
          <w:szCs w:val="24"/>
        </w:rPr>
      </w:pPr>
      <w:r w:rsidRPr="001326F0">
        <w:rPr>
          <w:rFonts w:ascii="Book Antiqua" w:eastAsia="宋体 Italic" w:hAnsi="Book Antiqua" w:cs="Times New Roman"/>
          <w:b/>
          <w:spacing w:val="-2"/>
          <w:sz w:val="24"/>
          <w:szCs w:val="24"/>
        </w:rPr>
        <w:t>Antonino De Lorenzo</w:t>
      </w:r>
      <w:r w:rsidRPr="001326F0">
        <w:rPr>
          <w:rFonts w:ascii="Book Antiqua" w:eastAsia="宋体 Italic" w:hAnsi="Book Antiqua" w:cs="Times New Roman" w:hint="eastAsia"/>
          <w:b/>
          <w:spacing w:val="-2"/>
          <w:sz w:val="24"/>
          <w:szCs w:val="24"/>
          <w:lang w:eastAsia="zh-CN"/>
        </w:rPr>
        <w:t>,</w:t>
      </w:r>
      <w:r w:rsidRPr="001326F0">
        <w:rPr>
          <w:rFonts w:ascii="Book Antiqua" w:eastAsia="宋体 Italic" w:hAnsi="Book Antiqua" w:cs="Times New Roman"/>
          <w:b/>
          <w:spacing w:val="-2"/>
          <w:sz w:val="24"/>
          <w:szCs w:val="24"/>
        </w:rPr>
        <w:t xml:space="preserve"> </w:t>
      </w:r>
      <w:r w:rsidR="007639FA" w:rsidRPr="001326F0">
        <w:rPr>
          <w:rFonts w:ascii="Book Antiqua" w:eastAsia="宋体 Italic" w:hAnsi="Book Antiqua" w:cs="Times New Roman"/>
          <w:spacing w:val="-2"/>
          <w:sz w:val="24"/>
          <w:szCs w:val="24"/>
        </w:rPr>
        <w:t>Department of Internal Medicine, UOSD Service of Clinical Nutrition, parenteral therapy and anorexia nervosa, Policlinico</w:t>
      </w:r>
      <w:r w:rsidRPr="001326F0">
        <w:rPr>
          <w:rFonts w:ascii="Book Antiqua" w:eastAsia="宋体 Italic" w:hAnsi="Book Antiqua" w:cs="Times New Roman"/>
          <w:spacing w:val="-2"/>
          <w:sz w:val="24"/>
          <w:szCs w:val="24"/>
        </w:rPr>
        <w:t xml:space="preserve"> Tor Vergata, 00133 Rome, Italy</w:t>
      </w:r>
    </w:p>
    <w:p w:rsidR="000866DE" w:rsidRPr="001326F0" w:rsidRDefault="000866DE" w:rsidP="000866DE">
      <w:pPr>
        <w:pStyle w:val="ListParagraph"/>
        <w:autoSpaceDE w:val="0"/>
        <w:autoSpaceDN w:val="0"/>
        <w:adjustRightInd w:val="0"/>
        <w:snapToGrid w:val="0"/>
        <w:spacing w:after="0" w:line="360" w:lineRule="auto"/>
        <w:ind w:left="0"/>
        <w:contextualSpacing w:val="0"/>
        <w:jc w:val="both"/>
        <w:rPr>
          <w:rFonts w:ascii="Book Antiqua" w:eastAsia="宋体 Italic" w:hAnsi="Book Antiqua" w:cs="Times New Roman"/>
          <w:spacing w:val="-2"/>
          <w:sz w:val="24"/>
          <w:szCs w:val="24"/>
        </w:rPr>
      </w:pPr>
    </w:p>
    <w:p w:rsidR="009C071C" w:rsidRPr="001326F0" w:rsidRDefault="00814887" w:rsidP="00814887">
      <w:pPr>
        <w:pStyle w:val="ListParagraph"/>
        <w:autoSpaceDE w:val="0"/>
        <w:autoSpaceDN w:val="0"/>
        <w:adjustRightInd w:val="0"/>
        <w:snapToGrid w:val="0"/>
        <w:spacing w:after="0" w:line="360" w:lineRule="auto"/>
        <w:ind w:left="0"/>
        <w:contextualSpacing w:val="0"/>
        <w:jc w:val="both"/>
        <w:rPr>
          <w:rFonts w:ascii="Book Antiqua" w:eastAsia="宋体 Italic" w:hAnsi="Book Antiqua" w:cs="Times New Roman"/>
          <w:spacing w:val="-2"/>
          <w:sz w:val="24"/>
          <w:szCs w:val="24"/>
          <w:lang w:val="en-GB"/>
        </w:rPr>
      </w:pPr>
      <w:r w:rsidRPr="001326F0">
        <w:rPr>
          <w:rFonts w:ascii="Book Antiqua" w:eastAsia="宋体 Italic" w:hAnsi="Book Antiqua" w:cs="Times New Roman"/>
          <w:b/>
          <w:spacing w:val="-2"/>
          <w:sz w:val="24"/>
          <w:szCs w:val="24"/>
        </w:rPr>
        <w:t>Laura Soldati</w:t>
      </w:r>
      <w:r w:rsidRPr="001326F0">
        <w:rPr>
          <w:rFonts w:ascii="Book Antiqua" w:eastAsia="宋体 Italic" w:hAnsi="Book Antiqua" w:cs="Times New Roman" w:hint="eastAsia"/>
          <w:b/>
          <w:spacing w:val="-2"/>
          <w:sz w:val="24"/>
          <w:szCs w:val="24"/>
          <w:lang w:eastAsia="zh-CN"/>
        </w:rPr>
        <w:t>,</w:t>
      </w:r>
      <w:r w:rsidRPr="001326F0">
        <w:rPr>
          <w:rFonts w:ascii="Book Antiqua" w:eastAsia="宋体 Italic" w:hAnsi="Book Antiqua" w:cs="Times New Roman"/>
          <w:b/>
          <w:spacing w:val="-2"/>
          <w:sz w:val="24"/>
          <w:szCs w:val="24"/>
          <w:lang w:val="en-GB"/>
        </w:rPr>
        <w:t xml:space="preserve"> </w:t>
      </w:r>
      <w:r w:rsidR="009C071C" w:rsidRPr="001326F0">
        <w:rPr>
          <w:rFonts w:ascii="Book Antiqua" w:eastAsia="宋体 Italic" w:hAnsi="Book Antiqua" w:cs="Times New Roman"/>
          <w:spacing w:val="-2"/>
          <w:sz w:val="24"/>
          <w:szCs w:val="24"/>
          <w:lang w:val="en-GB"/>
        </w:rPr>
        <w:t>Department of Health Sciences, University of Milan, 20122 Milan, Italy</w:t>
      </w:r>
    </w:p>
    <w:p w:rsidR="000866DE" w:rsidRPr="001326F0" w:rsidRDefault="000866DE" w:rsidP="000866DE">
      <w:pPr>
        <w:pStyle w:val="ListParagraph"/>
        <w:rPr>
          <w:rFonts w:ascii="Book Antiqua" w:eastAsia="宋体 Italic" w:hAnsi="Book Antiqua" w:cs="Times New Roman"/>
          <w:spacing w:val="-2"/>
          <w:sz w:val="24"/>
          <w:szCs w:val="24"/>
          <w:lang w:val="en-GB"/>
        </w:rPr>
      </w:pPr>
    </w:p>
    <w:p w:rsidR="009C071C" w:rsidRPr="001326F0" w:rsidRDefault="00814887" w:rsidP="00814887">
      <w:pPr>
        <w:pStyle w:val="ListParagraph"/>
        <w:autoSpaceDE w:val="0"/>
        <w:autoSpaceDN w:val="0"/>
        <w:adjustRightInd w:val="0"/>
        <w:snapToGrid w:val="0"/>
        <w:spacing w:after="0" w:line="360" w:lineRule="auto"/>
        <w:ind w:left="0"/>
        <w:contextualSpacing w:val="0"/>
        <w:jc w:val="both"/>
        <w:rPr>
          <w:rFonts w:ascii="Book Antiqua" w:eastAsia="宋体 Italic" w:hAnsi="Book Antiqua" w:cs="Times New Roman"/>
          <w:spacing w:val="-2"/>
          <w:sz w:val="24"/>
          <w:szCs w:val="24"/>
          <w:lang w:val="en-GB"/>
        </w:rPr>
      </w:pPr>
      <w:r w:rsidRPr="001326F0">
        <w:rPr>
          <w:rFonts w:ascii="Book Antiqua" w:eastAsia="宋体 Italic" w:hAnsi="Book Antiqua" w:cs="Times New Roman"/>
          <w:b/>
          <w:iCs/>
          <w:spacing w:val="-2"/>
          <w:sz w:val="24"/>
          <w:szCs w:val="24"/>
        </w:rPr>
        <w:t>Francesca Sarlo</w:t>
      </w:r>
      <w:r w:rsidRPr="001326F0">
        <w:rPr>
          <w:rFonts w:ascii="Book Antiqua" w:eastAsia="宋体 Italic" w:hAnsi="Book Antiqua" w:cs="Times New Roman" w:hint="eastAsia"/>
          <w:b/>
          <w:iCs/>
          <w:spacing w:val="-2"/>
          <w:sz w:val="24"/>
          <w:szCs w:val="24"/>
          <w:lang w:eastAsia="zh-CN"/>
        </w:rPr>
        <w:t>,</w:t>
      </w:r>
      <w:r w:rsidRPr="001326F0">
        <w:rPr>
          <w:rFonts w:ascii="Book Antiqua" w:eastAsia="宋体 Italic" w:hAnsi="Book Antiqua" w:cs="Times New Roman"/>
          <w:b/>
          <w:iCs/>
          <w:spacing w:val="-2"/>
          <w:sz w:val="24"/>
          <w:szCs w:val="24"/>
          <w:lang w:val="en-US"/>
        </w:rPr>
        <w:t xml:space="preserve"> </w:t>
      </w:r>
      <w:r w:rsidR="009C071C" w:rsidRPr="001326F0">
        <w:rPr>
          <w:rFonts w:ascii="Book Antiqua" w:eastAsia="宋体 Italic" w:hAnsi="Book Antiqua" w:cs="Times New Roman"/>
          <w:iCs/>
          <w:spacing w:val="-2"/>
          <w:sz w:val="24"/>
          <w:szCs w:val="24"/>
          <w:lang w:val="en-US"/>
        </w:rPr>
        <w:t>Department of Agriculture University of Naples “Federico II”</w:t>
      </w:r>
      <w:r w:rsidR="000866DE" w:rsidRPr="001326F0">
        <w:rPr>
          <w:rFonts w:ascii="Book Antiqua" w:eastAsia="宋体 Italic" w:hAnsi="Book Antiqua" w:cs="Times New Roman" w:hint="eastAsia"/>
          <w:iCs/>
          <w:spacing w:val="-2"/>
          <w:sz w:val="24"/>
          <w:szCs w:val="24"/>
          <w:lang w:val="en-US" w:eastAsia="zh-CN"/>
        </w:rPr>
        <w:t>,</w:t>
      </w:r>
      <w:r w:rsidR="009C071C" w:rsidRPr="001326F0">
        <w:rPr>
          <w:rFonts w:ascii="Book Antiqua" w:eastAsia="宋体 Italic" w:hAnsi="Book Antiqua" w:cs="Times New Roman"/>
          <w:iCs/>
          <w:spacing w:val="-2"/>
          <w:sz w:val="24"/>
          <w:szCs w:val="24"/>
          <w:lang w:val="en-US"/>
        </w:rPr>
        <w:t xml:space="preserve"> 80055 Portici (NA), Italy</w:t>
      </w:r>
    </w:p>
    <w:p w:rsidR="000866DE" w:rsidRPr="001326F0" w:rsidRDefault="000866DE" w:rsidP="000866DE">
      <w:pPr>
        <w:pStyle w:val="ListParagraph"/>
        <w:autoSpaceDE w:val="0"/>
        <w:autoSpaceDN w:val="0"/>
        <w:adjustRightInd w:val="0"/>
        <w:snapToGrid w:val="0"/>
        <w:spacing w:after="0" w:line="360" w:lineRule="auto"/>
        <w:ind w:left="0"/>
        <w:contextualSpacing w:val="0"/>
        <w:jc w:val="both"/>
        <w:rPr>
          <w:rFonts w:ascii="Book Antiqua" w:eastAsia="宋体 Italic" w:hAnsi="Book Antiqua" w:cs="Times New Roman"/>
          <w:spacing w:val="-2"/>
          <w:sz w:val="24"/>
          <w:szCs w:val="24"/>
          <w:lang w:val="en-GB"/>
        </w:rPr>
      </w:pPr>
    </w:p>
    <w:p w:rsidR="009C071C" w:rsidRPr="001326F0" w:rsidRDefault="00814887" w:rsidP="00814887">
      <w:pPr>
        <w:pStyle w:val="ListParagraph"/>
        <w:autoSpaceDE w:val="0"/>
        <w:autoSpaceDN w:val="0"/>
        <w:adjustRightInd w:val="0"/>
        <w:snapToGrid w:val="0"/>
        <w:spacing w:after="0" w:line="360" w:lineRule="auto"/>
        <w:ind w:left="0"/>
        <w:contextualSpacing w:val="0"/>
        <w:jc w:val="both"/>
        <w:rPr>
          <w:rFonts w:ascii="Book Antiqua" w:eastAsia="宋体 Italic" w:hAnsi="Book Antiqua" w:cs="Times New Roman"/>
          <w:spacing w:val="-2"/>
          <w:sz w:val="24"/>
          <w:szCs w:val="24"/>
          <w:lang w:val="en-GB" w:eastAsia="zh-CN"/>
        </w:rPr>
      </w:pPr>
      <w:r w:rsidRPr="001326F0">
        <w:rPr>
          <w:rFonts w:ascii="Book Antiqua" w:eastAsia="宋体 Italic" w:hAnsi="Book Antiqua" w:cs="Times New Roman"/>
          <w:b/>
          <w:spacing w:val="-2"/>
          <w:sz w:val="24"/>
          <w:szCs w:val="24"/>
        </w:rPr>
        <w:t>Nicola Di Lorenzo</w:t>
      </w:r>
      <w:r w:rsidRPr="001326F0">
        <w:rPr>
          <w:rFonts w:ascii="Book Antiqua" w:eastAsia="宋体 Italic" w:hAnsi="Book Antiqua" w:cs="Times New Roman" w:hint="eastAsia"/>
          <w:b/>
          <w:spacing w:val="-2"/>
          <w:sz w:val="24"/>
          <w:szCs w:val="24"/>
          <w:lang w:eastAsia="zh-CN"/>
        </w:rPr>
        <w:t>,</w:t>
      </w:r>
      <w:r w:rsidRPr="001326F0">
        <w:rPr>
          <w:rFonts w:ascii="Book Antiqua" w:eastAsia="宋体 Italic" w:hAnsi="Book Antiqua" w:cs="Times New Roman"/>
          <w:b/>
          <w:spacing w:val="-2"/>
          <w:sz w:val="24"/>
          <w:szCs w:val="24"/>
          <w:lang w:val="en-GB"/>
        </w:rPr>
        <w:t xml:space="preserve"> </w:t>
      </w:r>
      <w:r w:rsidR="009C071C" w:rsidRPr="001326F0">
        <w:rPr>
          <w:rFonts w:ascii="Book Antiqua" w:eastAsia="宋体 Italic" w:hAnsi="Book Antiqua" w:cs="Times New Roman"/>
          <w:spacing w:val="-2"/>
          <w:sz w:val="24"/>
          <w:szCs w:val="24"/>
          <w:lang w:val="en-GB"/>
        </w:rPr>
        <w:t xml:space="preserve">Department of Surgical Sciences, University of Tor Vergata, Policlinico Tor Vergata, 00133 Rome, Italy </w:t>
      </w:r>
    </w:p>
    <w:p w:rsidR="00814887" w:rsidRPr="001326F0" w:rsidRDefault="00814887" w:rsidP="00814887">
      <w:pPr>
        <w:pStyle w:val="ListParagraph"/>
        <w:autoSpaceDE w:val="0"/>
        <w:autoSpaceDN w:val="0"/>
        <w:adjustRightInd w:val="0"/>
        <w:snapToGrid w:val="0"/>
        <w:spacing w:after="0" w:line="360" w:lineRule="auto"/>
        <w:ind w:left="0"/>
        <w:contextualSpacing w:val="0"/>
        <w:jc w:val="both"/>
        <w:rPr>
          <w:rFonts w:ascii="Book Antiqua" w:eastAsia="宋体 Italic" w:hAnsi="Book Antiqua" w:cs="Times New Roman"/>
          <w:spacing w:val="-2"/>
          <w:sz w:val="24"/>
          <w:szCs w:val="24"/>
          <w:lang w:val="en-GB" w:eastAsia="zh-CN"/>
        </w:rPr>
      </w:pPr>
    </w:p>
    <w:p w:rsidR="00814887" w:rsidRPr="001326F0" w:rsidRDefault="00814887" w:rsidP="00814887">
      <w:pPr>
        <w:adjustRightInd w:val="0"/>
        <w:snapToGrid w:val="0"/>
        <w:spacing w:after="0" w:line="360" w:lineRule="auto"/>
        <w:jc w:val="both"/>
        <w:rPr>
          <w:rFonts w:ascii="Book Antiqua" w:hAnsi="Book Antiqua"/>
          <w:b/>
          <w:sz w:val="24"/>
          <w:szCs w:val="24"/>
          <w:lang w:val="en-US"/>
        </w:rPr>
      </w:pPr>
      <w:r w:rsidRPr="001326F0">
        <w:rPr>
          <w:rFonts w:ascii="Book Antiqua" w:hAnsi="Book Antiqua"/>
          <w:b/>
          <w:sz w:val="24"/>
          <w:szCs w:val="24"/>
          <w:lang w:val="en-US"/>
        </w:rPr>
        <w:t xml:space="preserve">Author contributions: </w:t>
      </w:r>
      <w:r w:rsidRPr="001326F0">
        <w:rPr>
          <w:rFonts w:ascii="Book Antiqua" w:hAnsi="Book Antiqua" w:cs="Times New Roman"/>
          <w:sz w:val="24"/>
          <w:szCs w:val="24"/>
          <w:lang w:val="en-US"/>
        </w:rPr>
        <w:t xml:space="preserve">De Lorenzo A conceived, designed the research, drafted the manuscript, and had primary responsibility for the final content; </w:t>
      </w:r>
      <w:r w:rsidRPr="001326F0">
        <w:rPr>
          <w:rFonts w:ascii="Book Antiqua" w:hAnsi="Book Antiqua" w:cs="Times New Roman"/>
          <w:sz w:val="24"/>
          <w:szCs w:val="24"/>
          <w:lang w:val="en-US"/>
        </w:rPr>
        <w:lastRenderedPageBreak/>
        <w:t xml:space="preserve">Soldati L, Sarlo F, Calvani M, Di Lorenzo N, Di Renzo L collected the data; Sarlo F, Di Renzo L wrote the paper; all the author have contributed to the interpretation of the revision of the manuscript. </w:t>
      </w:r>
    </w:p>
    <w:p w:rsidR="006322E3" w:rsidRPr="001326F0" w:rsidRDefault="006322E3" w:rsidP="00746C86">
      <w:pPr>
        <w:autoSpaceDE w:val="0"/>
        <w:autoSpaceDN w:val="0"/>
        <w:adjustRightInd w:val="0"/>
        <w:snapToGrid w:val="0"/>
        <w:spacing w:after="0" w:line="360" w:lineRule="auto"/>
        <w:jc w:val="both"/>
        <w:textAlignment w:val="center"/>
        <w:rPr>
          <w:rFonts w:ascii="Book Antiqua" w:eastAsia="宋体 Italic" w:hAnsi="Book Antiqua" w:cs="Times New Roman"/>
          <w:sz w:val="24"/>
          <w:szCs w:val="24"/>
          <w:u w:val="single"/>
          <w:lang w:val="en-US" w:eastAsia="zh-CN"/>
        </w:rPr>
      </w:pPr>
    </w:p>
    <w:p w:rsidR="00D74C7F" w:rsidRPr="001326F0" w:rsidRDefault="00D74C7F" w:rsidP="00D74C7F">
      <w:pPr>
        <w:adjustRightInd w:val="0"/>
        <w:snapToGrid w:val="0"/>
        <w:spacing w:after="0" w:line="360" w:lineRule="auto"/>
        <w:jc w:val="both"/>
        <w:rPr>
          <w:rFonts w:ascii="Book Antiqua" w:eastAsia="Times New Roman" w:hAnsi="Book Antiqua" w:cs="Arial"/>
          <w:sz w:val="24"/>
          <w:szCs w:val="24"/>
          <w:lang w:eastAsia="it-IT"/>
        </w:rPr>
      </w:pPr>
      <w:r w:rsidRPr="001326F0">
        <w:rPr>
          <w:rFonts w:ascii="Book Antiqua" w:eastAsia="Times New Roman" w:hAnsi="Book Antiqua" w:cs="Arial"/>
          <w:b/>
          <w:sz w:val="24"/>
          <w:szCs w:val="24"/>
          <w:lang w:eastAsia="it-IT"/>
        </w:rPr>
        <w:t>Conflict-of-interest</w:t>
      </w:r>
      <w:r w:rsidRPr="001326F0">
        <w:rPr>
          <w:rFonts w:ascii="Book Antiqua" w:hAnsi="Book Antiqua" w:cs="Arial" w:hint="eastAsia"/>
          <w:b/>
          <w:sz w:val="24"/>
          <w:szCs w:val="24"/>
          <w:lang w:eastAsia="zh-CN"/>
        </w:rPr>
        <w:t xml:space="preserve"> statement</w:t>
      </w:r>
      <w:r w:rsidRPr="001326F0">
        <w:rPr>
          <w:rFonts w:ascii="Book Antiqua" w:eastAsia="Times New Roman" w:hAnsi="Book Antiqua" w:cs="Arial"/>
          <w:b/>
          <w:sz w:val="24"/>
          <w:szCs w:val="24"/>
          <w:lang w:eastAsia="it-IT"/>
        </w:rPr>
        <w:t xml:space="preserve">: </w:t>
      </w:r>
      <w:r w:rsidRPr="001326F0">
        <w:rPr>
          <w:rFonts w:ascii="Book Antiqua" w:hAnsi="Book Antiqua" w:cs="Times New Roman"/>
          <w:sz w:val="24"/>
          <w:szCs w:val="24"/>
        </w:rPr>
        <w:t xml:space="preserve">Antonino De Lorenzo, Laura Soldati, Francesca Sarlo, Menotti Calvani, Nicola Di Lorenzo and Laura Di Renzo </w:t>
      </w:r>
      <w:r w:rsidRPr="001326F0">
        <w:rPr>
          <w:rFonts w:ascii="Book Antiqua" w:eastAsia="Times New Roman" w:hAnsi="Book Antiqua" w:cs="Arial"/>
          <w:sz w:val="24"/>
          <w:szCs w:val="24"/>
          <w:lang w:eastAsia="it-IT"/>
        </w:rPr>
        <w:t>have no conflict of interest to disclose.</w:t>
      </w:r>
    </w:p>
    <w:p w:rsidR="00D74C7F" w:rsidRPr="001326F0" w:rsidRDefault="00D74C7F" w:rsidP="00746C86">
      <w:pPr>
        <w:autoSpaceDE w:val="0"/>
        <w:autoSpaceDN w:val="0"/>
        <w:adjustRightInd w:val="0"/>
        <w:snapToGrid w:val="0"/>
        <w:spacing w:after="0" w:line="360" w:lineRule="auto"/>
        <w:jc w:val="both"/>
        <w:textAlignment w:val="center"/>
        <w:rPr>
          <w:rFonts w:ascii="Book Antiqua" w:eastAsia="宋体 Italic" w:hAnsi="Book Antiqua" w:cs="Times New Roman"/>
          <w:sz w:val="24"/>
          <w:szCs w:val="24"/>
          <w:u w:val="single"/>
          <w:lang w:eastAsia="zh-CN"/>
        </w:rPr>
      </w:pPr>
    </w:p>
    <w:p w:rsidR="00814887" w:rsidRPr="001326F0" w:rsidRDefault="00814887" w:rsidP="00814887">
      <w:pPr>
        <w:spacing w:after="0" w:line="360" w:lineRule="auto"/>
        <w:jc w:val="both"/>
        <w:rPr>
          <w:rFonts w:ascii="Book Antiqua" w:eastAsia="SimSun" w:hAnsi="Book Antiqua" w:cs="SimSun"/>
          <w:sz w:val="24"/>
          <w:szCs w:val="24"/>
          <w:lang w:val="en-US" w:eastAsia="zh-CN"/>
        </w:rPr>
      </w:pPr>
      <w:bookmarkStart w:id="116" w:name="OLE_LINK441"/>
      <w:bookmarkStart w:id="117" w:name="OLE_LINK442"/>
      <w:bookmarkStart w:id="118" w:name="OLE_LINK1032"/>
      <w:bookmarkStart w:id="119" w:name="OLE_LINK1460"/>
      <w:bookmarkStart w:id="120" w:name="OLE_LINK1568"/>
      <w:bookmarkStart w:id="121" w:name="OLE_LINK1708"/>
      <w:bookmarkStart w:id="122" w:name="OLE_LINK1435"/>
      <w:bookmarkStart w:id="123" w:name="OLE_LINK1478"/>
      <w:bookmarkStart w:id="124" w:name="OLE_LINK1428"/>
      <w:bookmarkStart w:id="125" w:name="OLE_LINK1355"/>
      <w:bookmarkStart w:id="126" w:name="OLE_LINK1425"/>
      <w:bookmarkStart w:id="127" w:name="OLE_LINK1504"/>
      <w:bookmarkStart w:id="128" w:name="OLE_LINK1544"/>
      <w:bookmarkStart w:id="129" w:name="OLE_LINK1680"/>
      <w:bookmarkStart w:id="130" w:name="OLE_LINK1710"/>
      <w:bookmarkStart w:id="131" w:name="OLE_LINK3317"/>
      <w:bookmarkStart w:id="132" w:name="OLE_LINK22"/>
      <w:bookmarkStart w:id="133" w:name="OLE_LINK1818"/>
      <w:bookmarkStart w:id="134" w:name="OLE_LINK1684"/>
      <w:bookmarkStart w:id="135" w:name="OLE_LINK1885"/>
      <w:bookmarkStart w:id="136" w:name="OLE_LINK1799"/>
      <w:bookmarkStart w:id="137" w:name="OLE_LINK1894"/>
      <w:bookmarkStart w:id="138" w:name="OLE_LINK27"/>
      <w:bookmarkStart w:id="139" w:name="OLE_LINK732"/>
      <w:bookmarkStart w:id="140" w:name="OLE_LINK2053"/>
      <w:bookmarkStart w:id="141" w:name="OLE_LINK2096"/>
      <w:bookmarkStart w:id="142" w:name="OLE_LINK2174"/>
      <w:bookmarkStart w:id="143" w:name="OLE_LINK2108"/>
      <w:bookmarkStart w:id="144" w:name="OLE_LINK2183"/>
      <w:bookmarkStart w:id="145" w:name="OLE_LINK2328"/>
      <w:bookmarkStart w:id="146" w:name="OLE_LINK766"/>
      <w:bookmarkStart w:id="147" w:name="OLE_LINK2256"/>
      <w:bookmarkStart w:id="148" w:name="OLE_LINK38"/>
      <w:bookmarkStart w:id="149" w:name="OLE_LINK2368"/>
      <w:bookmarkStart w:id="150" w:name="OLE_LINK2351"/>
      <w:bookmarkStart w:id="151" w:name="OLE_LINK2446"/>
      <w:bookmarkStart w:id="152" w:name="OLE_LINK2509"/>
      <w:r w:rsidRPr="001326F0">
        <w:rPr>
          <w:rFonts w:ascii="Book Antiqua" w:eastAsia="SimSun" w:hAnsi="Book Antiqua" w:cs="Times New Roman"/>
          <w:b/>
          <w:sz w:val="24"/>
          <w:szCs w:val="24"/>
          <w:lang w:val="en-US" w:eastAsia="zh-CN"/>
        </w:rPr>
        <w:t xml:space="preserve">Open-Access: </w:t>
      </w:r>
      <w:bookmarkStart w:id="153" w:name="OLE_LINK479"/>
      <w:bookmarkStart w:id="154" w:name="OLE_LINK496"/>
      <w:bookmarkStart w:id="155" w:name="OLE_LINK506"/>
      <w:bookmarkStart w:id="156" w:name="OLE_LINK507"/>
      <w:bookmarkStart w:id="157" w:name="OLE_LINK2559"/>
      <w:bookmarkStart w:id="158" w:name="OLE_LINK2560"/>
      <w:r w:rsidRPr="001326F0">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326F0">
          <w:rPr>
            <w:rFonts w:ascii="Book Antiqua" w:eastAsia="SimSun" w:hAnsi="Book Antiqua" w:cs="Times New Roman"/>
            <w:kern w:val="2"/>
            <w:sz w:val="24"/>
            <w:szCs w:val="24"/>
            <w:u w:val="single"/>
            <w:lang w:val="en-US" w:eastAsia="zh-CN"/>
          </w:rPr>
          <w:t>http://creativecommons.org/licenses/by-nc/4.0/</w:t>
        </w:r>
      </w:hyperlink>
      <w:bookmarkEnd w:id="153"/>
      <w:bookmarkEnd w:id="154"/>
      <w:bookmarkEnd w:id="155"/>
      <w:bookmarkEnd w:id="156"/>
    </w:p>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rsidR="006322E3" w:rsidRPr="001326F0" w:rsidRDefault="006322E3" w:rsidP="00746C86">
      <w:pPr>
        <w:autoSpaceDE w:val="0"/>
        <w:autoSpaceDN w:val="0"/>
        <w:adjustRightInd w:val="0"/>
        <w:snapToGrid w:val="0"/>
        <w:spacing w:after="0" w:line="360" w:lineRule="auto"/>
        <w:jc w:val="both"/>
        <w:textAlignment w:val="center"/>
        <w:rPr>
          <w:rFonts w:ascii="Book Antiqua" w:eastAsia="宋体 Italic" w:hAnsi="Book Antiqua" w:cs="Times New Roman"/>
          <w:sz w:val="24"/>
          <w:szCs w:val="24"/>
          <w:u w:val="single"/>
          <w:lang w:val="en-US"/>
        </w:rPr>
      </w:pPr>
    </w:p>
    <w:bookmarkEnd w:id="157"/>
    <w:bookmarkEnd w:id="158"/>
    <w:p w:rsidR="006322E3" w:rsidRPr="001326F0" w:rsidRDefault="006322E3" w:rsidP="00746C86">
      <w:pPr>
        <w:autoSpaceDE w:val="0"/>
        <w:autoSpaceDN w:val="0"/>
        <w:adjustRightInd w:val="0"/>
        <w:snapToGrid w:val="0"/>
        <w:spacing w:after="0" w:line="360" w:lineRule="auto"/>
        <w:jc w:val="both"/>
        <w:textAlignment w:val="center"/>
        <w:rPr>
          <w:rFonts w:ascii="Book Antiqua" w:eastAsia="宋体 Italic" w:hAnsi="Book Antiqua" w:cs="Times New Roman"/>
          <w:spacing w:val="-2"/>
          <w:sz w:val="24"/>
          <w:szCs w:val="24"/>
          <w:lang w:val="en-GB"/>
        </w:rPr>
      </w:pPr>
      <w:r w:rsidRPr="001326F0">
        <w:rPr>
          <w:rFonts w:ascii="Book Antiqua" w:eastAsia="宋体 Italic" w:hAnsi="Book Antiqua" w:cs="Times New Roman"/>
          <w:b/>
          <w:sz w:val="24"/>
          <w:szCs w:val="24"/>
          <w:lang w:val="en-US"/>
        </w:rPr>
        <w:t>Correspondence to:</w:t>
      </w:r>
      <w:r w:rsidRPr="001326F0">
        <w:rPr>
          <w:rFonts w:ascii="Book Antiqua" w:eastAsia="宋体 Italic" w:hAnsi="Book Antiqua" w:cs="Times New Roman"/>
          <w:b/>
          <w:spacing w:val="-2"/>
          <w:sz w:val="24"/>
          <w:szCs w:val="24"/>
          <w:lang w:val="en-GB"/>
        </w:rPr>
        <w:t xml:space="preserve"> </w:t>
      </w:r>
      <w:bookmarkStart w:id="159" w:name="OLE_LINK2561"/>
      <w:bookmarkStart w:id="160" w:name="OLE_LINK2562"/>
      <w:r w:rsidRPr="001326F0">
        <w:rPr>
          <w:rFonts w:ascii="Book Antiqua" w:eastAsia="宋体 Italic" w:hAnsi="Book Antiqua" w:cs="Times New Roman"/>
          <w:b/>
          <w:spacing w:val="-2"/>
          <w:sz w:val="24"/>
          <w:szCs w:val="24"/>
          <w:lang w:val="en-GB"/>
        </w:rPr>
        <w:t>Antonino De Lorenzo,</w:t>
      </w:r>
      <w:r w:rsidR="009C6087" w:rsidRPr="001326F0">
        <w:rPr>
          <w:rFonts w:ascii="Book Antiqua" w:eastAsia="宋体 Italic" w:hAnsi="Book Antiqua" w:cs="Times New Roman"/>
          <w:b/>
          <w:spacing w:val="-2"/>
          <w:sz w:val="24"/>
          <w:szCs w:val="24"/>
          <w:lang w:val="en-GB"/>
        </w:rPr>
        <w:t xml:space="preserve"> </w:t>
      </w:r>
      <w:r w:rsidR="00814887" w:rsidRPr="001326F0">
        <w:rPr>
          <w:rFonts w:ascii="Book Antiqua" w:eastAsia="宋体 Italic" w:hAnsi="Book Antiqua" w:cs="Times New Roman"/>
          <w:b/>
          <w:spacing w:val="-2"/>
          <w:sz w:val="24"/>
          <w:szCs w:val="24"/>
          <w:lang w:val="en-GB"/>
        </w:rPr>
        <w:t>MD</w:t>
      </w:r>
      <w:r w:rsidRPr="001326F0">
        <w:rPr>
          <w:rFonts w:ascii="Book Antiqua" w:eastAsia="宋体 Italic" w:hAnsi="Book Antiqua" w:cs="Times New Roman"/>
          <w:b/>
          <w:spacing w:val="-2"/>
          <w:sz w:val="24"/>
          <w:szCs w:val="24"/>
          <w:lang w:val="en-GB"/>
        </w:rPr>
        <w:t>,</w:t>
      </w:r>
      <w:r w:rsidRPr="001326F0">
        <w:rPr>
          <w:rFonts w:ascii="Book Antiqua" w:eastAsia="宋体 Italic" w:hAnsi="Book Antiqua" w:cs="Times New Roman"/>
          <w:spacing w:val="-2"/>
          <w:sz w:val="24"/>
          <w:szCs w:val="24"/>
          <w:lang w:val="en-GB"/>
        </w:rPr>
        <w:t xml:space="preserve"> Division of Clinical Nutrition and Nutrigenomic, Department of Biomedicine and Prevention, University of Tor Vergata, Via Montpellier 1, Rome 00133, Italy. delorenzo@uniroma2.it</w:t>
      </w:r>
    </w:p>
    <w:bookmarkEnd w:id="159"/>
    <w:bookmarkEnd w:id="160"/>
    <w:p w:rsidR="00D66490" w:rsidRPr="001326F0" w:rsidRDefault="006322E3" w:rsidP="00746C86">
      <w:pPr>
        <w:autoSpaceDE w:val="0"/>
        <w:autoSpaceDN w:val="0"/>
        <w:adjustRightInd w:val="0"/>
        <w:snapToGrid w:val="0"/>
        <w:spacing w:after="0" w:line="360" w:lineRule="auto"/>
        <w:jc w:val="both"/>
        <w:textAlignment w:val="center"/>
        <w:rPr>
          <w:rFonts w:ascii="Book Antiqua" w:eastAsia="宋体 Italic" w:hAnsi="Book Antiqua" w:cs="Times New Roman"/>
          <w:spacing w:val="-2"/>
          <w:sz w:val="24"/>
          <w:szCs w:val="24"/>
          <w:lang w:val="en-GB" w:eastAsia="zh-CN"/>
        </w:rPr>
      </w:pPr>
      <w:r w:rsidRPr="001326F0">
        <w:rPr>
          <w:rFonts w:ascii="Book Antiqua" w:eastAsia="宋体 Italic" w:hAnsi="Book Antiqua" w:cs="Times New Roman"/>
          <w:b/>
          <w:sz w:val="24"/>
          <w:szCs w:val="24"/>
          <w:lang w:val="en-US"/>
        </w:rPr>
        <w:t>Telephone:</w:t>
      </w:r>
      <w:r w:rsidRPr="001326F0">
        <w:rPr>
          <w:rFonts w:ascii="Book Antiqua" w:eastAsia="宋体 Italic" w:hAnsi="Book Antiqua" w:cs="Times New Roman"/>
          <w:b/>
          <w:bCs/>
          <w:spacing w:val="-2"/>
          <w:sz w:val="24"/>
          <w:szCs w:val="24"/>
          <w:lang w:val="en-GB"/>
        </w:rPr>
        <w:t xml:space="preserve"> </w:t>
      </w:r>
      <w:r w:rsidR="00D66490" w:rsidRPr="001326F0">
        <w:rPr>
          <w:rFonts w:ascii="Book Antiqua" w:eastAsia="宋体 Italic" w:hAnsi="Book Antiqua" w:cs="Times New Roman"/>
          <w:spacing w:val="-2"/>
          <w:sz w:val="24"/>
          <w:szCs w:val="24"/>
          <w:lang w:val="en-GB"/>
        </w:rPr>
        <w:t>+39-</w:t>
      </w:r>
      <w:r w:rsidRPr="001326F0">
        <w:rPr>
          <w:rFonts w:ascii="Book Antiqua" w:eastAsia="宋体 Italic" w:hAnsi="Book Antiqua" w:cs="Times New Roman"/>
          <w:spacing w:val="-2"/>
          <w:sz w:val="24"/>
          <w:szCs w:val="24"/>
          <w:lang w:val="en-GB"/>
        </w:rPr>
        <w:t xml:space="preserve">6-72596856 </w:t>
      </w:r>
    </w:p>
    <w:p w:rsidR="006322E3" w:rsidRPr="001326F0" w:rsidRDefault="006322E3" w:rsidP="00746C86">
      <w:pPr>
        <w:autoSpaceDE w:val="0"/>
        <w:autoSpaceDN w:val="0"/>
        <w:adjustRightInd w:val="0"/>
        <w:snapToGrid w:val="0"/>
        <w:spacing w:after="0" w:line="360" w:lineRule="auto"/>
        <w:jc w:val="both"/>
        <w:textAlignment w:val="center"/>
        <w:rPr>
          <w:rFonts w:ascii="Book Antiqua" w:eastAsia="宋体 Italic" w:hAnsi="Book Antiqua" w:cs="Times New Roman"/>
          <w:spacing w:val="-2"/>
          <w:sz w:val="24"/>
          <w:szCs w:val="24"/>
          <w:lang w:val="en-GB"/>
        </w:rPr>
      </w:pPr>
      <w:r w:rsidRPr="001326F0">
        <w:rPr>
          <w:rFonts w:ascii="Book Antiqua" w:eastAsia="宋体 Italic" w:hAnsi="Book Antiqua" w:cs="Times New Roman"/>
          <w:b/>
          <w:sz w:val="24"/>
          <w:szCs w:val="24"/>
          <w:lang w:val="en-US"/>
        </w:rPr>
        <w:t>Fax:</w:t>
      </w:r>
      <w:r w:rsidR="00D66490" w:rsidRPr="001326F0">
        <w:rPr>
          <w:rFonts w:ascii="Book Antiqua" w:eastAsia="宋体 Italic" w:hAnsi="Book Antiqua" w:cs="Times New Roman"/>
          <w:spacing w:val="-2"/>
          <w:sz w:val="24"/>
          <w:szCs w:val="24"/>
          <w:lang w:val="en-GB"/>
        </w:rPr>
        <w:t xml:space="preserve"> +39-</w:t>
      </w:r>
      <w:r w:rsidRPr="001326F0">
        <w:rPr>
          <w:rFonts w:ascii="Book Antiqua" w:eastAsia="宋体 Italic" w:hAnsi="Book Antiqua" w:cs="Times New Roman"/>
          <w:spacing w:val="-2"/>
          <w:sz w:val="24"/>
          <w:szCs w:val="24"/>
          <w:lang w:val="en-GB"/>
        </w:rPr>
        <w:t xml:space="preserve">6-72596853 </w:t>
      </w:r>
    </w:p>
    <w:p w:rsidR="006322E3" w:rsidRPr="001326F0" w:rsidRDefault="006322E3" w:rsidP="00746C86">
      <w:pPr>
        <w:autoSpaceDE w:val="0"/>
        <w:autoSpaceDN w:val="0"/>
        <w:adjustRightInd w:val="0"/>
        <w:snapToGrid w:val="0"/>
        <w:spacing w:after="0" w:line="360" w:lineRule="auto"/>
        <w:jc w:val="both"/>
        <w:textAlignment w:val="center"/>
        <w:rPr>
          <w:rFonts w:ascii="Book Antiqua" w:eastAsia="宋体 Italic" w:hAnsi="Book Antiqua" w:cs="Times New Roman"/>
          <w:spacing w:val="-2"/>
          <w:sz w:val="24"/>
          <w:szCs w:val="24"/>
          <w:lang w:val="en-GB"/>
        </w:rPr>
      </w:pPr>
    </w:p>
    <w:p w:rsidR="00D66490" w:rsidRPr="001326F0" w:rsidRDefault="00D66490" w:rsidP="00D66490">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bookmarkStart w:id="161" w:name="OLE_LINK1346"/>
      <w:bookmarkStart w:id="162" w:name="OLE_LINK1347"/>
      <w:bookmarkStart w:id="163" w:name="OLE_LINK1461"/>
      <w:bookmarkStart w:id="164" w:name="OLE_LINK1437"/>
      <w:bookmarkStart w:id="165" w:name="OLE_LINK1493"/>
      <w:bookmarkStart w:id="166" w:name="OLE_LINK1436"/>
      <w:bookmarkStart w:id="167" w:name="OLE_LINK1584"/>
      <w:bookmarkStart w:id="168" w:name="OLE_LINK1426"/>
      <w:bookmarkStart w:id="169" w:name="OLE_LINK1470"/>
      <w:bookmarkStart w:id="170" w:name="OLE_LINK1726"/>
      <w:bookmarkStart w:id="171" w:name="OLE_LINK1773"/>
      <w:bookmarkStart w:id="172" w:name="OLE_LINK1819"/>
      <w:bookmarkStart w:id="173" w:name="OLE_LINK1886"/>
      <w:bookmarkStart w:id="174" w:name="OLE_LINK1800"/>
      <w:bookmarkStart w:id="175" w:name="OLE_LINK1718"/>
      <w:bookmarkStart w:id="176" w:name="OLE_LINK1832"/>
      <w:bookmarkStart w:id="177" w:name="OLE_LINK1895"/>
      <w:bookmarkStart w:id="178" w:name="OLE_LINK1973"/>
      <w:bookmarkStart w:id="179" w:name="OLE_LINK25"/>
      <w:bookmarkStart w:id="180" w:name="OLE_LINK29"/>
      <w:bookmarkStart w:id="181" w:name="OLE_LINK733"/>
      <w:bookmarkStart w:id="182" w:name="OLE_LINK2054"/>
      <w:bookmarkStart w:id="183" w:name="OLE_LINK2097"/>
      <w:bookmarkStart w:id="184" w:name="OLE_LINK2100"/>
      <w:bookmarkStart w:id="185" w:name="OLE_LINK2184"/>
      <w:bookmarkStart w:id="186" w:name="OLE_LINK767"/>
      <w:bookmarkStart w:id="187" w:name="OLE_LINK39"/>
      <w:bookmarkStart w:id="188" w:name="OLE_LINK42"/>
      <w:bookmarkStart w:id="189" w:name="OLE_LINK2412"/>
      <w:bookmarkStart w:id="190" w:name="OLE_LINK2447"/>
      <w:bookmarkStart w:id="191" w:name="OLE_LINK2378"/>
      <w:bookmarkStart w:id="192" w:name="OLE_LINK2510"/>
      <w:r w:rsidRPr="001326F0">
        <w:rPr>
          <w:rFonts w:ascii="Book Antiqua" w:eastAsia="SimSun" w:hAnsi="Book Antiqua" w:cs="Times New Roman"/>
          <w:b/>
          <w:bCs/>
          <w:kern w:val="2"/>
          <w:sz w:val="24"/>
          <w:szCs w:val="24"/>
          <w:lang w:val="en-US" w:eastAsia="zh-CN"/>
        </w:rPr>
        <w:t xml:space="preserve">Received: </w:t>
      </w:r>
      <w:r w:rsidR="0099746B" w:rsidRPr="001326F0">
        <w:rPr>
          <w:rFonts w:ascii="Book Antiqua" w:eastAsia="SimSun" w:hAnsi="Book Antiqua" w:cs="Times New Roman" w:hint="eastAsia"/>
          <w:bCs/>
          <w:kern w:val="2"/>
          <w:sz w:val="24"/>
          <w:szCs w:val="24"/>
          <w:lang w:val="en-US" w:eastAsia="zh-CN"/>
        </w:rPr>
        <w:t>May</w:t>
      </w:r>
      <w:r w:rsidRPr="001326F0">
        <w:rPr>
          <w:rFonts w:ascii="Book Antiqua" w:eastAsia="SimSun" w:hAnsi="Book Antiqua" w:cs="Times New Roman" w:hint="eastAsia"/>
          <w:bCs/>
          <w:kern w:val="2"/>
          <w:sz w:val="24"/>
          <w:szCs w:val="24"/>
          <w:lang w:val="en-US" w:eastAsia="zh-CN"/>
        </w:rPr>
        <w:t xml:space="preserve"> </w:t>
      </w:r>
      <w:r w:rsidR="0099746B" w:rsidRPr="001326F0">
        <w:rPr>
          <w:rFonts w:ascii="Book Antiqua" w:eastAsia="SimSun" w:hAnsi="Book Antiqua" w:cs="Times New Roman" w:hint="eastAsia"/>
          <w:bCs/>
          <w:kern w:val="2"/>
          <w:sz w:val="24"/>
          <w:szCs w:val="24"/>
          <w:lang w:val="en-US" w:eastAsia="zh-CN"/>
        </w:rPr>
        <w:t>28</w:t>
      </w:r>
      <w:r w:rsidRPr="001326F0">
        <w:rPr>
          <w:rFonts w:ascii="Book Antiqua" w:eastAsia="SimSun" w:hAnsi="Book Antiqua" w:cs="Times New Roman" w:hint="eastAsia"/>
          <w:bCs/>
          <w:kern w:val="2"/>
          <w:sz w:val="24"/>
          <w:szCs w:val="24"/>
          <w:lang w:val="en-US" w:eastAsia="zh-CN"/>
        </w:rPr>
        <w:t>, 2015</w:t>
      </w:r>
    </w:p>
    <w:p w:rsidR="00D66490" w:rsidRPr="001326F0" w:rsidRDefault="00D66490" w:rsidP="00D66490">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1326F0">
        <w:rPr>
          <w:rFonts w:ascii="Book Antiqua" w:eastAsia="SimSun" w:hAnsi="Book Antiqua" w:cs="Times New Roman"/>
          <w:b/>
          <w:bCs/>
          <w:kern w:val="2"/>
          <w:sz w:val="24"/>
          <w:szCs w:val="24"/>
          <w:lang w:val="en-US" w:eastAsia="zh-CN"/>
        </w:rPr>
        <w:t>Peer-review started:</w:t>
      </w:r>
      <w:r w:rsidRPr="001326F0">
        <w:rPr>
          <w:rFonts w:ascii="Book Antiqua" w:eastAsia="SimSun" w:hAnsi="Book Antiqua" w:cs="Times New Roman" w:hint="eastAsia"/>
          <w:bCs/>
          <w:kern w:val="2"/>
          <w:sz w:val="24"/>
          <w:szCs w:val="24"/>
          <w:lang w:val="en-US" w:eastAsia="zh-CN"/>
        </w:rPr>
        <w:t xml:space="preserve"> </w:t>
      </w:r>
      <w:r w:rsidR="0099746B" w:rsidRPr="001326F0">
        <w:rPr>
          <w:rFonts w:ascii="Book Antiqua" w:eastAsia="SimSun" w:hAnsi="Book Antiqua" w:cs="Times New Roman" w:hint="eastAsia"/>
          <w:bCs/>
          <w:kern w:val="2"/>
          <w:sz w:val="24"/>
          <w:szCs w:val="24"/>
          <w:lang w:val="en-US" w:eastAsia="zh-CN"/>
        </w:rPr>
        <w:t>June</w:t>
      </w:r>
      <w:r w:rsidRPr="001326F0">
        <w:rPr>
          <w:rFonts w:ascii="Book Antiqua" w:eastAsia="SimSun" w:hAnsi="Book Antiqua" w:cs="Times New Roman" w:hint="eastAsia"/>
          <w:bCs/>
          <w:kern w:val="2"/>
          <w:sz w:val="24"/>
          <w:szCs w:val="24"/>
          <w:lang w:val="en-US" w:eastAsia="zh-CN"/>
        </w:rPr>
        <w:t xml:space="preserve"> </w:t>
      </w:r>
      <w:r w:rsidR="0099746B" w:rsidRPr="001326F0">
        <w:rPr>
          <w:rFonts w:ascii="Book Antiqua" w:eastAsia="SimSun" w:hAnsi="Book Antiqua" w:cs="Times New Roman" w:hint="eastAsia"/>
          <w:bCs/>
          <w:kern w:val="2"/>
          <w:sz w:val="24"/>
          <w:szCs w:val="24"/>
          <w:lang w:val="en-US" w:eastAsia="zh-CN"/>
        </w:rPr>
        <w:t>1</w:t>
      </w:r>
      <w:r w:rsidRPr="001326F0">
        <w:rPr>
          <w:rFonts w:ascii="Book Antiqua" w:eastAsia="SimSun" w:hAnsi="Book Antiqua" w:cs="Times New Roman" w:hint="eastAsia"/>
          <w:bCs/>
          <w:kern w:val="2"/>
          <w:sz w:val="24"/>
          <w:szCs w:val="24"/>
          <w:lang w:val="en-US" w:eastAsia="zh-CN"/>
        </w:rPr>
        <w:t>, 2015</w:t>
      </w:r>
    </w:p>
    <w:p w:rsidR="00D66490" w:rsidRPr="001326F0" w:rsidRDefault="00D66490" w:rsidP="00D66490">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bookmarkStart w:id="193" w:name="OLE_LINK23"/>
      <w:bookmarkStart w:id="194" w:name="OLE_LINK24"/>
      <w:r w:rsidRPr="001326F0">
        <w:rPr>
          <w:rFonts w:ascii="Book Antiqua" w:eastAsia="SimSun" w:hAnsi="Book Antiqua" w:cs="Times New Roman"/>
          <w:b/>
          <w:bCs/>
          <w:kern w:val="2"/>
          <w:sz w:val="24"/>
          <w:szCs w:val="24"/>
          <w:lang w:val="en-US" w:eastAsia="zh-CN"/>
        </w:rPr>
        <w:t>First decision:</w:t>
      </w:r>
      <w:r w:rsidRPr="001326F0">
        <w:rPr>
          <w:rFonts w:ascii="Book Antiqua" w:eastAsia="SimSun" w:hAnsi="Book Antiqua" w:cs="Times New Roman" w:hint="eastAsia"/>
          <w:bCs/>
          <w:kern w:val="2"/>
          <w:sz w:val="24"/>
          <w:szCs w:val="24"/>
          <w:lang w:val="en-US" w:eastAsia="zh-CN"/>
        </w:rPr>
        <w:t xml:space="preserve"> </w:t>
      </w:r>
      <w:r w:rsidR="0099746B" w:rsidRPr="001326F0">
        <w:rPr>
          <w:rFonts w:ascii="Book Antiqua" w:eastAsia="SimSun" w:hAnsi="Book Antiqua" w:cs="Times New Roman" w:hint="eastAsia"/>
          <w:bCs/>
          <w:kern w:val="2"/>
          <w:sz w:val="24"/>
          <w:szCs w:val="24"/>
          <w:lang w:val="en-US" w:eastAsia="zh-CN"/>
        </w:rPr>
        <w:t>July</w:t>
      </w:r>
      <w:r w:rsidRPr="001326F0">
        <w:rPr>
          <w:rFonts w:ascii="Book Antiqua" w:eastAsia="SimSun" w:hAnsi="Book Antiqua" w:cs="Times New Roman" w:hint="eastAsia"/>
          <w:bCs/>
          <w:kern w:val="2"/>
          <w:sz w:val="24"/>
          <w:szCs w:val="24"/>
          <w:lang w:val="en-US" w:eastAsia="zh-CN"/>
        </w:rPr>
        <w:t xml:space="preserve"> </w:t>
      </w:r>
      <w:r w:rsidR="0099746B" w:rsidRPr="001326F0">
        <w:rPr>
          <w:rFonts w:ascii="Book Antiqua" w:eastAsia="SimSun" w:hAnsi="Book Antiqua" w:cs="Times New Roman" w:hint="eastAsia"/>
          <w:bCs/>
          <w:kern w:val="2"/>
          <w:sz w:val="24"/>
          <w:szCs w:val="24"/>
          <w:lang w:val="en-US" w:eastAsia="zh-CN"/>
        </w:rPr>
        <w:t>14</w:t>
      </w:r>
      <w:r w:rsidRPr="001326F0">
        <w:rPr>
          <w:rFonts w:ascii="Book Antiqua" w:eastAsia="SimSun" w:hAnsi="Book Antiqua" w:cs="Times New Roman" w:hint="eastAsia"/>
          <w:bCs/>
          <w:kern w:val="2"/>
          <w:sz w:val="24"/>
          <w:szCs w:val="24"/>
          <w:lang w:val="en-US" w:eastAsia="zh-CN"/>
        </w:rPr>
        <w:t>, 2015</w:t>
      </w:r>
    </w:p>
    <w:p w:rsidR="00D66490" w:rsidRPr="001326F0" w:rsidRDefault="00D66490" w:rsidP="00D66490">
      <w:pPr>
        <w:widowControl w:val="0"/>
        <w:adjustRightInd w:val="0"/>
        <w:snapToGrid w:val="0"/>
        <w:spacing w:after="0" w:line="360" w:lineRule="auto"/>
        <w:jc w:val="both"/>
        <w:rPr>
          <w:rFonts w:ascii="Book Antiqua" w:eastAsia="SimSun" w:hAnsi="Book Antiqua" w:cs="Times New Roman"/>
          <w:bCs/>
          <w:kern w:val="2"/>
          <w:sz w:val="24"/>
          <w:szCs w:val="24"/>
          <w:lang w:val="en-US" w:eastAsia="zh-CN"/>
        </w:rPr>
      </w:pPr>
      <w:r w:rsidRPr="001326F0">
        <w:rPr>
          <w:rFonts w:ascii="Book Antiqua" w:eastAsia="SimSun" w:hAnsi="Book Antiqua" w:cs="Times New Roman"/>
          <w:b/>
          <w:bCs/>
          <w:kern w:val="2"/>
          <w:sz w:val="24"/>
          <w:szCs w:val="24"/>
          <w:lang w:val="en-US" w:eastAsia="zh-CN"/>
        </w:rPr>
        <w:t>Revised:</w:t>
      </w:r>
      <w:r w:rsidRPr="001326F0">
        <w:rPr>
          <w:rFonts w:ascii="Book Antiqua" w:eastAsia="SimSun" w:hAnsi="Book Antiqua" w:cs="Times New Roman" w:hint="eastAsia"/>
          <w:bCs/>
          <w:kern w:val="2"/>
          <w:sz w:val="24"/>
          <w:szCs w:val="24"/>
          <w:lang w:val="en-US" w:eastAsia="zh-CN"/>
        </w:rPr>
        <w:t xml:space="preserve"> </w:t>
      </w:r>
      <w:r w:rsidR="0099746B" w:rsidRPr="001326F0">
        <w:rPr>
          <w:rFonts w:ascii="Book Antiqua" w:eastAsia="SimSun" w:hAnsi="Book Antiqua" w:cs="Times New Roman" w:hint="eastAsia"/>
          <w:bCs/>
          <w:kern w:val="2"/>
          <w:sz w:val="24"/>
          <w:szCs w:val="24"/>
          <w:lang w:val="en-US" w:eastAsia="zh-CN"/>
        </w:rPr>
        <w:t>October</w:t>
      </w:r>
      <w:r w:rsidRPr="001326F0">
        <w:rPr>
          <w:rFonts w:ascii="Book Antiqua" w:eastAsia="SimSun" w:hAnsi="Book Antiqua" w:cs="Times New Roman" w:hint="eastAsia"/>
          <w:bCs/>
          <w:kern w:val="2"/>
          <w:sz w:val="24"/>
          <w:szCs w:val="24"/>
          <w:lang w:val="en-US" w:eastAsia="zh-CN"/>
        </w:rPr>
        <w:t xml:space="preserve"> </w:t>
      </w:r>
      <w:r w:rsidR="0099746B" w:rsidRPr="001326F0">
        <w:rPr>
          <w:rFonts w:ascii="Book Antiqua" w:eastAsia="SimSun" w:hAnsi="Book Antiqua" w:cs="Times New Roman" w:hint="eastAsia"/>
          <w:bCs/>
          <w:kern w:val="2"/>
          <w:sz w:val="24"/>
          <w:szCs w:val="24"/>
          <w:lang w:val="en-US" w:eastAsia="zh-CN"/>
        </w:rPr>
        <w:t>5</w:t>
      </w:r>
      <w:r w:rsidRPr="001326F0">
        <w:rPr>
          <w:rFonts w:ascii="Book Antiqua" w:eastAsia="SimSun" w:hAnsi="Book Antiqua" w:cs="Times New Roman" w:hint="eastAsia"/>
          <w:bCs/>
          <w:kern w:val="2"/>
          <w:sz w:val="24"/>
          <w:szCs w:val="24"/>
          <w:lang w:val="en-US" w:eastAsia="zh-CN"/>
        </w:rPr>
        <w:t>, 2015</w:t>
      </w:r>
    </w:p>
    <w:p w:rsidR="00D66490" w:rsidRPr="00CE6FD3" w:rsidRDefault="00D66490" w:rsidP="00CE6FD3">
      <w:pPr>
        <w:spacing w:line="360" w:lineRule="auto"/>
        <w:rPr>
          <w:rFonts w:ascii="Book Antiqua" w:hAnsi="Book Antiqua"/>
          <w:color w:val="000000"/>
          <w:sz w:val="24"/>
        </w:rPr>
      </w:pPr>
      <w:r w:rsidRPr="001326F0">
        <w:rPr>
          <w:rFonts w:ascii="Book Antiqua" w:eastAsia="SimSun" w:hAnsi="Book Antiqua" w:cs="Times New Roman"/>
          <w:b/>
          <w:bCs/>
          <w:kern w:val="2"/>
          <w:sz w:val="24"/>
          <w:szCs w:val="24"/>
          <w:lang w:val="en-US" w:eastAsia="zh-CN"/>
        </w:rPr>
        <w:t>Accepted:</w:t>
      </w:r>
      <w:bookmarkStart w:id="195" w:name="OLE_LINK98"/>
      <w:bookmarkStart w:id="196" w:name="OLE_LINK99"/>
      <w:bookmarkStart w:id="197" w:name="OLE_LINK104"/>
      <w:bookmarkStart w:id="198" w:name="OLE_LINK110"/>
      <w:bookmarkStart w:id="199" w:name="OLE_LINK111"/>
      <w:bookmarkStart w:id="200" w:name="OLE_LINK115"/>
      <w:bookmarkStart w:id="201" w:name="OLE_LINK116"/>
      <w:bookmarkStart w:id="202" w:name="OLE_LINK117"/>
      <w:bookmarkStart w:id="203" w:name="OLE_LINK118"/>
      <w:bookmarkStart w:id="204" w:name="OLE_LINK119"/>
      <w:bookmarkStart w:id="205" w:name="OLE_LINK121"/>
      <w:bookmarkStart w:id="206" w:name="OLE_LINK122"/>
      <w:bookmarkStart w:id="207" w:name="OLE_LINK125"/>
      <w:bookmarkStart w:id="208" w:name="OLE_LINK126"/>
      <w:bookmarkStart w:id="209" w:name="OLE_LINK127"/>
      <w:bookmarkStart w:id="210" w:name="OLE_LINK129"/>
      <w:bookmarkStart w:id="211" w:name="OLE_LINK132"/>
      <w:bookmarkStart w:id="212" w:name="OLE_LINK134"/>
      <w:bookmarkStart w:id="213" w:name="OLE_LINK135"/>
      <w:bookmarkStart w:id="214" w:name="OLE_LINK136"/>
      <w:bookmarkStart w:id="215" w:name="OLE_LINK137"/>
      <w:bookmarkStart w:id="216" w:name="OLE_LINK138"/>
      <w:bookmarkStart w:id="217" w:name="OLE_LINK139"/>
      <w:bookmarkStart w:id="218" w:name="OLE_LINK141"/>
      <w:bookmarkStart w:id="219" w:name="OLE_LINK142"/>
      <w:bookmarkStart w:id="220" w:name="OLE_LINK143"/>
      <w:bookmarkStart w:id="221" w:name="OLE_LINK144"/>
      <w:bookmarkStart w:id="222" w:name="OLE_LINK145"/>
      <w:bookmarkStart w:id="223" w:name="OLE_LINK146"/>
      <w:r w:rsidR="00CE6FD3" w:rsidRPr="00CE6FD3">
        <w:rPr>
          <w:rFonts w:ascii="Book Antiqua" w:hAnsi="Book Antiqua"/>
          <w:color w:val="000000"/>
          <w:sz w:val="24"/>
        </w:rPr>
        <w:t xml:space="preserve"> </w:t>
      </w:r>
      <w:r w:rsidR="00CE6FD3">
        <w:rPr>
          <w:rFonts w:ascii="Book Antiqua" w:hAnsi="Book Antiqua"/>
          <w:color w:val="000000"/>
          <w:sz w:val="24"/>
        </w:rPr>
        <w:t>November 30, 2015</w:t>
      </w:r>
      <w:bookmarkStart w:id="224" w:name="_GoBack"/>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00D74C7F" w:rsidRPr="001326F0">
        <w:rPr>
          <w:rFonts w:ascii="Book Antiqua" w:eastAsia="SimSun" w:hAnsi="Book Antiqua" w:cs="Times New Roman"/>
          <w:b/>
          <w:bCs/>
          <w:kern w:val="2"/>
          <w:sz w:val="24"/>
          <w:szCs w:val="24"/>
          <w:lang w:val="en-US" w:eastAsia="zh-CN"/>
        </w:rPr>
        <w:t xml:space="preserve"> </w:t>
      </w:r>
    </w:p>
    <w:p w:rsidR="00D66490" w:rsidRPr="001326F0" w:rsidRDefault="00D66490" w:rsidP="00D66490">
      <w:pPr>
        <w:widowControl w:val="0"/>
        <w:adjustRightInd w:val="0"/>
        <w:snapToGrid w:val="0"/>
        <w:spacing w:after="0" w:line="360" w:lineRule="auto"/>
        <w:jc w:val="both"/>
        <w:rPr>
          <w:rFonts w:ascii="Book Antiqua" w:eastAsia="SimSun" w:hAnsi="Book Antiqua" w:cs="Times New Roman"/>
          <w:b/>
          <w:bCs/>
          <w:kern w:val="2"/>
          <w:sz w:val="24"/>
          <w:szCs w:val="24"/>
          <w:lang w:val="en-US" w:eastAsia="zh-CN"/>
        </w:rPr>
      </w:pPr>
      <w:r w:rsidRPr="001326F0">
        <w:rPr>
          <w:rFonts w:ascii="Book Antiqua" w:eastAsia="SimSun" w:hAnsi="Book Antiqua" w:cs="Times New Roman"/>
          <w:b/>
          <w:bCs/>
          <w:kern w:val="2"/>
          <w:sz w:val="24"/>
          <w:szCs w:val="24"/>
          <w:lang w:val="en-US" w:eastAsia="zh-CN"/>
        </w:rPr>
        <w:t>Article in press:</w:t>
      </w:r>
    </w:p>
    <w:p w:rsidR="006322E3" w:rsidRPr="001326F0" w:rsidRDefault="00D66490" w:rsidP="004976A4">
      <w:pPr>
        <w:widowControl w:val="0"/>
        <w:adjustRightInd w:val="0"/>
        <w:snapToGrid w:val="0"/>
        <w:spacing w:after="0" w:line="360" w:lineRule="auto"/>
        <w:jc w:val="both"/>
        <w:rPr>
          <w:rFonts w:ascii="Book Antiqua" w:eastAsia="宋体 Italic" w:hAnsi="Book Antiqua" w:cs="Times New Roman"/>
          <w:spacing w:val="-2"/>
          <w:sz w:val="24"/>
          <w:szCs w:val="24"/>
        </w:rPr>
      </w:pPr>
      <w:r w:rsidRPr="001326F0">
        <w:rPr>
          <w:rFonts w:ascii="Book Antiqua" w:eastAsia="SimSun" w:hAnsi="Book Antiqua" w:cs="Times New Roman"/>
          <w:b/>
          <w:bCs/>
          <w:kern w:val="2"/>
          <w:sz w:val="24"/>
          <w:szCs w:val="24"/>
          <w:lang w:val="en-US" w:eastAsia="zh-CN"/>
        </w:rPr>
        <w:t xml:space="preserve">Published online: </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99746B" w:rsidRPr="001326F0" w:rsidRDefault="0099746B">
      <w:pPr>
        <w:rPr>
          <w:rFonts w:ascii="Book Antiqua" w:hAnsi="Book Antiqua" w:cs="Times New Roman"/>
          <w:b/>
          <w:sz w:val="24"/>
          <w:szCs w:val="24"/>
          <w:lang w:val="en-US"/>
        </w:rPr>
      </w:pPr>
      <w:r w:rsidRPr="001326F0">
        <w:rPr>
          <w:rFonts w:ascii="Book Antiqua" w:hAnsi="Book Antiqua" w:cs="Times New Roman"/>
          <w:b/>
          <w:sz w:val="24"/>
          <w:szCs w:val="24"/>
          <w:lang w:val="en-US"/>
        </w:rPr>
        <w:br w:type="page"/>
      </w:r>
    </w:p>
    <w:p w:rsidR="006322E3" w:rsidRPr="001326F0" w:rsidRDefault="006322E3" w:rsidP="00746C86">
      <w:pPr>
        <w:adjustRightInd w:val="0"/>
        <w:snapToGrid w:val="0"/>
        <w:spacing w:after="0" w:line="360" w:lineRule="auto"/>
        <w:jc w:val="both"/>
        <w:rPr>
          <w:rFonts w:ascii="Book Antiqua" w:hAnsi="Book Antiqua" w:cs="Times New Roman"/>
          <w:b/>
          <w:bCs/>
          <w:sz w:val="24"/>
          <w:szCs w:val="24"/>
          <w:lang w:val="en-US"/>
        </w:rPr>
      </w:pPr>
      <w:r w:rsidRPr="001326F0">
        <w:rPr>
          <w:rFonts w:ascii="Book Antiqua" w:hAnsi="Book Antiqua" w:cs="Times New Roman"/>
          <w:b/>
          <w:sz w:val="24"/>
          <w:szCs w:val="24"/>
          <w:lang w:val="en-US"/>
        </w:rPr>
        <w:lastRenderedPageBreak/>
        <w:t>Abstract</w:t>
      </w:r>
    </w:p>
    <w:p w:rsidR="006322E3" w:rsidRPr="001326F0" w:rsidRDefault="006322E3" w:rsidP="00746C86">
      <w:pPr>
        <w:widowControl w:val="0"/>
        <w:autoSpaceDE w:val="0"/>
        <w:autoSpaceDN w:val="0"/>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Obesity plays relevant pathophysiological role in the development of health problems, arising as result of complex interaction of genetic, nutritional, and metabolic factors. Due to the role of adipose tissue in lipid and glucose metabolism, and low grade inflammation, it is necessary to classify obesity on the basis of body fat composition and distribution, rather than the</w:t>
      </w:r>
      <w:r w:rsidR="006D7C70" w:rsidRPr="001326F0">
        <w:rPr>
          <w:rFonts w:ascii="Book Antiqua" w:hAnsi="Book Antiqua" w:cs="Times New Roman"/>
          <w:sz w:val="24"/>
          <w:szCs w:val="24"/>
          <w:lang w:val="en-US"/>
        </w:rPr>
        <w:t xml:space="preserve"> simply</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increase of</w:t>
      </w:r>
      <w:r w:rsidR="006D7C70" w:rsidRPr="001326F0">
        <w:rPr>
          <w:rFonts w:ascii="Book Antiqua" w:hAnsi="Book Antiqua" w:cs="Times New Roman"/>
          <w:sz w:val="24"/>
          <w:szCs w:val="24"/>
          <w:lang w:val="en-US"/>
        </w:rPr>
        <w:t xml:space="preserve"> body</w:t>
      </w:r>
      <w:r w:rsidRPr="001326F0">
        <w:rPr>
          <w:rFonts w:ascii="Book Antiqua" w:hAnsi="Book Antiqua" w:cs="Times New Roman"/>
          <w:sz w:val="24"/>
          <w:szCs w:val="24"/>
          <w:lang w:val="en-US"/>
        </w:rPr>
        <w:t xml:space="preserve"> weight, and the Body Mass Index. The new term of adiposopathy (‘‘sick fat’’) clearly defines the pathogenic role of adipose tissue. Four phenotypes of obese individuals have been described</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 </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1) normal weight obese;</w:t>
      </w:r>
      <w:r w:rsidR="008D6D7F" w:rsidRPr="001326F0">
        <w:rPr>
          <w:rFonts w:ascii="Book Antiqua" w:hAnsi="Book Antiqua" w:cs="Times New Roman"/>
          <w:sz w:val="24"/>
          <w:szCs w:val="24"/>
          <w:lang w:val="en-US"/>
        </w:rPr>
        <w:t xml:space="preserve"> </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2)</w:t>
      </w:r>
      <w:r w:rsidR="008D6D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 xml:space="preserve">metabolically obese normal weight; </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3) metabolically healthy obese; </w:t>
      </w:r>
      <w:r w:rsidR="0099746B" w:rsidRPr="001326F0">
        <w:rPr>
          <w:rFonts w:ascii="Book Antiqua" w:hAnsi="Book Antiqua" w:cs="Times New Roman" w:hint="eastAsia"/>
          <w:sz w:val="24"/>
          <w:szCs w:val="24"/>
          <w:lang w:val="en-US" w:eastAsia="zh-CN"/>
        </w:rPr>
        <w:t>and (</w:t>
      </w:r>
      <w:r w:rsidRPr="001326F0">
        <w:rPr>
          <w:rFonts w:ascii="Book Antiqua" w:hAnsi="Book Antiqua" w:cs="Times New Roman"/>
          <w:sz w:val="24"/>
          <w:szCs w:val="24"/>
          <w:lang w:val="en-US"/>
        </w:rPr>
        <w:t xml:space="preserve">4) </w:t>
      </w:r>
      <w:r w:rsidR="00B11A98" w:rsidRPr="001326F0">
        <w:rPr>
          <w:rFonts w:ascii="Book Antiqua" w:hAnsi="Book Antiqua" w:cs="Times New Roman"/>
          <w:sz w:val="24"/>
          <w:szCs w:val="24"/>
          <w:lang w:val="en-US"/>
        </w:rPr>
        <w:t>metabolically unhealthy obese or “at risk” obese</w:t>
      </w:r>
      <w:r w:rsidRPr="001326F0">
        <w:rPr>
          <w:rFonts w:ascii="Book Antiqua" w:hAnsi="Book Antiqua" w:cs="Times New Roman"/>
          <w:sz w:val="24"/>
          <w:szCs w:val="24"/>
          <w:lang w:val="en-US"/>
        </w:rPr>
        <w:t xml:space="preserve">. Moreover, sarcopenic obesity has been related to all the phenotypes. The category of </w:t>
      </w:r>
      <w:r w:rsidR="00403CF5" w:rsidRPr="001326F0">
        <w:rPr>
          <w:rFonts w:ascii="Book Antiqua" w:hAnsi="Book Antiqua" w:cs="Times New Roman"/>
          <w:sz w:val="24"/>
          <w:szCs w:val="24"/>
          <w:lang w:val="en-US"/>
        </w:rPr>
        <w:t xml:space="preserve">normal weight lean, represented by </w:t>
      </w:r>
      <w:r w:rsidRPr="001326F0">
        <w:rPr>
          <w:rFonts w:ascii="Book Antiqua" w:hAnsi="Book Antiqua" w:cs="Times New Roman"/>
          <w:sz w:val="24"/>
          <w:szCs w:val="24"/>
          <w:lang w:val="en-US"/>
        </w:rPr>
        <w:t>metabolically healthy normal weight</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has been classified to d</w:t>
      </w:r>
      <w:r w:rsidR="0099746B" w:rsidRPr="001326F0">
        <w:rPr>
          <w:rFonts w:ascii="Book Antiqua" w:hAnsi="Book Antiqua" w:cs="Times New Roman"/>
          <w:sz w:val="24"/>
          <w:szCs w:val="24"/>
          <w:lang w:val="en-US"/>
        </w:rPr>
        <w:t>istinguish from normal weight obese.</w:t>
      </w:r>
      <w:r w:rsidR="0099746B"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GB"/>
        </w:rPr>
        <w:t>It is crucial to recommend a bariatric surgery taking into acc</w:t>
      </w:r>
      <w:r w:rsidR="00722FC1" w:rsidRPr="001326F0">
        <w:rPr>
          <w:rFonts w:ascii="Book Antiqua" w:hAnsi="Book Antiqua" w:cs="Times New Roman"/>
          <w:sz w:val="24"/>
          <w:szCs w:val="24"/>
          <w:lang w:val="en-GB"/>
        </w:rPr>
        <w:t xml:space="preserve">ount adiposopathy and sick fat </w:t>
      </w:r>
      <w:r w:rsidRPr="001326F0">
        <w:rPr>
          <w:rFonts w:ascii="Book Antiqua" w:hAnsi="Book Antiqua" w:cs="Times New Roman"/>
          <w:sz w:val="24"/>
          <w:szCs w:val="24"/>
          <w:lang w:val="en-GB"/>
        </w:rPr>
        <w:t xml:space="preserve">that occurs with the expansion of fat mass, changing the inflammatory and metabolic profile of the patient. </w:t>
      </w:r>
      <w:r w:rsidR="00E35155" w:rsidRPr="001326F0">
        <w:rPr>
          <w:rFonts w:ascii="Book Antiqua" w:hAnsi="Book Antiqua" w:cs="Times New Roman"/>
          <w:sz w:val="24"/>
          <w:szCs w:val="24"/>
          <w:lang w:val="en-US"/>
        </w:rPr>
        <w:t>Body fat percentage</w:t>
      </w:r>
      <w:r w:rsidRPr="001326F0">
        <w:rPr>
          <w:rFonts w:ascii="Book Antiqua" w:hAnsi="Book Antiqua" w:cs="Times New Roman"/>
          <w:sz w:val="24"/>
          <w:szCs w:val="24"/>
          <w:lang w:val="en-US"/>
        </w:rPr>
        <w:t xml:space="preserve"> and genetic polymorphism have to be evaluated to personalize the best bariatric surgery intervention.</w:t>
      </w:r>
    </w:p>
    <w:p w:rsidR="006322E3" w:rsidRPr="001326F0" w:rsidRDefault="006322E3" w:rsidP="00746C86">
      <w:pPr>
        <w:adjustRightInd w:val="0"/>
        <w:snapToGrid w:val="0"/>
        <w:spacing w:after="0" w:line="360" w:lineRule="auto"/>
        <w:jc w:val="both"/>
        <w:rPr>
          <w:rFonts w:ascii="Book Antiqua" w:hAnsi="Book Antiqua" w:cs="Times New Roman"/>
          <w:b/>
          <w:sz w:val="24"/>
          <w:szCs w:val="24"/>
          <w:lang w:val="en-US"/>
        </w:rPr>
      </w:pPr>
    </w:p>
    <w:p w:rsidR="006322E3" w:rsidRPr="001326F0" w:rsidRDefault="006322E3" w:rsidP="00746C86">
      <w:pPr>
        <w:adjustRightInd w:val="0"/>
        <w:snapToGrid w:val="0"/>
        <w:spacing w:after="0" w:line="360" w:lineRule="auto"/>
        <w:jc w:val="both"/>
        <w:rPr>
          <w:rFonts w:ascii="Book Antiqua" w:hAnsi="Book Antiqua" w:cs="Times New Roman"/>
          <w:b/>
          <w:sz w:val="24"/>
          <w:szCs w:val="24"/>
          <w:lang w:val="en-US"/>
        </w:rPr>
      </w:pPr>
      <w:r w:rsidRPr="001326F0">
        <w:rPr>
          <w:rFonts w:ascii="Book Antiqua" w:hAnsi="Book Antiqua" w:cs="Times New Roman"/>
          <w:b/>
          <w:sz w:val="24"/>
          <w:szCs w:val="24"/>
          <w:lang w:val="en-US"/>
        </w:rPr>
        <w:t xml:space="preserve">Key words: </w:t>
      </w:r>
      <w:bookmarkStart w:id="225" w:name="OLE_LINK2565"/>
      <w:bookmarkStart w:id="226" w:name="OLE_LINK2566"/>
      <w:r w:rsidRPr="001326F0">
        <w:rPr>
          <w:rFonts w:ascii="Book Antiqua" w:hAnsi="Book Antiqua" w:cs="Times New Roman"/>
          <w:sz w:val="24"/>
          <w:szCs w:val="24"/>
          <w:lang w:val="en-US"/>
        </w:rPr>
        <w:t>Obesity</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 Adiposopathy</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 </w:t>
      </w:r>
      <w:r w:rsidR="00403CF5" w:rsidRPr="001326F0">
        <w:rPr>
          <w:rFonts w:ascii="Book Antiqua" w:hAnsi="Book Antiqua" w:cs="Times New Roman"/>
          <w:sz w:val="24"/>
          <w:szCs w:val="24"/>
          <w:lang w:val="en-US"/>
        </w:rPr>
        <w:t>N</w:t>
      </w:r>
      <w:r w:rsidR="008F7E7A" w:rsidRPr="001326F0">
        <w:rPr>
          <w:rFonts w:ascii="Book Antiqua" w:hAnsi="Book Antiqua" w:cs="Times New Roman"/>
          <w:sz w:val="24"/>
          <w:szCs w:val="24"/>
          <w:lang w:val="en-US"/>
        </w:rPr>
        <w:t xml:space="preserve">ormal </w:t>
      </w:r>
      <w:r w:rsidR="0099746B" w:rsidRPr="001326F0">
        <w:rPr>
          <w:rFonts w:ascii="Book Antiqua" w:hAnsi="Book Antiqua" w:cs="Times New Roman"/>
          <w:sz w:val="24"/>
          <w:szCs w:val="24"/>
          <w:lang w:val="en-US"/>
        </w:rPr>
        <w:t>weight lean</w:t>
      </w:r>
      <w:r w:rsidR="0099746B" w:rsidRPr="001326F0">
        <w:rPr>
          <w:rFonts w:ascii="Book Antiqua" w:hAnsi="Book Antiqua" w:cs="Times New Roman"/>
          <w:sz w:val="24"/>
          <w:szCs w:val="24"/>
          <w:lang w:val="en-US" w:eastAsia="zh-CN"/>
        </w:rPr>
        <w:t>;</w:t>
      </w:r>
      <w:r w:rsidR="00403CF5"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N</w:t>
      </w:r>
      <w:r w:rsidR="008F7E7A" w:rsidRPr="001326F0">
        <w:rPr>
          <w:rFonts w:ascii="Book Antiqua" w:hAnsi="Book Antiqua" w:cs="Times New Roman"/>
          <w:sz w:val="24"/>
          <w:szCs w:val="24"/>
          <w:lang w:val="en-US"/>
        </w:rPr>
        <w:t xml:space="preserve">ormal </w:t>
      </w:r>
      <w:r w:rsidR="0099746B" w:rsidRPr="001326F0">
        <w:rPr>
          <w:rFonts w:ascii="Book Antiqua" w:hAnsi="Book Antiqua" w:cs="Times New Roman"/>
          <w:sz w:val="24"/>
          <w:szCs w:val="24"/>
          <w:lang w:val="en-US"/>
        </w:rPr>
        <w:t>weight obese</w:t>
      </w:r>
      <w:r w:rsidR="0099746B" w:rsidRPr="001326F0">
        <w:rPr>
          <w:rFonts w:ascii="Book Antiqua" w:hAnsi="Book Antiqua" w:cs="Times New Roman"/>
          <w:sz w:val="24"/>
          <w:szCs w:val="24"/>
          <w:lang w:val="en-US" w:eastAsia="zh-CN"/>
        </w:rPr>
        <w:t>;</w:t>
      </w:r>
      <w:r w:rsidRPr="001326F0">
        <w:rPr>
          <w:rFonts w:ascii="Book Antiqua" w:hAnsi="Book Antiqua" w:cs="Times New Roman"/>
          <w:sz w:val="24"/>
          <w:szCs w:val="24"/>
          <w:lang w:val="en-US"/>
        </w:rPr>
        <w:t xml:space="preserve"> M</w:t>
      </w:r>
      <w:r w:rsidR="008F7E7A" w:rsidRPr="001326F0">
        <w:rPr>
          <w:rFonts w:ascii="Book Antiqua" w:hAnsi="Book Antiqua" w:cs="Times New Roman"/>
          <w:sz w:val="24"/>
          <w:szCs w:val="24"/>
          <w:lang w:val="en-US"/>
        </w:rPr>
        <w:t>etabolically</w:t>
      </w:r>
      <w:r w:rsidR="0099746B" w:rsidRPr="001326F0">
        <w:rPr>
          <w:rFonts w:ascii="Book Antiqua" w:hAnsi="Book Antiqua" w:cs="Times New Roman"/>
          <w:sz w:val="24"/>
          <w:szCs w:val="24"/>
          <w:lang w:val="en-US"/>
        </w:rPr>
        <w:t xml:space="preserve"> obese normal weight</w:t>
      </w:r>
      <w:r w:rsidR="0099746B" w:rsidRPr="001326F0">
        <w:rPr>
          <w:rFonts w:ascii="Book Antiqua" w:hAnsi="Book Antiqua" w:cs="Times New Roman"/>
          <w:sz w:val="24"/>
          <w:szCs w:val="24"/>
          <w:lang w:val="en-US" w:eastAsia="zh-CN"/>
        </w:rPr>
        <w:t>;</w:t>
      </w:r>
      <w:r w:rsidR="0099746B" w:rsidRPr="001326F0">
        <w:rPr>
          <w:rFonts w:ascii="Book Antiqua" w:hAnsi="Book Antiqua" w:cs="Times New Roman" w:hint="eastAsia"/>
          <w:sz w:val="24"/>
          <w:szCs w:val="24"/>
          <w:lang w:val="en-US" w:eastAsia="zh-CN"/>
        </w:rPr>
        <w:t xml:space="preserve"> </w:t>
      </w:r>
      <w:r w:rsidR="008F7E7A" w:rsidRPr="001326F0">
        <w:rPr>
          <w:rFonts w:ascii="Book Antiqua" w:hAnsi="Book Antiqua" w:cs="Times New Roman"/>
          <w:sz w:val="24"/>
          <w:szCs w:val="24"/>
          <w:lang w:val="en-US"/>
        </w:rPr>
        <w:t xml:space="preserve">Metabolically </w:t>
      </w:r>
      <w:r w:rsidR="0099746B" w:rsidRPr="001326F0">
        <w:rPr>
          <w:rFonts w:ascii="Book Antiqua" w:hAnsi="Book Antiqua" w:cs="Times New Roman"/>
          <w:sz w:val="24"/>
          <w:szCs w:val="24"/>
          <w:lang w:val="en-US"/>
        </w:rPr>
        <w:t>healthy obese</w:t>
      </w:r>
      <w:r w:rsidR="0099746B" w:rsidRPr="001326F0">
        <w:rPr>
          <w:rFonts w:ascii="Book Antiqua" w:hAnsi="Book Antiqua" w:cs="Times New Roman"/>
          <w:sz w:val="24"/>
          <w:szCs w:val="24"/>
          <w:lang w:val="en-US" w:eastAsia="zh-CN"/>
        </w:rPr>
        <w:t>;</w:t>
      </w:r>
      <w:r w:rsidR="0099746B" w:rsidRPr="001326F0">
        <w:rPr>
          <w:rFonts w:ascii="Book Antiqua" w:hAnsi="Book Antiqua" w:cs="Times New Roman"/>
          <w:sz w:val="24"/>
          <w:szCs w:val="24"/>
          <w:lang w:val="en-US"/>
        </w:rPr>
        <w:t xml:space="preserve"> </w:t>
      </w:r>
      <w:r w:rsidR="008F7E7A" w:rsidRPr="001326F0">
        <w:rPr>
          <w:rFonts w:ascii="Book Antiqua" w:hAnsi="Book Antiqua" w:cs="Times New Roman"/>
          <w:sz w:val="24"/>
          <w:szCs w:val="24"/>
          <w:lang w:val="en-US"/>
        </w:rPr>
        <w:t>Metabolically</w:t>
      </w:r>
      <w:r w:rsidR="0099746B" w:rsidRPr="001326F0">
        <w:rPr>
          <w:rFonts w:ascii="Book Antiqua" w:hAnsi="Book Antiqua" w:cs="Times New Roman"/>
          <w:sz w:val="24"/>
          <w:szCs w:val="24"/>
          <w:lang w:val="en-US"/>
        </w:rPr>
        <w:t xml:space="preserve"> healthy normal weight</w:t>
      </w:r>
      <w:r w:rsidR="0099746B" w:rsidRPr="001326F0">
        <w:rPr>
          <w:rFonts w:ascii="Book Antiqua" w:hAnsi="Book Antiqua" w:cs="Times New Roman"/>
          <w:sz w:val="24"/>
          <w:szCs w:val="24"/>
          <w:lang w:val="en-US" w:eastAsia="zh-CN"/>
        </w:rPr>
        <w:t>;</w:t>
      </w:r>
      <w:r w:rsidR="0099746B" w:rsidRPr="001326F0">
        <w:rPr>
          <w:rFonts w:ascii="Book Antiqua" w:hAnsi="Book Antiqua" w:cs="Times New Roman"/>
          <w:sz w:val="24"/>
          <w:szCs w:val="24"/>
          <w:lang w:val="en-US"/>
        </w:rPr>
        <w:t xml:space="preserve"> </w:t>
      </w:r>
      <w:r w:rsidR="00773EA5" w:rsidRPr="001326F0">
        <w:rPr>
          <w:rFonts w:ascii="Book Antiqua" w:hAnsi="Book Antiqua" w:cs="Times New Roman"/>
          <w:sz w:val="24"/>
          <w:szCs w:val="24"/>
          <w:lang w:val="en-US"/>
        </w:rPr>
        <w:t xml:space="preserve">Metabolically </w:t>
      </w:r>
      <w:r w:rsidR="0099746B" w:rsidRPr="001326F0">
        <w:rPr>
          <w:rFonts w:ascii="Book Antiqua" w:hAnsi="Book Antiqua" w:cs="Times New Roman"/>
          <w:sz w:val="24"/>
          <w:szCs w:val="24"/>
          <w:lang w:val="en-US"/>
        </w:rPr>
        <w:t>unhealthy obese</w:t>
      </w:r>
      <w:r w:rsidR="0099746B" w:rsidRPr="001326F0">
        <w:rPr>
          <w:rFonts w:ascii="Book Antiqua" w:hAnsi="Book Antiqua" w:cs="Times New Roman"/>
          <w:sz w:val="24"/>
          <w:szCs w:val="24"/>
          <w:lang w:val="en-US" w:eastAsia="zh-CN"/>
        </w:rPr>
        <w:t>;</w:t>
      </w:r>
      <w:r w:rsidR="0099746B"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Laparoscopic gastric banding</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 Fat </w:t>
      </w:r>
      <w:r w:rsidR="0099746B" w:rsidRPr="001326F0">
        <w:rPr>
          <w:rFonts w:ascii="Book Antiqua" w:hAnsi="Book Antiqua" w:cs="Times New Roman"/>
          <w:sz w:val="24"/>
          <w:szCs w:val="24"/>
          <w:lang w:val="en-US"/>
        </w:rPr>
        <w:t>mass</w:t>
      </w:r>
    </w:p>
    <w:bookmarkEnd w:id="225"/>
    <w:bookmarkEnd w:id="226"/>
    <w:p w:rsidR="006322E3" w:rsidRPr="001326F0" w:rsidRDefault="006322E3" w:rsidP="00746C86">
      <w:pPr>
        <w:adjustRightInd w:val="0"/>
        <w:snapToGrid w:val="0"/>
        <w:spacing w:after="0" w:line="360" w:lineRule="auto"/>
        <w:jc w:val="both"/>
        <w:rPr>
          <w:rFonts w:ascii="Book Antiqua" w:hAnsi="Book Antiqua" w:cs="Times New Roman"/>
          <w:b/>
          <w:sz w:val="24"/>
          <w:szCs w:val="24"/>
          <w:lang w:val="en-US" w:eastAsia="zh-CN"/>
        </w:rPr>
      </w:pPr>
    </w:p>
    <w:p w:rsidR="0099746B" w:rsidRPr="001326F0" w:rsidRDefault="0099746B" w:rsidP="0099746B">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bookmarkStart w:id="227" w:name="OLE_LINK363"/>
      <w:bookmarkStart w:id="228" w:name="OLE_LINK364"/>
      <w:bookmarkStart w:id="229" w:name="OLE_LINK359"/>
      <w:bookmarkStart w:id="230" w:name="OLE_LINK2"/>
      <w:bookmarkStart w:id="231" w:name="OLE_LINK1037"/>
      <w:bookmarkStart w:id="232" w:name="OLE_LINK1195"/>
      <w:bookmarkStart w:id="233" w:name="OLE_LINK1140"/>
      <w:bookmarkStart w:id="234" w:name="OLE_LINK1062"/>
      <w:bookmarkStart w:id="235" w:name="OLE_LINK1327"/>
      <w:bookmarkStart w:id="236" w:name="OLE_LINK1174"/>
      <w:bookmarkStart w:id="237" w:name="OLE_LINK1348"/>
      <w:bookmarkStart w:id="238" w:name="OLE_LINK1519"/>
      <w:bookmarkStart w:id="239" w:name="OLE_LINK1571"/>
      <w:bookmarkStart w:id="240" w:name="OLE_LINK1666"/>
      <w:bookmarkStart w:id="241" w:name="OLE_LINK11"/>
      <w:bookmarkStart w:id="242" w:name="OLE_LINK1438"/>
      <w:bookmarkStart w:id="243" w:name="OLE_LINK1375"/>
      <w:bookmarkStart w:id="244" w:name="OLE_LINK1429"/>
      <w:bookmarkStart w:id="245" w:name="OLE_LINK1497"/>
      <w:bookmarkStart w:id="246" w:name="OLE_LINK1581"/>
      <w:bookmarkStart w:id="247" w:name="OLE_LINK1356"/>
      <w:bookmarkStart w:id="248" w:name="OLE_LINK1469"/>
      <w:bookmarkStart w:id="249" w:name="OLE_LINK1546"/>
      <w:bookmarkStart w:id="250" w:name="OLE_LINK1694"/>
      <w:bookmarkStart w:id="251" w:name="OLE_LINK1727"/>
      <w:bookmarkStart w:id="252" w:name="OLE_LINK1797"/>
      <w:bookmarkStart w:id="253" w:name="OLE_LINK1887"/>
      <w:bookmarkStart w:id="254" w:name="OLE_LINK1975"/>
      <w:bookmarkStart w:id="255" w:name="OLE_LINK2186"/>
      <w:bookmarkStart w:id="256" w:name="OLE_LINK768"/>
      <w:bookmarkStart w:id="257" w:name="OLE_LINK2332"/>
      <w:bookmarkStart w:id="258" w:name="OLE_LINK2353"/>
      <w:bookmarkStart w:id="259" w:name="OLE_LINK2448"/>
      <w:bookmarkStart w:id="260" w:name="OLE_LINK2467"/>
      <w:bookmarkStart w:id="261" w:name="OLE_LINK2563"/>
      <w:bookmarkStart w:id="262" w:name="OLE_LINK2608"/>
      <w:r w:rsidRPr="001326F0">
        <w:rPr>
          <w:rFonts w:ascii="Book Antiqua" w:eastAsia="SimSun" w:hAnsi="Book Antiqua" w:cs="Times New Roman" w:hint="eastAsia"/>
          <w:b/>
          <w:kern w:val="2"/>
          <w:sz w:val="24"/>
          <w:szCs w:val="24"/>
          <w:lang w:val="en-US" w:eastAsia="zh-CN"/>
        </w:rPr>
        <w:t>©</w:t>
      </w:r>
      <w:r w:rsidRPr="001326F0">
        <w:rPr>
          <w:rFonts w:ascii="Book Antiqua" w:eastAsia="SimSun" w:hAnsi="Book Antiqua" w:cs="Times New Roman"/>
          <w:b/>
          <w:kern w:val="2"/>
          <w:sz w:val="24"/>
          <w:szCs w:val="24"/>
          <w:lang w:val="en-US" w:eastAsia="zh-CN"/>
        </w:rPr>
        <w:t xml:space="preserve"> The Author(s) 2015. </w:t>
      </w:r>
      <w:r w:rsidRPr="001326F0">
        <w:rPr>
          <w:rFonts w:ascii="Book Antiqua" w:eastAsia="SimSun" w:hAnsi="Book Antiqua" w:cs="Times New Roman"/>
          <w:kern w:val="2"/>
          <w:sz w:val="24"/>
          <w:szCs w:val="24"/>
          <w:lang w:val="en-US" w:eastAsia="zh-CN"/>
        </w:rPr>
        <w:t>Published by Baishideng Publishing Group Inc. All rights reserved.</w:t>
      </w:r>
    </w:p>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rsidR="0099746B" w:rsidRPr="001326F0" w:rsidRDefault="0099746B" w:rsidP="00746C86">
      <w:pPr>
        <w:adjustRightInd w:val="0"/>
        <w:snapToGrid w:val="0"/>
        <w:spacing w:after="0" w:line="360" w:lineRule="auto"/>
        <w:jc w:val="both"/>
        <w:rPr>
          <w:rFonts w:ascii="Book Antiqua" w:hAnsi="Book Antiqua" w:cs="Times New Roman"/>
          <w:b/>
          <w:sz w:val="24"/>
          <w:szCs w:val="24"/>
          <w:lang w:val="en-US" w:eastAsia="zh-CN"/>
        </w:rPr>
      </w:pPr>
    </w:p>
    <w:p w:rsidR="006322E3" w:rsidRPr="001326F0" w:rsidRDefault="006322E3" w:rsidP="0099746B">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b/>
          <w:sz w:val="24"/>
          <w:szCs w:val="24"/>
          <w:lang w:val="en-US"/>
        </w:rPr>
        <w:t>Core tip:</w:t>
      </w:r>
      <w:r w:rsidR="0099746B" w:rsidRPr="001326F0">
        <w:rPr>
          <w:rFonts w:ascii="Book Antiqua" w:hAnsi="Book Antiqua" w:cs="Times New Roman"/>
          <w:sz w:val="24"/>
          <w:szCs w:val="24"/>
          <w:lang w:val="en-US"/>
        </w:rPr>
        <w:t xml:space="preserve"> </w:t>
      </w:r>
      <w:bookmarkStart w:id="263" w:name="OLE_LINK2567"/>
      <w:bookmarkStart w:id="264" w:name="OLE_LINK2568"/>
      <w:r w:rsidRPr="001326F0">
        <w:rPr>
          <w:rFonts w:ascii="Book Antiqua" w:hAnsi="Book Antiqua" w:cs="Times New Roman"/>
          <w:sz w:val="24"/>
          <w:szCs w:val="24"/>
          <w:lang w:val="en-US"/>
        </w:rPr>
        <w:t xml:space="preserve">Obesity is a global public health problem due to its association with several diseases and reduced lifespan, as result of complex interaction of genetic, nutritional, and metabolic factors. The term of adiposopathy clearly </w:t>
      </w:r>
      <w:r w:rsidRPr="001326F0">
        <w:rPr>
          <w:rFonts w:ascii="Book Antiqua" w:hAnsi="Book Antiqua" w:cs="Times New Roman"/>
          <w:sz w:val="24"/>
          <w:szCs w:val="24"/>
          <w:lang w:val="en-US"/>
        </w:rPr>
        <w:lastRenderedPageBreak/>
        <w:t xml:space="preserve">defines the pathogenic role of adipose tissue. Four phenotypes of obesity have been described, based on body fat composition and distribution: </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1) normal weight obese; </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2) metabolically obese normal weight; </w:t>
      </w:r>
      <w:r w:rsidR="0099746B"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3) metabolically healthy obese; </w:t>
      </w:r>
      <w:r w:rsidR="0099746B" w:rsidRPr="001326F0">
        <w:rPr>
          <w:rFonts w:ascii="Book Antiqua" w:hAnsi="Book Antiqua" w:cs="Times New Roman" w:hint="eastAsia"/>
          <w:sz w:val="24"/>
          <w:szCs w:val="24"/>
          <w:lang w:val="en-US" w:eastAsia="zh-CN"/>
        </w:rPr>
        <w:t>and (</w:t>
      </w:r>
      <w:r w:rsidRPr="001326F0">
        <w:rPr>
          <w:rFonts w:ascii="Book Antiqua" w:hAnsi="Book Antiqua" w:cs="Times New Roman"/>
          <w:sz w:val="24"/>
          <w:szCs w:val="24"/>
          <w:lang w:val="en-US"/>
        </w:rPr>
        <w:t xml:space="preserve">4) </w:t>
      </w:r>
      <w:r w:rsidR="00B11A98" w:rsidRPr="001326F0">
        <w:rPr>
          <w:rFonts w:ascii="Book Antiqua" w:hAnsi="Book Antiqua" w:cs="Times New Roman"/>
          <w:sz w:val="24"/>
          <w:szCs w:val="24"/>
          <w:lang w:val="en-US"/>
        </w:rPr>
        <w:t>metabolically unhealthy obese</w:t>
      </w:r>
      <w:r w:rsidRPr="001326F0">
        <w:rPr>
          <w:rFonts w:ascii="Book Antiqua" w:hAnsi="Book Antiqua" w:cs="Times New Roman"/>
          <w:sz w:val="24"/>
          <w:szCs w:val="24"/>
          <w:lang w:val="en-US"/>
        </w:rPr>
        <w:t>. Sarcopenic obesity has been characterized, related to all the described phenotypes. Body fat percentage and genetic polymorphism have to be evaluated to personalize the best bariatric surgery intervention.</w:t>
      </w:r>
    </w:p>
    <w:bookmarkEnd w:id="263"/>
    <w:bookmarkEnd w:id="264"/>
    <w:p w:rsidR="006322E3" w:rsidRPr="001326F0" w:rsidRDefault="006322E3" w:rsidP="00746C86">
      <w:pPr>
        <w:adjustRightInd w:val="0"/>
        <w:snapToGrid w:val="0"/>
        <w:spacing w:after="0" w:line="360" w:lineRule="auto"/>
        <w:jc w:val="both"/>
        <w:rPr>
          <w:rFonts w:ascii="Book Antiqua" w:hAnsi="Book Antiqua" w:cs="Times New Roman"/>
          <w:b/>
          <w:sz w:val="24"/>
          <w:szCs w:val="24"/>
          <w:lang w:val="en-US"/>
        </w:rPr>
      </w:pPr>
    </w:p>
    <w:p w:rsidR="00C21DEE" w:rsidRPr="001326F0" w:rsidRDefault="00C21DEE" w:rsidP="00C21DEE">
      <w:pPr>
        <w:adjustRightInd w:val="0"/>
        <w:snapToGrid w:val="0"/>
        <w:spacing w:line="360" w:lineRule="auto"/>
        <w:jc w:val="both"/>
        <w:rPr>
          <w:rFonts w:ascii="Book Antiqua" w:hAnsi="Book Antiqua"/>
          <w:sz w:val="24"/>
        </w:rPr>
      </w:pPr>
      <w:r w:rsidRPr="001326F0">
        <w:rPr>
          <w:rFonts w:ascii="Book Antiqua" w:hAnsi="Book Antiqua" w:cs="Times New Roman"/>
          <w:sz w:val="24"/>
          <w:szCs w:val="24"/>
        </w:rPr>
        <w:t>De Lorenzo</w:t>
      </w:r>
      <w:r w:rsidRPr="001326F0">
        <w:rPr>
          <w:rFonts w:ascii="Book Antiqua" w:hAnsi="Book Antiqua" w:cs="Times New Roman" w:hint="eastAsia"/>
          <w:sz w:val="24"/>
          <w:szCs w:val="24"/>
          <w:lang w:eastAsia="zh-CN"/>
        </w:rPr>
        <w:t xml:space="preserve"> A</w:t>
      </w:r>
      <w:r w:rsidRPr="001326F0">
        <w:rPr>
          <w:rFonts w:ascii="Book Antiqua" w:hAnsi="Book Antiqua" w:cs="Times New Roman"/>
          <w:sz w:val="24"/>
          <w:szCs w:val="24"/>
        </w:rPr>
        <w:t>, Soldati</w:t>
      </w:r>
      <w:r w:rsidRPr="001326F0">
        <w:rPr>
          <w:rFonts w:ascii="Book Antiqua" w:hAnsi="Book Antiqua" w:cs="Times New Roman" w:hint="eastAsia"/>
          <w:sz w:val="24"/>
          <w:szCs w:val="24"/>
          <w:lang w:eastAsia="zh-CN"/>
        </w:rPr>
        <w:t xml:space="preserve"> L</w:t>
      </w:r>
      <w:r w:rsidRPr="001326F0">
        <w:rPr>
          <w:rFonts w:ascii="Book Antiqua" w:hAnsi="Book Antiqua" w:cs="Times New Roman"/>
          <w:sz w:val="24"/>
          <w:szCs w:val="24"/>
        </w:rPr>
        <w:t>, Sarlo</w:t>
      </w:r>
      <w:r w:rsidRPr="001326F0">
        <w:rPr>
          <w:rFonts w:ascii="Book Antiqua" w:hAnsi="Book Antiqua" w:cs="Times New Roman" w:hint="eastAsia"/>
          <w:sz w:val="24"/>
          <w:szCs w:val="24"/>
          <w:lang w:eastAsia="zh-CN"/>
        </w:rPr>
        <w:t xml:space="preserve"> F</w:t>
      </w:r>
      <w:r w:rsidRPr="001326F0">
        <w:rPr>
          <w:rFonts w:ascii="Book Antiqua" w:hAnsi="Book Antiqua" w:cs="Times New Roman"/>
          <w:sz w:val="24"/>
          <w:szCs w:val="24"/>
        </w:rPr>
        <w:t>, Calvani</w:t>
      </w:r>
      <w:r w:rsidRPr="001326F0">
        <w:rPr>
          <w:rFonts w:ascii="Book Antiqua" w:hAnsi="Book Antiqua" w:cs="Times New Roman" w:hint="eastAsia"/>
          <w:sz w:val="24"/>
          <w:szCs w:val="24"/>
          <w:lang w:eastAsia="zh-CN"/>
        </w:rPr>
        <w:t xml:space="preserve"> M</w:t>
      </w:r>
      <w:r w:rsidRPr="001326F0">
        <w:rPr>
          <w:rFonts w:ascii="Book Antiqua" w:hAnsi="Book Antiqua" w:cs="Times New Roman"/>
          <w:sz w:val="24"/>
          <w:szCs w:val="24"/>
        </w:rPr>
        <w:t>, Di Lorenzo</w:t>
      </w:r>
      <w:r w:rsidRPr="001326F0">
        <w:rPr>
          <w:rFonts w:ascii="Book Antiqua" w:hAnsi="Book Antiqua" w:cs="Times New Roman" w:hint="eastAsia"/>
          <w:sz w:val="24"/>
          <w:szCs w:val="24"/>
          <w:lang w:eastAsia="zh-CN"/>
        </w:rPr>
        <w:t xml:space="preserve"> N</w:t>
      </w:r>
      <w:r w:rsidRPr="001326F0">
        <w:rPr>
          <w:rFonts w:ascii="Book Antiqua" w:hAnsi="Book Antiqua" w:cs="Times New Roman"/>
          <w:sz w:val="24"/>
          <w:szCs w:val="24"/>
        </w:rPr>
        <w:t>, Di Renzo</w:t>
      </w:r>
      <w:r w:rsidRPr="001326F0">
        <w:rPr>
          <w:rFonts w:ascii="Book Antiqua" w:hAnsi="Book Antiqua" w:cs="Times New Roman" w:hint="eastAsia"/>
          <w:sz w:val="24"/>
          <w:szCs w:val="24"/>
          <w:lang w:eastAsia="zh-CN"/>
        </w:rPr>
        <w:t xml:space="preserve"> L. </w:t>
      </w:r>
      <w:r w:rsidRPr="001326F0">
        <w:rPr>
          <w:rFonts w:ascii="Book Antiqua" w:hAnsi="Book Antiqua" w:cs="Times New Roman"/>
          <w:sz w:val="24"/>
          <w:szCs w:val="24"/>
          <w:lang w:val="en-US" w:eastAsia="zh-CN"/>
        </w:rPr>
        <w:t>New obesity classification criteria as a tool for bariatric surgery indication</w:t>
      </w:r>
      <w:r w:rsidRPr="001326F0">
        <w:rPr>
          <w:rFonts w:ascii="Book Antiqua" w:hAnsi="Book Antiqua" w:cs="Times New Roman" w:hint="eastAsia"/>
          <w:sz w:val="24"/>
          <w:szCs w:val="24"/>
          <w:lang w:val="en-US" w:eastAsia="zh-CN"/>
        </w:rPr>
        <w:t xml:space="preserve">. </w:t>
      </w:r>
      <w:bookmarkStart w:id="265" w:name="OLE_LINK199"/>
      <w:bookmarkStart w:id="266" w:name="OLE_LINK200"/>
      <w:bookmarkStart w:id="267" w:name="OLE_LINK196"/>
      <w:bookmarkStart w:id="268" w:name="OLE_LINK341"/>
      <w:bookmarkStart w:id="269" w:name="OLE_LINK377"/>
      <w:bookmarkStart w:id="270" w:name="OLE_LINK366"/>
      <w:bookmarkStart w:id="271" w:name="OLE_LINK1038"/>
      <w:bookmarkStart w:id="272" w:name="OLE_LINK1166"/>
      <w:bookmarkStart w:id="273" w:name="OLE_LINK1175"/>
      <w:bookmarkStart w:id="274" w:name="OLE_LINK1423"/>
      <w:bookmarkStart w:id="275" w:name="OLE_LINK1440"/>
      <w:bookmarkStart w:id="276" w:name="OLE_LINK1572"/>
      <w:bookmarkStart w:id="277" w:name="OLE_LINK1388"/>
      <w:bookmarkStart w:id="278" w:name="OLE_LINK1439"/>
      <w:bookmarkStart w:id="279" w:name="OLE_LINK16"/>
      <w:bookmarkStart w:id="280" w:name="OLE_LINK1381"/>
      <w:bookmarkStart w:id="281" w:name="OLE_LINK1442"/>
      <w:bookmarkStart w:id="282" w:name="OLE_LINK1500"/>
      <w:bookmarkStart w:id="283" w:name="OLE_LINK1681"/>
      <w:bookmarkStart w:id="284" w:name="OLE_LINK1712"/>
      <w:bookmarkStart w:id="285" w:name="OLE_LINK3321"/>
      <w:bookmarkStart w:id="286" w:name="OLE_LINK747"/>
      <w:bookmarkStart w:id="287" w:name="OLE_LINK2187"/>
      <w:bookmarkStart w:id="288" w:name="OLE_LINK2564"/>
      <w:r w:rsidRPr="001326F0">
        <w:rPr>
          <w:rFonts w:ascii="Book Antiqua" w:hAnsi="Book Antiqua"/>
          <w:i/>
          <w:sz w:val="24"/>
        </w:rPr>
        <w:t xml:space="preserve">World J Gastroenterol </w:t>
      </w:r>
      <w:r w:rsidRPr="001326F0">
        <w:rPr>
          <w:rFonts w:ascii="Book Antiqua" w:hAnsi="Book Antiqua" w:hint="eastAsia"/>
          <w:sz w:val="24"/>
        </w:rPr>
        <w:t>2015</w:t>
      </w:r>
      <w:r w:rsidRPr="001326F0">
        <w:rPr>
          <w:rFonts w:ascii="Book Antiqua" w:hAnsi="Book Antiqua"/>
          <w:sz w:val="24"/>
        </w:rPr>
        <w:t>; In press</w:t>
      </w:r>
    </w:p>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rsidR="00C21DEE" w:rsidRPr="001326F0" w:rsidRDefault="00C21DEE" w:rsidP="00C21DEE">
      <w:pPr>
        <w:adjustRightInd w:val="0"/>
        <w:snapToGrid w:val="0"/>
        <w:spacing w:after="0" w:line="360" w:lineRule="auto"/>
        <w:jc w:val="both"/>
        <w:rPr>
          <w:rFonts w:ascii="Book Antiqua" w:hAnsi="Book Antiqua" w:cs="Times New Roman"/>
          <w:sz w:val="24"/>
          <w:szCs w:val="24"/>
          <w:lang w:val="en-US" w:eastAsia="zh-CN"/>
        </w:rPr>
      </w:pPr>
    </w:p>
    <w:p w:rsidR="00C21DEE" w:rsidRPr="001326F0" w:rsidRDefault="00C21DEE" w:rsidP="00C21DEE">
      <w:pPr>
        <w:adjustRightInd w:val="0"/>
        <w:snapToGrid w:val="0"/>
        <w:spacing w:after="0" w:line="360" w:lineRule="auto"/>
        <w:jc w:val="both"/>
        <w:rPr>
          <w:rFonts w:ascii="Book Antiqua" w:hAnsi="Book Antiqua" w:cs="Times New Roman"/>
          <w:b/>
          <w:sz w:val="24"/>
          <w:szCs w:val="24"/>
          <w:lang w:eastAsia="zh-CN"/>
        </w:rPr>
      </w:pPr>
    </w:p>
    <w:p w:rsidR="006322E3" w:rsidRPr="001326F0" w:rsidRDefault="006322E3" w:rsidP="00746C86">
      <w:pPr>
        <w:adjustRightInd w:val="0"/>
        <w:snapToGrid w:val="0"/>
        <w:spacing w:after="0" w:line="360" w:lineRule="auto"/>
        <w:jc w:val="both"/>
        <w:rPr>
          <w:rFonts w:ascii="Book Antiqua" w:hAnsi="Book Antiqua" w:cs="Times New Roman"/>
          <w:b/>
          <w:sz w:val="24"/>
          <w:szCs w:val="24"/>
        </w:rPr>
      </w:pPr>
    </w:p>
    <w:p w:rsidR="007B5BE8" w:rsidRPr="001326F0" w:rsidRDefault="007B5BE8">
      <w:pPr>
        <w:rPr>
          <w:rFonts w:ascii="Book Antiqua" w:hAnsi="Book Antiqua" w:cs="Times New Roman"/>
          <w:b/>
          <w:sz w:val="24"/>
          <w:szCs w:val="24"/>
          <w:lang w:val="en-US"/>
        </w:rPr>
      </w:pPr>
      <w:r w:rsidRPr="001326F0">
        <w:rPr>
          <w:rFonts w:ascii="Book Antiqua" w:hAnsi="Book Antiqua" w:cs="Times New Roman"/>
          <w:b/>
          <w:sz w:val="24"/>
          <w:szCs w:val="24"/>
          <w:lang w:val="en-US"/>
        </w:rPr>
        <w:br w:type="page"/>
      </w:r>
    </w:p>
    <w:p w:rsidR="007B70B9" w:rsidRPr="001326F0" w:rsidRDefault="005821C0" w:rsidP="00746C86">
      <w:pPr>
        <w:adjustRightInd w:val="0"/>
        <w:snapToGrid w:val="0"/>
        <w:spacing w:after="0" w:line="360" w:lineRule="auto"/>
        <w:jc w:val="both"/>
        <w:rPr>
          <w:rFonts w:ascii="Book Antiqua" w:hAnsi="Book Antiqua" w:cs="Times New Roman"/>
          <w:b/>
          <w:sz w:val="24"/>
          <w:szCs w:val="24"/>
          <w:lang w:val="en-US" w:eastAsia="zh-CN"/>
        </w:rPr>
      </w:pPr>
      <w:r w:rsidRPr="001326F0">
        <w:rPr>
          <w:rFonts w:ascii="Book Antiqua" w:hAnsi="Book Antiqua" w:cs="Times New Roman"/>
          <w:b/>
          <w:sz w:val="24"/>
          <w:szCs w:val="24"/>
          <w:lang w:val="en-US"/>
        </w:rPr>
        <w:lastRenderedPageBreak/>
        <w:t>BODY COMPOSITION STUDY AS A NEW WAY TO CLASSIFY SUBJECT</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The American Medical Association’s Council on Science and Public Health Report 4, has identified the following common criteria to define a disease as: </w:t>
      </w:r>
      <w:r w:rsidR="007B5BE8"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1) an impairment of the normal functioning of some aspect of the body; </w:t>
      </w:r>
      <w:r w:rsidR="007B5BE8"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2) characteristic signs or symptoms; and </w:t>
      </w:r>
      <w:r w:rsidR="007B5BE8"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3) harm or morbidity</w:t>
      </w:r>
      <w:r w:rsidRPr="001326F0">
        <w:rPr>
          <w:rFonts w:ascii="Book Antiqua" w:hAnsi="Book Antiqua" w:cs="Times New Roman"/>
          <w:sz w:val="24"/>
          <w:szCs w:val="24"/>
          <w:vertAlign w:val="superscript"/>
          <w:lang w:val="en-US"/>
        </w:rPr>
        <w:t>[1]</w:t>
      </w:r>
      <w:r w:rsidRPr="001326F0">
        <w:rPr>
          <w:rFonts w:ascii="Book Antiqua" w:hAnsi="Book Antiqua" w:cs="Times New Roman"/>
          <w:sz w:val="24"/>
          <w:szCs w:val="24"/>
          <w:lang w:val="en-US"/>
        </w:rPr>
        <w:t>.</w:t>
      </w:r>
    </w:p>
    <w:p w:rsidR="007B70B9" w:rsidRPr="001326F0" w:rsidRDefault="007B70B9" w:rsidP="007B5BE8">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World Health Organization (WHO) defines obesity as “a condition in which percentage body fat (PBF) is increased to an extent in which health and well-being are impaired, and, due to the alarming prevalence increase, declared it as a “global epidemic</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high prevalence of obesity is a global public health problem due to its as</w:t>
      </w:r>
      <w:r w:rsidR="007B5BE8" w:rsidRPr="001326F0">
        <w:rPr>
          <w:rFonts w:ascii="Book Antiqua" w:hAnsi="Book Antiqua" w:cs="Times New Roman"/>
          <w:sz w:val="24"/>
          <w:szCs w:val="24"/>
          <w:lang w:val="en-US"/>
        </w:rPr>
        <w:t>sociation with several diseases</w:t>
      </w:r>
      <w:r w:rsidRPr="001326F0">
        <w:rPr>
          <w:rFonts w:ascii="Book Antiqua" w:hAnsi="Book Antiqua" w:cs="Times New Roman"/>
          <w:sz w:val="24"/>
          <w:szCs w:val="24"/>
          <w:vertAlign w:val="superscript"/>
          <w:lang w:val="en-US"/>
        </w:rPr>
        <w:t>[3,4]</w:t>
      </w:r>
      <w:r w:rsidRPr="001326F0">
        <w:rPr>
          <w:rFonts w:ascii="Book Antiqua" w:hAnsi="Book Antiqua" w:cs="Times New Roman"/>
          <w:sz w:val="24"/>
          <w:szCs w:val="24"/>
          <w:lang w:val="en-US"/>
        </w:rPr>
        <w:t>, and reduced lifespan</w:t>
      </w:r>
      <w:r w:rsidRPr="001326F0">
        <w:rPr>
          <w:rFonts w:ascii="Book Antiqua" w:hAnsi="Book Antiqua" w:cs="Times New Roman"/>
          <w:sz w:val="24"/>
          <w:szCs w:val="24"/>
          <w:vertAlign w:val="superscript"/>
          <w:lang w:val="en-US"/>
        </w:rPr>
        <w:t>[5]</w:t>
      </w:r>
      <w:r w:rsidRPr="001326F0">
        <w:rPr>
          <w:rFonts w:ascii="Book Antiqua" w:hAnsi="Book Antiqua" w:cs="Times New Roman"/>
          <w:sz w:val="24"/>
          <w:szCs w:val="24"/>
          <w:lang w:val="en-US"/>
        </w:rPr>
        <w:t>. It arise as a result of complex interaction of genetic, life style, dietary habitus, energy expenditure, nutritional and metabolic factors, as the adipocyte metabolism</w:t>
      </w:r>
      <w:r w:rsidRPr="001326F0">
        <w:rPr>
          <w:rFonts w:ascii="Book Antiqua" w:hAnsi="Book Antiqua" w:cs="Times New Roman"/>
          <w:sz w:val="24"/>
          <w:szCs w:val="24"/>
          <w:vertAlign w:val="superscript"/>
          <w:lang w:val="en-US"/>
        </w:rPr>
        <w:t>[6,7]</w:t>
      </w:r>
      <w:r w:rsidRPr="001326F0">
        <w:rPr>
          <w:rFonts w:ascii="Book Antiqua" w:hAnsi="Book Antiqua" w:cs="Times New Roman"/>
          <w:sz w:val="24"/>
          <w:szCs w:val="24"/>
          <w:lang w:val="en-US"/>
        </w:rPr>
        <w:t xml:space="preserve">. </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shared definition that the adipose tissue and skeletal muscle are an energy storage has been replaced by the notion that these tissues have a role in lipid and glucose metabolism due to the large number of bioactive proteins, termed adipokines and myokines produced</w:t>
      </w:r>
      <w:r w:rsidRPr="001326F0">
        <w:rPr>
          <w:rFonts w:ascii="Book Antiqua" w:hAnsi="Book Antiqua" w:cs="Times New Roman"/>
          <w:sz w:val="24"/>
          <w:szCs w:val="24"/>
          <w:vertAlign w:val="superscript"/>
          <w:lang w:val="en-US"/>
        </w:rPr>
        <w:t>[8]</w:t>
      </w:r>
      <w:r w:rsidRPr="001326F0">
        <w:rPr>
          <w:rFonts w:ascii="Book Antiqua" w:hAnsi="Book Antiqua" w:cs="Times New Roman"/>
          <w:sz w:val="24"/>
          <w:szCs w:val="24"/>
          <w:lang w:val="en-US"/>
        </w:rPr>
        <w:t>, that are related to some cardiovascular risk factors influences of obesity</w:t>
      </w:r>
      <w:r w:rsidRPr="001326F0">
        <w:rPr>
          <w:rFonts w:ascii="Book Antiqua" w:hAnsi="Book Antiqua" w:cs="Times New Roman"/>
          <w:sz w:val="24"/>
          <w:szCs w:val="24"/>
          <w:vertAlign w:val="superscript"/>
          <w:lang w:val="en-US"/>
        </w:rPr>
        <w:t>[9]</w:t>
      </w:r>
      <w:r w:rsidRPr="001326F0">
        <w:rPr>
          <w:rFonts w:ascii="Book Antiqua" w:hAnsi="Book Antiqua" w:cs="Times New Roman"/>
          <w:sz w:val="24"/>
          <w:szCs w:val="24"/>
          <w:lang w:val="en-US"/>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 obesity and glucose metabolism are intimately related to low grade systemic inflammation, involving a number of pro-inflammatory cytokines produced by many cell types that also appear to be major regulators of adipose tissue metabolism</w:t>
      </w:r>
      <w:r w:rsidRPr="001326F0">
        <w:rPr>
          <w:rFonts w:ascii="Book Antiqua" w:hAnsi="Book Antiqua" w:cs="Times New Roman"/>
          <w:sz w:val="24"/>
          <w:szCs w:val="24"/>
          <w:vertAlign w:val="superscript"/>
          <w:lang w:val="en-US"/>
        </w:rPr>
        <w:t>[10]</w:t>
      </w:r>
      <w:r w:rsidRPr="001326F0">
        <w:rPr>
          <w:rFonts w:ascii="Book Antiqua" w:hAnsi="Book Antiqua" w:cs="Times New Roman"/>
          <w:sz w:val="24"/>
          <w:szCs w:val="24"/>
          <w:lang w:val="en-US"/>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Therefore, the greatest limitation of any measure that relegates the diagnosis of obesity to the mere quantity of weight and circumference gain, without taking into account the body composition, in terms of body fat increase and body lean decrease, is the failure to consider the impact of adiposity on physiological and metabolic processes that result in increased morbidity and mortality</w:t>
      </w:r>
      <w:r w:rsidRPr="001326F0">
        <w:rPr>
          <w:rFonts w:ascii="Book Antiqua" w:hAnsi="Book Antiqua" w:cs="Times New Roman"/>
          <w:sz w:val="24"/>
          <w:szCs w:val="24"/>
          <w:vertAlign w:val="superscript"/>
          <w:lang w:val="en-US"/>
        </w:rPr>
        <w:t>[11]</w:t>
      </w:r>
      <w:r w:rsidRPr="001326F0">
        <w:rPr>
          <w:rFonts w:ascii="Book Antiqua" w:hAnsi="Book Antiqua" w:cs="Times New Roman"/>
          <w:sz w:val="24"/>
          <w:szCs w:val="24"/>
          <w:lang w:val="en-US"/>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Due to the endocrine and inflammatory role of the adipose tissue it is necessary to classify obesity condition on the basis of body fat composition </w:t>
      </w:r>
      <w:r w:rsidRPr="001326F0">
        <w:rPr>
          <w:rFonts w:ascii="Book Antiqua" w:hAnsi="Book Antiqua" w:cs="Times New Roman"/>
          <w:sz w:val="24"/>
          <w:szCs w:val="24"/>
          <w:lang w:val="en-US"/>
        </w:rPr>
        <w:lastRenderedPageBreak/>
        <w:t>and distribution, rather than simply on the increase of body weight (Figure 1). Therefore, the</w:t>
      </w:r>
      <w:r w:rsidR="007B5BE8" w:rsidRPr="001326F0">
        <w:rPr>
          <w:rFonts w:ascii="Book Antiqua" w:hAnsi="Book Antiqua" w:cs="Times New Roman"/>
          <w:sz w:val="24"/>
          <w:szCs w:val="24"/>
          <w:lang w:val="en-US"/>
        </w:rPr>
        <w:t xml:space="preserve"> body mass index</w:t>
      </w:r>
      <w:r w:rsidRPr="001326F0">
        <w:rPr>
          <w:rFonts w:ascii="Book Antiqua" w:hAnsi="Book Antiqua" w:cs="Times New Roman"/>
          <w:sz w:val="24"/>
          <w:szCs w:val="24"/>
          <w:lang w:val="en-US"/>
        </w:rPr>
        <w:t xml:space="preserve"> (BMI), a ratio between weight to the squared height (kg/m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of a subject, used to easily approximate body fat percentage and stratify people into categories, leads to a large error and misclassification.</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According to BMI, general population is classified in five categories: underweight (BMI &lt; 18.5 </w:t>
      </w:r>
      <w:r w:rsidR="007B5BE8" w:rsidRPr="001326F0">
        <w:rPr>
          <w:rFonts w:ascii="Book Antiqua" w:hAnsi="Book Antiqua" w:cs="Times New Roman" w:hint="eastAsia"/>
          <w:sz w:val="24"/>
          <w:szCs w:val="24"/>
          <w:lang w:val="en-US" w:eastAsia="zh-CN"/>
        </w:rPr>
        <w:t>k</w:t>
      </w:r>
      <w:r w:rsidRPr="001326F0">
        <w:rPr>
          <w:rFonts w:ascii="Book Antiqua" w:hAnsi="Book Antiqua" w:cs="Times New Roman"/>
          <w:sz w:val="24"/>
          <w:szCs w:val="24"/>
          <w:lang w:val="en-US"/>
        </w:rPr>
        <w:t>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xml:space="preserve">), normal weight (BMI 18.5-24.9 </w:t>
      </w:r>
      <w:r w:rsidR="007B5BE8" w:rsidRPr="001326F0">
        <w:rPr>
          <w:rFonts w:ascii="Book Antiqua" w:hAnsi="Book Antiqua" w:cs="Times New Roman" w:hint="eastAsia"/>
          <w:sz w:val="24"/>
          <w:szCs w:val="24"/>
          <w:lang w:val="en-US" w:eastAsia="zh-CN"/>
        </w:rPr>
        <w:t>k</w:t>
      </w:r>
      <w:r w:rsidRPr="001326F0">
        <w:rPr>
          <w:rFonts w:ascii="Book Antiqua" w:hAnsi="Book Antiqua" w:cs="Times New Roman"/>
          <w:sz w:val="24"/>
          <w:szCs w:val="24"/>
          <w:lang w:val="en-US"/>
        </w:rPr>
        <w:t>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class I obesi</w:t>
      </w:r>
      <w:r w:rsidR="007B5BE8" w:rsidRPr="001326F0">
        <w:rPr>
          <w:rFonts w:ascii="Book Antiqua" w:hAnsi="Book Antiqua" w:cs="Times New Roman"/>
          <w:sz w:val="24"/>
          <w:szCs w:val="24"/>
          <w:lang w:val="en-US"/>
        </w:rPr>
        <w:t xml:space="preserve">ty - overweight (BMI 25.0-29.9 </w:t>
      </w:r>
      <w:r w:rsidR="007B5BE8" w:rsidRPr="001326F0">
        <w:rPr>
          <w:rFonts w:ascii="Book Antiqua" w:hAnsi="Book Antiqua" w:cs="Times New Roman" w:hint="eastAsia"/>
          <w:sz w:val="24"/>
          <w:szCs w:val="24"/>
          <w:lang w:val="en-US" w:eastAsia="zh-CN"/>
        </w:rPr>
        <w:t>k</w:t>
      </w:r>
      <w:r w:rsidRPr="001326F0">
        <w:rPr>
          <w:rFonts w:ascii="Book Antiqua" w:hAnsi="Book Antiqua" w:cs="Times New Roman"/>
          <w:sz w:val="24"/>
          <w:szCs w:val="24"/>
          <w:lang w:val="en-US"/>
        </w:rPr>
        <w:t>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xml:space="preserve">), class II obesity – obesity (BMI 30.0-39.9 </w:t>
      </w:r>
      <w:r w:rsidR="007B5BE8" w:rsidRPr="001326F0">
        <w:rPr>
          <w:rFonts w:ascii="Book Antiqua" w:hAnsi="Book Antiqua" w:cs="Times New Roman" w:hint="eastAsia"/>
          <w:sz w:val="24"/>
          <w:szCs w:val="24"/>
          <w:lang w:val="en-US" w:eastAsia="zh-CN"/>
        </w:rPr>
        <w:t>k</w:t>
      </w:r>
      <w:r w:rsidRPr="001326F0">
        <w:rPr>
          <w:rFonts w:ascii="Book Antiqua" w:hAnsi="Book Antiqua" w:cs="Times New Roman"/>
          <w:sz w:val="24"/>
          <w:szCs w:val="24"/>
          <w:lang w:val="en-US"/>
        </w:rPr>
        <w:t>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xml:space="preserve">), class III obesity – extreme obesity (BMI &gt; 40 </w:t>
      </w:r>
      <w:r w:rsidR="007B5BE8" w:rsidRPr="001326F0">
        <w:rPr>
          <w:rFonts w:ascii="Book Antiqua" w:hAnsi="Book Antiqua" w:cs="Times New Roman" w:hint="eastAsia"/>
          <w:sz w:val="24"/>
          <w:szCs w:val="24"/>
          <w:lang w:val="en-US" w:eastAsia="zh-CN"/>
        </w:rPr>
        <w:t>k</w:t>
      </w:r>
      <w:r w:rsidRPr="001326F0">
        <w:rPr>
          <w:rFonts w:ascii="Book Antiqua" w:hAnsi="Book Antiqua" w:cs="Times New Roman"/>
          <w:sz w:val="24"/>
          <w:szCs w:val="24"/>
          <w:lang w:val="en-US"/>
        </w:rPr>
        <w:t>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currently used BMI cut-off values for pre-obesity and obesity are based on morbidity and mortality studies in relation to Caucasian population</w:t>
      </w:r>
      <w:r w:rsidRPr="001326F0">
        <w:rPr>
          <w:rFonts w:ascii="Book Antiqua" w:hAnsi="Book Antiqua" w:cs="Times New Roman"/>
          <w:sz w:val="24"/>
          <w:szCs w:val="24"/>
          <w:vertAlign w:val="superscript"/>
          <w:lang w:val="en-US"/>
        </w:rPr>
        <w:t>[8</w:t>
      </w:r>
      <w:r w:rsidR="007B5BE8" w:rsidRPr="001326F0">
        <w:rPr>
          <w:rFonts w:ascii="Book Antiqua" w:hAnsi="Book Antiqua" w:cs="Times New Roman" w:hint="eastAsia"/>
          <w:sz w:val="24"/>
          <w:szCs w:val="24"/>
          <w:vertAlign w:val="superscript"/>
          <w:lang w:val="en-US" w:eastAsia="zh-CN"/>
        </w:rPr>
        <w:t>-</w:t>
      </w:r>
      <w:r w:rsidRPr="001326F0">
        <w:rPr>
          <w:rFonts w:ascii="Book Antiqua" w:hAnsi="Book Antiqua" w:cs="Times New Roman"/>
          <w:sz w:val="24"/>
          <w:szCs w:val="24"/>
          <w:vertAlign w:val="superscript"/>
          <w:lang w:val="en-US"/>
        </w:rPr>
        <w:t>10]</w:t>
      </w:r>
      <w:r w:rsidRPr="001326F0">
        <w:rPr>
          <w:rFonts w:ascii="Book Antiqua" w:hAnsi="Book Antiqua" w:cs="Times New Roman"/>
          <w:sz w:val="24"/>
          <w:szCs w:val="24"/>
          <w:lang w:val="en-US"/>
        </w:rPr>
        <w:t xml:space="preserve">. </w:t>
      </w:r>
    </w:p>
    <w:p w:rsidR="007B70B9" w:rsidRPr="001326F0" w:rsidRDefault="007B70B9" w:rsidP="007B5BE8">
      <w:pPr>
        <w:pStyle w:val="Paragrafoelenco1"/>
        <w:adjustRightInd w:val="0"/>
        <w:snapToGrid w:val="0"/>
        <w:spacing w:after="0" w:line="360" w:lineRule="auto"/>
        <w:ind w:left="0" w:firstLineChars="100" w:firstLine="240"/>
        <w:jc w:val="both"/>
        <w:rPr>
          <w:rFonts w:ascii="Book Antiqua" w:hAnsi="Book Antiqua"/>
          <w:sz w:val="24"/>
          <w:szCs w:val="24"/>
        </w:rPr>
      </w:pPr>
      <w:r w:rsidRPr="001326F0">
        <w:rPr>
          <w:rFonts w:ascii="Book Antiqua" w:hAnsi="Book Antiqua"/>
          <w:sz w:val="24"/>
          <w:szCs w:val="24"/>
        </w:rPr>
        <w:t>However, there is a controversy in the literature, termed the ‘obesity paradox’, which associates better survival and fewer cardiovascular events in patients with mildly elevated BMI afflicted with chronic diseases</w:t>
      </w:r>
      <w:r w:rsidRPr="001326F0">
        <w:rPr>
          <w:rFonts w:ascii="Book Antiqua" w:hAnsi="Book Antiqua"/>
          <w:sz w:val="24"/>
          <w:szCs w:val="24"/>
          <w:vertAlign w:val="superscript"/>
        </w:rPr>
        <w:t>[11]</w:t>
      </w:r>
      <w:r w:rsidRPr="001326F0">
        <w:rPr>
          <w:rFonts w:ascii="Book Antiqua" w:hAnsi="Book Antiqua"/>
          <w:sz w:val="24"/>
          <w:szCs w:val="24"/>
        </w:rPr>
        <w:t>.</w:t>
      </w:r>
    </w:p>
    <w:p w:rsidR="007B70B9" w:rsidRPr="001326F0" w:rsidRDefault="007B70B9" w:rsidP="007B5BE8">
      <w:pPr>
        <w:pStyle w:val="Paragrafoelenco1"/>
        <w:adjustRightInd w:val="0"/>
        <w:snapToGrid w:val="0"/>
        <w:spacing w:after="0" w:line="360" w:lineRule="auto"/>
        <w:ind w:left="0" w:firstLineChars="100" w:firstLine="240"/>
        <w:jc w:val="both"/>
        <w:rPr>
          <w:rFonts w:ascii="Book Antiqua" w:hAnsi="Book Antiqua"/>
          <w:sz w:val="24"/>
          <w:szCs w:val="24"/>
        </w:rPr>
      </w:pPr>
      <w:r w:rsidRPr="001326F0">
        <w:rPr>
          <w:rFonts w:ascii="Book Antiqua" w:hAnsi="Book Antiqua"/>
          <w:sz w:val="24"/>
          <w:szCs w:val="24"/>
        </w:rPr>
        <w:t>In fact, the outdated BMI formula developed nearly 200 years ago by Quetelet, is not a measurement of adiposity, but merely an imprecise mathematical estimate</w:t>
      </w:r>
      <w:r w:rsidRPr="001326F0">
        <w:rPr>
          <w:rFonts w:ascii="Book Antiqua" w:hAnsi="Book Antiqua"/>
          <w:sz w:val="24"/>
          <w:szCs w:val="24"/>
          <w:vertAlign w:val="superscript"/>
        </w:rPr>
        <w:t>[12-14]</w:t>
      </w:r>
      <w:r w:rsidRPr="001326F0">
        <w:rPr>
          <w:rFonts w:ascii="Book Antiqua" w:hAnsi="Book Antiqua"/>
          <w:sz w:val="24"/>
          <w:szCs w:val="24"/>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Its popularity stems in part from its convenience, safety, and minimal cost, and its use is widespread, despite the fact, BMI ignores several important factors affecting adiposity. Moreover, the error in the diagnosis of obesity generates important effects on health care costs. </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BMI formula is only an arithmetic approximation for the relative quantity of adiposity and is used to predict and evaluate disease risk in epidemiological studies, thereby acting only as a population-level indicator of obesity.</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Because BMI does not measure PBF directly and poorly distinguishes between total body fat and total body lean, or bone mass, the use of BMI as an index of PBF for a person may be inaccurate and not useful as a cardiovascular risk factor</w:t>
      </w:r>
      <w:r w:rsidRPr="001326F0">
        <w:rPr>
          <w:rFonts w:ascii="Book Antiqua" w:hAnsi="Book Antiqua" w:cs="Times New Roman"/>
          <w:sz w:val="24"/>
          <w:szCs w:val="24"/>
          <w:vertAlign w:val="superscript"/>
          <w:lang w:val="en-US"/>
        </w:rPr>
        <w:t>[15-17]</w:t>
      </w:r>
      <w:r w:rsidRPr="001326F0">
        <w:rPr>
          <w:rFonts w:ascii="Book Antiqua" w:hAnsi="Book Antiqua" w:cs="Times New Roman"/>
          <w:sz w:val="24"/>
          <w:szCs w:val="24"/>
          <w:lang w:val="en-US"/>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However, according to a WHO expert committee, “there is no agreement about cut-off points for the PBF that constitutes obesity”</w:t>
      </w:r>
      <w:r w:rsidRPr="001326F0">
        <w:rPr>
          <w:rFonts w:ascii="Book Antiqua" w:hAnsi="Book Antiqua" w:cs="Times New Roman"/>
          <w:sz w:val="24"/>
          <w:szCs w:val="24"/>
          <w:vertAlign w:val="superscript"/>
          <w:lang w:val="en-US"/>
        </w:rPr>
        <w:t>[10]</w:t>
      </w:r>
      <w:r w:rsidRPr="001326F0">
        <w:rPr>
          <w:rFonts w:ascii="Book Antiqua" w:hAnsi="Book Antiqua" w:cs="Times New Roman"/>
          <w:sz w:val="24"/>
          <w:szCs w:val="24"/>
          <w:lang w:val="en-US"/>
        </w:rPr>
        <w:t xml:space="preserve">. </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vertAlign w:val="superscript"/>
          <w:lang w:val="en-US"/>
        </w:rPr>
      </w:pPr>
      <w:r w:rsidRPr="001326F0">
        <w:rPr>
          <w:rFonts w:ascii="Book Antiqua" w:hAnsi="Book Antiqua" w:cs="Times New Roman"/>
          <w:sz w:val="24"/>
          <w:szCs w:val="24"/>
          <w:lang w:val="en-US"/>
        </w:rPr>
        <w:lastRenderedPageBreak/>
        <w:t>Current research suggests that the obesity cut-off points of PBF are in the 23%–25% range in men and 30%–33%–35% range in women</w:t>
      </w:r>
      <w:r w:rsidRPr="001326F0">
        <w:rPr>
          <w:rFonts w:ascii="Book Antiqua" w:hAnsi="Book Antiqua" w:cs="Times New Roman"/>
          <w:sz w:val="24"/>
          <w:szCs w:val="24"/>
          <w:vertAlign w:val="superscript"/>
          <w:lang w:val="en-US"/>
        </w:rPr>
        <w:t>[18]</w:t>
      </w:r>
      <w:r w:rsidRPr="001326F0">
        <w:rPr>
          <w:rFonts w:ascii="Book Antiqua" w:hAnsi="Book Antiqua" w:cs="Times New Roman"/>
          <w:sz w:val="24"/>
          <w:szCs w:val="24"/>
          <w:lang w:val="en-US"/>
        </w:rPr>
        <w:t>.</w:t>
      </w:r>
    </w:p>
    <w:p w:rsidR="007B70B9" w:rsidRPr="001326F0" w:rsidRDefault="007B70B9" w:rsidP="007B5BE8">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US"/>
        </w:rPr>
        <w:t>The clinical use of WHO BMI cut-off values when applied to the Italian population cause misclassifications, and a considerable number of subjects, both males and females, will not be classified as obese based on their BMI alone</w:t>
      </w:r>
      <w:r w:rsidRPr="001326F0">
        <w:rPr>
          <w:rFonts w:ascii="Book Antiqua" w:hAnsi="Book Antiqua" w:cs="Times New Roman"/>
          <w:sz w:val="24"/>
          <w:szCs w:val="24"/>
          <w:vertAlign w:val="superscript"/>
          <w:lang w:val="en-US"/>
        </w:rPr>
        <w:t>[19]</w:t>
      </w:r>
      <w:r w:rsidRPr="001326F0">
        <w:rPr>
          <w:rFonts w:ascii="Book Antiqua" w:hAnsi="Book Antiqua" w:cs="Times New Roman"/>
          <w:sz w:val="24"/>
          <w:szCs w:val="24"/>
          <w:lang w:val="en-US"/>
        </w:rPr>
        <w:t xml:space="preserve">. </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The disagreement became impressive in the classification of obese women: in the class of age 30-40 the proportion of obese women according to BMI is 30% reaching about 82% if the classification is based on PBF. Notably, among women that were classified as normal according to their observed PBF, the median BMI was 20.1, ranging from 15.6 to 26.7.</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For the Italian population, the percentage of obese women according to PBF classification increases as age increases, ranging from 63.17% in women younger than 20 years to 87.39% in women older than 60</w:t>
      </w:r>
      <w:r w:rsidRPr="001326F0">
        <w:rPr>
          <w:rFonts w:ascii="Book Antiqua" w:hAnsi="Book Antiqua" w:cs="Times New Roman"/>
          <w:sz w:val="24"/>
          <w:szCs w:val="24"/>
          <w:vertAlign w:val="superscript"/>
          <w:lang w:val="en-GB"/>
        </w:rPr>
        <w:t>[</w:t>
      </w:r>
      <w:r w:rsidRPr="001326F0">
        <w:rPr>
          <w:rFonts w:ascii="Book Antiqua" w:hAnsi="Book Antiqua" w:cs="Times New Roman"/>
          <w:sz w:val="24"/>
          <w:szCs w:val="24"/>
          <w:vertAlign w:val="superscript"/>
          <w:lang w:val="en-US"/>
        </w:rPr>
        <w:t>20</w:t>
      </w:r>
      <w:r w:rsidRPr="001326F0">
        <w:rPr>
          <w:rFonts w:ascii="Book Antiqua" w:hAnsi="Book Antiqua" w:cs="Times New Roman"/>
          <w:sz w:val="24"/>
          <w:szCs w:val="24"/>
          <w:vertAlign w:val="superscript"/>
          <w:lang w:val="en-GB"/>
        </w:rPr>
        <w:t>]</w:t>
      </w:r>
      <w:r w:rsidRPr="001326F0">
        <w:rPr>
          <w:rFonts w:ascii="Book Antiqua" w:hAnsi="Book Antiqua" w:cs="Times New Roman"/>
          <w:sz w:val="24"/>
          <w:szCs w:val="24"/>
          <w:lang w:val="en-GB"/>
        </w:rPr>
        <w:t>.</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 values corresponding to normal weight, overweight, and various subgroups of obesity are confounded by body frame and muscularity, fluid retention, sarcopenia in aging or disease, spinal deformities, physical disabilities, and transcultural differences. A person with the same BMI, may have a large proportion of total body fat mass and be obese, or may have a considerable muscle mass and be a weight-lifter. Moreover, PBF at a given BMI will tend to vary across gender, age, and race-ethnicity</w:t>
      </w:r>
      <w:r w:rsidRPr="001326F0">
        <w:rPr>
          <w:rFonts w:ascii="Book Antiqua" w:hAnsi="Book Antiqua" w:cs="Times New Roman"/>
          <w:sz w:val="24"/>
          <w:szCs w:val="24"/>
          <w:vertAlign w:val="superscript"/>
          <w:lang w:val="en-US"/>
        </w:rPr>
        <w:t>[21-23]</w:t>
      </w:r>
      <w:r w:rsidRPr="001326F0">
        <w:rPr>
          <w:rFonts w:ascii="Book Antiqua" w:hAnsi="Book Antiqua" w:cs="Times New Roman"/>
          <w:sz w:val="24"/>
          <w:szCs w:val="24"/>
          <w:lang w:val="en-US"/>
        </w:rPr>
        <w:t xml:space="preserve">. </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 it is recommended to measure waist circumference (WC) in adults with BMIs below 35 kg/m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to further assess disease risk</w:t>
      </w:r>
      <w:r w:rsidRPr="001326F0">
        <w:rPr>
          <w:rFonts w:ascii="Book Antiqua" w:hAnsi="Book Antiqua" w:cs="Times New Roman"/>
          <w:sz w:val="24"/>
          <w:szCs w:val="24"/>
          <w:vertAlign w:val="superscript"/>
          <w:lang w:val="en-US"/>
        </w:rPr>
        <w:t>[24]</w:t>
      </w:r>
      <w:r w:rsidRPr="001326F0">
        <w:rPr>
          <w:rFonts w:ascii="Book Antiqua" w:hAnsi="Book Antiqua" w:cs="Times New Roman"/>
          <w:sz w:val="24"/>
          <w:szCs w:val="24"/>
          <w:lang w:val="en-US"/>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Anyway, obese individuals differ not only in the amount of excess fat mass, but also in the regional distribution of the fat within the body. The fat distribution affects the risk associated with obesity. It is useful therefore, to be able to distinguish between those at increased risk as a result of abnormal fat distribution or android obesity from those with the less serious gynoid fat distribution, in which fat is more evenly and peripherally distributed around the body</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On the hand even if there are some obese people are prone to develop alterations in fat distribution and metabolic disease, others are protected from the adverse metabolic effects of weight gain and increased adiposity</w:t>
      </w:r>
      <w:r w:rsidRPr="001326F0">
        <w:rPr>
          <w:rFonts w:ascii="Book Antiqua" w:hAnsi="Book Antiqua" w:cs="Times New Roman"/>
          <w:sz w:val="24"/>
          <w:szCs w:val="24"/>
          <w:vertAlign w:val="superscript"/>
          <w:lang w:val="en-US"/>
        </w:rPr>
        <w:t>[25]</w:t>
      </w:r>
      <w:r w:rsidRPr="001326F0">
        <w:rPr>
          <w:rFonts w:ascii="Book Antiqua" w:hAnsi="Book Antiqua" w:cs="Times New Roman"/>
          <w:sz w:val="24"/>
          <w:szCs w:val="24"/>
          <w:lang w:val="en-US"/>
        </w:rPr>
        <w:t>.</w:t>
      </w:r>
    </w:p>
    <w:p w:rsidR="007B70B9" w:rsidRPr="001326F0" w:rsidRDefault="007B70B9" w:rsidP="005821C0">
      <w:pPr>
        <w:adjustRightInd w:val="0"/>
        <w:snapToGrid w:val="0"/>
        <w:spacing w:after="0" w:line="360" w:lineRule="auto"/>
        <w:ind w:firstLineChars="100" w:firstLine="240"/>
        <w:jc w:val="both"/>
        <w:rPr>
          <w:rFonts w:ascii="Book Antiqua" w:eastAsia="Calibri" w:hAnsi="Book Antiqua" w:cs="Times New Roman"/>
          <w:kern w:val="1"/>
          <w:sz w:val="24"/>
          <w:szCs w:val="24"/>
          <w:lang w:val="en-GB" w:eastAsia="ar-SA"/>
        </w:rPr>
      </w:pPr>
      <w:r w:rsidRPr="001326F0">
        <w:rPr>
          <w:rFonts w:ascii="Book Antiqua" w:eastAsia="Calibri" w:hAnsi="Book Antiqua" w:cs="Times New Roman"/>
          <w:kern w:val="1"/>
          <w:sz w:val="24"/>
          <w:szCs w:val="24"/>
          <w:lang w:val="en-GB" w:eastAsia="ar-SA"/>
        </w:rPr>
        <w:t xml:space="preserve">Some studies suggested that the main issue to explain the metabolic abnormalities in normal weight individuals was fat distribution. </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Certain attributes of visceral fat, the adipose tissue surrounding abdominal organs, make its accumulation more worrisome than the accumulation of subcutaneous fat, which resides below the skin</w:t>
      </w:r>
      <w:r w:rsidRPr="001326F0">
        <w:rPr>
          <w:rFonts w:ascii="Book Antiqua" w:hAnsi="Book Antiqua"/>
          <w:sz w:val="24"/>
          <w:szCs w:val="24"/>
          <w:vertAlign w:val="superscript"/>
          <w:lang w:val="en-GB"/>
        </w:rPr>
        <w:t>[26-28]</w:t>
      </w:r>
      <w:r w:rsidRPr="001326F0">
        <w:rPr>
          <w:rFonts w:ascii="Book Antiqua" w:hAnsi="Book Antiqua"/>
          <w:sz w:val="24"/>
          <w:szCs w:val="24"/>
          <w:lang w:val="en-GB"/>
        </w:rPr>
        <w:t>.</w:t>
      </w:r>
    </w:p>
    <w:p w:rsidR="007B70B9" w:rsidRPr="001326F0" w:rsidRDefault="007B70B9" w:rsidP="005821C0">
      <w:pPr>
        <w:adjustRightInd w:val="0"/>
        <w:snapToGrid w:val="0"/>
        <w:spacing w:after="0" w:line="360" w:lineRule="auto"/>
        <w:ind w:firstLineChars="100" w:firstLine="240"/>
        <w:jc w:val="both"/>
        <w:rPr>
          <w:rFonts w:ascii="Book Antiqua" w:eastAsia="Calibri" w:hAnsi="Book Antiqua" w:cs="Times New Roman"/>
          <w:kern w:val="1"/>
          <w:sz w:val="24"/>
          <w:szCs w:val="24"/>
          <w:lang w:val="en-GB" w:eastAsia="ar-SA"/>
        </w:rPr>
      </w:pPr>
      <w:r w:rsidRPr="001326F0">
        <w:rPr>
          <w:rFonts w:ascii="Book Antiqua" w:eastAsia="Calibri" w:hAnsi="Book Antiqua" w:cs="Times New Roman"/>
          <w:kern w:val="1"/>
          <w:sz w:val="24"/>
          <w:szCs w:val="24"/>
          <w:lang w:val="en-GB" w:eastAsia="ar-SA"/>
        </w:rPr>
        <w:t>Other markers for excess body fat evaluation have to be used in clinical practice and investigation (</w:t>
      </w:r>
      <w:r w:rsidR="00BF5F43" w:rsidRPr="001326F0">
        <w:rPr>
          <w:rFonts w:ascii="Book Antiqua" w:eastAsia="Calibri" w:hAnsi="Book Antiqua" w:cs="Times New Roman"/>
          <w:i/>
          <w:kern w:val="1"/>
          <w:sz w:val="24"/>
          <w:szCs w:val="24"/>
          <w:lang w:val="en-GB" w:eastAsia="ar-SA"/>
        </w:rPr>
        <w:t>e.g</w:t>
      </w:r>
      <w:r w:rsidR="005821C0" w:rsidRPr="001326F0">
        <w:rPr>
          <w:rFonts w:ascii="Book Antiqua" w:hAnsi="Book Antiqua" w:cs="Times New Roman" w:hint="eastAsia"/>
          <w:kern w:val="1"/>
          <w:sz w:val="24"/>
          <w:szCs w:val="24"/>
          <w:lang w:val="en-GB" w:eastAsia="zh-CN"/>
        </w:rPr>
        <w:t>.</w:t>
      </w:r>
      <w:r w:rsidRPr="001326F0">
        <w:rPr>
          <w:rFonts w:ascii="Book Antiqua" w:eastAsia="Calibri" w:hAnsi="Book Antiqua" w:cs="Times New Roman"/>
          <w:kern w:val="1"/>
          <w:sz w:val="24"/>
          <w:szCs w:val="24"/>
          <w:lang w:val="en-GB" w:eastAsia="ar-SA"/>
        </w:rPr>
        <w:t xml:space="preserve">, WC, skin fold thickness, waist-to-hip ratio, waist-to-height ratio). </w:t>
      </w:r>
    </w:p>
    <w:p w:rsidR="007B70B9" w:rsidRPr="001326F0" w:rsidRDefault="007B70B9" w:rsidP="005821C0">
      <w:pPr>
        <w:pStyle w:val="Paragrafoelenco1"/>
        <w:adjustRightInd w:val="0"/>
        <w:snapToGrid w:val="0"/>
        <w:spacing w:after="0" w:line="360" w:lineRule="auto"/>
        <w:ind w:left="0" w:firstLineChars="100" w:firstLine="240"/>
        <w:jc w:val="both"/>
        <w:rPr>
          <w:rFonts w:ascii="Book Antiqua" w:hAnsi="Book Antiqua" w:cs="Times New Roman"/>
          <w:bCs/>
          <w:sz w:val="24"/>
          <w:szCs w:val="24"/>
          <w:lang w:val="en-US"/>
        </w:rPr>
      </w:pPr>
      <w:r w:rsidRPr="001326F0">
        <w:rPr>
          <w:rFonts w:ascii="Book Antiqua" w:hAnsi="Book Antiqua" w:cs="Times New Roman"/>
          <w:sz w:val="24"/>
          <w:szCs w:val="24"/>
        </w:rPr>
        <w:t>WC or waist-to-hip ratio has been used as a proxy measure for body fat distribution when investigating the health risk increased with an increasing ratio. Some studies have suggested that WC, either singly or in combination with BMI, may have a stronger relation to some health outcomes than BMI alone</w:t>
      </w:r>
      <w:r w:rsidRPr="001326F0">
        <w:rPr>
          <w:rFonts w:ascii="Book Antiqua" w:hAnsi="Book Antiqua" w:cs="Times New Roman"/>
          <w:sz w:val="24"/>
          <w:szCs w:val="24"/>
          <w:vertAlign w:val="superscript"/>
        </w:rPr>
        <w:t>[</w:t>
      </w:r>
      <w:r w:rsidRPr="001326F0">
        <w:rPr>
          <w:rFonts w:ascii="Book Antiqua" w:hAnsi="Book Antiqua" w:cs="Times New Roman"/>
          <w:bCs/>
          <w:sz w:val="24"/>
          <w:szCs w:val="24"/>
          <w:vertAlign w:val="superscript"/>
        </w:rPr>
        <w:t>29</w:t>
      </w:r>
      <w:r w:rsidRPr="001326F0">
        <w:rPr>
          <w:rFonts w:ascii="Book Antiqua" w:hAnsi="Book Antiqua" w:cs="Times New Roman"/>
          <w:sz w:val="24"/>
          <w:szCs w:val="24"/>
          <w:vertAlign w:val="superscript"/>
        </w:rPr>
        <w:t>]</w:t>
      </w:r>
      <w:r w:rsidRPr="001326F0">
        <w:rPr>
          <w:rFonts w:ascii="Book Antiqua" w:hAnsi="Book Antiqua" w:cs="Times New Roman"/>
          <w:sz w:val="24"/>
          <w:szCs w:val="24"/>
        </w:rPr>
        <w:t xml:space="preserve">. Moreover, progressively higher values of BMI and WC are associated with a progressive elevation in metabolic markers of </w:t>
      </w:r>
      <w:r w:rsidRPr="001326F0">
        <w:rPr>
          <w:rFonts w:ascii="Book Antiqua" w:hAnsi="Book Antiqua"/>
          <w:sz w:val="24"/>
          <w:szCs w:val="24"/>
        </w:rPr>
        <w:t>cardiovascular disease</w:t>
      </w:r>
      <w:r w:rsidRPr="001326F0">
        <w:rPr>
          <w:rFonts w:ascii="Book Antiqua" w:hAnsi="Book Antiqua" w:cs="Times New Roman"/>
          <w:sz w:val="24"/>
          <w:szCs w:val="24"/>
        </w:rPr>
        <w:t xml:space="preserve"> (CVD) risk such as total serum cholesterol, triglycerides, blood glucose and a progressive reduction of HDL-cholesterol, with a clear-cut increase in the incidence of all-cause and cardiovascular deaths as well as of cardiovascular morbid and fatal events</w:t>
      </w:r>
      <w:r w:rsidRPr="001326F0">
        <w:rPr>
          <w:rFonts w:ascii="Book Antiqua" w:hAnsi="Book Antiqua" w:cs="Times New Roman"/>
          <w:sz w:val="24"/>
          <w:szCs w:val="24"/>
          <w:vertAlign w:val="superscript"/>
        </w:rPr>
        <w:t>[30]</w:t>
      </w:r>
      <w:r w:rsidRPr="001326F0">
        <w:rPr>
          <w:rFonts w:ascii="Book Antiqua" w:hAnsi="Book Antiqua" w:cs="Times New Roman"/>
          <w:sz w:val="24"/>
          <w:szCs w:val="24"/>
        </w:rPr>
        <w:t>. In post-menopausal women, it was reported that both BMI and WC were associated with mortality, but WC may be more important than BMI</w:t>
      </w:r>
      <w:r w:rsidRPr="001326F0">
        <w:rPr>
          <w:rFonts w:ascii="Book Antiqua" w:hAnsi="Book Antiqua" w:cs="Times New Roman"/>
          <w:sz w:val="24"/>
          <w:szCs w:val="24"/>
          <w:vertAlign w:val="superscript"/>
        </w:rPr>
        <w:t>[</w:t>
      </w:r>
      <w:r w:rsidRPr="001326F0">
        <w:rPr>
          <w:rFonts w:ascii="Book Antiqua" w:hAnsi="Book Antiqua" w:cs="Times New Roman"/>
          <w:bCs/>
          <w:sz w:val="24"/>
          <w:szCs w:val="24"/>
          <w:vertAlign w:val="superscript"/>
          <w:lang w:val="en-US"/>
        </w:rPr>
        <w:t>31</w:t>
      </w:r>
      <w:r w:rsidRPr="001326F0">
        <w:rPr>
          <w:rFonts w:ascii="Book Antiqua" w:hAnsi="Book Antiqua" w:cs="Times New Roman"/>
          <w:sz w:val="24"/>
          <w:szCs w:val="24"/>
          <w:vertAlign w:val="superscript"/>
        </w:rPr>
        <w:t>]</w:t>
      </w:r>
      <w:r w:rsidRPr="001326F0">
        <w:rPr>
          <w:rFonts w:ascii="Book Antiqua" w:hAnsi="Book Antiqua" w:cs="Times New Roman"/>
          <w:sz w:val="24"/>
          <w:szCs w:val="24"/>
        </w:rPr>
        <w:t>, as it reflects abdominal fat levels. In the Nurses’ Health Study, waist-to-hip ratio and WC were also independently strongly associated with increased risk of coronary heart disease among women with a BMI of &lt;</w:t>
      </w:r>
      <w:r w:rsidR="005821C0" w:rsidRPr="001326F0">
        <w:rPr>
          <w:rFonts w:ascii="Book Antiqua" w:eastAsiaTheme="minorEastAsia" w:hAnsi="Book Antiqua" w:cs="Times New Roman" w:hint="eastAsia"/>
          <w:sz w:val="24"/>
          <w:szCs w:val="24"/>
          <w:lang w:eastAsia="zh-CN"/>
        </w:rPr>
        <w:t xml:space="preserve"> </w:t>
      </w:r>
      <w:r w:rsidRPr="001326F0">
        <w:rPr>
          <w:rFonts w:ascii="Book Antiqua" w:hAnsi="Book Antiqua" w:cs="Times New Roman"/>
          <w:sz w:val="24"/>
          <w:szCs w:val="24"/>
        </w:rPr>
        <w:t>25</w:t>
      </w:r>
      <w:r w:rsidR="005821C0" w:rsidRPr="001326F0">
        <w:rPr>
          <w:rFonts w:ascii="Book Antiqua" w:eastAsiaTheme="minorEastAsia" w:hAnsi="Book Antiqua" w:cs="Times New Roman" w:hint="eastAsia"/>
          <w:sz w:val="24"/>
          <w:szCs w:val="24"/>
          <w:lang w:eastAsia="zh-CN"/>
        </w:rPr>
        <w:t xml:space="preserve"> </w:t>
      </w:r>
      <w:r w:rsidRPr="001326F0">
        <w:rPr>
          <w:rFonts w:ascii="Book Antiqua" w:hAnsi="Book Antiqua" w:cs="Times New Roman"/>
          <w:sz w:val="24"/>
          <w:szCs w:val="24"/>
        </w:rPr>
        <w:t>kg/m</w:t>
      </w:r>
      <w:r w:rsidRPr="001326F0">
        <w:rPr>
          <w:rFonts w:ascii="Book Antiqua" w:hAnsi="Book Antiqua" w:cs="Times New Roman"/>
          <w:sz w:val="24"/>
          <w:szCs w:val="24"/>
          <w:vertAlign w:val="superscript"/>
        </w:rPr>
        <w:t>2[</w:t>
      </w:r>
      <w:r w:rsidRPr="001326F0">
        <w:rPr>
          <w:rFonts w:ascii="Book Antiqua" w:hAnsi="Book Antiqua" w:cs="Times New Roman"/>
          <w:bCs/>
          <w:sz w:val="24"/>
          <w:szCs w:val="24"/>
          <w:vertAlign w:val="superscript"/>
          <w:lang w:val="en-US"/>
        </w:rPr>
        <w:t>32</w:t>
      </w:r>
      <w:r w:rsidRPr="001326F0">
        <w:rPr>
          <w:rFonts w:ascii="Book Antiqua" w:hAnsi="Book Antiqua" w:cs="Times New Roman"/>
          <w:sz w:val="24"/>
          <w:szCs w:val="24"/>
          <w:vertAlign w:val="superscript"/>
        </w:rPr>
        <w:t>]</w:t>
      </w:r>
      <w:r w:rsidRPr="001326F0">
        <w:rPr>
          <w:rFonts w:ascii="Book Antiqua" w:hAnsi="Book Antiqua" w:cs="Times New Roman"/>
          <w:sz w:val="24"/>
          <w:szCs w:val="24"/>
        </w:rPr>
        <w:t xml:space="preserve">. WC reflects abdominal or intra-abdominal fat, and hip circumference reflects different aspects of body composition in the gluteo-femoral region, </w:t>
      </w:r>
      <w:r w:rsidRPr="001326F0">
        <w:rPr>
          <w:rFonts w:ascii="Book Antiqua" w:hAnsi="Book Antiqua" w:cs="Times New Roman"/>
          <w:i/>
          <w:sz w:val="24"/>
          <w:szCs w:val="24"/>
        </w:rPr>
        <w:t>i.e.</w:t>
      </w:r>
      <w:r w:rsidR="00BF5F43" w:rsidRPr="001326F0">
        <w:rPr>
          <w:rFonts w:ascii="Book Antiqua" w:eastAsiaTheme="minorEastAsia" w:hAnsi="Book Antiqua" w:cs="Times New Roman" w:hint="eastAsia"/>
          <w:sz w:val="24"/>
          <w:szCs w:val="24"/>
          <w:lang w:eastAsia="zh-CN"/>
        </w:rPr>
        <w:t>,</w:t>
      </w:r>
      <w:r w:rsidRPr="001326F0">
        <w:rPr>
          <w:rFonts w:ascii="Book Antiqua" w:hAnsi="Book Antiqua" w:cs="Times New Roman"/>
          <w:sz w:val="24"/>
          <w:szCs w:val="24"/>
        </w:rPr>
        <w:t xml:space="preserve"> muscle mass, bone, and fat mass. The importance of waist and hip measurements, and the waist to hip ratio, lies in the apparently different physical and metabolic characteristics of these two regions, and therefore the diverse clinical </w:t>
      </w:r>
      <w:r w:rsidRPr="001326F0">
        <w:rPr>
          <w:rFonts w:ascii="Book Antiqua" w:hAnsi="Book Antiqua" w:cs="Times New Roman"/>
          <w:sz w:val="24"/>
          <w:szCs w:val="24"/>
        </w:rPr>
        <w:lastRenderedPageBreak/>
        <w:t>outcomes in subjects with a gynoid (low waist to hip ratio, lower body obesity) or android (high waist to hip ratio, upper body obesity) body conformation.</w:t>
      </w:r>
      <w:r w:rsidR="004E769D" w:rsidRPr="001326F0">
        <w:rPr>
          <w:rFonts w:ascii="Book Antiqua" w:hAnsi="Book Antiqua" w:cs="Times New Roman"/>
          <w:sz w:val="24"/>
          <w:szCs w:val="24"/>
        </w:rPr>
        <w:t xml:space="preserve"> </w:t>
      </w:r>
      <w:r w:rsidRPr="001326F0">
        <w:rPr>
          <w:rFonts w:ascii="Book Antiqua" w:hAnsi="Book Antiqua" w:cs="Times New Roman"/>
          <w:sz w:val="24"/>
          <w:szCs w:val="24"/>
        </w:rPr>
        <w:t>This may be due to the tendency for abdominal adipocytes to enlarge (hypertrophy) whereas subcutaneous femoral adipocytes increase in number (hyperplasia), perhaps due to increased levels of the adipogenic transcription factors CCAAT/ enhancer-binding protein α</w:t>
      </w:r>
      <w:r w:rsidR="005821C0" w:rsidRPr="001326F0">
        <w:rPr>
          <w:rFonts w:ascii="Book Antiqua" w:hAnsi="Book Antiqua" w:cs="Times New Roman"/>
          <w:sz w:val="24"/>
          <w:szCs w:val="24"/>
        </w:rPr>
        <w:t xml:space="preserve"> (C/EBPα; GeneBank accession No</w:t>
      </w:r>
      <w:r w:rsidRPr="001326F0">
        <w:rPr>
          <w:rFonts w:ascii="Book Antiqua" w:hAnsi="Book Antiqua" w:cs="Times New Roman"/>
          <w:sz w:val="24"/>
          <w:szCs w:val="24"/>
        </w:rPr>
        <w:t xml:space="preserve">: NC_000019) and peroxisome proliferator-activated receptor-γ2 (PPARγ2; GeneBank accession </w:t>
      </w:r>
      <w:r w:rsidR="005821C0" w:rsidRPr="001326F0">
        <w:rPr>
          <w:rFonts w:ascii="Book Antiqua" w:hAnsi="Book Antiqua" w:cs="Times New Roman"/>
          <w:sz w:val="24"/>
          <w:szCs w:val="24"/>
        </w:rPr>
        <w:t>N</w:t>
      </w:r>
      <w:r w:rsidR="005821C0" w:rsidRPr="001326F0">
        <w:rPr>
          <w:rFonts w:ascii="Book Antiqua" w:eastAsiaTheme="minorEastAsia" w:hAnsi="Book Antiqua" w:cs="Times New Roman" w:hint="eastAsia"/>
          <w:sz w:val="24"/>
          <w:szCs w:val="24"/>
          <w:lang w:eastAsia="zh-CN"/>
        </w:rPr>
        <w:t>o</w:t>
      </w:r>
      <w:r w:rsidRPr="001326F0">
        <w:rPr>
          <w:rFonts w:ascii="Book Antiqua" w:hAnsi="Book Antiqua" w:cs="Times New Roman"/>
          <w:sz w:val="24"/>
          <w:szCs w:val="24"/>
        </w:rPr>
        <w:t>: NC_000003) in hypertrophic adipocytes</w:t>
      </w:r>
      <w:r w:rsidRPr="001326F0">
        <w:rPr>
          <w:rFonts w:ascii="Book Antiqua" w:hAnsi="Book Antiqua" w:cs="Times New Roman"/>
          <w:sz w:val="24"/>
          <w:szCs w:val="24"/>
          <w:vertAlign w:val="superscript"/>
        </w:rPr>
        <w:t>[33]</w:t>
      </w:r>
      <w:r w:rsidRPr="001326F0">
        <w:rPr>
          <w:rFonts w:ascii="Book Antiqua" w:hAnsi="Book Antiqua" w:cs="Times New Roman"/>
          <w:sz w:val="24"/>
          <w:szCs w:val="24"/>
        </w:rPr>
        <w:t>. Hypertrophic adipocytes tend to be associated with dyslipidemia and insulin resistance</w:t>
      </w:r>
      <w:r w:rsidRPr="001326F0">
        <w:rPr>
          <w:rFonts w:ascii="Book Antiqua" w:hAnsi="Book Antiqua" w:cs="Times New Roman"/>
          <w:sz w:val="24"/>
          <w:szCs w:val="24"/>
          <w:vertAlign w:val="superscript"/>
        </w:rPr>
        <w:t>[34]</w:t>
      </w:r>
      <w:r w:rsidRPr="001326F0">
        <w:rPr>
          <w:rFonts w:ascii="Book Antiqua" w:hAnsi="Book Antiqua" w:cs="Times New Roman"/>
          <w:sz w:val="24"/>
          <w:szCs w:val="24"/>
        </w:rPr>
        <w:t>. It has been suggested that the composition of gluteal fat deposits correspond more closely with that of visceral deposits rather than femoral deposits</w:t>
      </w:r>
      <w:r w:rsidRPr="001326F0">
        <w:rPr>
          <w:rFonts w:ascii="Book Antiqua" w:hAnsi="Book Antiqua" w:cs="Times New Roman"/>
          <w:sz w:val="24"/>
          <w:szCs w:val="24"/>
          <w:vertAlign w:val="superscript"/>
        </w:rPr>
        <w:t>[35]</w:t>
      </w:r>
      <w:r w:rsidRPr="001326F0">
        <w:rPr>
          <w:rFonts w:ascii="Book Antiqua" w:hAnsi="Book Antiqua" w:cs="Times New Roman"/>
          <w:sz w:val="24"/>
          <w:szCs w:val="24"/>
        </w:rPr>
        <w:t>.</w:t>
      </w:r>
      <w:r w:rsidR="00D74C7F" w:rsidRPr="001326F0">
        <w:rPr>
          <w:rFonts w:ascii="Book Antiqua" w:hAnsi="Book Antiqua" w:cs="Times New Roman"/>
          <w:sz w:val="24"/>
          <w:szCs w:val="24"/>
        </w:rPr>
        <w:t xml:space="preserve"> </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In conclusion, diagnosis, therapy and follow up of all subtypes of obesity must not be based on “body weight” parameter, but body composition parameters and energetic expenditure are required. </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To overcome misclassifications, direct measurements of PBF, by magnetic resonance imaging (MRI), computerized tomography (CT), dual energy </w:t>
      </w:r>
      <w:r w:rsidR="005821C0" w:rsidRPr="001326F0">
        <w:rPr>
          <w:rFonts w:ascii="Book Antiqua" w:hAnsi="Book Antiqua" w:cs="Times New Roman"/>
          <w:sz w:val="24"/>
          <w:szCs w:val="24"/>
          <w:lang w:val="en-US"/>
        </w:rPr>
        <w:t>X</w:t>
      </w:r>
      <w:r w:rsidRPr="001326F0">
        <w:rPr>
          <w:rFonts w:ascii="Book Antiqua" w:hAnsi="Book Antiqua" w:cs="Times New Roman"/>
          <w:sz w:val="24"/>
          <w:szCs w:val="24"/>
          <w:lang w:val="en-US"/>
        </w:rPr>
        <w:t>-ray absorptiometry (DXA), bioimpedence analysis (BIA), total body water or hydrometry, and skinfold thickness</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would be a better tool for diagnosing the obese phenotypes</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 xml:space="preserve">(Figure 1). </w:t>
      </w:r>
    </w:p>
    <w:p w:rsidR="007B70B9" w:rsidRPr="001326F0" w:rsidRDefault="007B70B9" w:rsidP="00746C86">
      <w:pPr>
        <w:adjustRightInd w:val="0"/>
        <w:snapToGrid w:val="0"/>
        <w:spacing w:after="0" w:line="360" w:lineRule="auto"/>
        <w:jc w:val="both"/>
        <w:rPr>
          <w:rFonts w:ascii="Book Antiqua" w:hAnsi="Book Antiqua" w:cs="Times New Roman"/>
          <w:b/>
          <w:sz w:val="24"/>
          <w:szCs w:val="24"/>
          <w:lang w:val="en-US"/>
        </w:rPr>
      </w:pPr>
    </w:p>
    <w:p w:rsidR="007B70B9" w:rsidRPr="001326F0" w:rsidRDefault="007B70B9" w:rsidP="00746C86">
      <w:pPr>
        <w:adjustRightInd w:val="0"/>
        <w:snapToGrid w:val="0"/>
        <w:spacing w:after="0" w:line="360" w:lineRule="auto"/>
        <w:jc w:val="both"/>
        <w:rPr>
          <w:rFonts w:ascii="Book Antiqua" w:hAnsi="Book Antiqua" w:cs="Times New Roman"/>
          <w:b/>
          <w:bCs/>
          <w:caps/>
          <w:sz w:val="24"/>
          <w:szCs w:val="24"/>
          <w:lang w:val="en-US"/>
        </w:rPr>
      </w:pPr>
      <w:r w:rsidRPr="001326F0">
        <w:rPr>
          <w:rFonts w:ascii="Book Antiqua" w:hAnsi="Book Antiqua" w:cs="Times New Roman"/>
          <w:b/>
          <w:sz w:val="24"/>
          <w:szCs w:val="24"/>
          <w:lang w:val="en-US"/>
        </w:rPr>
        <w:t xml:space="preserve">OBESITY AS DISEASE: </w:t>
      </w:r>
      <w:r w:rsidRPr="001326F0">
        <w:rPr>
          <w:rFonts w:ascii="Book Antiqua" w:hAnsi="Book Antiqua" w:cs="Times New Roman"/>
          <w:b/>
          <w:bCs/>
          <w:caps/>
          <w:sz w:val="24"/>
          <w:szCs w:val="24"/>
          <w:lang w:val="en-US"/>
        </w:rPr>
        <w:t>Sick fat or fat mass disease</w:t>
      </w:r>
    </w:p>
    <w:p w:rsidR="007B70B9" w:rsidRPr="001326F0" w:rsidRDefault="007B70B9" w:rsidP="00746C86">
      <w:pPr>
        <w:adjustRightInd w:val="0"/>
        <w:snapToGrid w:val="0"/>
        <w:spacing w:after="0" w:line="360" w:lineRule="auto"/>
        <w:jc w:val="both"/>
        <w:rPr>
          <w:rFonts w:ascii="Book Antiqua" w:hAnsi="Book Antiqua" w:cs="Times New Roman"/>
          <w:sz w:val="24"/>
          <w:szCs w:val="24"/>
          <w:highlight w:val="yellow"/>
          <w:lang w:val="en-US"/>
        </w:rPr>
      </w:pPr>
      <w:r w:rsidRPr="001326F0">
        <w:rPr>
          <w:rFonts w:ascii="Book Antiqua" w:hAnsi="Book Antiqua" w:cs="Times New Roman"/>
          <w:sz w:val="24"/>
          <w:szCs w:val="24"/>
          <w:lang w:val="en-US"/>
        </w:rPr>
        <w:t xml:space="preserve">Bays </w:t>
      </w:r>
      <w:r w:rsidR="005821C0" w:rsidRPr="001326F0">
        <w:rPr>
          <w:rFonts w:ascii="Book Antiqua" w:hAnsi="Book Antiqua" w:cs="Times New Roman"/>
          <w:i/>
          <w:sz w:val="24"/>
          <w:szCs w:val="24"/>
          <w:lang w:val="en-US"/>
        </w:rPr>
        <w:t>et al</w:t>
      </w:r>
      <w:r w:rsidR="005821C0" w:rsidRPr="001326F0">
        <w:rPr>
          <w:rFonts w:ascii="Book Antiqua" w:hAnsi="Book Antiqua" w:cs="Times New Roman"/>
          <w:sz w:val="24"/>
          <w:szCs w:val="24"/>
          <w:vertAlign w:val="superscript"/>
          <w:lang w:val="en-US"/>
        </w:rPr>
        <w:t>[36]</w:t>
      </w:r>
      <w:r w:rsidRPr="001326F0">
        <w:rPr>
          <w:rFonts w:ascii="Book Antiqua" w:hAnsi="Book Antiqua" w:cs="Times New Roman"/>
          <w:sz w:val="24"/>
          <w:szCs w:val="24"/>
          <w:lang w:val="en-US"/>
        </w:rPr>
        <w:t xml:space="preserve"> have coined a new term that well defines the concept of'' sick fat'', the adiposopathy, in order to highlight the pathogenic role of adipose tissue. The adiposopathy is caused by positive caloric balance, that occurred in hypercaloric diet and sedentary lifestyle in genetically predisposed and envir</w:t>
      </w:r>
      <w:r w:rsidR="005821C0" w:rsidRPr="001326F0">
        <w:rPr>
          <w:rFonts w:ascii="Book Antiqua" w:hAnsi="Book Antiqua" w:cs="Times New Roman"/>
          <w:sz w:val="24"/>
          <w:szCs w:val="24"/>
          <w:lang w:val="en-US"/>
        </w:rPr>
        <w:t>onmentally sensitive individual</w:t>
      </w:r>
      <w:r w:rsidRPr="001326F0">
        <w:rPr>
          <w:rFonts w:ascii="Book Antiqua" w:hAnsi="Book Antiqua" w:cs="Times New Roman"/>
          <w:sz w:val="24"/>
          <w:szCs w:val="24"/>
          <w:vertAlign w:val="superscript"/>
          <w:lang w:val="en-US"/>
        </w:rPr>
        <w:t>[36]</w:t>
      </w:r>
      <w:r w:rsidRPr="001326F0">
        <w:rPr>
          <w:rFonts w:ascii="Book Antiqua" w:hAnsi="Book Antiqua" w:cs="Times New Roman"/>
          <w:sz w:val="24"/>
          <w:szCs w:val="24"/>
          <w:lang w:val="en-US"/>
        </w:rPr>
        <w:t>. Impaired adipocyte proliferation or differentiation (adipogenesis), visceral adiposity, growth of adipose tissue beyond adequate vascular supply and ectopic fat deposition are anatomical manifestations of adiposopathy that are associated with adverse endocrine and immune responses leading to metabolic disease</w:t>
      </w:r>
      <w:r w:rsidRPr="001326F0">
        <w:rPr>
          <w:rFonts w:ascii="Book Antiqua" w:hAnsi="Book Antiqua" w:cs="Times New Roman"/>
          <w:sz w:val="24"/>
          <w:szCs w:val="24"/>
          <w:vertAlign w:val="superscript"/>
          <w:lang w:val="en-US"/>
        </w:rPr>
        <w:t>[37,38]</w:t>
      </w:r>
      <w:r w:rsidRPr="001326F0">
        <w:rPr>
          <w:rFonts w:ascii="Book Antiqua" w:hAnsi="Book Antiqua" w:cs="Times New Roman"/>
          <w:sz w:val="24"/>
          <w:szCs w:val="24"/>
          <w:lang w:val="en-US"/>
        </w:rPr>
        <w:t>.</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In order to understand the importance of the role of adipose tissue in the onset of a pathological condition and distinguish the degree and type of disease, we agree with the definition proposed by Bays of adiposopathy, as “sick fat disease”, and obesity as “fat mass disease”</w:t>
      </w:r>
      <w:r w:rsidRPr="001326F0">
        <w:rPr>
          <w:rFonts w:ascii="Book Antiqua" w:hAnsi="Book Antiqua" w:cs="Times New Roman"/>
          <w:sz w:val="24"/>
          <w:szCs w:val="24"/>
          <w:vertAlign w:val="superscript"/>
          <w:lang w:val="en-US"/>
        </w:rPr>
        <w:t>[38]</w:t>
      </w:r>
      <w:r w:rsidRPr="001326F0">
        <w:rPr>
          <w:rFonts w:ascii="Book Antiqua" w:hAnsi="Book Antiqua" w:cs="Times New Roman"/>
          <w:sz w:val="24"/>
          <w:szCs w:val="24"/>
          <w:lang w:val="en-US"/>
        </w:rPr>
        <w:t>. Different adverse physical and metabolic health consequences could occur as directed or undirected consequences of adipose tissue mass spread and dysfunction</w:t>
      </w:r>
      <w:r w:rsidRPr="001326F0">
        <w:rPr>
          <w:rFonts w:ascii="Book Antiqua" w:hAnsi="Book Antiqua" w:cs="Times New Roman"/>
          <w:sz w:val="24"/>
          <w:szCs w:val="24"/>
          <w:vertAlign w:val="superscript"/>
          <w:lang w:val="en-US"/>
        </w:rPr>
        <w:t>[39]</w:t>
      </w:r>
      <w:r w:rsidRPr="001326F0">
        <w:rPr>
          <w:rFonts w:ascii="Book Antiqua" w:hAnsi="Book Antiqua" w:cs="Times New Roman"/>
          <w:sz w:val="24"/>
          <w:szCs w:val="24"/>
          <w:lang w:val="en-US"/>
        </w:rPr>
        <w:t>, such as metabolic syndrome, respiratory disorders, joint pain, diabetic retinopathy, low self-esteem, cardiovascular, neurologic, pulmonary, musculoskeletal, dermatologic, gastrointestinal, genitourinary, renal and psychological diseases and cancer</w:t>
      </w:r>
      <w:r w:rsidRPr="001326F0">
        <w:rPr>
          <w:rFonts w:ascii="Book Antiqua" w:hAnsi="Book Antiqua" w:cs="Times New Roman"/>
          <w:sz w:val="24"/>
          <w:szCs w:val="24"/>
          <w:vertAlign w:val="superscript"/>
          <w:lang w:val="en-US"/>
        </w:rPr>
        <w:t>[3,4,40-42].</w:t>
      </w:r>
      <w:r w:rsidRPr="001326F0">
        <w:rPr>
          <w:rFonts w:ascii="Book Antiqua" w:hAnsi="Book Antiqua" w:cs="Times New Roman"/>
          <w:sz w:val="24"/>
          <w:szCs w:val="24"/>
          <w:lang w:val="en-US"/>
        </w:rPr>
        <w:t xml:space="preserve"> Moreover, also a slight rise of body weight may represent a risk factor for the onset of metabolic abnormalities that lead to development metabolic disease</w:t>
      </w:r>
      <w:r w:rsidRPr="001326F0">
        <w:rPr>
          <w:rFonts w:ascii="Book Antiqua" w:hAnsi="Book Antiqua" w:cs="Times New Roman"/>
          <w:sz w:val="24"/>
          <w:szCs w:val="24"/>
          <w:vertAlign w:val="superscript"/>
          <w:lang w:val="en-US"/>
        </w:rPr>
        <w:t xml:space="preserve">[43]. </w:t>
      </w:r>
    </w:p>
    <w:p w:rsidR="007B70B9" w:rsidRPr="001326F0" w:rsidRDefault="007B70B9" w:rsidP="005821C0">
      <w:pPr>
        <w:adjustRightInd w:val="0"/>
        <w:snapToGrid w:val="0"/>
        <w:spacing w:after="0" w:line="360" w:lineRule="auto"/>
        <w:ind w:firstLineChars="100" w:firstLine="240"/>
        <w:jc w:val="both"/>
        <w:rPr>
          <w:rFonts w:ascii="Book Antiqua" w:eastAsia="Calibri" w:hAnsi="Book Antiqua" w:cs="Times New Roman"/>
          <w:kern w:val="1"/>
          <w:sz w:val="24"/>
          <w:szCs w:val="24"/>
          <w:highlight w:val="yellow"/>
          <w:lang w:val="en-GB" w:eastAsia="ar-SA"/>
        </w:rPr>
      </w:pPr>
      <w:r w:rsidRPr="001326F0">
        <w:rPr>
          <w:rFonts w:ascii="Book Antiqua" w:eastAsia="Calibri" w:hAnsi="Book Antiqua" w:cs="Times New Roman"/>
          <w:kern w:val="1"/>
          <w:sz w:val="24"/>
          <w:szCs w:val="24"/>
          <w:lang w:val="en-GB" w:eastAsia="ar-SA"/>
        </w:rPr>
        <w:t>According to Patel and Abate</w:t>
      </w:r>
      <w:r w:rsidR="005821C0" w:rsidRPr="001326F0">
        <w:rPr>
          <w:rFonts w:ascii="Book Antiqua" w:eastAsia="Calibri" w:hAnsi="Book Antiqua" w:cs="Times New Roman"/>
          <w:kern w:val="1"/>
          <w:sz w:val="24"/>
          <w:szCs w:val="24"/>
          <w:vertAlign w:val="superscript"/>
          <w:lang w:val="en-GB" w:eastAsia="ar-SA"/>
        </w:rPr>
        <w:t>[44]</w:t>
      </w:r>
      <w:r w:rsidRPr="001326F0">
        <w:rPr>
          <w:rFonts w:ascii="Book Antiqua" w:eastAsia="Calibri" w:hAnsi="Book Antiqua" w:cs="Times New Roman"/>
          <w:kern w:val="1"/>
          <w:sz w:val="24"/>
          <w:szCs w:val="24"/>
          <w:lang w:val="en-GB" w:eastAsia="ar-SA"/>
        </w:rPr>
        <w:t>, the subcutaneous adipose tissue can be a major contributor of systemic free fatty acid flux, more than visceral or retroperitoneal fat, able to determine the insulin resistance</w:t>
      </w:r>
      <w:r w:rsidR="00D74C7F" w:rsidRPr="001326F0">
        <w:rPr>
          <w:rFonts w:ascii="Book Antiqua" w:eastAsia="Calibri" w:hAnsi="Book Antiqua" w:cs="Times New Roman"/>
          <w:kern w:val="1"/>
          <w:sz w:val="24"/>
          <w:szCs w:val="24"/>
          <w:lang w:val="en-GB" w:eastAsia="ar-SA"/>
        </w:rPr>
        <w:t xml:space="preserve"> </w:t>
      </w:r>
      <w:r w:rsidRPr="001326F0">
        <w:rPr>
          <w:rFonts w:ascii="Book Antiqua" w:eastAsia="Calibri" w:hAnsi="Book Antiqua" w:cs="Times New Roman"/>
          <w:kern w:val="1"/>
          <w:sz w:val="24"/>
          <w:szCs w:val="24"/>
          <w:lang w:val="en-GB" w:eastAsia="ar-SA"/>
        </w:rPr>
        <w:t>development.</w:t>
      </w:r>
    </w:p>
    <w:p w:rsidR="007B70B9" w:rsidRPr="001326F0" w:rsidRDefault="007B70B9" w:rsidP="005821C0">
      <w:pPr>
        <w:adjustRightInd w:val="0"/>
        <w:snapToGrid w:val="0"/>
        <w:spacing w:after="0" w:line="360" w:lineRule="auto"/>
        <w:ind w:firstLineChars="100" w:firstLine="240"/>
        <w:jc w:val="both"/>
        <w:rPr>
          <w:rFonts w:ascii="Book Antiqua" w:eastAsia="Calibri" w:hAnsi="Book Antiqua" w:cs="Times New Roman"/>
          <w:kern w:val="1"/>
          <w:sz w:val="24"/>
          <w:szCs w:val="24"/>
          <w:lang w:val="en-GB" w:eastAsia="ar-SA"/>
        </w:rPr>
      </w:pPr>
      <w:r w:rsidRPr="001326F0">
        <w:rPr>
          <w:rFonts w:ascii="Book Antiqua" w:eastAsia="Calibri" w:hAnsi="Book Antiqua" w:cs="Times New Roman"/>
          <w:kern w:val="1"/>
          <w:sz w:val="24"/>
          <w:szCs w:val="24"/>
          <w:lang w:val="en-GB" w:eastAsia="ar-SA"/>
        </w:rPr>
        <w:t xml:space="preserve">Apovian </w:t>
      </w:r>
      <w:r w:rsidR="005821C0" w:rsidRPr="001326F0">
        <w:rPr>
          <w:rFonts w:ascii="Book Antiqua" w:eastAsia="Calibri" w:hAnsi="Book Antiqua" w:cs="Times New Roman"/>
          <w:i/>
          <w:kern w:val="1"/>
          <w:sz w:val="24"/>
          <w:szCs w:val="24"/>
          <w:lang w:val="en-GB" w:eastAsia="ar-SA"/>
        </w:rPr>
        <w:t>et al</w:t>
      </w:r>
      <w:r w:rsidR="005821C0" w:rsidRPr="001326F0">
        <w:rPr>
          <w:rFonts w:ascii="Book Antiqua" w:eastAsia="Calibri" w:hAnsi="Book Antiqua" w:cs="Times New Roman"/>
          <w:kern w:val="1"/>
          <w:sz w:val="24"/>
          <w:szCs w:val="24"/>
          <w:vertAlign w:val="superscript"/>
          <w:lang w:val="en-GB" w:eastAsia="ar-SA"/>
        </w:rPr>
        <w:t>[45]</w:t>
      </w:r>
      <w:r w:rsidRPr="001326F0">
        <w:rPr>
          <w:rFonts w:ascii="Book Antiqua" w:eastAsia="Calibri" w:hAnsi="Book Antiqua" w:cs="Times New Roman"/>
          <w:kern w:val="1"/>
          <w:sz w:val="24"/>
          <w:szCs w:val="24"/>
          <w:lang w:val="en-GB" w:eastAsia="ar-SA"/>
        </w:rPr>
        <w:t xml:space="preserve"> explained the insulin resistance and vascular endothelial dysfunction in obese subjects with the phenomenon of adipose tissue macrophage infiltration, in the form of crown-like structures (CLS), associated with and elevated plasma high sensitivity C-reactive protein (hs-CRP) levels. </w:t>
      </w:r>
    </w:p>
    <w:p w:rsidR="007B70B9" w:rsidRPr="001326F0" w:rsidRDefault="007B70B9" w:rsidP="005821C0">
      <w:pPr>
        <w:adjustRightInd w:val="0"/>
        <w:snapToGrid w:val="0"/>
        <w:spacing w:after="0" w:line="360" w:lineRule="auto"/>
        <w:ind w:firstLineChars="100" w:firstLine="240"/>
        <w:jc w:val="both"/>
        <w:rPr>
          <w:rFonts w:ascii="Book Antiqua" w:eastAsia="Calibri" w:hAnsi="Book Antiqua" w:cs="Times New Roman"/>
          <w:kern w:val="1"/>
          <w:sz w:val="24"/>
          <w:szCs w:val="24"/>
          <w:lang w:val="en-GB" w:eastAsia="ar-SA"/>
        </w:rPr>
      </w:pPr>
      <w:r w:rsidRPr="001326F0">
        <w:rPr>
          <w:rFonts w:ascii="Book Antiqua" w:eastAsia="Calibri" w:hAnsi="Book Antiqua" w:cs="Times New Roman"/>
          <w:kern w:val="1"/>
          <w:sz w:val="24"/>
          <w:szCs w:val="24"/>
          <w:lang w:val="en-GB" w:eastAsia="ar-SA"/>
        </w:rPr>
        <w:t xml:space="preserve">Because of the complexity of the obesity condition, it is clear that we need a new and more adequate model, possibly based on findings at the physiopathological level and a new method to correctly identify all the affected subjects for an efficient and successful treatment. </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If Bays </w:t>
      </w:r>
      <w:r w:rsidR="005821C0" w:rsidRPr="001326F0">
        <w:rPr>
          <w:rFonts w:ascii="Book Antiqua" w:hAnsi="Book Antiqua" w:cs="Times New Roman"/>
          <w:i/>
          <w:sz w:val="24"/>
          <w:szCs w:val="24"/>
          <w:lang w:val="en-US"/>
        </w:rPr>
        <w:t>et al</w:t>
      </w:r>
      <w:r w:rsidR="005821C0" w:rsidRPr="001326F0">
        <w:rPr>
          <w:rFonts w:ascii="Book Antiqua" w:hAnsi="Book Antiqua" w:cs="Times New Roman"/>
          <w:sz w:val="24"/>
          <w:szCs w:val="24"/>
          <w:vertAlign w:val="superscript"/>
          <w:lang w:val="en-US"/>
        </w:rPr>
        <w:t>[39]</w:t>
      </w:r>
      <w:r w:rsidRPr="001326F0">
        <w:rPr>
          <w:rFonts w:ascii="Book Antiqua" w:hAnsi="Book Antiqua" w:cs="Times New Roman"/>
          <w:sz w:val="24"/>
          <w:szCs w:val="24"/>
          <w:lang w:val="en-US"/>
        </w:rPr>
        <w:t xml:space="preserve"> affirmed that to deny the adiposopathy, also in mildly overweight patients, represents denying the opportunity of cure to this individuals, and perhaps to entire populations</w:t>
      </w:r>
      <w:r w:rsidRPr="001326F0">
        <w:rPr>
          <w:rFonts w:ascii="Book Antiqua" w:hAnsi="Book Antiqua" w:cs="Times New Roman"/>
          <w:sz w:val="24"/>
          <w:szCs w:val="24"/>
          <w:vertAlign w:val="superscript"/>
          <w:lang w:val="en-US"/>
        </w:rPr>
        <w:t xml:space="preserve">, </w:t>
      </w:r>
      <w:r w:rsidRPr="001326F0">
        <w:rPr>
          <w:rFonts w:ascii="Book Antiqua" w:hAnsi="Book Antiqua" w:cs="Times New Roman"/>
          <w:sz w:val="24"/>
          <w:szCs w:val="24"/>
          <w:lang w:val="en-US"/>
        </w:rPr>
        <w:t>we added the importance to evaluate PBF in normal weight individuals to predict in advance the risk of adiposopathy, and to verify the real state of health.</w:t>
      </w: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b/>
          <w:bCs/>
          <w:iCs/>
          <w:caps/>
          <w:sz w:val="24"/>
          <w:szCs w:val="24"/>
          <w:lang w:val="en-GB"/>
        </w:rPr>
      </w:pP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b/>
          <w:bCs/>
          <w:iCs/>
          <w:caps/>
          <w:sz w:val="24"/>
          <w:szCs w:val="24"/>
          <w:lang w:val="en-GB"/>
        </w:rPr>
      </w:pPr>
      <w:r w:rsidRPr="001326F0">
        <w:rPr>
          <w:rFonts w:ascii="Book Antiqua" w:hAnsi="Book Antiqua" w:cs="Times New Roman"/>
          <w:b/>
          <w:bCs/>
          <w:iCs/>
          <w:caps/>
          <w:sz w:val="24"/>
          <w:szCs w:val="24"/>
          <w:lang w:val="en-GB"/>
        </w:rPr>
        <w:t>ECTOPIC Fat distribution and organ function</w:t>
      </w:r>
    </w:p>
    <w:p w:rsidR="007B70B9" w:rsidRPr="001326F0" w:rsidRDefault="007B70B9" w:rsidP="00746C86">
      <w:pPr>
        <w:adjustRightInd w:val="0"/>
        <w:snapToGrid w:val="0"/>
        <w:spacing w:after="0" w:line="360" w:lineRule="auto"/>
        <w:jc w:val="both"/>
        <w:rPr>
          <w:rFonts w:ascii="Book Antiqua" w:hAnsi="Book Antiqua"/>
          <w:sz w:val="24"/>
          <w:szCs w:val="24"/>
          <w:lang w:val="en-US"/>
        </w:rPr>
      </w:pPr>
      <w:r w:rsidRPr="001326F0">
        <w:rPr>
          <w:rFonts w:ascii="Book Antiqua" w:hAnsi="Book Antiqua"/>
          <w:sz w:val="24"/>
          <w:szCs w:val="24"/>
          <w:lang w:val="en-US"/>
        </w:rPr>
        <w:lastRenderedPageBreak/>
        <w:t>The association between visceral fat and metabolic and cardiovascular disorders is also related to accumulation of ectopic fat that accompanies visceral adiposity</w:t>
      </w:r>
      <w:r w:rsidRPr="001326F0">
        <w:rPr>
          <w:rFonts w:ascii="Book Antiqua" w:hAnsi="Book Antiqua"/>
          <w:sz w:val="24"/>
          <w:szCs w:val="24"/>
          <w:vertAlign w:val="superscript"/>
          <w:lang w:val="en-US"/>
        </w:rPr>
        <w:t>[46]</w:t>
      </w:r>
      <w:r w:rsidRPr="001326F0">
        <w:rPr>
          <w:rFonts w:ascii="Book Antiqua" w:hAnsi="Book Antiqua"/>
          <w:sz w:val="24"/>
          <w:szCs w:val="24"/>
          <w:lang w:val="en-US"/>
        </w:rPr>
        <w:t>. Moreover, the hepatic fat observed in patients with insulin resistance could be independent from the visceral fat content</w:t>
      </w:r>
      <w:r w:rsidRPr="001326F0">
        <w:rPr>
          <w:rFonts w:ascii="Book Antiqua" w:hAnsi="Book Antiqua"/>
          <w:sz w:val="24"/>
          <w:szCs w:val="24"/>
          <w:vertAlign w:val="superscript"/>
          <w:lang w:val="en-US"/>
        </w:rPr>
        <w:t>[47]</w:t>
      </w:r>
      <w:r w:rsidRPr="001326F0">
        <w:rPr>
          <w:rFonts w:ascii="Book Antiqua" w:hAnsi="Book Antiqua"/>
          <w:sz w:val="24"/>
          <w:szCs w:val="24"/>
          <w:lang w:val="en-US"/>
        </w:rPr>
        <w:t>.</w:t>
      </w:r>
    </w:p>
    <w:p w:rsidR="007B70B9" w:rsidRPr="001326F0" w:rsidRDefault="007B70B9" w:rsidP="005821C0">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Healthy expansion of subcutaneous fat in response to obesity is accompanied by enlargement of fat mass through enhanced recruitment of preadipocytes along with adequate vascularization of expanding adipose tissue and minimal fibrosis and minimal infiltration of inflammatory adipose tissue macrophages (ATMs). In contrast, pathologic expansion is associated with rapid growth of fat tissue through the enlargement of existing adipocytes and inadequate vascularization leading to fibrosis and inflammatory ATM infiltration that secrete high levels of inflammatory cytokines</w:t>
      </w:r>
      <w:r w:rsidRPr="001326F0">
        <w:rPr>
          <w:rFonts w:ascii="Book Antiqua" w:hAnsi="Book Antiqua"/>
          <w:sz w:val="24"/>
          <w:szCs w:val="24"/>
          <w:vertAlign w:val="superscript"/>
          <w:lang w:val="en-US"/>
        </w:rPr>
        <w:t>[48]</w:t>
      </w:r>
      <w:r w:rsidRPr="001326F0">
        <w:rPr>
          <w:rFonts w:ascii="Book Antiqua" w:hAnsi="Book Antiqua"/>
          <w:sz w:val="24"/>
          <w:szCs w:val="24"/>
          <w:lang w:val="en-US"/>
        </w:rPr>
        <w:t xml:space="preserve">. </w:t>
      </w:r>
    </w:p>
    <w:p w:rsidR="007B70B9" w:rsidRPr="001326F0" w:rsidRDefault="007B70B9" w:rsidP="005821C0">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This pathologic expansion is associated with adipose tissue accumulation in ectopic locations such as liver, skeletal muscle, and pancreas as well as visceral adiposity</w:t>
      </w:r>
      <w:r w:rsidRPr="001326F0">
        <w:rPr>
          <w:rFonts w:ascii="Book Antiqua" w:hAnsi="Book Antiqua"/>
          <w:sz w:val="24"/>
          <w:szCs w:val="24"/>
          <w:vertAlign w:val="superscript"/>
          <w:lang w:val="en-US"/>
        </w:rPr>
        <w:t>[49]</w:t>
      </w:r>
      <w:r w:rsidRPr="001326F0">
        <w:rPr>
          <w:rFonts w:ascii="Book Antiqua" w:hAnsi="Book Antiqua"/>
          <w:sz w:val="24"/>
          <w:szCs w:val="24"/>
          <w:lang w:val="en-US"/>
        </w:rPr>
        <w:t>.</w:t>
      </w:r>
    </w:p>
    <w:p w:rsidR="007B70B9" w:rsidRPr="001326F0" w:rsidRDefault="007B70B9" w:rsidP="005821C0">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The existence of ‘‘metabolically healthy obese’’</w:t>
      </w:r>
      <w:r w:rsidRPr="001326F0">
        <w:rPr>
          <w:rFonts w:ascii="Book Antiqua" w:hAnsi="Book Antiqua"/>
          <w:sz w:val="24"/>
          <w:szCs w:val="24"/>
          <w:vertAlign w:val="superscript"/>
          <w:lang w:val="en-US"/>
        </w:rPr>
        <w:t>[50,51]</w:t>
      </w:r>
      <w:r w:rsidRPr="001326F0">
        <w:rPr>
          <w:rFonts w:ascii="Book Antiqua" w:hAnsi="Book Antiqua"/>
          <w:sz w:val="24"/>
          <w:szCs w:val="24"/>
          <w:lang w:val="en-US"/>
        </w:rPr>
        <w:t>. further supports this concept as these individuals have less ectopic fat despite high amount of subcutaneous fat in gluteal depot and are insulin sensitive</w:t>
      </w:r>
      <w:r w:rsidRPr="001326F0">
        <w:rPr>
          <w:rFonts w:ascii="Book Antiqua" w:hAnsi="Book Antiqua"/>
          <w:sz w:val="24"/>
          <w:szCs w:val="24"/>
          <w:vertAlign w:val="superscript"/>
          <w:lang w:val="en-US"/>
        </w:rPr>
        <w:t>[51]</w:t>
      </w:r>
      <w:r w:rsidRPr="001326F0">
        <w:rPr>
          <w:rFonts w:ascii="Book Antiqua" w:hAnsi="Book Antiqua"/>
          <w:sz w:val="24"/>
          <w:szCs w:val="24"/>
          <w:lang w:val="en-US"/>
        </w:rPr>
        <w:t>.</w:t>
      </w:r>
    </w:p>
    <w:p w:rsidR="007B70B9" w:rsidRPr="001326F0" w:rsidRDefault="007B70B9" w:rsidP="005821C0">
      <w:pPr>
        <w:adjustRightInd w:val="0"/>
        <w:snapToGrid w:val="0"/>
        <w:spacing w:after="0" w:line="360" w:lineRule="auto"/>
        <w:ind w:firstLineChars="100" w:firstLine="240"/>
        <w:jc w:val="both"/>
        <w:rPr>
          <w:rFonts w:ascii="Book Antiqua" w:hAnsi="Book Antiqua"/>
          <w:sz w:val="24"/>
          <w:szCs w:val="24"/>
          <w:highlight w:val="yellow"/>
          <w:lang w:val="en-US"/>
        </w:rPr>
      </w:pPr>
      <w:r w:rsidRPr="001326F0">
        <w:rPr>
          <w:rFonts w:ascii="Book Antiqua" w:hAnsi="Book Antiqua"/>
          <w:sz w:val="24"/>
          <w:szCs w:val="24"/>
          <w:lang w:val="en-US"/>
        </w:rPr>
        <w:t>Therefore, adipose tissue distribution is a more significant predictor of metabolic and cardiovascular risk than overall adiposity. Inability to expand subcutaneous depots in response to positive energy balance</w:t>
      </w:r>
      <w:r w:rsidRPr="001326F0">
        <w:rPr>
          <w:rFonts w:ascii="Book Antiqua" w:hAnsi="Book Antiqua"/>
          <w:sz w:val="24"/>
          <w:szCs w:val="24"/>
          <w:vertAlign w:val="superscript"/>
          <w:lang w:val="en-US"/>
        </w:rPr>
        <w:t>[52]</w:t>
      </w:r>
      <w:r w:rsidRPr="001326F0">
        <w:rPr>
          <w:rFonts w:ascii="Book Antiqua" w:hAnsi="Book Antiqua"/>
          <w:sz w:val="24"/>
          <w:szCs w:val="24"/>
          <w:lang w:val="en-US"/>
        </w:rPr>
        <w:t xml:space="preserve"> results in metabolic and cardiovascular complications.</w:t>
      </w: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b/>
          <w:sz w:val="24"/>
          <w:szCs w:val="24"/>
          <w:lang w:val="en-GB"/>
        </w:rPr>
      </w:pP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b/>
          <w:sz w:val="24"/>
          <w:szCs w:val="24"/>
          <w:lang w:val="en-GB"/>
        </w:rPr>
      </w:pPr>
      <w:r w:rsidRPr="001326F0">
        <w:rPr>
          <w:rFonts w:ascii="Book Antiqua" w:hAnsi="Book Antiqua" w:cs="Times New Roman"/>
          <w:b/>
          <w:sz w:val="24"/>
          <w:szCs w:val="24"/>
          <w:lang w:val="en-GB"/>
        </w:rPr>
        <w:t>IMPACT OF CROSS TALK</w:t>
      </w:r>
    </w:p>
    <w:p w:rsidR="007B70B9" w:rsidRPr="001326F0" w:rsidRDefault="007B70B9" w:rsidP="00746C86">
      <w:pPr>
        <w:autoSpaceDE w:val="0"/>
        <w:autoSpaceDN w:val="0"/>
        <w:adjustRightInd w:val="0"/>
        <w:snapToGrid w:val="0"/>
        <w:spacing w:after="0" w:line="360" w:lineRule="auto"/>
        <w:jc w:val="both"/>
        <w:rPr>
          <w:rFonts w:ascii="Book Antiqua" w:hAnsi="Book Antiqua"/>
          <w:sz w:val="24"/>
          <w:szCs w:val="24"/>
          <w:lang w:val="en-GB"/>
        </w:rPr>
      </w:pPr>
      <w:r w:rsidRPr="001326F0">
        <w:rPr>
          <w:rFonts w:ascii="Book Antiqua" w:hAnsi="Book Antiqua"/>
          <w:sz w:val="24"/>
          <w:szCs w:val="24"/>
          <w:lang w:val="en-GB"/>
        </w:rPr>
        <w:t>Adipose tissue, found in several locations throughout the body and long thought to be primarily a repository for triglycerides, is also important for regulating metabolism and body’s physiologic. Fat is an endocrine tissue and, indeed, may constitute the largest endocrine organ in the body</w:t>
      </w:r>
      <w:r w:rsidRPr="001326F0">
        <w:rPr>
          <w:rFonts w:ascii="Book Antiqua" w:hAnsi="Book Antiqua"/>
          <w:sz w:val="24"/>
          <w:szCs w:val="24"/>
          <w:vertAlign w:val="superscript"/>
          <w:lang w:val="en-GB"/>
        </w:rPr>
        <w:t>[53,54]</w:t>
      </w:r>
      <w:r w:rsidRPr="001326F0">
        <w:rPr>
          <w:rFonts w:ascii="Book Antiqua" w:hAnsi="Book Antiqua"/>
          <w:sz w:val="24"/>
          <w:szCs w:val="24"/>
          <w:lang w:val="en-GB"/>
        </w:rPr>
        <w:t>.</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sz w:val="24"/>
          <w:szCs w:val="24"/>
          <w:lang w:val="en-GB"/>
        </w:rPr>
        <w:t xml:space="preserve">If in the past, adipose tissue was considered to be a metabolically inactive fat depot, the current view of adipose tissue is that of an active secretory </w:t>
      </w:r>
      <w:r w:rsidRPr="001326F0">
        <w:rPr>
          <w:rFonts w:ascii="Book Antiqua" w:hAnsi="Book Antiqua"/>
          <w:sz w:val="24"/>
          <w:szCs w:val="24"/>
          <w:lang w:val="en-GB"/>
        </w:rPr>
        <w:lastRenderedPageBreak/>
        <w:t>organ, sending out and responding to signals that modulate appetite, energy expenditure, insulin sensitivity, endocrine and reproductive systems, bone metabolism, and inflammation and immunity</w:t>
      </w:r>
      <w:r w:rsidRPr="001326F0">
        <w:rPr>
          <w:rFonts w:ascii="Book Antiqua" w:hAnsi="Book Antiqua"/>
          <w:sz w:val="24"/>
          <w:szCs w:val="24"/>
          <w:vertAlign w:val="superscript"/>
          <w:lang w:val="en-GB"/>
        </w:rPr>
        <w:t>[55]</w:t>
      </w:r>
      <w:r w:rsidRPr="001326F0">
        <w:rPr>
          <w:rFonts w:ascii="Book Antiqua" w:hAnsi="Book Antiqua"/>
          <w:sz w:val="24"/>
          <w:szCs w:val="24"/>
          <w:lang w:val="en-GB"/>
        </w:rPr>
        <w:t xml:space="preserve">. </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Expansion of the adipose tissue is accompanied by an increased infiltration of immune cells, in particular macrophages and T-cells</w:t>
      </w:r>
      <w:r w:rsidRPr="001326F0">
        <w:rPr>
          <w:rFonts w:ascii="Book Antiqua" w:hAnsi="Book Antiqua"/>
          <w:sz w:val="24"/>
          <w:szCs w:val="24"/>
          <w:vertAlign w:val="superscript"/>
          <w:lang w:val="en-US"/>
        </w:rPr>
        <w:t>[56]</w:t>
      </w:r>
      <w:r w:rsidRPr="001326F0">
        <w:rPr>
          <w:rFonts w:ascii="Book Antiqua" w:hAnsi="Book Antiqua"/>
          <w:sz w:val="24"/>
          <w:szCs w:val="24"/>
          <w:lang w:val="en-US"/>
        </w:rPr>
        <w:t>, with a pro-inflammatory phenotype. The “cross-talk” between the infiltrating cells and the tissue-resident adipocytes leads to secretion of adipokines, cytokines, chemokines, and lipids with a predominant proinflammatory character</w:t>
      </w:r>
      <w:r w:rsidRPr="001326F0">
        <w:rPr>
          <w:rFonts w:ascii="Book Antiqua" w:hAnsi="Book Antiqua"/>
          <w:sz w:val="24"/>
          <w:szCs w:val="24"/>
          <w:vertAlign w:val="superscript"/>
          <w:lang w:val="en-US"/>
        </w:rPr>
        <w:t>[57]</w:t>
      </w:r>
      <w:r w:rsidRPr="001326F0">
        <w:rPr>
          <w:rFonts w:ascii="Book Antiqua" w:hAnsi="Book Antiqua"/>
          <w:sz w:val="24"/>
          <w:szCs w:val="24"/>
          <w:lang w:val="en-US"/>
        </w:rPr>
        <w:t xml:space="preserve">. </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Several indirect lines of evidence suggest that fatty acids can modulate the immune response. One of these is that levels of several fatty acids are associated with levels of inflammatory markers in healthy individuals</w:t>
      </w:r>
      <w:r w:rsidRPr="001326F0">
        <w:rPr>
          <w:rFonts w:ascii="Book Antiqua" w:hAnsi="Book Antiqua"/>
          <w:sz w:val="24"/>
          <w:szCs w:val="24"/>
          <w:vertAlign w:val="superscript"/>
          <w:lang w:val="en-US"/>
        </w:rPr>
        <w:t>[58]</w:t>
      </w:r>
      <w:r w:rsidRPr="001326F0">
        <w:rPr>
          <w:rFonts w:ascii="Book Antiqua" w:hAnsi="Book Antiqua"/>
          <w:sz w:val="24"/>
          <w:szCs w:val="24"/>
          <w:lang w:val="en-US"/>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More directly, the type of fatty acids contained in the diet has been suggested to influence the risk of development of inflammatory diseases in which the immune system plays an important role.</w:t>
      </w:r>
    </w:p>
    <w:p w:rsidR="007B70B9" w:rsidRPr="001326F0" w:rsidRDefault="007B70B9" w:rsidP="005821C0">
      <w:pPr>
        <w:widowControl w:val="0"/>
        <w:autoSpaceDE w:val="0"/>
        <w:autoSpaceDN w:val="0"/>
        <w:adjustRightInd w:val="0"/>
        <w:snapToGrid w:val="0"/>
        <w:spacing w:after="0" w:line="360" w:lineRule="auto"/>
        <w:ind w:firstLineChars="100" w:firstLine="240"/>
        <w:jc w:val="both"/>
        <w:rPr>
          <w:rFonts w:ascii="Book Antiqua" w:hAnsi="Book Antiqua" w:cs="Arial"/>
          <w:b/>
          <w:bCs/>
          <w:sz w:val="24"/>
          <w:szCs w:val="24"/>
          <w:u w:color="262626"/>
          <w:lang w:val="en-US"/>
        </w:rPr>
      </w:pPr>
      <w:r w:rsidRPr="001326F0">
        <w:rPr>
          <w:rFonts w:ascii="Book Antiqua" w:hAnsi="Book Antiqua" w:cs="Times New Roman"/>
          <w:sz w:val="24"/>
          <w:szCs w:val="24"/>
          <w:lang w:val="en-GB"/>
        </w:rPr>
        <w:t>This cross-talk has an also been shown to affect the function of adipocytes, such as lipolysis, which will most likely result in altered concentration of circulating free fatty acids</w:t>
      </w:r>
      <w:r w:rsidRPr="001326F0">
        <w:rPr>
          <w:rFonts w:ascii="Book Antiqua" w:hAnsi="Book Antiqua" w:cs="Times New Roman"/>
          <w:sz w:val="24"/>
          <w:szCs w:val="24"/>
          <w:lang w:val="en-US"/>
        </w:rPr>
        <w:t>.</w:t>
      </w:r>
    </w:p>
    <w:p w:rsidR="007B70B9" w:rsidRPr="001326F0" w:rsidRDefault="007B70B9" w:rsidP="005821C0">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GB"/>
        </w:rPr>
        <w:t>Some of obesity phenotypes are associated with a high risk of developing diabetes type 2 (T2DM) however</w:t>
      </w:r>
      <w:r w:rsidRPr="001326F0">
        <w:rPr>
          <w:rFonts w:ascii="Book Antiqua" w:hAnsi="Book Antiqua" w:cs="Times New Roman"/>
          <w:sz w:val="24"/>
          <w:szCs w:val="24"/>
          <w:lang w:val="en-US"/>
        </w:rPr>
        <w:t xml:space="preserve"> for a given adiposity, there is a large heterogeneity in the metabolic risk mainly linked to the location of excessive adipose tissue</w:t>
      </w:r>
      <w:r w:rsidRPr="001326F0">
        <w:rPr>
          <w:rFonts w:ascii="Book Antiqua" w:hAnsi="Book Antiqua" w:cs="Times New Roman"/>
          <w:sz w:val="24"/>
          <w:szCs w:val="24"/>
          <w:lang w:val="en-GB"/>
        </w:rPr>
        <w:t>.</w:t>
      </w:r>
      <w:r w:rsidRPr="001326F0">
        <w:rPr>
          <w:rFonts w:ascii="Book Antiqua" w:hAnsi="Book Antiqua" w:cs="Times New Roman"/>
          <w:sz w:val="24"/>
          <w:szCs w:val="24"/>
          <w:lang w:val="en-US"/>
        </w:rPr>
        <w:t xml:space="preserve"> </w:t>
      </w:r>
    </w:p>
    <w:p w:rsidR="007B70B9" w:rsidRPr="001326F0" w:rsidRDefault="007B70B9" w:rsidP="005821C0">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cause of glucose, lipid, or atherogenic disorders can be found in the visceral adipose tissue, representing a predictive factor for those disorders</w:t>
      </w:r>
      <w:r w:rsidRPr="001326F0">
        <w:rPr>
          <w:rFonts w:ascii="Book Antiqua" w:hAnsi="Book Antiqua" w:cs="Times New Roman"/>
          <w:sz w:val="24"/>
          <w:szCs w:val="24"/>
          <w:vertAlign w:val="superscript"/>
          <w:lang w:val="en-US"/>
        </w:rPr>
        <w:t>[59]</w:t>
      </w:r>
      <w:r w:rsidRPr="001326F0">
        <w:rPr>
          <w:rFonts w:ascii="Book Antiqua" w:hAnsi="Book Antiqua" w:cs="Times New Roman"/>
          <w:sz w:val="24"/>
          <w:szCs w:val="24"/>
          <w:lang w:val="en-US"/>
        </w:rPr>
        <w:t xml:space="preserve">. </w:t>
      </w:r>
    </w:p>
    <w:p w:rsidR="007B70B9" w:rsidRPr="001326F0" w:rsidRDefault="007B70B9" w:rsidP="00746C86">
      <w:pPr>
        <w:widowControl w:val="0"/>
        <w:autoSpaceDE w:val="0"/>
        <w:autoSpaceDN w:val="0"/>
        <w:adjustRightInd w:val="0"/>
        <w:snapToGrid w:val="0"/>
        <w:spacing w:after="0" w:line="360" w:lineRule="auto"/>
        <w:jc w:val="both"/>
        <w:rPr>
          <w:rFonts w:ascii="Book Antiqua" w:hAnsi="Book Antiqua" w:cs="Times New Roman"/>
          <w:sz w:val="24"/>
          <w:szCs w:val="24"/>
          <w:highlight w:val="yellow"/>
          <w:lang w:val="en-US"/>
        </w:rPr>
      </w:pPr>
      <w:r w:rsidRPr="001326F0">
        <w:rPr>
          <w:rFonts w:ascii="Book Antiqua" w:hAnsi="Book Antiqua" w:cs="Times New Roman"/>
          <w:sz w:val="24"/>
          <w:szCs w:val="24"/>
          <w:lang w:val="en-US"/>
        </w:rPr>
        <w:t>The role of visceral fat in the development of peripheral insulin resistance</w:t>
      </w:r>
      <w:r w:rsidRPr="001326F0">
        <w:rPr>
          <w:rFonts w:ascii="Book Antiqua" w:hAnsi="Book Antiqua" w:cs="Times New Roman"/>
          <w:sz w:val="24"/>
          <w:szCs w:val="24"/>
          <w:lang w:val="en-GB"/>
        </w:rPr>
        <w:t xml:space="preserve"> in T2DM is related to the </w:t>
      </w:r>
      <w:r w:rsidRPr="001326F0">
        <w:rPr>
          <w:rFonts w:ascii="Book Antiqua" w:hAnsi="Book Antiqua" w:cs="Times New Roman"/>
          <w:sz w:val="24"/>
          <w:szCs w:val="24"/>
          <w:lang w:val="en-US"/>
        </w:rPr>
        <w:t>insulin-mediated glucose uptake</w:t>
      </w:r>
      <w:r w:rsidRPr="001326F0">
        <w:rPr>
          <w:rFonts w:ascii="Book Antiqua" w:hAnsi="Book Antiqua" w:cs="Times New Roman"/>
          <w:sz w:val="24"/>
          <w:szCs w:val="24"/>
          <w:vertAlign w:val="superscript"/>
          <w:lang w:val="en-US"/>
        </w:rPr>
        <w:t>[60]</w:t>
      </w:r>
      <w:r w:rsidRPr="001326F0">
        <w:rPr>
          <w:rFonts w:ascii="Book Antiqua" w:hAnsi="Book Antiqua" w:cs="Times New Roman"/>
          <w:sz w:val="24"/>
          <w:szCs w:val="24"/>
          <w:lang w:val="en-US"/>
        </w:rPr>
        <w:t>, that can be directly affected by inflammatory cytokines, like tumor necrosis factor alpha (TNF-α), transforming growth factor beta (TGF-β), and Interleukin 6 (IL-6) secreted by visceral fat depot.</w:t>
      </w:r>
    </w:p>
    <w:p w:rsidR="007B70B9" w:rsidRPr="001326F0" w:rsidRDefault="007B70B9" w:rsidP="005821C0">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 it has been demonstrated that both hepatic fat accumulation than hepatic insulin resistance are related to visceral fat depots, representing</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approximately 20% of total body fat mass in men and 6% in women</w:t>
      </w:r>
      <w:r w:rsidRPr="001326F0">
        <w:rPr>
          <w:rFonts w:ascii="Book Antiqua" w:hAnsi="Book Antiqua" w:cs="Times New Roman"/>
          <w:sz w:val="24"/>
          <w:szCs w:val="24"/>
          <w:vertAlign w:val="superscript"/>
          <w:lang w:val="en-US"/>
        </w:rPr>
        <w:t>[61]</w:t>
      </w:r>
      <w:r w:rsidRPr="001326F0">
        <w:rPr>
          <w:rFonts w:ascii="Book Antiqua" w:hAnsi="Book Antiqua" w:cs="Times New Roman"/>
          <w:sz w:val="24"/>
          <w:szCs w:val="24"/>
          <w:lang w:val="en-US"/>
        </w:rPr>
        <w:t>, as</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lastRenderedPageBreak/>
        <w:t>approximately 80% of hepatic blood supply is derived from the portal vein</w:t>
      </w:r>
      <w:r w:rsidRPr="001326F0">
        <w:rPr>
          <w:rFonts w:ascii="Book Antiqua" w:hAnsi="Book Antiqua" w:cs="Times New Roman"/>
          <w:sz w:val="24"/>
          <w:szCs w:val="24"/>
          <w:vertAlign w:val="superscript"/>
          <w:lang w:val="en-US"/>
        </w:rPr>
        <w:t>[62]</w:t>
      </w:r>
      <w:r w:rsidRPr="001326F0">
        <w:rPr>
          <w:rFonts w:ascii="Book Antiqua" w:hAnsi="Book Antiqua" w:cs="Times New Roman"/>
          <w:sz w:val="24"/>
          <w:szCs w:val="24"/>
          <w:lang w:val="en-US"/>
        </w:rPr>
        <w:t>.</w:t>
      </w:r>
    </w:p>
    <w:p w:rsidR="007B70B9" w:rsidRPr="001326F0" w:rsidRDefault="007B70B9" w:rsidP="005821C0">
      <w:pPr>
        <w:adjustRightInd w:val="0"/>
        <w:snapToGrid w:val="0"/>
        <w:spacing w:after="0" w:line="360" w:lineRule="auto"/>
        <w:ind w:firstLineChars="100" w:firstLine="240"/>
        <w:jc w:val="both"/>
        <w:rPr>
          <w:rFonts w:ascii="Book Antiqua" w:hAnsi="Book Antiqua" w:cs="TimesNewRoman"/>
          <w:sz w:val="24"/>
          <w:szCs w:val="24"/>
          <w:lang w:val="en-GB"/>
        </w:rPr>
      </w:pPr>
      <w:r w:rsidRPr="001326F0">
        <w:rPr>
          <w:rFonts w:ascii="Book Antiqua" w:hAnsi="Book Antiqua"/>
          <w:sz w:val="24"/>
          <w:szCs w:val="24"/>
          <w:lang w:val="en-GB"/>
        </w:rPr>
        <w:t xml:space="preserve">Due to the </w:t>
      </w:r>
      <w:r w:rsidRPr="001326F0">
        <w:rPr>
          <w:rFonts w:ascii="Book Antiqua" w:hAnsi="Book Antiqua" w:cs="Times New Roman"/>
          <w:sz w:val="24"/>
          <w:szCs w:val="24"/>
          <w:lang w:val="en-US"/>
        </w:rPr>
        <w:t>interactions within adipose tissue and muscle, involved in the endocrine bi-directional “cross-talk” between these tissues</w:t>
      </w:r>
      <w:r w:rsidRPr="001326F0">
        <w:rPr>
          <w:rFonts w:ascii="Book Antiqua" w:hAnsi="Book Antiqua" w:cs="Times New Roman"/>
          <w:sz w:val="24"/>
          <w:szCs w:val="24"/>
          <w:vertAlign w:val="superscript"/>
          <w:lang w:val="en-US"/>
        </w:rPr>
        <w:t>[63]</w:t>
      </w:r>
      <w:r w:rsidRPr="001326F0">
        <w:rPr>
          <w:rFonts w:ascii="Book Antiqua" w:hAnsi="Book Antiqua" w:cs="Times New Roman"/>
          <w:sz w:val="24"/>
          <w:szCs w:val="24"/>
          <w:lang w:val="en-US"/>
        </w:rPr>
        <w:t xml:space="preserve">, </w:t>
      </w:r>
      <w:r w:rsidRPr="001326F0">
        <w:rPr>
          <w:rFonts w:ascii="Book Antiqua" w:hAnsi="Book Antiqua" w:cs="TimesNewRoman"/>
          <w:sz w:val="24"/>
          <w:szCs w:val="24"/>
          <w:lang w:val="en-GB"/>
        </w:rPr>
        <w:t>it was observed a loss of muscle strength, that depends on both decrease in muscle mass and accumulation of inter-muscular adipose tissue, contributing to the decline of muscle quality</w:t>
      </w:r>
      <w:r w:rsidRPr="001326F0">
        <w:rPr>
          <w:rFonts w:ascii="Book Antiqua" w:hAnsi="Book Antiqua" w:cs="TimesNewRoman"/>
          <w:sz w:val="24"/>
          <w:szCs w:val="24"/>
          <w:vertAlign w:val="superscript"/>
          <w:lang w:val="en-GB"/>
        </w:rPr>
        <w:t>[64]</w:t>
      </w:r>
      <w:r w:rsidRPr="001326F0">
        <w:rPr>
          <w:rFonts w:ascii="Book Antiqua" w:hAnsi="Book Antiqua" w:cs="TimesNewRoman"/>
          <w:sz w:val="24"/>
          <w:szCs w:val="24"/>
          <w:lang w:val="en-GB"/>
        </w:rPr>
        <w:t>. Therefore, the evaluation of body lean mass, together with body fat mass analysis and body force assessment, could contribute to predict sarcopenic obesity risk.</w:t>
      </w:r>
    </w:p>
    <w:p w:rsidR="007B70B9" w:rsidRPr="001326F0" w:rsidRDefault="007B70B9" w:rsidP="00746C86">
      <w:pPr>
        <w:widowControl w:val="0"/>
        <w:autoSpaceDE w:val="0"/>
        <w:autoSpaceDN w:val="0"/>
        <w:adjustRightInd w:val="0"/>
        <w:snapToGrid w:val="0"/>
        <w:spacing w:after="0" w:line="360" w:lineRule="auto"/>
        <w:jc w:val="both"/>
        <w:rPr>
          <w:rFonts w:ascii="Book Antiqua" w:hAnsi="Book Antiqua" w:cs="Times New Roman"/>
          <w:sz w:val="24"/>
          <w:szCs w:val="24"/>
          <w:u w:val="single"/>
          <w:vertAlign w:val="superscript"/>
          <w:lang w:val="en-GB"/>
        </w:rPr>
      </w:pP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bCs/>
          <w:iCs/>
          <w:caps/>
          <w:sz w:val="24"/>
          <w:szCs w:val="24"/>
          <w:lang w:val="en-GB"/>
        </w:rPr>
      </w:pPr>
      <w:r w:rsidRPr="001326F0">
        <w:rPr>
          <w:rFonts w:ascii="Book Antiqua" w:hAnsi="Book Antiqua" w:cs="Times New Roman"/>
          <w:b/>
          <w:sz w:val="24"/>
          <w:szCs w:val="24"/>
          <w:lang w:val="en-GB"/>
        </w:rPr>
        <w:t xml:space="preserve">INFLAMMATION AND THE ROLE OF </w:t>
      </w:r>
      <w:r w:rsidRPr="001326F0">
        <w:rPr>
          <w:rFonts w:ascii="Book Antiqua" w:hAnsi="Book Antiqua" w:cs="Times New Roman"/>
          <w:b/>
          <w:bCs/>
          <w:iCs/>
          <w:caps/>
          <w:sz w:val="24"/>
          <w:szCs w:val="24"/>
          <w:lang w:val="en-GB"/>
        </w:rPr>
        <w:t>Genetic variations of inflammatory triad cytokines in obesity related chronic-degenerative diseases</w:t>
      </w: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sz w:val="24"/>
          <w:szCs w:val="24"/>
          <w:lang w:val="en-GB"/>
        </w:rPr>
      </w:pPr>
      <w:r w:rsidRPr="001326F0">
        <w:rPr>
          <w:rFonts w:ascii="Book Antiqua" w:hAnsi="Book Antiqua" w:cs="Times New Roman"/>
          <w:sz w:val="24"/>
          <w:szCs w:val="24"/>
          <w:lang w:val="en-GB"/>
        </w:rPr>
        <w:t>The obese state is a low-grade systemic inflammation, characterized by abnormal adipokine production, and activation of some pro-inflammatory signalling pathways, resulting in the induction of several biological markers of inflammation. In fact, inflammatory markers, such as C-reactive protein (CRP), IL-6,</w:t>
      </w:r>
      <w:r w:rsidR="00D74C7F" w:rsidRPr="001326F0">
        <w:rPr>
          <w:rFonts w:ascii="Book Antiqua" w:hAnsi="Book Antiqua" w:cs="Times New Roman"/>
          <w:sz w:val="24"/>
          <w:szCs w:val="24"/>
          <w:lang w:val="en-GB"/>
        </w:rPr>
        <w:t xml:space="preserve"> </w:t>
      </w:r>
      <w:r w:rsidRPr="001326F0">
        <w:rPr>
          <w:rFonts w:ascii="Book Antiqua" w:hAnsi="Book Antiqua" w:cs="Times New Roman"/>
          <w:sz w:val="24"/>
          <w:szCs w:val="24"/>
          <w:lang w:val="en-GB"/>
        </w:rPr>
        <w:t>Interleukin-1 family (IL-1 α, IL-1 β and IL-1 Ra) and TNF-α are increased in obese individuals compared with lean subjects, although not to the same extent observed in classic inflammatory conditions</w:t>
      </w:r>
      <w:r w:rsidRPr="001326F0">
        <w:rPr>
          <w:rFonts w:ascii="Book Antiqua" w:hAnsi="Book Antiqua" w:cs="Times New Roman"/>
          <w:sz w:val="24"/>
          <w:szCs w:val="24"/>
          <w:vertAlign w:val="superscript"/>
          <w:lang w:val="en-GB"/>
        </w:rPr>
        <w:t>[65]</w:t>
      </w:r>
      <w:r w:rsidRPr="001326F0">
        <w:rPr>
          <w:rFonts w:ascii="Book Antiqua" w:hAnsi="Book Antiqua" w:cs="Times New Roman"/>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cs="TimesNewRoman"/>
          <w:sz w:val="24"/>
          <w:szCs w:val="24"/>
          <w:highlight w:val="yellow"/>
          <w:lang w:val="en-GB"/>
        </w:rPr>
      </w:pPr>
      <w:r w:rsidRPr="001326F0">
        <w:rPr>
          <w:rFonts w:ascii="Book Antiqua" w:hAnsi="Book Antiqua"/>
          <w:sz w:val="24"/>
          <w:szCs w:val="24"/>
          <w:lang w:val="en-GB"/>
        </w:rPr>
        <w:t xml:space="preserve">Though all the functional consequences of the increase in inflammatory processes in obese are not yet known, is an established fact that cytokines have metabolic activities, as </w:t>
      </w:r>
      <w:r w:rsidRPr="001326F0">
        <w:rPr>
          <w:rFonts w:ascii="Book Antiqua" w:hAnsi="Book Antiqua" w:cs="TimesNewRoman"/>
          <w:sz w:val="24"/>
          <w:szCs w:val="24"/>
          <w:lang w:val="en-GB"/>
        </w:rPr>
        <w:t>many “adipokines” can modulate of both the metabolic and vascular homeostasis</w:t>
      </w:r>
      <w:r w:rsidRPr="001326F0">
        <w:rPr>
          <w:rFonts w:ascii="Book Antiqua" w:hAnsi="Book Antiqua" w:cs="TimesNewRoman"/>
          <w:sz w:val="24"/>
          <w:szCs w:val="24"/>
          <w:vertAlign w:val="superscript"/>
          <w:lang w:val="en-GB"/>
        </w:rPr>
        <w:t>[66]</w:t>
      </w:r>
      <w:r w:rsidRPr="001326F0">
        <w:rPr>
          <w:rFonts w:ascii="Book Antiqua" w:hAnsi="Book Antiqua" w:cs="TimesNewRoman"/>
          <w:sz w:val="24"/>
          <w:szCs w:val="24"/>
          <w:lang w:val="en-GB"/>
        </w:rPr>
        <w:t>, acting not only as autocrine/paracrine regulators, but also reaching, from the</w:t>
      </w:r>
      <w:r w:rsidR="00D74C7F" w:rsidRPr="001326F0">
        <w:rPr>
          <w:rFonts w:ascii="Book Antiqua" w:hAnsi="Book Antiqua" w:cs="TimesNewRoman"/>
          <w:sz w:val="24"/>
          <w:szCs w:val="24"/>
          <w:lang w:val="en-GB"/>
        </w:rPr>
        <w:t xml:space="preserve"> </w:t>
      </w:r>
      <w:r w:rsidRPr="001326F0">
        <w:rPr>
          <w:rFonts w:ascii="Book Antiqua" w:hAnsi="Book Antiqua" w:cs="TimesNewRoman"/>
          <w:sz w:val="24"/>
          <w:szCs w:val="24"/>
          <w:lang w:val="en-GB"/>
        </w:rPr>
        <w:t>perivascular fat depot, the surrounding target organs, through the systemic circulation (“outside-to-inside” cellular cross-talk)</w:t>
      </w:r>
      <w:r w:rsidRPr="001326F0">
        <w:rPr>
          <w:rFonts w:ascii="Book Antiqua" w:hAnsi="Book Antiqua" w:cs="TimesNewRoman"/>
          <w:sz w:val="24"/>
          <w:szCs w:val="24"/>
          <w:vertAlign w:val="superscript"/>
          <w:lang w:val="en-GB"/>
        </w:rPr>
        <w:t>[67-69]</w:t>
      </w:r>
      <w:r w:rsidRPr="001326F0">
        <w:rPr>
          <w:rFonts w:ascii="Book Antiqua" w:hAnsi="Book Antiqua" w:cs="TimesNewRoman"/>
          <w:sz w:val="24"/>
          <w:szCs w:val="24"/>
          <w:lang w:val="en-GB"/>
        </w:rPr>
        <w:t xml:space="preserve">. </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highlight w:val="yellow"/>
          <w:lang w:val="en-GB"/>
        </w:rPr>
      </w:pPr>
      <w:r w:rsidRPr="001326F0">
        <w:rPr>
          <w:rFonts w:ascii="Book Antiqua" w:hAnsi="Book Antiqua"/>
          <w:sz w:val="24"/>
          <w:szCs w:val="24"/>
          <w:lang w:val="en-GB"/>
        </w:rPr>
        <w:t xml:space="preserve">This inflammatory mechanism is the basis of the increased risk of development of T2DM, </w:t>
      </w:r>
      <w:r w:rsidRPr="001326F0">
        <w:rPr>
          <w:rFonts w:ascii="Book Antiqua" w:hAnsi="Book Antiqua" w:cs="Times New Roman"/>
          <w:sz w:val="24"/>
          <w:szCs w:val="24"/>
          <w:lang w:val="en-GB"/>
        </w:rPr>
        <w:t>acute heart attacks and Alzheimer’s disease</w:t>
      </w:r>
      <w:r w:rsidR="005821C0" w:rsidRPr="001326F0">
        <w:rPr>
          <w:rFonts w:ascii="Book Antiqua" w:hAnsi="Book Antiqua" w:cs="Times New Roman"/>
          <w:sz w:val="24"/>
          <w:szCs w:val="24"/>
          <w:vertAlign w:val="superscript"/>
          <w:lang w:val="en-GB"/>
        </w:rPr>
        <w:t>[70,</w:t>
      </w:r>
      <w:r w:rsidRPr="001326F0">
        <w:rPr>
          <w:rFonts w:ascii="Book Antiqua" w:hAnsi="Book Antiqua" w:cs="Times New Roman"/>
          <w:sz w:val="24"/>
          <w:szCs w:val="24"/>
          <w:vertAlign w:val="superscript"/>
          <w:lang w:val="en-GB"/>
        </w:rPr>
        <w:t>71]</w:t>
      </w:r>
      <w:r w:rsidRPr="001326F0">
        <w:rPr>
          <w:rFonts w:ascii="Book Antiqua" w:hAnsi="Book Antiqua" w:cs="Times New Roman"/>
          <w:sz w:val="24"/>
          <w:szCs w:val="24"/>
          <w:lang w:val="en-GB"/>
        </w:rPr>
        <w:t xml:space="preserve"> </w:t>
      </w:r>
      <w:r w:rsidRPr="001326F0">
        <w:rPr>
          <w:rFonts w:ascii="Book Antiqua" w:hAnsi="Book Antiqua"/>
          <w:sz w:val="24"/>
          <w:szCs w:val="24"/>
          <w:lang w:val="en-GB"/>
        </w:rPr>
        <w:t>in obesity.</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Polymorphisms and allele variants of cytokines genes are presumed to be involved in obesity and related chronic-degenerative diseases, therefore an </w:t>
      </w:r>
      <w:r w:rsidRPr="001326F0">
        <w:rPr>
          <w:rFonts w:ascii="Book Antiqua" w:hAnsi="Book Antiqua" w:cs="Times New Roman"/>
          <w:sz w:val="24"/>
          <w:szCs w:val="24"/>
          <w:lang w:val="en-GB"/>
        </w:rPr>
        <w:lastRenderedPageBreak/>
        <w:t>understanding of their food association could be useful for nutritional pre-emption.</w:t>
      </w:r>
    </w:p>
    <w:p w:rsidR="007B70B9" w:rsidRPr="001326F0" w:rsidRDefault="007B70B9" w:rsidP="005821C0">
      <w:pPr>
        <w:adjustRightInd w:val="0"/>
        <w:snapToGrid w:val="0"/>
        <w:spacing w:after="0" w:line="360" w:lineRule="auto"/>
        <w:ind w:firstLineChars="100" w:firstLine="240"/>
        <w:jc w:val="both"/>
        <w:rPr>
          <w:rFonts w:ascii="Book Antiqua" w:hAnsi="Book Antiqua" w:cs="Times New Roman"/>
          <w:b/>
          <w:sz w:val="24"/>
          <w:szCs w:val="24"/>
          <w:highlight w:val="yellow"/>
          <w:lang w:val="en-US"/>
        </w:rPr>
      </w:pPr>
      <w:r w:rsidRPr="001326F0">
        <w:rPr>
          <w:rFonts w:ascii="Book Antiqua" w:hAnsi="Book Antiqua" w:cs="Times New Roman"/>
          <w:sz w:val="24"/>
          <w:szCs w:val="24"/>
          <w:lang w:val="en-GB"/>
        </w:rPr>
        <w:t>The practical application of predictive and preventive medicine requires early identification of the individuals who are on a path toward earlier development of disease, followed by the introduction of a targeted intervention. Ideally, one could use the identification of specific polymorphisms, an early marker of disease susceptibility, to prevent complications of disease by the use of nutritional agents that modulate the biology resulting from the genetic variation.</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A high degree of sequence variation recently has been shown to exist in cytokine genes. These gene polymorphisms are relatively common in regulatory regions of the cytokine genes and therefore may be functionally significant in defining inter-individual differences in transcription or post-transcriptional processes. These genetic variations therefore provide a potential mechanism by which individuals may have different degrees of response to the same stimulus.</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Among the first genes activated with any injurious challenge are the genes for IL-6, IL-1 and TNF-α. These molecules activate each other and both are critical components of the inflammatory process.</w:t>
      </w:r>
    </w:p>
    <w:p w:rsidR="007B70B9" w:rsidRPr="001326F0" w:rsidRDefault="007B70B9" w:rsidP="00746C86">
      <w:pPr>
        <w:autoSpaceDE w:val="0"/>
        <w:autoSpaceDN w:val="0"/>
        <w:adjustRightInd w:val="0"/>
        <w:snapToGrid w:val="0"/>
        <w:spacing w:after="0" w:line="360" w:lineRule="auto"/>
        <w:jc w:val="both"/>
        <w:rPr>
          <w:rFonts w:ascii="Book Antiqua" w:hAnsi="Book Antiqua"/>
          <w:b/>
          <w:i/>
          <w:sz w:val="24"/>
          <w:szCs w:val="24"/>
          <w:lang w:val="en-GB"/>
        </w:rPr>
      </w:pPr>
    </w:p>
    <w:p w:rsidR="005821C0" w:rsidRPr="001326F0" w:rsidRDefault="007B70B9" w:rsidP="00746C86">
      <w:pPr>
        <w:autoSpaceDE w:val="0"/>
        <w:autoSpaceDN w:val="0"/>
        <w:adjustRightInd w:val="0"/>
        <w:snapToGrid w:val="0"/>
        <w:spacing w:after="0" w:line="360" w:lineRule="auto"/>
        <w:jc w:val="both"/>
        <w:rPr>
          <w:rFonts w:ascii="Book Antiqua" w:hAnsi="Book Antiqua"/>
          <w:b/>
          <w:i/>
          <w:sz w:val="24"/>
          <w:szCs w:val="24"/>
          <w:lang w:val="en-GB" w:eastAsia="zh-CN"/>
        </w:rPr>
      </w:pPr>
      <w:r w:rsidRPr="001326F0">
        <w:rPr>
          <w:rFonts w:ascii="Book Antiqua" w:hAnsi="Book Antiqua"/>
          <w:b/>
          <w:i/>
          <w:sz w:val="24"/>
          <w:szCs w:val="24"/>
          <w:lang w:val="en-GB"/>
        </w:rPr>
        <w:t>Interleukin-6</w:t>
      </w:r>
    </w:p>
    <w:p w:rsidR="007B70B9" w:rsidRPr="001326F0" w:rsidRDefault="007B70B9" w:rsidP="00746C86">
      <w:pPr>
        <w:autoSpaceDE w:val="0"/>
        <w:autoSpaceDN w:val="0"/>
        <w:adjustRightInd w:val="0"/>
        <w:snapToGrid w:val="0"/>
        <w:spacing w:after="0" w:line="360" w:lineRule="auto"/>
        <w:jc w:val="both"/>
        <w:rPr>
          <w:rFonts w:ascii="Book Antiqua" w:hAnsi="Book Antiqua"/>
          <w:sz w:val="24"/>
          <w:szCs w:val="24"/>
          <w:lang w:val="en-GB"/>
        </w:rPr>
      </w:pPr>
      <w:r w:rsidRPr="001326F0">
        <w:rPr>
          <w:rFonts w:ascii="Book Antiqua" w:hAnsi="Book Antiqua"/>
          <w:sz w:val="24"/>
          <w:szCs w:val="24"/>
          <w:lang w:val="en-GB"/>
        </w:rPr>
        <w:t>Besides regulating the immune system, IL-6 also plays a role in the regulation of body fat and energy expenditure. Recent studies have shown that</w:t>
      </w:r>
      <w:r w:rsidR="005821C0" w:rsidRPr="001326F0">
        <w:t xml:space="preserve"> </w:t>
      </w:r>
      <w:r w:rsidR="005821C0" w:rsidRPr="001326F0">
        <w:rPr>
          <w:rFonts w:ascii="Book Antiqua" w:hAnsi="Book Antiqua"/>
          <w:sz w:val="24"/>
          <w:szCs w:val="24"/>
          <w:lang w:val="en-GB"/>
        </w:rPr>
        <w:t>interleukin-6 (IL-6)</w:t>
      </w:r>
      <w:r w:rsidR="005821C0" w:rsidRPr="001326F0">
        <w:rPr>
          <w:rFonts w:ascii="Book Antiqua" w:hAnsi="Book Antiqua" w:hint="eastAsia"/>
          <w:sz w:val="24"/>
          <w:szCs w:val="24"/>
          <w:lang w:val="en-GB" w:eastAsia="zh-CN"/>
        </w:rPr>
        <w:t xml:space="preserve"> </w:t>
      </w:r>
      <w:r w:rsidRPr="001326F0">
        <w:rPr>
          <w:rFonts w:ascii="Book Antiqua" w:hAnsi="Book Antiqua"/>
          <w:sz w:val="24"/>
          <w:szCs w:val="24"/>
          <w:lang w:val="en-GB"/>
        </w:rPr>
        <w:t>deficient mice develop mature onset obesity with high leptin levels in the circulation</w:t>
      </w:r>
      <w:r w:rsidRPr="001326F0">
        <w:rPr>
          <w:rFonts w:ascii="Book Antiqua" w:hAnsi="Book Antiqua"/>
          <w:sz w:val="24"/>
          <w:szCs w:val="24"/>
          <w:vertAlign w:val="superscript"/>
          <w:lang w:val="en-GB"/>
        </w:rPr>
        <w:t>[28]</w:t>
      </w:r>
      <w:r w:rsidRPr="001326F0">
        <w:rPr>
          <w:rFonts w:ascii="Book Antiqua" w:hAnsi="Book Antiqua"/>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Moreover, intracerebroventricular IL-6 treatment decreases body fat and increases energy expenditure in rodents</w:t>
      </w:r>
      <w:r w:rsidRPr="001326F0">
        <w:rPr>
          <w:rFonts w:ascii="Book Antiqua" w:hAnsi="Book Antiqua"/>
          <w:sz w:val="24"/>
          <w:szCs w:val="24"/>
          <w:vertAlign w:val="superscript"/>
          <w:lang w:val="en-GB"/>
        </w:rPr>
        <w:t>[72]</w:t>
      </w:r>
      <w:r w:rsidRPr="001326F0">
        <w:rPr>
          <w:rFonts w:ascii="Book Antiqua" w:hAnsi="Book Antiqua"/>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highlight w:val="yellow"/>
          <w:lang w:val="en-GB"/>
        </w:rPr>
      </w:pPr>
      <w:r w:rsidRPr="001326F0">
        <w:rPr>
          <w:rFonts w:ascii="Book Antiqua" w:hAnsi="Book Antiqua"/>
          <w:sz w:val="24"/>
          <w:szCs w:val="24"/>
          <w:lang w:val="en-GB"/>
        </w:rPr>
        <w:t>In humans, high cytokine levels (including IL-6) and cytokine brain synthesis were found to increase resting energy expenditure and induce cachexia. Additionally, a subcutaneous injection of IL-6 increased resting metabolic rate and hypothalamic-pituitary-adrenal axis activity in a dose-</w:t>
      </w:r>
      <w:r w:rsidRPr="001326F0">
        <w:rPr>
          <w:rFonts w:ascii="Book Antiqua" w:hAnsi="Book Antiqua"/>
          <w:sz w:val="24"/>
          <w:szCs w:val="24"/>
          <w:lang w:val="en-GB"/>
        </w:rPr>
        <w:lastRenderedPageBreak/>
        <w:t>dependent fashion, suggesting that hypothalamic corticotrophin–releasing hormone may mediate both of these actions in humans. A second possibility by which IL-6 may affect energy expenditure is enhanced adrenergic stimulation. In the other hand, high circulating IL-6 concentrations have been found to predict the development of type 2 diabetes</w:t>
      </w:r>
      <w:r w:rsidR="005821C0" w:rsidRPr="001326F0">
        <w:rPr>
          <w:rFonts w:ascii="Book Antiqua" w:hAnsi="Book Antiqua"/>
          <w:sz w:val="24"/>
          <w:szCs w:val="24"/>
          <w:vertAlign w:val="superscript"/>
          <w:lang w:val="en-GB"/>
        </w:rPr>
        <w:t>[73,</w:t>
      </w:r>
      <w:r w:rsidRPr="001326F0">
        <w:rPr>
          <w:rFonts w:ascii="Book Antiqua" w:hAnsi="Book Antiqua"/>
          <w:sz w:val="24"/>
          <w:szCs w:val="24"/>
          <w:vertAlign w:val="superscript"/>
          <w:lang w:val="en-GB"/>
        </w:rPr>
        <w:t>74]</w:t>
      </w:r>
      <w:r w:rsidRPr="001326F0">
        <w:rPr>
          <w:rFonts w:ascii="Book Antiqua" w:hAnsi="Book Antiqua"/>
          <w:sz w:val="24"/>
          <w:szCs w:val="24"/>
          <w:lang w:val="en-GB"/>
        </w:rPr>
        <w:t xml:space="preserve">. IL-6 has a central role in the mechanism of pro-inflammation pathway and there are some evidences suggesting the implication of a network of cytokines for the development of metabolic disorders, as type 2 diabetes, CVD, and sarcopenia. </w:t>
      </w:r>
    </w:p>
    <w:p w:rsidR="007B70B9" w:rsidRPr="001326F0" w:rsidRDefault="007B70B9" w:rsidP="00746C86">
      <w:pPr>
        <w:autoSpaceDE w:val="0"/>
        <w:autoSpaceDN w:val="0"/>
        <w:adjustRightInd w:val="0"/>
        <w:snapToGrid w:val="0"/>
        <w:spacing w:after="0" w:line="360" w:lineRule="auto"/>
        <w:jc w:val="both"/>
        <w:rPr>
          <w:rFonts w:ascii="Book Antiqua" w:hAnsi="Book Antiqua"/>
          <w:sz w:val="24"/>
          <w:szCs w:val="24"/>
          <w:lang w:val="en-GB"/>
        </w:rPr>
      </w:pPr>
      <w:r w:rsidRPr="001326F0">
        <w:rPr>
          <w:rFonts w:ascii="Book Antiqua" w:hAnsi="Book Antiqua"/>
          <w:sz w:val="24"/>
          <w:szCs w:val="24"/>
          <w:lang w:val="en-GB"/>
        </w:rPr>
        <w:t xml:space="preserve">Polymorphisms that affect the gene transcription and production of IL-6, like the gene promoter – 174 G/C polymorphism, are examples of genetically determined-changes in metabolism and energy homeostasis. In fact, IL-6 gene promoter polymorphism -174 G/C is shown to influence IL-6 transcription as well as overweight and insulin sensitivity. </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 xml:space="preserve">Data suggest that endogenous IL-6 has effects on energy expenditure but upper endogenous IL-6 production, </w:t>
      </w:r>
      <w:r w:rsidR="00BF5F43" w:rsidRPr="001326F0">
        <w:rPr>
          <w:rFonts w:ascii="Book Antiqua" w:hAnsi="Book Antiqua"/>
          <w:i/>
          <w:sz w:val="24"/>
          <w:szCs w:val="24"/>
          <w:lang w:val="en-GB"/>
        </w:rPr>
        <w:t>e.g</w:t>
      </w:r>
      <w:r w:rsidRPr="001326F0">
        <w:rPr>
          <w:rFonts w:ascii="Book Antiqua" w:hAnsi="Book Antiqua"/>
          <w:sz w:val="24"/>
          <w:szCs w:val="24"/>
          <w:lang w:val="en-GB"/>
        </w:rPr>
        <w:t>.</w:t>
      </w:r>
      <w:r w:rsidR="005821C0" w:rsidRPr="001326F0">
        <w:rPr>
          <w:rFonts w:ascii="Book Antiqua" w:hAnsi="Book Antiqua" w:hint="eastAsia"/>
          <w:sz w:val="24"/>
          <w:szCs w:val="24"/>
          <w:lang w:val="en-GB" w:eastAsia="zh-CN"/>
        </w:rPr>
        <w:t>,</w:t>
      </w:r>
      <w:r w:rsidRPr="001326F0">
        <w:rPr>
          <w:rFonts w:ascii="Book Antiqua" w:hAnsi="Book Antiqua"/>
          <w:sz w:val="24"/>
          <w:szCs w:val="24"/>
          <w:lang w:val="en-GB"/>
        </w:rPr>
        <w:t xml:space="preserve"> due to the presence of allele C of -174G/C polymorphism, contributes to obesity in humans and related pathologies and is a disadvantage for longevity.</w:t>
      </w:r>
    </w:p>
    <w:p w:rsidR="007B70B9" w:rsidRPr="001326F0" w:rsidRDefault="007B70B9" w:rsidP="00746C86">
      <w:pPr>
        <w:autoSpaceDE w:val="0"/>
        <w:autoSpaceDN w:val="0"/>
        <w:adjustRightInd w:val="0"/>
        <w:snapToGrid w:val="0"/>
        <w:spacing w:after="0" w:line="360" w:lineRule="auto"/>
        <w:jc w:val="both"/>
        <w:rPr>
          <w:rFonts w:ascii="Book Antiqua" w:hAnsi="Book Antiqua"/>
          <w:b/>
          <w:i/>
          <w:sz w:val="24"/>
          <w:szCs w:val="24"/>
          <w:lang w:val="en-GB"/>
        </w:rPr>
      </w:pPr>
    </w:p>
    <w:p w:rsidR="007B70B9" w:rsidRPr="001326F0" w:rsidRDefault="005821C0" w:rsidP="00746C86">
      <w:pPr>
        <w:autoSpaceDE w:val="0"/>
        <w:autoSpaceDN w:val="0"/>
        <w:adjustRightInd w:val="0"/>
        <w:snapToGrid w:val="0"/>
        <w:spacing w:after="0" w:line="360" w:lineRule="auto"/>
        <w:jc w:val="both"/>
        <w:rPr>
          <w:rFonts w:ascii="Book Antiqua" w:hAnsi="Book Antiqua"/>
          <w:b/>
          <w:i/>
          <w:sz w:val="24"/>
          <w:szCs w:val="24"/>
          <w:lang w:val="en-GB"/>
        </w:rPr>
      </w:pPr>
      <w:r w:rsidRPr="001326F0">
        <w:rPr>
          <w:rFonts w:ascii="Book Antiqua" w:hAnsi="Book Antiqua" w:cs="Times New Roman"/>
          <w:b/>
          <w:i/>
          <w:sz w:val="24"/>
          <w:szCs w:val="24"/>
          <w:lang w:val="en-GB"/>
        </w:rPr>
        <w:t>Tumor necrosis factor-</w:t>
      </w:r>
      <w:r w:rsidR="007B70B9" w:rsidRPr="001326F0">
        <w:rPr>
          <w:rFonts w:ascii="Book Antiqua" w:hAnsi="Book Antiqua" w:cs="Times New Roman"/>
          <w:b/>
          <w:i/>
          <w:sz w:val="24"/>
          <w:szCs w:val="24"/>
          <w:lang w:val="en-GB"/>
        </w:rPr>
        <w:t>alfa</w:t>
      </w: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Macrophages, whose adipose tissue is composed, are the major source of </w:t>
      </w:r>
      <w:r w:rsidR="005821C0" w:rsidRPr="001326F0">
        <w:rPr>
          <w:rFonts w:ascii="Book Antiqua" w:hAnsi="Book Antiqua" w:cs="Times New Roman"/>
          <w:sz w:val="24"/>
          <w:szCs w:val="24"/>
          <w:lang w:val="en-GB"/>
        </w:rPr>
        <w:t>Tumor necrosis factor-alfa (TNF-α)</w:t>
      </w:r>
      <w:r w:rsidR="005821C0" w:rsidRPr="001326F0">
        <w:rPr>
          <w:rFonts w:ascii="Book Antiqua" w:hAnsi="Book Antiqua" w:cs="Times New Roman" w:hint="eastAsia"/>
          <w:sz w:val="24"/>
          <w:szCs w:val="24"/>
          <w:lang w:val="en-GB" w:eastAsia="zh-CN"/>
        </w:rPr>
        <w:t xml:space="preserve"> </w:t>
      </w:r>
      <w:r w:rsidRPr="001326F0">
        <w:rPr>
          <w:rFonts w:ascii="Book Antiqua" w:hAnsi="Book Antiqua" w:cs="Times New Roman"/>
          <w:sz w:val="24"/>
          <w:szCs w:val="24"/>
          <w:lang w:val="en-GB"/>
        </w:rPr>
        <w:t>produced by the white adipose tissue and contribute approximately 50% of white adipose tissue-derived IL-6</w:t>
      </w:r>
      <w:r w:rsidRPr="001326F0">
        <w:rPr>
          <w:rFonts w:ascii="Book Antiqua" w:hAnsi="Book Antiqua" w:cs="Times New Roman"/>
          <w:sz w:val="24"/>
          <w:szCs w:val="24"/>
          <w:vertAlign w:val="superscript"/>
          <w:lang w:val="en-GB"/>
        </w:rPr>
        <w:t>[75]</w:t>
      </w:r>
      <w:r w:rsidRPr="001326F0">
        <w:rPr>
          <w:rFonts w:ascii="Book Antiqua" w:hAnsi="Book Antiqua" w:cs="Times New Roman"/>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cs="Times New Roman"/>
          <w:sz w:val="24"/>
          <w:szCs w:val="24"/>
          <w:lang w:val="en-GB"/>
        </w:rPr>
        <w:t>TNF-α</w:t>
      </w:r>
      <w:r w:rsidRPr="001326F0">
        <w:rPr>
          <w:rFonts w:ascii="Book Antiqua" w:hAnsi="Book Antiqua"/>
          <w:sz w:val="24"/>
          <w:szCs w:val="24"/>
          <w:lang w:val="en-GB"/>
        </w:rPr>
        <w:t xml:space="preserve"> participates to inflammatory events but it’s also an important autocrine/paracrine of fat cell function which limits adipose tissue and skeletal muscle expansion, by inducing lipolysis</w:t>
      </w:r>
      <w:r w:rsidRPr="001326F0">
        <w:rPr>
          <w:rFonts w:ascii="Book Antiqua" w:hAnsi="Book Antiqua"/>
          <w:sz w:val="24"/>
          <w:szCs w:val="24"/>
          <w:vertAlign w:val="superscript"/>
          <w:lang w:val="en-GB"/>
        </w:rPr>
        <w:t>[76]</w:t>
      </w:r>
      <w:r w:rsidRPr="001326F0">
        <w:rPr>
          <w:rFonts w:ascii="Book Antiqua" w:hAnsi="Book Antiqua"/>
          <w:sz w:val="24"/>
          <w:szCs w:val="24"/>
          <w:lang w:val="en-GB"/>
        </w:rPr>
        <w:t>, insulin resistance</w:t>
      </w:r>
      <w:r w:rsidRPr="001326F0">
        <w:rPr>
          <w:rFonts w:ascii="Book Antiqua" w:hAnsi="Book Antiqua"/>
          <w:sz w:val="24"/>
          <w:szCs w:val="24"/>
          <w:vertAlign w:val="superscript"/>
          <w:lang w:val="en-GB"/>
        </w:rPr>
        <w:t>[77]</w:t>
      </w:r>
      <w:r w:rsidRPr="001326F0">
        <w:rPr>
          <w:rFonts w:ascii="Book Antiqua" w:hAnsi="Book Antiqua"/>
          <w:sz w:val="24"/>
          <w:szCs w:val="24"/>
          <w:lang w:val="en-GB"/>
        </w:rPr>
        <w:t>, and muscle apoptosis</w:t>
      </w:r>
      <w:r w:rsidRPr="001326F0">
        <w:rPr>
          <w:rFonts w:ascii="Book Antiqua" w:hAnsi="Book Antiqua"/>
          <w:sz w:val="24"/>
          <w:szCs w:val="24"/>
          <w:vertAlign w:val="superscript"/>
          <w:lang w:val="en-GB"/>
        </w:rPr>
        <w:t>[78]</w:t>
      </w:r>
      <w:r w:rsidRPr="001326F0">
        <w:rPr>
          <w:rFonts w:ascii="Book Antiqua" w:hAnsi="Book Antiqua"/>
          <w:sz w:val="24"/>
          <w:szCs w:val="24"/>
          <w:lang w:val="en-GB"/>
        </w:rPr>
        <w:t>. Its presence also results in an increase in circulating leptin concentrations</w:t>
      </w:r>
      <w:r w:rsidRPr="001326F0">
        <w:rPr>
          <w:rFonts w:ascii="Book Antiqua" w:hAnsi="Book Antiqua"/>
          <w:sz w:val="24"/>
          <w:szCs w:val="24"/>
          <w:vertAlign w:val="superscript"/>
          <w:lang w:val="en-GB"/>
        </w:rPr>
        <w:t>[79]</w:t>
      </w:r>
      <w:r w:rsidRPr="001326F0">
        <w:rPr>
          <w:rFonts w:ascii="Book Antiqua" w:hAnsi="Book Antiqua"/>
          <w:sz w:val="24"/>
          <w:szCs w:val="24"/>
          <w:lang w:val="en-GB"/>
        </w:rPr>
        <w:t xml:space="preserve"> and, finally, its overexpression, by exceeding fat, aimed at stopping the growth of tissues</w:t>
      </w:r>
      <w:r w:rsidRPr="001326F0">
        <w:rPr>
          <w:rFonts w:ascii="Book Antiqua" w:hAnsi="Book Antiqua"/>
          <w:sz w:val="24"/>
          <w:szCs w:val="24"/>
          <w:vertAlign w:val="superscript"/>
          <w:lang w:val="en-US"/>
        </w:rPr>
        <w:t>[80]</w:t>
      </w:r>
      <w:r w:rsidRPr="001326F0">
        <w:rPr>
          <w:rFonts w:ascii="Book Antiqua" w:hAnsi="Book Antiqua"/>
          <w:sz w:val="24"/>
          <w:szCs w:val="24"/>
          <w:lang w:val="en-US"/>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b/>
          <w:sz w:val="24"/>
          <w:szCs w:val="24"/>
          <w:lang w:val="en-GB"/>
        </w:rPr>
      </w:pPr>
      <w:r w:rsidRPr="001326F0">
        <w:rPr>
          <w:rFonts w:ascii="Book Antiqua" w:hAnsi="Book Antiqua"/>
          <w:sz w:val="24"/>
          <w:szCs w:val="24"/>
          <w:lang w:val="en-GB"/>
        </w:rPr>
        <w:t>Several population-based studies have suggested an association between 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polymorphisms and obesity-related phenotypes</w:t>
      </w:r>
      <w:r w:rsidRPr="001326F0">
        <w:rPr>
          <w:rFonts w:ascii="Book Antiqua" w:hAnsi="Book Antiqua"/>
          <w:sz w:val="24"/>
          <w:szCs w:val="24"/>
          <w:vertAlign w:val="superscript"/>
          <w:lang w:val="en-GB"/>
        </w:rPr>
        <w:t>[81]</w:t>
      </w:r>
      <w:r w:rsidRPr="001326F0">
        <w:rPr>
          <w:rFonts w:ascii="Book Antiqua" w:hAnsi="Book Antiqua"/>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lastRenderedPageBreak/>
        <w:t>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has a direct (possibly paracrine) function in adipose tissue where it limits its mass by stimulating lipolysis and decreasing lipoprotein lipase expression and activity, that means it’s involved in the adipostatic function</w:t>
      </w:r>
      <w:r w:rsidRPr="001326F0">
        <w:rPr>
          <w:rFonts w:ascii="Book Antiqua" w:hAnsi="Book Antiqua"/>
          <w:sz w:val="24"/>
          <w:szCs w:val="24"/>
          <w:vertAlign w:val="superscript"/>
          <w:lang w:val="en-GB"/>
        </w:rPr>
        <w:t>[76]</w:t>
      </w:r>
      <w:r w:rsidRPr="001326F0">
        <w:rPr>
          <w:rFonts w:ascii="Book Antiqua" w:hAnsi="Book Antiqua"/>
          <w:sz w:val="24"/>
          <w:szCs w:val="24"/>
          <w:lang w:val="en-GB"/>
        </w:rPr>
        <w:t>.</w:t>
      </w:r>
    </w:p>
    <w:p w:rsidR="007B70B9" w:rsidRPr="001326F0" w:rsidRDefault="007B70B9" w:rsidP="00746C86">
      <w:pPr>
        <w:autoSpaceDE w:val="0"/>
        <w:autoSpaceDN w:val="0"/>
        <w:adjustRightInd w:val="0"/>
        <w:snapToGrid w:val="0"/>
        <w:spacing w:after="0" w:line="360" w:lineRule="auto"/>
        <w:jc w:val="both"/>
        <w:rPr>
          <w:rFonts w:ascii="Book Antiqua" w:hAnsi="Book Antiqua"/>
          <w:sz w:val="24"/>
          <w:szCs w:val="24"/>
          <w:lang w:val="en-GB"/>
        </w:rPr>
      </w:pPr>
      <w:r w:rsidRPr="001326F0">
        <w:rPr>
          <w:rFonts w:ascii="Book Antiqua" w:hAnsi="Book Antiqua"/>
          <w:sz w:val="24"/>
          <w:szCs w:val="24"/>
          <w:lang w:val="en-GB"/>
        </w:rPr>
        <w:t>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can induce hyperlipidemia and insulin resistance, especially in presence of single nucleotide polymorphisms (SNPs) on the promoter (-308 G/A and -238 G/A)</w:t>
      </w:r>
      <w:r w:rsidRPr="001326F0">
        <w:rPr>
          <w:rFonts w:ascii="Book Antiqua" w:hAnsi="Book Antiqua"/>
          <w:sz w:val="24"/>
          <w:szCs w:val="24"/>
          <w:vertAlign w:val="superscript"/>
          <w:lang w:val="en-GB"/>
        </w:rPr>
        <w:t>[82]</w:t>
      </w:r>
      <w:r w:rsidRPr="001326F0">
        <w:rPr>
          <w:rFonts w:ascii="Book Antiqua" w:hAnsi="Book Antiqua"/>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In fact, 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is an antagonist of insulin receptor and an overproduction could impair insulin signalling as well as down-regulate adipose lipase producing hyperlipidemia. Levels of 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are high in an obese population and moreover experiments </w:t>
      </w:r>
      <w:r w:rsidR="00EA4018" w:rsidRPr="001326F0">
        <w:rPr>
          <w:rFonts w:ascii="Book Antiqua" w:hAnsi="Book Antiqua"/>
          <w:i/>
          <w:sz w:val="24"/>
          <w:szCs w:val="24"/>
          <w:lang w:val="en-GB"/>
        </w:rPr>
        <w:t>in vitro</w:t>
      </w:r>
      <w:r w:rsidRPr="001326F0">
        <w:rPr>
          <w:rFonts w:ascii="Book Antiqua" w:hAnsi="Book Antiqua"/>
          <w:sz w:val="24"/>
          <w:szCs w:val="24"/>
          <w:lang w:val="en-GB"/>
        </w:rPr>
        <w:t xml:space="preserve"> show that allele A alters binding of nuclear factors to the -308 region causing a general increase in transcriptional</w:t>
      </w:r>
      <w:r w:rsidRPr="001326F0">
        <w:rPr>
          <w:rFonts w:ascii="Book Antiqua" w:hAnsi="Book Antiqua"/>
          <w:sz w:val="24"/>
          <w:szCs w:val="24"/>
          <w:vertAlign w:val="superscript"/>
          <w:lang w:val="en-GB"/>
        </w:rPr>
        <w:t>[83]</w:t>
      </w:r>
      <w:r w:rsidRPr="001326F0">
        <w:rPr>
          <w:rFonts w:ascii="Book Antiqua" w:hAnsi="Book Antiqua"/>
          <w:sz w:val="24"/>
          <w:szCs w:val="24"/>
          <w:lang w:val="en-GB"/>
        </w:rPr>
        <w:t>. Interestingly, cases with the -308 A allele of the 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gene have significantly higher hip and WC, BMI and body fat mass values than obese individuals carrying the -308 G allele, but not the waist-to-hip ratio</w:t>
      </w:r>
      <w:r w:rsidRPr="001326F0">
        <w:rPr>
          <w:rFonts w:ascii="Book Antiqua" w:hAnsi="Book Antiqua"/>
          <w:sz w:val="24"/>
          <w:szCs w:val="24"/>
          <w:vertAlign w:val="superscript"/>
          <w:lang w:val="en-GB"/>
        </w:rPr>
        <w:t>[84]</w:t>
      </w:r>
      <w:r w:rsidRPr="001326F0">
        <w:rPr>
          <w:rFonts w:ascii="Book Antiqua" w:hAnsi="Book Antiqua"/>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An higher fasting insulin levels, higher Homeostasis Model Assessment of Insulin Resistance (HOMA-IR), higher systolic blood pressure and lower HDL cholesterol were highlighted among -308 A allele 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obese carriers than -308 G obese carriers, and overweight subjects with </w:t>
      </w:r>
      <w:r w:rsidRPr="001326F0">
        <w:rPr>
          <w:rFonts w:ascii="Book Antiqua" w:hAnsi="Book Antiqua"/>
          <w:sz w:val="24"/>
          <w:szCs w:val="24"/>
          <w:lang w:val="en-US"/>
        </w:rPr>
        <w:t>impaired glucose tolerance</w:t>
      </w:r>
      <w:r w:rsidRPr="001326F0">
        <w:rPr>
          <w:rFonts w:ascii="Book Antiqua" w:hAnsi="Book Antiqua"/>
          <w:sz w:val="24"/>
          <w:szCs w:val="24"/>
          <w:lang w:val="en-GB"/>
        </w:rPr>
        <w:t xml:space="preserve"> showing a genotype have higher risk of developing T2DM than subjects without this genotype</w:t>
      </w:r>
      <w:r w:rsidRPr="001326F0">
        <w:rPr>
          <w:rFonts w:ascii="Book Antiqua" w:hAnsi="Book Antiqua"/>
          <w:sz w:val="24"/>
          <w:szCs w:val="24"/>
          <w:vertAlign w:val="superscript"/>
          <w:lang w:val="en-GB"/>
        </w:rPr>
        <w:t>[85]</w:t>
      </w:r>
      <w:r w:rsidRPr="001326F0">
        <w:rPr>
          <w:rFonts w:ascii="Book Antiqua" w:hAnsi="Book Antiqua"/>
          <w:sz w:val="24"/>
          <w:szCs w:val="24"/>
          <w:lang w:val="en-GB"/>
        </w:rPr>
        <w:t>.</w:t>
      </w:r>
    </w:p>
    <w:p w:rsidR="007B70B9" w:rsidRPr="001326F0" w:rsidRDefault="007B70B9" w:rsidP="005821C0">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This observation is consistent with previous findings, suggesting that leptin secretion and insulin resistance are affected by TNF</w:t>
      </w:r>
      <w:r w:rsidRPr="001326F0">
        <w:rPr>
          <w:rFonts w:ascii="Book Antiqua" w:hAnsi="Book Antiqua" w:cs="Times New Roman"/>
          <w:sz w:val="24"/>
          <w:szCs w:val="24"/>
          <w:lang w:val="en-GB"/>
        </w:rPr>
        <w:t>-α</w:t>
      </w:r>
      <w:r w:rsidRPr="001326F0">
        <w:rPr>
          <w:rFonts w:ascii="Book Antiqua" w:hAnsi="Book Antiqua"/>
          <w:sz w:val="24"/>
          <w:szCs w:val="24"/>
          <w:lang w:val="en-GB"/>
        </w:rPr>
        <w:t xml:space="preserve"> expression. Disturbances in circulating levels of leptin may be accompanied by a lower control of appetite and thermogenesis or may occur as a consequence of leptin resistance.</w:t>
      </w:r>
    </w:p>
    <w:p w:rsidR="007B70B9" w:rsidRPr="001326F0" w:rsidRDefault="007B70B9" w:rsidP="00746C86">
      <w:pPr>
        <w:autoSpaceDE w:val="0"/>
        <w:autoSpaceDN w:val="0"/>
        <w:adjustRightInd w:val="0"/>
        <w:snapToGrid w:val="0"/>
        <w:spacing w:after="0" w:line="360" w:lineRule="auto"/>
        <w:jc w:val="both"/>
        <w:rPr>
          <w:rFonts w:ascii="Book Antiqua" w:hAnsi="Book Antiqua"/>
          <w:sz w:val="24"/>
          <w:szCs w:val="24"/>
          <w:lang w:val="en-GB"/>
        </w:rPr>
      </w:pPr>
    </w:p>
    <w:p w:rsidR="007B70B9" w:rsidRPr="001326F0" w:rsidRDefault="007B70B9" w:rsidP="00746C86">
      <w:pPr>
        <w:autoSpaceDE w:val="0"/>
        <w:autoSpaceDN w:val="0"/>
        <w:adjustRightInd w:val="0"/>
        <w:snapToGrid w:val="0"/>
        <w:spacing w:after="0" w:line="360" w:lineRule="auto"/>
        <w:jc w:val="both"/>
        <w:rPr>
          <w:rFonts w:ascii="Book Antiqua" w:hAnsi="Book Antiqua"/>
          <w:b/>
          <w:i/>
          <w:sz w:val="24"/>
          <w:szCs w:val="24"/>
          <w:lang w:val="en-GB"/>
        </w:rPr>
      </w:pPr>
      <w:r w:rsidRPr="001326F0">
        <w:rPr>
          <w:rFonts w:ascii="Book Antiqua" w:hAnsi="Book Antiqua"/>
          <w:b/>
          <w:i/>
          <w:sz w:val="24"/>
          <w:szCs w:val="24"/>
          <w:lang w:val="en-GB"/>
        </w:rPr>
        <w:t>Interleukin-1</w:t>
      </w:r>
    </w:p>
    <w:p w:rsidR="007B70B9" w:rsidRPr="001326F0" w:rsidRDefault="007B70B9" w:rsidP="00746C86">
      <w:pPr>
        <w:adjustRightInd w:val="0"/>
        <w:snapToGrid w:val="0"/>
        <w:spacing w:after="0" w:line="360" w:lineRule="auto"/>
        <w:jc w:val="both"/>
        <w:rPr>
          <w:rFonts w:ascii="Book Antiqua" w:hAnsi="Book Antiqua"/>
          <w:sz w:val="24"/>
          <w:szCs w:val="24"/>
          <w:lang w:val="en-GB"/>
        </w:rPr>
      </w:pPr>
      <w:r w:rsidRPr="001326F0">
        <w:rPr>
          <w:rFonts w:ascii="Book Antiqua" w:hAnsi="Book Antiqua"/>
          <w:sz w:val="24"/>
          <w:szCs w:val="24"/>
          <w:lang w:val="en-GB"/>
        </w:rPr>
        <w:t xml:space="preserve">Other intriguing molecules produced by adipose tissue and involved in metabolism are that belonging to the class of </w:t>
      </w:r>
      <w:r w:rsidR="00EA4018" w:rsidRPr="001326F0">
        <w:rPr>
          <w:rFonts w:ascii="Book Antiqua" w:hAnsi="Book Antiqua"/>
          <w:sz w:val="24"/>
          <w:szCs w:val="24"/>
          <w:lang w:val="en-GB"/>
        </w:rPr>
        <w:t>interleukin-1 (IL-1)</w:t>
      </w:r>
      <w:r w:rsidRPr="001326F0">
        <w:rPr>
          <w:rFonts w:ascii="Book Antiqua" w:hAnsi="Book Antiqua"/>
          <w:sz w:val="24"/>
          <w:szCs w:val="24"/>
          <w:lang w:val="en-GB"/>
        </w:rPr>
        <w:t xml:space="preserve">. IL-1 biological activity involves two agonists, IL-1α and IL-1β, specific receptors, and a naturally occurring antagonist, IL-1 receptor antagonist (IL-1Ra). Some </w:t>
      </w:r>
      <w:r w:rsidRPr="001326F0">
        <w:rPr>
          <w:rFonts w:ascii="Book Antiqua" w:hAnsi="Book Antiqua"/>
          <w:sz w:val="24"/>
          <w:szCs w:val="24"/>
          <w:lang w:val="en-GB"/>
        </w:rPr>
        <w:lastRenderedPageBreak/>
        <w:t xml:space="preserve">of the most relevant properties of IL-1 biological activity are the ability to initiate cyclooxygenase type 2 and inducible nitric oxide, leading to substantial expression of prostaglandin E2 and nitric oxide by cells exposed to IL-1β. </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 xml:space="preserve">Moreover, IL-1β is able to determine lipolysis, glucose transport, and adipocyte maturation in adipose tissue, to inhibit lipogenesis, </w:t>
      </w:r>
      <w:r w:rsidRPr="001326F0">
        <w:rPr>
          <w:rFonts w:ascii="Book Antiqua" w:hAnsi="Book Antiqua"/>
          <w:i/>
          <w:sz w:val="24"/>
          <w:szCs w:val="24"/>
          <w:lang w:val="en-GB"/>
        </w:rPr>
        <w:t>via</w:t>
      </w:r>
      <w:r w:rsidRPr="001326F0">
        <w:rPr>
          <w:rFonts w:ascii="Book Antiqua" w:hAnsi="Book Antiqua"/>
          <w:sz w:val="24"/>
          <w:szCs w:val="24"/>
          <w:lang w:val="en-GB"/>
        </w:rPr>
        <w:t xml:space="preserve"> the IL-1 receptor type 1 and the IL-1 receptor accessory protein, like TNF-α. </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In obese individuals the serum level of IL-1Ra is up-regulated for a feedback down-regulation, resulting in an acquired resistance to leptin, rising the high values as in inflammatory autoimmune diseases and sepsis</w:t>
      </w:r>
      <w:r w:rsidRPr="001326F0">
        <w:rPr>
          <w:rFonts w:ascii="Book Antiqua" w:hAnsi="Book Antiqua"/>
          <w:sz w:val="24"/>
          <w:szCs w:val="24"/>
          <w:vertAlign w:val="superscript"/>
          <w:lang w:val="en-US"/>
        </w:rPr>
        <w:t>[86,87</w:t>
      </w:r>
      <w:r w:rsidRPr="001326F0">
        <w:rPr>
          <w:rFonts w:ascii="Book Antiqua" w:hAnsi="Book Antiqua"/>
          <w:sz w:val="24"/>
          <w:szCs w:val="24"/>
          <w:vertAlign w:val="superscript"/>
          <w:lang w:val="en-GB"/>
        </w:rPr>
        <w:t>]</w:t>
      </w:r>
      <w:r w:rsidRPr="001326F0">
        <w:rPr>
          <w:rFonts w:ascii="Book Antiqua" w:hAnsi="Book Antiqua"/>
          <w:sz w:val="24"/>
          <w:szCs w:val="24"/>
          <w:lang w:val="en-GB"/>
        </w:rPr>
        <w:t xml:space="preserve">. </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Polymorphisms affecting IL-1 production, like the SNP at IL-1β (+3954), the SNP at IL-1α (-889) and the SNP at IL-1α (+4845) are associated with increased levels of inflammatory mediators, and also with increased severity of several chronic diseases, including Alzheimer’s disease</w:t>
      </w:r>
      <w:r w:rsidRPr="001326F0">
        <w:rPr>
          <w:rFonts w:ascii="Book Antiqua" w:hAnsi="Book Antiqua"/>
          <w:sz w:val="24"/>
          <w:szCs w:val="24"/>
          <w:vertAlign w:val="superscript"/>
          <w:lang w:val="en-GB"/>
        </w:rPr>
        <w:t>[88]</w:t>
      </w:r>
      <w:r w:rsidRPr="001326F0">
        <w:rPr>
          <w:rFonts w:ascii="Book Antiqua" w:hAnsi="Book Antiqua"/>
          <w:sz w:val="24"/>
          <w:szCs w:val="24"/>
          <w:lang w:val="en-GB"/>
        </w:rPr>
        <w:t>, periodontal disease and others. This proinflammatory IL-1 genotype pattern recently has been associated with cardiovascular acute coronary events. For example, despite having total cholesterol levels below 200 mg/dL, individuals who carried two copies of IL-1α (+4845) allele 2 were four times (</w:t>
      </w:r>
      <w:r w:rsidR="00EA4018" w:rsidRPr="001326F0">
        <w:rPr>
          <w:rFonts w:ascii="Book Antiqua" w:hAnsi="Book Antiqua"/>
          <w:i/>
          <w:sz w:val="24"/>
          <w:szCs w:val="24"/>
          <w:lang w:val="en-GB"/>
        </w:rPr>
        <w:t>P &lt;</w:t>
      </w:r>
      <w:r w:rsidR="00EA4018" w:rsidRPr="001326F0">
        <w:rPr>
          <w:rFonts w:ascii="Book Antiqua" w:hAnsi="Book Antiqua"/>
          <w:sz w:val="24"/>
          <w:szCs w:val="24"/>
          <w:lang w:val="en-GB"/>
        </w:rPr>
        <w:t xml:space="preserve"> </w:t>
      </w:r>
      <w:r w:rsidRPr="001326F0">
        <w:rPr>
          <w:rFonts w:ascii="Book Antiqua" w:hAnsi="Book Antiqua"/>
          <w:sz w:val="24"/>
          <w:szCs w:val="24"/>
          <w:lang w:val="en-GB"/>
        </w:rPr>
        <w:t xml:space="preserve">0.01) more likely to have a coronary heart disease event during an 11-y monitoring period than were individuals with the same level of cholesterol but who did not carry this IL-1 genotype (unpublished data, Interleukin Genetics, Waltham, MA, USA). </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bCs/>
          <w:sz w:val="24"/>
          <w:szCs w:val="24"/>
          <w:lang w:val="en-GB"/>
        </w:rPr>
        <w:t>The</w:t>
      </w:r>
      <w:r w:rsidRPr="001326F0">
        <w:rPr>
          <w:rFonts w:ascii="Book Antiqua" w:hAnsi="Book Antiqua"/>
          <w:sz w:val="24"/>
          <w:szCs w:val="24"/>
          <w:lang w:val="en-GB"/>
        </w:rPr>
        <w:t xml:space="preserve"> interleukin-1 receptor antagonist (IL-1Ra) antagonizes the effects of IL-1α and -1β</w:t>
      </w:r>
      <w:r w:rsidRPr="001326F0">
        <w:rPr>
          <w:rFonts w:ascii="Book Antiqua" w:hAnsi="Book Antiqua"/>
          <w:sz w:val="24"/>
          <w:szCs w:val="24"/>
          <w:vertAlign w:val="superscript"/>
          <w:lang w:val="en-GB"/>
        </w:rPr>
        <w:t>[89]</w:t>
      </w:r>
      <w:r w:rsidRPr="001326F0">
        <w:rPr>
          <w:rFonts w:ascii="Book Antiqua" w:hAnsi="Book Antiqua"/>
          <w:sz w:val="24"/>
          <w:szCs w:val="24"/>
          <w:lang w:val="en-GB"/>
        </w:rPr>
        <w:t>, and the anti-inflammatory cytokine interferon-beta (IFN-β) and leptin can induce IL-1Ra production without increasing IL-1</w:t>
      </w:r>
      <w:r w:rsidRPr="001326F0">
        <w:rPr>
          <w:rFonts w:ascii="Book Antiqua" w:hAnsi="Book Antiqua"/>
          <w:sz w:val="24"/>
          <w:szCs w:val="24"/>
          <w:vertAlign w:val="superscript"/>
          <w:lang w:val="en-GB"/>
        </w:rPr>
        <w:t>[86,90]</w:t>
      </w:r>
      <w:r w:rsidRPr="001326F0">
        <w:rPr>
          <w:rFonts w:ascii="Book Antiqua" w:hAnsi="Book Antiqua"/>
          <w:sz w:val="24"/>
          <w:szCs w:val="24"/>
          <w:lang w:val="en-GB"/>
        </w:rPr>
        <w:t>. In subjects with hyperleptinemic obese individuals the serum sIL-1Ra levels are higher as compared to non obese subjects</w:t>
      </w:r>
      <w:r w:rsidRPr="001326F0">
        <w:rPr>
          <w:rFonts w:ascii="Book Antiqua" w:hAnsi="Book Antiqua"/>
          <w:sz w:val="24"/>
          <w:szCs w:val="24"/>
          <w:vertAlign w:val="superscript"/>
          <w:lang w:val="en-GB"/>
        </w:rPr>
        <w:t>[91]</w:t>
      </w:r>
      <w:r w:rsidRPr="001326F0">
        <w:rPr>
          <w:rFonts w:ascii="Book Antiqua" w:hAnsi="Book Antiqua"/>
          <w:sz w:val="24"/>
          <w:szCs w:val="24"/>
          <w:lang w:val="en-GB"/>
        </w:rPr>
        <w:t>.</w:t>
      </w:r>
    </w:p>
    <w:p w:rsidR="007B70B9" w:rsidRPr="001326F0" w:rsidRDefault="007B70B9" w:rsidP="00EA4018">
      <w:pPr>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Furthermore, in subjects that underwent to intestinal bypass surgery, sIL-1Ra levels dropped after weight loss, correlating with BMI and the degree of insulin resistance better than with serum leptin levels, according to metabolic control unmediated by leptin.</w:t>
      </w:r>
    </w:p>
    <w:p w:rsidR="007B70B9" w:rsidRPr="001326F0" w:rsidRDefault="007B70B9" w:rsidP="00746C86">
      <w:pPr>
        <w:autoSpaceDE w:val="0"/>
        <w:autoSpaceDN w:val="0"/>
        <w:adjustRightInd w:val="0"/>
        <w:snapToGrid w:val="0"/>
        <w:spacing w:after="0" w:line="360" w:lineRule="auto"/>
        <w:jc w:val="both"/>
        <w:rPr>
          <w:rFonts w:ascii="Book Antiqua" w:hAnsi="Book Antiqua" w:cs="Arial"/>
          <w:b/>
          <w:sz w:val="24"/>
          <w:szCs w:val="24"/>
          <w:highlight w:val="yellow"/>
          <w:lang w:val="en-US"/>
        </w:rPr>
      </w:pPr>
    </w:p>
    <w:p w:rsidR="007B70B9" w:rsidRPr="001326F0" w:rsidRDefault="007B70B9" w:rsidP="00746C86">
      <w:pPr>
        <w:autoSpaceDE w:val="0"/>
        <w:autoSpaceDN w:val="0"/>
        <w:adjustRightInd w:val="0"/>
        <w:snapToGrid w:val="0"/>
        <w:spacing w:after="0" w:line="360" w:lineRule="auto"/>
        <w:jc w:val="both"/>
        <w:rPr>
          <w:rFonts w:ascii="Book Antiqua" w:hAnsi="Book Antiqua" w:cs="Arial"/>
          <w:b/>
          <w:sz w:val="24"/>
          <w:szCs w:val="24"/>
          <w:lang w:val="en-US"/>
        </w:rPr>
      </w:pPr>
      <w:r w:rsidRPr="001326F0">
        <w:rPr>
          <w:rFonts w:ascii="Book Antiqua" w:hAnsi="Book Antiqua" w:cs="Arial"/>
          <w:b/>
          <w:sz w:val="24"/>
          <w:szCs w:val="24"/>
          <w:lang w:val="en-US"/>
        </w:rPr>
        <w:lastRenderedPageBreak/>
        <w:t>GLUCOTOXICITY</w:t>
      </w:r>
    </w:p>
    <w:p w:rsidR="007B70B9" w:rsidRPr="001326F0" w:rsidRDefault="007B70B9" w:rsidP="00746C86">
      <w:pPr>
        <w:autoSpaceDE w:val="0"/>
        <w:autoSpaceDN w:val="0"/>
        <w:adjustRightInd w:val="0"/>
        <w:snapToGrid w:val="0"/>
        <w:spacing w:after="0" w:line="360" w:lineRule="auto"/>
        <w:jc w:val="both"/>
        <w:rPr>
          <w:rFonts w:ascii="Book Antiqua" w:hAnsi="Book Antiqua" w:cs="Arial"/>
          <w:sz w:val="24"/>
          <w:szCs w:val="24"/>
          <w:highlight w:val="yellow"/>
          <w:lang w:val="en-US"/>
        </w:rPr>
      </w:pPr>
      <w:r w:rsidRPr="001326F0">
        <w:rPr>
          <w:rFonts w:ascii="Book Antiqua" w:hAnsi="Book Antiqua" w:cs="Arial"/>
          <w:sz w:val="24"/>
          <w:szCs w:val="24"/>
          <w:lang w:val="en-US"/>
        </w:rPr>
        <w:t>The ability of the pancreatic alpha and beta cells to increase the uptake of glucose can be compromised by constant hyperglycemia, even mild. This mechanism, compromising the glucose transport mediated by insulin, prevents the possibility of self correction, and start a vicious cycle mechanism that leads to deterioration of the metabolic process</w:t>
      </w:r>
      <w:r w:rsidRPr="001326F0">
        <w:rPr>
          <w:rFonts w:ascii="Book Antiqua" w:hAnsi="Book Antiqua" w:cs="Times New Roman"/>
          <w:sz w:val="24"/>
          <w:szCs w:val="24"/>
          <w:vertAlign w:val="superscript"/>
          <w:lang w:val="en-US"/>
        </w:rPr>
        <w:t>[92]</w:t>
      </w:r>
      <w:r w:rsidRPr="001326F0">
        <w:rPr>
          <w:rFonts w:ascii="Book Antiqua" w:hAnsi="Book Antiqua" w:cs="Arial"/>
          <w:sz w:val="24"/>
          <w:szCs w:val="24"/>
          <w:lang w:val="en-US"/>
        </w:rPr>
        <w:t>.</w:t>
      </w:r>
      <w:r w:rsidRPr="001326F0">
        <w:rPr>
          <w:rFonts w:ascii="Book Antiqua" w:hAnsi="Book Antiqua"/>
          <w:sz w:val="24"/>
          <w:szCs w:val="24"/>
          <w:lang w:val="en-US"/>
        </w:rPr>
        <w:t xml:space="preserve"> </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t xml:space="preserve">Continuous overstimulation of the beta-cell by glucose could eventually lead to depletion of insulin stores, worsening of hyperglycemia, and finally deterioration of beta-cell function. </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t xml:space="preserve">The mechanisms responsible for changes of </w:t>
      </w:r>
      <w:r w:rsidRPr="001326F0">
        <w:rPr>
          <w:rFonts w:ascii="Book Antiqua" w:hAnsi="Book Antiqua" w:cs="Times New Roman"/>
          <w:sz w:val="24"/>
          <w:szCs w:val="24"/>
          <w:lang w:val="en-US"/>
        </w:rPr>
        <w:t>insulin</w:t>
      </w:r>
      <w:r w:rsidRPr="001326F0">
        <w:rPr>
          <w:rFonts w:ascii="Book Antiqua" w:hAnsi="Book Antiqua" w:cs="Arial"/>
          <w:sz w:val="24"/>
          <w:szCs w:val="24"/>
          <w:lang w:val="en-US"/>
        </w:rPr>
        <w:t xml:space="preserve"> sensitivity versus insulin resistance clearly vary and involve changes in both beta -cell function and beta -cell mass, although in most instances it appears that functional changes predominate. Moreover, the beta-cell must also alter its activity when this critical modulator changes for more prolonged periods</w:t>
      </w:r>
      <w:r w:rsidRPr="001326F0">
        <w:rPr>
          <w:rFonts w:ascii="Book Antiqua" w:hAnsi="Book Antiqua" w:cs="Arial"/>
          <w:sz w:val="24"/>
          <w:szCs w:val="24"/>
          <w:vertAlign w:val="superscript"/>
          <w:lang w:val="en-US"/>
        </w:rPr>
        <w:t>[60]</w:t>
      </w:r>
      <w:r w:rsidRPr="001326F0">
        <w:rPr>
          <w:rFonts w:ascii="Book Antiqua" w:hAnsi="Book Antiqua" w:cs="Arial"/>
          <w:sz w:val="24"/>
          <w:szCs w:val="24"/>
          <w:lang w:val="en-US"/>
        </w:rPr>
        <w:t>.</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t>Several mechanisms might explain the glucotoxicity due to prolonged hyperglycemia</w:t>
      </w:r>
      <w:r w:rsidRPr="001326F0">
        <w:rPr>
          <w:rFonts w:ascii="Book Antiqua" w:hAnsi="Book Antiqua" w:cs="Arial"/>
          <w:sz w:val="24"/>
          <w:szCs w:val="24"/>
          <w:vertAlign w:val="superscript"/>
          <w:lang w:val="en-US"/>
        </w:rPr>
        <w:t>[93,94]</w:t>
      </w:r>
      <w:r w:rsidRPr="001326F0">
        <w:rPr>
          <w:rFonts w:ascii="Book Antiqua" w:hAnsi="Book Antiqua" w:cs="Arial"/>
          <w:sz w:val="24"/>
          <w:szCs w:val="24"/>
          <w:lang w:val="en-US"/>
        </w:rPr>
        <w:t>, such as beta -cell exhaustion, oxidative stress induced by free radical oxygen species, endoplasmic reticulum (ER) stress, inflammation caused by proinflammatory cytokines and chemokines, loss of neogenesis, proliferation of beta -cells, gradual loss of insulin</w:t>
      </w:r>
      <w:r w:rsidR="00EA4018" w:rsidRPr="001326F0">
        <w:rPr>
          <w:rFonts w:ascii="Book Antiqua" w:hAnsi="Book Antiqua" w:cs="Arial"/>
          <w:sz w:val="24"/>
          <w:szCs w:val="24"/>
          <w:lang w:val="en-US"/>
        </w:rPr>
        <w:t xml:space="preserve"> gene expression and other beta</w:t>
      </w:r>
      <w:r w:rsidRPr="001326F0">
        <w:rPr>
          <w:rFonts w:ascii="Book Antiqua" w:hAnsi="Book Antiqua" w:cs="Arial"/>
          <w:sz w:val="24"/>
          <w:szCs w:val="24"/>
          <w:lang w:val="en-US"/>
        </w:rPr>
        <w:t>-cell specific genes, changes in mitochondrial number, morphology and function, disruption in calcium homeostasis</w:t>
      </w:r>
      <w:r w:rsidRPr="001326F0">
        <w:rPr>
          <w:rFonts w:ascii="Book Antiqua" w:hAnsi="Book Antiqua" w:cs="Arial"/>
          <w:sz w:val="24"/>
          <w:szCs w:val="24"/>
          <w:vertAlign w:val="superscript"/>
          <w:lang w:val="en-US"/>
        </w:rPr>
        <w:t>[</w:t>
      </w:r>
      <w:r w:rsidRPr="001326F0">
        <w:rPr>
          <w:rFonts w:ascii="Book Antiqua" w:hAnsi="Book Antiqua" w:cs="Trebuchet MS"/>
          <w:sz w:val="24"/>
          <w:szCs w:val="24"/>
          <w:vertAlign w:val="superscript"/>
          <w:lang w:val="en-US"/>
        </w:rPr>
        <w:t>95</w:t>
      </w:r>
      <w:r w:rsidRPr="001326F0">
        <w:rPr>
          <w:rFonts w:ascii="Book Antiqua" w:hAnsi="Book Antiqua" w:cs="Arial"/>
          <w:sz w:val="24"/>
          <w:szCs w:val="24"/>
          <w:vertAlign w:val="superscript"/>
          <w:lang w:val="en-US"/>
        </w:rPr>
        <w:t>]</w:t>
      </w:r>
      <w:r w:rsidRPr="001326F0">
        <w:rPr>
          <w:rFonts w:ascii="Book Antiqua" w:hAnsi="Book Antiqua" w:cs="Arial"/>
          <w:sz w:val="24"/>
          <w:szCs w:val="24"/>
          <w:lang w:val="en-US"/>
        </w:rPr>
        <w:t>.</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t>In the presence of hyperglycemia, prolonged exposure to increased free fatty acids result in accumulation of toxic metabolites in the cells (“lipotoxicity”), finally causing decreased insulin gene expression and impairment of insulin secretion.</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t>Chronic exposure to abnormally high blood glucose has detrimental effects on insulin synthesis/secretion, cell survival and insulin sensitivity through multiple mechanisms (“glucotoxicity”), which in turn lead to hyperglycemia and finally to the vicious circle of continuous deterioration of beta cell function</w:t>
      </w:r>
      <w:r w:rsidRPr="001326F0">
        <w:rPr>
          <w:rFonts w:ascii="Book Antiqua" w:hAnsi="Book Antiqua" w:cs="Arial"/>
          <w:sz w:val="24"/>
          <w:szCs w:val="24"/>
          <w:vertAlign w:val="superscript"/>
          <w:lang w:val="en-US"/>
        </w:rPr>
        <w:t>[96]</w:t>
      </w:r>
      <w:r w:rsidRPr="001326F0">
        <w:rPr>
          <w:rFonts w:ascii="Book Antiqua" w:hAnsi="Book Antiqua" w:cs="Arial"/>
          <w:sz w:val="24"/>
          <w:szCs w:val="24"/>
          <w:lang w:val="en-US"/>
        </w:rPr>
        <w:t>.</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lastRenderedPageBreak/>
        <w:t>Beta cells exposed to an increased insulin secretory request place a high demand on ER for the synthesis of proinsulin, leading to cellular stress</w:t>
      </w:r>
      <w:r w:rsidRPr="001326F0">
        <w:rPr>
          <w:rFonts w:ascii="Book Antiqua" w:hAnsi="Book Antiqua" w:cs="Arial"/>
          <w:sz w:val="24"/>
          <w:szCs w:val="24"/>
          <w:vertAlign w:val="superscript"/>
          <w:lang w:val="en-US"/>
        </w:rPr>
        <w:t>[97]</w:t>
      </w:r>
      <w:r w:rsidRPr="001326F0">
        <w:rPr>
          <w:rFonts w:ascii="Book Antiqua" w:hAnsi="Book Antiqua" w:cs="Arial"/>
          <w:sz w:val="24"/>
          <w:szCs w:val="24"/>
          <w:lang w:val="en-US"/>
        </w:rPr>
        <w:t xml:space="preserve">. </w:t>
      </w:r>
    </w:p>
    <w:p w:rsidR="007B70B9" w:rsidRPr="001326F0" w:rsidRDefault="007B70B9" w:rsidP="00EA4018">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t>Due to chronic ER stress and strong unfolded protein response (UPR), beta cell death through apoptosis (mediated by stress kinases and transcription factors) may be initiated. In addition to glucose, free fatty acids (FFA) and islet amyloid polypeptide are triggers of beta cell ER stress</w:t>
      </w:r>
      <w:r w:rsidRPr="001326F0">
        <w:rPr>
          <w:rFonts w:ascii="Book Antiqua" w:hAnsi="Book Antiqua" w:cs="Arial"/>
          <w:sz w:val="24"/>
          <w:szCs w:val="24"/>
          <w:vertAlign w:val="superscript"/>
          <w:lang w:val="en-US"/>
        </w:rPr>
        <w:t>[98]</w:t>
      </w:r>
      <w:r w:rsidRPr="001326F0">
        <w:rPr>
          <w:rFonts w:ascii="Book Antiqua" w:hAnsi="Book Antiqua" w:cs="Arial"/>
          <w:sz w:val="24"/>
          <w:szCs w:val="24"/>
          <w:lang w:val="en-US"/>
        </w:rPr>
        <w:t>.</w:t>
      </w:r>
      <w:r w:rsidRPr="001326F0">
        <w:rPr>
          <w:rFonts w:ascii="Book Antiqua" w:hAnsi="Book Antiqua" w:cs="Arial"/>
          <w:sz w:val="24"/>
          <w:szCs w:val="24"/>
          <w:vertAlign w:val="superscript"/>
          <w:lang w:val="en-US"/>
        </w:rPr>
        <w:t xml:space="preserve"> </w:t>
      </w:r>
      <w:r w:rsidRPr="001326F0">
        <w:rPr>
          <w:rFonts w:ascii="Book Antiqua" w:hAnsi="Book Antiqua" w:cs="Arial"/>
          <w:sz w:val="24"/>
          <w:szCs w:val="24"/>
          <w:lang w:val="en-US"/>
        </w:rPr>
        <w:t>Moreover, reactive oxygen species (ROS), free radicals that are intermediate metabolites derived from oxygen metabolism in mitochondria, primarily due to hyperglycemia, causes oxidative stress in</w:t>
      </w:r>
      <w:r w:rsidRPr="001326F0">
        <w:rPr>
          <w:rFonts w:ascii="Book Antiqua" w:hAnsi="Book Antiqua"/>
          <w:sz w:val="24"/>
          <w:szCs w:val="24"/>
          <w:lang w:val="en-US"/>
        </w:rPr>
        <w:t xml:space="preserve"> </w:t>
      </w:r>
      <w:r w:rsidRPr="001326F0">
        <w:rPr>
          <w:rFonts w:ascii="Book Antiqua" w:hAnsi="Book Antiqua" w:cs="Arial"/>
          <w:sz w:val="24"/>
          <w:szCs w:val="24"/>
          <w:lang w:val="en-US"/>
        </w:rPr>
        <w:t>various tissues, playing an important role in both physiology and pathology in beta-cells. ROS are continuously produced by the mitochondrial electron transport system as a byproduct of the oxidative phosphorylation pathway; however, normal cells have antioxidant defenses to rapidly neutralize ROS and maintain an optimal redox potential for appropriate biological cell function</w:t>
      </w:r>
      <w:r w:rsidRPr="001326F0">
        <w:rPr>
          <w:rFonts w:ascii="Book Antiqua" w:hAnsi="Book Antiqua" w:cs="Arial"/>
          <w:sz w:val="24"/>
          <w:szCs w:val="24"/>
          <w:vertAlign w:val="superscript"/>
          <w:lang w:val="en-US"/>
        </w:rPr>
        <w:t>[99]</w:t>
      </w:r>
      <w:r w:rsidRPr="001326F0">
        <w:rPr>
          <w:rFonts w:ascii="Book Antiqua" w:hAnsi="Book Antiqua" w:cs="Arial"/>
          <w:sz w:val="24"/>
          <w:szCs w:val="24"/>
          <w:lang w:val="en-US"/>
        </w:rPr>
        <w:t xml:space="preserve">. This optimal redox balance is impaired because of increased ROS production and insufficient endogenous anti-oxidant defenses of the </w:t>
      </w:r>
      <w:r w:rsidRPr="001326F0">
        <w:rPr>
          <w:rFonts w:ascii="Book Antiqua" w:hAnsi="Book Antiqua" w:cs="Arial"/>
          <w:sz w:val="24"/>
          <w:szCs w:val="24"/>
        </w:rPr>
        <w:t>β</w:t>
      </w:r>
      <w:r w:rsidRPr="001326F0">
        <w:rPr>
          <w:rFonts w:ascii="Book Antiqua" w:hAnsi="Book Antiqua" w:cs="Arial"/>
          <w:sz w:val="24"/>
          <w:szCs w:val="24"/>
          <w:lang w:val="en-US"/>
        </w:rPr>
        <w:t>-cells.</w:t>
      </w:r>
    </w:p>
    <w:p w:rsidR="007B70B9" w:rsidRPr="001326F0" w:rsidRDefault="007B70B9" w:rsidP="00EA4018">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1326F0">
        <w:rPr>
          <w:rFonts w:ascii="Book Antiqua" w:hAnsi="Book Antiqua" w:cs="Arial"/>
          <w:sz w:val="24"/>
          <w:szCs w:val="24"/>
          <w:lang w:val="en-US"/>
        </w:rPr>
        <w:t>Chronic hyperglycemia leads to decreased number of mitochondria and changes of their morphology</w:t>
      </w:r>
      <w:r w:rsidRPr="001326F0">
        <w:rPr>
          <w:rFonts w:ascii="Book Antiqua" w:hAnsi="Book Antiqua" w:cs="Arial"/>
          <w:sz w:val="24"/>
          <w:szCs w:val="24"/>
          <w:vertAlign w:val="superscript"/>
          <w:lang w:val="en-US"/>
        </w:rPr>
        <w:t>[99]</w:t>
      </w:r>
      <w:r w:rsidRPr="001326F0">
        <w:rPr>
          <w:rFonts w:ascii="Book Antiqua" w:hAnsi="Book Antiqua" w:cs="Arial"/>
          <w:sz w:val="24"/>
          <w:szCs w:val="24"/>
          <w:lang w:val="en-US"/>
        </w:rPr>
        <w:t xml:space="preserve"> in the </w:t>
      </w:r>
      <w:r w:rsidRPr="001326F0">
        <w:rPr>
          <w:rFonts w:ascii="Book Antiqua" w:hAnsi="Book Antiqua" w:cs="Arial"/>
          <w:sz w:val="24"/>
          <w:szCs w:val="24"/>
        </w:rPr>
        <w:t>β</w:t>
      </w:r>
      <w:r w:rsidRPr="001326F0">
        <w:rPr>
          <w:rFonts w:ascii="Book Antiqua" w:hAnsi="Book Antiqua" w:cs="Arial"/>
          <w:sz w:val="24"/>
          <w:szCs w:val="24"/>
          <w:lang w:val="en-US"/>
        </w:rPr>
        <w:t>-cells. This is associated with impaired oxidative phosphorylation, decreased mitochondrial Ca2</w:t>
      </w:r>
      <w:r w:rsidRPr="001326F0">
        <w:rPr>
          <w:rFonts w:ascii="Book Antiqua" w:hAnsi="Book Antiqua" w:cs="Arial"/>
          <w:sz w:val="24"/>
          <w:szCs w:val="24"/>
          <w:vertAlign w:val="superscript"/>
          <w:lang w:val="en-US"/>
        </w:rPr>
        <w:t>+</w:t>
      </w:r>
      <w:r w:rsidRPr="001326F0">
        <w:rPr>
          <w:rFonts w:ascii="Book Antiqua" w:hAnsi="Book Antiqua" w:cs="Arial"/>
          <w:sz w:val="24"/>
          <w:szCs w:val="24"/>
          <w:lang w:val="en-US"/>
        </w:rPr>
        <w:t xml:space="preserve"> capacity and decline in ATP generation</w:t>
      </w:r>
      <w:r w:rsidRPr="001326F0">
        <w:rPr>
          <w:rFonts w:ascii="Book Antiqua" w:hAnsi="Book Antiqua" w:cs="Arial"/>
          <w:sz w:val="24"/>
          <w:szCs w:val="24"/>
          <w:vertAlign w:val="superscript"/>
          <w:lang w:val="en-US"/>
        </w:rPr>
        <w:t>[100]</w:t>
      </w:r>
      <w:r w:rsidRPr="001326F0">
        <w:rPr>
          <w:rFonts w:ascii="Book Antiqua" w:hAnsi="Book Antiqua" w:cs="Arial"/>
          <w:sz w:val="24"/>
          <w:szCs w:val="24"/>
          <w:lang w:val="en-US"/>
        </w:rPr>
        <w:t>. In addition, disruption in Ca2</w:t>
      </w:r>
      <w:r w:rsidRPr="001326F0">
        <w:rPr>
          <w:rFonts w:ascii="Book Antiqua" w:hAnsi="Book Antiqua" w:cs="Arial"/>
          <w:sz w:val="24"/>
          <w:szCs w:val="24"/>
          <w:vertAlign w:val="superscript"/>
          <w:lang w:val="en-US"/>
        </w:rPr>
        <w:t>+</w:t>
      </w:r>
      <w:r w:rsidRPr="001326F0">
        <w:rPr>
          <w:rFonts w:ascii="Book Antiqua" w:hAnsi="Book Antiqua" w:cs="Arial"/>
          <w:sz w:val="24"/>
          <w:szCs w:val="24"/>
          <w:lang w:val="en-US"/>
        </w:rPr>
        <w:t xml:space="preserve"> homeostasis (</w:t>
      </w:r>
      <w:r w:rsidR="00BF5F43" w:rsidRPr="001326F0">
        <w:rPr>
          <w:rFonts w:ascii="Book Antiqua" w:hAnsi="Book Antiqua" w:cs="Arial"/>
          <w:i/>
          <w:sz w:val="24"/>
          <w:szCs w:val="24"/>
          <w:lang w:val="en-US"/>
        </w:rPr>
        <w:t>e.g</w:t>
      </w:r>
      <w:r w:rsidRPr="001326F0">
        <w:rPr>
          <w:rFonts w:ascii="Book Antiqua" w:hAnsi="Book Antiqua" w:cs="Arial"/>
          <w:sz w:val="24"/>
          <w:szCs w:val="24"/>
          <w:lang w:val="en-US"/>
        </w:rPr>
        <w:t>.</w:t>
      </w:r>
      <w:r w:rsidR="00EA4018" w:rsidRPr="001326F0">
        <w:rPr>
          <w:rFonts w:ascii="Book Antiqua" w:hAnsi="Book Antiqua" w:cs="Arial" w:hint="eastAsia"/>
          <w:sz w:val="24"/>
          <w:szCs w:val="24"/>
          <w:lang w:val="en-US" w:eastAsia="zh-CN"/>
        </w:rPr>
        <w:t>,</w:t>
      </w:r>
      <w:r w:rsidRPr="001326F0">
        <w:rPr>
          <w:rFonts w:ascii="Book Antiqua" w:hAnsi="Book Antiqua" w:cs="Arial"/>
          <w:sz w:val="24"/>
          <w:szCs w:val="24"/>
          <w:lang w:val="en-US"/>
        </w:rPr>
        <w:t xml:space="preserve"> changes in glucose-induced Ca2</w:t>
      </w:r>
      <w:r w:rsidRPr="001326F0">
        <w:rPr>
          <w:rFonts w:ascii="Book Antiqua" w:hAnsi="Book Antiqua" w:cs="Arial"/>
          <w:sz w:val="24"/>
          <w:szCs w:val="24"/>
          <w:vertAlign w:val="superscript"/>
          <w:lang w:val="en-US"/>
        </w:rPr>
        <w:t>+</w:t>
      </w:r>
      <w:r w:rsidRPr="001326F0">
        <w:rPr>
          <w:rFonts w:ascii="Book Antiqua" w:hAnsi="Book Antiqua" w:cs="Arial"/>
          <w:sz w:val="24"/>
          <w:szCs w:val="24"/>
          <w:lang w:val="en-US"/>
        </w:rPr>
        <w:t xml:space="preserve"> influx, ER Ca2</w:t>
      </w:r>
      <w:r w:rsidRPr="001326F0">
        <w:rPr>
          <w:rFonts w:ascii="Book Antiqua" w:hAnsi="Book Antiqua" w:cs="Arial"/>
          <w:sz w:val="24"/>
          <w:szCs w:val="24"/>
          <w:vertAlign w:val="superscript"/>
          <w:lang w:val="en-US"/>
        </w:rPr>
        <w:t>+</w:t>
      </w:r>
      <w:r w:rsidRPr="001326F0">
        <w:rPr>
          <w:rFonts w:ascii="Book Antiqua" w:hAnsi="Book Antiqua" w:cs="Arial"/>
          <w:sz w:val="24"/>
          <w:szCs w:val="24"/>
          <w:lang w:val="en-US"/>
        </w:rPr>
        <w:t xml:space="preserve"> depletion) negatively impacts on beta cell growth/function and on the insulin secretion pathway</w:t>
      </w:r>
      <w:r w:rsidRPr="001326F0">
        <w:rPr>
          <w:rFonts w:ascii="Book Antiqua" w:hAnsi="Book Antiqua" w:cs="Arial"/>
          <w:sz w:val="24"/>
          <w:szCs w:val="24"/>
          <w:vertAlign w:val="superscript"/>
          <w:lang w:val="en-US"/>
        </w:rPr>
        <w:t>[101]</w:t>
      </w:r>
      <w:r w:rsidRPr="001326F0">
        <w:rPr>
          <w:rFonts w:ascii="Book Antiqua" w:hAnsi="Book Antiqua" w:cs="Arial"/>
          <w:sz w:val="24"/>
          <w:szCs w:val="24"/>
          <w:lang w:val="en-US"/>
        </w:rPr>
        <w:t>.</w:t>
      </w:r>
    </w:p>
    <w:p w:rsidR="007B70B9" w:rsidRPr="001326F0" w:rsidRDefault="007B70B9" w:rsidP="00746C86">
      <w:pPr>
        <w:autoSpaceDE w:val="0"/>
        <w:autoSpaceDN w:val="0"/>
        <w:adjustRightInd w:val="0"/>
        <w:snapToGrid w:val="0"/>
        <w:spacing w:after="0" w:line="360" w:lineRule="auto"/>
        <w:jc w:val="both"/>
        <w:rPr>
          <w:rFonts w:ascii="Book Antiqua" w:hAnsi="Book Antiqua" w:cs="Arial"/>
          <w:i/>
          <w:sz w:val="24"/>
          <w:szCs w:val="24"/>
          <w:lang w:val="en-US"/>
        </w:rPr>
      </w:pPr>
    </w:p>
    <w:p w:rsidR="007B70B9" w:rsidRPr="001326F0" w:rsidRDefault="007B70B9" w:rsidP="00746C86">
      <w:pPr>
        <w:adjustRightInd w:val="0"/>
        <w:snapToGrid w:val="0"/>
        <w:spacing w:after="0" w:line="360" w:lineRule="auto"/>
        <w:jc w:val="both"/>
        <w:rPr>
          <w:rFonts w:ascii="Book Antiqua" w:hAnsi="Book Antiqua"/>
          <w:b/>
          <w:sz w:val="24"/>
          <w:szCs w:val="24"/>
          <w:lang w:val="en-US"/>
        </w:rPr>
      </w:pPr>
      <w:r w:rsidRPr="001326F0">
        <w:rPr>
          <w:rFonts w:ascii="Book Antiqua" w:hAnsi="Book Antiqua"/>
          <w:b/>
          <w:sz w:val="24"/>
          <w:szCs w:val="24"/>
          <w:lang w:val="en-US"/>
        </w:rPr>
        <w:t>LIPOTOXICITY</w:t>
      </w:r>
    </w:p>
    <w:p w:rsidR="007B70B9" w:rsidRPr="001326F0" w:rsidRDefault="007B70B9" w:rsidP="00746C86">
      <w:pPr>
        <w:autoSpaceDE w:val="0"/>
        <w:autoSpaceDN w:val="0"/>
        <w:adjustRightInd w:val="0"/>
        <w:snapToGrid w:val="0"/>
        <w:spacing w:after="0" w:line="360" w:lineRule="auto"/>
        <w:jc w:val="both"/>
        <w:rPr>
          <w:rFonts w:ascii="Book Antiqua" w:hAnsi="Book Antiqua"/>
          <w:sz w:val="24"/>
          <w:szCs w:val="24"/>
          <w:lang w:val="en-US"/>
        </w:rPr>
      </w:pPr>
      <w:r w:rsidRPr="001326F0">
        <w:rPr>
          <w:rFonts w:ascii="Book Antiqua" w:hAnsi="Book Antiqua"/>
          <w:sz w:val="24"/>
          <w:szCs w:val="24"/>
          <w:lang w:val="en-US"/>
        </w:rPr>
        <w:t>When adipose tissue cannot meet the demand of storing excessive energy, triglyceride is accumulated in non-adipose tissues as ectopic fat, which may lead to insulin resistance in the liver and skeletal muscle and insufficient insulin secretion in the pancreas</w:t>
      </w:r>
      <w:r w:rsidRPr="001326F0">
        <w:rPr>
          <w:rFonts w:ascii="Book Antiqua" w:hAnsi="Book Antiqua"/>
          <w:sz w:val="24"/>
          <w:szCs w:val="24"/>
          <w:vertAlign w:val="superscript"/>
          <w:lang w:val="en-US"/>
        </w:rPr>
        <w:t>[48,102,103]</w:t>
      </w:r>
      <w:r w:rsidRPr="001326F0">
        <w:rPr>
          <w:rFonts w:ascii="Book Antiqua" w:hAnsi="Book Antiqua"/>
          <w:sz w:val="24"/>
          <w:szCs w:val="24"/>
          <w:lang w:val="en-US"/>
        </w:rPr>
        <w:t>.</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High plasma free fatty acids (FFA) and triglyceride levels lead to increased import of FFAs into non-adipose tissues (</w:t>
      </w:r>
      <w:r w:rsidRPr="001326F0">
        <w:rPr>
          <w:rFonts w:ascii="Book Antiqua" w:hAnsi="Book Antiqua"/>
          <w:i/>
          <w:sz w:val="24"/>
          <w:szCs w:val="24"/>
          <w:lang w:val="en-US"/>
        </w:rPr>
        <w:t>i.e</w:t>
      </w:r>
      <w:r w:rsidRPr="001326F0">
        <w:rPr>
          <w:rFonts w:ascii="Book Antiqua" w:hAnsi="Book Antiqua"/>
          <w:sz w:val="24"/>
          <w:szCs w:val="24"/>
          <w:lang w:val="en-US"/>
        </w:rPr>
        <w:t>.</w:t>
      </w:r>
      <w:r w:rsidR="00EA4018" w:rsidRPr="001326F0">
        <w:rPr>
          <w:rFonts w:ascii="Book Antiqua" w:hAnsi="Book Antiqua" w:hint="eastAsia"/>
          <w:sz w:val="24"/>
          <w:szCs w:val="24"/>
          <w:lang w:val="en-US" w:eastAsia="zh-CN"/>
        </w:rPr>
        <w:t>,</w:t>
      </w:r>
      <w:r w:rsidRPr="001326F0">
        <w:rPr>
          <w:rFonts w:ascii="Book Antiqua" w:hAnsi="Book Antiqua"/>
          <w:sz w:val="24"/>
          <w:szCs w:val="24"/>
          <w:lang w:val="en-US"/>
        </w:rPr>
        <w:t xml:space="preserve"> liver, muscle, pancreas), </w:t>
      </w:r>
      <w:r w:rsidRPr="001326F0">
        <w:rPr>
          <w:rFonts w:ascii="Book Antiqua" w:hAnsi="Book Antiqua"/>
          <w:sz w:val="24"/>
          <w:szCs w:val="24"/>
          <w:lang w:val="en-US"/>
        </w:rPr>
        <w:lastRenderedPageBreak/>
        <w:t>contributing to intracellular lipid accumulation . This phenomenon, known as lipotoxicity, may play an important role in the pathogenesis of diabetes and heart failure in humans</w:t>
      </w:r>
      <w:r w:rsidRPr="001326F0">
        <w:rPr>
          <w:rFonts w:ascii="Book Antiqua" w:hAnsi="Book Antiqua"/>
          <w:sz w:val="24"/>
          <w:szCs w:val="24"/>
          <w:vertAlign w:val="superscript"/>
          <w:lang w:val="en-US"/>
        </w:rPr>
        <w:t>[104]</w:t>
      </w:r>
      <w:r w:rsidRPr="001326F0">
        <w:rPr>
          <w:rFonts w:ascii="Book Antiqua" w:hAnsi="Book Antiqua"/>
          <w:sz w:val="24"/>
          <w:szCs w:val="24"/>
          <w:lang w:val="en-US"/>
        </w:rPr>
        <w:t xml:space="preserve">. </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Adverse consequences of lipid overload have been observed in many organ systems, mainly in the heart, skeletal muscle, pancreas, liver, and kidney</w:t>
      </w:r>
      <w:r w:rsidRPr="001326F0">
        <w:rPr>
          <w:rFonts w:ascii="Book Antiqua" w:hAnsi="Book Antiqua"/>
          <w:sz w:val="24"/>
          <w:szCs w:val="24"/>
          <w:vertAlign w:val="superscript"/>
          <w:lang w:val="en-US"/>
        </w:rPr>
        <w:t>[104]</w:t>
      </w:r>
      <w:r w:rsidRPr="001326F0">
        <w:rPr>
          <w:rFonts w:ascii="Book Antiqua" w:hAnsi="Book Antiqua"/>
          <w:sz w:val="24"/>
          <w:szCs w:val="24"/>
          <w:lang w:val="en-US"/>
        </w:rPr>
        <w:t>.</w:t>
      </w:r>
    </w:p>
    <w:p w:rsidR="007B70B9" w:rsidRPr="001326F0" w:rsidRDefault="007B70B9" w:rsidP="00EA4018">
      <w:pPr>
        <w:autoSpaceDE w:val="0"/>
        <w:autoSpaceDN w:val="0"/>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In addition to primary hyperlipidemias, serum triglycerides</w:t>
      </w:r>
      <w:r w:rsidRPr="001326F0">
        <w:rPr>
          <w:rFonts w:ascii="Book Antiqua" w:hAnsi="Book Antiqua"/>
          <w:sz w:val="24"/>
          <w:szCs w:val="24"/>
          <w:vertAlign w:val="superscript"/>
          <w:lang w:val="en-US"/>
        </w:rPr>
        <w:t>[105,106]</w:t>
      </w:r>
      <w:r w:rsidRPr="001326F0">
        <w:rPr>
          <w:rFonts w:ascii="Book Antiqua" w:hAnsi="Book Antiqua"/>
          <w:sz w:val="24"/>
          <w:szCs w:val="24"/>
          <w:lang w:val="en-US"/>
        </w:rPr>
        <w:t xml:space="preserve"> and FFAs</w:t>
      </w:r>
      <w:r w:rsidRPr="001326F0">
        <w:rPr>
          <w:rFonts w:ascii="Book Antiqua" w:hAnsi="Book Antiqua"/>
          <w:sz w:val="24"/>
          <w:szCs w:val="24"/>
          <w:vertAlign w:val="superscript"/>
          <w:lang w:val="en-US"/>
        </w:rPr>
        <w:t>[107]</w:t>
      </w:r>
      <w:r w:rsidRPr="001326F0">
        <w:rPr>
          <w:rFonts w:ascii="Book Antiqua" w:hAnsi="Book Antiqua"/>
          <w:sz w:val="24"/>
          <w:szCs w:val="24"/>
          <w:lang w:val="en-US"/>
        </w:rPr>
        <w:t xml:space="preserve"> are elevated in type 1 and type 2 diabetics and plasma FFA levels are elevated in obese individuals</w:t>
      </w:r>
      <w:r w:rsidRPr="001326F0">
        <w:rPr>
          <w:rFonts w:ascii="Book Antiqua" w:hAnsi="Book Antiqua"/>
          <w:sz w:val="24"/>
          <w:szCs w:val="24"/>
          <w:vertAlign w:val="superscript"/>
          <w:lang w:val="en-US"/>
        </w:rPr>
        <w:t>[108]</w:t>
      </w:r>
      <w:r w:rsidRPr="001326F0">
        <w:rPr>
          <w:rFonts w:ascii="Book Antiqua" w:hAnsi="Book Antiqua"/>
          <w:sz w:val="24"/>
          <w:szCs w:val="24"/>
          <w:lang w:val="en-US"/>
        </w:rPr>
        <w:t xml:space="preserve">. </w:t>
      </w:r>
    </w:p>
    <w:p w:rsidR="007B70B9" w:rsidRPr="001326F0" w:rsidRDefault="007B70B9" w:rsidP="00EA4018">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The cross-talk has been shown to affect the function of adipocytes, such as lipolysis, which will most likely result in an altered concentration of circulating free fatty acids. Indeed, obese persons have higher levels of free fatty acids in plasma compared to lean subjects</w:t>
      </w:r>
      <w:r w:rsidRPr="001326F0">
        <w:rPr>
          <w:rFonts w:ascii="Book Antiqua" w:hAnsi="Book Antiqua"/>
          <w:sz w:val="24"/>
          <w:szCs w:val="24"/>
          <w:vertAlign w:val="superscript"/>
          <w:lang w:val="en-US"/>
        </w:rPr>
        <w:t>[109-111]</w:t>
      </w:r>
      <w:r w:rsidRPr="001326F0">
        <w:rPr>
          <w:rFonts w:ascii="Book Antiqua" w:hAnsi="Book Antiqua"/>
          <w:sz w:val="24"/>
          <w:szCs w:val="24"/>
          <w:lang w:val="en-US"/>
        </w:rPr>
        <w:t>.</w:t>
      </w:r>
    </w:p>
    <w:p w:rsidR="007B70B9" w:rsidRPr="001326F0" w:rsidRDefault="007B70B9" w:rsidP="00EA4018">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Several indirect lines of evidence suggest that fatty acids, contained in the diet, can modulate the immune response. One of these is that levels of several fatty acids are associated with levels of inflammatory markers in healthy individuals</w:t>
      </w:r>
      <w:r w:rsidRPr="001326F0">
        <w:rPr>
          <w:rFonts w:ascii="Book Antiqua" w:hAnsi="Book Antiqua"/>
          <w:sz w:val="24"/>
          <w:szCs w:val="24"/>
          <w:vertAlign w:val="superscript"/>
          <w:lang w:val="en-US"/>
        </w:rPr>
        <w:t>[58]</w:t>
      </w:r>
      <w:r w:rsidRPr="001326F0">
        <w:rPr>
          <w:rFonts w:ascii="Book Antiqua" w:hAnsi="Book Antiqua"/>
          <w:sz w:val="24"/>
          <w:szCs w:val="24"/>
          <w:lang w:val="en-US"/>
        </w:rPr>
        <w:t xml:space="preserve">. </w:t>
      </w:r>
    </w:p>
    <w:p w:rsidR="007B70B9" w:rsidRPr="001326F0" w:rsidRDefault="007B70B9" w:rsidP="00EA4018">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The overall data suggest that low concentrations of fatty acids can influence the proliferation of T-cells, whereas higher concentrations induce apoptosis in</w:t>
      </w:r>
      <w:r w:rsidR="00D74C7F" w:rsidRPr="001326F0">
        <w:rPr>
          <w:rFonts w:ascii="Book Antiqua" w:hAnsi="Book Antiqua"/>
          <w:sz w:val="24"/>
          <w:szCs w:val="24"/>
          <w:lang w:val="en-US"/>
        </w:rPr>
        <w:t xml:space="preserve"> </w:t>
      </w:r>
      <w:r w:rsidRPr="001326F0">
        <w:rPr>
          <w:rFonts w:ascii="Book Antiqua" w:hAnsi="Book Antiqua"/>
          <w:sz w:val="24"/>
          <w:szCs w:val="24"/>
          <w:lang w:val="en-US"/>
        </w:rPr>
        <w:t>a dose- dependent manner, through the induction of several pathways</w:t>
      </w:r>
      <w:r w:rsidRPr="001326F0">
        <w:rPr>
          <w:rFonts w:ascii="Book Antiqua" w:hAnsi="Book Antiqua"/>
          <w:sz w:val="24"/>
          <w:szCs w:val="24"/>
          <w:vertAlign w:val="superscript"/>
          <w:lang w:val="en-US"/>
        </w:rPr>
        <w:t>[112-117]</w:t>
      </w:r>
      <w:r w:rsidRPr="001326F0">
        <w:rPr>
          <w:rFonts w:ascii="Book Antiqua" w:hAnsi="Book Antiqua"/>
          <w:sz w:val="24"/>
          <w:szCs w:val="24"/>
          <w:lang w:val="en-US"/>
        </w:rPr>
        <w:t xml:space="preserve">. </w:t>
      </w:r>
    </w:p>
    <w:p w:rsidR="007B70B9" w:rsidRPr="001326F0" w:rsidRDefault="007B70B9" w:rsidP="00EA4018">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In addition, the concentration at which apoptosis occurs is also determined by the degree of saturation and the length of the fatty acid. While short-chain fatty acids (SCFA) are not toxic even at a concentration of 800</w:t>
      </w:r>
      <w:r w:rsidR="00BF5F43" w:rsidRPr="001326F0">
        <w:rPr>
          <w:rFonts w:ascii="Book Antiqua" w:hAnsi="Book Antiqua" w:hint="eastAsia"/>
          <w:sz w:val="24"/>
          <w:szCs w:val="24"/>
          <w:lang w:val="en-US" w:eastAsia="zh-CN"/>
        </w:rPr>
        <w:t xml:space="preserve"> </w:t>
      </w:r>
      <w:r w:rsidRPr="001326F0">
        <w:rPr>
          <w:rFonts w:ascii="Book Antiqua" w:hAnsi="Book Antiqua"/>
          <w:sz w:val="24"/>
          <w:szCs w:val="24"/>
          <w:lang w:val="en-US"/>
        </w:rPr>
        <w:t>mM or higher</w:t>
      </w:r>
      <w:r w:rsidRPr="001326F0">
        <w:rPr>
          <w:rFonts w:ascii="Book Antiqua" w:hAnsi="Book Antiqua"/>
          <w:sz w:val="24"/>
          <w:szCs w:val="24"/>
          <w:vertAlign w:val="superscript"/>
          <w:lang w:val="en-US"/>
        </w:rPr>
        <w:t>[113]</w:t>
      </w:r>
      <w:r w:rsidRPr="001326F0">
        <w:rPr>
          <w:rFonts w:ascii="Book Antiqua" w:hAnsi="Book Antiqua"/>
          <w:sz w:val="24"/>
          <w:szCs w:val="24"/>
          <w:lang w:val="en-US"/>
        </w:rPr>
        <w:t>, longer, and more unsaturated fatty acids can already be toxic in low concentrations (</w:t>
      </w:r>
      <w:r w:rsidR="00BF5F43" w:rsidRPr="001326F0">
        <w:rPr>
          <w:rFonts w:ascii="Book Antiqua" w:hAnsi="Book Antiqua"/>
          <w:i/>
          <w:sz w:val="24"/>
          <w:szCs w:val="24"/>
          <w:lang w:val="en-US"/>
        </w:rPr>
        <w:t>e.g</w:t>
      </w:r>
      <w:r w:rsidRPr="001326F0">
        <w:rPr>
          <w:rFonts w:ascii="Book Antiqua" w:hAnsi="Book Antiqua"/>
          <w:sz w:val="24"/>
          <w:szCs w:val="24"/>
          <w:lang w:val="en-US"/>
        </w:rPr>
        <w:t>., linoleic acids) is toxic at 100</w:t>
      </w:r>
      <w:r w:rsidR="00BF5F43" w:rsidRPr="001326F0">
        <w:rPr>
          <w:rFonts w:ascii="Book Antiqua" w:hAnsi="Book Antiqua" w:hint="eastAsia"/>
          <w:sz w:val="24"/>
          <w:szCs w:val="24"/>
          <w:lang w:val="en-US" w:eastAsia="zh-CN"/>
        </w:rPr>
        <w:t xml:space="preserve"> </w:t>
      </w:r>
      <w:r w:rsidRPr="001326F0">
        <w:rPr>
          <w:rFonts w:ascii="Book Antiqua" w:hAnsi="Book Antiqua"/>
          <w:sz w:val="24"/>
          <w:szCs w:val="24"/>
          <w:lang w:val="en-US"/>
        </w:rPr>
        <w:t>mM</w:t>
      </w:r>
      <w:r w:rsidRPr="001326F0">
        <w:rPr>
          <w:rFonts w:ascii="Book Antiqua" w:hAnsi="Book Antiqua"/>
          <w:sz w:val="24"/>
          <w:szCs w:val="24"/>
          <w:vertAlign w:val="superscript"/>
          <w:lang w:val="en-US"/>
        </w:rPr>
        <w:t>[114,115]</w:t>
      </w:r>
      <w:r w:rsidRPr="001326F0">
        <w:rPr>
          <w:rFonts w:ascii="Book Antiqua" w:hAnsi="Book Antiqua"/>
          <w:sz w:val="24"/>
          <w:szCs w:val="24"/>
          <w:lang w:val="en-US"/>
        </w:rPr>
        <w:t xml:space="preserve">. In contrast to the apoptotic effects, the modulatory effects of low, non-toxic concentrations of fatty acids on proliferation do not seem to correlate with length of the fatty acids tested. </w:t>
      </w:r>
    </w:p>
    <w:p w:rsidR="007B70B9" w:rsidRPr="001326F0" w:rsidRDefault="007B70B9" w:rsidP="00EA4018">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 xml:space="preserve">de Jong </w:t>
      </w:r>
      <w:r w:rsidR="005821C0" w:rsidRPr="001326F0">
        <w:rPr>
          <w:rFonts w:ascii="Book Antiqua" w:hAnsi="Book Antiqua"/>
          <w:i/>
          <w:sz w:val="24"/>
          <w:szCs w:val="24"/>
          <w:lang w:val="en-US"/>
        </w:rPr>
        <w:t>et al</w:t>
      </w:r>
      <w:r w:rsidR="00EA4018" w:rsidRPr="001326F0">
        <w:rPr>
          <w:rFonts w:ascii="Book Antiqua" w:hAnsi="Book Antiqua"/>
          <w:sz w:val="24"/>
          <w:szCs w:val="24"/>
          <w:vertAlign w:val="superscript"/>
          <w:lang w:val="en-US"/>
        </w:rPr>
        <w:t>[59]</w:t>
      </w:r>
      <w:r w:rsidRPr="001326F0">
        <w:rPr>
          <w:rFonts w:ascii="Book Antiqua" w:hAnsi="Book Antiqua"/>
          <w:sz w:val="24"/>
          <w:szCs w:val="24"/>
          <w:lang w:val="en-US"/>
        </w:rPr>
        <w:t xml:space="preserve"> conclude that, free fatty acids induce proliferation of resting T-cells in low concentrations, while higher concentrations induce apoptosis.</w:t>
      </w:r>
    </w:p>
    <w:p w:rsidR="007B70B9" w:rsidRPr="001326F0" w:rsidRDefault="007B70B9" w:rsidP="00746C86">
      <w:pPr>
        <w:adjustRightInd w:val="0"/>
        <w:snapToGrid w:val="0"/>
        <w:spacing w:after="0" w:line="360" w:lineRule="auto"/>
        <w:jc w:val="both"/>
        <w:rPr>
          <w:rFonts w:ascii="Book Antiqua" w:hAnsi="Book Antiqua"/>
          <w:sz w:val="24"/>
          <w:szCs w:val="24"/>
          <w:lang w:val="en-US"/>
        </w:rPr>
      </w:pPr>
    </w:p>
    <w:p w:rsidR="007B70B9" w:rsidRPr="001326F0" w:rsidRDefault="007B70B9" w:rsidP="00746C86">
      <w:pPr>
        <w:autoSpaceDE w:val="0"/>
        <w:autoSpaceDN w:val="0"/>
        <w:adjustRightInd w:val="0"/>
        <w:snapToGrid w:val="0"/>
        <w:spacing w:after="0" w:line="360" w:lineRule="auto"/>
        <w:jc w:val="both"/>
        <w:rPr>
          <w:rFonts w:ascii="Book Antiqua" w:hAnsi="Book Antiqua" w:cs="Times New Roman"/>
          <w:b/>
          <w:sz w:val="24"/>
          <w:szCs w:val="24"/>
          <w:lang w:val="en-GB"/>
        </w:rPr>
      </w:pPr>
      <w:r w:rsidRPr="001326F0">
        <w:rPr>
          <w:rFonts w:ascii="Book Antiqua" w:hAnsi="Book Antiqua" w:cs="Times New Roman"/>
          <w:b/>
          <w:sz w:val="24"/>
          <w:szCs w:val="24"/>
          <w:lang w:val="en-GB"/>
        </w:rPr>
        <w:t>BODY FAT DISTRIBUTION ACROSS GENDER AND ETNICITY</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 xml:space="preserve">Etiological contributing factors to visceral adipose tissue depot and distribution are represented by age, </w:t>
      </w:r>
      <w:r w:rsidR="00BF5F43" w:rsidRPr="001326F0">
        <w:rPr>
          <w:rFonts w:ascii="Book Antiqua" w:hAnsi="Book Antiqua" w:cs="Times New Roman"/>
          <w:sz w:val="24"/>
          <w:szCs w:val="24"/>
          <w:lang w:val="en-US"/>
        </w:rPr>
        <w:t>gender, genetics, and ethnicity</w:t>
      </w:r>
      <w:r w:rsidRPr="001326F0">
        <w:rPr>
          <w:rFonts w:ascii="Book Antiqua" w:hAnsi="Book Antiqua" w:cs="Times New Roman"/>
          <w:sz w:val="24"/>
          <w:szCs w:val="24"/>
          <w:vertAlign w:val="superscript"/>
          <w:lang w:val="en-US"/>
        </w:rPr>
        <w:t>[118]</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Substantial anatomical differences between males, that accumulate adipose tissue in the upper body (trunk, abdomen), and females, with a usual accumulation of adipose tissue in the lower body (hips, thighs), are practically unique in human</w:t>
      </w:r>
      <w:r w:rsidRPr="001326F0">
        <w:rPr>
          <w:rFonts w:ascii="Book Antiqua" w:hAnsi="Book Antiqua" w:cs="Times New Roman"/>
          <w:sz w:val="24"/>
          <w:szCs w:val="24"/>
          <w:vertAlign w:val="superscript"/>
          <w:lang w:val="en-US"/>
        </w:rPr>
        <w:t>[119-121]</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Vague</w:t>
      </w:r>
      <w:r w:rsidRPr="001326F0">
        <w:rPr>
          <w:rFonts w:ascii="Book Antiqua" w:hAnsi="Book Antiqua" w:cs="Times New Roman"/>
          <w:sz w:val="24"/>
          <w:szCs w:val="24"/>
          <w:vertAlign w:val="superscript"/>
          <w:lang w:val="en-US"/>
        </w:rPr>
        <w:t>[122]</w:t>
      </w:r>
      <w:r w:rsidRPr="001326F0">
        <w:rPr>
          <w:rFonts w:ascii="Book Antiqua" w:hAnsi="Book Antiqua" w:cs="Times New Roman"/>
          <w:sz w:val="24"/>
          <w:szCs w:val="24"/>
          <w:lang w:val="en-US"/>
        </w:rPr>
        <w:t xml:space="preserve"> identified two different body shapes, proposing the two terms “android obesity”, to refer to adipose tissue accumulated preferentially in the trunk/upper body area closely related to hypertension, CVD, gout, and diabetes, and the term “gynoid obesity” to refer to adipose tissue accumulation in the hips and thighs, with less associated complications</w:t>
      </w:r>
      <w:r w:rsidR="00BF5F43" w:rsidRPr="001326F0">
        <w:rPr>
          <w:rFonts w:ascii="Book Antiqua" w:hAnsi="Book Antiqua" w:cs="Times New Roman"/>
          <w:sz w:val="24"/>
          <w:szCs w:val="24"/>
          <w:vertAlign w:val="superscript"/>
          <w:lang w:val="en-US"/>
        </w:rPr>
        <w:t>[123,</w:t>
      </w:r>
      <w:r w:rsidRPr="001326F0">
        <w:rPr>
          <w:rFonts w:ascii="Book Antiqua" w:hAnsi="Book Antiqua" w:cs="Times New Roman"/>
          <w:sz w:val="24"/>
          <w:szCs w:val="24"/>
          <w:vertAlign w:val="superscript"/>
          <w:lang w:val="en-US"/>
        </w:rPr>
        <w:t>124]</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sz w:val="24"/>
          <w:szCs w:val="24"/>
          <w:lang w:val="en-US"/>
        </w:rPr>
        <w:t>Visceral fat depot, evaluated by MRI and computed tomography (CT), was found to be specifically associated with the metabolic alterations related to obesity, both in men and women</w:t>
      </w:r>
      <w:r w:rsidRPr="001326F0">
        <w:rPr>
          <w:rFonts w:ascii="Book Antiqua" w:hAnsi="Book Antiqua"/>
          <w:sz w:val="24"/>
          <w:szCs w:val="24"/>
          <w:vertAlign w:val="superscript"/>
          <w:lang w:val="en-US"/>
        </w:rPr>
        <w:t>[125-127]</w:t>
      </w:r>
      <w:r w:rsidRPr="001326F0">
        <w:rPr>
          <w:rFonts w:ascii="Book Antiqua" w:hAnsi="Book Antiqua"/>
          <w:sz w:val="24"/>
          <w:szCs w:val="24"/>
          <w:lang w:val="en-US"/>
        </w:rPr>
        <w:t xml:space="preserve">; </w:t>
      </w:r>
      <w:r w:rsidRPr="001326F0">
        <w:rPr>
          <w:rFonts w:ascii="Book Antiqua" w:hAnsi="Book Antiqua" w:cs="Times New Roman"/>
          <w:sz w:val="24"/>
          <w:szCs w:val="24"/>
          <w:lang w:val="en-US"/>
        </w:rPr>
        <w:t>subcutaneous fat in general define a positive effect on insulin sensitivity</w:t>
      </w:r>
      <w:r w:rsidRPr="001326F0">
        <w:rPr>
          <w:rFonts w:ascii="Book Antiqua" w:hAnsi="Book Antiqua" w:cs="Times New Roman"/>
          <w:sz w:val="24"/>
          <w:szCs w:val="24"/>
          <w:vertAlign w:val="superscript"/>
          <w:lang w:val="en-US"/>
        </w:rPr>
        <w:t>[128]</w:t>
      </w:r>
      <w:r w:rsidRPr="001326F0">
        <w:rPr>
          <w:rFonts w:ascii="Book Antiqua" w:hAnsi="Book Antiqua" w:cs="Times New Roman"/>
          <w:sz w:val="24"/>
          <w:szCs w:val="24"/>
          <w:lang w:val="en-US"/>
        </w:rPr>
        <w:t xml:space="preserve">. </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Genetic predisposition could explain the fact that females, although high BMI, are protected against insulin resistance more than males</w:t>
      </w:r>
      <w:r w:rsidRPr="001326F0">
        <w:rPr>
          <w:rFonts w:ascii="Book Antiqua" w:hAnsi="Book Antiqua" w:cs="Times New Roman"/>
          <w:sz w:val="24"/>
          <w:szCs w:val="24"/>
          <w:vertAlign w:val="superscript"/>
          <w:lang w:val="en-US"/>
        </w:rPr>
        <w:t>[118]</w:t>
      </w:r>
      <w:r w:rsidRPr="001326F0">
        <w:rPr>
          <w:rFonts w:ascii="Book Antiqua" w:hAnsi="Book Antiqua" w:cs="Times New Roman"/>
          <w:sz w:val="24"/>
          <w:szCs w:val="24"/>
          <w:lang w:val="en-US"/>
        </w:rPr>
        <w:t>. Furthermore, the capacity to increase the fat depots depends on the ease with which local preadipocytes can be readily activated toward differentiation process</w:t>
      </w:r>
      <w:r w:rsidRPr="001326F0">
        <w:rPr>
          <w:rFonts w:ascii="Book Antiqua" w:hAnsi="Book Antiqua" w:cs="Times New Roman"/>
          <w:sz w:val="24"/>
          <w:szCs w:val="24"/>
          <w:vertAlign w:val="superscript"/>
          <w:lang w:val="en-US"/>
        </w:rPr>
        <w:t>[129]</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Although ethnicity is a factor that determines the different adipose tissue distribution and responses to the cardiometabolic risks</w:t>
      </w:r>
      <w:r w:rsidRPr="001326F0">
        <w:rPr>
          <w:rFonts w:ascii="Book Antiqua" w:hAnsi="Book Antiqua" w:cs="Times New Roman"/>
          <w:sz w:val="24"/>
          <w:szCs w:val="24"/>
          <w:vertAlign w:val="superscript"/>
          <w:lang w:val="en-US"/>
        </w:rPr>
        <w:t>[118,130,131]</w:t>
      </w:r>
      <w:r w:rsidRPr="001326F0">
        <w:rPr>
          <w:rFonts w:ascii="Book Antiqua" w:hAnsi="Book Antiqua" w:cs="Times New Roman"/>
          <w:sz w:val="24"/>
          <w:szCs w:val="24"/>
          <w:lang w:val="en-US"/>
        </w:rPr>
        <w:t xml:space="preserve">, as highlighted by </w:t>
      </w:r>
      <w:r w:rsidRPr="001326F0">
        <w:rPr>
          <w:rFonts w:ascii="Book Antiqua" w:hAnsi="Book Antiqua" w:cs="Times-Roman"/>
          <w:sz w:val="24"/>
          <w:szCs w:val="24"/>
          <w:lang w:val="en-US"/>
        </w:rPr>
        <w:t xml:space="preserve">Deurenberg </w:t>
      </w:r>
      <w:r w:rsidR="005821C0" w:rsidRPr="001326F0">
        <w:rPr>
          <w:rFonts w:ascii="Book Antiqua" w:hAnsi="Book Antiqua" w:cs="Times-Roman"/>
          <w:i/>
          <w:sz w:val="24"/>
          <w:szCs w:val="24"/>
          <w:lang w:val="en-US"/>
        </w:rPr>
        <w:t>et al</w:t>
      </w:r>
      <w:r w:rsidRPr="001326F0">
        <w:rPr>
          <w:rFonts w:ascii="Book Antiqua" w:hAnsi="Book Antiqua" w:cs="Times-Roman"/>
          <w:sz w:val="24"/>
          <w:szCs w:val="24"/>
          <w:vertAlign w:val="superscript"/>
          <w:lang w:val="en-US"/>
        </w:rPr>
        <w:t>[132]</w:t>
      </w:r>
      <w:r w:rsidRPr="001326F0">
        <w:rPr>
          <w:rFonts w:ascii="Book Antiqua" w:hAnsi="Book Antiqua" w:cs="Times-Roman"/>
          <w:sz w:val="24"/>
          <w:szCs w:val="24"/>
          <w:lang w:val="en-US"/>
        </w:rPr>
        <w:t>, that observed ethnic differences in BMI at similar levels of PBF, in Chinese, Indonesian, and Thai populations respect to Caucasians (American, Australian, and European Whites analyzed as one group). Moreover, Asian Indians have more abdominal fat than Caucasians</w:t>
      </w:r>
      <w:r w:rsidR="00BF5F43" w:rsidRPr="001326F0">
        <w:rPr>
          <w:rFonts w:ascii="Book Antiqua" w:hAnsi="Book Antiqua" w:cs="Times-Roman"/>
          <w:sz w:val="24"/>
          <w:szCs w:val="24"/>
          <w:vertAlign w:val="superscript"/>
          <w:lang w:val="en-US"/>
        </w:rPr>
        <w:t>[133,</w:t>
      </w:r>
      <w:r w:rsidRPr="001326F0">
        <w:rPr>
          <w:rFonts w:ascii="Book Antiqua" w:hAnsi="Book Antiqua" w:cs="Times-Roman"/>
          <w:sz w:val="24"/>
          <w:szCs w:val="24"/>
          <w:vertAlign w:val="superscript"/>
          <w:lang w:val="en-US"/>
        </w:rPr>
        <w:t>134]</w:t>
      </w:r>
      <w:r w:rsidRPr="001326F0">
        <w:rPr>
          <w:rFonts w:ascii="Book Antiqua" w:hAnsi="Book Antiqua" w:cs="Times-Roman"/>
          <w:sz w:val="24"/>
          <w:szCs w:val="24"/>
          <w:lang w:val="en-US"/>
        </w:rPr>
        <w:t>, and</w:t>
      </w:r>
      <w:r w:rsidRPr="001326F0">
        <w:rPr>
          <w:rFonts w:ascii="Book Antiqua" w:hAnsi="Book Antiqua" w:cs="Times New Roman"/>
          <w:sz w:val="24"/>
          <w:szCs w:val="24"/>
          <w:lang w:val="en-US"/>
        </w:rPr>
        <w:t xml:space="preserve"> Caucasians have more visceral adipose tissue than African Americans</w:t>
      </w:r>
      <w:r w:rsidRPr="001326F0">
        <w:rPr>
          <w:rFonts w:ascii="Book Antiqua" w:hAnsi="Book Antiqua" w:cs="Times New Roman"/>
          <w:sz w:val="24"/>
          <w:szCs w:val="24"/>
          <w:vertAlign w:val="superscript"/>
          <w:lang w:val="en-US"/>
        </w:rPr>
        <w:t>[135-137]</w:t>
      </w:r>
      <w:r w:rsidRPr="001326F0">
        <w:rPr>
          <w:rFonts w:ascii="Book Antiqua" w:hAnsi="Book Antiqua" w:cs="Times New Roman"/>
          <w:sz w:val="24"/>
          <w:szCs w:val="24"/>
          <w:lang w:val="en-US"/>
        </w:rPr>
        <w:t>.</w:t>
      </w:r>
      <w:r w:rsidRPr="001326F0">
        <w:rPr>
          <w:rFonts w:ascii="Book Antiqua" w:hAnsi="Book Antiqua" w:cs="Times-Roman"/>
          <w:sz w:val="24"/>
          <w:szCs w:val="24"/>
          <w:lang w:val="en-US"/>
        </w:rPr>
        <w:t xml:space="preserve"> On the other hand, in Asians and Indian Asians the accumulation of fat is mainly in the visceral area</w:t>
      </w:r>
      <w:r w:rsidRPr="001326F0">
        <w:rPr>
          <w:rFonts w:ascii="Book Antiqua" w:hAnsi="Book Antiqua" w:cs="Times New Roman"/>
          <w:sz w:val="24"/>
          <w:szCs w:val="24"/>
          <w:vertAlign w:val="superscript"/>
          <w:lang w:val="en-US"/>
        </w:rPr>
        <w:t xml:space="preserve"> [131,138,139]</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highlight w:val="yellow"/>
          <w:lang w:val="en-US"/>
        </w:rPr>
      </w:pPr>
      <w:r w:rsidRPr="001326F0">
        <w:rPr>
          <w:rFonts w:ascii="Book Antiqua" w:hAnsi="Book Antiqua" w:cs="Times New Roman"/>
          <w:sz w:val="24"/>
          <w:szCs w:val="24"/>
          <w:lang w:val="en-US"/>
        </w:rPr>
        <w:lastRenderedPageBreak/>
        <w:t>Genetic and epigenetic programming is one of the most credible explanations for the observed differences in the storage of lipid depot</w:t>
      </w:r>
      <w:r w:rsidRPr="001326F0">
        <w:rPr>
          <w:rFonts w:ascii="Book Antiqua" w:hAnsi="Book Antiqua" w:cs="Times New Roman"/>
          <w:sz w:val="24"/>
          <w:szCs w:val="24"/>
          <w:vertAlign w:val="superscript"/>
          <w:lang w:val="en-US"/>
        </w:rPr>
        <w:t>[118,139,140]</w:t>
      </w:r>
      <w:r w:rsidRPr="001326F0">
        <w:rPr>
          <w:rFonts w:ascii="Book Antiqua" w:hAnsi="Book Antiqua" w:cs="Times New Roman"/>
          <w:sz w:val="24"/>
          <w:szCs w:val="24"/>
          <w:lang w:val="en-US"/>
        </w:rPr>
        <w:t>.</w:t>
      </w:r>
    </w:p>
    <w:p w:rsidR="007B70B9" w:rsidRPr="001326F0" w:rsidRDefault="007B70B9" w:rsidP="00746C86">
      <w:pPr>
        <w:adjustRightInd w:val="0"/>
        <w:snapToGrid w:val="0"/>
        <w:spacing w:after="0" w:line="360" w:lineRule="auto"/>
        <w:jc w:val="both"/>
        <w:rPr>
          <w:rFonts w:ascii="Book Antiqua" w:hAnsi="Book Antiqua" w:cs="Times New Roman"/>
          <w:b/>
          <w:sz w:val="24"/>
          <w:szCs w:val="24"/>
          <w:lang w:val="en-US"/>
        </w:rPr>
      </w:pPr>
    </w:p>
    <w:p w:rsidR="007B70B9" w:rsidRPr="001326F0" w:rsidRDefault="007B70B9" w:rsidP="00746C86">
      <w:pPr>
        <w:adjustRightInd w:val="0"/>
        <w:snapToGrid w:val="0"/>
        <w:spacing w:after="0" w:line="360" w:lineRule="auto"/>
        <w:jc w:val="both"/>
        <w:rPr>
          <w:rFonts w:ascii="Book Antiqua" w:hAnsi="Book Antiqua" w:cs="Times New Roman"/>
          <w:b/>
          <w:sz w:val="24"/>
          <w:szCs w:val="24"/>
          <w:lang w:val="en-US"/>
        </w:rPr>
      </w:pPr>
      <w:r w:rsidRPr="001326F0">
        <w:rPr>
          <w:rFonts w:ascii="Book Antiqua" w:hAnsi="Book Antiqua" w:cs="Times New Roman"/>
          <w:b/>
          <w:sz w:val="24"/>
          <w:szCs w:val="24"/>
          <w:lang w:val="en-US"/>
        </w:rPr>
        <w:t>OBESITY: BODY COMPOSITION PHENOTYPES</w:t>
      </w:r>
    </w:p>
    <w:p w:rsidR="007B70B9" w:rsidRPr="001326F0" w:rsidRDefault="007B70B9" w:rsidP="00746C86">
      <w:pPr>
        <w:widowControl w:val="0"/>
        <w:autoSpaceDE w:val="0"/>
        <w:autoSpaceDN w:val="0"/>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Nowadays four phenotypes of obese individuals have been widely described (Table 1): </w:t>
      </w:r>
      <w:r w:rsidR="00BF5F43"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1) normal weight obese (NWO)</w:t>
      </w:r>
      <w:r w:rsidRPr="001326F0">
        <w:rPr>
          <w:rFonts w:ascii="Book Antiqua" w:hAnsi="Book Antiqua" w:cs="Times New Roman"/>
          <w:sz w:val="24"/>
          <w:szCs w:val="24"/>
          <w:vertAlign w:val="superscript"/>
          <w:lang w:val="en-US"/>
        </w:rPr>
        <w:t>[141]</w:t>
      </w:r>
      <w:r w:rsidRPr="001326F0">
        <w:rPr>
          <w:rFonts w:ascii="Book Antiqua" w:hAnsi="Book Antiqua" w:cs="Times New Roman"/>
          <w:sz w:val="24"/>
          <w:szCs w:val="24"/>
          <w:lang w:val="en-US"/>
        </w:rPr>
        <w:t xml:space="preserve">; </w:t>
      </w:r>
      <w:r w:rsidR="00BF5F43"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2) metabolically obese normal weight (MONW)</w:t>
      </w:r>
      <w:r w:rsidRPr="001326F0">
        <w:rPr>
          <w:rFonts w:ascii="Book Antiqua" w:hAnsi="Book Antiqua" w:cs="Times New Roman"/>
          <w:sz w:val="24"/>
          <w:szCs w:val="24"/>
          <w:vertAlign w:val="superscript"/>
          <w:lang w:val="en-US"/>
        </w:rPr>
        <w:t>[142,143]</w:t>
      </w:r>
      <w:r w:rsidRPr="001326F0">
        <w:rPr>
          <w:rFonts w:ascii="Book Antiqua" w:hAnsi="Book Antiqua" w:cs="Times New Roman"/>
          <w:sz w:val="24"/>
          <w:szCs w:val="24"/>
          <w:lang w:val="en-US"/>
        </w:rPr>
        <w:t xml:space="preserve">; </w:t>
      </w:r>
      <w:r w:rsidR="00BF5F43"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3) metabolically healthy obese (MHO); </w:t>
      </w:r>
      <w:r w:rsidR="00BF5F43"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4) metabolically unhealthy obese (MUO) or “at risk” obese with metabolic syndrome</w:t>
      </w:r>
      <w:r w:rsidRPr="001326F0">
        <w:rPr>
          <w:rFonts w:ascii="Book Antiqua" w:hAnsi="Book Antiqua" w:cs="Times New Roman"/>
          <w:sz w:val="24"/>
          <w:szCs w:val="24"/>
          <w:vertAlign w:val="superscript"/>
          <w:lang w:val="en-US"/>
        </w:rPr>
        <w:t>[144]</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characteristic of the four obese phenotypes are depicted in Figure</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2A and 2B.</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 the sarcopenic obesity has been characterized, and related to all the described phenotypes</w:t>
      </w:r>
      <w:r w:rsidRPr="001326F0">
        <w:rPr>
          <w:rFonts w:ascii="Book Antiqua" w:hAnsi="Book Antiqua" w:cs="Times New Roman"/>
          <w:sz w:val="24"/>
          <w:szCs w:val="24"/>
          <w:vertAlign w:val="superscript"/>
          <w:lang w:val="en-US"/>
        </w:rPr>
        <w:t>[145]</w:t>
      </w:r>
      <w:r w:rsidRPr="001326F0">
        <w:rPr>
          <w:rFonts w:ascii="Book Antiqua" w:hAnsi="Book Antiqua" w:cs="Times New Roman"/>
          <w:sz w:val="24"/>
          <w:szCs w:val="24"/>
          <w:lang w:val="en-US"/>
        </w:rPr>
        <w:t>. Moreover the category of normal weight lean (NWL), represented by metabolically healthy normal weight (MHNW) has been classified to distinguish from NWO.</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According to the </w:t>
      </w:r>
      <w:r w:rsidRPr="001326F0">
        <w:rPr>
          <w:rFonts w:ascii="Book Antiqua" w:hAnsi="Book Antiqua" w:cs="Times New Roman"/>
          <w:sz w:val="24"/>
          <w:szCs w:val="24"/>
          <w:lang w:val="en-GB"/>
        </w:rPr>
        <w:t>causality and anatomic, pathophysiologic, and clinical manifestations of obese phenotypes</w:t>
      </w:r>
      <w:r w:rsidRPr="001326F0">
        <w:rPr>
          <w:rFonts w:ascii="Book Antiqua" w:hAnsi="Book Antiqua" w:cs="Times New Roman"/>
          <w:sz w:val="24"/>
          <w:szCs w:val="24"/>
          <w:lang w:val="en-US"/>
        </w:rPr>
        <w:t>, we can define NWO and MHO belonging to the category of “fat mass disease”, and MONW and at risk obesity to “sick fat disease”. Moreover, NWO women are quite different from MHO women and may also be distinguished from MONW women, according to fat distribution, inflammatory and metabolic parameters, and genetic variants.</w:t>
      </w:r>
    </w:p>
    <w:p w:rsidR="007B70B9" w:rsidRPr="001326F0" w:rsidRDefault="007B70B9" w:rsidP="00746C86">
      <w:pPr>
        <w:adjustRightInd w:val="0"/>
        <w:snapToGrid w:val="0"/>
        <w:spacing w:after="0" w:line="360" w:lineRule="auto"/>
        <w:jc w:val="both"/>
        <w:rPr>
          <w:rFonts w:ascii="Book Antiqua" w:hAnsi="Book Antiqua" w:cs="Times New Roman"/>
          <w:b/>
          <w:i/>
          <w:sz w:val="24"/>
          <w:szCs w:val="24"/>
          <w:lang w:val="en-US"/>
        </w:rPr>
      </w:pPr>
    </w:p>
    <w:p w:rsidR="007B70B9" w:rsidRPr="001326F0" w:rsidRDefault="007B70B9" w:rsidP="00746C86">
      <w:pPr>
        <w:adjustRightInd w:val="0"/>
        <w:snapToGrid w:val="0"/>
        <w:spacing w:after="0" w:line="360" w:lineRule="auto"/>
        <w:jc w:val="both"/>
        <w:rPr>
          <w:rFonts w:ascii="Book Antiqua" w:hAnsi="Book Antiqua" w:cs="Times New Roman"/>
          <w:b/>
          <w:i/>
          <w:sz w:val="24"/>
          <w:szCs w:val="24"/>
          <w:lang w:val="en-US"/>
        </w:rPr>
      </w:pPr>
      <w:r w:rsidRPr="001326F0">
        <w:rPr>
          <w:rFonts w:ascii="Book Antiqua" w:hAnsi="Book Antiqua" w:cs="Times New Roman"/>
          <w:b/>
          <w:i/>
          <w:sz w:val="24"/>
          <w:szCs w:val="24"/>
          <w:lang w:val="en-US"/>
        </w:rPr>
        <w:t>Normal</w:t>
      </w:r>
      <w:r w:rsidR="00BF5F43" w:rsidRPr="001326F0">
        <w:rPr>
          <w:rFonts w:ascii="Book Antiqua" w:hAnsi="Book Antiqua" w:cs="Times New Roman"/>
          <w:b/>
          <w:i/>
          <w:sz w:val="24"/>
          <w:szCs w:val="24"/>
          <w:lang w:val="en-US"/>
        </w:rPr>
        <w:t xml:space="preserve"> weight obesity</w:t>
      </w:r>
      <w:r w:rsidRPr="001326F0">
        <w:rPr>
          <w:rFonts w:ascii="Book Antiqua" w:hAnsi="Book Antiqua" w:cs="Times New Roman"/>
          <w:b/>
          <w:i/>
          <w:sz w:val="24"/>
          <w:szCs w:val="24"/>
          <w:lang w:val="en-US"/>
        </w:rPr>
        <w:t xml:space="preserve"> </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The new concept of normal weight obesity (NWO) had been proposed</w:t>
      </w:r>
      <w:r w:rsidRPr="001326F0">
        <w:rPr>
          <w:rFonts w:ascii="Book Antiqua" w:hAnsi="Book Antiqua" w:cs="Times New Roman"/>
          <w:sz w:val="24"/>
          <w:szCs w:val="24"/>
          <w:vertAlign w:val="superscript"/>
          <w:lang w:val="en-US"/>
        </w:rPr>
        <w:t>[141,146</w:t>
      </w:r>
      <w:r w:rsidRPr="001326F0">
        <w:rPr>
          <w:rFonts w:ascii="Book Antiqua" w:hAnsi="Book Antiqua" w:cs="Times New Roman"/>
          <w:sz w:val="24"/>
          <w:szCs w:val="24"/>
          <w:u w:color="F10D00"/>
          <w:vertAlign w:val="superscript"/>
          <w:lang w:val="en-US"/>
        </w:rPr>
        <w:t>]</w:t>
      </w:r>
      <w:r w:rsidRPr="001326F0">
        <w:rPr>
          <w:rFonts w:ascii="Book Antiqua" w:hAnsi="Book Antiqua" w:cs="Times New Roman"/>
          <w:sz w:val="24"/>
          <w:szCs w:val="24"/>
          <w:lang w:val="en-US"/>
        </w:rPr>
        <w:t xml:space="preserve">. </w:t>
      </w:r>
    </w:p>
    <w:p w:rsidR="007B70B9" w:rsidRPr="001326F0" w:rsidRDefault="007B70B9" w:rsidP="00746C86">
      <w:pPr>
        <w:widowControl w:val="0"/>
        <w:autoSpaceDE w:val="0"/>
        <w:autoSpaceDN w:val="0"/>
        <w:adjustRightInd w:val="0"/>
        <w:snapToGrid w:val="0"/>
        <w:spacing w:after="0" w:line="360" w:lineRule="auto"/>
        <w:jc w:val="both"/>
        <w:rPr>
          <w:rFonts w:ascii="Book Antiqua" w:hAnsi="Book Antiqua" w:cs="Times New Roman"/>
          <w:sz w:val="24"/>
          <w:szCs w:val="24"/>
          <w:u w:color="F10D00"/>
          <w:lang w:val="en-US"/>
        </w:rPr>
      </w:pPr>
      <w:r w:rsidRPr="001326F0">
        <w:rPr>
          <w:rFonts w:ascii="Book Antiqua" w:hAnsi="Book Antiqua" w:cs="Times New Roman"/>
          <w:sz w:val="24"/>
          <w:szCs w:val="24"/>
          <w:lang w:val="en-US"/>
        </w:rPr>
        <w:t>NWO subjects have normal BMI (18.5</w:t>
      </w:r>
      <w:r w:rsidR="00BF5F43"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24.9 kg/m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and highest body fat percentage (BF%) (</w:t>
      </w:r>
      <w:r w:rsidR="00BF5F43" w:rsidRPr="001326F0">
        <w:rPr>
          <w:rFonts w:ascii="Book Antiqua" w:hAnsi="Book Antiqua" w:cs="Times New Roman"/>
          <w:sz w:val="24"/>
          <w:szCs w:val="24"/>
          <w:lang w:val="en-US"/>
        </w:rPr>
        <w:t>men,</w:t>
      </w:r>
      <w:r w:rsidR="004E769D" w:rsidRPr="001326F0">
        <w:rPr>
          <w:rFonts w:ascii="Book Antiqua" w:hAnsi="Book Antiqua" w:cs="Times New Roman"/>
          <w:sz w:val="24"/>
          <w:szCs w:val="24"/>
          <w:lang w:val="en-US"/>
        </w:rPr>
        <w:t xml:space="preserve"> </w:t>
      </w:r>
      <w:r w:rsidR="00EF3F4D" w:rsidRPr="001326F0">
        <w:rPr>
          <w:rFonts w:ascii="Book Antiqua" w:hAnsi="Book Antiqua" w:cs="Times New Roman"/>
          <w:sz w:val="24"/>
          <w:szCs w:val="24"/>
          <w:lang w:val="en-US"/>
        </w:rPr>
        <w:t>≥</w:t>
      </w:r>
      <w:r w:rsidR="004E769D" w:rsidRPr="001326F0">
        <w:rPr>
          <w:rFonts w:ascii="Book Antiqua" w:hAnsi="Book Antiqua" w:cs="Times New Roman"/>
          <w:sz w:val="24"/>
          <w:szCs w:val="24"/>
          <w:lang w:val="en-US"/>
        </w:rPr>
        <w:t xml:space="preserve"> </w:t>
      </w:r>
      <w:r w:rsidR="00BF5F43" w:rsidRPr="001326F0">
        <w:rPr>
          <w:rFonts w:ascii="Book Antiqua" w:hAnsi="Book Antiqua" w:cs="Times New Roman"/>
          <w:sz w:val="24"/>
          <w:szCs w:val="24"/>
          <w:lang w:val="en-US"/>
        </w:rPr>
        <w:t>23.5%, women,</w:t>
      </w:r>
      <w:r w:rsidR="004E769D" w:rsidRPr="001326F0">
        <w:rPr>
          <w:rFonts w:ascii="Book Antiqua" w:hAnsi="Book Antiqua" w:cs="Times New Roman"/>
          <w:sz w:val="24"/>
          <w:szCs w:val="24"/>
          <w:lang w:val="en-US"/>
        </w:rPr>
        <w:t xml:space="preserve"> </w:t>
      </w:r>
      <w:r w:rsidR="00EF3F4D" w:rsidRPr="001326F0">
        <w:rPr>
          <w:rFonts w:ascii="Book Antiqua" w:hAnsi="Book Antiqua" w:cs="Times New Roman"/>
          <w:sz w:val="24"/>
          <w:szCs w:val="24"/>
          <w:lang w:val="en-US"/>
        </w:rPr>
        <w:t>≥</w:t>
      </w:r>
      <w:r w:rsidR="004E769D"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 xml:space="preserve">29.2%), associated at a higher degree of subclinical vascular inflammation </w:t>
      </w:r>
      <w:r w:rsidRPr="001326F0">
        <w:rPr>
          <w:rFonts w:ascii="Book Antiqua" w:hAnsi="Book Antiqua" w:cs="Times New Roman"/>
          <w:sz w:val="24"/>
          <w:szCs w:val="24"/>
          <w:u w:color="F10D00"/>
          <w:lang w:val="en-US"/>
        </w:rPr>
        <w:t xml:space="preserve">and risk for cardiometabolic disease, </w:t>
      </w:r>
      <w:r w:rsidRPr="001326F0">
        <w:rPr>
          <w:rFonts w:ascii="Book Antiqua" w:hAnsi="Book Antiqua" w:cs="Times New Roman"/>
          <w:sz w:val="24"/>
          <w:szCs w:val="24"/>
          <w:lang w:val="en-US"/>
        </w:rPr>
        <w:t>of which body fat is a major contributing factor</w:t>
      </w:r>
      <w:r w:rsidRPr="001326F0">
        <w:rPr>
          <w:rFonts w:ascii="Book Antiqua" w:hAnsi="Book Antiqua" w:cs="Times New Roman"/>
          <w:sz w:val="24"/>
          <w:szCs w:val="24"/>
          <w:u w:color="F10D00"/>
          <w:vertAlign w:val="superscript"/>
          <w:lang w:val="en-US"/>
        </w:rPr>
        <w:t>[</w:t>
      </w:r>
      <w:r w:rsidRPr="001326F0">
        <w:rPr>
          <w:rFonts w:ascii="Book Antiqua" w:hAnsi="Book Antiqua" w:cs="Times New Roman"/>
          <w:sz w:val="24"/>
          <w:szCs w:val="24"/>
          <w:vertAlign w:val="superscript"/>
          <w:lang w:val="en-US"/>
        </w:rPr>
        <w:t>147-149</w:t>
      </w:r>
      <w:r w:rsidRPr="001326F0">
        <w:rPr>
          <w:rFonts w:ascii="Book Antiqua" w:hAnsi="Book Antiqua" w:cs="Times New Roman"/>
          <w:sz w:val="24"/>
          <w:szCs w:val="24"/>
          <w:u w:color="F10D00"/>
          <w:vertAlign w:val="superscript"/>
          <w:lang w:val="en-US"/>
        </w:rPr>
        <w:t>]</w:t>
      </w:r>
      <w:r w:rsidRPr="001326F0">
        <w:rPr>
          <w:rFonts w:ascii="Book Antiqua" w:hAnsi="Book Antiqua" w:cs="Times New Roman"/>
          <w:sz w:val="24"/>
          <w:szCs w:val="24"/>
          <w:u w:color="F10D00"/>
          <w:lang w:val="en-US"/>
        </w:rPr>
        <w:t xml:space="preserve">. </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Worldwide prevalence of NWO is near to 10%, and the prevalence is higher in women than in men</w:t>
      </w:r>
      <w:r w:rsidRPr="001326F0">
        <w:rPr>
          <w:rFonts w:ascii="Book Antiqua" w:hAnsi="Book Antiqua" w:cs="Times New Roman"/>
          <w:sz w:val="24"/>
          <w:szCs w:val="24"/>
          <w:vertAlign w:val="superscript"/>
          <w:lang w:val="en-US"/>
        </w:rPr>
        <w:t>[150-152]</w:t>
      </w:r>
      <w:r w:rsidRPr="001326F0">
        <w:rPr>
          <w:rFonts w:ascii="Book Antiqua" w:hAnsi="Book Antiqua" w:cs="Times New Roman"/>
          <w:sz w:val="24"/>
          <w:szCs w:val="24"/>
          <w:lang w:val="en-US"/>
        </w:rPr>
        <w:t>. In women, prevalence of NWO increased considerably with age, and virtually all women aged over 55 with a BMI &lt; 25 kg/m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xml:space="preserve"> were actually considered as NWO. Even if the proportion of PBF changes with age and sex</w:t>
      </w:r>
      <w:r w:rsidRPr="001326F0">
        <w:rPr>
          <w:rFonts w:ascii="Book Antiqua" w:hAnsi="Book Antiqua" w:cs="Times New Roman"/>
          <w:sz w:val="24"/>
          <w:szCs w:val="24"/>
          <w:vertAlign w:val="superscript"/>
          <w:lang w:val="en-US"/>
        </w:rPr>
        <w:t>[23,153]</w:t>
      </w:r>
      <w:r w:rsidRPr="001326F0">
        <w:rPr>
          <w:rFonts w:ascii="Book Antiqua" w:hAnsi="Book Antiqua" w:cs="Times New Roman"/>
          <w:sz w:val="24"/>
          <w:szCs w:val="24"/>
          <w:lang w:val="en-US"/>
        </w:rPr>
        <w:t>, using sex and age-specific thresholds for PBF led to a much lower prevalence of NWO in women, whereas little differences were found for men</w:t>
      </w:r>
      <w:r w:rsidRPr="001326F0">
        <w:rPr>
          <w:rFonts w:ascii="Book Antiqua" w:hAnsi="Book Antiqua" w:cs="Times New Roman"/>
          <w:sz w:val="24"/>
          <w:szCs w:val="24"/>
          <w:vertAlign w:val="superscript"/>
          <w:lang w:val="en-US"/>
        </w:rPr>
        <w:t>[15,20]</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As demonstrated by Kang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[154]</w:t>
      </w:r>
      <w:r w:rsidRPr="001326F0">
        <w:rPr>
          <w:rFonts w:ascii="Book Antiqua" w:hAnsi="Book Antiqua" w:cs="Times New Roman"/>
          <w:sz w:val="24"/>
          <w:szCs w:val="24"/>
          <w:lang w:val="en-US"/>
        </w:rPr>
        <w:t xml:space="preserve">, NWO subjects highlighted a significantly higher blood pressure, fasting glucose level, and worse lipid profile compared to normal weight subjects, independently associated with elevated TBRmax values, that may determine and justify the metabolic and CVD occurring risks. </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Due to the peculiarity of the relationship between lean mass distribution (lean of the right part of the body trunk and of the left leg), and CVD risk indexes, NWO could be considered an additional metabolic subset of obesity</w:t>
      </w:r>
      <w:r w:rsidRPr="001326F0">
        <w:rPr>
          <w:rFonts w:ascii="Book Antiqua" w:hAnsi="Book Antiqua" w:cs="Times New Roman"/>
          <w:sz w:val="24"/>
          <w:szCs w:val="24"/>
          <w:vertAlign w:val="superscript"/>
          <w:lang w:val="en-US"/>
        </w:rPr>
        <w:t>[141,155,156]</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They also do not manifest the metabolic syndrome, despite a cluster of metabolic and genetic features such as the higher prevalence of dyslipidemia, hypertension</w:t>
      </w:r>
      <w:r w:rsidR="00BF5F43" w:rsidRPr="001326F0">
        <w:rPr>
          <w:rFonts w:ascii="Book Antiqua" w:hAnsi="Book Antiqua" w:cs="Times New Roman"/>
          <w:sz w:val="24"/>
          <w:szCs w:val="24"/>
          <w:lang w:val="en-US"/>
        </w:rPr>
        <w:t xml:space="preserve"> (men), CVD (women), and a 2.2-</w:t>
      </w:r>
      <w:r w:rsidRPr="001326F0">
        <w:rPr>
          <w:rFonts w:ascii="Book Antiqua" w:hAnsi="Book Antiqua" w:cs="Times New Roman"/>
          <w:sz w:val="24"/>
          <w:szCs w:val="24"/>
          <w:lang w:val="en-US"/>
        </w:rPr>
        <w:t>fold increased risk of CVD mortality (women) compared with those with low total body fat mass</w:t>
      </w:r>
      <w:r w:rsidRPr="001326F0">
        <w:rPr>
          <w:rFonts w:ascii="Book Antiqua" w:hAnsi="Book Antiqua" w:cs="Times New Roman"/>
          <w:sz w:val="24"/>
          <w:szCs w:val="24"/>
          <w:vertAlign w:val="superscript"/>
          <w:lang w:val="en-US"/>
        </w:rPr>
        <w:t>[157]</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Jean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[158]</w:t>
      </w:r>
      <w:r w:rsidRPr="001326F0">
        <w:rPr>
          <w:rFonts w:ascii="Book Antiqua" w:hAnsi="Book Antiqua" w:cs="Times New Roman"/>
          <w:sz w:val="24"/>
          <w:szCs w:val="24"/>
          <w:lang w:val="en-US"/>
        </w:rPr>
        <w:t xml:space="preserve"> have provided three potential explanations for why normal-weight central obesity is linked to increased mortality include the following: (1) the accumulation of abdominal visceral fat as manifested by an increased girth: there is a very strong association between WC and visceral adiposity and the excess adipose tissue in the abdominal cavity organs, which are a source of inflammation and insulin resistance; (2) the reduced amounts of subcutaneous fat in the legs, hips, and buttocks, known to be protective for CVD and with a favorable metabolic function; and (3) the limited muscle mass, because like in NWO, people with normal-weight central obesity may also have sarcopenic obesity since, in order to have normal weight in the </w:t>
      </w:r>
      <w:r w:rsidRPr="001326F0">
        <w:rPr>
          <w:rFonts w:ascii="Book Antiqua" w:hAnsi="Book Antiqua" w:cs="Times New Roman"/>
          <w:sz w:val="24"/>
          <w:szCs w:val="24"/>
          <w:lang w:val="en-US"/>
        </w:rPr>
        <w:lastRenderedPageBreak/>
        <w:t>setting of large amounts of visceral fat, they likely have limited amounts of muscle mass.</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De Lorenzo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 xml:space="preserve">[141] </w:t>
      </w:r>
      <w:r w:rsidRPr="001326F0">
        <w:rPr>
          <w:rFonts w:ascii="Book Antiqua" w:hAnsi="Book Antiqua" w:cs="Times New Roman"/>
          <w:sz w:val="24"/>
          <w:szCs w:val="24"/>
          <w:lang w:val="en-US"/>
        </w:rPr>
        <w:t>firstly described the NWO syndrome characterized by higher oxidative stress level</w:t>
      </w:r>
      <w:r w:rsidRPr="001326F0">
        <w:rPr>
          <w:rFonts w:ascii="Book Antiqua" w:hAnsi="Book Antiqua" w:cs="Times New Roman"/>
          <w:sz w:val="24"/>
          <w:szCs w:val="24"/>
          <w:vertAlign w:val="superscript"/>
          <w:lang w:val="en-US"/>
        </w:rPr>
        <w:t>[159]</w:t>
      </w:r>
      <w:r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GB"/>
        </w:rPr>
        <w:t>early inflammatory status</w:t>
      </w:r>
      <w:r w:rsidRPr="001326F0">
        <w:rPr>
          <w:rFonts w:ascii="Book Antiqua" w:hAnsi="Book Antiqua" w:cs="Times New Roman"/>
          <w:sz w:val="24"/>
          <w:szCs w:val="24"/>
          <w:vertAlign w:val="superscript"/>
          <w:lang w:val="en-US"/>
        </w:rPr>
        <w:t>[147</w:t>
      </w:r>
      <w:r w:rsidRPr="001326F0">
        <w:rPr>
          <w:rFonts w:ascii="Book Antiqua" w:hAnsi="Book Antiqua" w:cs="Times New Roman"/>
          <w:sz w:val="24"/>
          <w:szCs w:val="24"/>
          <w:vertAlign w:val="superscript"/>
          <w:lang w:val="en-GB"/>
        </w:rPr>
        <w:t xml:space="preserve">] </w:t>
      </w:r>
      <w:r w:rsidRPr="001326F0">
        <w:rPr>
          <w:rFonts w:ascii="Book Antiqua" w:hAnsi="Book Antiqua" w:cs="Times New Roman"/>
          <w:sz w:val="24"/>
          <w:szCs w:val="24"/>
          <w:lang w:val="en-US"/>
        </w:rPr>
        <w:t xml:space="preserve">and few metabolic abnormalities. </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presence of single nucleotide polymorphisms of triad inflammatory genes, characterizes the NWO syndrome.</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GB"/>
        </w:rPr>
        <w:t>In NWO syndrome, the IL-1Ra allele 2</w:t>
      </w:r>
      <w:r w:rsidRPr="001326F0">
        <w:rPr>
          <w:rFonts w:ascii="Book Antiqua" w:hAnsi="Book Antiqua" w:cs="Times New Roman"/>
          <w:sz w:val="24"/>
          <w:szCs w:val="24"/>
          <w:lang w:val="en-US"/>
        </w:rPr>
        <w:t xml:space="preserve"> increases the risk of </w:t>
      </w:r>
      <w:r w:rsidRPr="001326F0">
        <w:rPr>
          <w:rFonts w:ascii="Book Antiqua" w:hAnsi="Book Antiqua" w:cs="Times New Roman"/>
          <w:sz w:val="24"/>
          <w:szCs w:val="24"/>
          <w:lang w:val="en-GB"/>
        </w:rPr>
        <w:t>ovarian, pancreatic, cervical and gastric cancer, probably due to increased IL-1 production and inhib</w:t>
      </w:r>
      <w:r w:rsidR="00BF5F43" w:rsidRPr="001326F0">
        <w:rPr>
          <w:rFonts w:ascii="Book Antiqua" w:hAnsi="Book Antiqua" w:cs="Times New Roman"/>
          <w:sz w:val="24"/>
          <w:szCs w:val="24"/>
          <w:lang w:val="en-GB"/>
        </w:rPr>
        <w:t>ition of gastric acid secretion</w:t>
      </w:r>
      <w:r w:rsidRPr="001326F0">
        <w:rPr>
          <w:rFonts w:ascii="Book Antiqua" w:hAnsi="Book Antiqua" w:cs="Times New Roman"/>
          <w:sz w:val="24"/>
          <w:szCs w:val="24"/>
          <w:vertAlign w:val="superscript"/>
          <w:lang w:val="en-GB"/>
        </w:rPr>
        <w:t>[160]</w:t>
      </w:r>
      <w:r w:rsidRPr="001326F0">
        <w:rPr>
          <w:rFonts w:ascii="Book Antiqua" w:hAnsi="Book Antiqua" w:cs="Times New Roman"/>
          <w:sz w:val="24"/>
          <w:szCs w:val="24"/>
          <w:lang w:val="en-GB"/>
        </w:rPr>
        <w:t>.</w:t>
      </w:r>
    </w:p>
    <w:p w:rsidR="007B70B9" w:rsidRPr="001326F0" w:rsidRDefault="007B70B9" w:rsidP="00BF5F43">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sz w:val="24"/>
          <w:szCs w:val="24"/>
          <w:lang w:val="en-GB"/>
        </w:rPr>
        <w:t>According to the -174G/C promoter polymorphism of the IL-6 gene, G/G NWO showed a strong correlation between HOMA-IR and PBF</w:t>
      </w:r>
      <w:r w:rsidRPr="001326F0">
        <w:rPr>
          <w:rFonts w:ascii="Book Antiqua" w:hAnsi="Book Antiqua"/>
          <w:sz w:val="24"/>
          <w:szCs w:val="24"/>
          <w:vertAlign w:val="superscript"/>
          <w:lang w:val="en-GB"/>
        </w:rPr>
        <w:t>[</w:t>
      </w:r>
      <w:r w:rsidRPr="001326F0">
        <w:rPr>
          <w:rFonts w:ascii="Book Antiqua" w:hAnsi="Book Antiqua" w:cs="Times New Roman"/>
          <w:sz w:val="24"/>
          <w:szCs w:val="24"/>
          <w:vertAlign w:val="superscript"/>
          <w:lang w:val="en-US"/>
        </w:rPr>
        <w:t>161]</w:t>
      </w:r>
      <w:r w:rsidRPr="001326F0">
        <w:rPr>
          <w:rFonts w:ascii="Book Antiqua" w:hAnsi="Book Antiqua" w:cs="Times New Roman"/>
          <w:sz w:val="24"/>
          <w:szCs w:val="24"/>
          <w:lang w:val="en-US"/>
        </w:rPr>
        <w:t>.</w:t>
      </w:r>
    </w:p>
    <w:p w:rsidR="007B70B9" w:rsidRPr="001326F0" w:rsidRDefault="007B70B9" w:rsidP="00BF5F43">
      <w:pPr>
        <w:autoSpaceDE w:val="0"/>
        <w:autoSpaceDN w:val="0"/>
        <w:adjustRightInd w:val="0"/>
        <w:snapToGrid w:val="0"/>
        <w:spacing w:after="0" w:line="360" w:lineRule="auto"/>
        <w:ind w:firstLineChars="100" w:firstLine="240"/>
        <w:jc w:val="both"/>
        <w:rPr>
          <w:rFonts w:ascii="Book Antiqua" w:hAnsi="Book Antiqua"/>
          <w:sz w:val="24"/>
          <w:szCs w:val="24"/>
          <w:lang w:val="en-GB"/>
        </w:rPr>
      </w:pPr>
      <w:r w:rsidRPr="001326F0">
        <w:rPr>
          <w:rFonts w:ascii="Book Antiqua" w:hAnsi="Book Antiqua" w:cs="Times New Roman"/>
          <w:sz w:val="24"/>
          <w:szCs w:val="24"/>
          <w:lang w:val="en-US"/>
        </w:rPr>
        <w:t xml:space="preserve">Moreover, NWO are characterized by a </w:t>
      </w:r>
      <w:r w:rsidRPr="001326F0">
        <w:rPr>
          <w:rFonts w:ascii="Book Antiqua" w:hAnsi="Book Antiqua"/>
          <w:sz w:val="24"/>
          <w:szCs w:val="24"/>
          <w:lang w:val="en-GB"/>
        </w:rPr>
        <w:t xml:space="preserve">wild type homozygotes genotypes regarding interleukin-15 receptor-alpha (IL-15Rα) and methylenetetrahydrofolate reductase (MTHFR) enzyme </w:t>
      </w:r>
      <w:r w:rsidRPr="001326F0">
        <w:rPr>
          <w:rFonts w:ascii="Book Antiqua" w:hAnsi="Book Antiqua"/>
          <w:sz w:val="24"/>
          <w:szCs w:val="24"/>
          <w:vertAlign w:val="superscript"/>
          <w:lang w:val="en-GB"/>
        </w:rPr>
        <w:t>[</w:t>
      </w:r>
      <w:r w:rsidRPr="001326F0">
        <w:rPr>
          <w:rFonts w:ascii="Book Antiqua" w:hAnsi="Book Antiqua" w:cs="Times New Roman"/>
          <w:sz w:val="24"/>
          <w:szCs w:val="24"/>
          <w:vertAlign w:val="superscript"/>
          <w:lang w:val="en-US"/>
        </w:rPr>
        <w:t>162]</w:t>
      </w:r>
      <w:r w:rsidRPr="001326F0">
        <w:rPr>
          <w:rFonts w:ascii="Book Antiqua" w:hAnsi="Book Antiqua" w:cs="Times New Roman"/>
          <w:sz w:val="24"/>
          <w:szCs w:val="24"/>
          <w:lang w:val="en-US"/>
        </w:rPr>
        <w:t xml:space="preserve">, </w:t>
      </w:r>
      <w:r w:rsidRPr="001326F0">
        <w:rPr>
          <w:rFonts w:ascii="Book Antiqua" w:hAnsi="Book Antiqua"/>
          <w:sz w:val="24"/>
          <w:szCs w:val="24"/>
          <w:lang w:val="en-GB"/>
        </w:rPr>
        <w:t>suggesting a “conversation” between adipose tissue and skeletal muscle</w:t>
      </w:r>
      <w:r w:rsidRPr="001326F0">
        <w:rPr>
          <w:rFonts w:ascii="Book Antiqua" w:hAnsi="Book Antiqua"/>
          <w:sz w:val="24"/>
          <w:szCs w:val="24"/>
          <w:vertAlign w:val="superscript"/>
          <w:lang w:val="en-GB"/>
        </w:rPr>
        <w:t>[163]</w:t>
      </w:r>
      <w:r w:rsidRPr="001326F0">
        <w:rPr>
          <w:rFonts w:ascii="Book Antiqua" w:hAnsi="Book Antiqua"/>
          <w:sz w:val="24"/>
          <w:szCs w:val="24"/>
          <w:lang w:val="en-GB"/>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importance of the TNF</w:t>
      </w:r>
      <w:r w:rsidRPr="001326F0">
        <w:rPr>
          <w:rFonts w:ascii="Book Antiqua" w:hAnsi="Book Antiqua" w:cs="Times New Roman"/>
          <w:sz w:val="24"/>
          <w:szCs w:val="24"/>
          <w:lang w:val="en-GB"/>
        </w:rPr>
        <w:t>-α</w:t>
      </w:r>
      <w:r w:rsidRPr="001326F0">
        <w:rPr>
          <w:rFonts w:ascii="Book Antiqua" w:hAnsi="Book Antiqua" w:cs="Times New Roman"/>
          <w:sz w:val="24"/>
          <w:szCs w:val="24"/>
          <w:lang w:val="en-US"/>
        </w:rPr>
        <w:t xml:space="preserve"> gene polymorphism to total body lean mass variation in NWO Syndrome, demonstrating that G/A -308 TNF</w:t>
      </w:r>
      <w:r w:rsidRPr="001326F0">
        <w:rPr>
          <w:rFonts w:ascii="Book Antiqua" w:hAnsi="Book Antiqua" w:cs="Times New Roman"/>
          <w:sz w:val="24"/>
          <w:szCs w:val="24"/>
          <w:lang w:val="en-GB"/>
        </w:rPr>
        <w:t>-α</w:t>
      </w:r>
      <w:r w:rsidRPr="001326F0">
        <w:rPr>
          <w:rFonts w:ascii="Book Antiqua" w:hAnsi="Book Antiqua" w:cs="Times New Roman"/>
          <w:sz w:val="24"/>
          <w:szCs w:val="24"/>
          <w:lang w:val="en-US"/>
        </w:rPr>
        <w:t xml:space="preserve"> polymorphism contributes to sarcopenic obesity susceptibility</w:t>
      </w:r>
      <w:r w:rsidRPr="001326F0">
        <w:rPr>
          <w:rFonts w:ascii="Book Antiqua" w:hAnsi="Book Antiqua" w:cs="Times New Roman"/>
          <w:sz w:val="24"/>
          <w:szCs w:val="24"/>
          <w:vertAlign w:val="superscript"/>
          <w:lang w:val="en-US"/>
        </w:rPr>
        <w:t>[</w:t>
      </w:r>
      <w:r w:rsidRPr="001326F0">
        <w:rPr>
          <w:rFonts w:ascii="Book Antiqua" w:hAnsi="Book Antiqua" w:cs="Times New Roman"/>
          <w:sz w:val="24"/>
          <w:szCs w:val="24"/>
          <w:vertAlign w:val="superscript"/>
          <w:lang w:val="en-GB"/>
        </w:rPr>
        <w:t>164</w:t>
      </w:r>
      <w:r w:rsidRPr="001326F0">
        <w:rPr>
          <w:rFonts w:ascii="Book Antiqua" w:hAnsi="Book Antiqua" w:cs="Times New Roman"/>
          <w:sz w:val="24"/>
          <w:szCs w:val="24"/>
          <w:vertAlign w:val="superscript"/>
          <w:lang w:val="en-US"/>
        </w:rPr>
        <w:t>]</w:t>
      </w:r>
      <w:r w:rsidRPr="001326F0">
        <w:rPr>
          <w:rFonts w:ascii="Book Antiqua" w:hAnsi="Book Antiqua" w:cs="Times New Roman"/>
          <w:sz w:val="24"/>
          <w:szCs w:val="24"/>
          <w:lang w:val="en-US"/>
        </w:rPr>
        <w:t xml:space="preserve">. </w:t>
      </w:r>
    </w:p>
    <w:p w:rsidR="007B70B9" w:rsidRPr="001326F0" w:rsidRDefault="007B70B9" w:rsidP="00BF5F43">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cs="Times New Roman"/>
          <w:sz w:val="24"/>
          <w:szCs w:val="24"/>
          <w:lang w:val="en-US"/>
        </w:rPr>
        <w:t>TP53 codon 72 in exon 4 polymorphism was associated to the reduction of appendicular skeletal muscle mass index in NWO, leading to increase of sarcopenia risk</w:t>
      </w:r>
      <w:r w:rsidRPr="001326F0">
        <w:rPr>
          <w:rFonts w:ascii="Book Antiqua" w:hAnsi="Book Antiqua" w:cs="Times New Roman"/>
          <w:sz w:val="24"/>
          <w:szCs w:val="24"/>
          <w:vertAlign w:val="superscript"/>
          <w:lang w:val="en-US"/>
        </w:rPr>
        <w:t>[165]</w:t>
      </w:r>
      <w:r w:rsidRPr="001326F0">
        <w:rPr>
          <w:rFonts w:ascii="Book Antiqua" w:hAnsi="Book Antiqua" w:cs="Times New Roman"/>
          <w:sz w:val="24"/>
          <w:szCs w:val="24"/>
          <w:lang w:val="en-US"/>
        </w:rPr>
        <w:t>.</w:t>
      </w:r>
    </w:p>
    <w:p w:rsidR="007B70B9" w:rsidRPr="001326F0" w:rsidRDefault="007B70B9" w:rsidP="00BF5F43">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GB"/>
        </w:rPr>
        <w:t>This finding gives much more support to the idea that a genetic approach could be predictive for finding a vulnerable category of people</w:t>
      </w:r>
      <w:r w:rsidRPr="001326F0">
        <w:rPr>
          <w:rFonts w:ascii="Book Antiqua" w:hAnsi="Book Antiqua" w:cs="Times New Roman"/>
          <w:sz w:val="24"/>
          <w:szCs w:val="24"/>
          <w:vertAlign w:val="superscript"/>
          <w:lang w:val="en-GB"/>
        </w:rPr>
        <w:t>[160-162,</w:t>
      </w:r>
      <w:r w:rsidRPr="001326F0">
        <w:rPr>
          <w:rFonts w:ascii="Book Antiqua" w:hAnsi="Book Antiqua" w:cs="Times New Roman"/>
          <w:sz w:val="24"/>
          <w:szCs w:val="24"/>
          <w:vertAlign w:val="superscript"/>
          <w:lang w:val="en-US"/>
        </w:rPr>
        <w:t>164]</w:t>
      </w:r>
      <w:r w:rsidRPr="001326F0">
        <w:rPr>
          <w:rFonts w:ascii="Book Antiqua" w:hAnsi="Book Antiqua" w:cs="Times New Roman"/>
          <w:sz w:val="24"/>
          <w:szCs w:val="24"/>
          <w:lang w:val="en-US"/>
        </w:rPr>
        <w:t>.</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p>
    <w:p w:rsidR="007B70B9" w:rsidRPr="001326F0" w:rsidRDefault="007B70B9" w:rsidP="00746C86">
      <w:pPr>
        <w:adjustRightInd w:val="0"/>
        <w:snapToGrid w:val="0"/>
        <w:spacing w:after="0" w:line="360" w:lineRule="auto"/>
        <w:jc w:val="both"/>
        <w:rPr>
          <w:rFonts w:ascii="Book Antiqua" w:hAnsi="Book Antiqua" w:cs="Times New Roman"/>
          <w:b/>
          <w:i/>
          <w:sz w:val="24"/>
          <w:szCs w:val="24"/>
          <w:lang w:val="en-US"/>
        </w:rPr>
      </w:pPr>
      <w:r w:rsidRPr="001326F0">
        <w:rPr>
          <w:rFonts w:ascii="Book Antiqua" w:hAnsi="Book Antiqua" w:cs="Times New Roman"/>
          <w:b/>
          <w:i/>
          <w:sz w:val="24"/>
          <w:szCs w:val="24"/>
          <w:lang w:val="en-US"/>
        </w:rPr>
        <w:t xml:space="preserve">Metabolically obese but normal weight </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Metabolically obese but normal weight (MONW) subjects, first described and revisited by Ruderman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[166,167]</w:t>
      </w:r>
      <w:r w:rsidRPr="001326F0">
        <w:rPr>
          <w:rFonts w:ascii="Book Antiqua" w:hAnsi="Book Antiqua" w:cs="Times New Roman"/>
          <w:sz w:val="24"/>
          <w:szCs w:val="24"/>
          <w:lang w:val="en-US"/>
        </w:rPr>
        <w:t xml:space="preserve">, represents a subset of persons who have a normal weight and normal BMI but have a cluster of metabolic characteristics that may increase the possibility of developing the metabolic syndrome. </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MONW women, also defined as “metabolically unhealthy normal weight” (MUNW) have metabolic disturbances typical of obese persons and are characterized by having a high amount of visceral fat, a low BMI, a high fat mass, a low lean body mass, low insulin sensitivity, and high triacylglycerol concentrations, premature chronic degenerative disease and liver fat</w:t>
      </w:r>
      <w:r w:rsidRPr="001326F0">
        <w:rPr>
          <w:rFonts w:ascii="Book Antiqua" w:hAnsi="Book Antiqua" w:cs="Times New Roman"/>
          <w:sz w:val="24"/>
          <w:szCs w:val="24"/>
          <w:vertAlign w:val="superscript"/>
          <w:lang w:val="en-US"/>
        </w:rPr>
        <w:t>[168-171]</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eastAsia="Arial Unicode MS" w:hAnsi="Book Antiqua" w:cs="Arial Unicode MS"/>
          <w:sz w:val="24"/>
          <w:szCs w:val="24"/>
          <w:shd w:val="clear" w:color="auto" w:fill="FFFFFF"/>
          <w:lang w:val="en-US"/>
        </w:rPr>
        <w:t xml:space="preserve">In a recent paper </w:t>
      </w:r>
      <w:r w:rsidRPr="001326F0">
        <w:rPr>
          <w:rFonts w:ascii="Book Antiqua" w:hAnsi="Book Antiqua" w:cs="Times New Roman"/>
          <w:sz w:val="24"/>
          <w:szCs w:val="24"/>
          <w:lang w:val="en-US"/>
        </w:rPr>
        <w:t xml:space="preserve">Eckel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[172]</w:t>
      </w:r>
      <w:r w:rsidRPr="001326F0">
        <w:rPr>
          <w:rFonts w:ascii="Book Antiqua" w:hAnsi="Book Antiqua" w:cs="Times New Roman"/>
          <w:sz w:val="24"/>
          <w:szCs w:val="24"/>
          <w:lang w:val="en-US"/>
        </w:rPr>
        <w:t xml:space="preserve"> found that</w:t>
      </w:r>
      <w:r w:rsidRPr="001326F0">
        <w:rPr>
          <w:rFonts w:ascii="Book Antiqua" w:eastAsia="Arial Unicode MS" w:hAnsi="Book Antiqua" w:cs="Arial Unicode MS"/>
          <w:sz w:val="24"/>
          <w:szCs w:val="24"/>
          <w:shd w:val="clear" w:color="auto" w:fill="FFFFFF"/>
          <w:lang w:val="en-US"/>
        </w:rPr>
        <w:t xml:space="preserve">, MUNW individuals were characterized by known diabetes risk factors, </w:t>
      </w:r>
      <w:r w:rsidR="00BF5F43" w:rsidRPr="001326F0">
        <w:rPr>
          <w:rFonts w:ascii="Book Antiqua" w:eastAsia="Arial Unicode MS" w:hAnsi="Book Antiqua" w:cs="Arial Unicode MS"/>
          <w:i/>
          <w:sz w:val="24"/>
          <w:szCs w:val="24"/>
          <w:shd w:val="clear" w:color="auto" w:fill="FFFFFF"/>
          <w:lang w:val="en-US"/>
        </w:rPr>
        <w:t>e.g</w:t>
      </w:r>
      <w:r w:rsidRPr="001326F0">
        <w:rPr>
          <w:rFonts w:ascii="Book Antiqua" w:eastAsia="Arial Unicode MS" w:hAnsi="Book Antiqua" w:cs="Arial Unicode MS"/>
          <w:sz w:val="24"/>
          <w:szCs w:val="24"/>
          <w:shd w:val="clear" w:color="auto" w:fill="FFFFFF"/>
          <w:lang w:val="en-US"/>
        </w:rPr>
        <w:t xml:space="preserve">. they were significantly more likely to be male, former smokers, hypertensive, and less physically active compared to normal weight individuals without incident diabetes. Higher WC (women: 75.5 </w:t>
      </w:r>
      <w:r w:rsidR="00BF5F43" w:rsidRPr="001326F0">
        <w:rPr>
          <w:rFonts w:ascii="Book Antiqua" w:eastAsia="Arial Unicode MS" w:hAnsi="Book Antiqua" w:cs="Arial Unicode MS" w:hint="eastAsia"/>
          <w:sz w:val="24"/>
          <w:szCs w:val="24"/>
          <w:shd w:val="clear" w:color="auto" w:fill="FFFFFF"/>
          <w:lang w:val="en-US" w:eastAsia="zh-CN"/>
        </w:rPr>
        <w:t xml:space="preserve">cm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73.1 cm; men: 88.0 </w:t>
      </w:r>
      <w:r w:rsidR="00BF5F43" w:rsidRPr="001326F0">
        <w:rPr>
          <w:rFonts w:ascii="Book Antiqua" w:eastAsia="Arial Unicode MS" w:hAnsi="Book Antiqua" w:cs="Arial Unicode MS"/>
          <w:sz w:val="24"/>
          <w:szCs w:val="24"/>
          <w:shd w:val="clear" w:color="auto" w:fill="FFFFFF"/>
          <w:lang w:val="en-US"/>
        </w:rPr>
        <w:t>cm</w:t>
      </w:r>
      <w:r w:rsidR="00BF5F43" w:rsidRPr="001326F0">
        <w:rPr>
          <w:rFonts w:ascii="Book Antiqua" w:eastAsia="Arial Unicode MS" w:hAnsi="Book Antiqua" w:cs="Arial Unicode MS"/>
          <w:i/>
          <w:sz w:val="24"/>
          <w:szCs w:val="24"/>
          <w:shd w:val="clear" w:color="auto" w:fill="FFFFFF"/>
          <w:lang w:val="en-US"/>
        </w:rPr>
        <w:t xml:space="preserve"> vs</w:t>
      </w:r>
      <w:r w:rsidRPr="001326F0">
        <w:rPr>
          <w:rFonts w:ascii="Book Antiqua" w:eastAsia="Arial Unicode MS" w:hAnsi="Book Antiqua" w:cs="Arial Unicode MS"/>
          <w:sz w:val="24"/>
          <w:szCs w:val="24"/>
          <w:shd w:val="clear" w:color="auto" w:fill="FFFFFF"/>
          <w:lang w:val="en-US"/>
        </w:rPr>
        <w:t xml:space="preserve"> 85.1 cm), higher HbA</w:t>
      </w:r>
      <w:r w:rsidRPr="001326F0">
        <w:rPr>
          <w:rFonts w:ascii="Book Antiqua" w:eastAsia="Arial Unicode MS" w:hAnsi="Book Antiqua" w:cs="Arial Unicode MS"/>
          <w:sz w:val="24"/>
          <w:szCs w:val="24"/>
          <w:bdr w:val="none" w:sz="0" w:space="0" w:color="auto" w:frame="1"/>
          <w:shd w:val="clear" w:color="auto" w:fill="FFFFFF"/>
          <w:vertAlign w:val="subscript"/>
          <w:lang w:val="en-US"/>
        </w:rPr>
        <w:t>1c</w:t>
      </w:r>
      <w:r w:rsidRPr="001326F0">
        <w:rPr>
          <w:rStyle w:val="apple-converted-space"/>
          <w:rFonts w:ascii="Book Antiqua" w:eastAsia="Arial Unicode MS" w:hAnsi="Book Antiqua" w:cs="Arial Unicode MS"/>
          <w:sz w:val="24"/>
          <w:szCs w:val="24"/>
          <w:shd w:val="clear" w:color="auto" w:fill="FFFFFF"/>
          <w:lang w:val="en-US"/>
        </w:rPr>
        <w:t> </w:t>
      </w:r>
      <w:r w:rsidRPr="001326F0">
        <w:rPr>
          <w:rFonts w:ascii="Book Antiqua" w:eastAsia="Arial Unicode MS" w:hAnsi="Book Antiqua" w:cs="Arial Unicode MS"/>
          <w:sz w:val="24"/>
          <w:szCs w:val="24"/>
          <w:shd w:val="clear" w:color="auto" w:fill="FFFFFF"/>
          <w:lang w:val="en-US"/>
        </w:rPr>
        <w:t>(6.1</w:t>
      </w:r>
      <w:r w:rsidR="00BF5F43" w:rsidRPr="001326F0">
        <w:rPr>
          <w:rFonts w:ascii="Book Antiqua" w:eastAsia="Arial Unicode MS" w:hAnsi="Book Antiqua" w:cs="Arial Unicode MS" w:hint="eastAsia"/>
          <w:sz w:val="24"/>
          <w:szCs w:val="24"/>
          <w:shd w:val="clear" w:color="auto" w:fill="FFFFFF"/>
          <w:lang w:val="en-US" w:eastAsia="zh-CN"/>
        </w:rPr>
        <w:t>%</w:t>
      </w:r>
      <w:r w:rsidRPr="001326F0">
        <w:rPr>
          <w:rFonts w:ascii="Book Antiqua" w:eastAsia="Arial Unicode MS" w:hAnsi="Book Antiqua" w:cs="Arial Unicode MS"/>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5.3%), higher triglycerides (1.47 </w:t>
      </w:r>
      <w:r w:rsidR="00BF5F43" w:rsidRPr="001326F0">
        <w:rPr>
          <w:rFonts w:ascii="Book Antiqua" w:eastAsia="Arial Unicode MS" w:hAnsi="Book Antiqua" w:cs="Arial Unicode MS"/>
          <w:sz w:val="24"/>
          <w:szCs w:val="24"/>
          <w:shd w:val="clear" w:color="auto" w:fill="FFFFFF"/>
          <w:lang w:val="en-US"/>
        </w:rPr>
        <w:t>mmol/</w:t>
      </w:r>
      <w:r w:rsidR="00BF5F43" w:rsidRPr="001326F0">
        <w:rPr>
          <w:rFonts w:ascii="Book Antiqua" w:eastAsia="Arial Unicode MS" w:hAnsi="Book Antiqua" w:cs="Arial Unicode MS" w:hint="eastAsia"/>
          <w:sz w:val="24"/>
          <w:szCs w:val="24"/>
          <w:shd w:val="clear" w:color="auto" w:fill="FFFFFF"/>
          <w:lang w:val="en-US"/>
        </w:rPr>
        <w:t>L</w:t>
      </w:r>
      <w:r w:rsidR="00BF5F43" w:rsidRPr="001326F0">
        <w:rPr>
          <w:rFonts w:ascii="Book Antiqua" w:eastAsia="Arial Unicode MS" w:hAnsi="Book Antiqua" w:cs="Arial Unicode MS"/>
          <w:i/>
          <w:sz w:val="24"/>
          <w:szCs w:val="24"/>
          <w:shd w:val="clear" w:color="auto" w:fill="FFFFFF"/>
          <w:lang w:val="en-US"/>
        </w:rPr>
        <w:t xml:space="preserve"> vs</w:t>
      </w:r>
      <w:r w:rsidRPr="001326F0">
        <w:rPr>
          <w:rFonts w:ascii="Book Antiqua" w:eastAsia="Arial Unicode MS" w:hAnsi="Book Antiqua" w:cs="Arial Unicode MS"/>
          <w:sz w:val="24"/>
          <w:szCs w:val="24"/>
          <w:shd w:val="clear" w:color="auto" w:fill="FFFFFF"/>
          <w:lang w:val="en-US"/>
        </w:rPr>
        <w:t xml:space="preserve"> 1.11 mmol/</w:t>
      </w:r>
      <w:r w:rsidR="00BF5F43"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 xml:space="preserve">), and higher levels of high sensitive C-reactive protein (0.81 </w:t>
      </w:r>
      <w:r w:rsidR="00BF5F43" w:rsidRPr="001326F0">
        <w:rPr>
          <w:rFonts w:ascii="Book Antiqua" w:eastAsia="Arial Unicode MS" w:hAnsi="Book Antiqua" w:cs="Arial Unicode MS"/>
          <w:sz w:val="24"/>
          <w:szCs w:val="24"/>
          <w:shd w:val="clear" w:color="auto" w:fill="FFFFFF"/>
          <w:lang w:val="en-US"/>
        </w:rPr>
        <w:t>mg/</w:t>
      </w:r>
      <w:r w:rsidR="00BF5F43" w:rsidRPr="001326F0">
        <w:rPr>
          <w:rFonts w:ascii="Book Antiqua" w:eastAsia="Arial Unicode MS" w:hAnsi="Book Antiqua" w:cs="Arial Unicode MS" w:hint="eastAsia"/>
          <w:sz w:val="24"/>
          <w:szCs w:val="24"/>
          <w:shd w:val="clear" w:color="auto" w:fill="FFFFFF"/>
          <w:lang w:val="en-US"/>
        </w:rPr>
        <w:t>L</w:t>
      </w:r>
      <w:r w:rsidR="00BF5F43" w:rsidRPr="001326F0">
        <w:rPr>
          <w:rFonts w:ascii="Book Antiqua" w:eastAsia="Arial Unicode MS" w:hAnsi="Book Antiqua" w:cs="Arial Unicode MS"/>
          <w:i/>
          <w:sz w:val="24"/>
          <w:szCs w:val="24"/>
          <w:shd w:val="clear" w:color="auto" w:fill="FFFFFF"/>
          <w:lang w:val="en-US"/>
        </w:rPr>
        <w:t xml:space="preserve"> vs</w:t>
      </w:r>
      <w:r w:rsidRPr="001326F0">
        <w:rPr>
          <w:rFonts w:ascii="Book Antiqua" w:eastAsia="Arial Unicode MS" w:hAnsi="Book Antiqua" w:cs="Arial Unicode MS"/>
          <w:sz w:val="24"/>
          <w:szCs w:val="24"/>
          <w:shd w:val="clear" w:color="auto" w:fill="FFFFFF"/>
          <w:lang w:val="en-US"/>
        </w:rPr>
        <w:t xml:space="preserve"> 0.51 mg/</w:t>
      </w:r>
      <w:r w:rsidR="00BF5F43"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 xml:space="preserve">) as well as lower levels of HDL-cholesterol (1.28 </w:t>
      </w:r>
      <w:r w:rsidR="00BF5F43" w:rsidRPr="001326F0">
        <w:rPr>
          <w:rFonts w:ascii="Book Antiqua" w:eastAsia="Arial Unicode MS" w:hAnsi="Book Antiqua" w:cs="Arial Unicode MS"/>
          <w:sz w:val="24"/>
          <w:szCs w:val="24"/>
          <w:shd w:val="clear" w:color="auto" w:fill="FFFFFF"/>
          <w:lang w:val="en-US"/>
        </w:rPr>
        <w:t>mmol/</w:t>
      </w:r>
      <w:r w:rsidR="00BF5F43" w:rsidRPr="001326F0">
        <w:rPr>
          <w:rFonts w:ascii="Book Antiqua" w:eastAsia="Arial Unicode MS" w:hAnsi="Book Antiqua" w:cs="Arial Unicode MS" w:hint="eastAsia"/>
          <w:sz w:val="24"/>
          <w:szCs w:val="24"/>
          <w:shd w:val="clear" w:color="auto" w:fill="FFFFFF"/>
          <w:lang w:val="en-US"/>
        </w:rPr>
        <w:t>L</w:t>
      </w:r>
      <w:r w:rsidR="00BF5F43" w:rsidRPr="001326F0">
        <w:rPr>
          <w:rFonts w:ascii="Book Antiqua" w:eastAsia="Arial Unicode MS" w:hAnsi="Book Antiqua" w:cs="Arial Unicode MS"/>
          <w:i/>
          <w:sz w:val="24"/>
          <w:szCs w:val="24"/>
          <w:shd w:val="clear" w:color="auto" w:fill="FFFFFF"/>
          <w:lang w:val="en-US"/>
        </w:rPr>
        <w:t xml:space="preserve"> vs</w:t>
      </w:r>
      <w:r w:rsidRPr="001326F0">
        <w:rPr>
          <w:rFonts w:ascii="Book Antiqua" w:eastAsia="Arial Unicode MS" w:hAnsi="Book Antiqua" w:cs="Arial Unicode MS"/>
          <w:sz w:val="24"/>
          <w:szCs w:val="24"/>
          <w:shd w:val="clear" w:color="auto" w:fill="FFFFFF"/>
          <w:lang w:val="en-US"/>
        </w:rPr>
        <w:t xml:space="preserve"> 1.49 mmol/</w:t>
      </w:r>
      <w:r w:rsidR="00BF5F43"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 and adiponectin (6.32</w:t>
      </w:r>
      <w:r w:rsidR="00BF5F43" w:rsidRPr="001326F0">
        <w:rPr>
          <w:rFonts w:ascii="Book Antiqua" w:eastAsia="Arial Unicode MS" w:hAnsi="Book Antiqua" w:cs="Arial Unicode MS" w:hint="eastAsia"/>
          <w:sz w:val="24"/>
          <w:szCs w:val="24"/>
          <w:shd w:val="clear" w:color="auto" w:fill="FFFFFF"/>
          <w:lang w:val="en-US" w:eastAsia="zh-CN"/>
        </w:rPr>
        <w:t xml:space="preserve"> </w:t>
      </w:r>
      <w:r w:rsidR="00BF5F43" w:rsidRPr="001326F0">
        <w:rPr>
          <w:rFonts w:ascii="Book Antiqua" w:eastAsia="Arial Unicode MS" w:hAnsi="Book Antiqua" w:cs="Arial Unicode MS"/>
          <w:sz w:val="24"/>
          <w:szCs w:val="24"/>
          <w:shd w:val="clear" w:color="auto" w:fill="FFFFFF"/>
        </w:rPr>
        <w:t>μ</w:t>
      </w:r>
      <w:r w:rsidR="00BF5F43" w:rsidRPr="001326F0">
        <w:rPr>
          <w:rFonts w:ascii="Book Antiqua" w:eastAsia="Arial Unicode MS" w:hAnsi="Book Antiqua" w:cs="Arial Unicode MS"/>
          <w:sz w:val="24"/>
          <w:szCs w:val="24"/>
          <w:shd w:val="clear" w:color="auto" w:fill="FFFFFF"/>
          <w:lang w:val="en-US"/>
        </w:rPr>
        <w:t>g/m</w:t>
      </w:r>
      <w:r w:rsidR="00BF5F43" w:rsidRPr="001326F0">
        <w:rPr>
          <w:rFonts w:ascii="Book Antiqua" w:eastAsia="Arial Unicode MS" w:hAnsi="Book Antiqua" w:cs="Arial Unicode MS" w:hint="eastAsia"/>
          <w:sz w:val="24"/>
          <w:szCs w:val="24"/>
          <w:shd w:val="clear" w:color="auto" w:fill="FFFFFF"/>
          <w:lang w:val="en-US"/>
        </w:rPr>
        <w:t>L</w:t>
      </w:r>
      <w:r w:rsidR="00BF5F43" w:rsidRPr="001326F0">
        <w:rPr>
          <w:rFonts w:ascii="Book Antiqua" w:eastAsia="Arial Unicode MS" w:hAnsi="Book Antiqua" w:cs="Arial Unicode MS"/>
          <w:i/>
          <w:sz w:val="24"/>
          <w:szCs w:val="24"/>
          <w:shd w:val="clear" w:color="auto" w:fill="FFFFFF"/>
          <w:lang w:val="en-US"/>
        </w:rPr>
        <w:t xml:space="preserve"> vs</w:t>
      </w:r>
      <w:r w:rsidRPr="001326F0">
        <w:rPr>
          <w:rFonts w:ascii="Book Antiqua" w:eastAsia="Arial Unicode MS" w:hAnsi="Book Antiqua" w:cs="Arial Unicode MS"/>
          <w:sz w:val="24"/>
          <w:szCs w:val="24"/>
          <w:shd w:val="clear" w:color="auto" w:fill="FFFFFF"/>
          <w:lang w:val="en-US"/>
        </w:rPr>
        <w:t xml:space="preserve"> 8.25 </w:t>
      </w:r>
      <w:r w:rsidRPr="001326F0">
        <w:rPr>
          <w:rFonts w:ascii="Book Antiqua" w:eastAsia="Arial Unicode MS" w:hAnsi="Book Antiqua" w:cs="Arial Unicode MS"/>
          <w:sz w:val="24"/>
          <w:szCs w:val="24"/>
          <w:shd w:val="clear" w:color="auto" w:fill="FFFFFF"/>
        </w:rPr>
        <w:t>μ</w:t>
      </w:r>
      <w:r w:rsidRPr="001326F0">
        <w:rPr>
          <w:rFonts w:ascii="Book Antiqua" w:eastAsia="Arial Unicode MS" w:hAnsi="Book Antiqua" w:cs="Arial Unicode MS"/>
          <w:sz w:val="24"/>
          <w:szCs w:val="24"/>
          <w:shd w:val="clear" w:color="auto" w:fill="FFFFFF"/>
          <w:lang w:val="en-US"/>
        </w:rPr>
        <w:t>g/m</w:t>
      </w:r>
      <w:r w:rsidR="00BF5F43"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 characterized this phenotype.</w:t>
      </w:r>
      <w:r w:rsidRPr="001326F0">
        <w:rPr>
          <w:rStyle w:val="apple-converted-space"/>
          <w:rFonts w:ascii="Book Antiqua" w:eastAsia="Arial Unicode MS" w:hAnsi="Book Antiqua" w:cs="Arial Unicode MS"/>
          <w:sz w:val="24"/>
          <w:szCs w:val="24"/>
          <w:shd w:val="clear" w:color="auto" w:fill="FFFFFF"/>
          <w:lang w:val="en-US"/>
        </w:rPr>
        <w:t> </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 lipid accumulation product (LAP) and visceral adiposity index (VAI), two markers of visceral obesity, identify the MONW phenotype</w:t>
      </w:r>
      <w:r w:rsidRPr="001326F0">
        <w:rPr>
          <w:rFonts w:ascii="Book Antiqua" w:hAnsi="Book Antiqua" w:cs="Times New Roman"/>
          <w:sz w:val="24"/>
          <w:szCs w:val="24"/>
          <w:vertAlign w:val="superscript"/>
          <w:lang w:val="en-US"/>
        </w:rPr>
        <w:t>[173]</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Lee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[174]</w:t>
      </w:r>
      <w:r w:rsidRPr="001326F0">
        <w:rPr>
          <w:rFonts w:ascii="Book Antiqua" w:hAnsi="Book Antiqua" w:cs="Times New Roman"/>
          <w:sz w:val="24"/>
          <w:szCs w:val="24"/>
          <w:lang w:val="en-US"/>
        </w:rPr>
        <w:t xml:space="preserve"> recently found that in MONW individuals, the triglycerides index [(fasting triglycerides (mg</w:t>
      </w:r>
      <w:r w:rsidR="00BF5F43" w:rsidRPr="001326F0">
        <w:rPr>
          <w:rFonts w:ascii="Book Antiqua" w:hAnsi="Book Antiqua" w:cs="Times New Roman" w:hint="eastAsia"/>
          <w:sz w:val="24"/>
          <w:szCs w:val="24"/>
          <w:lang w:val="en-US" w:eastAsia="zh-CN"/>
        </w:rPr>
        <w:t>.</w:t>
      </w:r>
      <w:r w:rsidRPr="001326F0">
        <w:rPr>
          <w:rFonts w:ascii="Times New Roman" w:hAnsi="Times New Roman" w:cs="Times New Roman"/>
          <w:sz w:val="24"/>
          <w:szCs w:val="24"/>
          <w:lang w:val="en-US"/>
        </w:rPr>
        <w:t> </w:t>
      </w:r>
      <w:r w:rsidRPr="001326F0">
        <w:rPr>
          <w:rFonts w:ascii="Book Antiqua" w:hAnsi="Book Antiqua" w:cs="Book Antiqua"/>
          <w:sz w:val="24"/>
          <w:szCs w:val="24"/>
          <w:lang w:val="en-US"/>
        </w:rPr>
        <w:t>d</w:t>
      </w:r>
      <w:r w:rsidR="00BF5F43" w:rsidRPr="001326F0">
        <w:rPr>
          <w:rFonts w:ascii="Book Antiqua" w:hAnsi="Book Antiqua" w:cs="Book Antiqua" w:hint="eastAsia"/>
          <w:sz w:val="24"/>
          <w:szCs w:val="24"/>
          <w:lang w:val="en-US" w:eastAsia="zh-CN"/>
        </w:rPr>
        <w:t>L</w:t>
      </w:r>
      <w:r w:rsidRPr="001326F0">
        <w:rPr>
          <w:rFonts w:ascii="Book Antiqua" w:hAnsi="Book Antiqua" w:cs="Book Antiqua"/>
          <w:sz w:val="24"/>
          <w:szCs w:val="24"/>
          <w:vertAlign w:val="superscript"/>
          <w:lang w:val="en-US"/>
        </w:rPr>
        <w:t>−1</w:t>
      </w:r>
      <w:r w:rsidRPr="001326F0">
        <w:rPr>
          <w:rFonts w:ascii="Book Antiqua" w:hAnsi="Book Antiqua" w:cs="Book Antiqua"/>
          <w:sz w:val="24"/>
          <w:szCs w:val="24"/>
          <w:lang w:val="en-US"/>
        </w:rPr>
        <w:t>) × fasting glucose (mg</w:t>
      </w:r>
      <w:r w:rsidR="00BF5F43" w:rsidRPr="001326F0">
        <w:rPr>
          <w:rFonts w:ascii="Book Antiqua" w:hAnsi="Book Antiqua" w:cs="Book Antiqua" w:hint="eastAsia"/>
          <w:sz w:val="24"/>
          <w:szCs w:val="24"/>
          <w:lang w:val="en-US" w:eastAsia="zh-CN"/>
        </w:rPr>
        <w:t>.</w:t>
      </w:r>
      <w:r w:rsidRPr="001326F0">
        <w:rPr>
          <w:rFonts w:ascii="Times New Roman" w:hAnsi="Times New Roman" w:cs="Times New Roman"/>
          <w:sz w:val="24"/>
          <w:szCs w:val="24"/>
          <w:lang w:val="en-US"/>
        </w:rPr>
        <w:t> </w:t>
      </w:r>
      <w:r w:rsidRPr="001326F0">
        <w:rPr>
          <w:rFonts w:ascii="Book Antiqua" w:hAnsi="Book Antiqua" w:cs="Book Antiqua"/>
          <w:sz w:val="24"/>
          <w:szCs w:val="24"/>
          <w:lang w:val="en-US"/>
        </w:rPr>
        <w:t>d</w:t>
      </w:r>
      <w:r w:rsidR="00BF5F43" w:rsidRPr="001326F0">
        <w:rPr>
          <w:rFonts w:ascii="Book Antiqua" w:hAnsi="Book Antiqua" w:cs="Book Antiqua" w:hint="eastAsia"/>
          <w:sz w:val="24"/>
          <w:szCs w:val="24"/>
          <w:lang w:val="en-US" w:eastAsia="zh-CN"/>
        </w:rPr>
        <w:t>L</w:t>
      </w:r>
      <w:r w:rsidRPr="001326F0">
        <w:rPr>
          <w:rFonts w:ascii="Book Antiqua" w:hAnsi="Book Antiqua" w:cs="Book Antiqua"/>
          <w:sz w:val="24"/>
          <w:szCs w:val="24"/>
          <w:vertAlign w:val="superscript"/>
          <w:lang w:val="en-US"/>
        </w:rPr>
        <w:t>−1</w:t>
      </w:r>
      <w:r w:rsidRPr="001326F0">
        <w:rPr>
          <w:rFonts w:ascii="Book Antiqua" w:hAnsi="Book Antiqua" w:cs="Book Antiqua"/>
          <w:sz w:val="24"/>
          <w:szCs w:val="24"/>
          <w:lang w:val="en-US"/>
        </w:rPr>
        <w:t xml:space="preserve">)/2)] was higher respect to </w:t>
      </w:r>
      <w:r w:rsidRPr="001326F0">
        <w:rPr>
          <w:rFonts w:ascii="Book Antiqua" w:hAnsi="Book Antiqua" w:cs="Times New Roman"/>
          <w:sz w:val="24"/>
          <w:szCs w:val="24"/>
          <w:lang w:val="en-US"/>
        </w:rPr>
        <w:t>normal weight population</w:t>
      </w:r>
      <w:r w:rsidRPr="001326F0">
        <w:rPr>
          <w:rFonts w:ascii="Book Antiqua" w:hAnsi="Book Antiqua" w:cs="Book Antiqua"/>
          <w:sz w:val="24"/>
          <w:szCs w:val="24"/>
          <w:lang w:val="en-US"/>
        </w:rPr>
        <w:t xml:space="preserve">, </w:t>
      </w:r>
      <w:r w:rsidRPr="001326F0">
        <w:rPr>
          <w:rFonts w:ascii="Book Antiqua" w:hAnsi="Book Antiqua" w:cs="Times New Roman"/>
          <w:sz w:val="24"/>
          <w:szCs w:val="24"/>
          <w:lang w:val="en-US"/>
        </w:rPr>
        <w:t>managing to clearly discriminate individuals at metabolic risk from NWL subjects.</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Thomas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[175]</w:t>
      </w:r>
      <w:r w:rsidRPr="001326F0">
        <w:rPr>
          <w:rFonts w:ascii="Book Antiqua" w:hAnsi="Book Antiqua" w:cs="Times New Roman"/>
          <w:sz w:val="24"/>
          <w:szCs w:val="24"/>
          <w:lang w:val="en-US"/>
        </w:rPr>
        <w:t xml:space="preserve"> refined MONW phenotype using MRI, showing a disproportionate deposition of visceral adipose tissue respect to overweight or obese subjects; they called this sub-phenotype, “thin-on-the-outside fat-on-the-inside” (TOFI).</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TOFI subjecs showed a higher ratio of visceral:subcutaneous abdominal adipose tissue, and it was been observed in both male and female subjects and it was accompanied by increased levels of both liver and muscle fat</w:t>
      </w:r>
      <w:r w:rsidRPr="001326F0">
        <w:rPr>
          <w:rFonts w:ascii="Book Antiqua" w:hAnsi="Book Antiqua" w:cs="Times New Roman"/>
          <w:sz w:val="24"/>
          <w:szCs w:val="24"/>
          <w:vertAlign w:val="superscript"/>
          <w:lang w:val="en-US"/>
        </w:rPr>
        <w:t>[175]</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Higher concentrations of inflammation biomarkers, TNF-α and IL-6, in the MONW group could be the result of the larger visceral fat areas in this group, supporting the correlation between visceral fat and both insulin resistance and CVD</w:t>
      </w:r>
      <w:r w:rsidRPr="001326F0">
        <w:rPr>
          <w:rFonts w:ascii="Book Antiqua" w:hAnsi="Book Antiqua" w:cs="Times New Roman"/>
          <w:sz w:val="24"/>
          <w:szCs w:val="24"/>
          <w:vertAlign w:val="superscript"/>
          <w:lang w:val="en-US"/>
        </w:rPr>
        <w:t>[176]</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However, in different population, CRP levels were significantly higher in MONW women than in the control group, and serum IL-6, IL-18 levels in males and females did not differ in both groups</w:t>
      </w:r>
      <w:r w:rsidRPr="001326F0">
        <w:rPr>
          <w:rFonts w:ascii="Book Antiqua" w:hAnsi="Book Antiqua" w:cs="Times New Roman"/>
          <w:sz w:val="24"/>
          <w:szCs w:val="24"/>
          <w:vertAlign w:val="superscript"/>
          <w:lang w:val="en-US"/>
        </w:rPr>
        <w:t>[177]</w:t>
      </w:r>
      <w:r w:rsidRPr="001326F0">
        <w:rPr>
          <w:rFonts w:ascii="Book Antiqua" w:hAnsi="Book Antiqua" w:cs="Times New Roman"/>
          <w:sz w:val="24"/>
          <w:szCs w:val="24"/>
          <w:lang w:val="en-US"/>
        </w:rPr>
        <w:t>.</w:t>
      </w:r>
    </w:p>
    <w:p w:rsidR="007B70B9" w:rsidRPr="001326F0" w:rsidRDefault="007B70B9" w:rsidP="00746C86">
      <w:pPr>
        <w:adjustRightInd w:val="0"/>
        <w:snapToGrid w:val="0"/>
        <w:spacing w:after="0" w:line="360" w:lineRule="auto"/>
        <w:jc w:val="both"/>
        <w:rPr>
          <w:rFonts w:ascii="Book Antiqua" w:hAnsi="Book Antiqua" w:cs="Times New Roman"/>
          <w:b/>
          <w:i/>
          <w:sz w:val="24"/>
          <w:szCs w:val="24"/>
          <w:lang w:val="en-US"/>
        </w:rPr>
      </w:pPr>
    </w:p>
    <w:p w:rsidR="007B70B9" w:rsidRPr="001326F0" w:rsidRDefault="007B70B9" w:rsidP="00746C86">
      <w:pPr>
        <w:adjustRightInd w:val="0"/>
        <w:snapToGrid w:val="0"/>
        <w:spacing w:after="0" w:line="360" w:lineRule="auto"/>
        <w:jc w:val="both"/>
        <w:rPr>
          <w:rFonts w:ascii="Book Antiqua" w:hAnsi="Book Antiqua" w:cs="Times New Roman"/>
          <w:b/>
          <w:i/>
          <w:sz w:val="24"/>
          <w:szCs w:val="24"/>
          <w:lang w:val="en-US"/>
        </w:rPr>
      </w:pPr>
      <w:r w:rsidRPr="001326F0">
        <w:rPr>
          <w:rFonts w:ascii="Book Antiqua" w:hAnsi="Book Antiqua" w:cs="Times New Roman"/>
          <w:b/>
          <w:i/>
          <w:sz w:val="24"/>
          <w:szCs w:val="24"/>
          <w:lang w:val="en-US"/>
        </w:rPr>
        <w:t xml:space="preserve">Metabolically healthy obesity </w:t>
      </w:r>
    </w:p>
    <w:p w:rsidR="007B70B9" w:rsidRPr="001326F0" w:rsidRDefault="007B70B9" w:rsidP="00746C86">
      <w:pPr>
        <w:widowControl w:val="0"/>
        <w:autoSpaceDE w:val="0"/>
        <w:autoSpaceDN w:val="0"/>
        <w:adjustRightInd w:val="0"/>
        <w:snapToGrid w:val="0"/>
        <w:spacing w:after="0" w:line="360" w:lineRule="auto"/>
        <w:jc w:val="both"/>
        <w:rPr>
          <w:rFonts w:ascii="Book Antiqua" w:hAnsi="Book Antiqua" w:cs="Arial"/>
          <w:sz w:val="24"/>
          <w:szCs w:val="24"/>
          <w:u w:color="262626"/>
          <w:lang w:val="en-US"/>
        </w:rPr>
      </w:pPr>
      <w:r w:rsidRPr="001326F0">
        <w:rPr>
          <w:rFonts w:ascii="Book Antiqua" w:hAnsi="Book Antiqua" w:cs="Times New Roman"/>
          <w:sz w:val="24"/>
          <w:szCs w:val="24"/>
          <w:lang w:val="en-US"/>
        </w:rPr>
        <w:t>Metabolically healthy obesity (MHO) is a new concept in which an individual may exhibit an obese phenotype in the absence of any metabolic abnormalities</w:t>
      </w:r>
      <w:r w:rsidRPr="001326F0">
        <w:rPr>
          <w:rFonts w:ascii="Book Antiqua" w:hAnsi="Book Antiqua" w:cs="Times New Roman"/>
          <w:sz w:val="24"/>
          <w:szCs w:val="24"/>
          <w:vertAlign w:val="superscript"/>
          <w:lang w:val="en-US"/>
        </w:rPr>
        <w:t>[178,179]</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MHO persons, despite having excess of body fat, have a metabolic profile characterized by high insulin sensitivity, a favorable lipid profile, and no sign of hypertension</w:t>
      </w:r>
      <w:r w:rsidRPr="001326F0">
        <w:rPr>
          <w:rFonts w:ascii="Book Antiqua" w:hAnsi="Book Antiqua" w:cs="Times New Roman"/>
          <w:sz w:val="24"/>
          <w:szCs w:val="24"/>
          <w:vertAlign w:val="superscript"/>
          <w:lang w:val="en-US"/>
        </w:rPr>
        <w:t>[144]</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However, there is no consensus as to how metabolic normality should be defined, so the reported prevalence of MHO ranges from 2% to 50%, depending on the specific criteria used and the population studied</w:t>
      </w:r>
      <w:r w:rsidRPr="001326F0">
        <w:rPr>
          <w:rFonts w:ascii="Book Antiqua" w:hAnsi="Book Antiqua" w:cs="Times New Roman"/>
          <w:sz w:val="24"/>
          <w:szCs w:val="24"/>
          <w:vertAlign w:val="superscript"/>
          <w:lang w:val="en-US"/>
        </w:rPr>
        <w:t>[50,180-189]</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MHO subjects when compared with obese insulin resistant adults have a healthier metabolic risk profile and higher disposition index (insulin sensitivity X insulin secretion)</w:t>
      </w:r>
      <w:r w:rsidRPr="001326F0">
        <w:rPr>
          <w:rFonts w:ascii="Book Antiqua" w:hAnsi="Book Antiqua" w:cs="Times New Roman"/>
          <w:sz w:val="24"/>
          <w:szCs w:val="24"/>
          <w:vertAlign w:val="superscript"/>
          <w:lang w:val="en-US"/>
        </w:rPr>
        <w:t>[171]</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According to Karelis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[190]</w:t>
      </w:r>
      <w:r w:rsidRPr="001326F0">
        <w:rPr>
          <w:rFonts w:ascii="Book Antiqua" w:hAnsi="Book Antiqua" w:cs="Times New Roman"/>
          <w:sz w:val="24"/>
          <w:szCs w:val="24"/>
          <w:lang w:val="en-US"/>
        </w:rPr>
        <w:t>, the selection criteria for MHO individuals were partially based on the National Cholesterol Education Program’s Adult Treatment Panel III report (ATP III) for lipid profiles (triglycerides: &lt; 1.7 mmol/</w:t>
      </w:r>
      <w:r w:rsidR="00BF5F43" w:rsidRPr="001326F0">
        <w:rPr>
          <w:rFonts w:ascii="Book Antiqua" w:hAnsi="Book Antiqua" w:cs="Times New Roman" w:hint="eastAsia"/>
          <w:sz w:val="24"/>
          <w:szCs w:val="24"/>
          <w:lang w:val="en-US" w:eastAsia="zh-CN"/>
        </w:rPr>
        <w:t>L</w:t>
      </w:r>
      <w:r w:rsidRPr="001326F0">
        <w:rPr>
          <w:rFonts w:ascii="Book Antiqua" w:hAnsi="Book Antiqua" w:cs="Times New Roman"/>
          <w:sz w:val="24"/>
          <w:szCs w:val="24"/>
          <w:lang w:val="en-US"/>
        </w:rPr>
        <w:t>, total cholesterol: &lt; 5.2 mmol/</w:t>
      </w:r>
      <w:r w:rsidR="00BF5F43" w:rsidRPr="001326F0">
        <w:rPr>
          <w:rFonts w:ascii="Book Antiqua" w:hAnsi="Book Antiqua" w:cs="Times New Roman" w:hint="eastAsia"/>
          <w:sz w:val="24"/>
          <w:szCs w:val="24"/>
          <w:lang w:val="en-US" w:eastAsia="zh-CN"/>
        </w:rPr>
        <w:t>L</w:t>
      </w:r>
      <w:r w:rsidRPr="001326F0">
        <w:rPr>
          <w:rFonts w:ascii="Book Antiqua" w:hAnsi="Book Antiqua" w:cs="Times New Roman"/>
          <w:sz w:val="24"/>
          <w:szCs w:val="24"/>
          <w:lang w:val="en-US"/>
        </w:rPr>
        <w:t>, HDL-cholesterol: &gt;</w:t>
      </w:r>
      <w:r w:rsidR="00BF5F43"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US"/>
        </w:rPr>
        <w:t>1.3 mmol/</w:t>
      </w:r>
      <w:r w:rsidR="00BF5F43" w:rsidRPr="001326F0">
        <w:rPr>
          <w:rFonts w:ascii="Book Antiqua" w:hAnsi="Book Antiqua" w:cs="Times New Roman" w:hint="eastAsia"/>
          <w:sz w:val="24"/>
          <w:szCs w:val="24"/>
          <w:lang w:val="en-US" w:eastAsia="zh-CN"/>
        </w:rPr>
        <w:t>L</w:t>
      </w:r>
      <w:r w:rsidRPr="001326F0">
        <w:rPr>
          <w:rFonts w:ascii="Book Antiqua" w:hAnsi="Book Antiqua" w:cs="Times New Roman"/>
          <w:sz w:val="24"/>
          <w:szCs w:val="24"/>
          <w:lang w:val="en-US"/>
        </w:rPr>
        <w:t xml:space="preserve"> and LDL-cholesterol: &lt;</w:t>
      </w:r>
      <w:r w:rsidR="00BF5F43"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US"/>
        </w:rPr>
        <w:t>2.6 mmol/</w:t>
      </w:r>
      <w:r w:rsidR="00BF5F43" w:rsidRPr="001326F0">
        <w:rPr>
          <w:rFonts w:ascii="Book Antiqua" w:hAnsi="Book Antiqua" w:cs="Times New Roman" w:hint="eastAsia"/>
          <w:sz w:val="24"/>
          <w:szCs w:val="24"/>
          <w:lang w:val="en-US" w:eastAsia="zh-CN"/>
        </w:rPr>
        <w:t>L</w:t>
      </w:r>
      <w:r w:rsidRPr="001326F0">
        <w:rPr>
          <w:rFonts w:ascii="Book Antiqua" w:hAnsi="Book Antiqua" w:cs="Times New Roman"/>
          <w:sz w:val="24"/>
          <w:szCs w:val="24"/>
          <w:lang w:val="en-US"/>
        </w:rPr>
        <w:t xml:space="preserve">) and from the study of Brochu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w:t>
      </w:r>
      <w:r w:rsidRPr="001326F0">
        <w:rPr>
          <w:rFonts w:ascii="Book Antiqua" w:hAnsi="Book Antiqua"/>
          <w:sz w:val="24"/>
          <w:szCs w:val="24"/>
          <w:vertAlign w:val="superscript"/>
          <w:lang w:val="en-US"/>
        </w:rPr>
        <w:t>187</w:t>
      </w:r>
      <w:r w:rsidRPr="001326F0">
        <w:rPr>
          <w:rFonts w:ascii="Book Antiqua" w:hAnsi="Book Antiqua" w:cs="Times New Roman"/>
          <w:sz w:val="24"/>
          <w:szCs w:val="24"/>
          <w:vertAlign w:val="superscript"/>
          <w:lang w:val="en-US"/>
        </w:rPr>
        <w:t>]</w:t>
      </w:r>
      <w:r w:rsidRPr="001326F0">
        <w:rPr>
          <w:rFonts w:ascii="Book Antiqua" w:hAnsi="Book Antiqua" w:cs="Times New Roman"/>
          <w:sz w:val="24"/>
          <w:szCs w:val="24"/>
          <w:lang w:val="en-US"/>
        </w:rPr>
        <w:t xml:space="preserve"> for insulin sensitivity (HOMA &lt; 1.95); when 4 out of 5 criteria are met, the diagnosis of the MHO individual could be made.</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Intrahepatic triglyceride content and visceral adipose tissue (VAT) volume were much higher in metabolically abnormal obese subjects than in MHO subjects.</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In 2005 Karelis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[143]</w:t>
      </w:r>
      <w:r w:rsidRPr="001326F0">
        <w:rPr>
          <w:rFonts w:ascii="Book Antiqua" w:hAnsi="Book Antiqua" w:cs="Times New Roman"/>
          <w:sz w:val="24"/>
          <w:szCs w:val="24"/>
          <w:lang w:val="en-US"/>
        </w:rPr>
        <w:t xml:space="preserve"> indicated that postmenopausal women displaying the MHO phenotype also have a favorable inflammation profile, as shown by lower CRP and α-1 antitrypsin levels compared with insulin-resistant women, suggesting that lower inflammation state could play a role in the protection of this phenotype.</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 xml:space="preserve">Manu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[191]</w:t>
      </w:r>
      <w:r w:rsidRPr="001326F0">
        <w:rPr>
          <w:rFonts w:ascii="Book Antiqua" w:hAnsi="Book Antiqua" w:cs="Times New Roman"/>
          <w:sz w:val="24"/>
          <w:szCs w:val="24"/>
          <w:lang w:val="en-US"/>
        </w:rPr>
        <w:t xml:space="preserve"> found that MHO was similar to NWL group regarding terms of age, fasting glucose and triglyceride levels, but</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with higher insulin resistance, C-reactive protein levels, low-density lipoprotein (LDL) cholesterol levels levels and systolic blood pressure, and lower intake of dietary fiber and levels of physical activity.</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However, studies with longer follow-up periods (&gt;</w:t>
      </w:r>
      <w:r w:rsidR="00BF5F43"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US"/>
        </w:rPr>
        <w:t>15 years) have demonstrated that MHO individuals were at an increased risk of major CVD events as compared to metabolically healthy normal weight individuals</w:t>
      </w:r>
      <w:r w:rsidRPr="001326F0">
        <w:rPr>
          <w:rFonts w:ascii="Book Antiqua" w:hAnsi="Book Antiqua" w:cs="Times New Roman"/>
          <w:sz w:val="24"/>
          <w:szCs w:val="24"/>
          <w:vertAlign w:val="superscript"/>
          <w:lang w:val="en-US"/>
        </w:rPr>
        <w:t>[192,193]</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Examining the natural history of the MHO phenotype it has been showed that over half of subjects progressed to frank metabolic syndrome over a 10 year period</w:t>
      </w:r>
      <w:r w:rsidRPr="001326F0">
        <w:rPr>
          <w:rFonts w:ascii="Book Antiqua" w:hAnsi="Book Antiqua" w:cs="Times New Roman"/>
          <w:sz w:val="24"/>
          <w:szCs w:val="24"/>
          <w:vertAlign w:val="superscript"/>
          <w:lang w:val="en-US"/>
        </w:rPr>
        <w:t>[194]</w:t>
      </w:r>
      <w:r w:rsidRPr="001326F0">
        <w:rPr>
          <w:rFonts w:ascii="Book Antiqua" w:hAnsi="Book Antiqua" w:cs="Times New Roman"/>
          <w:sz w:val="24"/>
          <w:szCs w:val="24"/>
          <w:lang w:val="en-US"/>
        </w:rPr>
        <w:t xml:space="preserve">. </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Moreover, Sameer Shaharyar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[195]</w:t>
      </w:r>
      <w:r w:rsidRPr="001326F0">
        <w:rPr>
          <w:rFonts w:ascii="Book Antiqua" w:hAnsi="Book Antiqua" w:cs="Times New Roman"/>
          <w:sz w:val="24"/>
          <w:szCs w:val="24"/>
          <w:lang w:val="en-US"/>
        </w:rPr>
        <w:t xml:space="preserve"> demonstrated that both MHO individuals and MONW phenotypes were associated with elevated hs-CRP, and hepatic steatosis.</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In a recent paper, Achilike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[196]</w:t>
      </w:r>
      <w:r w:rsidRPr="001326F0">
        <w:rPr>
          <w:rFonts w:ascii="Book Antiqua" w:hAnsi="Book Antiqua" w:cs="Times New Roman"/>
          <w:sz w:val="24"/>
          <w:szCs w:val="24"/>
          <w:lang w:val="en-US"/>
        </w:rPr>
        <w:t xml:space="preserve"> showed that among subjects classified as MHO at baseline, almost half (47.6%) of them progressed to metabolically unhealthy obese (MUO) within the 7.8-year follow-up period.</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MHO individuals who developed MUO were older and had more adiposity, higher 10-year CHD risk and lower HDL cholesterol than those who remained as MHO or become non-obese.</w:t>
      </w:r>
      <w:r w:rsidRPr="001326F0">
        <w:rPr>
          <w:rFonts w:ascii="Book Antiqua" w:hAnsi="Book Antiqua"/>
          <w:sz w:val="24"/>
          <w:szCs w:val="24"/>
          <w:lang w:val="en-US"/>
        </w:rPr>
        <w:t xml:space="preserve"> </w:t>
      </w:r>
      <w:r w:rsidRPr="001326F0">
        <w:rPr>
          <w:rFonts w:ascii="Book Antiqua" w:hAnsi="Book Antiqua" w:cs="Times New Roman"/>
          <w:sz w:val="24"/>
          <w:szCs w:val="24"/>
          <w:lang w:val="en-US"/>
        </w:rPr>
        <w:t>They conclude that, MHO may not be a stable condition, because it confers markedly increased risk of developing multiple metabolic abnormalities in the future.</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According to the editorial comment of Puri</w:t>
      </w:r>
      <w:r w:rsidRPr="001326F0">
        <w:rPr>
          <w:rFonts w:ascii="Book Antiqua" w:hAnsi="Book Antiqua" w:cs="Times New Roman"/>
          <w:sz w:val="24"/>
          <w:szCs w:val="24"/>
          <w:vertAlign w:val="superscript"/>
          <w:lang w:val="en-US"/>
        </w:rPr>
        <w:t>[197]</w:t>
      </w:r>
      <w:r w:rsidRPr="001326F0">
        <w:rPr>
          <w:rFonts w:ascii="Book Antiqua" w:hAnsi="Book Antiqua" w:cs="Times New Roman"/>
          <w:sz w:val="24"/>
          <w:szCs w:val="24"/>
          <w:lang w:val="en-US"/>
        </w:rPr>
        <w:t>, it</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must be simply accepted</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that obesity is a disease,</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 xml:space="preserve">and no level of obesity can be considered healthy. In fact, the studies by Chang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[198]</w:t>
      </w:r>
      <w:r w:rsidRPr="001326F0">
        <w:rPr>
          <w:rFonts w:ascii="Book Antiqua" w:hAnsi="Book Antiqua" w:cs="Times New Roman"/>
          <w:sz w:val="24"/>
          <w:szCs w:val="24"/>
          <w:lang w:val="en-US"/>
        </w:rPr>
        <w:t>, demonstrated that, on the basis of</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 xml:space="preserve">the coronary artery calcium (CAC) scores, MHO had a significantly greater prevalence of coronary atherosclerosis than the metabolically-healthy but normal weight subjects. Moreover, Kramer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[199]</w:t>
      </w:r>
      <w:r w:rsidRPr="001326F0">
        <w:rPr>
          <w:rFonts w:ascii="Book Antiqua" w:hAnsi="Book Antiqua" w:cs="Times New Roman"/>
          <w:sz w:val="24"/>
          <w:szCs w:val="24"/>
          <w:lang w:val="en-US"/>
        </w:rPr>
        <w:t xml:space="preserve"> observed that compared with NWL subjects, MHO were at significantly greater risk for death and cardiovascular events.</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All these data raised serious doubts on the concept of obese people </w:t>
      </w:r>
      <w:r w:rsidRPr="001326F0">
        <w:rPr>
          <w:rFonts w:ascii="Book Antiqua" w:hAnsi="Book Antiqua" w:cs="Times New Roman"/>
          <w:sz w:val="24"/>
          <w:szCs w:val="24"/>
          <w:lang w:val="en-US"/>
        </w:rPr>
        <w:lastRenderedPageBreak/>
        <w:t>maintaining a benign prognosis and highlight the fact that obesity per se is a genuine disease</w:t>
      </w:r>
      <w:r w:rsidRPr="001326F0">
        <w:rPr>
          <w:rFonts w:ascii="Book Antiqua" w:hAnsi="Book Antiqua" w:cs="Times New Roman"/>
          <w:sz w:val="24"/>
          <w:szCs w:val="24"/>
          <w:vertAlign w:val="superscript"/>
          <w:lang w:val="en-US"/>
        </w:rPr>
        <w:t>[197]</w:t>
      </w:r>
      <w:r w:rsidRPr="001326F0">
        <w:rPr>
          <w:rFonts w:ascii="Book Antiqua" w:hAnsi="Book Antiqua" w:cs="Times New Roman"/>
          <w:sz w:val="24"/>
          <w:szCs w:val="24"/>
          <w:lang w:val="en-US"/>
        </w:rPr>
        <w:t>.</w:t>
      </w:r>
    </w:p>
    <w:p w:rsidR="007B70B9" w:rsidRPr="001326F0" w:rsidRDefault="007B70B9" w:rsidP="00BF5F43">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Therefore, both MHO and MONW phenotypes, in the same manner of “at risk obese” phenotype, may not be benign and physicians should strive to treat individuals in these subgroups to reverse these conditions.</w:t>
      </w:r>
    </w:p>
    <w:p w:rsidR="007B70B9" w:rsidRPr="001326F0" w:rsidRDefault="007B70B9" w:rsidP="00746C86">
      <w:pPr>
        <w:adjustRightInd w:val="0"/>
        <w:snapToGrid w:val="0"/>
        <w:spacing w:after="0" w:line="360" w:lineRule="auto"/>
        <w:jc w:val="both"/>
        <w:rPr>
          <w:rFonts w:ascii="Book Antiqua" w:hAnsi="Book Antiqua" w:cs="Times New Roman"/>
          <w:b/>
          <w:sz w:val="24"/>
          <w:szCs w:val="24"/>
          <w:lang w:val="en-US"/>
        </w:rPr>
      </w:pPr>
    </w:p>
    <w:p w:rsidR="007B70B9" w:rsidRPr="001326F0" w:rsidRDefault="007B70B9" w:rsidP="00746C86">
      <w:pPr>
        <w:adjustRightInd w:val="0"/>
        <w:snapToGrid w:val="0"/>
        <w:spacing w:after="0" w:line="360" w:lineRule="auto"/>
        <w:jc w:val="both"/>
        <w:rPr>
          <w:rFonts w:ascii="Book Antiqua" w:hAnsi="Book Antiqua" w:cs="Times New Roman"/>
          <w:b/>
          <w:i/>
          <w:sz w:val="24"/>
          <w:szCs w:val="24"/>
          <w:lang w:val="en-US"/>
        </w:rPr>
      </w:pPr>
      <w:r w:rsidRPr="001326F0">
        <w:rPr>
          <w:rFonts w:ascii="Book Antiqua" w:hAnsi="Book Antiqua" w:cs="Times New Roman"/>
          <w:b/>
          <w:i/>
          <w:sz w:val="24"/>
          <w:szCs w:val="24"/>
          <w:lang w:val="en-US"/>
        </w:rPr>
        <w:t xml:space="preserve">Metabolically </w:t>
      </w:r>
      <w:r w:rsidR="00BF5F43" w:rsidRPr="001326F0">
        <w:rPr>
          <w:rFonts w:ascii="Book Antiqua" w:hAnsi="Book Antiqua" w:cs="Times New Roman"/>
          <w:b/>
          <w:i/>
          <w:sz w:val="24"/>
          <w:szCs w:val="24"/>
          <w:lang w:val="en-US"/>
        </w:rPr>
        <w:t xml:space="preserve">unhealty obese </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The Metabolically </w:t>
      </w:r>
      <w:r w:rsidR="00BF5F43" w:rsidRPr="001326F0">
        <w:rPr>
          <w:rFonts w:ascii="Book Antiqua" w:hAnsi="Book Antiqua" w:cs="Times New Roman"/>
          <w:sz w:val="24"/>
          <w:szCs w:val="24"/>
          <w:lang w:val="en-US"/>
        </w:rPr>
        <w:t xml:space="preserve">unhealthy obese </w:t>
      </w:r>
      <w:r w:rsidRPr="001326F0">
        <w:rPr>
          <w:rFonts w:ascii="Book Antiqua" w:hAnsi="Book Antiqua" w:cs="Times New Roman"/>
          <w:sz w:val="24"/>
          <w:szCs w:val="24"/>
          <w:lang w:val="en-US"/>
        </w:rPr>
        <w:t>(MUO), also defined as “at risk” obese subjects are characterized by a BMI</w:t>
      </w:r>
      <w:r w:rsidR="004E769D" w:rsidRPr="001326F0">
        <w:rPr>
          <w:rFonts w:ascii="Book Antiqua" w:hAnsi="Book Antiqua" w:cs="Times New Roman"/>
          <w:sz w:val="24"/>
          <w:szCs w:val="24"/>
          <w:lang w:val="en-US"/>
        </w:rPr>
        <w:t xml:space="preserve"> </w:t>
      </w:r>
      <w:r w:rsidR="00EF3F4D" w:rsidRPr="001326F0">
        <w:rPr>
          <w:rFonts w:ascii="Book Antiqua" w:hAnsi="Book Antiqua" w:cs="Times New Roman"/>
          <w:sz w:val="24"/>
          <w:szCs w:val="24"/>
          <w:lang w:val="en-US"/>
        </w:rPr>
        <w:t>≥</w:t>
      </w:r>
      <w:r w:rsidR="004E769D"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30 kg/m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a PBF</w:t>
      </w:r>
      <w:r w:rsidR="00BF5F43"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US"/>
        </w:rPr>
        <w:t>&gt;</w:t>
      </w:r>
      <w:r w:rsidR="00BF5F43"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US"/>
        </w:rPr>
        <w:t>30% and high visceral fat mass, closely linked to the development</w:t>
      </w:r>
      <w:r w:rsidRPr="001326F0">
        <w:rPr>
          <w:rFonts w:ascii="Book Antiqua" w:hAnsi="Book Antiqua" w:cs="Times New Roman"/>
          <w:b/>
          <w:sz w:val="24"/>
          <w:szCs w:val="24"/>
          <w:lang w:val="en-US"/>
        </w:rPr>
        <w:t xml:space="preserve"> </w:t>
      </w:r>
      <w:r w:rsidRPr="001326F0">
        <w:rPr>
          <w:rFonts w:ascii="Book Antiqua" w:hAnsi="Book Antiqua" w:cs="Times New Roman"/>
          <w:sz w:val="24"/>
          <w:szCs w:val="24"/>
          <w:lang w:val="en-US"/>
        </w:rPr>
        <w:t>of the metabolic syndrome (MS), T2DM, and atherosclerotic CVD</w:t>
      </w:r>
      <w:r w:rsidRPr="001326F0">
        <w:rPr>
          <w:rFonts w:ascii="Book Antiqua" w:hAnsi="Book Antiqua" w:cs="Times New Roman"/>
          <w:sz w:val="24"/>
          <w:szCs w:val="24"/>
          <w:vertAlign w:val="superscript"/>
          <w:lang w:val="en-US"/>
        </w:rPr>
        <w:t>[200-203]</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Although a unifying definition of the MS does not exist</w:t>
      </w:r>
      <w:r w:rsidRPr="001326F0">
        <w:rPr>
          <w:rFonts w:ascii="Book Antiqua" w:hAnsi="Book Antiqua" w:cs="Times New Roman"/>
          <w:sz w:val="24"/>
          <w:szCs w:val="24"/>
          <w:vertAlign w:val="superscript"/>
          <w:lang w:val="en-US"/>
        </w:rPr>
        <w:t>[204-206]</w:t>
      </w:r>
      <w:r w:rsidRPr="001326F0">
        <w:rPr>
          <w:rFonts w:ascii="Book Antiqua" w:hAnsi="Book Antiqua" w:cs="Times New Roman"/>
          <w:sz w:val="24"/>
          <w:szCs w:val="24"/>
          <w:lang w:val="en-US"/>
        </w:rPr>
        <w:t>, there is a worldwide agreement about the role of insulin resistance and abdominal obesity as the main pathophysiological mechanisms for the development of metabolic disorders characterizing the MS</w:t>
      </w:r>
      <w:r w:rsidRPr="001326F0">
        <w:rPr>
          <w:rFonts w:ascii="Book Antiqua" w:hAnsi="Book Antiqua" w:cs="Times New Roman"/>
          <w:sz w:val="24"/>
          <w:szCs w:val="24"/>
          <w:vertAlign w:val="superscript"/>
          <w:lang w:val="en-US"/>
        </w:rPr>
        <w:t>[207,208</w:t>
      </w:r>
      <w:r w:rsidRPr="001326F0">
        <w:rPr>
          <w:rFonts w:ascii="Book Antiqua" w:hAnsi="Book Antiqua"/>
          <w:sz w:val="24"/>
          <w:szCs w:val="24"/>
          <w:shd w:val="clear" w:color="auto" w:fill="FFFFFF"/>
          <w:vertAlign w:val="superscript"/>
          <w:lang w:val="en-US"/>
        </w:rPr>
        <w:t>]</w:t>
      </w:r>
      <w:r w:rsidRPr="001326F0">
        <w:rPr>
          <w:rFonts w:ascii="Book Antiqua" w:hAnsi="Book Antiqua"/>
          <w:sz w:val="24"/>
          <w:szCs w:val="24"/>
          <w:shd w:val="clear" w:color="auto" w:fill="FFFFFF"/>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Hormonal differences after an oral glucose tolerance test may explain the propensity for impaired glucose homeostasis in then “at-risk” obese phenotype</w:t>
      </w:r>
      <w:r w:rsidRPr="001326F0">
        <w:rPr>
          <w:rFonts w:ascii="Book Antiqua" w:hAnsi="Book Antiqua" w:cs="Times New Roman"/>
          <w:sz w:val="24"/>
          <w:szCs w:val="24"/>
          <w:vertAlign w:val="superscript"/>
          <w:lang w:val="en-US"/>
        </w:rPr>
        <w:t>[209]</w:t>
      </w:r>
      <w:r w:rsidRPr="001326F0">
        <w:rPr>
          <w:rFonts w:ascii="Book Antiqua" w:hAnsi="Book Antiqua" w:cs="Times New Roman"/>
          <w:sz w:val="24"/>
          <w:szCs w:val="24"/>
          <w:lang w:val="en-US"/>
        </w:rPr>
        <w:t xml:space="preserve">. </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O'Connell </w:t>
      </w:r>
      <w:r w:rsidR="005821C0" w:rsidRPr="001326F0">
        <w:rPr>
          <w:rFonts w:ascii="Book Antiqua" w:hAnsi="Book Antiqua" w:cs="Times New Roman"/>
          <w:i/>
          <w:sz w:val="24"/>
          <w:szCs w:val="24"/>
          <w:lang w:val="en-US"/>
        </w:rPr>
        <w:t>et al</w:t>
      </w:r>
      <w:r w:rsidR="00BF5F43" w:rsidRPr="001326F0">
        <w:rPr>
          <w:rFonts w:ascii="Book Antiqua" w:hAnsi="Book Antiqua" w:cs="Times New Roman"/>
          <w:sz w:val="24"/>
          <w:szCs w:val="24"/>
          <w:vertAlign w:val="superscript"/>
          <w:lang w:val="en-US"/>
        </w:rPr>
        <w:t>[210]</w:t>
      </w:r>
      <w:r w:rsidRPr="001326F0">
        <w:rPr>
          <w:rFonts w:ascii="Book Antiqua" w:hAnsi="Book Antiqua" w:cs="Times New Roman"/>
          <w:sz w:val="24"/>
          <w:szCs w:val="24"/>
          <w:lang w:val="en-US"/>
        </w:rPr>
        <w:t xml:space="preserve"> divided the obese subjects in three class: MHO, Metabolically unhealthy obese (MUO) and obese with DM. They found that MUO and T2DM obese subjects had an omental adipocyte size greater than MHO, while subcutaneous adipocyte size, was related to metabolic health, and possibly progression from hepatic steatosis to fibros</w:t>
      </w:r>
      <w:bookmarkStart w:id="289" w:name="OLE_LINK3"/>
      <w:bookmarkStart w:id="290" w:name="OLE_LINK4"/>
      <w:r w:rsidRPr="001326F0">
        <w:rPr>
          <w:rFonts w:ascii="Book Antiqua" w:hAnsi="Book Antiqua" w:cs="Times New Roman"/>
          <w:sz w:val="24"/>
          <w:szCs w:val="24"/>
          <w:lang w:val="en-US"/>
        </w:rPr>
        <w:t xml:space="preserve">is. Moreover, they showed that MUO group had an intermediate degree of steatosis (43%) respect to MHO (3%) and obese with T2DM (74%). </w:t>
      </w:r>
      <w:bookmarkEnd w:id="289"/>
      <w:bookmarkEnd w:id="290"/>
      <w:r w:rsidRPr="001326F0">
        <w:rPr>
          <w:rFonts w:ascii="Book Antiqua" w:hAnsi="Book Antiqua" w:cs="Times New Roman"/>
          <w:sz w:val="24"/>
          <w:szCs w:val="24"/>
          <w:lang w:val="en-US"/>
        </w:rPr>
        <w:t>Finally, they suggested that the size of the individual's adipocytes is more important than the size of the individual.</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MUO individuals showed higher plasma glucose dependent insulinotropic polypeptide, lower post-glucose load glucagone-like-peptide-1, and higher levels at baseline and after glucose load, indicating inappropriate glucagone suppression</w:t>
      </w:r>
      <w:r w:rsidRPr="001326F0">
        <w:rPr>
          <w:rFonts w:ascii="Book Antiqua" w:hAnsi="Book Antiqua" w:cs="Times New Roman"/>
          <w:sz w:val="24"/>
          <w:szCs w:val="24"/>
          <w:vertAlign w:val="superscript"/>
          <w:lang w:val="en-US"/>
        </w:rPr>
        <w:t>[211]</w:t>
      </w:r>
      <w:r w:rsidRPr="001326F0">
        <w:rPr>
          <w:rFonts w:ascii="Book Antiqua" w:hAnsi="Book Antiqua" w:cs="Times New Roman"/>
          <w:sz w:val="24"/>
          <w:szCs w:val="24"/>
          <w:lang w:val="en-US"/>
        </w:rPr>
        <w:t>.</w:t>
      </w:r>
    </w:p>
    <w:p w:rsidR="007B70B9" w:rsidRPr="001326F0" w:rsidRDefault="007B70B9" w:rsidP="00BF5F43">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Many studies have demonstrated that increased intrahepatic triglyceride (IHTG) content (</w:t>
      </w:r>
      <w:r w:rsidRPr="001326F0">
        <w:rPr>
          <w:rFonts w:ascii="Book Antiqua" w:hAnsi="Book Antiqua" w:cs="Times New Roman"/>
          <w:i/>
          <w:sz w:val="24"/>
          <w:szCs w:val="24"/>
          <w:lang w:val="en-US"/>
        </w:rPr>
        <w:t>i.e.</w:t>
      </w:r>
      <w:r w:rsidRPr="001326F0">
        <w:rPr>
          <w:rFonts w:ascii="Book Antiqua" w:hAnsi="Book Antiqua" w:cs="Times New Roman"/>
          <w:sz w:val="24"/>
          <w:szCs w:val="24"/>
          <w:lang w:val="en-US"/>
        </w:rPr>
        <w:t>, NAFLD) is a robust marker of metabolic dysfunction in obese people</w:t>
      </w:r>
      <w:r w:rsidRPr="001326F0">
        <w:rPr>
          <w:rFonts w:ascii="Book Antiqua" w:hAnsi="Book Antiqua" w:cs="Times New Roman"/>
          <w:sz w:val="24"/>
          <w:szCs w:val="24"/>
          <w:vertAlign w:val="superscript"/>
          <w:lang w:val="en-US"/>
        </w:rPr>
        <w:t>[47,212,213]</w:t>
      </w:r>
      <w:r w:rsidRPr="001326F0">
        <w:rPr>
          <w:rFonts w:ascii="Book Antiqua" w:hAnsi="Book Antiqua" w:cs="Times New Roman"/>
          <w:sz w:val="24"/>
          <w:szCs w:val="24"/>
          <w:lang w:val="en-US"/>
        </w:rPr>
        <w:t>, and the amount of IHTG is directly correlated with the degree of insulin resistance in the liver, skeletal muscle, and adipose tissue</w:t>
      </w:r>
      <w:r w:rsidRPr="001326F0">
        <w:rPr>
          <w:rFonts w:ascii="Book Antiqua" w:hAnsi="Book Antiqua" w:cs="Times New Roman"/>
          <w:sz w:val="24"/>
          <w:szCs w:val="24"/>
          <w:vertAlign w:val="superscript"/>
          <w:lang w:val="en-US"/>
        </w:rPr>
        <w:t>[214]</w:t>
      </w:r>
      <w:r w:rsidRPr="001326F0">
        <w:rPr>
          <w:rFonts w:ascii="Book Antiqua" w:hAnsi="Book Antiqua" w:cs="Times New Roman"/>
          <w:sz w:val="24"/>
          <w:szCs w:val="24"/>
          <w:lang w:val="en-US"/>
        </w:rPr>
        <w:t xml:space="preserve">. </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However, not all obese persons develop NAFLD, insulin resistance, and cardiometabolic disease. A subgroup of obese people are those have increased IHTG content are the “Metabolic Abnormal Obese” (MAO)</w:t>
      </w:r>
      <w:r w:rsidRPr="001326F0">
        <w:rPr>
          <w:rFonts w:ascii="Book Antiqua" w:hAnsi="Book Antiqua" w:cs="Times New Roman"/>
          <w:sz w:val="24"/>
          <w:szCs w:val="24"/>
          <w:vertAlign w:val="superscript"/>
          <w:lang w:val="en-US"/>
        </w:rPr>
        <w:t>[47]</w:t>
      </w:r>
      <w:r w:rsidRPr="001326F0">
        <w:rPr>
          <w:rFonts w:ascii="Book Antiqua" w:hAnsi="Book Antiqua" w:cs="Times New Roman"/>
          <w:sz w:val="24"/>
          <w:szCs w:val="24"/>
          <w:lang w:val="en-US"/>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Roberts </w:t>
      </w:r>
      <w:r w:rsidR="005821C0" w:rsidRPr="001326F0">
        <w:rPr>
          <w:rFonts w:ascii="Book Antiqua" w:hAnsi="Book Antiqua" w:cs="Times New Roman"/>
          <w:i/>
          <w:sz w:val="24"/>
          <w:szCs w:val="24"/>
          <w:lang w:val="en-US"/>
        </w:rPr>
        <w:t>et al</w:t>
      </w:r>
      <w:r w:rsidR="00E427DE" w:rsidRPr="001326F0">
        <w:rPr>
          <w:rFonts w:ascii="Book Antiqua" w:hAnsi="Book Antiqua" w:cs="Times New Roman" w:hint="eastAsia"/>
          <w:sz w:val="24"/>
          <w:szCs w:val="24"/>
          <w:vertAlign w:val="superscript"/>
          <w:lang w:val="en-US" w:eastAsia="zh-CN"/>
        </w:rPr>
        <w:t>[</w:t>
      </w:r>
      <w:r w:rsidR="00E427DE" w:rsidRPr="001326F0">
        <w:rPr>
          <w:rFonts w:ascii="Book Antiqua" w:hAnsi="Book Antiqua" w:cs="Times New Roman"/>
          <w:sz w:val="24"/>
          <w:szCs w:val="24"/>
          <w:vertAlign w:val="superscript"/>
          <w:lang w:val="en-US"/>
        </w:rPr>
        <w:t>215-219</w:t>
      </w:r>
      <w:r w:rsidRPr="001326F0">
        <w:rPr>
          <w:rFonts w:ascii="Book Antiqua" w:hAnsi="Book Antiqua" w:cs="Times New Roman"/>
          <w:sz w:val="24"/>
          <w:szCs w:val="24"/>
          <w:lang w:val="en-US"/>
        </w:rPr>
        <w:t xml:space="preserve"> and others have found that, compared with Metabolic Normal Obese (MNO) subjects, MAO have decreased adipose tissue expression of genes involved in glucose uptake and lipogenesis</w:t>
      </w:r>
      <w:r w:rsidRPr="001326F0">
        <w:rPr>
          <w:rFonts w:ascii="Book Antiqua" w:hAnsi="Book Antiqua" w:cs="Times New Roman"/>
          <w:sz w:val="24"/>
          <w:szCs w:val="24"/>
          <w:vertAlign w:val="superscript"/>
          <w:lang w:val="en-US"/>
        </w:rPr>
        <w:t>[47,215-219]</w:t>
      </w:r>
      <w:r w:rsidRPr="001326F0">
        <w:rPr>
          <w:rFonts w:ascii="Book Antiqua" w:hAnsi="Book Antiqua" w:cs="Times New Roman"/>
          <w:sz w:val="24"/>
          <w:szCs w:val="24"/>
          <w:lang w:val="en-US"/>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w:t>
      </w:r>
      <w:r w:rsidR="00E427DE" w:rsidRPr="001326F0">
        <w:rPr>
          <w:rFonts w:ascii="Book Antiqua" w:hAnsi="Book Antiqua" w:cs="Times New Roman" w:hint="eastAsia"/>
          <w:sz w:val="24"/>
          <w:szCs w:val="24"/>
          <w:lang w:val="en-US" w:eastAsia="zh-CN"/>
        </w:rPr>
        <w:t>,</w:t>
      </w:r>
      <w:r w:rsidRPr="001326F0">
        <w:rPr>
          <w:rFonts w:ascii="Book Antiqua" w:hAnsi="Book Antiqua" w:cs="Times New Roman"/>
          <w:sz w:val="24"/>
          <w:szCs w:val="24"/>
          <w:lang w:val="en-US"/>
        </w:rPr>
        <w:t xml:space="preserve"> Fabbrini </w:t>
      </w:r>
      <w:r w:rsidR="005821C0" w:rsidRPr="001326F0">
        <w:rPr>
          <w:rFonts w:ascii="Book Antiqua" w:hAnsi="Book Antiqua" w:cs="Times New Roman"/>
          <w:i/>
          <w:sz w:val="24"/>
          <w:szCs w:val="24"/>
          <w:lang w:val="en-US"/>
        </w:rPr>
        <w:t>et al</w:t>
      </w:r>
      <w:r w:rsidR="00E427DE" w:rsidRPr="001326F0">
        <w:rPr>
          <w:rFonts w:ascii="Book Antiqua" w:hAnsi="Book Antiqua" w:cs="Times New Roman"/>
          <w:sz w:val="24"/>
          <w:szCs w:val="24"/>
          <w:vertAlign w:val="superscript"/>
          <w:lang w:val="en-US"/>
        </w:rPr>
        <w:t>[47]</w:t>
      </w:r>
      <w:r w:rsidRPr="001326F0">
        <w:rPr>
          <w:rFonts w:ascii="Book Antiqua" w:hAnsi="Book Antiqua" w:cs="Times New Roman"/>
          <w:sz w:val="24"/>
          <w:szCs w:val="24"/>
          <w:lang w:val="en-US"/>
        </w:rPr>
        <w:t xml:space="preserve"> demonstrated distinct differences in the response to weight gain in MNO and MAO subjects. In MAO subjects, but not MNO subjects, moderate weight gain exacerbated several metabolic risk factors for CVD, including increased blood pressure, plasma triglyceride levels, VLDL apoB100 concentrations, and VLDL apoB100 secretion rates, and decreased plasma adiponectin concentrations and insulin sensitivity in the liver, skeletal muscle, and adipose tissues. Weight gain also caused a greater absolute, but not relative, increase in intra hepatic triglyceride content in MAO subjects compared with that seen in MNO subjects. Together, these data suggest that increased adipose tissue capacity for lipogenesis helps protect against the adverse metabolic effects of weight gain.</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sz w:val="24"/>
          <w:szCs w:val="24"/>
          <w:shd w:val="clear" w:color="auto" w:fill="FFFFFF"/>
          <w:lang w:val="en-US"/>
        </w:rPr>
        <w:t>In general, metabolic disorders are associated more strongly with visceral adiposity, rather than with subcutaneous adiposity; also, the anatomic location of visceral adipose tissue means that fatty acids are released directly into the portal circulation and fat accumulation in the liver has been shown to be an important feature of the metabolic syndrome</w:t>
      </w:r>
      <w:r w:rsidRPr="001326F0">
        <w:rPr>
          <w:rFonts w:ascii="Book Antiqua" w:hAnsi="Book Antiqua"/>
          <w:sz w:val="24"/>
          <w:szCs w:val="24"/>
          <w:vertAlign w:val="superscript"/>
          <w:lang w:val="en-US"/>
        </w:rPr>
        <w:t>[220,221]</w:t>
      </w:r>
      <w:r w:rsidRPr="001326F0">
        <w:rPr>
          <w:rFonts w:ascii="Book Antiqua" w:hAnsi="Book Antiqua" w:cs="Times New Roman"/>
          <w:sz w:val="24"/>
          <w:szCs w:val="24"/>
          <w:lang w:val="en-US"/>
        </w:rPr>
        <w:t>.</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p>
    <w:p w:rsidR="007B70B9" w:rsidRPr="001326F0" w:rsidRDefault="007B70B9" w:rsidP="00746C86">
      <w:pPr>
        <w:shd w:val="clear" w:color="auto" w:fill="FFFFFE"/>
        <w:adjustRightInd w:val="0"/>
        <w:snapToGrid w:val="0"/>
        <w:spacing w:after="0" w:line="360" w:lineRule="auto"/>
        <w:jc w:val="both"/>
        <w:textAlignment w:val="baseline"/>
        <w:rPr>
          <w:rFonts w:ascii="Book Antiqua" w:hAnsi="Book Antiqua" w:cs="Times New Roman"/>
          <w:b/>
          <w:bCs/>
          <w:caps/>
          <w:sz w:val="24"/>
          <w:szCs w:val="24"/>
          <w:lang w:val="en-US"/>
        </w:rPr>
      </w:pPr>
      <w:r w:rsidRPr="001326F0">
        <w:rPr>
          <w:rFonts w:ascii="Book Antiqua" w:hAnsi="Book Antiqua" w:cs="Times New Roman"/>
          <w:b/>
          <w:bCs/>
          <w:caps/>
          <w:sz w:val="24"/>
          <w:szCs w:val="24"/>
          <w:lang w:val="en-US"/>
        </w:rPr>
        <w:t>Sarcopenic obesity</w:t>
      </w:r>
    </w:p>
    <w:p w:rsidR="007B70B9" w:rsidRPr="001326F0" w:rsidRDefault="007B70B9" w:rsidP="00746C86">
      <w:pPr>
        <w:widowControl w:val="0"/>
        <w:autoSpaceDE w:val="0"/>
        <w:autoSpaceDN w:val="0"/>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Sarcopenia is defined as a loss of muscle mass leading to muscle weakness, limited mobility, and increased susceptibility to injury; an understanding of </w:t>
      </w:r>
      <w:r w:rsidRPr="001326F0">
        <w:rPr>
          <w:rFonts w:ascii="Book Antiqua" w:hAnsi="Book Antiqua" w:cs="Times New Roman"/>
          <w:sz w:val="24"/>
          <w:szCs w:val="24"/>
          <w:lang w:val="en-US"/>
        </w:rPr>
        <w:lastRenderedPageBreak/>
        <w:t>the underlying causes of muscle loss is critical for the development of strategies and therapies to preserve muscle mass and function</w:t>
      </w:r>
      <w:r w:rsidRPr="001326F0">
        <w:rPr>
          <w:rFonts w:ascii="Book Antiqua" w:hAnsi="Book Antiqua" w:cs="Times New Roman"/>
          <w:sz w:val="24"/>
          <w:szCs w:val="24"/>
          <w:vertAlign w:val="superscript"/>
          <w:lang w:val="en-US"/>
        </w:rPr>
        <w:t>[222]</w:t>
      </w:r>
      <w:r w:rsidRPr="001326F0">
        <w:rPr>
          <w:rFonts w:ascii="Book Antiqua" w:hAnsi="Book Antiqua" w:cs="Times New Roman"/>
          <w:sz w:val="24"/>
          <w:szCs w:val="24"/>
          <w:lang w:val="en-US"/>
        </w:rPr>
        <w:t xml:space="preserve">. </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It is well known that muscle is a type of endocrine organ, and excess fat mass exerts harmful effects on vascular inflammation BMI can miscategorize a significant proportion of subjects who have lower muscle mass content and higher body fat levels as those having a same cardiovascular risk as healthy, non-obese subjects</w:t>
      </w:r>
      <w:r w:rsidRPr="001326F0">
        <w:rPr>
          <w:rFonts w:ascii="Book Antiqua" w:hAnsi="Book Antiqua" w:cs="Times New Roman"/>
          <w:sz w:val="24"/>
          <w:szCs w:val="24"/>
          <w:vertAlign w:val="superscript"/>
          <w:lang w:val="en-US"/>
        </w:rPr>
        <w:t>[17]</w:t>
      </w:r>
      <w:r w:rsidRPr="001326F0">
        <w:rPr>
          <w:rFonts w:ascii="Book Antiqua" w:hAnsi="Book Antiqua" w:cs="Times New Roman"/>
          <w:sz w:val="24"/>
          <w:szCs w:val="24"/>
          <w:lang w:val="en-US"/>
        </w:rPr>
        <w:t>.</w:t>
      </w:r>
    </w:p>
    <w:p w:rsidR="007B70B9" w:rsidRPr="001326F0" w:rsidRDefault="007B70B9" w:rsidP="00E427DE">
      <w:pPr>
        <w:adjustRightInd w:val="0"/>
        <w:snapToGrid w:val="0"/>
        <w:spacing w:after="0" w:line="360" w:lineRule="auto"/>
        <w:ind w:firstLineChars="100" w:firstLine="240"/>
        <w:jc w:val="both"/>
        <w:rPr>
          <w:rFonts w:ascii="Book Antiqua" w:hAnsi="Book Antiqua"/>
          <w:sz w:val="24"/>
          <w:szCs w:val="24"/>
          <w:lang w:val="en-US"/>
        </w:rPr>
      </w:pPr>
      <w:r w:rsidRPr="001326F0">
        <w:rPr>
          <w:rFonts w:ascii="Book Antiqua" w:hAnsi="Book Antiqua" w:cs="Times New Roman"/>
          <w:sz w:val="24"/>
          <w:szCs w:val="24"/>
          <w:lang w:val="en-GB"/>
        </w:rPr>
        <w:t xml:space="preserve">Moreover, according to PBF cut-off classification, Di Renzo </w:t>
      </w:r>
      <w:r w:rsidR="005821C0" w:rsidRPr="001326F0">
        <w:rPr>
          <w:rFonts w:ascii="Book Antiqua" w:hAnsi="Book Antiqua" w:cs="Times New Roman"/>
          <w:i/>
          <w:sz w:val="24"/>
          <w:szCs w:val="24"/>
          <w:lang w:val="en-GB"/>
        </w:rPr>
        <w:t>et al</w:t>
      </w:r>
      <w:r w:rsidR="00E427DE" w:rsidRPr="001326F0">
        <w:rPr>
          <w:rFonts w:ascii="Book Antiqua" w:hAnsi="Book Antiqua" w:cs="Times New Roman"/>
          <w:sz w:val="24"/>
          <w:szCs w:val="24"/>
          <w:vertAlign w:val="superscript"/>
          <w:lang w:val="en-US"/>
        </w:rPr>
        <w:t>[165]</w:t>
      </w:r>
      <w:r w:rsidRPr="001326F0">
        <w:rPr>
          <w:rFonts w:ascii="Book Antiqua" w:hAnsi="Book Antiqua" w:cs="Times New Roman"/>
          <w:sz w:val="24"/>
          <w:szCs w:val="24"/>
          <w:lang w:val="en-GB"/>
        </w:rPr>
        <w:t xml:space="preserve"> found that 14.68% of individuals were affected by sarcopenic obesity (81.25% NWO and 18.75% MHO/at risk obese, respectively), and, according to </w:t>
      </w:r>
      <w:r w:rsidRPr="001326F0">
        <w:rPr>
          <w:rFonts w:ascii="Book Antiqua" w:hAnsi="Book Antiqua"/>
          <w:sz w:val="24"/>
          <w:szCs w:val="24"/>
          <w:lang w:val="en-US"/>
        </w:rPr>
        <w:t xml:space="preserve">the population attributable risk (PAR), </w:t>
      </w:r>
      <w:r w:rsidRPr="001326F0">
        <w:rPr>
          <w:rFonts w:ascii="Book Antiqua" w:hAnsi="Book Antiqua" w:cs="Times New Roman"/>
          <w:sz w:val="24"/>
          <w:szCs w:val="24"/>
          <w:lang w:val="en-GB"/>
        </w:rPr>
        <w:t>the sarcopenia incidence could be reduced at least of 20%, by appropriate detection and treatment of obesity</w:t>
      </w:r>
      <w:r w:rsidRPr="001326F0">
        <w:rPr>
          <w:rFonts w:ascii="Book Antiqua" w:hAnsi="Book Antiqua" w:cs="Times New Roman"/>
          <w:sz w:val="24"/>
          <w:szCs w:val="24"/>
          <w:lang w:val="en-US"/>
        </w:rPr>
        <w:t>.</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eastAsia="Calibri" w:hAnsi="Book Antiqua" w:cs="Times New Roman"/>
          <w:sz w:val="24"/>
          <w:szCs w:val="24"/>
          <w:lang w:val="en-US" w:eastAsia="it-IT"/>
        </w:rPr>
      </w:pPr>
      <w:r w:rsidRPr="001326F0">
        <w:rPr>
          <w:rFonts w:ascii="Book Antiqua" w:eastAsia="Calibri" w:hAnsi="Book Antiqua" w:cs="Times New Roman"/>
          <w:sz w:val="24"/>
          <w:szCs w:val="24"/>
          <w:lang w:val="en-US" w:eastAsia="it-IT"/>
        </w:rPr>
        <w:t>The combination of sarcopenia and obesity</w:t>
      </w:r>
      <w:r w:rsidRPr="001326F0">
        <w:rPr>
          <w:rFonts w:ascii="Book Antiqua" w:eastAsia="Calibri" w:hAnsi="Book Antiqua" w:cs="Times New Roman"/>
          <w:sz w:val="24"/>
          <w:szCs w:val="24"/>
          <w:vertAlign w:val="superscript"/>
          <w:lang w:val="en-US" w:eastAsia="it-IT"/>
        </w:rPr>
        <w:t>[</w:t>
      </w:r>
      <w:r w:rsidRPr="001326F0">
        <w:rPr>
          <w:rFonts w:ascii="Book Antiqua" w:hAnsi="Book Antiqua" w:cs="Times New Roman"/>
          <w:sz w:val="24"/>
          <w:szCs w:val="24"/>
          <w:vertAlign w:val="superscript"/>
          <w:lang w:val="en-US"/>
        </w:rPr>
        <w:t>223,224</w:t>
      </w:r>
      <w:r w:rsidRPr="001326F0">
        <w:rPr>
          <w:rFonts w:ascii="Book Antiqua" w:eastAsia="Calibri" w:hAnsi="Book Antiqua" w:cs="Times New Roman"/>
          <w:sz w:val="24"/>
          <w:szCs w:val="24"/>
          <w:vertAlign w:val="superscript"/>
          <w:lang w:val="en-US" w:eastAsia="it-IT"/>
        </w:rPr>
        <w:t>]</w:t>
      </w:r>
      <w:r w:rsidRPr="001326F0">
        <w:rPr>
          <w:rFonts w:ascii="Book Antiqua" w:eastAsia="Calibri" w:hAnsi="Book Antiqua" w:cs="Times New Roman"/>
          <w:sz w:val="24"/>
          <w:szCs w:val="24"/>
          <w:lang w:val="en-US" w:eastAsia="it-IT"/>
        </w:rPr>
        <w:t>, defined as sarcopenic obesity, is an important public health associated with functional limitations and increased mortality</w:t>
      </w:r>
      <w:r w:rsidRPr="001326F0">
        <w:rPr>
          <w:rFonts w:ascii="Book Antiqua" w:eastAsia="Calibri" w:hAnsi="Book Antiqua" w:cs="Times New Roman"/>
          <w:sz w:val="24"/>
          <w:szCs w:val="24"/>
          <w:vertAlign w:val="superscript"/>
          <w:lang w:val="en-US" w:eastAsia="it-IT"/>
        </w:rPr>
        <w:t>[225,226]</w:t>
      </w:r>
      <w:r w:rsidRPr="001326F0">
        <w:rPr>
          <w:rFonts w:ascii="Book Antiqua" w:eastAsia="Calibri" w:hAnsi="Book Antiqua" w:cs="Times New Roman"/>
          <w:sz w:val="24"/>
          <w:szCs w:val="24"/>
          <w:lang w:val="en-US" w:eastAsia="it-IT"/>
        </w:rPr>
        <w:t xml:space="preserve">. </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concept of sarcopenic obesity was firstly proposed by Roubenoff who suggested how the inflammatory cytokines, produced by adipose tissue, especially visceral fat, can accelerate muscle catabolism and thus contribute to the vicious cycle that initiates and sustains sarcopenic obesity</w:t>
      </w:r>
      <w:r w:rsidRPr="001326F0">
        <w:rPr>
          <w:rFonts w:ascii="Book Antiqua" w:hAnsi="Book Antiqua" w:cs="Times New Roman"/>
          <w:sz w:val="24"/>
          <w:szCs w:val="24"/>
          <w:vertAlign w:val="superscript"/>
          <w:lang w:val="en-US"/>
        </w:rPr>
        <w:t>[145]</w:t>
      </w:r>
      <w:r w:rsidRPr="001326F0">
        <w:rPr>
          <w:rFonts w:ascii="Book Antiqua" w:hAnsi="Book Antiqua" w:cs="Times New Roman"/>
          <w:sz w:val="24"/>
          <w:szCs w:val="24"/>
          <w:lang w:val="en-US"/>
        </w:rPr>
        <w:t>.</w:t>
      </w:r>
    </w:p>
    <w:p w:rsidR="007B70B9" w:rsidRPr="001326F0" w:rsidRDefault="007B70B9" w:rsidP="00E427DE">
      <w:pPr>
        <w:shd w:val="clear" w:color="auto" w:fill="FFFFFF"/>
        <w:adjustRightInd w:val="0"/>
        <w:snapToGrid w:val="0"/>
        <w:spacing w:after="0" w:line="360" w:lineRule="auto"/>
        <w:ind w:firstLineChars="100" w:firstLine="240"/>
        <w:jc w:val="both"/>
        <w:rPr>
          <w:rFonts w:ascii="Book Antiqua" w:eastAsia="Times New Roman" w:hAnsi="Book Antiqua" w:cs="Times New Roman"/>
          <w:spacing w:val="11"/>
          <w:sz w:val="24"/>
          <w:szCs w:val="24"/>
          <w:lang w:val="en-US" w:eastAsia="it-IT"/>
        </w:rPr>
      </w:pPr>
      <w:r w:rsidRPr="001326F0">
        <w:rPr>
          <w:rFonts w:ascii="Book Antiqua" w:hAnsi="Book Antiqua" w:cs="Times New Roman"/>
          <w:sz w:val="24"/>
          <w:szCs w:val="24"/>
          <w:lang w:val="en-US"/>
        </w:rPr>
        <w:t xml:space="preserve">These cytokines have effects on the brain, liver, and pancreas that drive appetite, carbohydrate and fat metabolism, and energy balance. Thus, an increase in fat mass causes higher cytokines levels, which can affect protein metabolism both directly, </w:t>
      </w:r>
      <w:r w:rsidRPr="001326F0">
        <w:rPr>
          <w:rFonts w:ascii="Book Antiqua" w:hAnsi="Book Antiqua" w:cs="Times New Roman"/>
          <w:i/>
          <w:sz w:val="24"/>
          <w:szCs w:val="24"/>
          <w:lang w:val="en-US"/>
        </w:rPr>
        <w:t>via</w:t>
      </w:r>
      <w:r w:rsidRPr="001326F0">
        <w:rPr>
          <w:rFonts w:ascii="Book Antiqua" w:hAnsi="Book Antiqua" w:cs="Times New Roman"/>
          <w:sz w:val="24"/>
          <w:szCs w:val="24"/>
          <w:lang w:val="en-US"/>
        </w:rPr>
        <w:t xml:space="preserve"> its effect on muscle amino acid balance, and indirectly, </w:t>
      </w:r>
      <w:r w:rsidRPr="001326F0">
        <w:rPr>
          <w:rFonts w:ascii="Book Antiqua" w:hAnsi="Book Antiqua" w:cs="Times New Roman"/>
          <w:i/>
          <w:sz w:val="24"/>
          <w:szCs w:val="24"/>
          <w:lang w:val="en-US"/>
        </w:rPr>
        <w:t>via</w:t>
      </w:r>
      <w:r w:rsidRPr="001326F0">
        <w:rPr>
          <w:rFonts w:ascii="Book Antiqua" w:hAnsi="Book Antiqua" w:cs="Times New Roman"/>
          <w:sz w:val="24"/>
          <w:szCs w:val="24"/>
          <w:lang w:val="en-US"/>
        </w:rPr>
        <w:t xml:space="preserve"> insulin sensitivity</w:t>
      </w:r>
      <w:r w:rsidRPr="001326F0">
        <w:rPr>
          <w:rFonts w:ascii="Book Antiqua" w:eastAsia="Times New Roman" w:hAnsi="Book Antiqua" w:cs="Times New Roman"/>
          <w:spacing w:val="11"/>
          <w:sz w:val="24"/>
          <w:szCs w:val="24"/>
          <w:lang w:val="en-US" w:eastAsia="it-IT"/>
        </w:rPr>
        <w:t>.</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Schrager </w:t>
      </w:r>
      <w:r w:rsidR="005821C0" w:rsidRPr="001326F0">
        <w:rPr>
          <w:rFonts w:ascii="Book Antiqua" w:hAnsi="Book Antiqua" w:cs="Times New Roman"/>
          <w:i/>
          <w:sz w:val="24"/>
          <w:szCs w:val="24"/>
          <w:lang w:val="en-US"/>
        </w:rPr>
        <w:t>et al</w:t>
      </w:r>
      <w:r w:rsidR="00E427DE" w:rsidRPr="001326F0">
        <w:rPr>
          <w:rFonts w:ascii="Book Antiqua" w:hAnsi="Book Antiqua" w:cs="Times New Roman"/>
          <w:sz w:val="24"/>
          <w:szCs w:val="24"/>
          <w:vertAlign w:val="superscript"/>
          <w:lang w:val="en-US"/>
        </w:rPr>
        <w:t>[227]</w:t>
      </w:r>
      <w:r w:rsidRPr="001326F0">
        <w:rPr>
          <w:rFonts w:ascii="Book Antiqua" w:hAnsi="Book Antiqua" w:cs="Times New Roman"/>
          <w:sz w:val="24"/>
          <w:szCs w:val="24"/>
          <w:lang w:val="en-US"/>
        </w:rPr>
        <w:t xml:space="preserve">, showed that components of sarcopenic obesity were associated with elevated levels of IL-6, C-reactive protein, IL-1 receptor antagonist, and soluble IL-6 receptor. They suggest that global obesity and, to a greater extent, central obesity directly affect inflammation, which in turn negatively affects muscle strength, contributing to the development and progression of sarcopenic obesity. These results suggest that proinflammatory cytokines may be critical in both the development and progression of </w:t>
      </w:r>
      <w:r w:rsidRPr="001326F0">
        <w:rPr>
          <w:rFonts w:ascii="Book Antiqua" w:hAnsi="Book Antiqua" w:cs="Times New Roman"/>
          <w:sz w:val="24"/>
          <w:szCs w:val="24"/>
          <w:lang w:val="en-US"/>
        </w:rPr>
        <w:lastRenderedPageBreak/>
        <w:t>sarcopenic obesity.</w:t>
      </w:r>
    </w:p>
    <w:p w:rsidR="007B70B9" w:rsidRPr="001326F0" w:rsidRDefault="007B70B9" w:rsidP="00E427D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key problem for this disease is the diagnosis.</w:t>
      </w:r>
      <w:r w:rsidRPr="001326F0">
        <w:rPr>
          <w:rFonts w:ascii="Book Antiqua" w:hAnsi="Book Antiqua"/>
          <w:sz w:val="24"/>
          <w:szCs w:val="24"/>
          <w:lang w:val="en-US"/>
        </w:rPr>
        <w:t xml:space="preserve"> </w:t>
      </w:r>
      <w:r w:rsidRPr="001326F0">
        <w:rPr>
          <w:rFonts w:ascii="Book Antiqua" w:hAnsi="Book Antiqua" w:cs="Times New Roman"/>
          <w:sz w:val="24"/>
          <w:szCs w:val="24"/>
          <w:lang w:val="en-US"/>
        </w:rPr>
        <w:t>For this reason, in order to avoid the risk of sarcopenic obesity, the diagnosis of obesity requires the utilization of various methods, including body composition evaluation, metabolic, functional and a genetic approach</w:t>
      </w:r>
      <w:r w:rsidRPr="001326F0">
        <w:rPr>
          <w:rFonts w:ascii="Book Antiqua" w:hAnsi="Book Antiqua" w:cs="Times New Roman"/>
          <w:sz w:val="24"/>
          <w:szCs w:val="24"/>
          <w:vertAlign w:val="superscript"/>
          <w:lang w:val="en-US"/>
        </w:rPr>
        <w:t>[17,228,229]</w:t>
      </w:r>
      <w:r w:rsidRPr="001326F0">
        <w:rPr>
          <w:rFonts w:ascii="Book Antiqua" w:hAnsi="Book Antiqua" w:cs="Times New Roman"/>
          <w:sz w:val="24"/>
          <w:szCs w:val="24"/>
          <w:lang w:val="en-US"/>
        </w:rPr>
        <w:t xml:space="preserve">. </w:t>
      </w:r>
    </w:p>
    <w:p w:rsidR="007B70B9" w:rsidRPr="001326F0" w:rsidRDefault="007B70B9" w:rsidP="00E427D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The assessment of the physical status in association with genotype represents a very important information to evaluate both the health status and quality of life. Moreover, while a number of risk factors and diagnostic methodologies are available, it would be very useful to be able to develop additional predictive tools and risk indexes for this pathology.</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Among various methods using to assess body composition, DXA-derived </w:t>
      </w:r>
      <w:r w:rsidRPr="001326F0">
        <w:rPr>
          <w:rFonts w:ascii="Book Antiqua" w:hAnsi="Book Antiqua" w:cs="Times New Roman"/>
          <w:sz w:val="24"/>
          <w:szCs w:val="24"/>
          <w:lang w:val="en-US" w:eastAsia="it-IT"/>
        </w:rPr>
        <w:t>total body fat mass</w:t>
      </w:r>
      <w:r w:rsidRPr="001326F0">
        <w:rPr>
          <w:rFonts w:ascii="Book Antiqua" w:hAnsi="Book Antiqua" w:cs="Times New Roman"/>
          <w:bCs/>
          <w:sz w:val="24"/>
          <w:szCs w:val="24"/>
          <w:lang w:val="en-US"/>
        </w:rPr>
        <w:t xml:space="preserve">, </w:t>
      </w:r>
      <w:r w:rsidRPr="001326F0">
        <w:rPr>
          <w:rFonts w:ascii="Book Antiqua" w:hAnsi="Book Antiqua" w:cs="Times New Roman"/>
          <w:sz w:val="24"/>
          <w:szCs w:val="24"/>
          <w:lang w:val="en-US"/>
        </w:rPr>
        <w:t xml:space="preserve">total body lean mass </w:t>
      </w:r>
      <w:r w:rsidRPr="001326F0">
        <w:rPr>
          <w:rFonts w:ascii="Book Antiqua" w:hAnsi="Book Antiqua" w:cs="Times New Roman"/>
          <w:bCs/>
          <w:sz w:val="24"/>
          <w:szCs w:val="24"/>
          <w:lang w:val="en-US"/>
        </w:rPr>
        <w:t xml:space="preserve">and appendicular skeletal muscle mass index (ASMMI) </w:t>
      </w:r>
      <w:r w:rsidRPr="001326F0">
        <w:rPr>
          <w:rFonts w:ascii="Book Antiqua" w:hAnsi="Book Antiqua" w:cs="Times New Roman"/>
          <w:sz w:val="24"/>
          <w:szCs w:val="24"/>
          <w:lang w:val="en-US"/>
        </w:rPr>
        <w:t xml:space="preserve">measures can reflect both the </w:t>
      </w:r>
      <w:r w:rsidRPr="001326F0">
        <w:rPr>
          <w:rFonts w:ascii="Book Antiqua" w:hAnsi="Book Antiqua" w:cs="Times New Roman"/>
          <w:bCs/>
          <w:sz w:val="24"/>
          <w:szCs w:val="24"/>
          <w:lang w:val="en-US"/>
        </w:rPr>
        <w:t>PBF,</w:t>
      </w:r>
      <w:r w:rsidRPr="001326F0">
        <w:rPr>
          <w:rFonts w:ascii="Book Antiqua" w:hAnsi="Book Antiqua" w:cs="Times New Roman"/>
          <w:sz w:val="24"/>
          <w:szCs w:val="24"/>
          <w:lang w:val="en-US"/>
        </w:rPr>
        <w:t xml:space="preserve"> than muscle mass and muscle strength, providing a reliable measure for assessment of sarcopenia and </w:t>
      </w:r>
      <w:r w:rsidRPr="001326F0">
        <w:rPr>
          <w:rFonts w:ascii="Book Antiqua" w:hAnsi="Book Antiqua" w:cs="Times New Roman"/>
          <w:sz w:val="24"/>
          <w:szCs w:val="24"/>
          <w:lang w:val="en-US" w:eastAsia="it-IT"/>
        </w:rPr>
        <w:t>obesity</w:t>
      </w:r>
      <w:r w:rsidRPr="001326F0">
        <w:rPr>
          <w:rFonts w:ascii="Book Antiqua" w:hAnsi="Book Antiqua" w:cs="Times New Roman"/>
          <w:sz w:val="24"/>
          <w:szCs w:val="24"/>
          <w:vertAlign w:val="superscript"/>
          <w:lang w:val="en-US"/>
        </w:rPr>
        <w:t>[15,19,230]</w:t>
      </w:r>
      <w:r w:rsidRPr="001326F0">
        <w:rPr>
          <w:rFonts w:ascii="Book Antiqua" w:hAnsi="Book Antiqua" w:cs="Times New Roman"/>
          <w:sz w:val="24"/>
          <w:szCs w:val="24"/>
          <w:lang w:val="en-US"/>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 significant deviations from normal healthy body composition trajectories configure the development of abnormal phenotypes such as high adiposity</w:t>
      </w:r>
      <w:r w:rsidRPr="001326F0">
        <w:rPr>
          <w:rFonts w:ascii="Book Antiqua" w:hAnsi="Book Antiqua" w:cs="Times New Roman"/>
          <w:sz w:val="24"/>
          <w:szCs w:val="24"/>
          <w:vertAlign w:val="superscript"/>
          <w:lang w:val="en-US"/>
        </w:rPr>
        <w:t>[41]</w:t>
      </w:r>
      <w:r w:rsidRPr="001326F0">
        <w:rPr>
          <w:rFonts w:ascii="Book Antiqua" w:hAnsi="Book Antiqua" w:cs="Times New Roman"/>
          <w:sz w:val="24"/>
          <w:szCs w:val="24"/>
          <w:lang w:val="en-US"/>
        </w:rPr>
        <w:t>, low muscle mass, or a combination of the two</w:t>
      </w:r>
      <w:r w:rsidRPr="001326F0">
        <w:rPr>
          <w:rFonts w:ascii="Book Antiqua" w:hAnsi="Book Antiqua" w:cs="Times New Roman"/>
          <w:sz w:val="24"/>
          <w:szCs w:val="24"/>
          <w:vertAlign w:val="superscript"/>
          <w:lang w:val="en-US"/>
        </w:rPr>
        <w:t>[231]</w:t>
      </w:r>
      <w:r w:rsidRPr="001326F0">
        <w:rPr>
          <w:rFonts w:ascii="Book Antiqua" w:hAnsi="Book Antiqua" w:cs="Times New Roman"/>
          <w:sz w:val="24"/>
          <w:szCs w:val="24"/>
          <w:lang w:val="en-US"/>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For this reason, as highlighted by Prado </w:t>
      </w:r>
      <w:r w:rsidR="005821C0" w:rsidRPr="001326F0">
        <w:rPr>
          <w:rFonts w:ascii="Book Antiqua" w:hAnsi="Book Antiqua" w:cs="Times New Roman"/>
          <w:i/>
          <w:sz w:val="24"/>
          <w:szCs w:val="24"/>
          <w:lang w:val="en-US"/>
        </w:rPr>
        <w:t>et al</w:t>
      </w:r>
      <w:r w:rsidR="00E427DE" w:rsidRPr="001326F0">
        <w:rPr>
          <w:rFonts w:ascii="Book Antiqua" w:hAnsi="Book Antiqua" w:cs="Times New Roman"/>
          <w:sz w:val="24"/>
          <w:szCs w:val="24"/>
          <w:vertAlign w:val="superscript"/>
          <w:lang w:val="en-US"/>
        </w:rPr>
        <w:t>[232]</w:t>
      </w:r>
      <w:r w:rsidRPr="001326F0">
        <w:rPr>
          <w:rFonts w:ascii="Book Antiqua" w:hAnsi="Book Antiqua" w:cs="Times New Roman"/>
          <w:sz w:val="24"/>
          <w:szCs w:val="24"/>
          <w:lang w:val="en-US"/>
        </w:rPr>
        <w:t>, there is a need to detect the high adiposity with low muscle mass phenotypes at younger ages in order to carry out timely personalized treatment interventions, in which weigh loss strategies are aimed to increase or preserve muscle mass and reduce fat mass.</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For this reason measurement of body composition are fundamental for individual risk stratification.</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p>
    <w:p w:rsidR="007B70B9" w:rsidRPr="001326F0" w:rsidRDefault="007B70B9" w:rsidP="00746C86">
      <w:pPr>
        <w:adjustRightInd w:val="0"/>
        <w:snapToGrid w:val="0"/>
        <w:spacing w:after="0" w:line="360" w:lineRule="auto"/>
        <w:jc w:val="both"/>
        <w:rPr>
          <w:rFonts w:ascii="Book Antiqua" w:hAnsi="Book Antiqua" w:cs="Times New Roman"/>
          <w:b/>
          <w:bCs/>
          <w:caps/>
          <w:sz w:val="24"/>
          <w:szCs w:val="24"/>
          <w:lang w:val="en-US"/>
        </w:rPr>
      </w:pPr>
      <w:r w:rsidRPr="001326F0">
        <w:rPr>
          <w:rFonts w:ascii="Book Antiqua" w:hAnsi="Book Antiqua" w:cs="Times New Roman"/>
          <w:b/>
          <w:bCs/>
          <w:caps/>
          <w:sz w:val="24"/>
          <w:szCs w:val="24"/>
          <w:lang w:val="en-US"/>
        </w:rPr>
        <w:t>Body composition evaluation for bariatric surgery</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The success rates of suggested obesity prevention and treatment strategies including lifestyle modification, behavioral therapy, and pharmacotherapy are dissatisfactory and lack efficacy in the management of morbid obesity</w:t>
      </w:r>
      <w:r w:rsidRPr="001326F0">
        <w:rPr>
          <w:rFonts w:ascii="Book Antiqua" w:hAnsi="Book Antiqua" w:cs="Times New Roman"/>
          <w:sz w:val="24"/>
          <w:szCs w:val="24"/>
          <w:vertAlign w:val="superscript"/>
          <w:lang w:val="en-US"/>
        </w:rPr>
        <w:t>[233]</w:t>
      </w:r>
      <w:r w:rsidRPr="001326F0">
        <w:rPr>
          <w:rFonts w:ascii="Book Antiqua" w:hAnsi="Book Antiqua" w:cs="Times New Roman"/>
          <w:sz w:val="24"/>
          <w:szCs w:val="24"/>
          <w:lang w:val="en-US"/>
        </w:rPr>
        <w:t xml:space="preserve">. </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Surgery for the treatment of severe obesity is gaining increasing favor, an surgical interventions are currently the most effective evidence-based </w:t>
      </w:r>
      <w:r w:rsidRPr="001326F0">
        <w:rPr>
          <w:rFonts w:ascii="Book Antiqua" w:hAnsi="Book Antiqua" w:cs="Times New Roman"/>
          <w:sz w:val="24"/>
          <w:szCs w:val="24"/>
          <w:lang w:val="en-US"/>
        </w:rPr>
        <w:lastRenderedPageBreak/>
        <w:t>approach towards clinically significant and sustainable weight loss along with reduction in mortality and obesity-related comorbidities</w:t>
      </w:r>
      <w:r w:rsidRPr="001326F0">
        <w:rPr>
          <w:rFonts w:ascii="Book Antiqua" w:hAnsi="Book Antiqua" w:cs="Times New Roman"/>
          <w:sz w:val="24"/>
          <w:szCs w:val="24"/>
          <w:vertAlign w:val="superscript"/>
          <w:lang w:val="en-US"/>
        </w:rPr>
        <w:t>[234,235]</w:t>
      </w:r>
      <w:r w:rsidRPr="001326F0">
        <w:rPr>
          <w:rFonts w:ascii="Book Antiqua" w:hAnsi="Book Antiqua" w:cs="Times New Roman"/>
          <w:sz w:val="24"/>
          <w:szCs w:val="24"/>
          <w:lang w:val="en-US"/>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According to the different classification of obesity subtypes, it is important to choose as the selection criteria of the subjects that may be underwent to bariatric surgery both the PBF, the distribution of adipose tissue and the metabolic variables.</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Bariatric surgery, included Roux-en-Y gastric bypass (RYGB), laparoscopic adjustable gastric band (LB), duodenal switch (DS), and sleeve gastrectomy (SG</w:t>
      </w:r>
      <w:r w:rsidRPr="001326F0">
        <w:rPr>
          <w:rFonts w:ascii="Book Antiqua" w:hAnsi="Book Antiqua" w:cs="Times New Roman"/>
          <w:sz w:val="24"/>
          <w:szCs w:val="24"/>
          <w:vertAlign w:val="superscript"/>
          <w:lang w:val="en-US"/>
        </w:rPr>
        <w:t>)</w:t>
      </w:r>
      <w:r w:rsidRPr="001326F0">
        <w:rPr>
          <w:rFonts w:ascii="Book Antiqua" w:hAnsi="Book Antiqua" w:cs="Times New Roman"/>
          <w:sz w:val="24"/>
          <w:szCs w:val="24"/>
          <w:vertAlign w:val="superscript"/>
          <w:lang w:val="en-GB"/>
        </w:rPr>
        <w:t>[236</w:t>
      </w:r>
      <w:r w:rsidR="00FB336C" w:rsidRPr="001326F0">
        <w:rPr>
          <w:rFonts w:ascii="Book Antiqua" w:hAnsi="Book Antiqua" w:cs="Times New Roman" w:hint="eastAsia"/>
          <w:sz w:val="24"/>
          <w:szCs w:val="24"/>
          <w:vertAlign w:val="superscript"/>
          <w:lang w:val="en-GB" w:eastAsia="zh-CN"/>
        </w:rPr>
        <w:t>-</w:t>
      </w:r>
      <w:r w:rsidRPr="001326F0">
        <w:rPr>
          <w:rFonts w:ascii="Book Antiqua" w:hAnsi="Book Antiqua" w:cs="Times New Roman"/>
          <w:sz w:val="24"/>
          <w:szCs w:val="24"/>
          <w:vertAlign w:val="superscript"/>
          <w:lang w:val="en-GB"/>
        </w:rPr>
        <w:t>238]</w:t>
      </w:r>
      <w:r w:rsidRPr="001326F0">
        <w:rPr>
          <w:rFonts w:ascii="Book Antiqua" w:hAnsi="Book Antiqua" w:cs="Times New Roman"/>
          <w:sz w:val="24"/>
          <w:szCs w:val="24"/>
          <w:lang w:val="en-GB"/>
        </w:rPr>
        <w:t xml:space="preserve">, </w:t>
      </w:r>
      <w:r w:rsidRPr="001326F0">
        <w:rPr>
          <w:rFonts w:ascii="Book Antiqua" w:hAnsi="Book Antiqua" w:cs="Times New Roman"/>
          <w:sz w:val="24"/>
          <w:szCs w:val="24"/>
          <w:lang w:val="en-US"/>
        </w:rPr>
        <w:t>has proven to be a treatment of choice for morbid obesity</w:t>
      </w:r>
      <w:r w:rsidRPr="001326F0">
        <w:rPr>
          <w:rFonts w:ascii="Book Antiqua" w:hAnsi="Book Antiqua" w:cs="Times New Roman"/>
          <w:sz w:val="24"/>
          <w:szCs w:val="24"/>
          <w:vertAlign w:val="superscript"/>
          <w:lang w:val="en-US"/>
        </w:rPr>
        <w:t>[234,239]</w:t>
      </w:r>
      <w:r w:rsidRPr="001326F0">
        <w:rPr>
          <w:rFonts w:ascii="Book Antiqua" w:hAnsi="Book Antiqua" w:cs="Times New Roman"/>
          <w:sz w:val="24"/>
          <w:szCs w:val="24"/>
          <w:lang w:val="en-US"/>
        </w:rPr>
        <w:t>, and it is recommended for patients with BMI above 40 kg/m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xml:space="preserve"> or higher than 35 kg/m</w:t>
      </w:r>
      <w:r w:rsidRPr="001326F0">
        <w:rPr>
          <w:rFonts w:ascii="Book Antiqua" w:hAnsi="Book Antiqua" w:cs="Times New Roman"/>
          <w:sz w:val="24"/>
          <w:szCs w:val="24"/>
          <w:vertAlign w:val="superscript"/>
          <w:lang w:val="en-US"/>
        </w:rPr>
        <w:t>2</w:t>
      </w:r>
      <w:r w:rsidRPr="001326F0">
        <w:rPr>
          <w:rFonts w:ascii="Book Antiqua" w:hAnsi="Book Antiqua" w:cs="Times New Roman"/>
          <w:sz w:val="24"/>
          <w:szCs w:val="24"/>
          <w:lang w:val="en-US"/>
        </w:rPr>
        <w:t xml:space="preserve"> when associated with comorbidities which include the different components of metabolic syndrome and type 2 diabetes</w:t>
      </w:r>
      <w:r w:rsidRPr="001326F0">
        <w:rPr>
          <w:rFonts w:ascii="Book Antiqua" w:hAnsi="Book Antiqua" w:cs="Times New Roman"/>
          <w:sz w:val="24"/>
          <w:szCs w:val="24"/>
          <w:vertAlign w:val="superscript"/>
          <w:lang w:val="en-US"/>
        </w:rPr>
        <w:t>[240]</w:t>
      </w:r>
      <w:r w:rsidRPr="001326F0">
        <w:rPr>
          <w:rFonts w:ascii="Book Antiqua" w:hAnsi="Book Antiqua" w:cs="Times New Roman"/>
          <w:sz w:val="24"/>
          <w:szCs w:val="24"/>
          <w:lang w:val="en-US"/>
        </w:rPr>
        <w:t>.</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As previously described, the expansion of adipose tissue lead to inflammation, hypoxia, insulin resistance, limitations on energy storage, net increase in circulating free fatty acids, lipotoxicity, adverse endocrine and immune responses. </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For example, in order to reduce serious sleep apnea, immobility, CVD and other medical disorders, obese patients with pathological obesity may undergo surgical treatments interventions, to reduce the adipose tissue </w:t>
      </w:r>
      <w:r w:rsidRPr="001326F0">
        <w:rPr>
          <w:rFonts w:ascii="Book Antiqua" w:hAnsi="Book Antiqua" w:cs="Times New Roman"/>
          <w:sz w:val="24"/>
          <w:szCs w:val="24"/>
          <w:vertAlign w:val="superscript"/>
          <w:lang w:val="en-US"/>
        </w:rPr>
        <w:t>[241]</w:t>
      </w:r>
      <w:r w:rsidRPr="001326F0">
        <w:rPr>
          <w:rFonts w:ascii="Book Antiqua" w:hAnsi="Book Antiqua" w:cs="Times New Roman"/>
          <w:sz w:val="24"/>
          <w:szCs w:val="24"/>
          <w:lang w:val="en-US"/>
        </w:rPr>
        <w:t>.</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Thus, a reduction in fat cell size and reduction in adipose tissue growth beyond its vascular supply are favorable effects that at least partially explain the observed reduction in inflammatory markers with a reduction in adiposity, occurs with bariatric surgery.</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Reversion of the low-grade inflammation and of risk factors seem to occur when a reduction in BMI is achieved</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and loss of adipose tissue is observed in obese individuals, after LAGB</w:t>
      </w:r>
      <w:r w:rsidRPr="001326F0">
        <w:rPr>
          <w:rFonts w:ascii="Book Antiqua" w:hAnsi="Book Antiqua" w:cs="Times New Roman"/>
          <w:sz w:val="24"/>
          <w:szCs w:val="24"/>
          <w:vertAlign w:val="superscript"/>
          <w:lang w:val="en-US"/>
        </w:rPr>
        <w:t>[241,242]</w:t>
      </w:r>
      <w:r w:rsidRPr="001326F0">
        <w:rPr>
          <w:rFonts w:ascii="Book Antiqua" w:hAnsi="Book Antiqua" w:cs="Times New Roman"/>
          <w:sz w:val="24"/>
          <w:szCs w:val="24"/>
          <w:lang w:val="en-US"/>
        </w:rPr>
        <w:t>.</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As previously described the different adipose tissue depots may contribute differently to obesity related comorbidities,</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most studies have focused on visceral adipose tissue (VAT) and subcutaneous adipose tissue (SAT) findings from a single abdominal slice, as an appropriate surrogate measure of total VAT and total SAT.</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 xml:space="preserve">However, Weiss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[243]</w:t>
      </w:r>
      <w:r w:rsidRPr="001326F0">
        <w:rPr>
          <w:rFonts w:ascii="Book Antiqua" w:hAnsi="Book Antiqua" w:cs="Times New Roman"/>
          <w:sz w:val="24"/>
          <w:szCs w:val="24"/>
          <w:lang w:val="en-US"/>
        </w:rPr>
        <w:t xml:space="preserve"> reported that the ratio between VAT and SAT remains fairly constant 6 months following bariatric.</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In fact, they observed a weight reduction of 47% in male and 42.6% in female subjects, with a reduction of VAT and total SAT of 35% and 32%, respectively, in both sexes.</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Weight loss after bariatric surgery is usually associated with an improvement in insulin resistance</w:t>
      </w:r>
      <w:r w:rsidRPr="001326F0">
        <w:rPr>
          <w:rFonts w:ascii="Book Antiqua" w:hAnsi="Book Antiqua" w:cs="Times New Roman"/>
          <w:sz w:val="24"/>
          <w:szCs w:val="24"/>
          <w:vertAlign w:val="superscript"/>
          <w:lang w:val="en-US"/>
        </w:rPr>
        <w:t>[244]</w:t>
      </w:r>
      <w:r w:rsidRPr="001326F0">
        <w:rPr>
          <w:rFonts w:ascii="Book Antiqua" w:hAnsi="Book Antiqua" w:cs="Times New Roman"/>
          <w:sz w:val="24"/>
          <w:szCs w:val="24"/>
          <w:lang w:val="en-US"/>
        </w:rPr>
        <w:t xml:space="preserve">. </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Most studies have demonstrated a strong association between VAT and insulin resistance</w:t>
      </w:r>
      <w:r w:rsidRPr="001326F0">
        <w:rPr>
          <w:rFonts w:ascii="Book Antiqua" w:hAnsi="Book Antiqua" w:cs="Times New Roman"/>
          <w:sz w:val="24"/>
          <w:szCs w:val="24"/>
          <w:vertAlign w:val="superscript"/>
          <w:lang w:val="en-US"/>
        </w:rPr>
        <w:t>[245]</w:t>
      </w:r>
      <w:r w:rsidRPr="001326F0">
        <w:rPr>
          <w:rFonts w:ascii="Book Antiqua" w:hAnsi="Book Antiqua" w:cs="Times New Roman"/>
          <w:sz w:val="24"/>
          <w:szCs w:val="24"/>
          <w:lang w:val="en-US"/>
        </w:rPr>
        <w:t>. In one study, reduction in VAT was associated with improvement in oral glucose tolerance even after adjusting for overall weight loss</w:t>
      </w:r>
      <w:r w:rsidRPr="001326F0">
        <w:rPr>
          <w:rFonts w:ascii="Book Antiqua" w:hAnsi="Book Antiqua" w:cs="Times New Roman"/>
          <w:sz w:val="24"/>
          <w:szCs w:val="24"/>
          <w:vertAlign w:val="superscript"/>
          <w:lang w:val="en-US"/>
        </w:rPr>
        <w:t>[246]</w:t>
      </w:r>
      <w:r w:rsidRPr="001326F0">
        <w:rPr>
          <w:rFonts w:ascii="Book Antiqua" w:hAnsi="Book Antiqua" w:cs="Times New Roman"/>
          <w:sz w:val="24"/>
          <w:szCs w:val="24"/>
          <w:lang w:val="en-US"/>
        </w:rPr>
        <w:t>, even if it is unclear whether greater VAT is a marker of insulin resistance or plays a causal role</w:t>
      </w:r>
      <w:r w:rsidRPr="001326F0">
        <w:rPr>
          <w:rFonts w:ascii="Book Antiqua" w:hAnsi="Book Antiqua" w:cs="Times New Roman"/>
          <w:sz w:val="24"/>
          <w:szCs w:val="24"/>
          <w:vertAlign w:val="superscript"/>
          <w:lang w:val="en-US"/>
        </w:rPr>
        <w:t>[247]</w:t>
      </w:r>
      <w:r w:rsidRPr="001326F0">
        <w:rPr>
          <w:rFonts w:ascii="Book Antiqua" w:hAnsi="Book Antiqua" w:cs="Times New Roman"/>
          <w:sz w:val="24"/>
          <w:szCs w:val="24"/>
          <w:lang w:val="en-US"/>
        </w:rPr>
        <w:t>.</w:t>
      </w:r>
      <w:r w:rsidR="004E769D" w:rsidRPr="001326F0">
        <w:rPr>
          <w:rFonts w:ascii="Book Antiqua" w:hAnsi="Book Antiqua" w:cs="Times New Roman"/>
          <w:sz w:val="24"/>
          <w:szCs w:val="24"/>
          <w:lang w:val="en-US"/>
        </w:rPr>
        <w:t xml:space="preserve"> </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Moreover, insulin sensitivity correlated with generalized and regional adiposity, however, the magnitude of improvement in insulin sensitivity was predicted by the percent decrease in VAT, but not by other changes in body composition</w:t>
      </w:r>
      <w:r w:rsidRPr="001326F0">
        <w:rPr>
          <w:rFonts w:ascii="Book Antiqua" w:hAnsi="Book Antiqua" w:cs="Times New Roman"/>
          <w:sz w:val="24"/>
          <w:szCs w:val="24"/>
          <w:vertAlign w:val="superscript"/>
          <w:lang w:val="en-US"/>
        </w:rPr>
        <w:t>[248]</w:t>
      </w:r>
      <w:r w:rsidRPr="001326F0">
        <w:rPr>
          <w:rFonts w:ascii="Book Antiqua" w:hAnsi="Book Antiqua" w:cs="Times New Roman"/>
          <w:sz w:val="24"/>
          <w:szCs w:val="24"/>
          <w:lang w:val="en-US"/>
        </w:rPr>
        <w:t xml:space="preserve">. </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Data from Carroll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[249]</w:t>
      </w:r>
      <w:r w:rsidRPr="001326F0">
        <w:rPr>
          <w:rFonts w:ascii="Book Antiqua" w:hAnsi="Book Antiqua" w:cs="Times New Roman"/>
          <w:sz w:val="24"/>
          <w:szCs w:val="24"/>
          <w:lang w:val="en-US"/>
        </w:rPr>
        <w:t xml:space="preserve"> indicated that 6 months after LGBS there were significant improvements in many cardiovascular and metabolic risk markers, with a major decreasing</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in insulin resistance associated to VAT reduction. The calculated total VAT volume (by CT) from eight abdominal slices decreased by 22% at 6 months post-LB surgery, and the reduction in VAT was significantly correlated with reductions in insulin, HOMA, and glucose.</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Korner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[250]</w:t>
      </w:r>
      <w:r w:rsidRPr="001326F0">
        <w:rPr>
          <w:rFonts w:ascii="Book Antiqua" w:hAnsi="Book Antiqua" w:cs="Times New Roman"/>
          <w:sz w:val="24"/>
          <w:szCs w:val="24"/>
          <w:lang w:val="en-US"/>
        </w:rPr>
        <w:t>, using whole-body MRI in postsurgery weight-stable female patients (at 19-25 months post-LB and RYGB surgery), found that</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in women post-surgery, VAT was 44% less than in control subjects, and the difference remained significant after adjustment for</w:t>
      </w:r>
      <w:r w:rsidR="00D74C7F" w:rsidRPr="001326F0">
        <w:rPr>
          <w:rFonts w:ascii="Book Antiqua" w:hAnsi="Book Antiqua" w:cs="Times New Roman"/>
          <w:sz w:val="24"/>
          <w:szCs w:val="24"/>
          <w:lang w:val="en-US"/>
        </w:rPr>
        <w:t xml:space="preserve"> </w:t>
      </w:r>
      <w:r w:rsidRPr="001326F0">
        <w:rPr>
          <w:rFonts w:ascii="Book Antiqua" w:hAnsi="Book Antiqua" w:cs="Times New Roman"/>
          <w:sz w:val="24"/>
          <w:szCs w:val="24"/>
          <w:lang w:val="en-US"/>
        </w:rPr>
        <w:t xml:space="preserve">total adipose tissue (TAT) and menopausal status. After adjustment for TAT, subcutaneous adipose tissue in women post-surgery was significantly greater than matched controls, and there was a significant negative correlation of VAT and the degree of weight loss in women but this relationship was not significant in men. </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In fact, VAT was nearly identical in men post-surgery compared with matched controls even though the degree of weight reduction was not </w:t>
      </w:r>
      <w:r w:rsidRPr="001326F0">
        <w:rPr>
          <w:rFonts w:ascii="Book Antiqua" w:hAnsi="Book Antiqua" w:cs="Times New Roman"/>
          <w:sz w:val="24"/>
          <w:szCs w:val="24"/>
          <w:lang w:val="en-US"/>
        </w:rPr>
        <w:lastRenderedPageBreak/>
        <w:t xml:space="preserve">significantly different from women (27.4 </w:t>
      </w:r>
      <w:r w:rsidRPr="001326F0">
        <w:rPr>
          <w:rFonts w:ascii="Book Antiqua" w:hAnsi="Book Antiqua" w:cs="Times New Roman"/>
          <w:i/>
          <w:sz w:val="24"/>
          <w:szCs w:val="24"/>
          <w:lang w:val="en-US"/>
        </w:rPr>
        <w:t>vs</w:t>
      </w:r>
      <w:r w:rsidRPr="001326F0">
        <w:rPr>
          <w:rFonts w:ascii="Book Antiqua" w:hAnsi="Book Antiqua" w:cs="Times New Roman"/>
          <w:sz w:val="24"/>
          <w:szCs w:val="24"/>
          <w:lang w:val="en-US"/>
        </w:rPr>
        <w:t xml:space="preserve"> 32.6%).</w:t>
      </w:r>
    </w:p>
    <w:p w:rsidR="007B70B9" w:rsidRPr="001326F0" w:rsidRDefault="007B70B9" w:rsidP="00E427DE">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 xml:space="preserve">Interestingly </w:t>
      </w:r>
      <w:hyperlink r:id="rId9" w:history="1">
        <w:r w:rsidR="00E427DE" w:rsidRPr="001326F0">
          <w:rPr>
            <w:rFonts w:ascii="Book Antiqua" w:hAnsi="Book Antiqua" w:cs="Times New Roman"/>
            <w:sz w:val="24"/>
            <w:szCs w:val="24"/>
            <w:lang w:val="en-US"/>
          </w:rPr>
          <w:t>Toro-Ramos</w:t>
        </w:r>
      </w:hyperlink>
      <w:r w:rsidRPr="001326F0">
        <w:rPr>
          <w:rFonts w:ascii="Book Antiqua" w:hAnsi="Book Antiqua" w:cs="Times New Roman"/>
          <w:sz w:val="24"/>
          <w:szCs w:val="24"/>
          <w:lang w:val="en-US"/>
        </w:rPr>
        <w:t xml:space="preserve"> </w:t>
      </w:r>
      <w:r w:rsidR="005821C0" w:rsidRPr="001326F0">
        <w:rPr>
          <w:rFonts w:ascii="Book Antiqua" w:hAnsi="Book Antiqua" w:cs="Times New Roman"/>
          <w:i/>
          <w:sz w:val="24"/>
          <w:szCs w:val="24"/>
          <w:lang w:val="en-US"/>
        </w:rPr>
        <w:t>et al</w:t>
      </w:r>
      <w:r w:rsidRPr="001326F0">
        <w:rPr>
          <w:rFonts w:ascii="Book Antiqua" w:hAnsi="Book Antiqua" w:cs="Times New Roman"/>
          <w:sz w:val="24"/>
          <w:szCs w:val="24"/>
          <w:vertAlign w:val="superscript"/>
          <w:lang w:val="en-US"/>
        </w:rPr>
        <w:t>[251]</w:t>
      </w:r>
      <w:r w:rsidRPr="001326F0">
        <w:rPr>
          <w:rFonts w:ascii="Book Antiqua" w:hAnsi="Book Antiqua" w:cs="Times New Roman"/>
          <w:sz w:val="24"/>
          <w:szCs w:val="24"/>
          <w:lang w:val="en-US"/>
        </w:rPr>
        <w:t xml:space="preserve"> showed that bariatric surgery caused substantial and robust loss in total and regional adipose tissue at 12 and 24 </w:t>
      </w:r>
      <w:r w:rsidR="00E427DE" w:rsidRPr="001326F0">
        <w:rPr>
          <w:rFonts w:ascii="Book Antiqua" w:hAnsi="Book Antiqua" w:cs="Times New Roman" w:hint="eastAsia"/>
          <w:sz w:val="24"/>
          <w:szCs w:val="24"/>
          <w:lang w:val="en-US" w:eastAsia="zh-CN"/>
        </w:rPr>
        <w:t>mo</w:t>
      </w:r>
      <w:r w:rsidRPr="001326F0">
        <w:rPr>
          <w:rFonts w:ascii="Book Antiqua" w:hAnsi="Book Antiqua" w:cs="Times New Roman"/>
          <w:sz w:val="24"/>
          <w:szCs w:val="24"/>
          <w:lang w:val="en-US"/>
        </w:rPr>
        <w:t xml:space="preserve"> postbariatric surgery, with continued losses between 12 and 24 </w:t>
      </w:r>
      <w:r w:rsidR="00E427DE" w:rsidRPr="001326F0">
        <w:rPr>
          <w:rFonts w:ascii="Book Antiqua" w:hAnsi="Book Antiqua" w:cs="Times New Roman" w:hint="eastAsia"/>
          <w:sz w:val="24"/>
          <w:szCs w:val="24"/>
          <w:lang w:val="en-US" w:eastAsia="zh-CN"/>
        </w:rPr>
        <w:t>mo</w:t>
      </w:r>
      <w:r w:rsidRPr="001326F0">
        <w:rPr>
          <w:rFonts w:ascii="Book Antiqua" w:hAnsi="Book Antiqua" w:cs="Times New Roman"/>
          <w:sz w:val="24"/>
          <w:szCs w:val="24"/>
          <w:lang w:val="en-US"/>
        </w:rPr>
        <w:t xml:space="preserve"> in women, when body weight change was not significant. These results indicate that bariatric surgery has an important effect on reducing adipose tissue depots even after body weight has begun to stabilize. They found a remarkable 77% reduction in VAT at 12 </w:t>
      </w:r>
      <w:r w:rsidR="00E427DE" w:rsidRPr="001326F0">
        <w:rPr>
          <w:rFonts w:ascii="Book Antiqua" w:hAnsi="Book Antiqua" w:cs="Times New Roman" w:hint="eastAsia"/>
          <w:sz w:val="24"/>
          <w:szCs w:val="24"/>
          <w:lang w:val="en-US" w:eastAsia="zh-CN"/>
        </w:rPr>
        <w:t>mo</w:t>
      </w:r>
      <w:r w:rsidRPr="001326F0">
        <w:rPr>
          <w:rFonts w:ascii="Book Antiqua" w:hAnsi="Book Antiqua" w:cs="Times New Roman"/>
          <w:sz w:val="24"/>
          <w:szCs w:val="24"/>
          <w:lang w:val="en-US"/>
        </w:rPr>
        <w:t xml:space="preserve"> postsurgery in both men and women. </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Weight loss obtained after bariatric surgery is associated with a highly significant reduction in cardiovascular risk factors</w:t>
      </w:r>
      <w:r w:rsidRPr="001326F0">
        <w:rPr>
          <w:rFonts w:ascii="Book Antiqua" w:hAnsi="Book Antiqua" w:cs="Times New Roman"/>
          <w:sz w:val="24"/>
          <w:szCs w:val="24"/>
          <w:vertAlign w:val="superscript"/>
          <w:lang w:val="en-GB"/>
        </w:rPr>
        <w:t>[252,253]</w:t>
      </w:r>
      <w:r w:rsidRPr="001326F0">
        <w:rPr>
          <w:rFonts w:ascii="Book Antiqua" w:hAnsi="Book Antiqua" w:cs="Times New Roman"/>
          <w:sz w:val="24"/>
          <w:szCs w:val="24"/>
          <w:lang w:val="en-GB"/>
        </w:rPr>
        <w:t>. Moreover, systematic review and meta-analysis reported complete resolution of T2DM in high percentage of the cases</w:t>
      </w:r>
      <w:r w:rsidRPr="001326F0">
        <w:rPr>
          <w:rFonts w:ascii="Book Antiqua" w:hAnsi="Book Antiqua" w:cs="Times New Roman"/>
          <w:sz w:val="24"/>
          <w:szCs w:val="24"/>
          <w:vertAlign w:val="superscript"/>
          <w:lang w:val="en-GB"/>
        </w:rPr>
        <w:t>[239]</w:t>
      </w:r>
      <w:r w:rsidRPr="001326F0">
        <w:rPr>
          <w:rFonts w:ascii="Book Antiqua" w:hAnsi="Book Antiqua" w:cs="Times New Roman"/>
          <w:sz w:val="24"/>
          <w:szCs w:val="24"/>
          <w:lang w:val="en-GB"/>
        </w:rPr>
        <w:t>, and the rank order of increasing efficacy of the most common surgical procedures progresses from the purely restrictive to the mostly restrictive to the mostly malabsorptive</w:t>
      </w:r>
      <w:r w:rsidRPr="001326F0">
        <w:rPr>
          <w:rFonts w:ascii="Book Antiqua" w:hAnsi="Book Antiqua" w:cs="Times New Roman"/>
          <w:sz w:val="24"/>
          <w:szCs w:val="24"/>
          <w:lang w:val="en-US"/>
        </w:rPr>
        <w:t>.</w:t>
      </w:r>
      <w:r w:rsidRPr="001326F0">
        <w:rPr>
          <w:rFonts w:ascii="Book Antiqua" w:hAnsi="Book Antiqua" w:cs="Times New Roman"/>
          <w:sz w:val="24"/>
          <w:szCs w:val="24"/>
          <w:lang w:val="en-GB"/>
        </w:rPr>
        <w:t xml:space="preserve"> </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Surgical treatment of massive obesity is being extended to adolescents, seemingly with similar success and risk rates as in adults</w:t>
      </w:r>
      <w:r w:rsidRPr="001326F0">
        <w:rPr>
          <w:rFonts w:ascii="Book Antiqua" w:hAnsi="Book Antiqua" w:cs="Times New Roman"/>
          <w:sz w:val="24"/>
          <w:szCs w:val="24"/>
          <w:vertAlign w:val="superscript"/>
          <w:lang w:val="en-GB"/>
        </w:rPr>
        <w:t>[254]</w:t>
      </w:r>
      <w:r w:rsidRPr="001326F0">
        <w:rPr>
          <w:rFonts w:ascii="Book Antiqua" w:hAnsi="Book Antiqua" w:cs="Times New Roman"/>
          <w:sz w:val="24"/>
          <w:szCs w:val="24"/>
          <w:lang w:val="en-GB"/>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US"/>
        </w:rPr>
        <w:t xml:space="preserve">Pontiroli </w:t>
      </w:r>
      <w:r w:rsidR="005821C0" w:rsidRPr="001326F0">
        <w:rPr>
          <w:rFonts w:ascii="Book Antiqua" w:hAnsi="Book Antiqua" w:cs="Times New Roman"/>
          <w:i/>
          <w:sz w:val="24"/>
          <w:szCs w:val="24"/>
          <w:lang w:val="en-US"/>
        </w:rPr>
        <w:t>et al</w:t>
      </w:r>
      <w:r w:rsidR="00E427DE" w:rsidRPr="001326F0">
        <w:rPr>
          <w:rFonts w:ascii="Book Antiqua" w:hAnsi="Book Antiqua" w:cs="Times New Roman"/>
          <w:sz w:val="24"/>
          <w:szCs w:val="24"/>
          <w:vertAlign w:val="superscript"/>
          <w:lang w:val="en-GB"/>
        </w:rPr>
        <w:t>[237]</w:t>
      </w:r>
      <w:r w:rsidRPr="001326F0">
        <w:rPr>
          <w:rFonts w:ascii="Book Antiqua" w:hAnsi="Book Antiqua" w:cs="Times New Roman"/>
          <w:sz w:val="24"/>
          <w:szCs w:val="24"/>
          <w:lang w:val="en-US"/>
        </w:rPr>
        <w:t xml:space="preserve"> have previous observed that,</w:t>
      </w:r>
      <w:r w:rsidRPr="001326F0">
        <w:rPr>
          <w:rFonts w:ascii="Book Antiqua" w:hAnsi="Book Antiqua"/>
          <w:sz w:val="24"/>
          <w:szCs w:val="24"/>
          <w:lang w:val="en-US"/>
        </w:rPr>
        <w:t xml:space="preserve"> </w:t>
      </w:r>
      <w:r w:rsidRPr="001326F0">
        <w:rPr>
          <w:rFonts w:ascii="Book Antiqua" w:hAnsi="Book Antiqua" w:cs="Times New Roman"/>
          <w:sz w:val="24"/>
          <w:szCs w:val="24"/>
          <w:lang w:val="en-US"/>
        </w:rPr>
        <w:t>although LAGB induces a durable weight loss in morbidly obese patients, a significant proportion of these patients (25%) had a relatively modest weight loss</w:t>
      </w:r>
      <w:r w:rsidRPr="001326F0">
        <w:rPr>
          <w:rFonts w:ascii="Book Antiqua" w:hAnsi="Book Antiqua" w:cs="Times New Roman"/>
          <w:sz w:val="24"/>
          <w:szCs w:val="24"/>
          <w:lang w:val="en-GB"/>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US"/>
        </w:rPr>
      </w:pPr>
      <w:r w:rsidRPr="001326F0">
        <w:rPr>
          <w:rFonts w:ascii="Book Antiqua" w:hAnsi="Book Antiqua" w:cs="Times New Roman"/>
          <w:sz w:val="24"/>
          <w:szCs w:val="24"/>
          <w:lang w:val="en-US"/>
        </w:rPr>
        <w:t>It is not clear demonstrated whether genetic factors that play an important role in body weight homeostasis may account for the differences in the therapeutic effects of bariatric surgery.</w:t>
      </w:r>
      <w:r w:rsidRPr="001326F0">
        <w:rPr>
          <w:rFonts w:ascii="Book Antiqua" w:hAnsi="Book Antiqua" w:cs="Times New Roman"/>
          <w:sz w:val="24"/>
          <w:szCs w:val="24"/>
          <w:lang w:val="en-GB"/>
        </w:rPr>
        <w:t xml:space="preserve"> However, in literature there are some evidences that reported a relationship between -174G&gt;C IL-6 polymorphism with diabetes, insulin resistance, metabolic syndrome, longevity and cardiovascular risk</w:t>
      </w:r>
      <w:r w:rsidRPr="001326F0">
        <w:rPr>
          <w:rFonts w:ascii="Book Antiqua" w:hAnsi="Book Antiqua" w:cs="Times New Roman"/>
          <w:sz w:val="24"/>
          <w:szCs w:val="24"/>
          <w:vertAlign w:val="superscript"/>
          <w:lang w:val="en-GB"/>
        </w:rPr>
        <w:t>[255-257]</w:t>
      </w:r>
      <w:r w:rsidRPr="001326F0">
        <w:rPr>
          <w:rFonts w:ascii="Book Antiqua" w:hAnsi="Book Antiqua" w:cs="Times New Roman"/>
          <w:sz w:val="24"/>
          <w:szCs w:val="24"/>
          <w:lang w:val="en-GB"/>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Di Renzo </w:t>
      </w:r>
      <w:r w:rsidR="005821C0" w:rsidRPr="001326F0">
        <w:rPr>
          <w:rFonts w:ascii="Book Antiqua" w:hAnsi="Book Antiqua" w:cs="Times New Roman"/>
          <w:i/>
          <w:sz w:val="24"/>
          <w:szCs w:val="24"/>
          <w:lang w:val="en-GB"/>
        </w:rPr>
        <w:t>et al</w:t>
      </w:r>
      <w:r w:rsidR="00E427DE" w:rsidRPr="001326F0">
        <w:rPr>
          <w:rFonts w:ascii="Book Antiqua" w:hAnsi="Book Antiqua" w:cs="Times New Roman"/>
          <w:sz w:val="24"/>
          <w:szCs w:val="24"/>
          <w:vertAlign w:val="superscript"/>
          <w:lang w:val="en-GB"/>
        </w:rPr>
        <w:t>[</w:t>
      </w:r>
      <w:r w:rsidR="00E427DE" w:rsidRPr="001326F0">
        <w:rPr>
          <w:rFonts w:ascii="Book Antiqua" w:hAnsi="Book Antiqua" w:cs="Times New Roman"/>
          <w:sz w:val="24"/>
          <w:szCs w:val="24"/>
          <w:vertAlign w:val="superscript"/>
          <w:lang w:val="en-US"/>
        </w:rPr>
        <w:t>258</w:t>
      </w:r>
      <w:r w:rsidR="00E427DE" w:rsidRPr="001326F0">
        <w:rPr>
          <w:rFonts w:ascii="Book Antiqua" w:hAnsi="Book Antiqua" w:cs="Times New Roman"/>
          <w:sz w:val="24"/>
          <w:szCs w:val="24"/>
          <w:vertAlign w:val="superscript"/>
          <w:lang w:val="en-GB"/>
        </w:rPr>
        <w:t>]</w:t>
      </w:r>
      <w:r w:rsidR="00E427DE" w:rsidRPr="001326F0">
        <w:rPr>
          <w:rFonts w:ascii="Book Antiqua" w:hAnsi="Book Antiqua" w:cs="Times New Roman" w:hint="eastAsia"/>
          <w:sz w:val="24"/>
          <w:szCs w:val="24"/>
          <w:vertAlign w:val="superscript"/>
          <w:lang w:val="en-GB" w:eastAsia="zh-CN"/>
        </w:rPr>
        <w:t xml:space="preserve"> </w:t>
      </w:r>
      <w:r w:rsidRPr="001326F0">
        <w:rPr>
          <w:rFonts w:ascii="Book Antiqua" w:hAnsi="Book Antiqua" w:cs="Times New Roman"/>
          <w:sz w:val="24"/>
          <w:szCs w:val="24"/>
          <w:lang w:val="en-GB"/>
        </w:rPr>
        <w:t xml:space="preserve">evaluated the efficacy of LAGB surgery and the effects on anthropometry, body composition, fluid distribution, some cardiometabolic parameters and IL-6 plasma levels of selected patients after 6 </w:t>
      </w:r>
      <w:r w:rsidR="00E427DE" w:rsidRPr="001326F0">
        <w:rPr>
          <w:rFonts w:ascii="Book Antiqua" w:hAnsi="Book Antiqua" w:cs="Times New Roman" w:hint="eastAsia"/>
          <w:sz w:val="24"/>
          <w:szCs w:val="24"/>
          <w:lang w:val="en-GB" w:eastAsia="zh-CN"/>
        </w:rPr>
        <w:t>mo</w:t>
      </w:r>
      <w:r w:rsidRPr="001326F0">
        <w:rPr>
          <w:rFonts w:ascii="Book Antiqua" w:hAnsi="Book Antiqua" w:cs="Times New Roman"/>
          <w:sz w:val="24"/>
          <w:szCs w:val="24"/>
          <w:lang w:val="en-GB"/>
        </w:rPr>
        <w:t xml:space="preserve"> follow-up, according to 174G&gt;C IL-6 polymorphism. The authors have shown that in obesity bariatric treatment, LAGB seemed to determine a weight loss, sparing </w:t>
      </w:r>
      <w:r w:rsidRPr="001326F0">
        <w:rPr>
          <w:rFonts w:ascii="Book Antiqua" w:hAnsi="Book Antiqua" w:cs="Times New Roman"/>
          <w:sz w:val="24"/>
          <w:szCs w:val="24"/>
          <w:lang w:val="en-GB"/>
        </w:rPr>
        <w:lastRenderedPageBreak/>
        <w:t>muscle mass and causing only mild body fluid alterations. The loss of fat mass was significant, despite a slight proportional loss of lean mass. Moreover, for the first time, this study has provided evidence that, the promoter polymorphism of IL-6 (-174G&gt;C) gene is associated both with body composition and fluid distribution, in obese subjects, at baseline and at 6-months follow-up after LAGB. C (-) obese carrier showed a lower capability to lose weight and body fat mass after LAGB, and a higher LAGB induced detrimental effect on bone density. This implies that LAGB was less effective if the subjects were carrying risk genotypes (C-carriers) for obesity</w:t>
      </w:r>
      <w:r w:rsidRPr="001326F0">
        <w:rPr>
          <w:rFonts w:ascii="Book Antiqua" w:hAnsi="Book Antiqua" w:cs="Times New Roman"/>
          <w:sz w:val="24"/>
          <w:szCs w:val="24"/>
          <w:vertAlign w:val="superscript"/>
          <w:lang w:val="en-GB"/>
        </w:rPr>
        <w:t>[</w:t>
      </w:r>
      <w:r w:rsidRPr="001326F0">
        <w:rPr>
          <w:rFonts w:ascii="Book Antiqua" w:hAnsi="Book Antiqua" w:cs="Times New Roman"/>
          <w:sz w:val="24"/>
          <w:szCs w:val="24"/>
          <w:vertAlign w:val="superscript"/>
          <w:lang w:val="en-US"/>
        </w:rPr>
        <w:t>258</w:t>
      </w:r>
      <w:r w:rsidRPr="001326F0">
        <w:rPr>
          <w:rFonts w:ascii="Book Antiqua" w:hAnsi="Book Antiqua" w:cs="Times New Roman"/>
          <w:sz w:val="24"/>
          <w:szCs w:val="24"/>
          <w:vertAlign w:val="superscript"/>
          <w:lang w:val="en-GB"/>
        </w:rPr>
        <w:t>]</w:t>
      </w:r>
      <w:r w:rsidRPr="001326F0">
        <w:rPr>
          <w:rFonts w:ascii="Book Antiqua" w:hAnsi="Book Antiqua" w:cs="Times New Roman"/>
          <w:sz w:val="24"/>
          <w:szCs w:val="24"/>
          <w:lang w:val="en-GB"/>
        </w:rPr>
        <w: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In conclusion, it is possible suggest that an accurate and complete body composition evaluation together with genetic variations analysis would be a important tools for the selection of the type of the bariatric surgery, and for screening in order to predict therapeutic response of obese subjects, in terms of fat loss. Further studies of the court must be made to understand what is the best type of bariatric surgery, depending on the pathology. </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Remains the undoubted value of the assessment of body composition in obese patient whose treatment of bariatric surgery is recommended, in the control of quality and effectiveness of the intervention, ensuring patient safety. </w:t>
      </w:r>
    </w:p>
    <w:p w:rsidR="007B70B9" w:rsidRPr="001326F0" w:rsidRDefault="007B70B9" w:rsidP="00746C86">
      <w:pPr>
        <w:adjustRightInd w:val="0"/>
        <w:snapToGrid w:val="0"/>
        <w:spacing w:after="0" w:line="360" w:lineRule="auto"/>
        <w:jc w:val="both"/>
        <w:rPr>
          <w:rFonts w:ascii="Book Antiqua" w:hAnsi="Book Antiqua" w:cs="Times New Roman"/>
          <w:b/>
          <w:sz w:val="24"/>
          <w:szCs w:val="24"/>
          <w:lang w:val="en-GB"/>
        </w:rPr>
      </w:pPr>
    </w:p>
    <w:p w:rsidR="007B70B9" w:rsidRPr="001326F0" w:rsidRDefault="007B70B9" w:rsidP="00746C86">
      <w:pPr>
        <w:adjustRightInd w:val="0"/>
        <w:snapToGrid w:val="0"/>
        <w:spacing w:after="0" w:line="360" w:lineRule="auto"/>
        <w:jc w:val="both"/>
        <w:rPr>
          <w:rFonts w:ascii="Book Antiqua" w:hAnsi="Book Antiqua" w:cs="Times New Roman"/>
          <w:b/>
          <w:sz w:val="24"/>
          <w:szCs w:val="24"/>
          <w:lang w:val="en-GB"/>
        </w:rPr>
      </w:pPr>
      <w:r w:rsidRPr="001326F0">
        <w:rPr>
          <w:rFonts w:ascii="Book Antiqua" w:hAnsi="Book Antiqua" w:cs="Times New Roman"/>
          <w:b/>
          <w:sz w:val="24"/>
          <w:szCs w:val="24"/>
          <w:lang w:val="en-GB"/>
        </w:rPr>
        <w:t>CONCLUSION</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GB"/>
        </w:rPr>
      </w:pPr>
      <w:r w:rsidRPr="001326F0">
        <w:rPr>
          <w:rFonts w:ascii="Book Antiqua" w:hAnsi="Book Antiqua" w:cs="Times New Roman"/>
          <w:sz w:val="24"/>
          <w:szCs w:val="24"/>
          <w:lang w:val="en-GB"/>
        </w:rPr>
        <w:t>It is crucial, therefore, to recommend a bariatric surgery independently from BMI and body size, but taking into account adiposopathy and sick fat that occurs with the expansion of body fat mass, changing the inflammatory and metabolic profile of the patient.</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b/>
          <w:sz w:val="24"/>
          <w:szCs w:val="24"/>
          <w:lang w:val="en-GB"/>
        </w:rPr>
      </w:pPr>
      <w:r w:rsidRPr="001326F0">
        <w:rPr>
          <w:rFonts w:ascii="Book Antiqua" w:hAnsi="Book Antiqua"/>
          <w:sz w:val="24"/>
          <w:szCs w:val="24"/>
          <w:lang w:val="en-US" w:eastAsia="it-IT"/>
        </w:rPr>
        <w:t>Interactions between genetic and environmental factors such as diet and lifestyle, particularly over-nutrition and sedentary behavior, promote the progression and pathogenesis of polygenic diet-related diseases.</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 xml:space="preserve">In the different obese phenotype, it is of primary importance to highlight a potential connection between body composition (as weight, body lean mass, body fat mass), and genetic variants, to identify individuals, who were at </w:t>
      </w:r>
      <w:r w:rsidRPr="001326F0">
        <w:rPr>
          <w:rFonts w:ascii="Book Antiqua" w:hAnsi="Book Antiqua" w:cs="Times New Roman"/>
          <w:sz w:val="24"/>
          <w:szCs w:val="24"/>
          <w:lang w:val="en-GB"/>
        </w:rPr>
        <w:lastRenderedPageBreak/>
        <w:t xml:space="preserve">increased risk of reduction of skeletal muscle mass, that could lead to sarcopenic obesity. </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The highlighted findings underline that it is critical to assess body composition evaluation, looking to body fat mass and lean mass, and to identify a useful biomarker for selecting the population at risk for adipose tissue-associated inflammation, for preventive medicine purposes.</w:t>
      </w:r>
    </w:p>
    <w:p w:rsidR="007B70B9" w:rsidRPr="001326F0" w:rsidRDefault="007B70B9" w:rsidP="00E427DE">
      <w:pPr>
        <w:adjustRightInd w:val="0"/>
        <w:snapToGrid w:val="0"/>
        <w:spacing w:after="0" w:line="360" w:lineRule="auto"/>
        <w:ind w:firstLineChars="100" w:firstLine="240"/>
        <w:jc w:val="both"/>
        <w:rPr>
          <w:rFonts w:ascii="Book Antiqua" w:hAnsi="Book Antiqua" w:cs="Times New Roman"/>
          <w:sz w:val="24"/>
          <w:szCs w:val="24"/>
          <w:lang w:val="en-GB"/>
        </w:rPr>
      </w:pPr>
      <w:r w:rsidRPr="001326F0">
        <w:rPr>
          <w:rFonts w:ascii="Book Antiqua" w:hAnsi="Book Antiqua" w:cs="Times New Roman"/>
          <w:sz w:val="24"/>
          <w:szCs w:val="24"/>
          <w:lang w:val="en-GB"/>
        </w:rPr>
        <w:t>In this context, the mounting influx of global quantitative data from body composition, blood biomarkers, and genetic led to change the healthcare system, transforming of the concept of medicine, intended not only as a curative intervention but as a proactive P4 medicine, that is predictive, preventive, personalized, and participatory</w:t>
      </w:r>
      <w:r w:rsidRPr="001326F0">
        <w:rPr>
          <w:rFonts w:ascii="Book Antiqua" w:hAnsi="Book Antiqua" w:cs="Times New Roman"/>
          <w:sz w:val="24"/>
          <w:szCs w:val="24"/>
          <w:vertAlign w:val="superscript"/>
          <w:lang w:val="en-GB"/>
        </w:rPr>
        <w:t>[259</w:t>
      </w:r>
      <w:r w:rsidRPr="001326F0">
        <w:rPr>
          <w:rFonts w:ascii="Book Antiqua" w:hAnsi="Book Antiqua"/>
          <w:sz w:val="24"/>
          <w:szCs w:val="24"/>
          <w:vertAlign w:val="superscript"/>
          <w:lang w:val="en-US" w:eastAsia="it-IT"/>
        </w:rPr>
        <w:t>]</w:t>
      </w:r>
      <w:r w:rsidRPr="001326F0">
        <w:rPr>
          <w:rFonts w:ascii="Book Antiqua" w:hAnsi="Book Antiqua"/>
          <w:sz w:val="24"/>
          <w:szCs w:val="24"/>
          <w:lang w:val="en-US" w:eastAsia="it-IT"/>
        </w:rPr>
        <w:t>.</w:t>
      </w:r>
    </w:p>
    <w:p w:rsidR="007B70B9" w:rsidRPr="001326F0" w:rsidRDefault="007B70B9" w:rsidP="00746C86">
      <w:pPr>
        <w:adjustRightInd w:val="0"/>
        <w:snapToGrid w:val="0"/>
        <w:spacing w:after="0" w:line="360" w:lineRule="auto"/>
        <w:jc w:val="both"/>
        <w:rPr>
          <w:rFonts w:ascii="Book Antiqua" w:hAnsi="Book Antiqua" w:cs="Times New Roman"/>
          <w:sz w:val="24"/>
          <w:szCs w:val="24"/>
          <w:lang w:val="en-GB"/>
        </w:rPr>
      </w:pPr>
    </w:p>
    <w:p w:rsidR="00A22AA9" w:rsidRPr="001326F0" w:rsidRDefault="00A22AA9">
      <w:pPr>
        <w:rPr>
          <w:rFonts w:ascii="Book Antiqua" w:hAnsi="Book Antiqua" w:cs="Times New Roman"/>
          <w:b/>
          <w:sz w:val="24"/>
          <w:szCs w:val="24"/>
          <w:lang w:val="en-GB"/>
        </w:rPr>
      </w:pPr>
      <w:r w:rsidRPr="001326F0">
        <w:rPr>
          <w:rFonts w:ascii="Book Antiqua" w:hAnsi="Book Antiqua" w:cs="Times New Roman"/>
          <w:b/>
          <w:sz w:val="24"/>
          <w:szCs w:val="24"/>
          <w:lang w:val="en-GB"/>
        </w:rPr>
        <w:br w:type="page"/>
      </w:r>
    </w:p>
    <w:p w:rsidR="00E90285" w:rsidRPr="001326F0" w:rsidRDefault="00A22AA9" w:rsidP="00746C86">
      <w:pPr>
        <w:adjustRightInd w:val="0"/>
        <w:snapToGrid w:val="0"/>
        <w:spacing w:after="0" w:line="360" w:lineRule="auto"/>
        <w:jc w:val="both"/>
        <w:rPr>
          <w:rFonts w:ascii="Book Antiqua" w:hAnsi="Book Antiqua" w:cs="Times New Roman"/>
          <w:b/>
          <w:sz w:val="24"/>
          <w:szCs w:val="24"/>
          <w:lang w:val="en-GB"/>
        </w:rPr>
      </w:pPr>
      <w:r w:rsidRPr="001326F0">
        <w:rPr>
          <w:rFonts w:ascii="Book Antiqua" w:hAnsi="Book Antiqua" w:cs="Times New Roman"/>
          <w:b/>
          <w:sz w:val="24"/>
          <w:szCs w:val="24"/>
          <w:lang w:val="en-GB"/>
        </w:rPr>
        <w:lastRenderedPageBreak/>
        <w:t>REFERENCES</w:t>
      </w:r>
    </w:p>
    <w:p w:rsidR="0031238A" w:rsidRPr="001326F0" w:rsidRDefault="0031238A" w:rsidP="0031238A">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bookmarkStart w:id="291" w:name="_Ref417991932"/>
      <w:bookmarkStart w:id="292" w:name="OLE_LINK2519"/>
      <w:bookmarkStart w:id="293" w:name="OLE_LINK2520"/>
      <w:r w:rsidRPr="001326F0">
        <w:rPr>
          <w:rFonts w:ascii="Book Antiqua" w:eastAsia="SimSun" w:hAnsi="Book Antiqua" w:cs="Times New Roman" w:hint="eastAsia"/>
          <w:kern w:val="2"/>
          <w:sz w:val="24"/>
          <w:szCs w:val="24"/>
          <w:lang w:val="en-US" w:eastAsia="zh-CN"/>
        </w:rPr>
        <w:t xml:space="preserve">1 </w:t>
      </w:r>
      <w:r w:rsidRPr="001326F0">
        <w:rPr>
          <w:rFonts w:ascii="Book Antiqua" w:eastAsia="SimSun" w:hAnsi="Book Antiqua" w:cs="Times New Roman"/>
          <w:kern w:val="2"/>
          <w:sz w:val="24"/>
          <w:szCs w:val="24"/>
          <w:lang w:val="en-US" w:eastAsia="zh-CN"/>
        </w:rPr>
        <w:t>American Medical Association</w:t>
      </w:r>
      <w:r w:rsidRPr="001326F0">
        <w:rPr>
          <w:rFonts w:ascii="Book Antiqua" w:eastAsia="SimSun" w:hAnsi="Book Antiqua" w:cs="Times New Roman" w:hint="eastAsia"/>
          <w:kern w:val="2"/>
          <w:sz w:val="24"/>
          <w:szCs w:val="24"/>
          <w:lang w:val="en-US" w:eastAsia="zh-CN"/>
        </w:rPr>
        <w:t>.</w:t>
      </w:r>
      <w:r w:rsidR="00D74C7F" w:rsidRPr="001326F0">
        <w:rPr>
          <w:rFonts w:ascii="Book Antiqua" w:eastAsia="SimSun" w:hAnsi="Book Antiqua" w:cs="Times New Roman" w:hint="eastAsia"/>
          <w:kern w:val="2"/>
          <w:sz w:val="24"/>
          <w:szCs w:val="24"/>
          <w:lang w:val="en-US" w:eastAsia="zh-CN"/>
        </w:rPr>
        <w:t xml:space="preserve"> </w:t>
      </w:r>
      <w:r w:rsidRPr="001326F0">
        <w:rPr>
          <w:rFonts w:ascii="Book Antiqua" w:eastAsia="SimSun" w:hAnsi="Book Antiqua" w:cs="Times New Roman"/>
          <w:kern w:val="2"/>
          <w:sz w:val="24"/>
          <w:szCs w:val="24"/>
          <w:lang w:val="en-US" w:eastAsia="zh-CN"/>
        </w:rPr>
        <w:t>Council on Science and Public Health Report</w:t>
      </w:r>
      <w:bookmarkEnd w:id="291"/>
      <w:r w:rsidRPr="001326F0">
        <w:rPr>
          <w:rFonts w:ascii="Book Antiqua" w:eastAsia="SimSun" w:hAnsi="Book Antiqua" w:cs="Times New Roman" w:hint="eastAsia"/>
          <w:kern w:val="2"/>
          <w:sz w:val="24"/>
          <w:szCs w:val="24"/>
          <w:lang w:val="en-US" w:eastAsia="zh-CN"/>
        </w:rPr>
        <w:t>, 2013</w:t>
      </w:r>
    </w:p>
    <w:p w:rsidR="0031238A" w:rsidRPr="001326F0" w:rsidRDefault="0031238A" w:rsidP="0031238A">
      <w:pPr>
        <w:widowControl w:val="0"/>
        <w:autoSpaceDE w:val="0"/>
        <w:autoSpaceDN w:val="0"/>
        <w:adjustRightInd w:val="0"/>
        <w:snapToGrid w:val="0"/>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 Obesity: preventing and managing the global epidemic. Report of a WHO consultation. </w:t>
      </w:r>
      <w:r w:rsidRPr="001326F0">
        <w:rPr>
          <w:rFonts w:ascii="Book Antiqua" w:eastAsia="SimSun" w:hAnsi="Book Antiqua" w:cs="SimSun"/>
          <w:i/>
          <w:iCs/>
          <w:sz w:val="24"/>
          <w:szCs w:val="24"/>
          <w:lang w:val="en-US" w:eastAsia="zh-CN"/>
        </w:rPr>
        <w:t>World Health Organ Tech Rep Ser</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894</w:t>
      </w:r>
      <w:r w:rsidRPr="001326F0">
        <w:rPr>
          <w:rFonts w:ascii="Book Antiqua" w:eastAsia="SimSun" w:hAnsi="Book Antiqua" w:cs="SimSun"/>
          <w:sz w:val="24"/>
          <w:szCs w:val="24"/>
          <w:lang w:val="en-US" w:eastAsia="zh-CN"/>
        </w:rPr>
        <w:t xml:space="preserve">: i-xii, 1-253 [PMID: </w:t>
      </w:r>
      <w:bookmarkStart w:id="294" w:name="OLE_LINK2527"/>
      <w:bookmarkStart w:id="295" w:name="OLE_LINK2528"/>
      <w:r w:rsidRPr="001326F0">
        <w:rPr>
          <w:rFonts w:ascii="Book Antiqua" w:eastAsia="SimSun" w:hAnsi="Book Antiqua" w:cs="SimSun"/>
          <w:sz w:val="24"/>
          <w:szCs w:val="24"/>
          <w:lang w:val="en-US" w:eastAsia="zh-CN"/>
        </w:rPr>
        <w:t>11234459</w:t>
      </w:r>
      <w:bookmarkEnd w:id="294"/>
      <w:bookmarkEnd w:id="295"/>
      <w:r w:rsidRPr="001326F0">
        <w:rPr>
          <w:rFonts w:ascii="Book Antiqua" w:eastAsia="SimSun" w:hAnsi="Book Antiqua" w:cs="SimSun"/>
          <w:sz w:val="24"/>
          <w:szCs w:val="24"/>
          <w:lang w:val="en-US" w:eastAsia="zh-CN"/>
        </w:rPr>
        <w:t>]</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 </w:t>
      </w:r>
      <w:r w:rsidRPr="001326F0">
        <w:rPr>
          <w:rFonts w:ascii="Book Antiqua" w:eastAsia="SimSun" w:hAnsi="Book Antiqua" w:cs="SimSun"/>
          <w:b/>
          <w:bCs/>
          <w:sz w:val="24"/>
          <w:szCs w:val="24"/>
          <w:lang w:val="en-US" w:eastAsia="zh-CN"/>
        </w:rPr>
        <w:t>Nigro E</w:t>
      </w:r>
      <w:r w:rsidRPr="001326F0">
        <w:rPr>
          <w:rFonts w:ascii="Book Antiqua" w:eastAsia="SimSun" w:hAnsi="Book Antiqua" w:cs="SimSun"/>
          <w:sz w:val="24"/>
          <w:szCs w:val="24"/>
          <w:lang w:val="en-US" w:eastAsia="zh-CN"/>
        </w:rPr>
        <w:t xml:space="preserve">, Scudiero O, Monaco ML, Palmieri A, Mazzarella G, Costagliola C, Bianco A, Daniele A. New insight into adiponectin role in obesity and obesity-related diseases. </w:t>
      </w:r>
      <w:r w:rsidRPr="001326F0">
        <w:rPr>
          <w:rFonts w:ascii="Book Antiqua" w:eastAsia="SimSun" w:hAnsi="Book Antiqua" w:cs="SimSun"/>
          <w:i/>
          <w:iCs/>
          <w:sz w:val="24"/>
          <w:szCs w:val="24"/>
          <w:lang w:val="en-US" w:eastAsia="zh-CN"/>
        </w:rPr>
        <w:t>Biomed Res Int</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2014</w:t>
      </w:r>
      <w:r w:rsidRPr="001326F0">
        <w:rPr>
          <w:rFonts w:ascii="Book Antiqua" w:eastAsia="SimSun" w:hAnsi="Book Antiqua" w:cs="SimSun"/>
          <w:sz w:val="24"/>
          <w:szCs w:val="24"/>
          <w:lang w:val="en-US" w:eastAsia="zh-CN"/>
        </w:rPr>
        <w:t>: 658913 [PMID: 25110685 DOI: 10.1155/2014/658913]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 Recognition of Obesity as a Disease. </w:t>
      </w:r>
      <w:r w:rsidRPr="001326F0">
        <w:rPr>
          <w:rFonts w:ascii="Book Antiqua" w:eastAsia="SimSun" w:hAnsi="Book Antiqua" w:cs="SimSun" w:hint="eastAsia"/>
          <w:sz w:val="24"/>
          <w:szCs w:val="24"/>
          <w:lang w:val="en-US" w:eastAsia="zh-CN"/>
        </w:rPr>
        <w:t xml:space="preserve">Available from: URL: </w:t>
      </w:r>
      <w:r w:rsidRPr="001326F0">
        <w:rPr>
          <w:rFonts w:ascii="Book Antiqua" w:eastAsia="SimSun" w:hAnsi="Book Antiqua" w:cs="SimSun"/>
          <w:sz w:val="24"/>
          <w:szCs w:val="24"/>
          <w:lang w:val="en-US" w:eastAsia="zh-CN"/>
        </w:rPr>
        <w:t>http: //www.npr.org/documents/2013/jun/ama-resolution-besity.pdf</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 </w:t>
      </w:r>
      <w:r w:rsidRPr="001326F0">
        <w:rPr>
          <w:rFonts w:ascii="Book Antiqua" w:eastAsia="SimSun" w:hAnsi="Book Antiqua" w:cs="SimSun"/>
          <w:b/>
          <w:bCs/>
          <w:sz w:val="24"/>
          <w:szCs w:val="24"/>
          <w:lang w:val="en-US" w:eastAsia="zh-CN"/>
        </w:rPr>
        <w:t>Bray GA</w:t>
      </w:r>
      <w:r w:rsidRPr="001326F0">
        <w:rPr>
          <w:rFonts w:ascii="Book Antiqua" w:eastAsia="SimSun" w:hAnsi="Book Antiqua" w:cs="SimSun"/>
          <w:sz w:val="24"/>
          <w:szCs w:val="24"/>
          <w:lang w:val="en-US" w:eastAsia="zh-CN"/>
        </w:rPr>
        <w:t xml:space="preserve">, Bellanger T. Epidemiology, trends, and morbidities of obesity and the metabolic syndrome. </w:t>
      </w:r>
      <w:r w:rsidRPr="001326F0">
        <w:rPr>
          <w:rFonts w:ascii="Book Antiqua" w:eastAsia="SimSun" w:hAnsi="Book Antiqua" w:cs="SimSun"/>
          <w:i/>
          <w:iCs/>
          <w:sz w:val="24"/>
          <w:szCs w:val="24"/>
          <w:lang w:val="en-US" w:eastAsia="zh-CN"/>
        </w:rPr>
        <w:t>Endocrine</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29</w:t>
      </w:r>
      <w:r w:rsidRPr="001326F0">
        <w:rPr>
          <w:rFonts w:ascii="Book Antiqua" w:eastAsia="SimSun" w:hAnsi="Book Antiqua" w:cs="SimSun"/>
          <w:sz w:val="24"/>
          <w:szCs w:val="24"/>
          <w:lang w:val="en-US" w:eastAsia="zh-CN"/>
        </w:rPr>
        <w:t>: 109-117 [PMID: 16622298]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 </w:t>
      </w:r>
      <w:r w:rsidRPr="001326F0">
        <w:rPr>
          <w:rFonts w:ascii="Book Antiqua" w:eastAsia="SimSun" w:hAnsi="Book Antiqua" w:cs="SimSun"/>
          <w:b/>
          <w:bCs/>
          <w:sz w:val="24"/>
          <w:szCs w:val="24"/>
          <w:lang w:val="en-US" w:eastAsia="zh-CN"/>
        </w:rPr>
        <w:t>Shuldiner AR</w:t>
      </w:r>
      <w:r w:rsidRPr="001326F0">
        <w:rPr>
          <w:rFonts w:ascii="Book Antiqua" w:eastAsia="SimSun" w:hAnsi="Book Antiqua" w:cs="SimSun"/>
          <w:sz w:val="24"/>
          <w:szCs w:val="24"/>
          <w:lang w:val="en-US" w:eastAsia="zh-CN"/>
        </w:rPr>
        <w:t xml:space="preserve">. Obesity genes and gene-environment-behavior interactions: recommendations for a way forward.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16 Suppl 3</w:t>
      </w:r>
      <w:r w:rsidRPr="001326F0">
        <w:rPr>
          <w:rFonts w:ascii="Book Antiqua" w:eastAsia="SimSun" w:hAnsi="Book Antiqua" w:cs="SimSun"/>
          <w:sz w:val="24"/>
          <w:szCs w:val="24"/>
          <w:lang w:val="en-US" w:eastAsia="zh-CN"/>
        </w:rPr>
        <w:t>: S79-S81 [PMID: 19037219 DOI: 10.1038/oby.2008.523]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 </w:t>
      </w:r>
      <w:r w:rsidRPr="001326F0">
        <w:rPr>
          <w:rFonts w:ascii="Book Antiqua" w:eastAsia="SimSun" w:hAnsi="Book Antiqua" w:cs="SimSun"/>
          <w:b/>
          <w:bCs/>
          <w:sz w:val="24"/>
          <w:szCs w:val="24"/>
          <w:lang w:val="en-US" w:eastAsia="zh-CN"/>
        </w:rPr>
        <w:t>Sesti G</w:t>
      </w:r>
      <w:r w:rsidRPr="001326F0">
        <w:rPr>
          <w:rFonts w:ascii="Book Antiqua" w:eastAsia="SimSun" w:hAnsi="Book Antiqua" w:cs="SimSun"/>
          <w:sz w:val="24"/>
          <w:szCs w:val="24"/>
          <w:lang w:val="en-US" w:eastAsia="zh-CN"/>
        </w:rPr>
        <w:t xml:space="preserve">, Perego L, Cardellini M, Andreozzi F, Ricasoli C, Vedani P, Guzzi V, Marchi M, Paganelli M, Ferla G, Pontiroli AE, Hribal ML, Folli F. Impact of common polymorphisms in candidate genes for insulin resistance and obesity on weight loss of morbidly obese subjects after laparoscopic adjustable gastric banding and hypocaloric diet.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90</w:t>
      </w:r>
      <w:r w:rsidRPr="001326F0">
        <w:rPr>
          <w:rFonts w:ascii="Book Antiqua" w:eastAsia="SimSun" w:hAnsi="Book Antiqua" w:cs="SimSun"/>
          <w:sz w:val="24"/>
          <w:szCs w:val="24"/>
          <w:lang w:val="en-US" w:eastAsia="zh-CN"/>
        </w:rPr>
        <w:t>: 5064-5069 [PMID: 15985484]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 </w:t>
      </w:r>
      <w:r w:rsidRPr="001326F0">
        <w:rPr>
          <w:rFonts w:ascii="Book Antiqua" w:eastAsia="SimSun" w:hAnsi="Book Antiqua" w:cs="SimSun"/>
          <w:b/>
          <w:bCs/>
          <w:sz w:val="24"/>
          <w:szCs w:val="24"/>
          <w:lang w:val="en-US" w:eastAsia="zh-CN"/>
        </w:rPr>
        <w:t>Hajer GR</w:t>
      </w:r>
      <w:r w:rsidRPr="001326F0">
        <w:rPr>
          <w:rFonts w:ascii="Book Antiqua" w:eastAsia="SimSun" w:hAnsi="Book Antiqua" w:cs="SimSun"/>
          <w:sz w:val="24"/>
          <w:szCs w:val="24"/>
          <w:lang w:val="en-US" w:eastAsia="zh-CN"/>
        </w:rPr>
        <w:t xml:space="preserve">, van Haeften TW, Visseren FL. Adipose tissue dysfunction in obesity, diabetes, and vascular diseases. </w:t>
      </w:r>
      <w:r w:rsidRPr="001326F0">
        <w:rPr>
          <w:rFonts w:ascii="Book Antiqua" w:eastAsia="SimSun" w:hAnsi="Book Antiqua" w:cs="SimSun"/>
          <w:i/>
          <w:iCs/>
          <w:sz w:val="24"/>
          <w:szCs w:val="24"/>
          <w:lang w:val="en-US" w:eastAsia="zh-CN"/>
        </w:rPr>
        <w:t>Eur Heart J</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29</w:t>
      </w:r>
      <w:r w:rsidRPr="001326F0">
        <w:rPr>
          <w:rFonts w:ascii="Book Antiqua" w:eastAsia="SimSun" w:hAnsi="Book Antiqua" w:cs="SimSun"/>
          <w:sz w:val="24"/>
          <w:szCs w:val="24"/>
          <w:lang w:val="en-US" w:eastAsia="zh-CN"/>
        </w:rPr>
        <w:t>: 2959-2971 [PMID: 18775919 DOI: 10.1093/eurheartj/ehn387]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 </w:t>
      </w:r>
      <w:r w:rsidRPr="001326F0">
        <w:rPr>
          <w:rFonts w:ascii="Book Antiqua" w:eastAsia="SimSun" w:hAnsi="Book Antiqua" w:cs="SimSun"/>
          <w:b/>
          <w:bCs/>
          <w:sz w:val="24"/>
          <w:szCs w:val="24"/>
          <w:lang w:val="en-US" w:eastAsia="zh-CN"/>
        </w:rPr>
        <w:t>Shah A</w:t>
      </w:r>
      <w:r w:rsidRPr="001326F0">
        <w:rPr>
          <w:rFonts w:ascii="Book Antiqua" w:eastAsia="SimSun" w:hAnsi="Book Antiqua" w:cs="SimSun"/>
          <w:sz w:val="24"/>
          <w:szCs w:val="24"/>
          <w:lang w:val="en-US" w:eastAsia="zh-CN"/>
        </w:rPr>
        <w:t xml:space="preserve">, Mehta N, Reilly MP. Adipose inflammation, insulin resistance, and cardiovascular disease. </w:t>
      </w:r>
      <w:r w:rsidRPr="001326F0">
        <w:rPr>
          <w:rFonts w:ascii="Book Antiqua" w:eastAsia="SimSun" w:hAnsi="Book Antiqua" w:cs="SimSun"/>
          <w:i/>
          <w:iCs/>
          <w:sz w:val="24"/>
          <w:szCs w:val="24"/>
          <w:lang w:val="en-US" w:eastAsia="zh-CN"/>
        </w:rPr>
        <w:t>JPEN J Parenter Enteral Nutr</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2008</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32</w:t>
      </w:r>
      <w:r w:rsidRPr="001326F0">
        <w:rPr>
          <w:rFonts w:ascii="Book Antiqua" w:eastAsia="SimSun" w:hAnsi="Book Antiqua" w:cs="SimSun"/>
          <w:sz w:val="24"/>
          <w:szCs w:val="24"/>
          <w:lang w:val="en-US" w:eastAsia="zh-CN"/>
        </w:rPr>
        <w:t>: 638-644 [PMID: 18974244 DOI: 10.1177/0148607108325251]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10 Physical status: the use and interpretation of anthropometry. Report of a WHO Expert Committee. </w:t>
      </w:r>
      <w:r w:rsidRPr="001326F0">
        <w:rPr>
          <w:rFonts w:ascii="Book Antiqua" w:eastAsia="SimSun" w:hAnsi="Book Antiqua" w:cs="SimSun"/>
          <w:i/>
          <w:iCs/>
          <w:sz w:val="24"/>
          <w:szCs w:val="24"/>
          <w:lang w:val="en-US" w:eastAsia="zh-CN"/>
        </w:rPr>
        <w:t>World Health Organ Tech Rep Ser</w:t>
      </w:r>
      <w:r w:rsidRPr="001326F0">
        <w:rPr>
          <w:rFonts w:ascii="Book Antiqua" w:eastAsia="SimSun" w:hAnsi="Book Antiqua" w:cs="SimSun"/>
          <w:sz w:val="24"/>
          <w:szCs w:val="24"/>
          <w:lang w:val="en-US" w:eastAsia="zh-CN"/>
        </w:rPr>
        <w:t xml:space="preserve"> 1995; </w:t>
      </w:r>
      <w:r w:rsidRPr="001326F0">
        <w:rPr>
          <w:rFonts w:ascii="Book Antiqua" w:eastAsia="SimSun" w:hAnsi="Book Antiqua" w:cs="SimSun"/>
          <w:b/>
          <w:bCs/>
          <w:sz w:val="24"/>
          <w:szCs w:val="24"/>
          <w:lang w:val="en-US" w:eastAsia="zh-CN"/>
        </w:rPr>
        <w:t>854</w:t>
      </w:r>
      <w:r w:rsidRPr="001326F0">
        <w:rPr>
          <w:rFonts w:ascii="Book Antiqua" w:eastAsia="SimSun" w:hAnsi="Book Antiqua" w:cs="SimSun"/>
          <w:sz w:val="24"/>
          <w:szCs w:val="24"/>
          <w:lang w:val="en-US" w:eastAsia="zh-CN"/>
        </w:rPr>
        <w:t xml:space="preserve">: 1-452 [PMID: </w:t>
      </w:r>
      <w:bookmarkStart w:id="296" w:name="OLE_LINK2529"/>
      <w:bookmarkStart w:id="297" w:name="OLE_LINK2530"/>
      <w:r w:rsidRPr="001326F0">
        <w:rPr>
          <w:rFonts w:ascii="Book Antiqua" w:eastAsia="SimSun" w:hAnsi="Book Antiqua" w:cs="SimSun"/>
          <w:sz w:val="24"/>
          <w:szCs w:val="24"/>
          <w:lang w:val="en-US" w:eastAsia="zh-CN"/>
        </w:rPr>
        <w:t>8594834</w:t>
      </w:r>
      <w:bookmarkEnd w:id="296"/>
      <w:bookmarkEnd w:id="297"/>
      <w:r w:rsidRPr="001326F0">
        <w:rPr>
          <w:rFonts w:ascii="Book Antiqua" w:eastAsia="SimSun" w:hAnsi="Book Antiqua" w:cs="SimSun"/>
          <w:sz w:val="24"/>
          <w:szCs w:val="24"/>
          <w:lang w:val="en-US" w:eastAsia="zh-CN"/>
        </w:rPr>
        <w:t>]</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 </w:t>
      </w:r>
      <w:r w:rsidRPr="001326F0">
        <w:rPr>
          <w:rFonts w:ascii="Book Antiqua" w:eastAsia="SimSun" w:hAnsi="Book Antiqua" w:cs="SimSun"/>
          <w:b/>
          <w:bCs/>
          <w:sz w:val="24"/>
          <w:szCs w:val="24"/>
          <w:lang w:val="en-US" w:eastAsia="zh-CN"/>
        </w:rPr>
        <w:t>Poirier P</w:t>
      </w:r>
      <w:r w:rsidRPr="001326F0">
        <w:rPr>
          <w:rFonts w:ascii="Book Antiqua" w:eastAsia="SimSun" w:hAnsi="Book Antiqua" w:cs="SimSun"/>
          <w:sz w:val="24"/>
          <w:szCs w:val="24"/>
          <w:lang w:val="en-US" w:eastAsia="zh-CN"/>
        </w:rPr>
        <w:t xml:space="preserve">. Adiposity and cardiovascular disease: are we using the right definition of obesity? </w:t>
      </w:r>
      <w:r w:rsidRPr="001326F0">
        <w:rPr>
          <w:rFonts w:ascii="Book Antiqua" w:eastAsia="SimSun" w:hAnsi="Book Antiqua" w:cs="SimSun"/>
          <w:i/>
          <w:iCs/>
          <w:sz w:val="24"/>
          <w:szCs w:val="24"/>
          <w:lang w:val="en-US" w:eastAsia="zh-CN"/>
        </w:rPr>
        <w:t>Eur Heart J</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28</w:t>
      </w:r>
      <w:r w:rsidRPr="001326F0">
        <w:rPr>
          <w:rFonts w:ascii="Book Antiqua" w:eastAsia="SimSun" w:hAnsi="Book Antiqua" w:cs="SimSun"/>
          <w:sz w:val="24"/>
          <w:szCs w:val="24"/>
          <w:lang w:val="en-US" w:eastAsia="zh-CN"/>
        </w:rPr>
        <w:t>: 2047-2048 [PMID: 17673449]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 </w:t>
      </w:r>
      <w:r w:rsidRPr="001326F0">
        <w:rPr>
          <w:rFonts w:ascii="Book Antiqua" w:eastAsia="SimSun" w:hAnsi="Book Antiqua" w:cs="SimSun"/>
          <w:b/>
          <w:bCs/>
          <w:sz w:val="24"/>
          <w:szCs w:val="24"/>
          <w:lang w:val="en-US" w:eastAsia="zh-CN"/>
        </w:rPr>
        <w:t>Gómez-Ambrosi J</w:t>
      </w:r>
      <w:r w:rsidRPr="001326F0">
        <w:rPr>
          <w:rFonts w:ascii="Book Antiqua" w:eastAsia="SimSun" w:hAnsi="Book Antiqua" w:cs="SimSun"/>
          <w:sz w:val="24"/>
          <w:szCs w:val="24"/>
          <w:lang w:val="en-US" w:eastAsia="zh-CN"/>
        </w:rPr>
        <w:t xml:space="preserve">, Silva C, Galofré JC, Escalada J, Santos S, Millán D, Vila N, Ibañez P, Gil MJ, Valentí V, Rotellar F, Ramírez B, Salvador J, Frühbeck G. Body mass index classification misses subjects with increased cardiometabolic risk factors related to elevated adiposity. </w:t>
      </w:r>
      <w:r w:rsidRPr="001326F0">
        <w:rPr>
          <w:rFonts w:ascii="Book Antiqua" w:eastAsia="SimSun" w:hAnsi="Book Antiqua" w:cs="SimSun"/>
          <w:i/>
          <w:iCs/>
          <w:sz w:val="24"/>
          <w:szCs w:val="24"/>
          <w:lang w:val="en-US" w:eastAsia="zh-CN"/>
        </w:rPr>
        <w:t>Int J Obes (Lond)</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36</w:t>
      </w:r>
      <w:r w:rsidRPr="001326F0">
        <w:rPr>
          <w:rFonts w:ascii="Book Antiqua" w:eastAsia="SimSun" w:hAnsi="Book Antiqua" w:cs="SimSun"/>
          <w:sz w:val="24"/>
          <w:szCs w:val="24"/>
          <w:lang w:val="en-US" w:eastAsia="zh-CN"/>
        </w:rPr>
        <w:t>: 286-294 [PMID: 21587201 DOI: 10.1038/ijo.2011.100]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 </w:t>
      </w:r>
      <w:r w:rsidRPr="001326F0">
        <w:rPr>
          <w:rFonts w:ascii="Book Antiqua" w:eastAsia="SimSun" w:hAnsi="Book Antiqua" w:cs="SimSun"/>
          <w:b/>
          <w:bCs/>
          <w:sz w:val="24"/>
          <w:szCs w:val="24"/>
          <w:lang w:val="en-US" w:eastAsia="zh-CN"/>
        </w:rPr>
        <w:t>Flegal KM</w:t>
      </w:r>
      <w:r w:rsidRPr="001326F0">
        <w:rPr>
          <w:rFonts w:ascii="Book Antiqua" w:eastAsia="SimSun" w:hAnsi="Book Antiqua" w:cs="SimSun"/>
          <w:sz w:val="24"/>
          <w:szCs w:val="24"/>
          <w:lang w:val="en-US" w:eastAsia="zh-CN"/>
        </w:rPr>
        <w:t xml:space="preserve">. Commentary: the quest for weight standards. </w:t>
      </w:r>
      <w:r w:rsidRPr="001326F0">
        <w:rPr>
          <w:rFonts w:ascii="Book Antiqua" w:eastAsia="SimSun" w:hAnsi="Book Antiqua" w:cs="SimSun"/>
          <w:i/>
          <w:iCs/>
          <w:sz w:val="24"/>
          <w:szCs w:val="24"/>
          <w:lang w:val="en-US" w:eastAsia="zh-CN"/>
        </w:rPr>
        <w:t>Int J Epidemiol</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39</w:t>
      </w:r>
      <w:r w:rsidRPr="001326F0">
        <w:rPr>
          <w:rFonts w:ascii="Book Antiqua" w:eastAsia="SimSun" w:hAnsi="Book Antiqua" w:cs="SimSun"/>
          <w:sz w:val="24"/>
          <w:szCs w:val="24"/>
          <w:lang w:val="en-US" w:eastAsia="zh-CN"/>
        </w:rPr>
        <w:t>: 963-967 [PMID: 20660171 DOI: 10.1093/ije/dyq124]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14</w:t>
      </w:r>
      <w:r w:rsidRPr="001326F0">
        <w:rPr>
          <w:rFonts w:ascii="Book Antiqua" w:eastAsia="SimSun" w:hAnsi="Book Antiqua" w:cs="SimSun"/>
          <w:b/>
          <w:sz w:val="24"/>
          <w:szCs w:val="24"/>
          <w:lang w:val="en-US" w:eastAsia="zh-CN"/>
        </w:rPr>
        <w:t xml:space="preserve"> Sun Q</w:t>
      </w:r>
      <w:r w:rsidRPr="001326F0">
        <w:rPr>
          <w:rFonts w:ascii="Book Antiqua" w:eastAsia="SimSun" w:hAnsi="Book Antiqua" w:cs="SimSun"/>
          <w:sz w:val="24"/>
          <w:szCs w:val="24"/>
          <w:lang w:val="en-US" w:eastAsia="zh-CN"/>
        </w:rPr>
        <w:t xml:space="preserve">, van Dam RM, Spiegelman D, Heymsfield SB, Willett WC, Hu FB. Comparison of Dual-Energy X-Ray Absorptiometric and Anthropometric Measures of Adiposity in Relation to Adiposity-Related Biologic Factors. </w:t>
      </w:r>
      <w:bookmarkStart w:id="298" w:name="OLE_LINK2531"/>
      <w:bookmarkStart w:id="299" w:name="OLE_LINK2532"/>
      <w:r w:rsidRPr="001326F0">
        <w:rPr>
          <w:rFonts w:ascii="Book Antiqua" w:eastAsia="SimSun" w:hAnsi="Book Antiqua" w:cs="SimSun"/>
          <w:i/>
          <w:sz w:val="24"/>
          <w:szCs w:val="24"/>
          <w:lang w:val="en-US" w:eastAsia="zh-CN"/>
        </w:rPr>
        <w:t xml:space="preserve">Am J Epidemiol </w:t>
      </w:r>
      <w:r w:rsidRPr="001326F0">
        <w:rPr>
          <w:rFonts w:ascii="Book Antiqua" w:eastAsia="SimSun" w:hAnsi="Book Antiqua" w:cs="SimSun"/>
          <w:sz w:val="24"/>
          <w:szCs w:val="24"/>
          <w:lang w:val="en-US" w:eastAsia="zh-CN"/>
        </w:rPr>
        <w:t xml:space="preserve">2010; </w:t>
      </w:r>
      <w:r w:rsidRPr="001326F0">
        <w:rPr>
          <w:rFonts w:ascii="Book Antiqua" w:eastAsia="SimSun" w:hAnsi="Book Antiqua" w:cs="SimSun"/>
          <w:b/>
          <w:sz w:val="24"/>
          <w:szCs w:val="24"/>
          <w:lang w:val="en-US" w:eastAsia="zh-CN"/>
        </w:rPr>
        <w:t>172</w:t>
      </w:r>
      <w:r w:rsidRPr="001326F0">
        <w:rPr>
          <w:rFonts w:ascii="Book Antiqua" w:eastAsia="SimSun" w:hAnsi="Book Antiqua" w:cs="SimSun"/>
          <w:sz w:val="24"/>
          <w:szCs w:val="24"/>
          <w:lang w:val="en-US" w:eastAsia="zh-CN"/>
        </w:rPr>
        <w:t>: 1442–</w:t>
      </w:r>
      <w:r w:rsidRPr="001326F0">
        <w:rPr>
          <w:rFonts w:ascii="Book Antiqua" w:eastAsia="SimSun" w:hAnsi="Book Antiqua" w:cs="SimSun" w:hint="eastAsia"/>
          <w:sz w:val="24"/>
          <w:szCs w:val="24"/>
          <w:lang w:val="en-US" w:eastAsia="zh-CN"/>
        </w:rPr>
        <w:t>14</w:t>
      </w:r>
      <w:r w:rsidRPr="001326F0">
        <w:rPr>
          <w:rFonts w:ascii="Book Antiqua" w:eastAsia="SimSun" w:hAnsi="Book Antiqua" w:cs="SimSun"/>
          <w:sz w:val="24"/>
          <w:szCs w:val="24"/>
          <w:lang w:val="en-US" w:eastAsia="zh-CN"/>
        </w:rPr>
        <w:t>54</w:t>
      </w:r>
      <w:bookmarkEnd w:id="298"/>
      <w:bookmarkEnd w:id="299"/>
      <w:r w:rsidRPr="001326F0">
        <w:rPr>
          <w:rFonts w:ascii="Book Antiqua" w:eastAsia="SimSun" w:hAnsi="Book Antiqua" w:cs="SimSun"/>
          <w:sz w:val="24"/>
          <w:szCs w:val="24"/>
          <w:lang w:val="en-US" w:eastAsia="zh-CN"/>
        </w:rPr>
        <w:t xml:space="preserve"> [PMID: 20952596</w:t>
      </w:r>
      <w:r w:rsidRPr="001326F0">
        <w:rPr>
          <w:rFonts w:ascii="Book Antiqua" w:eastAsia="SimSun" w:hAnsi="Book Antiqua" w:cs="SimSun" w:hint="eastAsia"/>
          <w:sz w:val="24"/>
          <w:szCs w:val="24"/>
          <w:lang w:val="en-US" w:eastAsia="zh-CN"/>
        </w:rPr>
        <w:t xml:space="preserve"> </w:t>
      </w:r>
      <w:r w:rsidRPr="001326F0">
        <w:rPr>
          <w:rFonts w:ascii="Book Antiqua" w:eastAsia="SimSun" w:hAnsi="Book Antiqua" w:cs="SimSun"/>
          <w:sz w:val="24"/>
          <w:szCs w:val="24"/>
          <w:lang w:val="en-US" w:eastAsia="zh-CN"/>
        </w:rPr>
        <w:t>DOI: 10.1093/aje/kwq306]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 </w:t>
      </w:r>
      <w:r w:rsidRPr="001326F0">
        <w:rPr>
          <w:rFonts w:ascii="Book Antiqua" w:eastAsia="SimSun" w:hAnsi="Book Antiqua" w:cs="SimSun"/>
          <w:b/>
          <w:bCs/>
          <w:sz w:val="24"/>
          <w:szCs w:val="24"/>
          <w:lang w:val="en-US" w:eastAsia="zh-CN"/>
        </w:rPr>
        <w:t>De Lorenzo A</w:t>
      </w:r>
      <w:r w:rsidRPr="001326F0">
        <w:rPr>
          <w:rFonts w:ascii="Book Antiqua" w:eastAsia="SimSun" w:hAnsi="Book Antiqua" w:cs="SimSun"/>
          <w:sz w:val="24"/>
          <w:szCs w:val="24"/>
          <w:lang w:val="en-US" w:eastAsia="zh-CN"/>
        </w:rPr>
        <w:t xml:space="preserve">, Bianchi A, Maroni P, Iannarelli A, Di Daniele N, Iacopino L, Di Renzo L. Adiposity rather than BMI determines metabolic risk. </w:t>
      </w:r>
      <w:r w:rsidRPr="001326F0">
        <w:rPr>
          <w:rFonts w:ascii="Book Antiqua" w:eastAsia="SimSun" w:hAnsi="Book Antiqua" w:cs="SimSun"/>
          <w:i/>
          <w:iCs/>
          <w:sz w:val="24"/>
          <w:szCs w:val="24"/>
          <w:lang w:val="en-US" w:eastAsia="zh-CN"/>
        </w:rPr>
        <w:t>Int J Cardiol</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166</w:t>
      </w:r>
      <w:r w:rsidRPr="001326F0">
        <w:rPr>
          <w:rFonts w:ascii="Book Antiqua" w:eastAsia="SimSun" w:hAnsi="Book Antiqua" w:cs="SimSun"/>
          <w:sz w:val="24"/>
          <w:szCs w:val="24"/>
          <w:lang w:val="en-US" w:eastAsia="zh-CN"/>
        </w:rPr>
        <w:t>: 111-117 [PMID: 22088224 DOI: 10.1016/j.ijcard.2011.10.006]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 </w:t>
      </w:r>
      <w:r w:rsidRPr="001326F0">
        <w:rPr>
          <w:rFonts w:ascii="Book Antiqua" w:eastAsia="SimSun" w:hAnsi="Book Antiqua" w:cs="SimSun"/>
          <w:b/>
          <w:bCs/>
          <w:sz w:val="24"/>
          <w:szCs w:val="24"/>
          <w:lang w:val="en-US" w:eastAsia="zh-CN"/>
        </w:rPr>
        <w:t>Franzosi MG</w:t>
      </w:r>
      <w:r w:rsidRPr="001326F0">
        <w:rPr>
          <w:rFonts w:ascii="Book Antiqua" w:eastAsia="SimSun" w:hAnsi="Book Antiqua" w:cs="SimSun"/>
          <w:sz w:val="24"/>
          <w:szCs w:val="24"/>
          <w:lang w:val="en-US" w:eastAsia="zh-CN"/>
        </w:rPr>
        <w:t xml:space="preserve">. Should we continue to use BMI as a cardiovascular risk factor? </w:t>
      </w:r>
      <w:r w:rsidRPr="001326F0">
        <w:rPr>
          <w:rFonts w:ascii="Book Antiqua" w:eastAsia="SimSun" w:hAnsi="Book Antiqua" w:cs="SimSun"/>
          <w:i/>
          <w:iCs/>
          <w:sz w:val="24"/>
          <w:szCs w:val="24"/>
          <w:lang w:val="en-US" w:eastAsia="zh-CN"/>
        </w:rPr>
        <w:t>Lancet</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368</w:t>
      </w:r>
      <w:r w:rsidRPr="001326F0">
        <w:rPr>
          <w:rFonts w:ascii="Book Antiqua" w:eastAsia="SimSun" w:hAnsi="Book Antiqua" w:cs="SimSun"/>
          <w:sz w:val="24"/>
          <w:szCs w:val="24"/>
          <w:lang w:val="en-US" w:eastAsia="zh-CN"/>
        </w:rPr>
        <w:t>: 624-625 [PMID: 16920449]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 </w:t>
      </w:r>
      <w:r w:rsidRPr="001326F0">
        <w:rPr>
          <w:rFonts w:ascii="Book Antiqua" w:eastAsia="SimSun" w:hAnsi="Book Antiqua" w:cs="SimSun"/>
          <w:b/>
          <w:bCs/>
          <w:sz w:val="24"/>
          <w:szCs w:val="24"/>
          <w:lang w:val="en-US" w:eastAsia="zh-CN"/>
        </w:rPr>
        <w:t>Romero-Corral A</w:t>
      </w:r>
      <w:r w:rsidRPr="001326F0">
        <w:rPr>
          <w:rFonts w:ascii="Book Antiqua" w:eastAsia="SimSun" w:hAnsi="Book Antiqua" w:cs="SimSun"/>
          <w:sz w:val="24"/>
          <w:szCs w:val="24"/>
          <w:lang w:val="en-US" w:eastAsia="zh-CN"/>
        </w:rPr>
        <w:t xml:space="preserve">, Somers VK, Sierra-Johnson J, Thomas RJ, Collazo-Clavell ML, Korinek J, Allison TG, Batsis JA, Sert-Kuniyoshi FH, Lopez-Jimenez F. Accuracy of body mass index in diagnosing obesity in the adult general population. </w:t>
      </w:r>
      <w:r w:rsidRPr="001326F0">
        <w:rPr>
          <w:rFonts w:ascii="Book Antiqua" w:eastAsia="SimSun" w:hAnsi="Book Antiqua" w:cs="SimSun"/>
          <w:i/>
          <w:iCs/>
          <w:sz w:val="24"/>
          <w:szCs w:val="24"/>
          <w:lang w:val="en-US" w:eastAsia="zh-CN"/>
        </w:rPr>
        <w:t>Int J Obes (Lond)</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32</w:t>
      </w:r>
      <w:r w:rsidRPr="001326F0">
        <w:rPr>
          <w:rFonts w:ascii="Book Antiqua" w:eastAsia="SimSun" w:hAnsi="Book Antiqua" w:cs="SimSun"/>
          <w:sz w:val="24"/>
          <w:szCs w:val="24"/>
          <w:lang w:val="en-US" w:eastAsia="zh-CN"/>
        </w:rPr>
        <w:t>: 959-966 [PMID: 18283284 DOI: 10.1038/ijo.2008.11]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 </w:t>
      </w:r>
      <w:r w:rsidRPr="001326F0">
        <w:rPr>
          <w:rFonts w:ascii="Book Antiqua" w:eastAsia="SimSun" w:hAnsi="Book Antiqua" w:cs="SimSun"/>
          <w:b/>
          <w:bCs/>
          <w:sz w:val="24"/>
          <w:szCs w:val="24"/>
          <w:lang w:val="en-US" w:eastAsia="zh-CN"/>
        </w:rPr>
        <w:t>Snitker S</w:t>
      </w:r>
      <w:r w:rsidRPr="001326F0">
        <w:rPr>
          <w:rFonts w:ascii="Book Antiqua" w:eastAsia="SimSun" w:hAnsi="Book Antiqua" w:cs="SimSun"/>
          <w:sz w:val="24"/>
          <w:szCs w:val="24"/>
          <w:lang w:val="en-US" w:eastAsia="zh-CN"/>
        </w:rPr>
        <w:t xml:space="preserve">. Use of body fatness cutoff points. </w:t>
      </w:r>
      <w:r w:rsidRPr="001326F0">
        <w:rPr>
          <w:rFonts w:ascii="Book Antiqua" w:eastAsia="SimSun" w:hAnsi="Book Antiqua" w:cs="SimSun"/>
          <w:i/>
          <w:iCs/>
          <w:sz w:val="24"/>
          <w:szCs w:val="24"/>
          <w:lang w:val="en-US" w:eastAsia="zh-CN"/>
        </w:rPr>
        <w:t>Mayo Clin Proc</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85</w:t>
      </w:r>
      <w:r w:rsidRPr="001326F0">
        <w:rPr>
          <w:rFonts w:ascii="Book Antiqua" w:eastAsia="SimSun" w:hAnsi="Book Antiqua" w:cs="SimSun"/>
          <w:sz w:val="24"/>
          <w:szCs w:val="24"/>
          <w:lang w:val="en-US" w:eastAsia="zh-CN"/>
        </w:rPr>
        <w:t>: 1057; author reply 1057-1058 [PMID: 21037049 DOI: 10.4065/mcp.2010.0583]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 </w:t>
      </w:r>
      <w:r w:rsidRPr="001326F0">
        <w:rPr>
          <w:rFonts w:ascii="Book Antiqua" w:eastAsia="SimSun" w:hAnsi="Book Antiqua" w:cs="SimSun"/>
          <w:b/>
          <w:bCs/>
          <w:sz w:val="24"/>
          <w:szCs w:val="24"/>
          <w:lang w:val="en-US" w:eastAsia="zh-CN"/>
        </w:rPr>
        <w:t>De Lorenzo A</w:t>
      </w:r>
      <w:r w:rsidRPr="001326F0">
        <w:rPr>
          <w:rFonts w:ascii="Book Antiqua" w:eastAsia="SimSun" w:hAnsi="Book Antiqua" w:cs="SimSun"/>
          <w:sz w:val="24"/>
          <w:szCs w:val="24"/>
          <w:lang w:val="en-US" w:eastAsia="zh-CN"/>
        </w:rPr>
        <w:t xml:space="preserve">, Deurenberg P, Pietrantuono M, Di Daniele N, Cervelli V, Andreoli A. How fat is obese? </w:t>
      </w:r>
      <w:r w:rsidRPr="001326F0">
        <w:rPr>
          <w:rFonts w:ascii="Book Antiqua" w:eastAsia="SimSun" w:hAnsi="Book Antiqua" w:cs="SimSun"/>
          <w:i/>
          <w:iCs/>
          <w:sz w:val="24"/>
          <w:szCs w:val="24"/>
          <w:lang w:val="en-US" w:eastAsia="zh-CN"/>
        </w:rPr>
        <w:t>Acta Diabetol</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40 Suppl 1</w:t>
      </w:r>
      <w:r w:rsidRPr="001326F0">
        <w:rPr>
          <w:rFonts w:ascii="Book Antiqua" w:eastAsia="SimSun" w:hAnsi="Book Antiqua" w:cs="SimSun"/>
          <w:sz w:val="24"/>
          <w:szCs w:val="24"/>
          <w:lang w:val="en-US" w:eastAsia="zh-CN"/>
        </w:rPr>
        <w:t>: S254-S257 [PMID: 14618486]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20 </w:t>
      </w:r>
      <w:r w:rsidRPr="001326F0">
        <w:rPr>
          <w:rFonts w:ascii="Book Antiqua" w:eastAsia="SimSun" w:hAnsi="Book Antiqua" w:cs="SimSun"/>
          <w:b/>
          <w:bCs/>
          <w:sz w:val="24"/>
          <w:szCs w:val="24"/>
          <w:lang w:val="en-US" w:eastAsia="zh-CN"/>
        </w:rPr>
        <w:t>De Lorenzo A</w:t>
      </w:r>
      <w:r w:rsidRPr="001326F0">
        <w:rPr>
          <w:rFonts w:ascii="Book Antiqua" w:eastAsia="SimSun" w:hAnsi="Book Antiqua" w:cs="SimSun"/>
          <w:sz w:val="24"/>
          <w:szCs w:val="24"/>
          <w:lang w:val="en-US" w:eastAsia="zh-CN"/>
        </w:rPr>
        <w:t xml:space="preserve">, Nardi A, Iacopino L, Domino E, Murdolo G, Gavrila C, Minella D, Scapagnini G, Di Renzo L. A new predictive equation for evaluating women body fat percentage and obesity-related cardiovascular disease risk. </w:t>
      </w:r>
      <w:r w:rsidRPr="001326F0">
        <w:rPr>
          <w:rFonts w:ascii="Book Antiqua" w:eastAsia="SimSun" w:hAnsi="Book Antiqua" w:cs="SimSun"/>
          <w:i/>
          <w:iCs/>
          <w:sz w:val="24"/>
          <w:szCs w:val="24"/>
          <w:lang w:val="en-US" w:eastAsia="zh-CN"/>
        </w:rPr>
        <w:t>J Endocrinol Invest</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37</w:t>
      </w:r>
      <w:r w:rsidRPr="001326F0">
        <w:rPr>
          <w:rFonts w:ascii="Book Antiqua" w:eastAsia="SimSun" w:hAnsi="Book Antiqua" w:cs="SimSun"/>
          <w:sz w:val="24"/>
          <w:szCs w:val="24"/>
          <w:lang w:val="en-US" w:eastAsia="zh-CN"/>
        </w:rPr>
        <w:t>: 511-524 [PMID: 24458830 DOI: 10.1007/s40618-013-0048-3]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 </w:t>
      </w:r>
      <w:r w:rsidRPr="001326F0">
        <w:rPr>
          <w:rFonts w:ascii="Book Antiqua" w:eastAsia="SimSun" w:hAnsi="Book Antiqua" w:cs="SimSun"/>
          <w:b/>
          <w:bCs/>
          <w:sz w:val="24"/>
          <w:szCs w:val="24"/>
          <w:lang w:val="en-US" w:eastAsia="zh-CN"/>
        </w:rPr>
        <w:t>Flegal KM</w:t>
      </w:r>
      <w:r w:rsidRPr="001326F0">
        <w:rPr>
          <w:rFonts w:ascii="Book Antiqua" w:eastAsia="SimSun" w:hAnsi="Book Antiqua" w:cs="SimSun"/>
          <w:sz w:val="24"/>
          <w:szCs w:val="24"/>
          <w:lang w:val="en-US" w:eastAsia="zh-CN"/>
        </w:rPr>
        <w:t xml:space="preserve">, Shepherd JA, Looker AC, Graubard BI, Borrud LG, Ogden CL, Harris TB, Everhart JE, Schenker N. Comparisons of percentage body fat, body mass index, waist circumference, and waist-stature ratio in adults.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89</w:t>
      </w:r>
      <w:r w:rsidRPr="001326F0">
        <w:rPr>
          <w:rFonts w:ascii="Book Antiqua" w:eastAsia="SimSun" w:hAnsi="Book Antiqua" w:cs="SimSun"/>
          <w:sz w:val="24"/>
          <w:szCs w:val="24"/>
          <w:lang w:val="en-US" w:eastAsia="zh-CN"/>
        </w:rPr>
        <w:t>: 500-508 [PMID: 19116329 DOI: 10.3945/ajcn.2008.26847]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 </w:t>
      </w:r>
      <w:r w:rsidRPr="001326F0">
        <w:rPr>
          <w:rFonts w:ascii="Book Antiqua" w:eastAsia="SimSun" w:hAnsi="Book Antiqua" w:cs="SimSun"/>
          <w:b/>
          <w:bCs/>
          <w:sz w:val="24"/>
          <w:szCs w:val="24"/>
          <w:lang w:val="en-US" w:eastAsia="zh-CN"/>
        </w:rPr>
        <w:t>Li C</w:t>
      </w:r>
      <w:r w:rsidRPr="001326F0">
        <w:rPr>
          <w:rFonts w:ascii="Book Antiqua" w:eastAsia="SimSun" w:hAnsi="Book Antiqua" w:cs="SimSun"/>
          <w:sz w:val="24"/>
          <w:szCs w:val="24"/>
          <w:lang w:val="en-US" w:eastAsia="zh-CN"/>
        </w:rPr>
        <w:t xml:space="preserve">, Ford ES, Zhao G, Balluz LS, Giles WH. Estimates of body composition with dual-energy X-ray absorptiometry in adults.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90</w:t>
      </w:r>
      <w:r w:rsidRPr="001326F0">
        <w:rPr>
          <w:rFonts w:ascii="Book Antiqua" w:eastAsia="SimSun" w:hAnsi="Book Antiqua" w:cs="SimSun"/>
          <w:sz w:val="24"/>
          <w:szCs w:val="24"/>
          <w:lang w:val="en-US" w:eastAsia="zh-CN"/>
        </w:rPr>
        <w:t>: 1457-1465 [PMID: 19812179 DOI: 10.3945/ajcn.2009.28141]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 </w:t>
      </w:r>
      <w:r w:rsidRPr="001326F0">
        <w:rPr>
          <w:rFonts w:ascii="Book Antiqua" w:eastAsia="SimSun" w:hAnsi="Book Antiqua" w:cs="SimSun"/>
          <w:b/>
          <w:bCs/>
          <w:sz w:val="24"/>
          <w:szCs w:val="24"/>
          <w:lang w:val="en-US" w:eastAsia="zh-CN"/>
        </w:rPr>
        <w:t>Gallagher D</w:t>
      </w:r>
      <w:r w:rsidRPr="001326F0">
        <w:rPr>
          <w:rFonts w:ascii="Book Antiqua" w:eastAsia="SimSun" w:hAnsi="Book Antiqua" w:cs="SimSun"/>
          <w:sz w:val="24"/>
          <w:szCs w:val="24"/>
          <w:lang w:val="en-US" w:eastAsia="zh-CN"/>
        </w:rPr>
        <w:t xml:space="preserve">, Heymsfield SB, Heo M, Jebb SA, Murgatroyd PR, Sakamoto Y. Healthy percentage body fat ranges: an approach for developing guidelines based on body mass index.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72</w:t>
      </w:r>
      <w:r w:rsidRPr="001326F0">
        <w:rPr>
          <w:rFonts w:ascii="Book Antiqua" w:eastAsia="SimSun" w:hAnsi="Book Antiqua" w:cs="SimSun"/>
          <w:sz w:val="24"/>
          <w:szCs w:val="24"/>
          <w:lang w:val="en-US" w:eastAsia="zh-CN"/>
        </w:rPr>
        <w:t>: 694-701 [PMID: 10966886]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 Clinical Guidelines on the Identification, Evaluation, and Treatment of Overweight and Obesity in Adults--The Evidence Report. National Institutes of Health. </w:t>
      </w:r>
      <w:r w:rsidRPr="001326F0">
        <w:rPr>
          <w:rFonts w:ascii="Book Antiqua" w:eastAsia="SimSun" w:hAnsi="Book Antiqua" w:cs="SimSun"/>
          <w:i/>
          <w:iCs/>
          <w:sz w:val="24"/>
          <w:szCs w:val="24"/>
          <w:lang w:val="en-US" w:eastAsia="zh-CN"/>
        </w:rPr>
        <w:t>Obes Res</w:t>
      </w:r>
      <w:r w:rsidRPr="001326F0">
        <w:rPr>
          <w:rFonts w:ascii="Book Antiqua" w:eastAsia="SimSun" w:hAnsi="Book Antiqua" w:cs="SimSun"/>
          <w:sz w:val="24"/>
          <w:szCs w:val="24"/>
          <w:lang w:val="en-US" w:eastAsia="zh-CN"/>
        </w:rPr>
        <w:t xml:space="preserve"> 1998; </w:t>
      </w:r>
      <w:r w:rsidRPr="001326F0">
        <w:rPr>
          <w:rFonts w:ascii="Book Antiqua" w:eastAsia="SimSun" w:hAnsi="Book Antiqua" w:cs="SimSun"/>
          <w:b/>
          <w:bCs/>
          <w:sz w:val="24"/>
          <w:szCs w:val="24"/>
          <w:lang w:val="en-US" w:eastAsia="zh-CN"/>
        </w:rPr>
        <w:t>6 Suppl 2</w:t>
      </w:r>
      <w:r w:rsidRPr="001326F0">
        <w:rPr>
          <w:rFonts w:ascii="Book Antiqua" w:eastAsia="SimSun" w:hAnsi="Book Antiqua" w:cs="SimSun"/>
          <w:sz w:val="24"/>
          <w:szCs w:val="24"/>
          <w:lang w:val="en-US" w:eastAsia="zh-CN"/>
        </w:rPr>
        <w:t xml:space="preserve">: 51S-209S [PMID: </w:t>
      </w:r>
      <w:bookmarkStart w:id="300" w:name="OLE_LINK2533"/>
      <w:bookmarkStart w:id="301" w:name="OLE_LINK2534"/>
      <w:r w:rsidRPr="001326F0">
        <w:rPr>
          <w:rFonts w:ascii="Book Antiqua" w:eastAsia="SimSun" w:hAnsi="Book Antiqua" w:cs="SimSun"/>
          <w:sz w:val="24"/>
          <w:szCs w:val="24"/>
          <w:lang w:val="en-US" w:eastAsia="zh-CN"/>
        </w:rPr>
        <w:t>9813653</w:t>
      </w:r>
      <w:bookmarkEnd w:id="300"/>
      <w:bookmarkEnd w:id="301"/>
      <w:r w:rsidRPr="001326F0">
        <w:rPr>
          <w:rFonts w:ascii="Book Antiqua" w:eastAsia="SimSun" w:hAnsi="Book Antiqua" w:cs="SimSun"/>
          <w:sz w:val="24"/>
          <w:szCs w:val="24"/>
          <w:lang w:val="en-US" w:eastAsia="zh-CN"/>
        </w:rPr>
        <w:t>]</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 </w:t>
      </w:r>
      <w:r w:rsidRPr="001326F0">
        <w:rPr>
          <w:rFonts w:ascii="Book Antiqua" w:eastAsia="SimSun" w:hAnsi="Book Antiqua" w:cs="SimSun"/>
          <w:b/>
          <w:bCs/>
          <w:sz w:val="24"/>
          <w:szCs w:val="24"/>
          <w:lang w:val="en-US" w:eastAsia="zh-CN"/>
        </w:rPr>
        <w:t>Fabbrini E</w:t>
      </w:r>
      <w:r w:rsidRPr="001326F0">
        <w:rPr>
          <w:rFonts w:ascii="Book Antiqua" w:eastAsia="SimSun" w:hAnsi="Book Antiqua" w:cs="SimSun"/>
          <w:sz w:val="24"/>
          <w:szCs w:val="24"/>
          <w:lang w:val="en-US" w:eastAsia="zh-CN"/>
        </w:rPr>
        <w:t xml:space="preserve">, Yoshino J, Yoshino M, Magkos F, Tiemann Luecking C, Samovski D, Fraterrigo G, Okunade AL, Patterson BW, Klein S. Metabolically normal obese people are protected from adverse effects following weight gain. </w:t>
      </w:r>
      <w:r w:rsidRPr="001326F0">
        <w:rPr>
          <w:rFonts w:ascii="Book Antiqua" w:eastAsia="SimSun" w:hAnsi="Book Antiqua" w:cs="SimSun"/>
          <w:i/>
          <w:iCs/>
          <w:sz w:val="24"/>
          <w:szCs w:val="24"/>
          <w:lang w:val="en-US" w:eastAsia="zh-CN"/>
        </w:rPr>
        <w:t>J Clin Invest</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125</w:t>
      </w:r>
      <w:r w:rsidRPr="001326F0">
        <w:rPr>
          <w:rFonts w:ascii="Book Antiqua" w:eastAsia="SimSun" w:hAnsi="Book Antiqua" w:cs="SimSun"/>
          <w:sz w:val="24"/>
          <w:szCs w:val="24"/>
          <w:lang w:val="en-US" w:eastAsia="zh-CN"/>
        </w:rPr>
        <w:t>: 787-795 [PMID: 25555214 DOI: 10.1172/JCI78425]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26 </w:t>
      </w:r>
      <w:r w:rsidRPr="001326F0">
        <w:rPr>
          <w:rFonts w:ascii="Book Antiqua" w:eastAsia="SimSun" w:hAnsi="Book Antiqua" w:cs="SimSun"/>
          <w:b/>
          <w:bCs/>
          <w:sz w:val="24"/>
          <w:szCs w:val="24"/>
          <w:lang w:val="en-US" w:eastAsia="zh-CN"/>
        </w:rPr>
        <w:t>Fukuhara A</w:t>
      </w:r>
      <w:r w:rsidRPr="001326F0">
        <w:rPr>
          <w:rFonts w:ascii="Book Antiqua" w:eastAsia="SimSun" w:hAnsi="Book Antiqua" w:cs="SimSun"/>
          <w:sz w:val="24"/>
          <w:szCs w:val="24"/>
          <w:lang w:val="en-US" w:eastAsia="zh-CN"/>
        </w:rPr>
        <w:t xml:space="preserve">, Matsuda M, Nishizawa M, Segawa K, Tanaka M, Kishimoto K, Matsuki Y, Murakami M, Ichisaka T, Murakami H, Watanabe E, Takagi T, Akiyoshi M, Ohtsubo T, Kihara S, Yamashita S, Makishima M, Funahashi T, Yamanaka S, Hiramatsu R, Matsuzawa Y, Shimomura I. Visfatin: a protein secreted by visceral fat that mimics the effects of insulin. </w:t>
      </w:r>
      <w:r w:rsidRPr="001326F0">
        <w:rPr>
          <w:rFonts w:ascii="Book Antiqua" w:eastAsia="SimSun" w:hAnsi="Book Antiqua" w:cs="SimSun"/>
          <w:i/>
          <w:iCs/>
          <w:sz w:val="24"/>
          <w:szCs w:val="24"/>
          <w:lang w:val="en-US" w:eastAsia="zh-CN"/>
        </w:rPr>
        <w:t>Science</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307</w:t>
      </w:r>
      <w:r w:rsidRPr="001326F0">
        <w:rPr>
          <w:rFonts w:ascii="Book Antiqua" w:eastAsia="SimSun" w:hAnsi="Book Antiqua" w:cs="SimSun"/>
          <w:sz w:val="24"/>
          <w:szCs w:val="24"/>
          <w:lang w:val="en-US" w:eastAsia="zh-CN"/>
        </w:rPr>
        <w:t>: 426-430 [PMID: 15604363]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27 </w:t>
      </w:r>
      <w:r w:rsidRPr="001326F0">
        <w:rPr>
          <w:rFonts w:ascii="Book Antiqua" w:eastAsia="SimSun" w:hAnsi="Book Antiqua" w:cs="SimSun"/>
          <w:b/>
          <w:bCs/>
          <w:sz w:val="24"/>
          <w:szCs w:val="24"/>
          <w:lang w:val="en-US" w:eastAsia="zh-CN"/>
        </w:rPr>
        <w:t>Moller DE</w:t>
      </w:r>
      <w:r w:rsidRPr="001326F0">
        <w:rPr>
          <w:rFonts w:ascii="Book Antiqua" w:eastAsia="SimSun" w:hAnsi="Book Antiqua" w:cs="SimSun"/>
          <w:sz w:val="24"/>
          <w:szCs w:val="24"/>
          <w:lang w:val="en-US" w:eastAsia="zh-CN"/>
        </w:rPr>
        <w:t xml:space="preserve">, Kaufman KD. Metabolic syndrome: a clinical and molecular perspective. </w:t>
      </w:r>
      <w:r w:rsidRPr="001326F0">
        <w:rPr>
          <w:rFonts w:ascii="Book Antiqua" w:eastAsia="SimSun" w:hAnsi="Book Antiqua" w:cs="SimSun"/>
          <w:i/>
          <w:iCs/>
          <w:sz w:val="24"/>
          <w:szCs w:val="24"/>
          <w:lang w:val="en-US" w:eastAsia="zh-CN"/>
        </w:rPr>
        <w:t>Annu Rev Med</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56</w:t>
      </w:r>
      <w:r w:rsidRPr="001326F0">
        <w:rPr>
          <w:rFonts w:ascii="Book Antiqua" w:eastAsia="SimSun" w:hAnsi="Book Antiqua" w:cs="SimSun"/>
          <w:sz w:val="24"/>
          <w:szCs w:val="24"/>
          <w:lang w:val="en-US" w:eastAsia="zh-CN"/>
        </w:rPr>
        <w:t>: 45-62 [PMID: 15660501]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28 </w:t>
      </w:r>
      <w:r w:rsidRPr="001326F0">
        <w:rPr>
          <w:rFonts w:ascii="Book Antiqua" w:eastAsia="SimSun" w:hAnsi="Book Antiqua" w:cs="SimSun"/>
          <w:b/>
          <w:bCs/>
          <w:sz w:val="24"/>
          <w:szCs w:val="24"/>
          <w:lang w:val="en-US" w:eastAsia="zh-CN"/>
        </w:rPr>
        <w:t>Wallenius V</w:t>
      </w:r>
      <w:r w:rsidRPr="001326F0">
        <w:rPr>
          <w:rFonts w:ascii="Book Antiqua" w:eastAsia="SimSun" w:hAnsi="Book Antiqua" w:cs="SimSun"/>
          <w:sz w:val="24"/>
          <w:szCs w:val="24"/>
          <w:lang w:val="en-US" w:eastAsia="zh-CN"/>
        </w:rPr>
        <w:t xml:space="preserve">, Wallenius K, Ahrén B, Rudling M, Carlsten H, Dickson SL, Ohlsson C, Jansson JO. Interleukin-6-deficient mice develop mature-onset obesity. </w:t>
      </w:r>
      <w:r w:rsidRPr="001326F0">
        <w:rPr>
          <w:rFonts w:ascii="Book Antiqua" w:eastAsia="SimSun" w:hAnsi="Book Antiqua" w:cs="SimSun"/>
          <w:i/>
          <w:iCs/>
          <w:sz w:val="24"/>
          <w:szCs w:val="24"/>
          <w:lang w:val="en-US" w:eastAsia="zh-CN"/>
        </w:rPr>
        <w:t>Nat Med</w:t>
      </w:r>
      <w:r w:rsidRPr="001326F0">
        <w:rPr>
          <w:rFonts w:ascii="Book Antiqua" w:eastAsia="SimSun" w:hAnsi="Book Antiqua" w:cs="SimSun"/>
          <w:sz w:val="24"/>
          <w:szCs w:val="24"/>
          <w:lang w:val="en-US" w:eastAsia="zh-CN"/>
        </w:rPr>
        <w:t xml:space="preserve"> 2002; </w:t>
      </w:r>
      <w:r w:rsidRPr="001326F0">
        <w:rPr>
          <w:rFonts w:ascii="Book Antiqua" w:eastAsia="SimSun" w:hAnsi="Book Antiqua" w:cs="SimSun"/>
          <w:b/>
          <w:bCs/>
          <w:sz w:val="24"/>
          <w:szCs w:val="24"/>
          <w:lang w:val="en-US" w:eastAsia="zh-CN"/>
        </w:rPr>
        <w:t>8</w:t>
      </w:r>
      <w:r w:rsidRPr="001326F0">
        <w:rPr>
          <w:rFonts w:ascii="Book Antiqua" w:eastAsia="SimSun" w:hAnsi="Book Antiqua" w:cs="SimSun"/>
          <w:sz w:val="24"/>
          <w:szCs w:val="24"/>
          <w:lang w:val="en-US" w:eastAsia="zh-CN"/>
        </w:rPr>
        <w:t>: 75-79 [PMID: 11786910]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29 </w:t>
      </w:r>
      <w:r w:rsidRPr="001326F0">
        <w:rPr>
          <w:rFonts w:ascii="Book Antiqua" w:eastAsia="SimSun" w:hAnsi="Book Antiqua" w:cs="SimSun"/>
          <w:b/>
          <w:bCs/>
          <w:sz w:val="24"/>
          <w:szCs w:val="24"/>
          <w:lang w:val="en-US" w:eastAsia="zh-CN"/>
        </w:rPr>
        <w:t>Janssen I</w:t>
      </w:r>
      <w:r w:rsidRPr="001326F0">
        <w:rPr>
          <w:rFonts w:ascii="Book Antiqua" w:eastAsia="SimSun" w:hAnsi="Book Antiqua" w:cs="SimSun"/>
          <w:sz w:val="24"/>
          <w:szCs w:val="24"/>
          <w:lang w:val="en-US" w:eastAsia="zh-CN"/>
        </w:rPr>
        <w:t xml:space="preserve">, Katzmarzyk PT, Ross R. Waist circumference and not body mass index explains obesity-related health risk.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79</w:t>
      </w:r>
      <w:r w:rsidRPr="001326F0">
        <w:rPr>
          <w:rFonts w:ascii="Book Antiqua" w:eastAsia="SimSun" w:hAnsi="Book Antiqua" w:cs="SimSun"/>
          <w:sz w:val="24"/>
          <w:szCs w:val="24"/>
          <w:lang w:val="en-US" w:eastAsia="zh-CN"/>
        </w:rPr>
        <w:t>: 379-384 [PMID: 14985210]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30 </w:t>
      </w:r>
      <w:r w:rsidRPr="001326F0">
        <w:rPr>
          <w:rFonts w:ascii="Book Antiqua" w:eastAsia="SimSun" w:hAnsi="Book Antiqua" w:cs="SimSun"/>
          <w:b/>
          <w:bCs/>
          <w:sz w:val="24"/>
          <w:szCs w:val="24"/>
          <w:lang w:val="en-US" w:eastAsia="zh-CN"/>
        </w:rPr>
        <w:t>Bombelli M</w:t>
      </w:r>
      <w:r w:rsidRPr="001326F0">
        <w:rPr>
          <w:rFonts w:ascii="Book Antiqua" w:eastAsia="SimSun" w:hAnsi="Book Antiqua" w:cs="SimSun"/>
          <w:sz w:val="24"/>
          <w:szCs w:val="24"/>
          <w:lang w:val="en-US" w:eastAsia="zh-CN"/>
        </w:rPr>
        <w:t xml:space="preserve">, Facchetti R, Fodri D, Brambilla G, Sega R, Grassi G, Mancia G. Impact of body mass index and waist circumference on the cardiovascular risk and all-cause death in a general population: data from the PAMELA study. </w:t>
      </w:r>
      <w:r w:rsidRPr="001326F0">
        <w:rPr>
          <w:rFonts w:ascii="Book Antiqua" w:eastAsia="SimSun" w:hAnsi="Book Antiqua" w:cs="SimSun"/>
          <w:i/>
          <w:iCs/>
          <w:sz w:val="24"/>
          <w:szCs w:val="24"/>
          <w:lang w:val="en-US" w:eastAsia="zh-CN"/>
        </w:rPr>
        <w:t>Nutr Metab Cardiovasc Dis</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23</w:t>
      </w:r>
      <w:r w:rsidRPr="001326F0">
        <w:rPr>
          <w:rFonts w:ascii="Book Antiqua" w:eastAsia="SimSun" w:hAnsi="Book Antiqua" w:cs="SimSun"/>
          <w:sz w:val="24"/>
          <w:szCs w:val="24"/>
          <w:lang w:val="en-US" w:eastAsia="zh-CN"/>
        </w:rPr>
        <w:t>: 650-656 [PMID: 22633796 DOI: 0.1016/j.numecd.2012.01.004]</w:t>
      </w:r>
    </w:p>
    <w:p w:rsidR="0031238A" w:rsidRPr="001326F0" w:rsidRDefault="0031238A" w:rsidP="0031238A">
      <w:pPr>
        <w:widowControl w:val="0"/>
        <w:autoSpaceDE w:val="0"/>
        <w:autoSpaceDN w:val="0"/>
        <w:adjustRightInd w:val="0"/>
        <w:snapToGrid w:val="0"/>
        <w:spacing w:after="0" w:line="360" w:lineRule="auto"/>
        <w:jc w:val="both"/>
        <w:rPr>
          <w:rFonts w:ascii="Book Antiqua" w:eastAsia="SimSun" w:hAnsi="Book Antiqua" w:cs="Times New Roman"/>
          <w:bCs/>
          <w:kern w:val="2"/>
          <w:sz w:val="24"/>
          <w:szCs w:val="24"/>
          <w:lang w:val="en-US" w:eastAsia="zh-CN"/>
        </w:rPr>
      </w:pPr>
      <w:r w:rsidRPr="001326F0">
        <w:rPr>
          <w:rFonts w:ascii="Book Antiqua" w:eastAsia="SimSun" w:hAnsi="Book Antiqua" w:cs="SimSun" w:hint="eastAsia"/>
          <w:sz w:val="24"/>
          <w:szCs w:val="24"/>
          <w:lang w:val="en-US" w:eastAsia="zh-CN"/>
        </w:rPr>
        <w:t xml:space="preserve">31 </w:t>
      </w:r>
      <w:r w:rsidRPr="001326F0">
        <w:rPr>
          <w:rFonts w:ascii="Book Antiqua" w:eastAsia="SimSun" w:hAnsi="Book Antiqua" w:cs="Times New Roman"/>
          <w:b/>
          <w:bCs/>
          <w:kern w:val="2"/>
          <w:sz w:val="24"/>
          <w:szCs w:val="24"/>
          <w:lang w:val="en-US" w:eastAsia="zh-CN"/>
        </w:rPr>
        <w:t>Kanaya AM</w:t>
      </w:r>
      <w:r w:rsidRPr="001326F0">
        <w:rPr>
          <w:rFonts w:ascii="Book Antiqua" w:eastAsia="SimSun" w:hAnsi="Book Antiqua" w:cs="Times New Roman"/>
          <w:bCs/>
          <w:kern w:val="2"/>
          <w:sz w:val="24"/>
          <w:szCs w:val="24"/>
          <w:lang w:val="en-US" w:eastAsia="zh-CN"/>
        </w:rPr>
        <w:t>, Vittinghoff E, Shlipak MG, Resnick HE, Visser M, Grady D, Barrett-Connor E.</w:t>
      </w:r>
      <w:r w:rsidRPr="001326F0" w:rsidDel="00764692">
        <w:rPr>
          <w:rFonts w:ascii="Book Antiqua" w:eastAsia="SimSun" w:hAnsi="Book Antiqua" w:cs="Times New Roman"/>
          <w:bCs/>
          <w:kern w:val="2"/>
          <w:sz w:val="24"/>
          <w:szCs w:val="24"/>
          <w:lang w:val="en-US" w:eastAsia="zh-CN"/>
        </w:rPr>
        <w:t xml:space="preserve"> </w:t>
      </w:r>
      <w:r w:rsidRPr="001326F0">
        <w:rPr>
          <w:rFonts w:ascii="Book Antiqua" w:eastAsia="SimSun" w:hAnsi="Book Antiqua" w:cs="Times New Roman"/>
          <w:bCs/>
          <w:kern w:val="2"/>
          <w:sz w:val="24"/>
          <w:szCs w:val="24"/>
          <w:lang w:val="en-US" w:eastAsia="zh-CN"/>
        </w:rPr>
        <w:t xml:space="preserve">Association of total and central obesity with mortality in postmenopausal women with coronary heart disease. </w:t>
      </w:r>
      <w:bookmarkStart w:id="302" w:name="OLE_LINK2521"/>
      <w:bookmarkStart w:id="303" w:name="OLE_LINK2522"/>
      <w:r w:rsidRPr="001326F0">
        <w:rPr>
          <w:rFonts w:ascii="Book Antiqua" w:eastAsia="SimSun" w:hAnsi="Book Antiqua" w:cs="Times New Roman"/>
          <w:bCs/>
          <w:i/>
          <w:kern w:val="2"/>
          <w:sz w:val="24"/>
          <w:szCs w:val="24"/>
          <w:lang w:val="en-US" w:eastAsia="zh-CN"/>
        </w:rPr>
        <w:t>Am J Epidemiol</w:t>
      </w:r>
      <w:r w:rsidRPr="001326F0">
        <w:rPr>
          <w:rFonts w:ascii="Book Antiqua" w:eastAsia="SimSun" w:hAnsi="Book Antiqua" w:cs="Times New Roman"/>
          <w:bCs/>
          <w:kern w:val="2"/>
          <w:sz w:val="24"/>
          <w:szCs w:val="24"/>
          <w:lang w:val="en-US" w:eastAsia="zh-CN"/>
        </w:rPr>
        <w:t xml:space="preserve"> 2003; </w:t>
      </w:r>
      <w:r w:rsidRPr="001326F0">
        <w:rPr>
          <w:rFonts w:ascii="Book Antiqua" w:eastAsia="SimSun" w:hAnsi="Book Antiqua" w:cs="Times New Roman"/>
          <w:b/>
          <w:bCs/>
          <w:kern w:val="2"/>
          <w:sz w:val="24"/>
          <w:szCs w:val="24"/>
          <w:lang w:val="en-US" w:eastAsia="zh-CN"/>
        </w:rPr>
        <w:t>158</w:t>
      </w:r>
      <w:r w:rsidRPr="001326F0">
        <w:rPr>
          <w:rFonts w:ascii="Book Antiqua" w:eastAsia="SimSun" w:hAnsi="Book Antiqua" w:cs="Times New Roman"/>
          <w:bCs/>
          <w:kern w:val="2"/>
          <w:sz w:val="24"/>
          <w:szCs w:val="24"/>
          <w:lang w:val="en-US" w:eastAsia="zh-CN"/>
        </w:rPr>
        <w:t>:</w:t>
      </w:r>
      <w:r w:rsidRPr="001326F0">
        <w:rPr>
          <w:rFonts w:ascii="Book Antiqua" w:eastAsia="SimSun" w:hAnsi="Book Antiqua" w:cs="Times New Roman" w:hint="eastAsia"/>
          <w:bCs/>
          <w:kern w:val="2"/>
          <w:sz w:val="24"/>
          <w:szCs w:val="24"/>
          <w:lang w:val="en-US" w:eastAsia="zh-CN"/>
        </w:rPr>
        <w:t xml:space="preserve"> </w:t>
      </w:r>
      <w:r w:rsidRPr="001326F0">
        <w:rPr>
          <w:rFonts w:ascii="Book Antiqua" w:eastAsia="SimSun" w:hAnsi="Book Antiqua" w:cs="Times New Roman"/>
          <w:bCs/>
          <w:kern w:val="2"/>
          <w:sz w:val="24"/>
          <w:szCs w:val="24"/>
          <w:lang w:val="en-US" w:eastAsia="zh-CN"/>
        </w:rPr>
        <w:t xml:space="preserve">1161–1170 </w:t>
      </w:r>
      <w:bookmarkEnd w:id="302"/>
      <w:bookmarkEnd w:id="303"/>
      <w:r w:rsidRPr="001326F0">
        <w:rPr>
          <w:rFonts w:ascii="Book Antiqua" w:eastAsia="SimSun" w:hAnsi="Book Antiqua" w:cs="Times New Roman"/>
          <w:bCs/>
          <w:kern w:val="2"/>
          <w:sz w:val="24"/>
          <w:szCs w:val="24"/>
          <w:lang w:val="en-US" w:eastAsia="zh-CN"/>
        </w:rPr>
        <w:t>[PMID: 14652301]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32 </w:t>
      </w:r>
      <w:r w:rsidRPr="001326F0">
        <w:rPr>
          <w:rFonts w:ascii="Book Antiqua" w:eastAsia="SimSun" w:hAnsi="Book Antiqua" w:cs="SimSun"/>
          <w:b/>
          <w:bCs/>
          <w:sz w:val="24"/>
          <w:szCs w:val="24"/>
          <w:lang w:val="en-US" w:eastAsia="zh-CN"/>
        </w:rPr>
        <w:t>Rexrode KM</w:t>
      </w:r>
      <w:r w:rsidRPr="001326F0">
        <w:rPr>
          <w:rFonts w:ascii="Book Antiqua" w:eastAsia="SimSun" w:hAnsi="Book Antiqua" w:cs="SimSun"/>
          <w:sz w:val="24"/>
          <w:szCs w:val="24"/>
          <w:lang w:val="en-US" w:eastAsia="zh-CN"/>
        </w:rPr>
        <w:t xml:space="preserve">, Carey VJ, Hennekens CH, Walters EE, Colditz GA, Stampfer MJ, Willett WC, Manson JE. Abdominal adiposity and coronary heart disease in women. </w:t>
      </w:r>
      <w:r w:rsidRPr="001326F0">
        <w:rPr>
          <w:rFonts w:ascii="Book Antiqua" w:eastAsia="SimSun" w:hAnsi="Book Antiqua" w:cs="SimSun"/>
          <w:i/>
          <w:iCs/>
          <w:sz w:val="24"/>
          <w:szCs w:val="24"/>
          <w:lang w:val="en-US" w:eastAsia="zh-CN"/>
        </w:rPr>
        <w:t>JAMA</w:t>
      </w:r>
      <w:r w:rsidRPr="001326F0">
        <w:rPr>
          <w:rFonts w:ascii="Book Antiqua" w:eastAsia="SimSun" w:hAnsi="Book Antiqua" w:cs="SimSun"/>
          <w:sz w:val="24"/>
          <w:szCs w:val="24"/>
          <w:lang w:val="en-US" w:eastAsia="zh-CN"/>
        </w:rPr>
        <w:t xml:space="preserve"> 1998; </w:t>
      </w:r>
      <w:r w:rsidRPr="001326F0">
        <w:rPr>
          <w:rFonts w:ascii="Book Antiqua" w:eastAsia="SimSun" w:hAnsi="Book Antiqua" w:cs="SimSun"/>
          <w:b/>
          <w:bCs/>
          <w:sz w:val="24"/>
          <w:szCs w:val="24"/>
          <w:lang w:val="en-US" w:eastAsia="zh-CN"/>
        </w:rPr>
        <w:t>280</w:t>
      </w:r>
      <w:r w:rsidRPr="001326F0">
        <w:rPr>
          <w:rFonts w:ascii="Book Antiqua" w:eastAsia="SimSun" w:hAnsi="Book Antiqua" w:cs="SimSun"/>
          <w:sz w:val="24"/>
          <w:szCs w:val="24"/>
          <w:lang w:val="en-US" w:eastAsia="zh-CN"/>
        </w:rPr>
        <w:t>: 1843-1848 [PMID: 9846779]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33 </w:t>
      </w:r>
      <w:r w:rsidRPr="001326F0">
        <w:rPr>
          <w:rFonts w:ascii="Book Antiqua" w:eastAsia="SimSun" w:hAnsi="Book Antiqua" w:cs="SimSun"/>
          <w:b/>
          <w:bCs/>
          <w:sz w:val="24"/>
          <w:szCs w:val="24"/>
          <w:lang w:val="en-US" w:eastAsia="zh-CN"/>
        </w:rPr>
        <w:t>Tchoukalova YD</w:t>
      </w:r>
      <w:r w:rsidRPr="001326F0">
        <w:rPr>
          <w:rFonts w:ascii="Book Antiqua" w:eastAsia="SimSun" w:hAnsi="Book Antiqua" w:cs="SimSun"/>
          <w:sz w:val="24"/>
          <w:szCs w:val="24"/>
          <w:lang w:val="en-US" w:eastAsia="zh-CN"/>
        </w:rPr>
        <w:t xml:space="preserve">, Votruba SB, Tchkonia T, Giorgadze N, Kirkland JL, Jensen MD. Regional differences in cellular mechanisms of adipose tissue gain with overfeeding. </w:t>
      </w:r>
      <w:r w:rsidRPr="001326F0">
        <w:rPr>
          <w:rFonts w:ascii="Book Antiqua" w:eastAsia="SimSun" w:hAnsi="Book Antiqua" w:cs="SimSun"/>
          <w:i/>
          <w:iCs/>
          <w:sz w:val="24"/>
          <w:szCs w:val="24"/>
          <w:lang w:val="en-US" w:eastAsia="zh-CN"/>
        </w:rPr>
        <w:t>Proc Natl Acad Sci U S A</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107</w:t>
      </w:r>
      <w:r w:rsidRPr="001326F0">
        <w:rPr>
          <w:rFonts w:ascii="Book Antiqua" w:eastAsia="SimSun" w:hAnsi="Book Antiqua" w:cs="SimSun"/>
          <w:sz w:val="24"/>
          <w:szCs w:val="24"/>
          <w:lang w:val="en-US" w:eastAsia="zh-CN"/>
        </w:rPr>
        <w:t>: 18226-18231 [PMID: 20921416 DOI: 10.1073/pnas.1005259107]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34 </w:t>
      </w:r>
      <w:r w:rsidRPr="001326F0">
        <w:rPr>
          <w:rFonts w:ascii="Book Antiqua" w:eastAsia="SimSun" w:hAnsi="Book Antiqua" w:cs="SimSun"/>
          <w:b/>
          <w:bCs/>
          <w:sz w:val="24"/>
          <w:szCs w:val="24"/>
          <w:lang w:val="en-US" w:eastAsia="zh-CN"/>
        </w:rPr>
        <w:t>Veilleux A</w:t>
      </w:r>
      <w:r w:rsidRPr="001326F0">
        <w:rPr>
          <w:rFonts w:ascii="Book Antiqua" w:eastAsia="SimSun" w:hAnsi="Book Antiqua" w:cs="SimSun"/>
          <w:sz w:val="24"/>
          <w:szCs w:val="24"/>
          <w:lang w:val="en-US" w:eastAsia="zh-CN"/>
        </w:rPr>
        <w:t xml:space="preserve">, Caron-Jobin M, Noël S, Laberge PY, Tchernof A. Visceral adipocyte hypertrophy is associated with dyslipidemia independent of body composition and fat distribution in women.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60</w:t>
      </w:r>
      <w:r w:rsidRPr="001326F0">
        <w:rPr>
          <w:rFonts w:ascii="Book Antiqua" w:eastAsia="SimSun" w:hAnsi="Book Antiqua" w:cs="SimSun"/>
          <w:sz w:val="24"/>
          <w:szCs w:val="24"/>
          <w:lang w:val="en-US" w:eastAsia="zh-CN"/>
        </w:rPr>
        <w:t>: 1504-1511 [PMID: 21421806 DOI: 10.2337/db10-1039]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35 </w:t>
      </w:r>
      <w:r w:rsidRPr="001326F0">
        <w:rPr>
          <w:rFonts w:ascii="Book Antiqua" w:eastAsia="SimSun" w:hAnsi="Book Antiqua" w:cs="SimSun"/>
          <w:b/>
          <w:bCs/>
          <w:sz w:val="24"/>
          <w:szCs w:val="24"/>
          <w:lang w:val="en-US" w:eastAsia="zh-CN"/>
        </w:rPr>
        <w:t>Tchoukalova YD</w:t>
      </w:r>
      <w:r w:rsidRPr="001326F0">
        <w:rPr>
          <w:rFonts w:ascii="Book Antiqua" w:eastAsia="SimSun" w:hAnsi="Book Antiqua" w:cs="SimSun"/>
          <w:sz w:val="24"/>
          <w:szCs w:val="24"/>
          <w:lang w:val="en-US" w:eastAsia="zh-CN"/>
        </w:rPr>
        <w:t xml:space="preserve">, Koutsari C, Karpyak MV, Votruba SB, Wendland E, Jensen MD. Subcutaneous adipocyte size and body fat distribution.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87</w:t>
      </w:r>
      <w:r w:rsidRPr="001326F0">
        <w:rPr>
          <w:rFonts w:ascii="Book Antiqua" w:eastAsia="SimSun" w:hAnsi="Book Antiqua" w:cs="SimSun"/>
          <w:sz w:val="24"/>
          <w:szCs w:val="24"/>
          <w:lang w:val="en-US" w:eastAsia="zh-CN"/>
        </w:rPr>
        <w:t>: 56-63 [PMID: 18175737]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36 </w:t>
      </w:r>
      <w:r w:rsidRPr="001326F0">
        <w:rPr>
          <w:rFonts w:ascii="Book Antiqua" w:eastAsia="SimSun" w:hAnsi="Book Antiqua" w:cs="SimSun"/>
          <w:b/>
          <w:bCs/>
          <w:sz w:val="24"/>
          <w:szCs w:val="24"/>
          <w:lang w:val="en-US" w:eastAsia="zh-CN"/>
        </w:rPr>
        <w:t>Bays H</w:t>
      </w:r>
      <w:r w:rsidRPr="001326F0">
        <w:rPr>
          <w:rFonts w:ascii="Book Antiqua" w:eastAsia="SimSun" w:hAnsi="Book Antiqua" w:cs="SimSun"/>
          <w:sz w:val="24"/>
          <w:szCs w:val="24"/>
          <w:lang w:val="en-US" w:eastAsia="zh-CN"/>
        </w:rPr>
        <w:t xml:space="preserve">, Abate N, Chandalia M. Adiposopathy: sick fat causes high blood sugar, high blood pressure and dyslipidemia. </w:t>
      </w:r>
      <w:r w:rsidRPr="001326F0">
        <w:rPr>
          <w:rFonts w:ascii="Book Antiqua" w:eastAsia="SimSun" w:hAnsi="Book Antiqua" w:cs="SimSun"/>
          <w:i/>
          <w:iCs/>
          <w:sz w:val="24"/>
          <w:szCs w:val="24"/>
          <w:lang w:val="en-US" w:eastAsia="zh-CN"/>
        </w:rPr>
        <w:t>Future Cardiol</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1</w:t>
      </w:r>
      <w:r w:rsidRPr="001326F0">
        <w:rPr>
          <w:rFonts w:ascii="Book Antiqua" w:eastAsia="SimSun" w:hAnsi="Book Antiqua" w:cs="SimSun"/>
          <w:sz w:val="24"/>
          <w:szCs w:val="24"/>
          <w:lang w:val="en-US" w:eastAsia="zh-CN"/>
        </w:rPr>
        <w:t>: 39-59 [PMID: 19804060 DOI: 10.1517/14796678.1.1.39]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37</w:t>
      </w:r>
      <w:r w:rsidRPr="001326F0">
        <w:rPr>
          <w:rFonts w:ascii="Book Antiqua" w:eastAsia="SimSun" w:hAnsi="Book Antiqua" w:cs="SimSun"/>
          <w:b/>
          <w:sz w:val="24"/>
          <w:szCs w:val="24"/>
          <w:lang w:val="en-US" w:eastAsia="zh-CN"/>
        </w:rPr>
        <w:t xml:space="preserve"> Bays H</w:t>
      </w:r>
      <w:r w:rsidRPr="001326F0">
        <w:rPr>
          <w:rFonts w:ascii="Book Antiqua" w:eastAsia="SimSun" w:hAnsi="Book Antiqua" w:cs="SimSun"/>
          <w:sz w:val="24"/>
          <w:szCs w:val="24"/>
          <w:lang w:val="en-US" w:eastAsia="zh-CN"/>
        </w:rPr>
        <w:t xml:space="preserve">, Ballantyne C. Adiposopathy: why do adiposity and obesity cause metabolic disease? </w:t>
      </w:r>
      <w:bookmarkStart w:id="304" w:name="OLE_LINK2535"/>
      <w:bookmarkStart w:id="305" w:name="OLE_LINK2536"/>
      <w:r w:rsidRPr="001326F0">
        <w:rPr>
          <w:rFonts w:ascii="Book Antiqua" w:eastAsia="SimSun" w:hAnsi="Book Antiqua" w:cs="SimSun"/>
          <w:i/>
          <w:sz w:val="24"/>
          <w:szCs w:val="24"/>
          <w:lang w:val="en-US" w:eastAsia="zh-CN"/>
        </w:rPr>
        <w:t xml:space="preserve">Future Lipidol </w:t>
      </w:r>
      <w:r w:rsidRPr="001326F0">
        <w:rPr>
          <w:rFonts w:ascii="Book Antiqua" w:eastAsia="SimSun" w:hAnsi="Book Antiqua" w:cs="SimSun"/>
          <w:sz w:val="24"/>
          <w:szCs w:val="24"/>
          <w:lang w:val="en-US" w:eastAsia="zh-CN"/>
        </w:rPr>
        <w:t xml:space="preserve">2006; </w:t>
      </w:r>
      <w:r w:rsidRPr="001326F0">
        <w:rPr>
          <w:rFonts w:ascii="Book Antiqua" w:eastAsia="SimSun" w:hAnsi="Book Antiqua" w:cs="SimSun"/>
          <w:b/>
          <w:sz w:val="24"/>
          <w:szCs w:val="24"/>
          <w:lang w:val="en-US" w:eastAsia="zh-CN"/>
        </w:rPr>
        <w:t>1</w:t>
      </w:r>
      <w:r w:rsidRPr="001326F0">
        <w:rPr>
          <w:rFonts w:ascii="Book Antiqua" w:eastAsia="SimSun" w:hAnsi="Book Antiqua" w:cs="SimSun"/>
          <w:sz w:val="24"/>
          <w:szCs w:val="24"/>
          <w:lang w:val="en-US" w:eastAsia="zh-CN"/>
        </w:rPr>
        <w:t xml:space="preserve">: 389–420 </w:t>
      </w:r>
      <w:bookmarkEnd w:id="304"/>
      <w:bookmarkEnd w:id="305"/>
      <w:r w:rsidRPr="001326F0">
        <w:rPr>
          <w:rFonts w:ascii="Book Antiqua" w:eastAsia="SimSun" w:hAnsi="Book Antiqua" w:cs="SimSun"/>
          <w:sz w:val="24"/>
          <w:szCs w:val="24"/>
          <w:lang w:val="en-US" w:eastAsia="zh-CN"/>
        </w:rPr>
        <w:t>[DOI: 10.2217/17460875.1.4.389]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38 </w:t>
      </w:r>
      <w:r w:rsidRPr="001326F0">
        <w:rPr>
          <w:rFonts w:ascii="Book Antiqua" w:eastAsia="SimSun" w:hAnsi="Book Antiqua" w:cs="SimSun"/>
          <w:b/>
          <w:bCs/>
          <w:sz w:val="24"/>
          <w:szCs w:val="24"/>
          <w:lang w:val="en-US" w:eastAsia="zh-CN"/>
        </w:rPr>
        <w:t>Bays H</w:t>
      </w:r>
      <w:r w:rsidRPr="001326F0">
        <w:rPr>
          <w:rFonts w:ascii="Book Antiqua" w:eastAsia="SimSun" w:hAnsi="Book Antiqua" w:cs="SimSun"/>
          <w:sz w:val="24"/>
          <w:szCs w:val="24"/>
          <w:lang w:val="en-US" w:eastAsia="zh-CN"/>
        </w:rPr>
        <w:t xml:space="preserve">. Adiposopathy, "sick fat," Ockham's razor, and resolution of the obesity paradox. </w:t>
      </w:r>
      <w:r w:rsidRPr="001326F0">
        <w:rPr>
          <w:rFonts w:ascii="Book Antiqua" w:eastAsia="SimSun" w:hAnsi="Book Antiqua" w:cs="SimSun"/>
          <w:i/>
          <w:iCs/>
          <w:sz w:val="24"/>
          <w:szCs w:val="24"/>
          <w:lang w:val="en-US" w:eastAsia="zh-CN"/>
        </w:rPr>
        <w:t>Curr Atheroscler Rep</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16</w:t>
      </w:r>
      <w:r w:rsidRPr="001326F0">
        <w:rPr>
          <w:rFonts w:ascii="Book Antiqua" w:eastAsia="SimSun" w:hAnsi="Book Antiqua" w:cs="SimSun"/>
          <w:sz w:val="24"/>
          <w:szCs w:val="24"/>
          <w:lang w:val="en-US" w:eastAsia="zh-CN"/>
        </w:rPr>
        <w:t>: 409 [PMID: 24659222 DOI: 10.1007/s11883-014-0409-1]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39 </w:t>
      </w:r>
      <w:r w:rsidRPr="001326F0">
        <w:rPr>
          <w:rFonts w:ascii="Book Antiqua" w:eastAsia="SimSun" w:hAnsi="Book Antiqua" w:cs="SimSun"/>
          <w:b/>
          <w:bCs/>
          <w:sz w:val="24"/>
          <w:szCs w:val="24"/>
          <w:lang w:val="en-US" w:eastAsia="zh-CN"/>
        </w:rPr>
        <w:t>Bays HE</w:t>
      </w:r>
      <w:r w:rsidRPr="001326F0">
        <w:rPr>
          <w:rFonts w:ascii="Book Antiqua" w:eastAsia="SimSun" w:hAnsi="Book Antiqua" w:cs="SimSun"/>
          <w:sz w:val="24"/>
          <w:szCs w:val="24"/>
          <w:lang w:val="en-US" w:eastAsia="zh-CN"/>
        </w:rPr>
        <w:t xml:space="preserve">, González-Campoy JM, Henry RR, Bergman DA, Kitabchi AE, Schorr AB, Rodbard HW. Is adiposopathy (sick fat) an endocrine disease? </w:t>
      </w:r>
      <w:r w:rsidRPr="001326F0">
        <w:rPr>
          <w:rFonts w:ascii="Book Antiqua" w:eastAsia="SimSun" w:hAnsi="Book Antiqua" w:cs="SimSun"/>
          <w:i/>
          <w:iCs/>
          <w:sz w:val="24"/>
          <w:szCs w:val="24"/>
          <w:lang w:val="en-US" w:eastAsia="zh-CN"/>
        </w:rPr>
        <w:t>Int J Clin Pract</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62</w:t>
      </w:r>
      <w:r w:rsidRPr="001326F0">
        <w:rPr>
          <w:rFonts w:ascii="Book Antiqua" w:eastAsia="SimSun" w:hAnsi="Book Antiqua" w:cs="SimSun"/>
          <w:sz w:val="24"/>
          <w:szCs w:val="24"/>
          <w:lang w:val="en-US" w:eastAsia="zh-CN"/>
        </w:rPr>
        <w:t>: 1474-1483 [PMID: 18681905 DOI: 10.1111/j.1742-1241.2008.01848.x]</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40 </w:t>
      </w:r>
      <w:r w:rsidRPr="001326F0">
        <w:rPr>
          <w:rFonts w:ascii="Book Antiqua" w:eastAsia="SimSun" w:hAnsi="Book Antiqua" w:cs="SimSun"/>
          <w:b/>
          <w:bCs/>
          <w:sz w:val="24"/>
          <w:szCs w:val="24"/>
          <w:lang w:val="en-US" w:eastAsia="zh-CN"/>
        </w:rPr>
        <w:t>Bays HE</w:t>
      </w:r>
      <w:r w:rsidRPr="001326F0">
        <w:rPr>
          <w:rFonts w:ascii="Book Antiqua" w:eastAsia="SimSun" w:hAnsi="Book Antiqua" w:cs="SimSun"/>
          <w:sz w:val="24"/>
          <w:szCs w:val="24"/>
          <w:lang w:val="en-US" w:eastAsia="zh-CN"/>
        </w:rPr>
        <w:t xml:space="preserve">, González-Campoy JM, Bray GA, Kitabchi AE, Bergman DA, Schorr AB, Rodbard HW, Henry RR. Pathogenic potential of adipose tissue and metabolic consequences of adipocyte hypertrophy and increased visceral adiposity. </w:t>
      </w:r>
      <w:r w:rsidRPr="001326F0">
        <w:rPr>
          <w:rFonts w:ascii="Book Antiqua" w:eastAsia="SimSun" w:hAnsi="Book Antiqua" w:cs="SimSun"/>
          <w:i/>
          <w:iCs/>
          <w:sz w:val="24"/>
          <w:szCs w:val="24"/>
          <w:lang w:val="en-US" w:eastAsia="zh-CN"/>
        </w:rPr>
        <w:t>Expert Rev Cardiovasc Ther</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6</w:t>
      </w:r>
      <w:r w:rsidRPr="001326F0">
        <w:rPr>
          <w:rFonts w:ascii="Book Antiqua" w:eastAsia="SimSun" w:hAnsi="Book Antiqua" w:cs="SimSun"/>
          <w:sz w:val="24"/>
          <w:szCs w:val="24"/>
          <w:lang w:val="en-US" w:eastAsia="zh-CN"/>
        </w:rPr>
        <w:t>: 343-368 [PMID: 18327995 DOI: 10.1586/14779072.6.3.343]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41 </w:t>
      </w:r>
      <w:r w:rsidRPr="001326F0">
        <w:rPr>
          <w:rFonts w:ascii="Book Antiqua" w:eastAsia="SimSun" w:hAnsi="Book Antiqua" w:cs="SimSun"/>
          <w:b/>
          <w:bCs/>
          <w:sz w:val="24"/>
          <w:szCs w:val="24"/>
          <w:lang w:val="en-US" w:eastAsia="zh-CN"/>
        </w:rPr>
        <w:t>Bray GA</w:t>
      </w:r>
      <w:r w:rsidRPr="001326F0">
        <w:rPr>
          <w:rFonts w:ascii="Book Antiqua" w:eastAsia="SimSun" w:hAnsi="Book Antiqua" w:cs="SimSun"/>
          <w:sz w:val="24"/>
          <w:szCs w:val="24"/>
          <w:lang w:val="en-US" w:eastAsia="zh-CN"/>
        </w:rPr>
        <w:t xml:space="preserve">. Medical consequences of obesity.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89</w:t>
      </w:r>
      <w:r w:rsidRPr="001326F0">
        <w:rPr>
          <w:rFonts w:ascii="Book Antiqua" w:eastAsia="SimSun" w:hAnsi="Book Antiqua" w:cs="SimSun"/>
          <w:sz w:val="24"/>
          <w:szCs w:val="24"/>
          <w:lang w:val="en-US" w:eastAsia="zh-CN"/>
        </w:rPr>
        <w:t>: 2583-2589 [PMID: 15181027]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42 </w:t>
      </w:r>
      <w:r w:rsidRPr="001326F0">
        <w:rPr>
          <w:rFonts w:ascii="Book Antiqua" w:eastAsia="SimSun" w:hAnsi="Book Antiqua" w:cs="SimSun"/>
          <w:b/>
          <w:bCs/>
          <w:sz w:val="24"/>
          <w:szCs w:val="24"/>
          <w:lang w:val="en-US" w:eastAsia="zh-CN"/>
        </w:rPr>
        <w:t>Kushner RF</w:t>
      </w:r>
      <w:r w:rsidRPr="001326F0">
        <w:rPr>
          <w:rFonts w:ascii="Book Antiqua" w:eastAsia="SimSun" w:hAnsi="Book Antiqua" w:cs="SimSun"/>
          <w:sz w:val="24"/>
          <w:szCs w:val="24"/>
          <w:lang w:val="en-US" w:eastAsia="zh-CN"/>
        </w:rPr>
        <w:t xml:space="preserve">, Roth JL. Assessment of the obese patient. </w:t>
      </w:r>
      <w:r w:rsidRPr="001326F0">
        <w:rPr>
          <w:rFonts w:ascii="Book Antiqua" w:eastAsia="SimSun" w:hAnsi="Book Antiqua" w:cs="SimSun"/>
          <w:i/>
          <w:iCs/>
          <w:sz w:val="24"/>
          <w:szCs w:val="24"/>
          <w:lang w:val="en-US" w:eastAsia="zh-CN"/>
        </w:rPr>
        <w:t>Endocrinol Metab Clin North Am</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32</w:t>
      </w:r>
      <w:r w:rsidRPr="001326F0">
        <w:rPr>
          <w:rFonts w:ascii="Book Antiqua" w:eastAsia="SimSun" w:hAnsi="Book Antiqua" w:cs="SimSun"/>
          <w:sz w:val="24"/>
          <w:szCs w:val="24"/>
          <w:lang w:val="en-US" w:eastAsia="zh-CN"/>
        </w:rPr>
        <w:t>: 915-933 [PMID: 14711068]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43 </w:t>
      </w:r>
      <w:r w:rsidRPr="001326F0">
        <w:rPr>
          <w:rFonts w:ascii="Book Antiqua" w:eastAsia="SimSun" w:hAnsi="Book Antiqua" w:cs="SimSun"/>
          <w:b/>
          <w:sz w:val="24"/>
          <w:szCs w:val="24"/>
          <w:lang w:val="en-US" w:eastAsia="zh-CN"/>
        </w:rPr>
        <w:t>WHO Expert Consultation</w:t>
      </w:r>
      <w:r w:rsidRPr="001326F0">
        <w:rPr>
          <w:rFonts w:ascii="Book Antiqua" w:eastAsia="SimSun" w:hAnsi="Book Antiqua" w:cs="SimSun"/>
          <w:sz w:val="24"/>
          <w:szCs w:val="24"/>
          <w:lang w:val="en-US" w:eastAsia="zh-CN"/>
        </w:rPr>
        <w:t xml:space="preserve">. Appropriate body-mass index for Asian populations and its implications for policy and intervention strategies. </w:t>
      </w:r>
      <w:r w:rsidRPr="001326F0">
        <w:rPr>
          <w:rFonts w:ascii="Book Antiqua" w:eastAsia="SimSun" w:hAnsi="Book Antiqua" w:cs="SimSun"/>
          <w:i/>
          <w:iCs/>
          <w:sz w:val="24"/>
          <w:szCs w:val="24"/>
          <w:lang w:val="en-US" w:eastAsia="zh-CN"/>
        </w:rPr>
        <w:t>Lancet</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363</w:t>
      </w:r>
      <w:r w:rsidRPr="001326F0">
        <w:rPr>
          <w:rFonts w:ascii="Book Antiqua" w:eastAsia="SimSun" w:hAnsi="Book Antiqua" w:cs="SimSun"/>
          <w:sz w:val="24"/>
          <w:szCs w:val="24"/>
          <w:lang w:val="en-US" w:eastAsia="zh-CN"/>
        </w:rPr>
        <w:t xml:space="preserve">: 157-163 [PMID: </w:t>
      </w:r>
      <w:bookmarkStart w:id="306" w:name="OLE_LINK2537"/>
      <w:bookmarkStart w:id="307" w:name="OLE_LINK2538"/>
      <w:bookmarkStart w:id="308" w:name="OLE_LINK2539"/>
      <w:r w:rsidRPr="001326F0">
        <w:rPr>
          <w:rFonts w:ascii="Book Antiqua" w:eastAsia="SimSun" w:hAnsi="Book Antiqua" w:cs="SimSun"/>
          <w:sz w:val="24"/>
          <w:szCs w:val="24"/>
          <w:lang w:val="en-US" w:eastAsia="zh-CN"/>
        </w:rPr>
        <w:t>14726171</w:t>
      </w:r>
      <w:bookmarkEnd w:id="306"/>
      <w:bookmarkEnd w:id="307"/>
      <w:bookmarkEnd w:id="308"/>
      <w:r w:rsidRPr="001326F0">
        <w:rPr>
          <w:rFonts w:ascii="Book Antiqua" w:eastAsia="SimSun" w:hAnsi="Book Antiqua" w:cs="SimSun"/>
          <w:sz w:val="24"/>
          <w:szCs w:val="24"/>
          <w:lang w:val="en-US" w:eastAsia="zh-CN"/>
        </w:rPr>
        <w:t>]</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44 </w:t>
      </w:r>
      <w:r w:rsidRPr="001326F0">
        <w:rPr>
          <w:rFonts w:ascii="Book Antiqua" w:eastAsia="SimSun" w:hAnsi="Book Antiqua" w:cs="SimSun"/>
          <w:b/>
          <w:bCs/>
          <w:sz w:val="24"/>
          <w:szCs w:val="24"/>
          <w:lang w:val="en-US" w:eastAsia="zh-CN"/>
        </w:rPr>
        <w:t>Patel P</w:t>
      </w:r>
      <w:r w:rsidRPr="001326F0">
        <w:rPr>
          <w:rFonts w:ascii="Book Antiqua" w:eastAsia="SimSun" w:hAnsi="Book Antiqua" w:cs="SimSun"/>
          <w:sz w:val="24"/>
          <w:szCs w:val="24"/>
          <w:lang w:val="en-US" w:eastAsia="zh-CN"/>
        </w:rPr>
        <w:t xml:space="preserve">, Abate N. Body fat distribution and insulin resistance. </w:t>
      </w:r>
      <w:r w:rsidRPr="001326F0">
        <w:rPr>
          <w:rFonts w:ascii="Book Antiqua" w:eastAsia="SimSun" w:hAnsi="Book Antiqua" w:cs="SimSun"/>
          <w:i/>
          <w:iCs/>
          <w:sz w:val="24"/>
          <w:szCs w:val="24"/>
          <w:lang w:val="en-US" w:eastAsia="zh-CN"/>
        </w:rPr>
        <w:t>Nutrients</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5</w:t>
      </w:r>
      <w:r w:rsidRPr="001326F0">
        <w:rPr>
          <w:rFonts w:ascii="Book Antiqua" w:eastAsia="SimSun" w:hAnsi="Book Antiqua" w:cs="SimSun"/>
          <w:sz w:val="24"/>
          <w:szCs w:val="24"/>
          <w:lang w:val="en-US" w:eastAsia="zh-CN"/>
        </w:rPr>
        <w:t>: 2019-2027 [PMID: 23739143 DOI: 10.3390/nu5062019]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45 </w:t>
      </w:r>
      <w:r w:rsidRPr="001326F0">
        <w:rPr>
          <w:rFonts w:ascii="Book Antiqua" w:eastAsia="SimSun" w:hAnsi="Book Antiqua" w:cs="SimSun"/>
          <w:b/>
          <w:bCs/>
          <w:sz w:val="24"/>
          <w:szCs w:val="24"/>
          <w:lang w:val="en-US" w:eastAsia="zh-CN"/>
        </w:rPr>
        <w:t>Apovian CM</w:t>
      </w:r>
      <w:r w:rsidRPr="001326F0">
        <w:rPr>
          <w:rFonts w:ascii="Book Antiqua" w:eastAsia="SimSun" w:hAnsi="Book Antiqua" w:cs="SimSun"/>
          <w:sz w:val="24"/>
          <w:szCs w:val="24"/>
          <w:lang w:val="en-US" w:eastAsia="zh-CN"/>
        </w:rPr>
        <w:t xml:space="preserve">, Bigornia S, Mott M, Meyers MR, Ulloor J, Gagua M, McDonnell M, Hess D, Joseph L, Gokce N. Adipose macrophage infiltration is associated with insulin resistance and vascular endothelial dysfunction in </w:t>
      </w:r>
      <w:r w:rsidRPr="001326F0">
        <w:rPr>
          <w:rFonts w:ascii="Book Antiqua" w:eastAsia="SimSun" w:hAnsi="Book Antiqua" w:cs="SimSun"/>
          <w:sz w:val="24"/>
          <w:szCs w:val="24"/>
          <w:lang w:val="en-US" w:eastAsia="zh-CN"/>
        </w:rPr>
        <w:lastRenderedPageBreak/>
        <w:t xml:space="preserve">obese subjects. </w:t>
      </w:r>
      <w:r w:rsidRPr="001326F0">
        <w:rPr>
          <w:rFonts w:ascii="Book Antiqua" w:eastAsia="SimSun" w:hAnsi="Book Antiqua" w:cs="SimSun"/>
          <w:i/>
          <w:iCs/>
          <w:sz w:val="24"/>
          <w:szCs w:val="24"/>
          <w:lang w:val="en-US" w:eastAsia="zh-CN"/>
        </w:rPr>
        <w:t>Arterioscler Thromb Vasc Biol</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28</w:t>
      </w:r>
      <w:r w:rsidRPr="001326F0">
        <w:rPr>
          <w:rFonts w:ascii="Book Antiqua" w:eastAsia="SimSun" w:hAnsi="Book Antiqua" w:cs="SimSun"/>
          <w:sz w:val="24"/>
          <w:szCs w:val="24"/>
          <w:lang w:val="en-US" w:eastAsia="zh-CN"/>
        </w:rPr>
        <w:t>: 1654-1659 [PMID: 18566296 DOI: 10.1161/ATVBAHA.108.170316]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46 </w:t>
      </w:r>
      <w:r w:rsidRPr="001326F0">
        <w:rPr>
          <w:rFonts w:ascii="Book Antiqua" w:eastAsia="SimSun" w:hAnsi="Book Antiqua" w:cs="SimSun"/>
          <w:b/>
          <w:bCs/>
          <w:sz w:val="24"/>
          <w:szCs w:val="24"/>
          <w:lang w:val="en-US" w:eastAsia="zh-CN"/>
        </w:rPr>
        <w:t>Després JP</w:t>
      </w:r>
      <w:r w:rsidRPr="001326F0">
        <w:rPr>
          <w:rFonts w:ascii="Book Antiqua" w:eastAsia="SimSun" w:hAnsi="Book Antiqua" w:cs="SimSun"/>
          <w:sz w:val="24"/>
          <w:szCs w:val="24"/>
          <w:lang w:val="en-US" w:eastAsia="zh-CN"/>
        </w:rPr>
        <w:t xml:space="preserve">, Lemieux I, Bergeron J, Pibarot P, Mathieu P, Larose E, Rodés-Cabau J, Bertrand OF, Poirier P. Abdominal obesity and the metabolic syndrome: contribution to global cardiometabolic risk. </w:t>
      </w:r>
      <w:r w:rsidRPr="001326F0">
        <w:rPr>
          <w:rFonts w:ascii="Book Antiqua" w:eastAsia="SimSun" w:hAnsi="Book Antiqua" w:cs="SimSun"/>
          <w:i/>
          <w:iCs/>
          <w:sz w:val="24"/>
          <w:szCs w:val="24"/>
          <w:lang w:val="en-US" w:eastAsia="zh-CN"/>
        </w:rPr>
        <w:t>Arterioscler Thromb Vasc Biol</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28</w:t>
      </w:r>
      <w:r w:rsidRPr="001326F0">
        <w:rPr>
          <w:rFonts w:ascii="Book Antiqua" w:eastAsia="SimSun" w:hAnsi="Book Antiqua" w:cs="SimSun"/>
          <w:sz w:val="24"/>
          <w:szCs w:val="24"/>
          <w:lang w:val="en-US" w:eastAsia="zh-CN"/>
        </w:rPr>
        <w:t>: 1039-1049 [PMID: 18356555 DOI: 10.1161/ATVBAHA.107.159228]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47 </w:t>
      </w:r>
      <w:r w:rsidRPr="001326F0">
        <w:rPr>
          <w:rFonts w:ascii="Book Antiqua" w:eastAsia="SimSun" w:hAnsi="Book Antiqua" w:cs="SimSun"/>
          <w:b/>
          <w:bCs/>
          <w:sz w:val="24"/>
          <w:szCs w:val="24"/>
          <w:lang w:val="en-US" w:eastAsia="zh-CN"/>
        </w:rPr>
        <w:t>Fabbrini E</w:t>
      </w:r>
      <w:r w:rsidRPr="001326F0">
        <w:rPr>
          <w:rFonts w:ascii="Book Antiqua" w:eastAsia="SimSun" w:hAnsi="Book Antiqua" w:cs="SimSun"/>
          <w:sz w:val="24"/>
          <w:szCs w:val="24"/>
          <w:lang w:val="en-US" w:eastAsia="zh-CN"/>
        </w:rPr>
        <w:t xml:space="preserve">, Magkos F, Mohammed BS, Pietka T, Abumrad NA, Patterson BW, Okunade A, Klein S. Intrahepatic fat, not visceral fat, is linked with metabolic complications of obesity. </w:t>
      </w:r>
      <w:r w:rsidRPr="001326F0">
        <w:rPr>
          <w:rFonts w:ascii="Book Antiqua" w:eastAsia="SimSun" w:hAnsi="Book Antiqua" w:cs="SimSun"/>
          <w:i/>
          <w:iCs/>
          <w:sz w:val="24"/>
          <w:szCs w:val="24"/>
          <w:lang w:val="en-US" w:eastAsia="zh-CN"/>
        </w:rPr>
        <w:t>Proc Natl Acad Sci U S A</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106</w:t>
      </w:r>
      <w:r w:rsidRPr="001326F0">
        <w:rPr>
          <w:rFonts w:ascii="Book Antiqua" w:eastAsia="SimSun" w:hAnsi="Book Antiqua" w:cs="SimSun"/>
          <w:sz w:val="24"/>
          <w:szCs w:val="24"/>
          <w:lang w:val="en-US" w:eastAsia="zh-CN"/>
        </w:rPr>
        <w:t>: 15430-15435 [PMID: 19706383 DOI: 10.1073/pnas.0904944106]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48 </w:t>
      </w:r>
      <w:r w:rsidRPr="001326F0">
        <w:rPr>
          <w:rFonts w:ascii="Book Antiqua" w:eastAsia="SimSun" w:hAnsi="Book Antiqua" w:cs="SimSun"/>
          <w:b/>
          <w:bCs/>
          <w:sz w:val="24"/>
          <w:szCs w:val="24"/>
          <w:lang w:val="en-US" w:eastAsia="zh-CN"/>
        </w:rPr>
        <w:t>Sun K</w:t>
      </w:r>
      <w:r w:rsidRPr="001326F0">
        <w:rPr>
          <w:rFonts w:ascii="Book Antiqua" w:eastAsia="SimSun" w:hAnsi="Book Antiqua" w:cs="SimSun"/>
          <w:sz w:val="24"/>
          <w:szCs w:val="24"/>
          <w:lang w:val="en-US" w:eastAsia="zh-CN"/>
        </w:rPr>
        <w:t xml:space="preserve">, Kusminski CM, Scherer PE. Adipose tissue remodeling and obesity. </w:t>
      </w:r>
      <w:r w:rsidRPr="001326F0">
        <w:rPr>
          <w:rFonts w:ascii="Book Antiqua" w:eastAsia="SimSun" w:hAnsi="Book Antiqua" w:cs="SimSun"/>
          <w:i/>
          <w:iCs/>
          <w:sz w:val="24"/>
          <w:szCs w:val="24"/>
          <w:lang w:val="en-US" w:eastAsia="zh-CN"/>
        </w:rPr>
        <w:t>J Clin Invest</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121</w:t>
      </w:r>
      <w:r w:rsidRPr="001326F0">
        <w:rPr>
          <w:rFonts w:ascii="Book Antiqua" w:eastAsia="SimSun" w:hAnsi="Book Antiqua" w:cs="SimSun"/>
          <w:sz w:val="24"/>
          <w:szCs w:val="24"/>
          <w:lang w:val="en-US" w:eastAsia="zh-CN"/>
        </w:rPr>
        <w:t>: 2094-2101 [PMID: 21633177 DOI: 10.1172/JCI45887]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49 </w:t>
      </w:r>
      <w:r w:rsidRPr="001326F0">
        <w:rPr>
          <w:rFonts w:ascii="Book Antiqua" w:eastAsia="SimSun" w:hAnsi="Book Antiqua" w:cs="SimSun"/>
          <w:b/>
          <w:bCs/>
          <w:sz w:val="24"/>
          <w:szCs w:val="24"/>
          <w:lang w:val="en-US" w:eastAsia="zh-CN"/>
        </w:rPr>
        <w:t>Sam S</w:t>
      </w:r>
      <w:r w:rsidRPr="001326F0">
        <w:rPr>
          <w:rFonts w:ascii="Book Antiqua" w:eastAsia="SimSun" w:hAnsi="Book Antiqua" w:cs="SimSun"/>
          <w:sz w:val="24"/>
          <w:szCs w:val="24"/>
          <w:lang w:val="en-US" w:eastAsia="zh-CN"/>
        </w:rPr>
        <w:t xml:space="preserve">, Mazzone T. Adipose tissue changes in obesity and the impact on metabolic function. </w:t>
      </w:r>
      <w:r w:rsidRPr="001326F0">
        <w:rPr>
          <w:rFonts w:ascii="Book Antiqua" w:eastAsia="SimSun" w:hAnsi="Book Antiqua" w:cs="SimSun"/>
          <w:i/>
          <w:iCs/>
          <w:sz w:val="24"/>
          <w:szCs w:val="24"/>
          <w:lang w:val="en-US" w:eastAsia="zh-CN"/>
        </w:rPr>
        <w:t>Transl Res</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164</w:t>
      </w:r>
      <w:r w:rsidRPr="001326F0">
        <w:rPr>
          <w:rFonts w:ascii="Book Antiqua" w:eastAsia="SimSun" w:hAnsi="Book Antiqua" w:cs="SimSun"/>
          <w:sz w:val="24"/>
          <w:szCs w:val="24"/>
          <w:lang w:val="en-US" w:eastAsia="zh-CN"/>
        </w:rPr>
        <w:t>: 284-292 [PMID: 24929206 DOI: 10.1016/j.trsl.2014.05.008]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50 </w:t>
      </w:r>
      <w:r w:rsidRPr="001326F0">
        <w:rPr>
          <w:rFonts w:ascii="Book Antiqua" w:eastAsia="SimSun" w:hAnsi="Book Antiqua" w:cs="SimSun"/>
          <w:b/>
          <w:bCs/>
          <w:sz w:val="24"/>
          <w:szCs w:val="24"/>
          <w:lang w:val="en-US" w:eastAsia="zh-CN"/>
        </w:rPr>
        <w:t>Wildman RP</w:t>
      </w:r>
      <w:r w:rsidRPr="001326F0">
        <w:rPr>
          <w:rFonts w:ascii="Book Antiqua" w:eastAsia="SimSun" w:hAnsi="Book Antiqua" w:cs="SimSun"/>
          <w:sz w:val="24"/>
          <w:szCs w:val="24"/>
          <w:lang w:val="en-US" w:eastAsia="zh-CN"/>
        </w:rPr>
        <w:t xml:space="preserve">, Muntner P, Reynolds K, McGinn AP, Rajpathak S, Wylie-Rosett J, Sowers MR. The obese without cardiometabolic risk factor clustering and the normal weight with cardiometabolic risk factor clustering: prevalence and correlates of 2 phenotypes among the US population (NHANES 1999-2004). </w:t>
      </w:r>
      <w:r w:rsidRPr="001326F0">
        <w:rPr>
          <w:rFonts w:ascii="Book Antiqua" w:eastAsia="SimSun" w:hAnsi="Book Antiqua" w:cs="SimSun"/>
          <w:i/>
          <w:iCs/>
          <w:sz w:val="24"/>
          <w:szCs w:val="24"/>
          <w:lang w:val="en-US" w:eastAsia="zh-CN"/>
        </w:rPr>
        <w:t>Arch Intern Med</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168</w:t>
      </w:r>
      <w:r w:rsidRPr="001326F0">
        <w:rPr>
          <w:rFonts w:ascii="Book Antiqua" w:eastAsia="SimSun" w:hAnsi="Book Antiqua" w:cs="SimSun"/>
          <w:sz w:val="24"/>
          <w:szCs w:val="24"/>
          <w:lang w:val="en-US" w:eastAsia="zh-CN"/>
        </w:rPr>
        <w:t>: 1617-1624 [PMID: 18695075 DOI: 10.1001/archinte.168.15.1617]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51 </w:t>
      </w:r>
      <w:r w:rsidRPr="001326F0">
        <w:rPr>
          <w:rFonts w:ascii="Book Antiqua" w:eastAsia="SimSun" w:hAnsi="Book Antiqua" w:cs="SimSun"/>
          <w:b/>
          <w:bCs/>
          <w:sz w:val="24"/>
          <w:szCs w:val="24"/>
          <w:lang w:val="en-US" w:eastAsia="zh-CN"/>
        </w:rPr>
        <w:t>Stefan N</w:t>
      </w:r>
      <w:r w:rsidRPr="001326F0">
        <w:rPr>
          <w:rFonts w:ascii="Book Antiqua" w:eastAsia="SimSun" w:hAnsi="Book Antiqua" w:cs="SimSun"/>
          <w:sz w:val="24"/>
          <w:szCs w:val="24"/>
          <w:lang w:val="en-US" w:eastAsia="zh-CN"/>
        </w:rPr>
        <w:t xml:space="preserve">, Kantartzis K, Machann J, Schick F, Thamer C, Rittig K, Balletshofer B, Machicao F, Fritsche A, Häring HU. Identification and characterization of metabolically benign obesity in humans. </w:t>
      </w:r>
      <w:r w:rsidRPr="001326F0">
        <w:rPr>
          <w:rFonts w:ascii="Book Antiqua" w:eastAsia="SimSun" w:hAnsi="Book Antiqua" w:cs="SimSun"/>
          <w:i/>
          <w:iCs/>
          <w:sz w:val="24"/>
          <w:szCs w:val="24"/>
          <w:lang w:val="en-US" w:eastAsia="zh-CN"/>
        </w:rPr>
        <w:t>Arch Intern Med</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168</w:t>
      </w:r>
      <w:r w:rsidRPr="001326F0">
        <w:rPr>
          <w:rFonts w:ascii="Book Antiqua" w:eastAsia="SimSun" w:hAnsi="Book Antiqua" w:cs="SimSun"/>
          <w:sz w:val="24"/>
          <w:szCs w:val="24"/>
          <w:lang w:val="en-US" w:eastAsia="zh-CN"/>
        </w:rPr>
        <w:t>: 1609-1616 [PMID: 18695074 DOI: 10.1001/archinte.168.15.1609]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52 </w:t>
      </w:r>
      <w:r w:rsidRPr="001326F0">
        <w:rPr>
          <w:rFonts w:ascii="Book Antiqua" w:eastAsia="SimSun" w:hAnsi="Book Antiqua" w:cs="SimSun"/>
          <w:b/>
          <w:bCs/>
          <w:sz w:val="24"/>
          <w:szCs w:val="24"/>
          <w:lang w:val="en-US" w:eastAsia="zh-CN"/>
        </w:rPr>
        <w:t>Gealekman O</w:t>
      </w:r>
      <w:r w:rsidRPr="001326F0">
        <w:rPr>
          <w:rFonts w:ascii="Book Antiqua" w:eastAsia="SimSun" w:hAnsi="Book Antiqua" w:cs="SimSun"/>
          <w:sz w:val="24"/>
          <w:szCs w:val="24"/>
          <w:lang w:val="en-US" w:eastAsia="zh-CN"/>
        </w:rPr>
        <w:t xml:space="preserve">, Guseva N, Hartigan C, Apotheker S, Gorgoglione M, Gurav K, Tran KV, Straubhaar J, Nicoloro S, Czech MP, Thompson M, Perugini RA, Corvera S. Depot-specific differences and insufficient subcutaneous adipose tissue angiogenesis in human obesity. </w:t>
      </w:r>
      <w:r w:rsidRPr="001326F0">
        <w:rPr>
          <w:rFonts w:ascii="Book Antiqua" w:eastAsia="SimSun" w:hAnsi="Book Antiqua" w:cs="SimSun"/>
          <w:i/>
          <w:iCs/>
          <w:sz w:val="24"/>
          <w:szCs w:val="24"/>
          <w:lang w:val="en-US" w:eastAsia="zh-CN"/>
        </w:rPr>
        <w:t>Circulation</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123</w:t>
      </w:r>
      <w:r w:rsidRPr="001326F0">
        <w:rPr>
          <w:rFonts w:ascii="Book Antiqua" w:eastAsia="SimSun" w:hAnsi="Book Antiqua" w:cs="SimSun"/>
          <w:sz w:val="24"/>
          <w:szCs w:val="24"/>
          <w:lang w:val="en-US" w:eastAsia="zh-CN"/>
        </w:rPr>
        <w:t>: 186-194 [PMID: 21200001 DOI: 10.1161/CIRCULATIONAHA.110.970145]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53 </w:t>
      </w:r>
      <w:r w:rsidRPr="001326F0">
        <w:rPr>
          <w:rFonts w:ascii="Book Antiqua" w:eastAsia="SimSun" w:hAnsi="Book Antiqua" w:cs="SimSun"/>
          <w:b/>
          <w:bCs/>
          <w:sz w:val="24"/>
          <w:szCs w:val="24"/>
          <w:lang w:val="en-US" w:eastAsia="zh-CN"/>
        </w:rPr>
        <w:t>Mohamed-Ali V</w:t>
      </w:r>
      <w:r w:rsidRPr="001326F0">
        <w:rPr>
          <w:rFonts w:ascii="Book Antiqua" w:eastAsia="SimSun" w:hAnsi="Book Antiqua" w:cs="SimSun"/>
          <w:sz w:val="24"/>
          <w:szCs w:val="24"/>
          <w:lang w:val="en-US" w:eastAsia="zh-CN"/>
        </w:rPr>
        <w:t xml:space="preserve">, Pinkney JH, Coppack SW. Adipose tissue as an endocrine and paracrine organ. </w:t>
      </w:r>
      <w:r w:rsidRPr="001326F0">
        <w:rPr>
          <w:rFonts w:ascii="Book Antiqua" w:eastAsia="SimSun" w:hAnsi="Book Antiqua" w:cs="SimSun"/>
          <w:i/>
          <w:iCs/>
          <w:sz w:val="24"/>
          <w:szCs w:val="24"/>
          <w:lang w:val="en-US" w:eastAsia="zh-CN"/>
        </w:rPr>
        <w:t>Int J Obes Relat Metab Disord</w:t>
      </w:r>
      <w:r w:rsidRPr="001326F0">
        <w:rPr>
          <w:rFonts w:ascii="Book Antiqua" w:eastAsia="SimSun" w:hAnsi="Book Antiqua" w:cs="SimSun"/>
          <w:sz w:val="24"/>
          <w:szCs w:val="24"/>
          <w:lang w:val="en-US" w:eastAsia="zh-CN"/>
        </w:rPr>
        <w:t xml:space="preserve"> 1998; </w:t>
      </w:r>
      <w:r w:rsidRPr="001326F0">
        <w:rPr>
          <w:rFonts w:ascii="Book Antiqua" w:eastAsia="SimSun" w:hAnsi="Book Antiqua" w:cs="SimSun"/>
          <w:b/>
          <w:bCs/>
          <w:sz w:val="24"/>
          <w:szCs w:val="24"/>
          <w:lang w:val="en-US" w:eastAsia="zh-CN"/>
        </w:rPr>
        <w:t>22</w:t>
      </w:r>
      <w:r w:rsidRPr="001326F0">
        <w:rPr>
          <w:rFonts w:ascii="Book Antiqua" w:eastAsia="SimSun" w:hAnsi="Book Antiqua" w:cs="SimSun"/>
          <w:sz w:val="24"/>
          <w:szCs w:val="24"/>
          <w:lang w:val="en-US" w:eastAsia="zh-CN"/>
        </w:rPr>
        <w:t>: 1145-1158 [PMID: 9877249]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54 </w:t>
      </w:r>
      <w:r w:rsidRPr="001326F0">
        <w:rPr>
          <w:rFonts w:ascii="Book Antiqua" w:eastAsia="SimSun" w:hAnsi="Book Antiqua" w:cs="SimSun"/>
          <w:b/>
          <w:bCs/>
          <w:sz w:val="24"/>
          <w:szCs w:val="24"/>
          <w:lang w:val="en-US" w:eastAsia="zh-CN"/>
        </w:rPr>
        <w:t>Kershaw EE</w:t>
      </w:r>
      <w:r w:rsidRPr="001326F0">
        <w:rPr>
          <w:rFonts w:ascii="Book Antiqua" w:eastAsia="SimSun" w:hAnsi="Book Antiqua" w:cs="SimSun"/>
          <w:sz w:val="24"/>
          <w:szCs w:val="24"/>
          <w:lang w:val="en-US" w:eastAsia="zh-CN"/>
        </w:rPr>
        <w:t xml:space="preserve">, Flier JS. Adipose tissue as an endocrine organ.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89</w:t>
      </w:r>
      <w:r w:rsidRPr="001326F0">
        <w:rPr>
          <w:rFonts w:ascii="Book Antiqua" w:eastAsia="SimSun" w:hAnsi="Book Antiqua" w:cs="SimSun"/>
          <w:sz w:val="24"/>
          <w:szCs w:val="24"/>
          <w:lang w:val="en-US" w:eastAsia="zh-CN"/>
        </w:rPr>
        <w:t>: 2548-2556 [PMID: 15181022]</w:t>
      </w:r>
    </w:p>
    <w:p w:rsidR="0031238A" w:rsidRPr="001326F0" w:rsidRDefault="0031238A" w:rsidP="0031238A">
      <w:pPr>
        <w:spacing w:after="0" w:line="360" w:lineRule="auto"/>
        <w:jc w:val="both"/>
        <w:rPr>
          <w:rFonts w:ascii="Book Antiqua" w:eastAsia="SimSun" w:hAnsi="Book Antiqua" w:cs="SimSun"/>
          <w:sz w:val="24"/>
          <w:szCs w:val="24"/>
          <w:lang w:val="es-ES_tradnl" w:eastAsia="zh-CN"/>
        </w:rPr>
      </w:pPr>
      <w:r w:rsidRPr="001326F0">
        <w:rPr>
          <w:rFonts w:ascii="Book Antiqua" w:eastAsia="SimSun" w:hAnsi="Book Antiqua" w:cs="SimSun"/>
          <w:sz w:val="24"/>
          <w:szCs w:val="24"/>
          <w:lang w:val="en-US" w:eastAsia="zh-CN"/>
        </w:rPr>
        <w:t xml:space="preserve">55 </w:t>
      </w:r>
      <w:r w:rsidRPr="001326F0">
        <w:rPr>
          <w:rFonts w:ascii="Book Antiqua" w:eastAsia="SimSun" w:hAnsi="Book Antiqua" w:cs="SimSun"/>
          <w:b/>
          <w:bCs/>
          <w:sz w:val="24"/>
          <w:szCs w:val="24"/>
          <w:lang w:val="en-US" w:eastAsia="zh-CN"/>
        </w:rPr>
        <w:t>Fantuzzi G</w:t>
      </w:r>
      <w:r w:rsidRPr="001326F0">
        <w:rPr>
          <w:rFonts w:ascii="Book Antiqua" w:eastAsia="SimSun" w:hAnsi="Book Antiqua" w:cs="SimSun"/>
          <w:sz w:val="24"/>
          <w:szCs w:val="24"/>
          <w:lang w:val="en-US" w:eastAsia="zh-CN"/>
        </w:rPr>
        <w:t xml:space="preserve">. Adipose tissue, adipokines, and inflammation. </w:t>
      </w:r>
      <w:r w:rsidRPr="001326F0">
        <w:rPr>
          <w:rFonts w:ascii="Book Antiqua" w:eastAsia="SimSun" w:hAnsi="Book Antiqua" w:cs="SimSun"/>
          <w:i/>
          <w:iCs/>
          <w:sz w:val="24"/>
          <w:szCs w:val="24"/>
          <w:lang w:val="es-ES_tradnl" w:eastAsia="zh-CN"/>
        </w:rPr>
        <w:t>J Allergy Clin Immunol</w:t>
      </w:r>
      <w:r w:rsidRPr="001326F0">
        <w:rPr>
          <w:rFonts w:ascii="Book Antiqua" w:eastAsia="SimSun" w:hAnsi="Book Antiqua" w:cs="SimSun"/>
          <w:sz w:val="24"/>
          <w:szCs w:val="24"/>
          <w:lang w:val="es-ES_tradnl" w:eastAsia="zh-CN"/>
        </w:rPr>
        <w:t xml:space="preserve"> 2005; </w:t>
      </w:r>
      <w:r w:rsidRPr="001326F0">
        <w:rPr>
          <w:rFonts w:ascii="Book Antiqua" w:eastAsia="SimSun" w:hAnsi="Book Antiqua" w:cs="SimSun"/>
          <w:b/>
          <w:bCs/>
          <w:sz w:val="24"/>
          <w:szCs w:val="24"/>
          <w:lang w:val="es-ES_tradnl" w:eastAsia="zh-CN"/>
        </w:rPr>
        <w:t>115</w:t>
      </w:r>
      <w:r w:rsidRPr="001326F0">
        <w:rPr>
          <w:rFonts w:ascii="Book Antiqua" w:eastAsia="SimSun" w:hAnsi="Book Antiqua" w:cs="SimSun"/>
          <w:sz w:val="24"/>
          <w:szCs w:val="24"/>
          <w:lang w:val="es-ES_tradnl" w:eastAsia="zh-CN"/>
        </w:rPr>
        <w:t>: 911-99; quiz 920 [PMID: 15867843]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s-ES_tradnl" w:eastAsia="zh-CN"/>
        </w:rPr>
        <w:t xml:space="preserve">56 </w:t>
      </w:r>
      <w:r w:rsidRPr="001326F0">
        <w:rPr>
          <w:rFonts w:ascii="Book Antiqua" w:eastAsia="SimSun" w:hAnsi="Book Antiqua" w:cs="SimSun"/>
          <w:b/>
          <w:bCs/>
          <w:sz w:val="24"/>
          <w:szCs w:val="24"/>
          <w:lang w:val="es-ES_tradnl" w:eastAsia="zh-CN"/>
        </w:rPr>
        <w:t>Anderson EK</w:t>
      </w:r>
      <w:r w:rsidRPr="001326F0">
        <w:rPr>
          <w:rFonts w:ascii="Book Antiqua" w:eastAsia="SimSun" w:hAnsi="Book Antiqua" w:cs="SimSun"/>
          <w:sz w:val="24"/>
          <w:szCs w:val="24"/>
          <w:lang w:val="es-ES_tradnl" w:eastAsia="zh-CN"/>
        </w:rPr>
        <w:t xml:space="preserve">, Gutierrez DA, Hasty AH. </w:t>
      </w:r>
      <w:r w:rsidRPr="001326F0">
        <w:rPr>
          <w:rFonts w:ascii="Book Antiqua" w:eastAsia="SimSun" w:hAnsi="Book Antiqua" w:cs="SimSun"/>
          <w:sz w:val="24"/>
          <w:szCs w:val="24"/>
          <w:lang w:val="en-US" w:eastAsia="zh-CN"/>
        </w:rPr>
        <w:t xml:space="preserve">Adipose tissue recruitment of leukocytes. </w:t>
      </w:r>
      <w:r w:rsidRPr="001326F0">
        <w:rPr>
          <w:rFonts w:ascii="Book Antiqua" w:eastAsia="SimSun" w:hAnsi="Book Antiqua" w:cs="SimSun"/>
          <w:i/>
          <w:iCs/>
          <w:sz w:val="24"/>
          <w:szCs w:val="24"/>
          <w:lang w:val="en-US" w:eastAsia="zh-CN"/>
        </w:rPr>
        <w:t>Curr Opin Lipidol</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21</w:t>
      </w:r>
      <w:r w:rsidRPr="001326F0">
        <w:rPr>
          <w:rFonts w:ascii="Book Antiqua" w:eastAsia="SimSun" w:hAnsi="Book Antiqua" w:cs="SimSun"/>
          <w:sz w:val="24"/>
          <w:szCs w:val="24"/>
          <w:lang w:val="en-US" w:eastAsia="zh-CN"/>
        </w:rPr>
        <w:t>: 172-177 [PMID: 20410821 DOI: 10.1097/MOL.0b013e3283393867]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57 </w:t>
      </w:r>
      <w:r w:rsidRPr="001326F0">
        <w:rPr>
          <w:rFonts w:ascii="Book Antiqua" w:eastAsia="SimSun" w:hAnsi="Book Antiqua" w:cs="SimSun"/>
          <w:b/>
          <w:bCs/>
          <w:sz w:val="24"/>
          <w:szCs w:val="24"/>
          <w:lang w:val="en-US" w:eastAsia="zh-CN"/>
        </w:rPr>
        <w:t>Fain JN</w:t>
      </w:r>
      <w:r w:rsidRPr="001326F0">
        <w:rPr>
          <w:rFonts w:ascii="Book Antiqua" w:eastAsia="SimSun" w:hAnsi="Book Antiqua" w:cs="SimSun"/>
          <w:sz w:val="24"/>
          <w:szCs w:val="24"/>
          <w:lang w:val="en-US" w:eastAsia="zh-CN"/>
        </w:rPr>
        <w:t xml:space="preserve">. Release of inflammatory mediators by human adipose tissue is enhanced in obesity and primarily by the nonfat cells: a review. </w:t>
      </w:r>
      <w:r w:rsidRPr="001326F0">
        <w:rPr>
          <w:rFonts w:ascii="Book Antiqua" w:eastAsia="SimSun" w:hAnsi="Book Antiqua" w:cs="SimSun"/>
          <w:i/>
          <w:iCs/>
          <w:sz w:val="24"/>
          <w:szCs w:val="24"/>
          <w:lang w:val="en-US" w:eastAsia="zh-CN"/>
        </w:rPr>
        <w:t>Mediators Inflamm</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2010</w:t>
      </w:r>
      <w:r w:rsidRPr="001326F0">
        <w:rPr>
          <w:rFonts w:ascii="Book Antiqua" w:eastAsia="SimSun" w:hAnsi="Book Antiqua" w:cs="SimSun"/>
          <w:sz w:val="24"/>
          <w:szCs w:val="24"/>
          <w:lang w:val="en-US" w:eastAsia="zh-CN"/>
        </w:rPr>
        <w:t>: 513948 [PMID: 20508843 DOI: 10.1155/2010/513948]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58 </w:t>
      </w:r>
      <w:r w:rsidRPr="001326F0">
        <w:rPr>
          <w:rFonts w:ascii="Book Antiqua" w:eastAsia="SimSun" w:hAnsi="Book Antiqua" w:cs="SimSun"/>
          <w:b/>
          <w:bCs/>
          <w:sz w:val="24"/>
          <w:szCs w:val="24"/>
          <w:lang w:val="en-US" w:eastAsia="zh-CN"/>
        </w:rPr>
        <w:t>Perreault M</w:t>
      </w:r>
      <w:r w:rsidRPr="001326F0">
        <w:rPr>
          <w:rFonts w:ascii="Book Antiqua" w:eastAsia="SimSun" w:hAnsi="Book Antiqua" w:cs="SimSun"/>
          <w:sz w:val="24"/>
          <w:szCs w:val="24"/>
          <w:lang w:val="en-US" w:eastAsia="zh-CN"/>
        </w:rPr>
        <w:t xml:space="preserve">, Roke K, Badawi A, Nielsen DE, Abdelmagid SA, El-Sohemy A, Ma DW, Mutch DM. Plasma levels of 14: 0, 16: 0, 16: 1n-7, and 20: 3n-6 are positively associated, but 18: 0 and 18: 2n-6 are inversely associated with markers of inflammation in young healthy adults. </w:t>
      </w:r>
      <w:r w:rsidRPr="001326F0">
        <w:rPr>
          <w:rFonts w:ascii="Book Antiqua" w:eastAsia="SimSun" w:hAnsi="Book Antiqua" w:cs="SimSun"/>
          <w:i/>
          <w:iCs/>
          <w:sz w:val="24"/>
          <w:szCs w:val="24"/>
          <w:lang w:val="en-US" w:eastAsia="zh-CN"/>
        </w:rPr>
        <w:t>Lipids</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49</w:t>
      </w:r>
      <w:r w:rsidRPr="001326F0">
        <w:rPr>
          <w:rFonts w:ascii="Book Antiqua" w:eastAsia="SimSun" w:hAnsi="Book Antiqua" w:cs="SimSun"/>
          <w:sz w:val="24"/>
          <w:szCs w:val="24"/>
          <w:lang w:val="en-US" w:eastAsia="zh-CN"/>
        </w:rPr>
        <w:t>: 255-263 [PMID: 24338596 DOI: 10.1007/s11745-013-3874-3]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59 </w:t>
      </w:r>
      <w:r w:rsidRPr="001326F0">
        <w:rPr>
          <w:rFonts w:ascii="Book Antiqua" w:eastAsia="SimSun" w:hAnsi="Book Antiqua" w:cs="SimSun"/>
          <w:b/>
          <w:bCs/>
          <w:sz w:val="24"/>
          <w:szCs w:val="24"/>
          <w:lang w:val="en-US" w:eastAsia="zh-CN"/>
        </w:rPr>
        <w:t>de Jong AJ</w:t>
      </w:r>
      <w:r w:rsidRPr="001326F0">
        <w:rPr>
          <w:rFonts w:ascii="Book Antiqua" w:eastAsia="SimSun" w:hAnsi="Book Antiqua" w:cs="SimSun"/>
          <w:sz w:val="24"/>
          <w:szCs w:val="24"/>
          <w:lang w:val="en-US" w:eastAsia="zh-CN"/>
        </w:rPr>
        <w:t xml:space="preserve">, Kloppenburg M, Toes RE, Ioan-Facsinay A. Fatty acids, lipid mediators, and T-cell function. </w:t>
      </w:r>
      <w:r w:rsidRPr="001326F0">
        <w:rPr>
          <w:rFonts w:ascii="Book Antiqua" w:eastAsia="SimSun" w:hAnsi="Book Antiqua" w:cs="SimSun"/>
          <w:i/>
          <w:iCs/>
          <w:sz w:val="24"/>
          <w:szCs w:val="24"/>
          <w:lang w:val="en-US" w:eastAsia="zh-CN"/>
        </w:rPr>
        <w:t>Front Immunol</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5</w:t>
      </w:r>
      <w:r w:rsidRPr="001326F0">
        <w:rPr>
          <w:rFonts w:ascii="Book Antiqua" w:eastAsia="SimSun" w:hAnsi="Book Antiqua" w:cs="SimSun"/>
          <w:sz w:val="24"/>
          <w:szCs w:val="24"/>
          <w:lang w:val="en-US" w:eastAsia="zh-CN"/>
        </w:rPr>
        <w:t>: 483 [PMID: 25352844 DOI: 10.3389/fimmu.2014.00483]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s-ES_tradnl" w:eastAsia="zh-CN"/>
        </w:rPr>
        <w:t xml:space="preserve">60 </w:t>
      </w:r>
      <w:r w:rsidRPr="001326F0">
        <w:rPr>
          <w:rFonts w:ascii="Book Antiqua" w:eastAsia="SimSun" w:hAnsi="Book Antiqua" w:cs="SimSun"/>
          <w:b/>
          <w:bCs/>
          <w:sz w:val="24"/>
          <w:szCs w:val="24"/>
          <w:lang w:val="es-ES_tradnl" w:eastAsia="zh-CN"/>
        </w:rPr>
        <w:t>Carrera Boada CA</w:t>
      </w:r>
      <w:r w:rsidRPr="001326F0">
        <w:rPr>
          <w:rFonts w:ascii="Book Antiqua" w:eastAsia="SimSun" w:hAnsi="Book Antiqua" w:cs="SimSun"/>
          <w:sz w:val="24"/>
          <w:szCs w:val="24"/>
          <w:lang w:val="es-ES_tradnl" w:eastAsia="zh-CN"/>
        </w:rPr>
        <w:t xml:space="preserve">, Martínez-Moreno JM. </w:t>
      </w:r>
      <w:r w:rsidRPr="001326F0">
        <w:rPr>
          <w:rFonts w:ascii="Book Antiqua" w:eastAsia="SimSun" w:hAnsi="Book Antiqua" w:cs="SimSun"/>
          <w:sz w:val="24"/>
          <w:szCs w:val="24"/>
          <w:lang w:val="en-US" w:eastAsia="zh-CN"/>
        </w:rPr>
        <w:t xml:space="preserve">Pathophysiology of diabetes mellitus type 2: beyond the duo "insulin resistance-secretion deficit". </w:t>
      </w:r>
      <w:r w:rsidRPr="001326F0">
        <w:rPr>
          <w:rFonts w:ascii="Book Antiqua" w:eastAsia="SimSun" w:hAnsi="Book Antiqua" w:cs="SimSun"/>
          <w:i/>
          <w:iCs/>
          <w:sz w:val="24"/>
          <w:szCs w:val="24"/>
          <w:lang w:val="en-US" w:eastAsia="zh-CN"/>
        </w:rPr>
        <w:t>Nutr Hosp</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28 Suppl 2</w:t>
      </w:r>
      <w:r w:rsidRPr="001326F0">
        <w:rPr>
          <w:rFonts w:ascii="Book Antiqua" w:eastAsia="SimSun" w:hAnsi="Book Antiqua" w:cs="SimSun"/>
          <w:sz w:val="24"/>
          <w:szCs w:val="24"/>
          <w:lang w:val="en-US" w:eastAsia="zh-CN"/>
        </w:rPr>
        <w:t>: 78-87 [PMID: 23834050 DOI: 10.3305/nh.2013.28.sup2.6717]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61 </w:t>
      </w:r>
      <w:r w:rsidRPr="001326F0">
        <w:rPr>
          <w:rFonts w:ascii="Book Antiqua" w:eastAsia="SimSun" w:hAnsi="Book Antiqua" w:cs="SimSun"/>
          <w:b/>
          <w:bCs/>
          <w:sz w:val="24"/>
          <w:szCs w:val="24"/>
          <w:lang w:val="en-US" w:eastAsia="zh-CN"/>
        </w:rPr>
        <w:t>Ross R</w:t>
      </w:r>
      <w:r w:rsidRPr="001326F0">
        <w:rPr>
          <w:rFonts w:ascii="Book Antiqua" w:eastAsia="SimSun" w:hAnsi="Book Antiqua" w:cs="SimSun"/>
          <w:sz w:val="24"/>
          <w:szCs w:val="24"/>
          <w:lang w:val="en-US" w:eastAsia="zh-CN"/>
        </w:rPr>
        <w:t xml:space="preserve">, Shaw KD, Martel Y, de Guise J, Avruch L. Adipose tissue distribution measured by magnetic resonance imaging in obese women.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1993; </w:t>
      </w:r>
      <w:r w:rsidRPr="001326F0">
        <w:rPr>
          <w:rFonts w:ascii="Book Antiqua" w:eastAsia="SimSun" w:hAnsi="Book Antiqua" w:cs="SimSun"/>
          <w:b/>
          <w:bCs/>
          <w:sz w:val="24"/>
          <w:szCs w:val="24"/>
          <w:lang w:val="en-US" w:eastAsia="zh-CN"/>
        </w:rPr>
        <w:t>57</w:t>
      </w:r>
      <w:r w:rsidRPr="001326F0">
        <w:rPr>
          <w:rFonts w:ascii="Book Antiqua" w:eastAsia="SimSun" w:hAnsi="Book Antiqua" w:cs="SimSun"/>
          <w:sz w:val="24"/>
          <w:szCs w:val="24"/>
          <w:lang w:val="en-US" w:eastAsia="zh-CN"/>
        </w:rPr>
        <w:t>: 470-475 [PMID: 8460599]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62</w:t>
      </w:r>
      <w:r w:rsidRPr="001326F0">
        <w:rPr>
          <w:rFonts w:ascii="Book Antiqua" w:eastAsia="SimSun" w:hAnsi="Book Antiqua" w:cs="SimSun"/>
          <w:b/>
          <w:sz w:val="24"/>
          <w:szCs w:val="24"/>
          <w:lang w:val="en-US" w:eastAsia="zh-CN"/>
        </w:rPr>
        <w:t xml:space="preserve"> Campra JL</w:t>
      </w:r>
      <w:r w:rsidRPr="001326F0">
        <w:rPr>
          <w:rFonts w:ascii="Book Antiqua" w:eastAsia="SimSun" w:hAnsi="Book Antiqua" w:cs="SimSun"/>
          <w:sz w:val="24"/>
          <w:szCs w:val="24"/>
          <w:lang w:val="en-US" w:eastAsia="zh-CN"/>
        </w:rPr>
        <w:t>, Reynolds TB. The hepatic circulation. In: Arias IM, Popper H, Schachter D, Shafritz DA, ed</w:t>
      </w:r>
      <w:r w:rsidRPr="001326F0">
        <w:rPr>
          <w:rFonts w:ascii="Book Antiqua" w:eastAsia="SimSun" w:hAnsi="Book Antiqua" w:cs="SimSun" w:hint="eastAsia"/>
          <w:sz w:val="24"/>
          <w:szCs w:val="24"/>
          <w:lang w:val="en-US" w:eastAsia="zh-CN"/>
        </w:rPr>
        <w:t>itor</w:t>
      </w:r>
      <w:r w:rsidRPr="001326F0">
        <w:rPr>
          <w:rFonts w:ascii="Book Antiqua" w:eastAsia="SimSun" w:hAnsi="Book Antiqua" w:cs="SimSun"/>
          <w:sz w:val="24"/>
          <w:szCs w:val="24"/>
          <w:lang w:val="en-US" w:eastAsia="zh-CN"/>
        </w:rPr>
        <w:t>s. The liver: biology and pathobiology. New York: Raven Press</w:t>
      </w:r>
      <w:r w:rsidRPr="001326F0">
        <w:rPr>
          <w:rFonts w:ascii="Book Antiqua" w:eastAsia="SimSun" w:hAnsi="Book Antiqua" w:cs="SimSun" w:hint="eastAsia"/>
          <w:sz w:val="24"/>
          <w:szCs w:val="24"/>
          <w:lang w:val="en-US" w:eastAsia="zh-CN"/>
        </w:rPr>
        <w:t>,</w:t>
      </w:r>
      <w:r w:rsidRPr="001326F0">
        <w:rPr>
          <w:rFonts w:ascii="Book Antiqua" w:eastAsia="SimSun" w:hAnsi="Book Antiqua" w:cs="SimSun"/>
          <w:sz w:val="24"/>
          <w:szCs w:val="24"/>
          <w:lang w:val="en-US" w:eastAsia="zh-CN"/>
        </w:rPr>
        <w:t xml:space="preserve"> 1982</w:t>
      </w:r>
      <w:r w:rsidRPr="001326F0">
        <w:rPr>
          <w:rFonts w:ascii="Book Antiqua" w:eastAsia="SimSun" w:hAnsi="Book Antiqua" w:cs="SimSun" w:hint="eastAsia"/>
          <w:sz w:val="24"/>
          <w:szCs w:val="24"/>
          <w:lang w:val="en-US" w:eastAsia="zh-CN"/>
        </w:rPr>
        <w:t>:</w:t>
      </w:r>
      <w:r w:rsidRPr="001326F0">
        <w:rPr>
          <w:rFonts w:ascii="Book Antiqua" w:eastAsia="SimSun" w:hAnsi="Book Antiqua" w:cs="SimSun"/>
          <w:sz w:val="24"/>
          <w:szCs w:val="24"/>
          <w:lang w:val="en-US" w:eastAsia="zh-CN"/>
        </w:rPr>
        <w:t xml:space="preserve"> 627- 645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63 </w:t>
      </w:r>
      <w:r w:rsidRPr="001326F0">
        <w:rPr>
          <w:rFonts w:ascii="Book Antiqua" w:eastAsia="SimSun" w:hAnsi="Book Antiqua" w:cs="SimSun"/>
          <w:b/>
          <w:bCs/>
          <w:sz w:val="24"/>
          <w:szCs w:val="24"/>
          <w:lang w:val="en-US" w:eastAsia="zh-CN"/>
        </w:rPr>
        <w:t>Shah NR</w:t>
      </w:r>
      <w:r w:rsidRPr="001326F0">
        <w:rPr>
          <w:rFonts w:ascii="Book Antiqua" w:eastAsia="SimSun" w:hAnsi="Book Antiqua" w:cs="SimSun"/>
          <w:sz w:val="24"/>
          <w:szCs w:val="24"/>
          <w:lang w:val="en-US" w:eastAsia="zh-CN"/>
        </w:rPr>
        <w:t xml:space="preserve">, Braverman ER. Measuring adiposity in patients: the utility of body mass index (BMI), percent body fat, and leptin. </w:t>
      </w:r>
      <w:r w:rsidRPr="001326F0">
        <w:rPr>
          <w:rFonts w:ascii="Book Antiqua" w:eastAsia="SimSun" w:hAnsi="Book Antiqua" w:cs="SimSun"/>
          <w:i/>
          <w:iCs/>
          <w:sz w:val="24"/>
          <w:szCs w:val="24"/>
          <w:lang w:val="en-US" w:eastAsia="zh-CN"/>
        </w:rPr>
        <w:t>PLoS One</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7</w:t>
      </w:r>
      <w:r w:rsidRPr="001326F0">
        <w:rPr>
          <w:rFonts w:ascii="Book Antiqua" w:eastAsia="SimSun" w:hAnsi="Book Antiqua" w:cs="SimSun"/>
          <w:sz w:val="24"/>
          <w:szCs w:val="24"/>
          <w:lang w:val="en-US" w:eastAsia="zh-CN"/>
        </w:rPr>
        <w:t>: e33308 [PMID: 22485140 DOI: 10.1371/journal.pone.0033308]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64 </w:t>
      </w:r>
      <w:r w:rsidRPr="001326F0">
        <w:rPr>
          <w:rFonts w:ascii="Book Antiqua" w:eastAsia="SimSun" w:hAnsi="Book Antiqua" w:cs="SimSun"/>
          <w:b/>
          <w:bCs/>
          <w:sz w:val="24"/>
          <w:szCs w:val="24"/>
          <w:lang w:val="en-US" w:eastAsia="zh-CN"/>
        </w:rPr>
        <w:t>Marcus RL</w:t>
      </w:r>
      <w:r w:rsidRPr="001326F0">
        <w:rPr>
          <w:rFonts w:ascii="Book Antiqua" w:eastAsia="SimSun" w:hAnsi="Book Antiqua" w:cs="SimSun"/>
          <w:sz w:val="24"/>
          <w:szCs w:val="24"/>
          <w:lang w:val="en-US" w:eastAsia="zh-CN"/>
        </w:rPr>
        <w:t xml:space="preserve">, Addison O, Dibble LE, Foreman KB, Morrell G, Lastayo P. Intramuscular adipose tissue, sarcopenia, and mobility function in older individuals. </w:t>
      </w:r>
      <w:r w:rsidRPr="001326F0">
        <w:rPr>
          <w:rFonts w:ascii="Book Antiqua" w:eastAsia="SimSun" w:hAnsi="Book Antiqua" w:cs="SimSun"/>
          <w:i/>
          <w:iCs/>
          <w:sz w:val="24"/>
          <w:szCs w:val="24"/>
          <w:lang w:val="en-US" w:eastAsia="zh-CN"/>
        </w:rPr>
        <w:t>J Aging Res</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2012</w:t>
      </w:r>
      <w:r w:rsidRPr="001326F0">
        <w:rPr>
          <w:rFonts w:ascii="Book Antiqua" w:eastAsia="SimSun" w:hAnsi="Book Antiqua" w:cs="SimSun"/>
          <w:sz w:val="24"/>
          <w:szCs w:val="24"/>
          <w:lang w:val="en-US" w:eastAsia="zh-CN"/>
        </w:rPr>
        <w:t>: 629637 [PMID: 22500231 DOI: 10.1155/2012/629637]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65 </w:t>
      </w:r>
      <w:r w:rsidRPr="001326F0">
        <w:rPr>
          <w:rFonts w:ascii="Book Antiqua" w:eastAsia="SimSun" w:hAnsi="Book Antiqua" w:cs="SimSun"/>
          <w:b/>
          <w:bCs/>
          <w:sz w:val="24"/>
          <w:szCs w:val="24"/>
          <w:lang w:val="en-US" w:eastAsia="zh-CN"/>
        </w:rPr>
        <w:t>Park HS</w:t>
      </w:r>
      <w:r w:rsidRPr="001326F0">
        <w:rPr>
          <w:rFonts w:ascii="Book Antiqua" w:eastAsia="SimSun" w:hAnsi="Book Antiqua" w:cs="SimSun"/>
          <w:sz w:val="24"/>
          <w:szCs w:val="24"/>
          <w:lang w:val="en-US" w:eastAsia="zh-CN"/>
        </w:rPr>
        <w:t xml:space="preserve">, Park JY, Yu R. Relationship of obesity and visceral adiposity with serum concentrations of CRP, TNF-alpha and IL-6. </w:t>
      </w:r>
      <w:r w:rsidRPr="001326F0">
        <w:rPr>
          <w:rFonts w:ascii="Book Antiqua" w:eastAsia="SimSun" w:hAnsi="Book Antiqua" w:cs="SimSun"/>
          <w:i/>
          <w:iCs/>
          <w:sz w:val="24"/>
          <w:szCs w:val="24"/>
          <w:lang w:val="en-US" w:eastAsia="zh-CN"/>
        </w:rPr>
        <w:t>Diabetes Res Clin Pract</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69</w:t>
      </w:r>
      <w:r w:rsidRPr="001326F0">
        <w:rPr>
          <w:rFonts w:ascii="Book Antiqua" w:eastAsia="SimSun" w:hAnsi="Book Antiqua" w:cs="SimSun"/>
          <w:sz w:val="24"/>
          <w:szCs w:val="24"/>
          <w:lang w:val="en-US" w:eastAsia="zh-CN"/>
        </w:rPr>
        <w:t>: 29-35 [PMID: 15955385]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66 </w:t>
      </w:r>
      <w:r w:rsidRPr="001326F0">
        <w:rPr>
          <w:rFonts w:ascii="Book Antiqua" w:eastAsia="SimSun" w:hAnsi="Book Antiqua" w:cs="SimSun"/>
          <w:b/>
          <w:bCs/>
          <w:sz w:val="24"/>
          <w:szCs w:val="24"/>
          <w:lang w:val="en-US" w:eastAsia="zh-CN"/>
        </w:rPr>
        <w:t>Gustafson B</w:t>
      </w:r>
      <w:r w:rsidRPr="001326F0">
        <w:rPr>
          <w:rFonts w:ascii="Book Antiqua" w:eastAsia="SimSun" w:hAnsi="Book Antiqua" w:cs="SimSun"/>
          <w:sz w:val="24"/>
          <w:szCs w:val="24"/>
          <w:lang w:val="en-US" w:eastAsia="zh-CN"/>
        </w:rPr>
        <w:t xml:space="preserve">, Hammarstedt A, Andersson CX, Smith U. Inflamed adipose tissue: a culprit underlying the metabolic syndrome and atherosclerosis. </w:t>
      </w:r>
      <w:r w:rsidRPr="001326F0">
        <w:rPr>
          <w:rFonts w:ascii="Book Antiqua" w:eastAsia="SimSun" w:hAnsi="Book Antiqua" w:cs="SimSun"/>
          <w:i/>
          <w:iCs/>
          <w:sz w:val="24"/>
          <w:szCs w:val="24"/>
          <w:lang w:val="en-US" w:eastAsia="zh-CN"/>
        </w:rPr>
        <w:t>Arterioscler Thromb Vasc Biol</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27</w:t>
      </w:r>
      <w:r w:rsidRPr="001326F0">
        <w:rPr>
          <w:rFonts w:ascii="Book Antiqua" w:eastAsia="SimSun" w:hAnsi="Book Antiqua" w:cs="SimSun"/>
          <w:sz w:val="24"/>
          <w:szCs w:val="24"/>
          <w:lang w:val="en-US" w:eastAsia="zh-CN"/>
        </w:rPr>
        <w:t>: 2276-2283 [PMID: 17823366]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67 </w:t>
      </w:r>
      <w:r w:rsidRPr="001326F0">
        <w:rPr>
          <w:rFonts w:ascii="Book Antiqua" w:eastAsia="SimSun" w:hAnsi="Book Antiqua" w:cs="SimSun"/>
          <w:b/>
          <w:bCs/>
          <w:sz w:val="24"/>
          <w:szCs w:val="24"/>
          <w:lang w:val="en-US" w:eastAsia="zh-CN"/>
        </w:rPr>
        <w:t>Henrichot E</w:t>
      </w:r>
      <w:r w:rsidRPr="001326F0">
        <w:rPr>
          <w:rFonts w:ascii="Book Antiqua" w:eastAsia="SimSun" w:hAnsi="Book Antiqua" w:cs="SimSun"/>
          <w:sz w:val="24"/>
          <w:szCs w:val="24"/>
          <w:lang w:val="en-US" w:eastAsia="zh-CN"/>
        </w:rPr>
        <w:t xml:space="preserve">, Juge-Aubry CE, Pernin A, Pache JC, Velebit V, Dayer JM, Meda P, Chizzolini C, Meier CA. Production of chemokines by perivascular adipose tissue: a role in the pathogenesis of atherosclerosis? </w:t>
      </w:r>
      <w:r w:rsidRPr="001326F0">
        <w:rPr>
          <w:rFonts w:ascii="Book Antiqua" w:eastAsia="SimSun" w:hAnsi="Book Antiqua" w:cs="SimSun"/>
          <w:i/>
          <w:iCs/>
          <w:sz w:val="24"/>
          <w:szCs w:val="24"/>
          <w:lang w:val="en-US" w:eastAsia="zh-CN"/>
        </w:rPr>
        <w:t>Arterioscler Thromb Vasc Biol</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25</w:t>
      </w:r>
      <w:r w:rsidRPr="001326F0">
        <w:rPr>
          <w:rFonts w:ascii="Book Antiqua" w:eastAsia="SimSun" w:hAnsi="Book Antiqua" w:cs="SimSun"/>
          <w:sz w:val="24"/>
          <w:szCs w:val="24"/>
          <w:lang w:val="en-US" w:eastAsia="zh-CN"/>
        </w:rPr>
        <w:t>: 2594-2599 [PMID: 16195477]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68 </w:t>
      </w:r>
      <w:r w:rsidRPr="001326F0">
        <w:rPr>
          <w:rFonts w:ascii="Book Antiqua" w:eastAsia="SimSun" w:hAnsi="Book Antiqua" w:cs="SimSun"/>
          <w:b/>
          <w:bCs/>
          <w:sz w:val="24"/>
          <w:szCs w:val="24"/>
          <w:lang w:val="en-US" w:eastAsia="zh-CN"/>
        </w:rPr>
        <w:t>Mazurek T</w:t>
      </w:r>
      <w:r w:rsidRPr="001326F0">
        <w:rPr>
          <w:rFonts w:ascii="Book Antiqua" w:eastAsia="SimSun" w:hAnsi="Book Antiqua" w:cs="SimSun"/>
          <w:sz w:val="24"/>
          <w:szCs w:val="24"/>
          <w:lang w:val="en-US" w:eastAsia="zh-CN"/>
        </w:rPr>
        <w:t xml:space="preserve">, Zhang L, Zalewski A, Mannion JD, Diehl JT, Arafat H, Sarov-Blat L, O'Brien S, Keiper EA, Johnson AG, Martin J, Goldstein BJ, Shi Y. Human epicardial adipose tissue is a source of inflammatory mediators. </w:t>
      </w:r>
      <w:r w:rsidRPr="001326F0">
        <w:rPr>
          <w:rFonts w:ascii="Book Antiqua" w:eastAsia="SimSun" w:hAnsi="Book Antiqua" w:cs="SimSun"/>
          <w:i/>
          <w:iCs/>
          <w:sz w:val="24"/>
          <w:szCs w:val="24"/>
          <w:lang w:val="en-US" w:eastAsia="zh-CN"/>
        </w:rPr>
        <w:t>Circulation</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108</w:t>
      </w:r>
      <w:r w:rsidRPr="001326F0">
        <w:rPr>
          <w:rFonts w:ascii="Book Antiqua" w:eastAsia="SimSun" w:hAnsi="Book Antiqua" w:cs="SimSun"/>
          <w:sz w:val="24"/>
          <w:szCs w:val="24"/>
          <w:lang w:val="en-US" w:eastAsia="zh-CN"/>
        </w:rPr>
        <w:t>: 2460-2466 [PMID: 14581396]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69 </w:t>
      </w:r>
      <w:r w:rsidRPr="001326F0">
        <w:rPr>
          <w:rFonts w:ascii="Book Antiqua" w:eastAsia="SimSun" w:hAnsi="Book Antiqua" w:cs="SimSun"/>
          <w:b/>
          <w:bCs/>
          <w:sz w:val="24"/>
          <w:szCs w:val="24"/>
          <w:lang w:val="en-US" w:eastAsia="zh-CN"/>
        </w:rPr>
        <w:t>Yudkin JS</w:t>
      </w:r>
      <w:r w:rsidRPr="001326F0">
        <w:rPr>
          <w:rFonts w:ascii="Book Antiqua" w:eastAsia="SimSun" w:hAnsi="Book Antiqua" w:cs="SimSun"/>
          <w:sz w:val="24"/>
          <w:szCs w:val="24"/>
          <w:lang w:val="en-US" w:eastAsia="zh-CN"/>
        </w:rPr>
        <w:t xml:space="preserve">, Eringa E, Stehouwer CD. "Vasocrine" signalling from perivascular fat: a mechanism linking insulin resistance to vascular disease. </w:t>
      </w:r>
      <w:r w:rsidRPr="001326F0">
        <w:rPr>
          <w:rFonts w:ascii="Book Antiqua" w:eastAsia="SimSun" w:hAnsi="Book Antiqua" w:cs="SimSun"/>
          <w:i/>
          <w:iCs/>
          <w:sz w:val="24"/>
          <w:szCs w:val="24"/>
          <w:lang w:val="en-US" w:eastAsia="zh-CN"/>
        </w:rPr>
        <w:t>Lancet</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2005</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365</w:t>
      </w:r>
      <w:r w:rsidRPr="001326F0">
        <w:rPr>
          <w:rFonts w:ascii="Book Antiqua" w:eastAsia="SimSun" w:hAnsi="Book Antiqua" w:cs="SimSun"/>
          <w:sz w:val="24"/>
          <w:szCs w:val="24"/>
          <w:lang w:val="en-US" w:eastAsia="zh-CN"/>
        </w:rPr>
        <w:t>: 1817-1820 [PMID: 15910955]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70 </w:t>
      </w:r>
      <w:r w:rsidRPr="001326F0">
        <w:rPr>
          <w:rFonts w:ascii="Book Antiqua" w:eastAsia="SimSun" w:hAnsi="Book Antiqua" w:cs="SimSun"/>
          <w:b/>
          <w:bCs/>
          <w:sz w:val="24"/>
          <w:szCs w:val="24"/>
          <w:lang w:val="en-US" w:eastAsia="zh-CN"/>
        </w:rPr>
        <w:t>Wang CC</w:t>
      </w:r>
      <w:r w:rsidRPr="001326F0">
        <w:rPr>
          <w:rFonts w:ascii="Book Antiqua" w:eastAsia="SimSun" w:hAnsi="Book Antiqua" w:cs="SimSun"/>
          <w:sz w:val="24"/>
          <w:szCs w:val="24"/>
          <w:lang w:val="en-US" w:eastAsia="zh-CN"/>
        </w:rPr>
        <w:t xml:space="preserve">, Goalstone ML, Draznin B. Molecular mechanisms of insulin resistance that impact cardiovascular biology.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53</w:t>
      </w:r>
      <w:r w:rsidRPr="001326F0">
        <w:rPr>
          <w:rFonts w:ascii="Book Antiqua" w:eastAsia="SimSun" w:hAnsi="Book Antiqua" w:cs="SimSun"/>
          <w:sz w:val="24"/>
          <w:szCs w:val="24"/>
          <w:lang w:val="en-US" w:eastAsia="zh-CN"/>
        </w:rPr>
        <w:t>: 2735-2740 [PMID: 15504952]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71 </w:t>
      </w:r>
      <w:r w:rsidRPr="001326F0">
        <w:rPr>
          <w:rFonts w:ascii="Book Antiqua" w:eastAsia="SimSun" w:hAnsi="Book Antiqua" w:cs="SimSun"/>
          <w:b/>
          <w:bCs/>
          <w:sz w:val="24"/>
          <w:szCs w:val="24"/>
          <w:lang w:val="en-US" w:eastAsia="zh-CN"/>
        </w:rPr>
        <w:t>Libby P</w:t>
      </w:r>
      <w:r w:rsidRPr="001326F0">
        <w:rPr>
          <w:rFonts w:ascii="Book Antiqua" w:eastAsia="SimSun" w:hAnsi="Book Antiqua" w:cs="SimSun"/>
          <w:sz w:val="24"/>
          <w:szCs w:val="24"/>
          <w:lang w:val="en-US" w:eastAsia="zh-CN"/>
        </w:rPr>
        <w:t xml:space="preserve">. Inflammation in atherosclerosis. </w:t>
      </w:r>
      <w:r w:rsidRPr="001326F0">
        <w:rPr>
          <w:rFonts w:ascii="Book Antiqua" w:eastAsia="SimSun" w:hAnsi="Book Antiqua" w:cs="SimSun"/>
          <w:i/>
          <w:iCs/>
          <w:sz w:val="24"/>
          <w:szCs w:val="24"/>
          <w:lang w:val="en-US" w:eastAsia="zh-CN"/>
        </w:rPr>
        <w:t>Nature</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2002</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420</w:t>
      </w:r>
      <w:r w:rsidRPr="001326F0">
        <w:rPr>
          <w:rFonts w:ascii="Book Antiqua" w:eastAsia="SimSun" w:hAnsi="Book Antiqua" w:cs="SimSun"/>
          <w:sz w:val="24"/>
          <w:szCs w:val="24"/>
          <w:lang w:val="en-US" w:eastAsia="zh-CN"/>
        </w:rPr>
        <w:t>: 868-874 [PMID: 12490960]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72 </w:t>
      </w:r>
      <w:r w:rsidRPr="001326F0">
        <w:rPr>
          <w:rFonts w:ascii="Book Antiqua" w:eastAsia="SimSun" w:hAnsi="Book Antiqua" w:cs="SimSun"/>
          <w:b/>
          <w:bCs/>
          <w:sz w:val="24"/>
          <w:szCs w:val="24"/>
          <w:lang w:val="en-US" w:eastAsia="zh-CN"/>
        </w:rPr>
        <w:t>Li G</w:t>
      </w:r>
      <w:r w:rsidRPr="001326F0">
        <w:rPr>
          <w:rFonts w:ascii="Book Antiqua" w:eastAsia="SimSun" w:hAnsi="Book Antiqua" w:cs="SimSun"/>
          <w:sz w:val="24"/>
          <w:szCs w:val="24"/>
          <w:lang w:val="en-US" w:eastAsia="zh-CN"/>
        </w:rPr>
        <w:t xml:space="preserve">, Klein RL, Matheny M, King MA, Meyer EM, Scarpace PJ. Induction of uncoupling protein 1 by central interleukin-6 gene delivery is dependent </w:t>
      </w:r>
      <w:r w:rsidRPr="001326F0">
        <w:rPr>
          <w:rFonts w:ascii="Book Antiqua" w:eastAsia="SimSun" w:hAnsi="Book Antiqua" w:cs="SimSun"/>
          <w:sz w:val="24"/>
          <w:szCs w:val="24"/>
          <w:lang w:val="en-US" w:eastAsia="zh-CN"/>
        </w:rPr>
        <w:lastRenderedPageBreak/>
        <w:t xml:space="preserve">on sympathetic innervation of brown adipose tissue and underlies one mechanism of body weight reduction in rats. </w:t>
      </w:r>
      <w:r w:rsidRPr="001326F0">
        <w:rPr>
          <w:rFonts w:ascii="Book Antiqua" w:eastAsia="SimSun" w:hAnsi="Book Antiqua" w:cs="SimSun"/>
          <w:i/>
          <w:iCs/>
          <w:sz w:val="24"/>
          <w:szCs w:val="24"/>
          <w:lang w:val="en-US" w:eastAsia="zh-CN"/>
        </w:rPr>
        <w:t>Neuroscience</w:t>
      </w:r>
      <w:r w:rsidRPr="001326F0">
        <w:rPr>
          <w:rFonts w:ascii="Book Antiqua" w:eastAsia="SimSun" w:hAnsi="Book Antiqua" w:cs="SimSun"/>
          <w:sz w:val="24"/>
          <w:szCs w:val="24"/>
          <w:lang w:val="en-US" w:eastAsia="zh-CN"/>
        </w:rPr>
        <w:t xml:space="preserve"> 2002; </w:t>
      </w:r>
      <w:r w:rsidRPr="001326F0">
        <w:rPr>
          <w:rFonts w:ascii="Book Antiqua" w:eastAsia="SimSun" w:hAnsi="Book Antiqua" w:cs="SimSun"/>
          <w:b/>
          <w:bCs/>
          <w:sz w:val="24"/>
          <w:szCs w:val="24"/>
          <w:lang w:val="en-US" w:eastAsia="zh-CN"/>
        </w:rPr>
        <w:t>115</w:t>
      </w:r>
      <w:r w:rsidRPr="001326F0">
        <w:rPr>
          <w:rFonts w:ascii="Book Antiqua" w:eastAsia="SimSun" w:hAnsi="Book Antiqua" w:cs="SimSun"/>
          <w:sz w:val="24"/>
          <w:szCs w:val="24"/>
          <w:lang w:val="en-US" w:eastAsia="zh-CN"/>
        </w:rPr>
        <w:t>: 879-889 [PMID: 12435426]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73 </w:t>
      </w:r>
      <w:r w:rsidRPr="001326F0">
        <w:rPr>
          <w:rFonts w:ascii="Book Antiqua" w:eastAsia="SimSun" w:hAnsi="Book Antiqua" w:cs="SimSun"/>
          <w:b/>
          <w:bCs/>
          <w:sz w:val="24"/>
          <w:szCs w:val="24"/>
          <w:lang w:val="en-US" w:eastAsia="zh-CN"/>
        </w:rPr>
        <w:t>Harris TB</w:t>
      </w:r>
      <w:r w:rsidRPr="001326F0">
        <w:rPr>
          <w:rFonts w:ascii="Book Antiqua" w:eastAsia="SimSun" w:hAnsi="Book Antiqua" w:cs="SimSun"/>
          <w:sz w:val="24"/>
          <w:szCs w:val="24"/>
          <w:lang w:val="en-US" w:eastAsia="zh-CN"/>
        </w:rPr>
        <w:t xml:space="preserve">, Ferrucci L, Tracy RP, Corti MC, Wacholder S, Ettinger WH, Heimovitz H, Cohen HJ, Wallace R. Associations of elevated interleukin-6 and C-reactive protein levels with mortality in the elderly. </w:t>
      </w:r>
      <w:r w:rsidRPr="001326F0">
        <w:rPr>
          <w:rFonts w:ascii="Book Antiqua" w:eastAsia="SimSun" w:hAnsi="Book Antiqua" w:cs="SimSun"/>
          <w:i/>
          <w:iCs/>
          <w:sz w:val="24"/>
          <w:szCs w:val="24"/>
          <w:lang w:val="en-US" w:eastAsia="zh-CN"/>
        </w:rPr>
        <w:t>Am J Med</w:t>
      </w:r>
      <w:r w:rsidRPr="001326F0">
        <w:rPr>
          <w:rFonts w:ascii="Book Antiqua" w:eastAsia="SimSun" w:hAnsi="Book Antiqua" w:cs="SimSun"/>
          <w:sz w:val="24"/>
          <w:szCs w:val="24"/>
          <w:lang w:val="en-US" w:eastAsia="zh-CN"/>
        </w:rPr>
        <w:t xml:space="preserve"> 1999; </w:t>
      </w:r>
      <w:r w:rsidRPr="001326F0">
        <w:rPr>
          <w:rFonts w:ascii="Book Antiqua" w:eastAsia="SimSun" w:hAnsi="Book Antiqua" w:cs="SimSun"/>
          <w:b/>
          <w:bCs/>
          <w:sz w:val="24"/>
          <w:szCs w:val="24"/>
          <w:lang w:val="en-US" w:eastAsia="zh-CN"/>
        </w:rPr>
        <w:t>106</w:t>
      </w:r>
      <w:r w:rsidRPr="001326F0">
        <w:rPr>
          <w:rFonts w:ascii="Book Antiqua" w:eastAsia="SimSun" w:hAnsi="Book Antiqua" w:cs="SimSun"/>
          <w:sz w:val="24"/>
          <w:szCs w:val="24"/>
          <w:lang w:val="en-US" w:eastAsia="zh-CN"/>
        </w:rPr>
        <w:t>: 506-512 [PMID: 10335721]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74 </w:t>
      </w:r>
      <w:r w:rsidRPr="001326F0">
        <w:rPr>
          <w:rFonts w:ascii="Book Antiqua" w:eastAsia="SimSun" w:hAnsi="Book Antiqua" w:cs="SimSun"/>
          <w:b/>
          <w:bCs/>
          <w:sz w:val="24"/>
          <w:szCs w:val="24"/>
          <w:lang w:val="en-US" w:eastAsia="zh-CN"/>
        </w:rPr>
        <w:t>Bastard JP</w:t>
      </w:r>
      <w:r w:rsidRPr="001326F0">
        <w:rPr>
          <w:rFonts w:ascii="Book Antiqua" w:eastAsia="SimSun" w:hAnsi="Book Antiqua" w:cs="SimSun"/>
          <w:sz w:val="24"/>
          <w:szCs w:val="24"/>
          <w:lang w:val="en-US" w:eastAsia="zh-CN"/>
        </w:rPr>
        <w:t xml:space="preserve">, Maachi M, Van Nhieu JT, Jardel C, Bruckert E, Grimaldi A, Robert JJ, Capeau J, Hainque B. Adipose tissue IL-6 content correlates with resistance to insulin activation of glucose uptake both in vivo and in vitro.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2002; </w:t>
      </w:r>
      <w:r w:rsidRPr="001326F0">
        <w:rPr>
          <w:rFonts w:ascii="Book Antiqua" w:eastAsia="SimSun" w:hAnsi="Book Antiqua" w:cs="SimSun"/>
          <w:b/>
          <w:bCs/>
          <w:sz w:val="24"/>
          <w:szCs w:val="24"/>
          <w:lang w:val="en-US" w:eastAsia="zh-CN"/>
        </w:rPr>
        <w:t>87</w:t>
      </w:r>
      <w:r w:rsidRPr="001326F0">
        <w:rPr>
          <w:rFonts w:ascii="Book Antiqua" w:eastAsia="SimSun" w:hAnsi="Book Antiqua" w:cs="SimSun"/>
          <w:sz w:val="24"/>
          <w:szCs w:val="24"/>
          <w:lang w:val="en-US" w:eastAsia="zh-CN"/>
        </w:rPr>
        <w:t>: 2084-2089 [PMID: 11994345]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75 </w:t>
      </w:r>
      <w:r w:rsidRPr="001326F0">
        <w:rPr>
          <w:rFonts w:ascii="Book Antiqua" w:eastAsia="SimSun" w:hAnsi="Book Antiqua" w:cs="SimSun"/>
          <w:b/>
          <w:bCs/>
          <w:sz w:val="24"/>
          <w:szCs w:val="24"/>
          <w:lang w:val="en-US" w:eastAsia="zh-CN"/>
        </w:rPr>
        <w:t>Weisberg SP</w:t>
      </w:r>
      <w:r w:rsidRPr="001326F0">
        <w:rPr>
          <w:rFonts w:ascii="Book Antiqua" w:eastAsia="SimSun" w:hAnsi="Book Antiqua" w:cs="SimSun"/>
          <w:sz w:val="24"/>
          <w:szCs w:val="24"/>
          <w:lang w:val="en-US" w:eastAsia="zh-CN"/>
        </w:rPr>
        <w:t xml:space="preserve">, McCann D, Desai M, Rosenbaum M, Leibel RL, Ferrante AW. Obesity is associated with macrophage accumulation in adipose tissue. </w:t>
      </w:r>
      <w:r w:rsidRPr="001326F0">
        <w:rPr>
          <w:rFonts w:ascii="Book Antiqua" w:eastAsia="SimSun" w:hAnsi="Book Antiqua" w:cs="SimSun"/>
          <w:i/>
          <w:iCs/>
          <w:sz w:val="24"/>
          <w:szCs w:val="24"/>
          <w:lang w:val="en-US" w:eastAsia="zh-CN"/>
        </w:rPr>
        <w:t>J Clin Invest</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112</w:t>
      </w:r>
      <w:r w:rsidRPr="001326F0">
        <w:rPr>
          <w:rFonts w:ascii="Book Antiqua" w:eastAsia="SimSun" w:hAnsi="Book Antiqua" w:cs="SimSun"/>
          <w:sz w:val="24"/>
          <w:szCs w:val="24"/>
          <w:lang w:val="en-US" w:eastAsia="zh-CN"/>
        </w:rPr>
        <w:t>: 1796-1808 [PMID: 14679176]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76 </w:t>
      </w:r>
      <w:r w:rsidRPr="001326F0">
        <w:rPr>
          <w:rFonts w:ascii="Book Antiqua" w:eastAsia="SimSun" w:hAnsi="Book Antiqua" w:cs="SimSun"/>
          <w:b/>
          <w:bCs/>
          <w:sz w:val="24"/>
          <w:szCs w:val="24"/>
          <w:lang w:val="en-US" w:eastAsia="zh-CN"/>
        </w:rPr>
        <w:t>Hauner H</w:t>
      </w:r>
      <w:r w:rsidRPr="001326F0">
        <w:rPr>
          <w:rFonts w:ascii="Book Antiqua" w:eastAsia="SimSun" w:hAnsi="Book Antiqua" w:cs="SimSun"/>
          <w:sz w:val="24"/>
          <w:szCs w:val="24"/>
          <w:lang w:val="en-US" w:eastAsia="zh-CN"/>
        </w:rPr>
        <w:t xml:space="preserve">, Petruschke T, Russ M, Röhrig K, Eckel J. Effects of tumour necrosis factor alpha (TNF alpha) on glucose transport and lipid metabolism of newly-differentiated human fat cells in cell culture. </w:t>
      </w:r>
      <w:r w:rsidRPr="001326F0">
        <w:rPr>
          <w:rFonts w:ascii="Book Antiqua" w:eastAsia="SimSun" w:hAnsi="Book Antiqua" w:cs="SimSun"/>
          <w:i/>
          <w:iCs/>
          <w:sz w:val="24"/>
          <w:szCs w:val="24"/>
          <w:lang w:val="en-US" w:eastAsia="zh-CN"/>
        </w:rPr>
        <w:t>Diabetologia</w:t>
      </w:r>
      <w:r w:rsidRPr="001326F0">
        <w:rPr>
          <w:rFonts w:ascii="Book Antiqua" w:eastAsia="SimSun" w:hAnsi="Book Antiqua" w:cs="SimSun"/>
          <w:sz w:val="24"/>
          <w:szCs w:val="24"/>
          <w:lang w:val="en-US" w:eastAsia="zh-CN"/>
        </w:rPr>
        <w:t xml:space="preserve"> 1995; </w:t>
      </w:r>
      <w:r w:rsidRPr="001326F0">
        <w:rPr>
          <w:rFonts w:ascii="Book Antiqua" w:eastAsia="SimSun" w:hAnsi="Book Antiqua" w:cs="SimSun"/>
          <w:b/>
          <w:bCs/>
          <w:sz w:val="24"/>
          <w:szCs w:val="24"/>
          <w:lang w:val="en-US" w:eastAsia="zh-CN"/>
        </w:rPr>
        <w:t>38</w:t>
      </w:r>
      <w:r w:rsidRPr="001326F0">
        <w:rPr>
          <w:rFonts w:ascii="Book Antiqua" w:eastAsia="SimSun" w:hAnsi="Book Antiqua" w:cs="SimSun"/>
          <w:sz w:val="24"/>
          <w:szCs w:val="24"/>
          <w:lang w:val="en-US" w:eastAsia="zh-CN"/>
        </w:rPr>
        <w:t>: 764-771 [PMID: 7556976]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77 </w:t>
      </w:r>
      <w:r w:rsidRPr="001326F0">
        <w:rPr>
          <w:rFonts w:ascii="Book Antiqua" w:eastAsia="SimSun" w:hAnsi="Book Antiqua" w:cs="SimSun"/>
          <w:b/>
          <w:bCs/>
          <w:sz w:val="24"/>
          <w:szCs w:val="24"/>
          <w:lang w:val="en-US" w:eastAsia="zh-CN"/>
        </w:rPr>
        <w:t>Dalziel B</w:t>
      </w:r>
      <w:r w:rsidRPr="001326F0">
        <w:rPr>
          <w:rFonts w:ascii="Book Antiqua" w:eastAsia="SimSun" w:hAnsi="Book Antiqua" w:cs="SimSun"/>
          <w:sz w:val="24"/>
          <w:szCs w:val="24"/>
          <w:lang w:val="en-US" w:eastAsia="zh-CN"/>
        </w:rPr>
        <w:t xml:space="preserve">, Gosby AK, Richman RM, Bryson JM, Caterson ID. Association of the TNF-alpha -308 G/A promoter polymorphism with insulin resistance in obesity. </w:t>
      </w:r>
      <w:r w:rsidRPr="001326F0">
        <w:rPr>
          <w:rFonts w:ascii="Book Antiqua" w:eastAsia="SimSun" w:hAnsi="Book Antiqua" w:cs="SimSun"/>
          <w:i/>
          <w:iCs/>
          <w:sz w:val="24"/>
          <w:szCs w:val="24"/>
          <w:lang w:val="en-US" w:eastAsia="zh-CN"/>
        </w:rPr>
        <w:t>Obes Res</w:t>
      </w:r>
      <w:r w:rsidRPr="001326F0">
        <w:rPr>
          <w:rFonts w:ascii="Book Antiqua" w:eastAsia="SimSun" w:hAnsi="Book Antiqua" w:cs="SimSun"/>
          <w:sz w:val="24"/>
          <w:szCs w:val="24"/>
          <w:lang w:val="en-US" w:eastAsia="zh-CN"/>
        </w:rPr>
        <w:t xml:space="preserve"> 2002; </w:t>
      </w:r>
      <w:r w:rsidRPr="001326F0">
        <w:rPr>
          <w:rFonts w:ascii="Book Antiqua" w:eastAsia="SimSun" w:hAnsi="Book Antiqua" w:cs="SimSun"/>
          <w:b/>
          <w:bCs/>
          <w:sz w:val="24"/>
          <w:szCs w:val="24"/>
          <w:lang w:val="en-US" w:eastAsia="zh-CN"/>
        </w:rPr>
        <w:t>10</w:t>
      </w:r>
      <w:r w:rsidRPr="001326F0">
        <w:rPr>
          <w:rFonts w:ascii="Book Antiqua" w:eastAsia="SimSun" w:hAnsi="Book Antiqua" w:cs="SimSun"/>
          <w:sz w:val="24"/>
          <w:szCs w:val="24"/>
          <w:lang w:val="en-US" w:eastAsia="zh-CN"/>
        </w:rPr>
        <w:t>: 401-407 [PMID: 12006640]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78 </w:t>
      </w:r>
      <w:r w:rsidRPr="001326F0">
        <w:rPr>
          <w:rFonts w:ascii="Book Antiqua" w:eastAsia="SimSun" w:hAnsi="Book Antiqua" w:cs="SimSun"/>
          <w:b/>
          <w:bCs/>
          <w:sz w:val="24"/>
          <w:szCs w:val="24"/>
          <w:lang w:val="en-US" w:eastAsia="zh-CN"/>
        </w:rPr>
        <w:t>Meadows KA</w:t>
      </w:r>
      <w:r w:rsidRPr="001326F0">
        <w:rPr>
          <w:rFonts w:ascii="Book Antiqua" w:eastAsia="SimSun" w:hAnsi="Book Antiqua" w:cs="SimSun"/>
          <w:sz w:val="24"/>
          <w:szCs w:val="24"/>
          <w:lang w:val="en-US" w:eastAsia="zh-CN"/>
        </w:rPr>
        <w:t xml:space="preserve">, Holly JM, Stewart CE. Tumor necrosis factor-alpha-induced apoptosis is associated with suppression of insulin-like growth factor binding protein-5 secretion in differentiating murine skeletal myoblasts. </w:t>
      </w:r>
      <w:r w:rsidRPr="001326F0">
        <w:rPr>
          <w:rFonts w:ascii="Book Antiqua" w:eastAsia="SimSun" w:hAnsi="Book Antiqua" w:cs="SimSun"/>
          <w:i/>
          <w:iCs/>
          <w:sz w:val="24"/>
          <w:szCs w:val="24"/>
          <w:lang w:val="en-US" w:eastAsia="zh-CN"/>
        </w:rPr>
        <w:t>J Cell Physiol</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183</w:t>
      </w:r>
      <w:r w:rsidRPr="001326F0">
        <w:rPr>
          <w:rFonts w:ascii="Book Antiqua" w:eastAsia="SimSun" w:hAnsi="Book Antiqua" w:cs="SimSun"/>
          <w:sz w:val="24"/>
          <w:szCs w:val="24"/>
          <w:lang w:val="en-US" w:eastAsia="zh-CN"/>
        </w:rPr>
        <w:t>: 330-337 [PMID: 10797307]</w:t>
      </w:r>
    </w:p>
    <w:p w:rsidR="0031238A" w:rsidRPr="001326F0" w:rsidRDefault="0031238A" w:rsidP="0031238A">
      <w:pPr>
        <w:spacing w:after="0" w:line="360" w:lineRule="auto"/>
        <w:jc w:val="both"/>
        <w:rPr>
          <w:rFonts w:ascii="Book Antiqua" w:eastAsia="SimSun" w:hAnsi="Book Antiqua" w:cs="SimSun"/>
          <w:sz w:val="24"/>
          <w:szCs w:val="24"/>
          <w:lang w:val="es-ES_tradnl" w:eastAsia="zh-CN"/>
        </w:rPr>
      </w:pPr>
      <w:r w:rsidRPr="001326F0">
        <w:rPr>
          <w:rFonts w:ascii="Book Antiqua" w:eastAsia="SimSun" w:hAnsi="Book Antiqua" w:cs="SimSun"/>
          <w:sz w:val="24"/>
          <w:szCs w:val="24"/>
          <w:lang w:val="en-US" w:eastAsia="zh-CN"/>
        </w:rPr>
        <w:t xml:space="preserve">79 </w:t>
      </w:r>
      <w:r w:rsidRPr="001326F0">
        <w:rPr>
          <w:rFonts w:ascii="Book Antiqua" w:eastAsia="SimSun" w:hAnsi="Book Antiqua" w:cs="SimSun"/>
          <w:b/>
          <w:bCs/>
          <w:sz w:val="24"/>
          <w:szCs w:val="24"/>
          <w:lang w:val="en-US" w:eastAsia="zh-CN"/>
        </w:rPr>
        <w:t>Grunfeld C</w:t>
      </w:r>
      <w:r w:rsidRPr="001326F0">
        <w:rPr>
          <w:rFonts w:ascii="Book Antiqua" w:eastAsia="SimSun" w:hAnsi="Book Antiqua" w:cs="SimSun"/>
          <w:sz w:val="24"/>
          <w:szCs w:val="24"/>
          <w:lang w:val="en-US" w:eastAsia="zh-CN"/>
        </w:rPr>
        <w:t xml:space="preserve">, Zhao C, Fuller J, Pollack A, Moser A, Friedman J, Feingold KR. Endotoxin and cytokines induce expression of leptin, the ob gene product, in hamsters. </w:t>
      </w:r>
      <w:r w:rsidRPr="001326F0">
        <w:rPr>
          <w:rFonts w:ascii="Book Antiqua" w:eastAsia="SimSun" w:hAnsi="Book Antiqua" w:cs="SimSun"/>
          <w:i/>
          <w:iCs/>
          <w:sz w:val="24"/>
          <w:szCs w:val="24"/>
          <w:lang w:val="es-ES_tradnl" w:eastAsia="zh-CN"/>
        </w:rPr>
        <w:t>J Clin Invest</w:t>
      </w:r>
      <w:r w:rsidRPr="001326F0">
        <w:rPr>
          <w:rFonts w:ascii="Book Antiqua" w:eastAsia="SimSun" w:hAnsi="Book Antiqua" w:cs="SimSun"/>
          <w:sz w:val="24"/>
          <w:szCs w:val="24"/>
          <w:lang w:val="es-ES_tradnl" w:eastAsia="zh-CN"/>
        </w:rPr>
        <w:t xml:space="preserve"> 1996; </w:t>
      </w:r>
      <w:r w:rsidRPr="001326F0">
        <w:rPr>
          <w:rFonts w:ascii="Book Antiqua" w:eastAsia="SimSun" w:hAnsi="Book Antiqua" w:cs="SimSun"/>
          <w:b/>
          <w:bCs/>
          <w:sz w:val="24"/>
          <w:szCs w:val="24"/>
          <w:lang w:val="es-ES_tradnl" w:eastAsia="zh-CN"/>
        </w:rPr>
        <w:t>97</w:t>
      </w:r>
      <w:r w:rsidRPr="001326F0">
        <w:rPr>
          <w:rFonts w:ascii="Book Antiqua" w:eastAsia="SimSun" w:hAnsi="Book Antiqua" w:cs="SimSun"/>
          <w:sz w:val="24"/>
          <w:szCs w:val="24"/>
          <w:lang w:val="es-ES_tradnl" w:eastAsia="zh-CN"/>
        </w:rPr>
        <w:t>: 2152-2157 [PMID: 8621806]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s-ES_tradnl" w:eastAsia="zh-CN"/>
        </w:rPr>
        <w:t xml:space="preserve">80 </w:t>
      </w:r>
      <w:r w:rsidRPr="001326F0">
        <w:rPr>
          <w:rFonts w:ascii="Book Antiqua" w:eastAsia="SimSun" w:hAnsi="Book Antiqua" w:cs="SimSun"/>
          <w:b/>
          <w:bCs/>
          <w:sz w:val="24"/>
          <w:szCs w:val="24"/>
          <w:lang w:val="es-ES_tradnl" w:eastAsia="zh-CN"/>
        </w:rPr>
        <w:t>Argilés JM</w:t>
      </w:r>
      <w:r w:rsidRPr="001326F0">
        <w:rPr>
          <w:rFonts w:ascii="Book Antiqua" w:eastAsia="SimSun" w:hAnsi="Book Antiqua" w:cs="SimSun"/>
          <w:sz w:val="24"/>
          <w:szCs w:val="24"/>
          <w:lang w:val="es-ES_tradnl" w:eastAsia="zh-CN"/>
        </w:rPr>
        <w:t xml:space="preserve">, López-Soriano J, Almendro V, Busquets S, López-Soriano FJ. </w:t>
      </w:r>
      <w:r w:rsidRPr="001326F0">
        <w:rPr>
          <w:rFonts w:ascii="Book Antiqua" w:eastAsia="SimSun" w:hAnsi="Book Antiqua" w:cs="SimSun"/>
          <w:sz w:val="24"/>
          <w:szCs w:val="24"/>
          <w:lang w:val="en-US" w:eastAsia="zh-CN"/>
        </w:rPr>
        <w:t xml:space="preserve">Cross-talk between skeletal muscle and adipose tissue: a link with obesity? </w:t>
      </w:r>
      <w:r w:rsidRPr="001326F0">
        <w:rPr>
          <w:rFonts w:ascii="Book Antiqua" w:eastAsia="SimSun" w:hAnsi="Book Antiqua" w:cs="SimSun"/>
          <w:i/>
          <w:iCs/>
          <w:sz w:val="24"/>
          <w:szCs w:val="24"/>
          <w:lang w:val="en-US" w:eastAsia="zh-CN"/>
        </w:rPr>
        <w:t>Med Res Rev</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25</w:t>
      </w:r>
      <w:r w:rsidRPr="001326F0">
        <w:rPr>
          <w:rFonts w:ascii="Book Antiqua" w:eastAsia="SimSun" w:hAnsi="Book Antiqua" w:cs="SimSun"/>
          <w:sz w:val="24"/>
          <w:szCs w:val="24"/>
          <w:lang w:val="en-US" w:eastAsia="zh-CN"/>
        </w:rPr>
        <w:t>: 49-65 [PMID: 15389734]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81 </w:t>
      </w:r>
      <w:r w:rsidRPr="001326F0">
        <w:rPr>
          <w:rFonts w:ascii="Book Antiqua" w:eastAsia="SimSun" w:hAnsi="Book Antiqua" w:cs="SimSun"/>
          <w:b/>
          <w:bCs/>
          <w:sz w:val="24"/>
          <w:szCs w:val="24"/>
          <w:lang w:val="en-US" w:eastAsia="zh-CN"/>
        </w:rPr>
        <w:t>Dahlman I</w:t>
      </w:r>
      <w:r w:rsidRPr="001326F0">
        <w:rPr>
          <w:rFonts w:ascii="Book Antiqua" w:eastAsia="SimSun" w:hAnsi="Book Antiqua" w:cs="SimSun"/>
          <w:sz w:val="24"/>
          <w:szCs w:val="24"/>
          <w:lang w:val="en-US" w:eastAsia="zh-CN"/>
        </w:rPr>
        <w:t xml:space="preserve">, Arner P. Obesity and polymorphisms in genes regulating human adipose tissue. </w:t>
      </w:r>
      <w:r w:rsidRPr="001326F0">
        <w:rPr>
          <w:rFonts w:ascii="Book Antiqua" w:eastAsia="SimSun" w:hAnsi="Book Antiqua" w:cs="SimSun"/>
          <w:i/>
          <w:iCs/>
          <w:sz w:val="24"/>
          <w:szCs w:val="24"/>
          <w:lang w:val="en-US" w:eastAsia="zh-CN"/>
        </w:rPr>
        <w:t>Int J Obes (Lond)</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31</w:t>
      </w:r>
      <w:r w:rsidRPr="001326F0">
        <w:rPr>
          <w:rFonts w:ascii="Book Antiqua" w:eastAsia="SimSun" w:hAnsi="Book Antiqua" w:cs="SimSun"/>
          <w:sz w:val="24"/>
          <w:szCs w:val="24"/>
          <w:lang w:val="en-US" w:eastAsia="zh-CN"/>
        </w:rPr>
        <w:t>: 1629-1641 [PMID: 17563763]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82 </w:t>
      </w:r>
      <w:r w:rsidRPr="001326F0">
        <w:rPr>
          <w:rFonts w:ascii="Book Antiqua" w:eastAsia="SimSun" w:hAnsi="Book Antiqua" w:cs="SimSun"/>
          <w:b/>
          <w:bCs/>
          <w:sz w:val="24"/>
          <w:szCs w:val="24"/>
          <w:lang w:val="en-US" w:eastAsia="zh-CN"/>
        </w:rPr>
        <w:t>Fontaine-Bisson B</w:t>
      </w:r>
      <w:r w:rsidRPr="001326F0">
        <w:rPr>
          <w:rFonts w:ascii="Book Antiqua" w:eastAsia="SimSun" w:hAnsi="Book Antiqua" w:cs="SimSun"/>
          <w:sz w:val="24"/>
          <w:szCs w:val="24"/>
          <w:lang w:val="en-US" w:eastAsia="zh-CN"/>
        </w:rPr>
        <w:t xml:space="preserve">, Wolever TM, Chiasson JL, Rabasa-Lhoret R, Maheux P, Josse RG, Leiter LA, Rodger NW, Ryan EA, El-Sohemy A. Tumor necrosis factor alpha -238G&amp; gt; A genotype alters postprandial plasma levels of free fatty acids in obese individuals with type 2 diabetes mellitus. </w:t>
      </w:r>
      <w:r w:rsidRPr="001326F0">
        <w:rPr>
          <w:rFonts w:ascii="Book Antiqua" w:eastAsia="SimSun" w:hAnsi="Book Antiqua" w:cs="SimSun"/>
          <w:i/>
          <w:iCs/>
          <w:sz w:val="24"/>
          <w:szCs w:val="24"/>
          <w:lang w:val="en-US" w:eastAsia="zh-CN"/>
        </w:rPr>
        <w:t>Metabolism</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56</w:t>
      </w:r>
      <w:r w:rsidRPr="001326F0">
        <w:rPr>
          <w:rFonts w:ascii="Book Antiqua" w:eastAsia="SimSun" w:hAnsi="Book Antiqua" w:cs="SimSun"/>
          <w:sz w:val="24"/>
          <w:szCs w:val="24"/>
          <w:lang w:val="en-US" w:eastAsia="zh-CN"/>
        </w:rPr>
        <w:t>: 649-655 [PMID: 17445540]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83 </w:t>
      </w:r>
      <w:r w:rsidRPr="001326F0">
        <w:rPr>
          <w:rFonts w:ascii="Book Antiqua" w:eastAsia="SimSun" w:hAnsi="Book Antiqua" w:cs="SimSun"/>
          <w:b/>
          <w:bCs/>
          <w:sz w:val="24"/>
          <w:szCs w:val="24"/>
          <w:lang w:val="en-US" w:eastAsia="zh-CN"/>
        </w:rPr>
        <w:t>Kroeger KM</w:t>
      </w:r>
      <w:r w:rsidRPr="001326F0">
        <w:rPr>
          <w:rFonts w:ascii="Book Antiqua" w:eastAsia="SimSun" w:hAnsi="Book Antiqua" w:cs="SimSun"/>
          <w:sz w:val="24"/>
          <w:szCs w:val="24"/>
          <w:lang w:val="en-US" w:eastAsia="zh-CN"/>
        </w:rPr>
        <w:t xml:space="preserve">, Carville KS, Abraham LJ. The -308 tumor necrosis factor-alpha promoter polymorphism effects transcription. </w:t>
      </w:r>
      <w:r w:rsidRPr="001326F0">
        <w:rPr>
          <w:rFonts w:ascii="Book Antiqua" w:eastAsia="SimSun" w:hAnsi="Book Antiqua" w:cs="SimSun"/>
          <w:i/>
          <w:iCs/>
          <w:sz w:val="24"/>
          <w:szCs w:val="24"/>
          <w:lang w:val="en-US" w:eastAsia="zh-CN"/>
        </w:rPr>
        <w:t>Mol Immunol</w:t>
      </w:r>
      <w:r w:rsidRPr="001326F0">
        <w:rPr>
          <w:rFonts w:ascii="Book Antiqua" w:eastAsia="SimSun" w:hAnsi="Book Antiqua" w:cs="SimSun"/>
          <w:sz w:val="24"/>
          <w:szCs w:val="24"/>
          <w:lang w:val="en-US" w:eastAsia="zh-CN"/>
        </w:rPr>
        <w:t xml:space="preserve"> 1997; </w:t>
      </w:r>
      <w:r w:rsidRPr="001326F0">
        <w:rPr>
          <w:rFonts w:ascii="Book Antiqua" w:eastAsia="SimSun" w:hAnsi="Book Antiqua" w:cs="SimSun"/>
          <w:b/>
          <w:bCs/>
          <w:sz w:val="24"/>
          <w:szCs w:val="24"/>
          <w:lang w:val="en-US" w:eastAsia="zh-CN"/>
        </w:rPr>
        <w:t>34</w:t>
      </w:r>
      <w:r w:rsidRPr="001326F0">
        <w:rPr>
          <w:rFonts w:ascii="Book Antiqua" w:eastAsia="SimSun" w:hAnsi="Book Antiqua" w:cs="SimSun"/>
          <w:sz w:val="24"/>
          <w:szCs w:val="24"/>
          <w:lang w:val="en-US" w:eastAsia="zh-CN"/>
        </w:rPr>
        <w:t>: 391-399 [PMID: 9293772]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84 </w:t>
      </w:r>
      <w:r w:rsidRPr="001326F0">
        <w:rPr>
          <w:rFonts w:ascii="Book Antiqua" w:eastAsia="SimSun" w:hAnsi="Book Antiqua" w:cs="SimSun"/>
          <w:b/>
          <w:bCs/>
          <w:sz w:val="24"/>
          <w:szCs w:val="24"/>
          <w:lang w:val="en-US" w:eastAsia="zh-CN"/>
        </w:rPr>
        <w:t>Brand E</w:t>
      </w:r>
      <w:r w:rsidRPr="001326F0">
        <w:rPr>
          <w:rFonts w:ascii="Book Antiqua" w:eastAsia="SimSun" w:hAnsi="Book Antiqua" w:cs="SimSun"/>
          <w:sz w:val="24"/>
          <w:szCs w:val="24"/>
          <w:lang w:val="en-US" w:eastAsia="zh-CN"/>
        </w:rPr>
        <w:t xml:space="preserve">, Schorr U, Kunz I, Kertmen E, Ringel J, Distler A, Sharma AM. Tumor necrosis factor-alpha--308 G/A polymorphism in obese Caucasians. </w:t>
      </w:r>
      <w:r w:rsidRPr="001326F0">
        <w:rPr>
          <w:rFonts w:ascii="Book Antiqua" w:eastAsia="SimSun" w:hAnsi="Book Antiqua" w:cs="SimSun"/>
          <w:i/>
          <w:iCs/>
          <w:sz w:val="24"/>
          <w:szCs w:val="24"/>
          <w:lang w:val="en-US" w:eastAsia="zh-CN"/>
        </w:rPr>
        <w:t>Int J Obes Relat Metab Disord</w:t>
      </w:r>
      <w:r w:rsidRPr="001326F0">
        <w:rPr>
          <w:rFonts w:ascii="Book Antiqua" w:eastAsia="SimSun" w:hAnsi="Book Antiqua" w:cs="SimSun"/>
          <w:sz w:val="24"/>
          <w:szCs w:val="24"/>
          <w:lang w:val="en-US" w:eastAsia="zh-CN"/>
        </w:rPr>
        <w:t xml:space="preserve"> 2001; </w:t>
      </w:r>
      <w:r w:rsidRPr="001326F0">
        <w:rPr>
          <w:rFonts w:ascii="Book Antiqua" w:eastAsia="SimSun" w:hAnsi="Book Antiqua" w:cs="SimSun"/>
          <w:b/>
          <w:bCs/>
          <w:sz w:val="24"/>
          <w:szCs w:val="24"/>
          <w:lang w:val="en-US" w:eastAsia="zh-CN"/>
        </w:rPr>
        <w:t>25</w:t>
      </w:r>
      <w:r w:rsidRPr="001326F0">
        <w:rPr>
          <w:rFonts w:ascii="Book Antiqua" w:eastAsia="SimSun" w:hAnsi="Book Antiqua" w:cs="SimSun"/>
          <w:sz w:val="24"/>
          <w:szCs w:val="24"/>
          <w:lang w:val="en-US" w:eastAsia="zh-CN"/>
        </w:rPr>
        <w:t>: 581-585 [PMID: 11319665]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85 </w:t>
      </w:r>
      <w:r w:rsidRPr="001326F0">
        <w:rPr>
          <w:rFonts w:ascii="Book Antiqua" w:eastAsia="SimSun" w:hAnsi="Book Antiqua" w:cs="SimSun"/>
          <w:b/>
          <w:bCs/>
          <w:sz w:val="24"/>
          <w:szCs w:val="24"/>
          <w:lang w:val="en-US" w:eastAsia="zh-CN"/>
        </w:rPr>
        <w:t>Kubaszek A</w:t>
      </w:r>
      <w:r w:rsidRPr="001326F0">
        <w:rPr>
          <w:rFonts w:ascii="Book Antiqua" w:eastAsia="SimSun" w:hAnsi="Book Antiqua" w:cs="SimSun"/>
          <w:sz w:val="24"/>
          <w:szCs w:val="24"/>
          <w:lang w:val="en-US" w:eastAsia="zh-CN"/>
        </w:rPr>
        <w:t xml:space="preserve">, Pihlajamäki J, Komarovski V, Lindi V, Lindström J, Eriksson J, Valle TT, Hämäläinen H, Ilanne-Parikka P, Keinänen-Kiukaanniemi S, Tuomilehto J, Uusitupa M, Laakso M. Promoter polymorphisms of the TNF-alpha (G-308A) and IL-6 (C-174G) genes predict the conversion from impaired glucose tolerance to type 2 diabetes: the Finnish Diabetes Prevention Study.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52</w:t>
      </w:r>
      <w:r w:rsidRPr="001326F0">
        <w:rPr>
          <w:rFonts w:ascii="Book Antiqua" w:eastAsia="SimSun" w:hAnsi="Book Antiqua" w:cs="SimSun"/>
          <w:sz w:val="24"/>
          <w:szCs w:val="24"/>
          <w:lang w:val="en-US" w:eastAsia="zh-CN"/>
        </w:rPr>
        <w:t>: 1872-1876 [PMID: 12829659]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86 </w:t>
      </w:r>
      <w:r w:rsidRPr="001326F0">
        <w:rPr>
          <w:rFonts w:ascii="Book Antiqua" w:eastAsia="SimSun" w:hAnsi="Book Antiqua" w:cs="SimSun"/>
          <w:b/>
          <w:bCs/>
          <w:sz w:val="24"/>
          <w:szCs w:val="24"/>
          <w:lang w:val="en-US" w:eastAsia="zh-CN"/>
        </w:rPr>
        <w:t>Gabay C</w:t>
      </w:r>
      <w:r w:rsidRPr="001326F0">
        <w:rPr>
          <w:rFonts w:ascii="Book Antiqua" w:eastAsia="SimSun" w:hAnsi="Book Antiqua" w:cs="SimSun"/>
          <w:sz w:val="24"/>
          <w:szCs w:val="24"/>
          <w:lang w:val="en-US" w:eastAsia="zh-CN"/>
        </w:rPr>
        <w:t xml:space="preserve">, Dreyer M, Pellegrinelli N, Chicheportiche R, Meier CA. Leptin directly induces the secretion of interleukin 1 receptor antagonist in human monocytes.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2001; </w:t>
      </w:r>
      <w:r w:rsidRPr="001326F0">
        <w:rPr>
          <w:rFonts w:ascii="Book Antiqua" w:eastAsia="SimSun" w:hAnsi="Book Antiqua" w:cs="SimSun"/>
          <w:b/>
          <w:bCs/>
          <w:sz w:val="24"/>
          <w:szCs w:val="24"/>
          <w:lang w:val="en-US" w:eastAsia="zh-CN"/>
        </w:rPr>
        <w:t>86</w:t>
      </w:r>
      <w:r w:rsidRPr="001326F0">
        <w:rPr>
          <w:rFonts w:ascii="Book Antiqua" w:eastAsia="SimSun" w:hAnsi="Book Antiqua" w:cs="SimSun"/>
          <w:sz w:val="24"/>
          <w:szCs w:val="24"/>
          <w:lang w:val="en-US" w:eastAsia="zh-CN"/>
        </w:rPr>
        <w:t>: 783-791 [PMID: 11158047]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87 </w:t>
      </w:r>
      <w:r w:rsidRPr="001326F0">
        <w:rPr>
          <w:rFonts w:ascii="Book Antiqua" w:eastAsia="SimSun" w:hAnsi="Book Antiqua" w:cs="SimSun"/>
          <w:b/>
          <w:bCs/>
          <w:sz w:val="24"/>
          <w:szCs w:val="24"/>
          <w:lang w:val="en-US" w:eastAsia="zh-CN"/>
        </w:rPr>
        <w:t>Um JY</w:t>
      </w:r>
      <w:r w:rsidRPr="001326F0">
        <w:rPr>
          <w:rFonts w:ascii="Book Antiqua" w:eastAsia="SimSun" w:hAnsi="Book Antiqua" w:cs="SimSun"/>
          <w:sz w:val="24"/>
          <w:szCs w:val="24"/>
          <w:lang w:val="en-US" w:eastAsia="zh-CN"/>
        </w:rPr>
        <w:t xml:space="preserve">, Lee KM, Kim HM. Polymorphism of interleukin-1 receptor antagonist gene and obesity. </w:t>
      </w:r>
      <w:r w:rsidRPr="001326F0">
        <w:rPr>
          <w:rFonts w:ascii="Book Antiqua" w:eastAsia="SimSun" w:hAnsi="Book Antiqua" w:cs="SimSun"/>
          <w:i/>
          <w:iCs/>
          <w:sz w:val="24"/>
          <w:szCs w:val="24"/>
          <w:lang w:val="en-US" w:eastAsia="zh-CN"/>
        </w:rPr>
        <w:t>Clin Chim Acta</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340</w:t>
      </w:r>
      <w:r w:rsidRPr="001326F0">
        <w:rPr>
          <w:rFonts w:ascii="Book Antiqua" w:eastAsia="SimSun" w:hAnsi="Book Antiqua" w:cs="SimSun"/>
          <w:sz w:val="24"/>
          <w:szCs w:val="24"/>
          <w:lang w:val="en-US" w:eastAsia="zh-CN"/>
        </w:rPr>
        <w:t>: 173-177 [PMID: 14734209]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88 </w:t>
      </w:r>
      <w:r w:rsidRPr="001326F0">
        <w:rPr>
          <w:rFonts w:ascii="Book Antiqua" w:eastAsia="SimSun" w:hAnsi="Book Antiqua" w:cs="SimSun"/>
          <w:b/>
          <w:bCs/>
          <w:sz w:val="24"/>
          <w:szCs w:val="24"/>
          <w:lang w:val="en-US" w:eastAsia="zh-CN"/>
        </w:rPr>
        <w:t>Griffin WS</w:t>
      </w:r>
      <w:r w:rsidRPr="001326F0">
        <w:rPr>
          <w:rFonts w:ascii="Book Antiqua" w:eastAsia="SimSun" w:hAnsi="Book Antiqua" w:cs="SimSun"/>
          <w:sz w:val="24"/>
          <w:szCs w:val="24"/>
          <w:lang w:val="en-US" w:eastAsia="zh-CN"/>
        </w:rPr>
        <w:t xml:space="preserve">, Nicoll JA, Grimaldi LM, Sheng JG, Mrak RE. The pervasiveness of interleukin-1 in alzheimer pathogenesis: a role for specific polymorphisms in disease risk. </w:t>
      </w:r>
      <w:r w:rsidRPr="001326F0">
        <w:rPr>
          <w:rFonts w:ascii="Book Antiqua" w:eastAsia="SimSun" w:hAnsi="Book Antiqua" w:cs="SimSun"/>
          <w:i/>
          <w:iCs/>
          <w:sz w:val="24"/>
          <w:szCs w:val="24"/>
          <w:lang w:val="en-US" w:eastAsia="zh-CN"/>
        </w:rPr>
        <w:t>Exp Gerontol</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35</w:t>
      </w:r>
      <w:r w:rsidRPr="001326F0">
        <w:rPr>
          <w:rFonts w:ascii="Book Antiqua" w:eastAsia="SimSun" w:hAnsi="Book Antiqua" w:cs="SimSun"/>
          <w:sz w:val="24"/>
          <w:szCs w:val="24"/>
          <w:lang w:val="en-US" w:eastAsia="zh-CN"/>
        </w:rPr>
        <w:t>: 481-487 [PMID: 10959036]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89 </w:t>
      </w:r>
      <w:r w:rsidRPr="001326F0">
        <w:rPr>
          <w:rFonts w:ascii="Book Antiqua" w:eastAsia="SimSun" w:hAnsi="Book Antiqua" w:cs="SimSun"/>
          <w:b/>
          <w:bCs/>
          <w:sz w:val="24"/>
          <w:szCs w:val="24"/>
          <w:lang w:val="en-US" w:eastAsia="zh-CN"/>
        </w:rPr>
        <w:t>Juge-Aubry CE</w:t>
      </w:r>
      <w:r w:rsidRPr="001326F0">
        <w:rPr>
          <w:rFonts w:ascii="Book Antiqua" w:eastAsia="SimSun" w:hAnsi="Book Antiqua" w:cs="SimSun"/>
          <w:sz w:val="24"/>
          <w:szCs w:val="24"/>
          <w:lang w:val="en-US" w:eastAsia="zh-CN"/>
        </w:rPr>
        <w:t xml:space="preserve">, Somm E, Giusti V, Pernin A, Chicheportiche R, Verdumo C, Rohner-Jeanrenaud F, Burger D, Dayer JM, Meier CA. Adipose tissue is a </w:t>
      </w:r>
      <w:r w:rsidRPr="001326F0">
        <w:rPr>
          <w:rFonts w:ascii="Book Antiqua" w:eastAsia="SimSun" w:hAnsi="Book Antiqua" w:cs="SimSun"/>
          <w:sz w:val="24"/>
          <w:szCs w:val="24"/>
          <w:lang w:val="en-US" w:eastAsia="zh-CN"/>
        </w:rPr>
        <w:lastRenderedPageBreak/>
        <w:t xml:space="preserve">major source of interleukin-1 receptor antagonist: upregulation in obesity and inflammation.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52</w:t>
      </w:r>
      <w:r w:rsidRPr="001326F0">
        <w:rPr>
          <w:rFonts w:ascii="Book Antiqua" w:eastAsia="SimSun" w:hAnsi="Book Antiqua" w:cs="SimSun"/>
          <w:sz w:val="24"/>
          <w:szCs w:val="24"/>
          <w:lang w:val="en-US" w:eastAsia="zh-CN"/>
        </w:rPr>
        <w:t>: 1104-1110 [PMID: 12716739]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90 </w:t>
      </w:r>
      <w:r w:rsidRPr="001326F0">
        <w:rPr>
          <w:rFonts w:ascii="Book Antiqua" w:eastAsia="SimSun" w:hAnsi="Book Antiqua" w:cs="SimSun"/>
          <w:b/>
          <w:bCs/>
          <w:sz w:val="24"/>
          <w:szCs w:val="24"/>
          <w:lang w:val="en-US" w:eastAsia="zh-CN"/>
        </w:rPr>
        <w:t>Nicklin MJ</w:t>
      </w:r>
      <w:r w:rsidRPr="001326F0">
        <w:rPr>
          <w:rFonts w:ascii="Book Antiqua" w:eastAsia="SimSun" w:hAnsi="Book Antiqua" w:cs="SimSun"/>
          <w:sz w:val="24"/>
          <w:szCs w:val="24"/>
          <w:lang w:val="en-US" w:eastAsia="zh-CN"/>
        </w:rPr>
        <w:t xml:space="preserve">, Hughes DE, Barton JL, Ure JM, Duff GW. Arterial inflammation in mice lacking the interleukin 1 receptor antagonist gene. </w:t>
      </w:r>
      <w:r w:rsidRPr="001326F0">
        <w:rPr>
          <w:rFonts w:ascii="Book Antiqua" w:eastAsia="SimSun" w:hAnsi="Book Antiqua" w:cs="SimSun"/>
          <w:i/>
          <w:iCs/>
          <w:sz w:val="24"/>
          <w:szCs w:val="24"/>
          <w:lang w:val="en-US" w:eastAsia="zh-CN"/>
        </w:rPr>
        <w:t>J Exp Med</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191</w:t>
      </w:r>
      <w:r w:rsidRPr="001326F0">
        <w:rPr>
          <w:rFonts w:ascii="Book Antiqua" w:eastAsia="SimSun" w:hAnsi="Book Antiqua" w:cs="SimSun"/>
          <w:sz w:val="24"/>
          <w:szCs w:val="24"/>
          <w:lang w:val="en-US" w:eastAsia="zh-CN"/>
        </w:rPr>
        <w:t>: 303-312 [PMID: 10637274]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91 </w:t>
      </w:r>
      <w:r w:rsidRPr="001326F0">
        <w:rPr>
          <w:rFonts w:ascii="Book Antiqua" w:eastAsia="SimSun" w:hAnsi="Book Antiqua" w:cs="SimSun"/>
          <w:b/>
          <w:bCs/>
          <w:sz w:val="24"/>
          <w:szCs w:val="24"/>
          <w:lang w:val="en-US" w:eastAsia="zh-CN"/>
        </w:rPr>
        <w:t>Jungo F</w:t>
      </w:r>
      <w:r w:rsidRPr="001326F0">
        <w:rPr>
          <w:rFonts w:ascii="Book Antiqua" w:eastAsia="SimSun" w:hAnsi="Book Antiqua" w:cs="SimSun"/>
          <w:sz w:val="24"/>
          <w:szCs w:val="24"/>
          <w:lang w:val="en-US" w:eastAsia="zh-CN"/>
        </w:rPr>
        <w:t xml:space="preserve">, Dayer JM, Modoux C, Hyka N, Burger D. IFN-beta inhibits the ability of T lymphocytes to induce TNF-alpha and IL-1beta production in monocytes upon direct cell-cell contact. </w:t>
      </w:r>
      <w:r w:rsidRPr="001326F0">
        <w:rPr>
          <w:rFonts w:ascii="Book Antiqua" w:eastAsia="SimSun" w:hAnsi="Book Antiqua" w:cs="SimSun"/>
          <w:i/>
          <w:iCs/>
          <w:sz w:val="24"/>
          <w:szCs w:val="24"/>
          <w:lang w:val="en-US" w:eastAsia="zh-CN"/>
        </w:rPr>
        <w:t>Cytokine</w:t>
      </w:r>
      <w:r w:rsidRPr="001326F0">
        <w:rPr>
          <w:rFonts w:ascii="Book Antiqua" w:eastAsia="SimSun" w:hAnsi="Book Antiqua" w:cs="SimSun"/>
          <w:sz w:val="24"/>
          <w:szCs w:val="24"/>
          <w:lang w:val="en-US" w:eastAsia="zh-CN"/>
        </w:rPr>
        <w:t xml:space="preserve"> 2001; </w:t>
      </w:r>
      <w:r w:rsidRPr="001326F0">
        <w:rPr>
          <w:rFonts w:ascii="Book Antiqua" w:eastAsia="SimSun" w:hAnsi="Book Antiqua" w:cs="SimSun"/>
          <w:b/>
          <w:bCs/>
          <w:sz w:val="24"/>
          <w:szCs w:val="24"/>
          <w:lang w:val="en-US" w:eastAsia="zh-CN"/>
        </w:rPr>
        <w:t>14</w:t>
      </w:r>
      <w:r w:rsidRPr="001326F0">
        <w:rPr>
          <w:rFonts w:ascii="Book Antiqua" w:eastAsia="SimSun" w:hAnsi="Book Antiqua" w:cs="SimSun"/>
          <w:sz w:val="24"/>
          <w:szCs w:val="24"/>
          <w:lang w:val="en-US" w:eastAsia="zh-CN"/>
        </w:rPr>
        <w:t>: 272-282 [PMID: 11444907]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92 </w:t>
      </w:r>
      <w:r w:rsidRPr="001326F0">
        <w:rPr>
          <w:rFonts w:ascii="Book Antiqua" w:eastAsia="SimSun" w:hAnsi="Book Antiqua" w:cs="SimSun"/>
          <w:b/>
          <w:bCs/>
          <w:sz w:val="24"/>
          <w:szCs w:val="24"/>
          <w:lang w:val="en-US" w:eastAsia="zh-CN"/>
        </w:rPr>
        <w:t>Unger RH</w:t>
      </w:r>
      <w:r w:rsidRPr="001326F0">
        <w:rPr>
          <w:rFonts w:ascii="Book Antiqua" w:eastAsia="SimSun" w:hAnsi="Book Antiqua" w:cs="SimSun"/>
          <w:sz w:val="24"/>
          <w:szCs w:val="24"/>
          <w:lang w:val="en-US" w:eastAsia="zh-CN"/>
        </w:rPr>
        <w:t xml:space="preserve">, Grundy S. Hyperglycaemia as an inducer as well as a consequence of impaired islet cell function and insulin resistance: implications for the management of diabetes. </w:t>
      </w:r>
      <w:r w:rsidRPr="001326F0">
        <w:rPr>
          <w:rFonts w:ascii="Book Antiqua" w:eastAsia="SimSun" w:hAnsi="Book Antiqua" w:cs="SimSun"/>
          <w:i/>
          <w:iCs/>
          <w:sz w:val="24"/>
          <w:szCs w:val="24"/>
          <w:lang w:val="en-US" w:eastAsia="zh-CN"/>
        </w:rPr>
        <w:t>Diabetologia</w:t>
      </w:r>
      <w:r w:rsidRPr="001326F0">
        <w:rPr>
          <w:rFonts w:ascii="Book Antiqua" w:eastAsia="SimSun" w:hAnsi="Book Antiqua" w:cs="SimSun"/>
          <w:sz w:val="24"/>
          <w:szCs w:val="24"/>
          <w:lang w:val="en-US" w:eastAsia="zh-CN"/>
        </w:rPr>
        <w:t xml:space="preserve"> 1985; </w:t>
      </w:r>
      <w:r w:rsidRPr="001326F0">
        <w:rPr>
          <w:rFonts w:ascii="Book Antiqua" w:eastAsia="SimSun" w:hAnsi="Book Antiqua" w:cs="SimSun"/>
          <w:b/>
          <w:bCs/>
          <w:sz w:val="24"/>
          <w:szCs w:val="24"/>
          <w:lang w:val="en-US" w:eastAsia="zh-CN"/>
        </w:rPr>
        <w:t>28</w:t>
      </w:r>
      <w:r w:rsidRPr="001326F0">
        <w:rPr>
          <w:rFonts w:ascii="Book Antiqua" w:eastAsia="SimSun" w:hAnsi="Book Antiqua" w:cs="SimSun"/>
          <w:sz w:val="24"/>
          <w:szCs w:val="24"/>
          <w:lang w:val="en-US" w:eastAsia="zh-CN"/>
        </w:rPr>
        <w:t>: 119-121 [PMID: 3888754]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93 </w:t>
      </w:r>
      <w:r w:rsidRPr="001326F0">
        <w:rPr>
          <w:rFonts w:ascii="Book Antiqua" w:eastAsia="SimSun" w:hAnsi="Book Antiqua" w:cs="SimSun"/>
          <w:b/>
          <w:bCs/>
          <w:sz w:val="24"/>
          <w:szCs w:val="24"/>
          <w:lang w:val="en-US" w:eastAsia="zh-CN"/>
        </w:rPr>
        <w:t>Bensellam M</w:t>
      </w:r>
      <w:r w:rsidRPr="001326F0">
        <w:rPr>
          <w:rFonts w:ascii="Book Antiqua" w:eastAsia="SimSun" w:hAnsi="Book Antiqua" w:cs="SimSun"/>
          <w:sz w:val="24"/>
          <w:szCs w:val="24"/>
          <w:lang w:val="en-US" w:eastAsia="zh-CN"/>
        </w:rPr>
        <w:t xml:space="preserve">, Laybutt DR, Jonas JC. The molecular mechanisms of pancreatic β-cell glucotoxicity: recent findings and future research directions. </w:t>
      </w:r>
      <w:r w:rsidRPr="001326F0">
        <w:rPr>
          <w:rFonts w:ascii="Book Antiqua" w:eastAsia="SimSun" w:hAnsi="Book Antiqua" w:cs="SimSun"/>
          <w:i/>
          <w:iCs/>
          <w:sz w:val="24"/>
          <w:szCs w:val="24"/>
          <w:lang w:val="en-US" w:eastAsia="zh-CN"/>
        </w:rPr>
        <w:t>Mol Cell Endocrinol</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364</w:t>
      </w:r>
      <w:r w:rsidRPr="001326F0">
        <w:rPr>
          <w:rFonts w:ascii="Book Antiqua" w:eastAsia="SimSun" w:hAnsi="Book Antiqua" w:cs="SimSun"/>
          <w:sz w:val="24"/>
          <w:szCs w:val="24"/>
          <w:lang w:val="en-US" w:eastAsia="zh-CN"/>
        </w:rPr>
        <w:t>: 1-27 [PMID: 22885162 DOI: 10.1016/j.mce.2012.08.003]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94 </w:t>
      </w:r>
      <w:r w:rsidRPr="001326F0">
        <w:rPr>
          <w:rFonts w:ascii="Book Antiqua" w:eastAsia="SimSun" w:hAnsi="Book Antiqua" w:cs="SimSun"/>
          <w:b/>
          <w:bCs/>
          <w:sz w:val="24"/>
          <w:szCs w:val="24"/>
          <w:lang w:val="en-US" w:eastAsia="zh-CN"/>
        </w:rPr>
        <w:t>Cernea S</w:t>
      </w:r>
      <w:r w:rsidRPr="001326F0">
        <w:rPr>
          <w:rFonts w:ascii="Book Antiqua" w:eastAsia="SimSun" w:hAnsi="Book Antiqua" w:cs="SimSun"/>
          <w:sz w:val="24"/>
          <w:szCs w:val="24"/>
          <w:lang w:val="en-US" w:eastAsia="zh-CN"/>
        </w:rPr>
        <w:t xml:space="preserve">, Dobreanu M. Diabetes and beta cell function: from mechanisms to evaluation and clinical implications. </w:t>
      </w:r>
      <w:r w:rsidRPr="001326F0">
        <w:rPr>
          <w:rFonts w:ascii="Book Antiqua" w:eastAsia="SimSun" w:hAnsi="Book Antiqua" w:cs="SimSun"/>
          <w:i/>
          <w:iCs/>
          <w:sz w:val="24"/>
          <w:szCs w:val="24"/>
          <w:lang w:val="en-US" w:eastAsia="zh-CN"/>
        </w:rPr>
        <w:t>Biochem Med (Zagreb)</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23</w:t>
      </w:r>
      <w:r w:rsidRPr="001326F0">
        <w:rPr>
          <w:rFonts w:ascii="Book Antiqua" w:eastAsia="SimSun" w:hAnsi="Book Antiqua" w:cs="SimSun"/>
          <w:sz w:val="24"/>
          <w:szCs w:val="24"/>
          <w:lang w:val="en-US" w:eastAsia="zh-CN"/>
        </w:rPr>
        <w:t>: 266-280 [PMID: 24266296]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95 </w:t>
      </w:r>
      <w:r w:rsidRPr="001326F0">
        <w:rPr>
          <w:rFonts w:ascii="Book Antiqua" w:eastAsia="SimSun" w:hAnsi="Book Antiqua" w:cs="SimSun"/>
          <w:b/>
          <w:bCs/>
          <w:sz w:val="24"/>
          <w:szCs w:val="24"/>
          <w:lang w:val="en-US" w:eastAsia="zh-CN"/>
        </w:rPr>
        <w:t>Chae H</w:t>
      </w:r>
      <w:r w:rsidRPr="001326F0">
        <w:rPr>
          <w:rFonts w:ascii="Book Antiqua" w:eastAsia="SimSun" w:hAnsi="Book Antiqua" w:cs="SimSun"/>
          <w:sz w:val="24"/>
          <w:szCs w:val="24"/>
          <w:lang w:val="en-US" w:eastAsia="zh-CN"/>
        </w:rPr>
        <w:t xml:space="preserve">, Gilon P. Can Tea Extracts Exert a Protective Effect Against Diabetes by Reducing Oxidative Stress and Decreasing Glucotoxicity in Pancreatic β-Cells? </w:t>
      </w:r>
      <w:r w:rsidRPr="001326F0">
        <w:rPr>
          <w:rFonts w:ascii="Book Antiqua" w:eastAsia="SimSun" w:hAnsi="Book Antiqua" w:cs="SimSun"/>
          <w:i/>
          <w:iCs/>
          <w:sz w:val="24"/>
          <w:szCs w:val="24"/>
          <w:lang w:val="en-US" w:eastAsia="zh-CN"/>
        </w:rPr>
        <w:t>Diabetes Metab J</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39</w:t>
      </w:r>
      <w:r w:rsidRPr="001326F0">
        <w:rPr>
          <w:rFonts w:ascii="Book Antiqua" w:eastAsia="SimSun" w:hAnsi="Book Antiqua" w:cs="SimSun"/>
          <w:sz w:val="24"/>
          <w:szCs w:val="24"/>
          <w:lang w:val="en-US" w:eastAsia="zh-CN"/>
        </w:rPr>
        <w:t>: 27-30 [PMID: 25729709 DOI: 10.4093/dmj.2015.39.1.27]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96 </w:t>
      </w:r>
      <w:r w:rsidRPr="001326F0">
        <w:rPr>
          <w:rFonts w:ascii="Book Antiqua" w:eastAsia="SimSun" w:hAnsi="Book Antiqua" w:cs="SimSun"/>
          <w:b/>
          <w:bCs/>
          <w:sz w:val="24"/>
          <w:szCs w:val="24"/>
          <w:lang w:val="en-US" w:eastAsia="zh-CN"/>
        </w:rPr>
        <w:t>Robertson RP</w:t>
      </w:r>
      <w:r w:rsidRPr="001326F0">
        <w:rPr>
          <w:rFonts w:ascii="Book Antiqua" w:eastAsia="SimSun" w:hAnsi="Book Antiqua" w:cs="SimSun"/>
          <w:sz w:val="24"/>
          <w:szCs w:val="24"/>
          <w:lang w:val="en-US" w:eastAsia="zh-CN"/>
        </w:rPr>
        <w:t xml:space="preserve">, Harmon J, Tran PO, Poitout V. Beta-cell glucose toxicity, lipotoxicity, and chronic oxidative stress in type 2 diabetes.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53 Suppl 1</w:t>
      </w:r>
      <w:r w:rsidRPr="001326F0">
        <w:rPr>
          <w:rFonts w:ascii="Book Antiqua" w:eastAsia="SimSun" w:hAnsi="Book Antiqua" w:cs="SimSun"/>
          <w:sz w:val="24"/>
          <w:szCs w:val="24"/>
          <w:lang w:val="en-US" w:eastAsia="zh-CN"/>
        </w:rPr>
        <w:t>: S119-S124 [PMID: 14749276]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97 </w:t>
      </w:r>
      <w:r w:rsidRPr="001326F0">
        <w:rPr>
          <w:rFonts w:ascii="Book Antiqua" w:eastAsia="SimSun" w:hAnsi="Book Antiqua" w:cs="SimSun"/>
          <w:b/>
          <w:bCs/>
          <w:sz w:val="24"/>
          <w:szCs w:val="24"/>
          <w:lang w:val="en-US" w:eastAsia="zh-CN"/>
        </w:rPr>
        <w:t>Prentki M</w:t>
      </w:r>
      <w:r w:rsidRPr="001326F0">
        <w:rPr>
          <w:rFonts w:ascii="Book Antiqua" w:eastAsia="SimSun" w:hAnsi="Book Antiqua" w:cs="SimSun"/>
          <w:sz w:val="24"/>
          <w:szCs w:val="24"/>
          <w:lang w:val="en-US" w:eastAsia="zh-CN"/>
        </w:rPr>
        <w:t xml:space="preserve">, Nolan CJ. Islet beta cell failure in type 2 diabetes. </w:t>
      </w:r>
      <w:r w:rsidRPr="001326F0">
        <w:rPr>
          <w:rFonts w:ascii="Book Antiqua" w:eastAsia="SimSun" w:hAnsi="Book Antiqua" w:cs="SimSun"/>
          <w:i/>
          <w:iCs/>
          <w:sz w:val="24"/>
          <w:szCs w:val="24"/>
          <w:lang w:val="en-US" w:eastAsia="zh-CN"/>
        </w:rPr>
        <w:t>J Clin Invest</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116</w:t>
      </w:r>
      <w:r w:rsidRPr="001326F0">
        <w:rPr>
          <w:rFonts w:ascii="Book Antiqua" w:eastAsia="SimSun" w:hAnsi="Book Antiqua" w:cs="SimSun"/>
          <w:sz w:val="24"/>
          <w:szCs w:val="24"/>
          <w:lang w:val="en-US" w:eastAsia="zh-CN"/>
        </w:rPr>
        <w:t>: 1802-1812 [PMID: 16823478]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98 </w:t>
      </w:r>
      <w:r w:rsidRPr="001326F0">
        <w:rPr>
          <w:rFonts w:ascii="Book Antiqua" w:eastAsia="SimSun" w:hAnsi="Book Antiqua" w:cs="SimSun"/>
          <w:b/>
          <w:bCs/>
          <w:sz w:val="24"/>
          <w:szCs w:val="24"/>
          <w:lang w:val="en-US" w:eastAsia="zh-CN"/>
        </w:rPr>
        <w:t>Eizirik DL</w:t>
      </w:r>
      <w:r w:rsidRPr="001326F0">
        <w:rPr>
          <w:rFonts w:ascii="Book Antiqua" w:eastAsia="SimSun" w:hAnsi="Book Antiqua" w:cs="SimSun"/>
          <w:sz w:val="24"/>
          <w:szCs w:val="24"/>
          <w:lang w:val="en-US" w:eastAsia="zh-CN"/>
        </w:rPr>
        <w:t xml:space="preserve">, Cardozo AK, Cnop M. The role for endoplasmic reticulum stress in diabetes mellitus. </w:t>
      </w:r>
      <w:r w:rsidRPr="001326F0">
        <w:rPr>
          <w:rFonts w:ascii="Book Antiqua" w:eastAsia="SimSun" w:hAnsi="Book Antiqua" w:cs="SimSun"/>
          <w:i/>
          <w:iCs/>
          <w:sz w:val="24"/>
          <w:szCs w:val="24"/>
          <w:lang w:val="en-US" w:eastAsia="zh-CN"/>
        </w:rPr>
        <w:t>Endocr Rev</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29</w:t>
      </w:r>
      <w:r w:rsidRPr="001326F0">
        <w:rPr>
          <w:rFonts w:ascii="Book Antiqua" w:eastAsia="SimSun" w:hAnsi="Book Antiqua" w:cs="SimSun"/>
          <w:sz w:val="24"/>
          <w:szCs w:val="24"/>
          <w:lang w:val="en-US" w:eastAsia="zh-CN"/>
        </w:rPr>
        <w:t>: 42-61 [PMID: 18048764]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99 </w:t>
      </w:r>
      <w:r w:rsidRPr="001326F0">
        <w:rPr>
          <w:rFonts w:ascii="Book Antiqua" w:eastAsia="SimSun" w:hAnsi="Book Antiqua" w:cs="SimSun"/>
          <w:b/>
          <w:bCs/>
          <w:sz w:val="24"/>
          <w:szCs w:val="24"/>
          <w:lang w:val="en-US" w:eastAsia="zh-CN"/>
        </w:rPr>
        <w:t>Roma LP</w:t>
      </w:r>
      <w:r w:rsidRPr="001326F0">
        <w:rPr>
          <w:rFonts w:ascii="Book Antiqua" w:eastAsia="SimSun" w:hAnsi="Book Antiqua" w:cs="SimSun"/>
          <w:sz w:val="24"/>
          <w:szCs w:val="24"/>
          <w:lang w:val="en-US" w:eastAsia="zh-CN"/>
        </w:rPr>
        <w:t xml:space="preserve">, Duprez J, Takahashi HK, Gilon P, Wiederkehr A, Jonas JC. Dynamic measurements of mitochondrial hydrogen peroxide concentration and glutathione redox state in rat pancreatic β-cells using ratiometric fluorescent proteins: confounding effects of pH with HyPer but not roGFP1. </w:t>
      </w:r>
      <w:r w:rsidRPr="001326F0">
        <w:rPr>
          <w:rFonts w:ascii="Book Antiqua" w:eastAsia="SimSun" w:hAnsi="Book Antiqua" w:cs="SimSun"/>
          <w:i/>
          <w:iCs/>
          <w:sz w:val="24"/>
          <w:szCs w:val="24"/>
          <w:lang w:val="en-US" w:eastAsia="zh-CN"/>
        </w:rPr>
        <w:t>Biochem J</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441</w:t>
      </w:r>
      <w:r w:rsidRPr="001326F0">
        <w:rPr>
          <w:rFonts w:ascii="Book Antiqua" w:eastAsia="SimSun" w:hAnsi="Book Antiqua" w:cs="SimSun"/>
          <w:sz w:val="24"/>
          <w:szCs w:val="24"/>
          <w:lang w:val="en-US" w:eastAsia="zh-CN"/>
        </w:rPr>
        <w:t>: 971-978 [PMID: 22050124 DOI: 10.1042/BJ20111770]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100 </w:t>
      </w:r>
      <w:r w:rsidRPr="001326F0">
        <w:rPr>
          <w:rFonts w:ascii="Book Antiqua" w:eastAsia="SimSun" w:hAnsi="Book Antiqua" w:cs="SimSun"/>
          <w:b/>
          <w:bCs/>
          <w:sz w:val="24"/>
          <w:szCs w:val="24"/>
          <w:lang w:val="en-US" w:eastAsia="zh-CN"/>
        </w:rPr>
        <w:t>Ma Z</w:t>
      </w:r>
      <w:r w:rsidRPr="001326F0">
        <w:rPr>
          <w:rFonts w:ascii="Book Antiqua" w:eastAsia="SimSun" w:hAnsi="Book Antiqua" w:cs="SimSun"/>
          <w:sz w:val="24"/>
          <w:szCs w:val="24"/>
          <w:lang w:val="en-US" w:eastAsia="zh-CN"/>
        </w:rPr>
        <w:t xml:space="preserve">, Wirström T, Borg LA, Larsson-Nyrén G, Hals I, Bondo-Hansen J, Grill V, Björklund A. Diabetes reduces β-cell mitochondria and induces distinct morphological abnormalities, which are reproducible by high glucose in vitro with attendant dysfunction. </w:t>
      </w:r>
      <w:r w:rsidRPr="001326F0">
        <w:rPr>
          <w:rFonts w:ascii="Book Antiqua" w:eastAsia="SimSun" w:hAnsi="Book Antiqua" w:cs="SimSun"/>
          <w:i/>
          <w:iCs/>
          <w:sz w:val="24"/>
          <w:szCs w:val="24"/>
          <w:lang w:val="en-US" w:eastAsia="zh-CN"/>
        </w:rPr>
        <w:t>Islets</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2012</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4</w:t>
      </w:r>
      <w:r w:rsidRPr="001326F0">
        <w:rPr>
          <w:rFonts w:ascii="Book Antiqua" w:eastAsia="SimSun" w:hAnsi="Book Antiqua" w:cs="SimSun"/>
          <w:sz w:val="24"/>
          <w:szCs w:val="24"/>
          <w:lang w:val="en-US" w:eastAsia="zh-CN"/>
        </w:rPr>
        <w:t>: 233-242 [PMID: 22854606 DOI: 10.4161/isl.20516]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101 </w:t>
      </w:r>
      <w:r w:rsidRPr="001326F0">
        <w:rPr>
          <w:rFonts w:ascii="Book Antiqua" w:eastAsia="SimSun" w:hAnsi="Book Antiqua" w:cs="SimSun"/>
          <w:b/>
          <w:bCs/>
          <w:sz w:val="24"/>
          <w:szCs w:val="24"/>
          <w:lang w:val="en-US" w:eastAsia="zh-CN"/>
        </w:rPr>
        <w:t>Herchuelz A</w:t>
      </w:r>
      <w:r w:rsidRPr="001326F0">
        <w:rPr>
          <w:rFonts w:ascii="Book Antiqua" w:eastAsia="SimSun" w:hAnsi="Book Antiqua" w:cs="SimSun"/>
          <w:sz w:val="24"/>
          <w:szCs w:val="24"/>
          <w:lang w:val="en-US" w:eastAsia="zh-CN"/>
        </w:rPr>
        <w:t>, Nguidjoe E, Jiang L, Pachera N. β-Cell preservation and regeneration in diabetes by modulation of β-cell Ca²</w:t>
      </w:r>
      <w:r w:rsidRPr="001326F0">
        <w:rPr>
          <w:rFonts w:ascii="Cambria Math" w:eastAsia="MS Mincho" w:hAnsi="Cambria Math" w:cs="Cambria Math"/>
          <w:sz w:val="24"/>
          <w:szCs w:val="24"/>
          <w:lang w:val="en-US" w:eastAsia="zh-CN"/>
        </w:rPr>
        <w:t>⁺</w:t>
      </w:r>
      <w:r w:rsidRPr="001326F0">
        <w:rPr>
          <w:rFonts w:ascii="Book Antiqua" w:eastAsia="SimSun" w:hAnsi="Book Antiqua" w:cs="SimSun"/>
          <w:sz w:val="24"/>
          <w:szCs w:val="24"/>
          <w:lang w:val="en-US" w:eastAsia="zh-CN"/>
        </w:rPr>
        <w:t xml:space="preserve"> homeostasis. </w:t>
      </w:r>
      <w:r w:rsidRPr="001326F0">
        <w:rPr>
          <w:rFonts w:ascii="Book Antiqua" w:eastAsia="SimSun" w:hAnsi="Book Antiqua" w:cs="SimSun"/>
          <w:i/>
          <w:iCs/>
          <w:sz w:val="24"/>
          <w:szCs w:val="24"/>
          <w:lang w:val="en-US" w:eastAsia="zh-CN"/>
        </w:rPr>
        <w:t>Diabetes Obes Metab</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14 Suppl 3</w:t>
      </w:r>
      <w:r w:rsidRPr="001326F0">
        <w:rPr>
          <w:rFonts w:ascii="Book Antiqua" w:eastAsia="SimSun" w:hAnsi="Book Antiqua" w:cs="SimSun"/>
          <w:sz w:val="24"/>
          <w:szCs w:val="24"/>
          <w:lang w:val="en-US" w:eastAsia="zh-CN"/>
        </w:rPr>
        <w:t>: 136-142 [PMID: 22928574 DOI: 10.1111/j.1463-1326.2012.01649.x]</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102 </w:t>
      </w:r>
      <w:r w:rsidRPr="001326F0">
        <w:rPr>
          <w:rFonts w:ascii="Book Antiqua" w:eastAsia="SimSun" w:hAnsi="Book Antiqua" w:cs="SimSun"/>
          <w:b/>
          <w:bCs/>
          <w:sz w:val="24"/>
          <w:szCs w:val="24"/>
          <w:lang w:val="en-US" w:eastAsia="zh-CN"/>
        </w:rPr>
        <w:t>Olefsky JM</w:t>
      </w:r>
      <w:r w:rsidRPr="001326F0">
        <w:rPr>
          <w:rFonts w:ascii="Book Antiqua" w:eastAsia="SimSun" w:hAnsi="Book Antiqua" w:cs="SimSun"/>
          <w:sz w:val="24"/>
          <w:szCs w:val="24"/>
          <w:lang w:val="en-US" w:eastAsia="zh-CN"/>
        </w:rPr>
        <w:t xml:space="preserve">, Glass CK. Macrophages, inflammation, and insulin resistance. </w:t>
      </w:r>
      <w:r w:rsidRPr="001326F0">
        <w:rPr>
          <w:rFonts w:ascii="Book Antiqua" w:eastAsia="SimSun" w:hAnsi="Book Antiqua" w:cs="SimSun"/>
          <w:i/>
          <w:iCs/>
          <w:sz w:val="24"/>
          <w:szCs w:val="24"/>
          <w:lang w:val="en-US" w:eastAsia="zh-CN"/>
        </w:rPr>
        <w:t>Annu Rev Physiol</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72</w:t>
      </w:r>
      <w:r w:rsidRPr="001326F0">
        <w:rPr>
          <w:rFonts w:ascii="Book Antiqua" w:eastAsia="SimSun" w:hAnsi="Book Antiqua" w:cs="SimSun"/>
          <w:sz w:val="24"/>
          <w:szCs w:val="24"/>
          <w:lang w:val="en-US" w:eastAsia="zh-CN"/>
        </w:rPr>
        <w:t>: 219-246 [PMID: 20148674 DOI: 10.1146/annurev-physiol-021909-135846]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103 </w:t>
      </w:r>
      <w:r w:rsidRPr="001326F0">
        <w:rPr>
          <w:rFonts w:ascii="Book Antiqua" w:eastAsia="SimSun" w:hAnsi="Book Antiqua" w:cs="SimSun"/>
          <w:b/>
          <w:bCs/>
          <w:sz w:val="24"/>
          <w:szCs w:val="24"/>
          <w:lang w:val="en-US" w:eastAsia="zh-CN"/>
        </w:rPr>
        <w:t>Suganami T</w:t>
      </w:r>
      <w:r w:rsidRPr="001326F0">
        <w:rPr>
          <w:rFonts w:ascii="Book Antiqua" w:eastAsia="SimSun" w:hAnsi="Book Antiqua" w:cs="SimSun"/>
          <w:sz w:val="24"/>
          <w:szCs w:val="24"/>
          <w:lang w:val="en-US" w:eastAsia="zh-CN"/>
        </w:rPr>
        <w:t xml:space="preserve">, Tanaka M, Ogawa Y. Adipose tissue inflammation and ectopic lipid accumulation. </w:t>
      </w:r>
      <w:r w:rsidRPr="001326F0">
        <w:rPr>
          <w:rFonts w:ascii="Book Antiqua" w:eastAsia="SimSun" w:hAnsi="Book Antiqua" w:cs="SimSun"/>
          <w:i/>
          <w:iCs/>
          <w:sz w:val="24"/>
          <w:szCs w:val="24"/>
          <w:lang w:val="en-US" w:eastAsia="zh-CN"/>
        </w:rPr>
        <w:t>Endocr J</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59</w:t>
      </w:r>
      <w:r w:rsidRPr="001326F0">
        <w:rPr>
          <w:rFonts w:ascii="Book Antiqua" w:eastAsia="SimSun" w:hAnsi="Book Antiqua" w:cs="SimSun"/>
          <w:sz w:val="24"/>
          <w:szCs w:val="24"/>
          <w:lang w:val="en-US" w:eastAsia="zh-CN"/>
        </w:rPr>
        <w:t>: 849-857 [PMID: 22878669]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104 </w:t>
      </w:r>
      <w:r w:rsidRPr="001326F0">
        <w:rPr>
          <w:rFonts w:ascii="Book Antiqua" w:eastAsia="SimSun" w:hAnsi="Book Antiqua" w:cs="SimSun"/>
          <w:b/>
          <w:bCs/>
          <w:sz w:val="24"/>
          <w:szCs w:val="24"/>
          <w:lang w:val="en-US" w:eastAsia="zh-CN"/>
        </w:rPr>
        <w:t>Schaffer JE</w:t>
      </w:r>
      <w:r w:rsidRPr="001326F0">
        <w:rPr>
          <w:rFonts w:ascii="Book Antiqua" w:eastAsia="SimSun" w:hAnsi="Book Antiqua" w:cs="SimSun"/>
          <w:sz w:val="24"/>
          <w:szCs w:val="24"/>
          <w:lang w:val="en-US" w:eastAsia="zh-CN"/>
        </w:rPr>
        <w:t xml:space="preserve">. Lipotoxicity: when tissues overeat. </w:t>
      </w:r>
      <w:r w:rsidRPr="001326F0">
        <w:rPr>
          <w:rFonts w:ascii="Book Antiqua" w:eastAsia="SimSun" w:hAnsi="Book Antiqua" w:cs="SimSun"/>
          <w:i/>
          <w:iCs/>
          <w:sz w:val="24"/>
          <w:szCs w:val="24"/>
          <w:lang w:val="en-US" w:eastAsia="zh-CN"/>
        </w:rPr>
        <w:t>Curr Opin Lipidol</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14</w:t>
      </w:r>
      <w:r w:rsidRPr="001326F0">
        <w:rPr>
          <w:rFonts w:ascii="Book Antiqua" w:eastAsia="SimSun" w:hAnsi="Book Antiqua" w:cs="SimSun"/>
          <w:sz w:val="24"/>
          <w:szCs w:val="24"/>
          <w:lang w:val="en-US" w:eastAsia="zh-CN"/>
        </w:rPr>
        <w:t>: 281-287 [PMID: 12840659]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105 </w:t>
      </w:r>
      <w:r w:rsidRPr="001326F0">
        <w:rPr>
          <w:rFonts w:ascii="Book Antiqua" w:eastAsia="SimSun" w:hAnsi="Book Antiqua" w:cs="SimSun"/>
          <w:b/>
          <w:bCs/>
          <w:sz w:val="24"/>
          <w:szCs w:val="24"/>
          <w:lang w:val="en-US" w:eastAsia="zh-CN"/>
        </w:rPr>
        <w:t>Hallgren B</w:t>
      </w:r>
      <w:r w:rsidRPr="001326F0">
        <w:rPr>
          <w:rFonts w:ascii="Book Antiqua" w:eastAsia="SimSun" w:hAnsi="Book Antiqua" w:cs="SimSun"/>
          <w:sz w:val="24"/>
          <w:szCs w:val="24"/>
          <w:lang w:val="en-US" w:eastAsia="zh-CN"/>
        </w:rPr>
        <w:t xml:space="preserve">, Stenhagen S, Svanborg A, Svennerholm L. Gas chromatographic analysis of the fatty acid composition of the plasma lipids in normal and diabetic subjects. </w:t>
      </w:r>
      <w:r w:rsidRPr="001326F0">
        <w:rPr>
          <w:rFonts w:ascii="Book Antiqua" w:eastAsia="SimSun" w:hAnsi="Book Antiqua" w:cs="SimSun"/>
          <w:i/>
          <w:iCs/>
          <w:sz w:val="24"/>
          <w:szCs w:val="24"/>
          <w:lang w:val="en-US" w:eastAsia="zh-CN"/>
        </w:rPr>
        <w:t>J Clin Invest</w:t>
      </w:r>
      <w:r w:rsidRPr="001326F0">
        <w:rPr>
          <w:rFonts w:ascii="Book Antiqua" w:eastAsia="SimSun" w:hAnsi="Book Antiqua" w:cs="SimSun"/>
          <w:sz w:val="24"/>
          <w:szCs w:val="24"/>
          <w:lang w:val="en-US" w:eastAsia="zh-CN"/>
        </w:rPr>
        <w:t xml:space="preserve"> 1960; </w:t>
      </w:r>
      <w:r w:rsidRPr="001326F0">
        <w:rPr>
          <w:rFonts w:ascii="Book Antiqua" w:eastAsia="SimSun" w:hAnsi="Book Antiqua" w:cs="SimSun"/>
          <w:b/>
          <w:bCs/>
          <w:sz w:val="24"/>
          <w:szCs w:val="24"/>
          <w:lang w:val="en-US" w:eastAsia="zh-CN"/>
        </w:rPr>
        <w:t>39</w:t>
      </w:r>
      <w:r w:rsidRPr="001326F0">
        <w:rPr>
          <w:rFonts w:ascii="Book Antiqua" w:eastAsia="SimSun" w:hAnsi="Book Antiqua" w:cs="SimSun"/>
          <w:sz w:val="24"/>
          <w:szCs w:val="24"/>
          <w:lang w:val="en-US" w:eastAsia="zh-CN"/>
        </w:rPr>
        <w:t>: 1424-1434 [PMID: 13710854]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106 </w:t>
      </w:r>
      <w:r w:rsidRPr="001326F0">
        <w:rPr>
          <w:rFonts w:ascii="Book Antiqua" w:eastAsia="SimSun" w:hAnsi="Book Antiqua" w:cs="SimSun"/>
          <w:b/>
          <w:bCs/>
          <w:sz w:val="24"/>
          <w:szCs w:val="24"/>
          <w:lang w:val="en-US" w:eastAsia="zh-CN"/>
        </w:rPr>
        <w:t>Laakso M</w:t>
      </w:r>
      <w:r w:rsidRPr="001326F0">
        <w:rPr>
          <w:rFonts w:ascii="Book Antiqua" w:eastAsia="SimSun" w:hAnsi="Book Antiqua" w:cs="SimSun"/>
          <w:sz w:val="24"/>
          <w:szCs w:val="24"/>
          <w:lang w:val="en-US" w:eastAsia="zh-CN"/>
        </w:rPr>
        <w:t xml:space="preserve">, Voutilainen E, Sarlund H, Aro A, Pyörälä K, Penttilä I. Serum lipids and lipoproteins in middle-aged non-insulin-dependent diabetics. </w:t>
      </w:r>
      <w:r w:rsidRPr="001326F0">
        <w:rPr>
          <w:rFonts w:ascii="Book Antiqua" w:eastAsia="SimSun" w:hAnsi="Book Antiqua" w:cs="SimSun"/>
          <w:i/>
          <w:iCs/>
          <w:sz w:val="24"/>
          <w:szCs w:val="24"/>
          <w:lang w:val="en-US" w:eastAsia="zh-CN"/>
        </w:rPr>
        <w:t>Atherosclerosis</w:t>
      </w:r>
      <w:r w:rsidRPr="001326F0">
        <w:rPr>
          <w:rFonts w:ascii="Book Antiqua" w:eastAsia="SimSun" w:hAnsi="Book Antiqua" w:cs="SimSun"/>
          <w:sz w:val="24"/>
          <w:szCs w:val="24"/>
          <w:lang w:val="en-US" w:eastAsia="zh-CN"/>
        </w:rPr>
        <w:t xml:space="preserve"> 1985; </w:t>
      </w:r>
      <w:r w:rsidRPr="001326F0">
        <w:rPr>
          <w:rFonts w:ascii="Book Antiqua" w:eastAsia="SimSun" w:hAnsi="Book Antiqua" w:cs="SimSun"/>
          <w:b/>
          <w:bCs/>
          <w:sz w:val="24"/>
          <w:szCs w:val="24"/>
          <w:lang w:val="en-US" w:eastAsia="zh-CN"/>
        </w:rPr>
        <w:t>56</w:t>
      </w:r>
      <w:r w:rsidRPr="001326F0">
        <w:rPr>
          <w:rFonts w:ascii="Book Antiqua" w:eastAsia="SimSun" w:hAnsi="Book Antiqua" w:cs="SimSun"/>
          <w:sz w:val="24"/>
          <w:szCs w:val="24"/>
          <w:lang w:val="en-US" w:eastAsia="zh-CN"/>
        </w:rPr>
        <w:t>: 271-281 [PMID: 3902037]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107 </w:t>
      </w:r>
      <w:r w:rsidRPr="001326F0">
        <w:rPr>
          <w:rFonts w:ascii="Book Antiqua" w:eastAsia="SimSun" w:hAnsi="Book Antiqua" w:cs="SimSun"/>
          <w:b/>
          <w:bCs/>
          <w:sz w:val="24"/>
          <w:szCs w:val="24"/>
          <w:lang w:val="en-US" w:eastAsia="zh-CN"/>
        </w:rPr>
        <w:t>Zuniga-Guajardo S</w:t>
      </w:r>
      <w:r w:rsidRPr="001326F0">
        <w:rPr>
          <w:rFonts w:ascii="Book Antiqua" w:eastAsia="SimSun" w:hAnsi="Book Antiqua" w:cs="SimSun"/>
          <w:sz w:val="24"/>
          <w:szCs w:val="24"/>
          <w:lang w:val="en-US" w:eastAsia="zh-CN"/>
        </w:rPr>
        <w:t xml:space="preserve">, Zinman B. The metabolic response to the euglycemic insulin clamp in type I diabetes and normal humans. </w:t>
      </w:r>
      <w:r w:rsidRPr="001326F0">
        <w:rPr>
          <w:rFonts w:ascii="Book Antiqua" w:eastAsia="SimSun" w:hAnsi="Book Antiqua" w:cs="SimSun"/>
          <w:i/>
          <w:iCs/>
          <w:sz w:val="24"/>
          <w:szCs w:val="24"/>
          <w:lang w:val="en-US" w:eastAsia="zh-CN"/>
        </w:rPr>
        <w:t>Metabolism</w:t>
      </w:r>
      <w:r w:rsidRPr="001326F0">
        <w:rPr>
          <w:rFonts w:ascii="Book Antiqua" w:eastAsia="SimSun" w:hAnsi="Book Antiqua" w:cs="SimSun"/>
          <w:sz w:val="24"/>
          <w:szCs w:val="24"/>
          <w:lang w:val="en-US" w:eastAsia="zh-CN"/>
        </w:rPr>
        <w:t xml:space="preserve"> 1985; </w:t>
      </w:r>
      <w:r w:rsidRPr="001326F0">
        <w:rPr>
          <w:rFonts w:ascii="Book Antiqua" w:eastAsia="SimSun" w:hAnsi="Book Antiqua" w:cs="SimSun"/>
          <w:b/>
          <w:bCs/>
          <w:sz w:val="24"/>
          <w:szCs w:val="24"/>
          <w:lang w:val="en-US" w:eastAsia="zh-CN"/>
        </w:rPr>
        <w:t>34</w:t>
      </w:r>
      <w:r w:rsidRPr="001326F0">
        <w:rPr>
          <w:rFonts w:ascii="Book Antiqua" w:eastAsia="SimSun" w:hAnsi="Book Antiqua" w:cs="SimSun"/>
          <w:sz w:val="24"/>
          <w:szCs w:val="24"/>
          <w:lang w:val="en-US" w:eastAsia="zh-CN"/>
        </w:rPr>
        <w:t>: 926-930 [PMID: 3900631]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108 </w:t>
      </w:r>
      <w:r w:rsidRPr="001326F0">
        <w:rPr>
          <w:rFonts w:ascii="Book Antiqua" w:eastAsia="SimSun" w:hAnsi="Book Antiqua" w:cs="SimSun"/>
          <w:b/>
          <w:bCs/>
          <w:sz w:val="24"/>
          <w:szCs w:val="24"/>
          <w:lang w:val="en-US" w:eastAsia="zh-CN"/>
        </w:rPr>
        <w:t>Campbell PJ</w:t>
      </w:r>
      <w:r w:rsidRPr="001326F0">
        <w:rPr>
          <w:rFonts w:ascii="Book Antiqua" w:eastAsia="SimSun" w:hAnsi="Book Antiqua" w:cs="SimSun"/>
          <w:sz w:val="24"/>
          <w:szCs w:val="24"/>
          <w:lang w:val="en-US" w:eastAsia="zh-CN"/>
        </w:rPr>
        <w:t xml:space="preserve">, Carlson MG, Nurjhan N. Fat metabolism in human obesity. </w:t>
      </w:r>
      <w:r w:rsidRPr="001326F0">
        <w:rPr>
          <w:rFonts w:ascii="Book Antiqua" w:eastAsia="SimSun" w:hAnsi="Book Antiqua" w:cs="SimSun"/>
          <w:i/>
          <w:iCs/>
          <w:sz w:val="24"/>
          <w:szCs w:val="24"/>
          <w:lang w:val="en-US" w:eastAsia="zh-CN"/>
        </w:rPr>
        <w:t>Am J Physiol</w:t>
      </w:r>
      <w:r w:rsidRPr="001326F0">
        <w:rPr>
          <w:rFonts w:ascii="Book Antiqua" w:eastAsia="SimSun" w:hAnsi="Book Antiqua" w:cs="SimSun"/>
          <w:sz w:val="24"/>
          <w:szCs w:val="24"/>
          <w:lang w:val="en-US" w:eastAsia="zh-CN"/>
        </w:rPr>
        <w:t xml:space="preserve"> 1994; </w:t>
      </w:r>
      <w:r w:rsidRPr="001326F0">
        <w:rPr>
          <w:rFonts w:ascii="Book Antiqua" w:eastAsia="SimSun" w:hAnsi="Book Antiqua" w:cs="SimSun"/>
          <w:b/>
          <w:bCs/>
          <w:sz w:val="24"/>
          <w:szCs w:val="24"/>
          <w:lang w:val="en-US" w:eastAsia="zh-CN"/>
        </w:rPr>
        <w:t>266</w:t>
      </w:r>
      <w:r w:rsidRPr="001326F0">
        <w:rPr>
          <w:rFonts w:ascii="Book Antiqua" w:eastAsia="SimSun" w:hAnsi="Book Antiqua" w:cs="SimSun"/>
          <w:sz w:val="24"/>
          <w:szCs w:val="24"/>
          <w:lang w:val="en-US" w:eastAsia="zh-CN"/>
        </w:rPr>
        <w:t>: E600-E605 [PMID: 8178981]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109 </w:t>
      </w:r>
      <w:r w:rsidRPr="001326F0">
        <w:rPr>
          <w:rFonts w:ascii="Book Antiqua" w:eastAsia="SimSun" w:hAnsi="Book Antiqua" w:cs="SimSun"/>
          <w:b/>
          <w:bCs/>
          <w:sz w:val="24"/>
          <w:szCs w:val="24"/>
          <w:lang w:val="en-US" w:eastAsia="zh-CN"/>
        </w:rPr>
        <w:t>Boden G</w:t>
      </w:r>
      <w:r w:rsidRPr="001326F0">
        <w:rPr>
          <w:rFonts w:ascii="Book Antiqua" w:eastAsia="SimSun" w:hAnsi="Book Antiqua" w:cs="SimSun"/>
          <w:sz w:val="24"/>
          <w:szCs w:val="24"/>
          <w:lang w:val="en-US" w:eastAsia="zh-CN"/>
        </w:rPr>
        <w:t xml:space="preserve">. Obesity and free fatty acids. </w:t>
      </w:r>
      <w:r w:rsidRPr="001326F0">
        <w:rPr>
          <w:rFonts w:ascii="Book Antiqua" w:eastAsia="SimSun" w:hAnsi="Book Antiqua" w:cs="SimSun"/>
          <w:i/>
          <w:iCs/>
          <w:sz w:val="24"/>
          <w:szCs w:val="24"/>
          <w:lang w:val="en-US" w:eastAsia="zh-CN"/>
        </w:rPr>
        <w:t>Endocrinol Metab Clin North Am</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37</w:t>
      </w:r>
      <w:r w:rsidRPr="001326F0">
        <w:rPr>
          <w:rFonts w:ascii="Book Antiqua" w:eastAsia="SimSun" w:hAnsi="Book Antiqua" w:cs="SimSun"/>
          <w:sz w:val="24"/>
          <w:szCs w:val="24"/>
          <w:lang w:val="en-US" w:eastAsia="zh-CN"/>
        </w:rPr>
        <w:t>: 635-46, viii-ix [PMID: 18775356 DOI: 10.1016/j.ecl.2008.06.007]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110 </w:t>
      </w:r>
      <w:r w:rsidRPr="001326F0">
        <w:rPr>
          <w:rFonts w:ascii="Book Antiqua" w:eastAsia="SimSun" w:hAnsi="Book Antiqua" w:cs="SimSun"/>
          <w:b/>
          <w:bCs/>
          <w:sz w:val="24"/>
          <w:szCs w:val="24"/>
          <w:lang w:val="en-US" w:eastAsia="zh-CN"/>
        </w:rPr>
        <w:t>Björntorp P</w:t>
      </w:r>
      <w:r w:rsidRPr="001326F0">
        <w:rPr>
          <w:rFonts w:ascii="Book Antiqua" w:eastAsia="SimSun" w:hAnsi="Book Antiqua" w:cs="SimSun"/>
          <w:sz w:val="24"/>
          <w:szCs w:val="24"/>
          <w:lang w:val="en-US" w:eastAsia="zh-CN"/>
        </w:rPr>
        <w:t xml:space="preserve">, Bergman H, Varnauskas E. Plasma free fatty acid turnover rate in obesity. </w:t>
      </w:r>
      <w:r w:rsidRPr="001326F0">
        <w:rPr>
          <w:rFonts w:ascii="Book Antiqua" w:eastAsia="SimSun" w:hAnsi="Book Antiqua" w:cs="SimSun"/>
          <w:i/>
          <w:iCs/>
          <w:sz w:val="24"/>
          <w:szCs w:val="24"/>
          <w:lang w:val="en-US" w:eastAsia="zh-CN"/>
        </w:rPr>
        <w:t>Acta Med Scand</w:t>
      </w:r>
      <w:r w:rsidRPr="001326F0">
        <w:rPr>
          <w:rFonts w:ascii="Book Antiqua" w:eastAsia="SimSun" w:hAnsi="Book Antiqua" w:cs="SimSun"/>
          <w:sz w:val="24"/>
          <w:szCs w:val="24"/>
          <w:lang w:val="en-US" w:eastAsia="zh-CN"/>
        </w:rPr>
        <w:t xml:space="preserve"> 1969; </w:t>
      </w:r>
      <w:r w:rsidRPr="001326F0">
        <w:rPr>
          <w:rFonts w:ascii="Book Antiqua" w:eastAsia="SimSun" w:hAnsi="Book Antiqua" w:cs="SimSun"/>
          <w:b/>
          <w:bCs/>
          <w:sz w:val="24"/>
          <w:szCs w:val="24"/>
          <w:lang w:val="en-US" w:eastAsia="zh-CN"/>
        </w:rPr>
        <w:t>185</w:t>
      </w:r>
      <w:r w:rsidRPr="001326F0">
        <w:rPr>
          <w:rFonts w:ascii="Book Antiqua" w:eastAsia="SimSun" w:hAnsi="Book Antiqua" w:cs="SimSun"/>
          <w:sz w:val="24"/>
          <w:szCs w:val="24"/>
          <w:lang w:val="en-US" w:eastAsia="zh-CN"/>
        </w:rPr>
        <w:t>: 351-356 [PMID: 5806343]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111 </w:t>
      </w:r>
      <w:r w:rsidRPr="001326F0">
        <w:rPr>
          <w:rFonts w:ascii="Book Antiqua" w:eastAsia="SimSun" w:hAnsi="Book Antiqua" w:cs="SimSun"/>
          <w:b/>
          <w:bCs/>
          <w:sz w:val="24"/>
          <w:szCs w:val="24"/>
          <w:lang w:val="en-US" w:eastAsia="zh-CN"/>
        </w:rPr>
        <w:t>OPIE LH</w:t>
      </w:r>
      <w:r w:rsidRPr="001326F0">
        <w:rPr>
          <w:rFonts w:ascii="Book Antiqua" w:eastAsia="SimSun" w:hAnsi="Book Antiqua" w:cs="SimSun"/>
          <w:sz w:val="24"/>
          <w:szCs w:val="24"/>
          <w:lang w:val="en-US" w:eastAsia="zh-CN"/>
        </w:rPr>
        <w:t xml:space="preserve">, WALFISH PG. Plasma free fatty acid concentrations in obesity. </w:t>
      </w:r>
      <w:r w:rsidRPr="001326F0">
        <w:rPr>
          <w:rFonts w:ascii="Book Antiqua" w:eastAsia="SimSun" w:hAnsi="Book Antiqua" w:cs="SimSun"/>
          <w:i/>
          <w:iCs/>
          <w:sz w:val="24"/>
          <w:szCs w:val="24"/>
          <w:lang w:val="en-US" w:eastAsia="zh-CN"/>
        </w:rPr>
        <w:t>N Engl J Med</w:t>
      </w:r>
      <w:r w:rsidRPr="001326F0">
        <w:rPr>
          <w:rFonts w:ascii="Book Antiqua" w:eastAsia="SimSun" w:hAnsi="Book Antiqua" w:cs="SimSun"/>
          <w:sz w:val="24"/>
          <w:szCs w:val="24"/>
          <w:lang w:val="en-US" w:eastAsia="zh-CN"/>
        </w:rPr>
        <w:t xml:space="preserve"> 1963; </w:t>
      </w:r>
      <w:r w:rsidRPr="001326F0">
        <w:rPr>
          <w:rFonts w:ascii="Book Antiqua" w:eastAsia="SimSun" w:hAnsi="Book Antiqua" w:cs="SimSun"/>
          <w:b/>
          <w:bCs/>
          <w:sz w:val="24"/>
          <w:szCs w:val="24"/>
          <w:lang w:val="en-US" w:eastAsia="zh-CN"/>
        </w:rPr>
        <w:t>268</w:t>
      </w:r>
      <w:r w:rsidRPr="001326F0">
        <w:rPr>
          <w:rFonts w:ascii="Book Antiqua" w:eastAsia="SimSun" w:hAnsi="Book Antiqua" w:cs="SimSun"/>
          <w:sz w:val="24"/>
          <w:szCs w:val="24"/>
          <w:lang w:val="en-US" w:eastAsia="zh-CN"/>
        </w:rPr>
        <w:t>: 757-760 [PMID: 13940209]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112 </w:t>
      </w:r>
      <w:r w:rsidRPr="001326F0">
        <w:rPr>
          <w:rFonts w:ascii="Book Antiqua" w:eastAsia="SimSun" w:hAnsi="Book Antiqua" w:cs="SimSun"/>
          <w:b/>
          <w:bCs/>
          <w:sz w:val="24"/>
          <w:szCs w:val="24"/>
          <w:lang w:val="en-US" w:eastAsia="zh-CN"/>
        </w:rPr>
        <w:t>Zurier RB</w:t>
      </w:r>
      <w:r w:rsidRPr="001326F0">
        <w:rPr>
          <w:rFonts w:ascii="Book Antiqua" w:eastAsia="SimSun" w:hAnsi="Book Antiqua" w:cs="SimSun"/>
          <w:sz w:val="24"/>
          <w:szCs w:val="24"/>
          <w:lang w:val="en-US" w:eastAsia="zh-CN"/>
        </w:rPr>
        <w:t xml:space="preserve">, Rossetti RG, Seiler CM, Laposata M. Human peripheral blood T lymphocyte proliferation after activation of the T cell receptor: effects of unsaturated fatty acids. </w:t>
      </w:r>
      <w:r w:rsidRPr="001326F0">
        <w:rPr>
          <w:rFonts w:ascii="Book Antiqua" w:eastAsia="SimSun" w:hAnsi="Book Antiqua" w:cs="SimSun"/>
          <w:i/>
          <w:iCs/>
          <w:sz w:val="24"/>
          <w:szCs w:val="24"/>
          <w:lang w:val="en-US" w:eastAsia="zh-CN"/>
        </w:rPr>
        <w:t>Prostaglandins Leukot Essent Fatty Acids</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1999</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60</w:t>
      </w:r>
      <w:r w:rsidRPr="001326F0">
        <w:rPr>
          <w:rFonts w:ascii="Book Antiqua" w:eastAsia="SimSun" w:hAnsi="Book Antiqua" w:cs="SimSun"/>
          <w:sz w:val="24"/>
          <w:szCs w:val="24"/>
          <w:lang w:val="en-US" w:eastAsia="zh-CN"/>
        </w:rPr>
        <w:t>: 371-375 [PMID: 10471124]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113 </w:t>
      </w:r>
      <w:r w:rsidRPr="001326F0">
        <w:rPr>
          <w:rFonts w:ascii="Book Antiqua" w:eastAsia="SimSun" w:hAnsi="Book Antiqua" w:cs="SimSun"/>
          <w:b/>
          <w:bCs/>
          <w:sz w:val="24"/>
          <w:szCs w:val="24"/>
          <w:lang w:val="en-US" w:eastAsia="zh-CN"/>
        </w:rPr>
        <w:t>Lima TM</w:t>
      </w:r>
      <w:r w:rsidRPr="001326F0">
        <w:rPr>
          <w:rFonts w:ascii="Book Antiqua" w:eastAsia="SimSun" w:hAnsi="Book Antiqua" w:cs="SimSun"/>
          <w:sz w:val="24"/>
          <w:szCs w:val="24"/>
          <w:lang w:val="en-US" w:eastAsia="zh-CN"/>
        </w:rPr>
        <w:t xml:space="preserve">, Kanunfre CC, Pompéia C, Verlengia R, Curi R. Ranking the toxicity of fatty acids on Jurkat and Raji cells by flow cytometric analysis. </w:t>
      </w:r>
      <w:r w:rsidRPr="001326F0">
        <w:rPr>
          <w:rFonts w:ascii="Book Antiqua" w:eastAsia="SimSun" w:hAnsi="Book Antiqua" w:cs="SimSun"/>
          <w:i/>
          <w:iCs/>
          <w:sz w:val="24"/>
          <w:szCs w:val="24"/>
          <w:lang w:val="en-US" w:eastAsia="zh-CN"/>
        </w:rPr>
        <w:t>Toxicol In Vitro</w:t>
      </w:r>
      <w:r w:rsidRPr="001326F0">
        <w:rPr>
          <w:rFonts w:ascii="Book Antiqua" w:eastAsia="SimSun" w:hAnsi="Book Antiqua" w:cs="SimSun"/>
          <w:sz w:val="24"/>
          <w:szCs w:val="24"/>
          <w:lang w:val="en-US" w:eastAsia="zh-CN"/>
        </w:rPr>
        <w:t xml:space="preserve"> 2002; </w:t>
      </w:r>
      <w:r w:rsidRPr="001326F0">
        <w:rPr>
          <w:rFonts w:ascii="Book Antiqua" w:eastAsia="SimSun" w:hAnsi="Book Antiqua" w:cs="SimSun"/>
          <w:b/>
          <w:bCs/>
          <w:sz w:val="24"/>
          <w:szCs w:val="24"/>
          <w:lang w:val="en-US" w:eastAsia="zh-CN"/>
        </w:rPr>
        <w:t>16</w:t>
      </w:r>
      <w:r w:rsidRPr="001326F0">
        <w:rPr>
          <w:rFonts w:ascii="Book Antiqua" w:eastAsia="SimSun" w:hAnsi="Book Antiqua" w:cs="SimSun"/>
          <w:sz w:val="24"/>
          <w:szCs w:val="24"/>
          <w:lang w:val="en-US" w:eastAsia="zh-CN"/>
        </w:rPr>
        <w:t>: 741-747 [PMID: 12423658]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114 </w:t>
      </w:r>
      <w:r w:rsidRPr="001326F0">
        <w:rPr>
          <w:rFonts w:ascii="Book Antiqua" w:eastAsia="SimSun" w:hAnsi="Book Antiqua" w:cs="SimSun"/>
          <w:b/>
          <w:bCs/>
          <w:sz w:val="24"/>
          <w:szCs w:val="24"/>
          <w:lang w:val="en-US" w:eastAsia="zh-CN"/>
        </w:rPr>
        <w:t>Cury-Boaventura MF</w:t>
      </w:r>
      <w:r w:rsidRPr="001326F0">
        <w:rPr>
          <w:rFonts w:ascii="Book Antiqua" w:eastAsia="SimSun" w:hAnsi="Book Antiqua" w:cs="SimSun"/>
          <w:sz w:val="24"/>
          <w:szCs w:val="24"/>
          <w:lang w:val="en-US" w:eastAsia="zh-CN"/>
        </w:rPr>
        <w:t xml:space="preserve">, Pompéia C, Curi R. Comparative toxicity of oleic acid and linoleic acid on Jurkat cells. </w:t>
      </w:r>
      <w:r w:rsidRPr="001326F0">
        <w:rPr>
          <w:rFonts w:ascii="Book Antiqua" w:eastAsia="SimSun" w:hAnsi="Book Antiqua" w:cs="SimSun"/>
          <w:i/>
          <w:iCs/>
          <w:sz w:val="24"/>
          <w:szCs w:val="24"/>
          <w:lang w:val="en-US" w:eastAsia="zh-CN"/>
        </w:rPr>
        <w:t>Clin Nutr</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23</w:t>
      </w:r>
      <w:r w:rsidRPr="001326F0">
        <w:rPr>
          <w:rFonts w:ascii="Book Antiqua" w:eastAsia="SimSun" w:hAnsi="Book Antiqua" w:cs="SimSun"/>
          <w:sz w:val="24"/>
          <w:szCs w:val="24"/>
          <w:lang w:val="en-US" w:eastAsia="zh-CN"/>
        </w:rPr>
        <w:t>: 721-732 [PMID: 15297111]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115 </w:t>
      </w:r>
      <w:r w:rsidRPr="001326F0">
        <w:rPr>
          <w:rFonts w:ascii="Book Antiqua" w:eastAsia="SimSun" w:hAnsi="Book Antiqua" w:cs="SimSun"/>
          <w:b/>
          <w:bCs/>
          <w:sz w:val="24"/>
          <w:szCs w:val="24"/>
          <w:lang w:val="en-US" w:eastAsia="zh-CN"/>
        </w:rPr>
        <w:t>Cury-Boaventura MF</w:t>
      </w:r>
      <w:r w:rsidRPr="001326F0">
        <w:rPr>
          <w:rFonts w:ascii="Book Antiqua" w:eastAsia="SimSun" w:hAnsi="Book Antiqua" w:cs="SimSun"/>
          <w:sz w:val="24"/>
          <w:szCs w:val="24"/>
          <w:lang w:val="en-US" w:eastAsia="zh-CN"/>
        </w:rPr>
        <w:t xml:space="preserve">, Gorjão R, de Lima TM, Newsholme P, Curi R. Comparative toxicity of oleic and linoleic acid on human lymphocytes. </w:t>
      </w:r>
      <w:r w:rsidRPr="001326F0">
        <w:rPr>
          <w:rFonts w:ascii="Book Antiqua" w:eastAsia="SimSun" w:hAnsi="Book Antiqua" w:cs="SimSun"/>
          <w:i/>
          <w:iCs/>
          <w:sz w:val="24"/>
          <w:szCs w:val="24"/>
          <w:lang w:val="en-US" w:eastAsia="zh-CN"/>
        </w:rPr>
        <w:t>Life Sci</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78</w:t>
      </w:r>
      <w:r w:rsidRPr="001326F0">
        <w:rPr>
          <w:rFonts w:ascii="Book Antiqua" w:eastAsia="SimSun" w:hAnsi="Book Antiqua" w:cs="SimSun"/>
          <w:sz w:val="24"/>
          <w:szCs w:val="24"/>
          <w:lang w:val="en-US" w:eastAsia="zh-CN"/>
        </w:rPr>
        <w:t>: 1448-1456 [PMID: 16236329]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116 </w:t>
      </w:r>
      <w:r w:rsidRPr="001326F0">
        <w:rPr>
          <w:rFonts w:ascii="Book Antiqua" w:eastAsia="SimSun" w:hAnsi="Book Antiqua" w:cs="SimSun"/>
          <w:b/>
          <w:bCs/>
          <w:sz w:val="24"/>
          <w:szCs w:val="24"/>
          <w:lang w:val="en-US" w:eastAsia="zh-CN"/>
        </w:rPr>
        <w:t>Gorjão R</w:t>
      </w:r>
      <w:r w:rsidRPr="001326F0">
        <w:rPr>
          <w:rFonts w:ascii="Book Antiqua" w:eastAsia="SimSun" w:hAnsi="Book Antiqua" w:cs="SimSun"/>
          <w:sz w:val="24"/>
          <w:szCs w:val="24"/>
          <w:lang w:val="en-US" w:eastAsia="zh-CN"/>
        </w:rPr>
        <w:t xml:space="preserve">, Cury-Boaventura MF, de Lima TM, Curi R. Regulation of human lymphocyte proliferation by fatty acids. </w:t>
      </w:r>
      <w:r w:rsidRPr="001326F0">
        <w:rPr>
          <w:rFonts w:ascii="Book Antiqua" w:eastAsia="SimSun" w:hAnsi="Book Antiqua" w:cs="SimSun"/>
          <w:i/>
          <w:iCs/>
          <w:sz w:val="24"/>
          <w:szCs w:val="24"/>
          <w:lang w:val="en-US" w:eastAsia="zh-CN"/>
        </w:rPr>
        <w:t>Cell Biochem Funct</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2007</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25</w:t>
      </w:r>
      <w:r w:rsidRPr="001326F0">
        <w:rPr>
          <w:rFonts w:ascii="Book Antiqua" w:eastAsia="SimSun" w:hAnsi="Book Antiqua" w:cs="SimSun"/>
          <w:sz w:val="24"/>
          <w:szCs w:val="24"/>
          <w:lang w:val="en-US" w:eastAsia="zh-CN"/>
        </w:rPr>
        <w:t>: 305-315 [PMID: 17195961]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117 RE: Complications of whole bladder dihematoporphyrin ether photodynamic therapy. </w:t>
      </w:r>
      <w:r w:rsidRPr="001326F0">
        <w:rPr>
          <w:rFonts w:ascii="Book Antiqua" w:eastAsia="SimSun" w:hAnsi="Book Antiqua" w:cs="SimSun"/>
          <w:i/>
          <w:iCs/>
          <w:sz w:val="24"/>
          <w:szCs w:val="24"/>
          <w:lang w:val="en-US" w:eastAsia="zh-CN"/>
        </w:rPr>
        <w:t>J Urol</w:t>
      </w:r>
      <w:r w:rsidRPr="001326F0">
        <w:rPr>
          <w:rFonts w:ascii="Book Antiqua" w:eastAsia="SimSun" w:hAnsi="Book Antiqua" w:cs="SimSun"/>
          <w:sz w:val="24"/>
          <w:szCs w:val="24"/>
          <w:lang w:val="en-US" w:eastAsia="zh-CN"/>
        </w:rPr>
        <w:t xml:space="preserve"> 1990; </w:t>
      </w:r>
      <w:r w:rsidRPr="001326F0">
        <w:rPr>
          <w:rFonts w:ascii="Book Antiqua" w:eastAsia="SimSun" w:hAnsi="Book Antiqua" w:cs="SimSun"/>
          <w:b/>
          <w:bCs/>
          <w:sz w:val="24"/>
          <w:szCs w:val="24"/>
          <w:lang w:val="en-US" w:eastAsia="zh-CN"/>
        </w:rPr>
        <w:t>144</w:t>
      </w:r>
      <w:r w:rsidRPr="001326F0">
        <w:rPr>
          <w:rFonts w:ascii="Book Antiqua" w:eastAsia="SimSun" w:hAnsi="Book Antiqua" w:cs="SimSun"/>
          <w:sz w:val="24"/>
          <w:szCs w:val="24"/>
          <w:lang w:val="en-US" w:eastAsia="zh-CN"/>
        </w:rPr>
        <w:t xml:space="preserve">: 750-751 [PMID: </w:t>
      </w:r>
      <w:bookmarkStart w:id="309" w:name="OLE_LINK2540"/>
      <w:bookmarkStart w:id="310" w:name="OLE_LINK2541"/>
      <w:r w:rsidRPr="001326F0">
        <w:rPr>
          <w:rFonts w:ascii="Book Antiqua" w:eastAsia="SimSun" w:hAnsi="Book Antiqua" w:cs="SimSun"/>
          <w:sz w:val="24"/>
          <w:szCs w:val="24"/>
          <w:lang w:val="en-US" w:eastAsia="zh-CN"/>
        </w:rPr>
        <w:t xml:space="preserve">2143790 </w:t>
      </w:r>
      <w:bookmarkEnd w:id="309"/>
      <w:bookmarkEnd w:id="310"/>
      <w:r w:rsidRPr="001326F0">
        <w:rPr>
          <w:rFonts w:ascii="Book Antiqua" w:eastAsia="SimSun" w:hAnsi="Book Antiqua" w:cs="SimSun"/>
          <w:sz w:val="24"/>
          <w:szCs w:val="24"/>
          <w:lang w:val="en-US" w:eastAsia="zh-CN"/>
        </w:rPr>
        <w:t>DOI: 10.1002/jcp.22740]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118 </w:t>
      </w:r>
      <w:r w:rsidRPr="001326F0">
        <w:rPr>
          <w:rFonts w:ascii="Book Antiqua" w:eastAsia="SimSun" w:hAnsi="Book Antiqua" w:cs="SimSun"/>
          <w:b/>
          <w:bCs/>
          <w:sz w:val="24"/>
          <w:szCs w:val="24"/>
          <w:lang w:val="en-US" w:eastAsia="zh-CN"/>
        </w:rPr>
        <w:t>Tchernof A</w:t>
      </w:r>
      <w:r w:rsidRPr="001326F0">
        <w:rPr>
          <w:rFonts w:ascii="Book Antiqua" w:eastAsia="SimSun" w:hAnsi="Book Antiqua" w:cs="SimSun"/>
          <w:sz w:val="24"/>
          <w:szCs w:val="24"/>
          <w:lang w:val="en-US" w:eastAsia="zh-CN"/>
        </w:rPr>
        <w:t xml:space="preserve">, Després JP. Pathophysiology of human visceral obesity: an update. </w:t>
      </w:r>
      <w:r w:rsidRPr="001326F0">
        <w:rPr>
          <w:rFonts w:ascii="Book Antiqua" w:eastAsia="SimSun" w:hAnsi="Book Antiqua" w:cs="SimSun"/>
          <w:i/>
          <w:iCs/>
          <w:sz w:val="24"/>
          <w:szCs w:val="24"/>
          <w:lang w:val="en-US" w:eastAsia="zh-CN"/>
        </w:rPr>
        <w:t>Physiol Rev</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93</w:t>
      </w:r>
      <w:r w:rsidRPr="001326F0">
        <w:rPr>
          <w:rFonts w:ascii="Book Antiqua" w:eastAsia="SimSun" w:hAnsi="Book Antiqua" w:cs="SimSun"/>
          <w:sz w:val="24"/>
          <w:szCs w:val="24"/>
          <w:lang w:val="en-US" w:eastAsia="zh-CN"/>
        </w:rPr>
        <w:t>: 359-404 [PMID: 23303913 DOI: 10.1152/physrev.00033.2011]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119 </w:t>
      </w:r>
      <w:r w:rsidRPr="001326F0">
        <w:rPr>
          <w:rFonts w:ascii="Book Antiqua" w:eastAsia="SimSun" w:hAnsi="Book Antiqua" w:cs="SimSun"/>
          <w:b/>
          <w:bCs/>
          <w:sz w:val="24"/>
          <w:szCs w:val="24"/>
          <w:lang w:val="en-US" w:eastAsia="zh-CN"/>
        </w:rPr>
        <w:t>Pond CM</w:t>
      </w:r>
      <w:r w:rsidRPr="001326F0">
        <w:rPr>
          <w:rFonts w:ascii="Book Antiqua" w:eastAsia="SimSun" w:hAnsi="Book Antiqua" w:cs="SimSun"/>
          <w:sz w:val="24"/>
          <w:szCs w:val="24"/>
          <w:lang w:val="en-US" w:eastAsia="zh-CN"/>
        </w:rPr>
        <w:t xml:space="preserve">. An evolutionary and functional view of mammalian adipose tissue. </w:t>
      </w:r>
      <w:r w:rsidRPr="001326F0">
        <w:rPr>
          <w:rFonts w:ascii="Book Antiqua" w:eastAsia="SimSun" w:hAnsi="Book Antiqua" w:cs="SimSun"/>
          <w:i/>
          <w:iCs/>
          <w:sz w:val="24"/>
          <w:szCs w:val="24"/>
          <w:lang w:val="en-US" w:eastAsia="zh-CN"/>
        </w:rPr>
        <w:t>Proc Nutr Soc</w:t>
      </w:r>
      <w:r w:rsidRPr="001326F0">
        <w:rPr>
          <w:rFonts w:ascii="Book Antiqua" w:eastAsia="SimSun" w:hAnsi="Book Antiqua" w:cs="SimSun"/>
          <w:sz w:val="24"/>
          <w:szCs w:val="24"/>
          <w:lang w:val="en-US" w:eastAsia="zh-CN"/>
        </w:rPr>
        <w:t xml:space="preserve"> 1992; </w:t>
      </w:r>
      <w:r w:rsidRPr="001326F0">
        <w:rPr>
          <w:rFonts w:ascii="Book Antiqua" w:eastAsia="SimSun" w:hAnsi="Book Antiqua" w:cs="SimSun"/>
          <w:b/>
          <w:bCs/>
          <w:sz w:val="24"/>
          <w:szCs w:val="24"/>
          <w:lang w:val="en-US" w:eastAsia="zh-CN"/>
        </w:rPr>
        <w:t>51</w:t>
      </w:r>
      <w:r w:rsidRPr="001326F0">
        <w:rPr>
          <w:rFonts w:ascii="Book Antiqua" w:eastAsia="SimSun" w:hAnsi="Book Antiqua" w:cs="SimSun"/>
          <w:sz w:val="24"/>
          <w:szCs w:val="24"/>
          <w:lang w:val="en-US" w:eastAsia="zh-CN"/>
        </w:rPr>
        <w:t>: 367-377 [PMID: 1480631]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120 </w:t>
      </w:r>
      <w:r w:rsidRPr="001326F0">
        <w:rPr>
          <w:rFonts w:ascii="Book Antiqua" w:eastAsia="SimSun" w:hAnsi="Book Antiqua" w:cs="SimSun"/>
          <w:b/>
          <w:bCs/>
          <w:sz w:val="24"/>
          <w:szCs w:val="24"/>
          <w:lang w:val="en-US" w:eastAsia="zh-CN"/>
        </w:rPr>
        <w:t>Krotkiewski M</w:t>
      </w:r>
      <w:r w:rsidRPr="001326F0">
        <w:rPr>
          <w:rFonts w:ascii="Book Antiqua" w:eastAsia="SimSun" w:hAnsi="Book Antiqua" w:cs="SimSun"/>
          <w:sz w:val="24"/>
          <w:szCs w:val="24"/>
          <w:lang w:val="en-US" w:eastAsia="zh-CN"/>
        </w:rPr>
        <w:t xml:space="preserve">, Björntorp P, Sjöström L, Smith U. Impact of obesity on metabolism in men and women. Importance of regional adipose tissue distribution. </w:t>
      </w:r>
      <w:r w:rsidRPr="001326F0">
        <w:rPr>
          <w:rFonts w:ascii="Book Antiqua" w:eastAsia="SimSun" w:hAnsi="Book Antiqua" w:cs="SimSun"/>
          <w:i/>
          <w:iCs/>
          <w:sz w:val="24"/>
          <w:szCs w:val="24"/>
          <w:lang w:val="en-US" w:eastAsia="zh-CN"/>
        </w:rPr>
        <w:t>J Clin Invest</w:t>
      </w:r>
      <w:r w:rsidRPr="001326F0">
        <w:rPr>
          <w:rFonts w:ascii="Book Antiqua" w:eastAsia="SimSun" w:hAnsi="Book Antiqua" w:cs="SimSun"/>
          <w:sz w:val="24"/>
          <w:szCs w:val="24"/>
          <w:lang w:val="en-US" w:eastAsia="zh-CN"/>
        </w:rPr>
        <w:t xml:space="preserve"> 1983; </w:t>
      </w:r>
      <w:r w:rsidRPr="001326F0">
        <w:rPr>
          <w:rFonts w:ascii="Book Antiqua" w:eastAsia="SimSun" w:hAnsi="Book Antiqua" w:cs="SimSun"/>
          <w:b/>
          <w:bCs/>
          <w:sz w:val="24"/>
          <w:szCs w:val="24"/>
          <w:lang w:val="en-US" w:eastAsia="zh-CN"/>
        </w:rPr>
        <w:t>72</w:t>
      </w:r>
      <w:r w:rsidRPr="001326F0">
        <w:rPr>
          <w:rFonts w:ascii="Book Antiqua" w:eastAsia="SimSun" w:hAnsi="Book Antiqua" w:cs="SimSun"/>
          <w:sz w:val="24"/>
          <w:szCs w:val="24"/>
          <w:lang w:val="en-US" w:eastAsia="zh-CN"/>
        </w:rPr>
        <w:t>: 1150-1162 [PMID: 6350364]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121 </w:t>
      </w:r>
      <w:r w:rsidRPr="001326F0">
        <w:rPr>
          <w:rFonts w:ascii="Book Antiqua" w:eastAsia="SimSun" w:hAnsi="Book Antiqua" w:cs="SimSun"/>
          <w:b/>
          <w:bCs/>
          <w:sz w:val="24"/>
          <w:szCs w:val="24"/>
          <w:lang w:val="en-US" w:eastAsia="zh-CN"/>
        </w:rPr>
        <w:t>Kvist H</w:t>
      </w:r>
      <w:r w:rsidRPr="001326F0">
        <w:rPr>
          <w:rFonts w:ascii="Book Antiqua" w:eastAsia="SimSun" w:hAnsi="Book Antiqua" w:cs="SimSun"/>
          <w:sz w:val="24"/>
          <w:szCs w:val="24"/>
          <w:lang w:val="en-US" w:eastAsia="zh-CN"/>
        </w:rPr>
        <w:t xml:space="preserve">, Chowdhury B, Grangård U, Tylén U, Sjöström L. Total and visceral adipose-tissue volumes derived from measurements with computed tomography in adult men and women: predictive equations.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1988; </w:t>
      </w:r>
      <w:r w:rsidRPr="001326F0">
        <w:rPr>
          <w:rFonts w:ascii="Book Antiqua" w:eastAsia="SimSun" w:hAnsi="Book Antiqua" w:cs="SimSun"/>
          <w:b/>
          <w:bCs/>
          <w:sz w:val="24"/>
          <w:szCs w:val="24"/>
          <w:lang w:val="en-US" w:eastAsia="zh-CN"/>
        </w:rPr>
        <w:t>48</w:t>
      </w:r>
      <w:r w:rsidRPr="001326F0">
        <w:rPr>
          <w:rFonts w:ascii="Book Antiqua" w:eastAsia="SimSun" w:hAnsi="Book Antiqua" w:cs="SimSun"/>
          <w:sz w:val="24"/>
          <w:szCs w:val="24"/>
          <w:lang w:val="en-US" w:eastAsia="zh-CN"/>
        </w:rPr>
        <w:t>: 1351-1361 [PMID: 3202084]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s-ES_tradnl" w:eastAsia="zh-CN"/>
        </w:rPr>
        <w:t xml:space="preserve">122 </w:t>
      </w:r>
      <w:r w:rsidRPr="001326F0">
        <w:rPr>
          <w:rFonts w:ascii="Book Antiqua" w:eastAsia="SimSun" w:hAnsi="Book Antiqua" w:cs="SimSun"/>
          <w:b/>
          <w:bCs/>
          <w:sz w:val="24"/>
          <w:szCs w:val="24"/>
          <w:lang w:val="es-ES_tradnl" w:eastAsia="zh-CN"/>
        </w:rPr>
        <w:t>Vague J</w:t>
      </w:r>
      <w:r w:rsidRPr="001326F0">
        <w:rPr>
          <w:rFonts w:ascii="Book Antiqua" w:eastAsia="SimSun" w:hAnsi="Book Antiqua" w:cs="SimSun"/>
          <w:sz w:val="24"/>
          <w:szCs w:val="24"/>
          <w:lang w:val="es-ES_tradnl" w:eastAsia="zh-CN"/>
        </w:rPr>
        <w:t xml:space="preserve">. La différenciation sexuelle; facteur déterminant des formes de l'obésité. </w:t>
      </w:r>
      <w:r w:rsidRPr="001326F0">
        <w:rPr>
          <w:rFonts w:ascii="Book Antiqua" w:eastAsia="SimSun" w:hAnsi="Book Antiqua" w:cs="SimSun"/>
          <w:i/>
          <w:iCs/>
          <w:sz w:val="24"/>
          <w:szCs w:val="24"/>
          <w:lang w:val="en-US" w:eastAsia="zh-CN"/>
        </w:rPr>
        <w:t>Presse Med</w:t>
      </w:r>
      <w:r w:rsidRPr="001326F0">
        <w:rPr>
          <w:rFonts w:ascii="Book Antiqua" w:eastAsia="SimSun" w:hAnsi="Book Antiqua" w:cs="SimSun"/>
          <w:sz w:val="24"/>
          <w:szCs w:val="24"/>
          <w:lang w:val="en-US" w:eastAsia="zh-CN"/>
        </w:rPr>
        <w:t xml:space="preserve"> 1947; </w:t>
      </w:r>
      <w:r w:rsidRPr="001326F0">
        <w:rPr>
          <w:rFonts w:ascii="Book Antiqua" w:eastAsia="SimSun" w:hAnsi="Book Antiqua" w:cs="SimSun"/>
          <w:b/>
          <w:bCs/>
          <w:sz w:val="24"/>
          <w:szCs w:val="24"/>
          <w:lang w:val="en-US" w:eastAsia="zh-CN"/>
        </w:rPr>
        <w:t>55</w:t>
      </w:r>
      <w:r w:rsidRPr="001326F0">
        <w:rPr>
          <w:rFonts w:ascii="Book Antiqua" w:eastAsia="SimSun" w:hAnsi="Book Antiqua" w:cs="SimSun"/>
          <w:sz w:val="24"/>
          <w:szCs w:val="24"/>
          <w:lang w:val="en-US" w:eastAsia="zh-CN"/>
        </w:rPr>
        <w:t xml:space="preserve">: 339 [PMID: </w:t>
      </w:r>
      <w:bookmarkStart w:id="311" w:name="OLE_LINK2542"/>
      <w:r w:rsidRPr="001326F0">
        <w:rPr>
          <w:rFonts w:ascii="Book Antiqua" w:eastAsia="SimSun" w:hAnsi="Book Antiqua" w:cs="SimSun"/>
          <w:sz w:val="24"/>
          <w:szCs w:val="24"/>
          <w:lang w:val="en-US" w:eastAsia="zh-CN"/>
        </w:rPr>
        <w:t>18918084</w:t>
      </w:r>
      <w:bookmarkEnd w:id="311"/>
      <w:r w:rsidRPr="001326F0">
        <w:rPr>
          <w:rFonts w:ascii="Book Antiqua" w:eastAsia="SimSun" w:hAnsi="Book Antiqua" w:cs="SimSun"/>
          <w:sz w:val="24"/>
          <w:szCs w:val="24"/>
          <w:lang w:val="en-US" w:eastAsia="zh-CN"/>
        </w:rPr>
        <w:t>]</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123 </w:t>
      </w:r>
      <w:r w:rsidRPr="001326F0">
        <w:rPr>
          <w:rFonts w:ascii="Book Antiqua" w:eastAsia="SimSun" w:hAnsi="Book Antiqua" w:cs="SimSun"/>
          <w:b/>
          <w:bCs/>
          <w:sz w:val="24"/>
          <w:szCs w:val="24"/>
          <w:lang w:val="en-US" w:eastAsia="zh-CN"/>
        </w:rPr>
        <w:t>Vague J</w:t>
      </w:r>
      <w:r w:rsidRPr="001326F0">
        <w:rPr>
          <w:rFonts w:ascii="Book Antiqua" w:eastAsia="SimSun" w:hAnsi="Book Antiqua" w:cs="SimSun"/>
          <w:sz w:val="24"/>
          <w:szCs w:val="24"/>
          <w:lang w:val="en-US" w:eastAsia="zh-CN"/>
        </w:rPr>
        <w:t xml:space="preserve">. The degree of masculine differentiation of obesities: a factor determining predisposition to diabetes, atherosclerosis, gout, and uric calculous disease.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1956</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4</w:t>
      </w:r>
      <w:r w:rsidRPr="001326F0">
        <w:rPr>
          <w:rFonts w:ascii="Book Antiqua" w:eastAsia="SimSun" w:hAnsi="Book Antiqua" w:cs="SimSun"/>
          <w:sz w:val="24"/>
          <w:szCs w:val="24"/>
          <w:lang w:val="en-US" w:eastAsia="zh-CN"/>
        </w:rPr>
        <w:t>: 20-34 [PMID: 13282851]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124 </w:t>
      </w:r>
      <w:r w:rsidRPr="001326F0">
        <w:rPr>
          <w:rFonts w:ascii="Book Antiqua" w:eastAsia="SimSun" w:hAnsi="Book Antiqua" w:cs="SimSun"/>
          <w:b/>
          <w:bCs/>
          <w:sz w:val="24"/>
          <w:szCs w:val="24"/>
          <w:lang w:val="en-US" w:eastAsia="zh-CN"/>
        </w:rPr>
        <w:t>Kissebah AH</w:t>
      </w:r>
      <w:r w:rsidRPr="001326F0">
        <w:rPr>
          <w:rFonts w:ascii="Book Antiqua" w:eastAsia="SimSun" w:hAnsi="Book Antiqua" w:cs="SimSun"/>
          <w:sz w:val="24"/>
          <w:szCs w:val="24"/>
          <w:lang w:val="en-US" w:eastAsia="zh-CN"/>
        </w:rPr>
        <w:t xml:space="preserve">, Peiris AN. Biology of regional body fat distribution: relationship to non-insulin-dependent diabetes mellitus. </w:t>
      </w:r>
      <w:r w:rsidRPr="001326F0">
        <w:rPr>
          <w:rFonts w:ascii="Book Antiqua" w:eastAsia="SimSun" w:hAnsi="Book Antiqua" w:cs="SimSun"/>
          <w:i/>
          <w:iCs/>
          <w:sz w:val="24"/>
          <w:szCs w:val="24"/>
          <w:lang w:val="en-US" w:eastAsia="zh-CN"/>
        </w:rPr>
        <w:t>Diabetes Metab Rev</w:t>
      </w:r>
      <w:r w:rsidRPr="001326F0">
        <w:rPr>
          <w:rFonts w:ascii="Book Antiqua" w:eastAsia="SimSun" w:hAnsi="Book Antiqua" w:cs="SimSun"/>
          <w:sz w:val="24"/>
          <w:szCs w:val="24"/>
          <w:lang w:val="en-US" w:eastAsia="zh-CN"/>
        </w:rPr>
        <w:t xml:space="preserve"> 1989; </w:t>
      </w:r>
      <w:r w:rsidRPr="001326F0">
        <w:rPr>
          <w:rFonts w:ascii="Book Antiqua" w:eastAsia="SimSun" w:hAnsi="Book Antiqua" w:cs="SimSun"/>
          <w:b/>
          <w:bCs/>
          <w:sz w:val="24"/>
          <w:szCs w:val="24"/>
          <w:lang w:val="en-US" w:eastAsia="zh-CN"/>
        </w:rPr>
        <w:t>5</w:t>
      </w:r>
      <w:r w:rsidRPr="001326F0">
        <w:rPr>
          <w:rFonts w:ascii="Book Antiqua" w:eastAsia="SimSun" w:hAnsi="Book Antiqua" w:cs="SimSun"/>
          <w:sz w:val="24"/>
          <w:szCs w:val="24"/>
          <w:lang w:val="en-US" w:eastAsia="zh-CN"/>
        </w:rPr>
        <w:t>: 83-109 [PMID: 2647436]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125 </w:t>
      </w:r>
      <w:r w:rsidRPr="001326F0">
        <w:rPr>
          <w:rFonts w:ascii="Book Antiqua" w:eastAsia="SimSun" w:hAnsi="Book Antiqua" w:cs="SimSun"/>
          <w:b/>
          <w:bCs/>
          <w:sz w:val="24"/>
          <w:szCs w:val="24"/>
          <w:lang w:val="en-US" w:eastAsia="zh-CN"/>
        </w:rPr>
        <w:t>Després JP</w:t>
      </w:r>
      <w:r w:rsidRPr="001326F0">
        <w:rPr>
          <w:rFonts w:ascii="Book Antiqua" w:eastAsia="SimSun" w:hAnsi="Book Antiqua" w:cs="SimSun"/>
          <w:sz w:val="24"/>
          <w:szCs w:val="24"/>
          <w:lang w:val="en-US" w:eastAsia="zh-CN"/>
        </w:rPr>
        <w:t xml:space="preserve">, Lemieux S, Lamarche B, Prud'homme D, Moorjani S, Brun LD, Gagné C, Lupien PJ. The insulin resistance-dyslipidemic syndrome: contribution of visceral obesity and therapeutic implications. </w:t>
      </w:r>
      <w:r w:rsidRPr="001326F0">
        <w:rPr>
          <w:rFonts w:ascii="Book Antiqua" w:eastAsia="SimSun" w:hAnsi="Book Antiqua" w:cs="SimSun"/>
          <w:i/>
          <w:iCs/>
          <w:sz w:val="24"/>
          <w:szCs w:val="24"/>
          <w:lang w:val="en-US" w:eastAsia="zh-CN"/>
        </w:rPr>
        <w:t>Int J Obes Relat Metab Disord</w:t>
      </w:r>
      <w:r w:rsidRPr="001326F0">
        <w:rPr>
          <w:rFonts w:ascii="Book Antiqua" w:eastAsia="SimSun" w:hAnsi="Book Antiqua" w:cs="SimSun"/>
          <w:sz w:val="24"/>
          <w:szCs w:val="24"/>
          <w:lang w:val="en-US" w:eastAsia="zh-CN"/>
        </w:rPr>
        <w:t xml:space="preserve"> 1995; </w:t>
      </w:r>
      <w:r w:rsidRPr="001326F0">
        <w:rPr>
          <w:rFonts w:ascii="Book Antiqua" w:eastAsia="SimSun" w:hAnsi="Book Antiqua" w:cs="SimSun"/>
          <w:b/>
          <w:bCs/>
          <w:sz w:val="24"/>
          <w:szCs w:val="24"/>
          <w:lang w:val="en-US" w:eastAsia="zh-CN"/>
        </w:rPr>
        <w:t>19 Suppl 1</w:t>
      </w:r>
      <w:r w:rsidRPr="001326F0">
        <w:rPr>
          <w:rFonts w:ascii="Book Antiqua" w:eastAsia="SimSun" w:hAnsi="Book Antiqua" w:cs="SimSun"/>
          <w:sz w:val="24"/>
          <w:szCs w:val="24"/>
          <w:lang w:val="en-US" w:eastAsia="zh-CN"/>
        </w:rPr>
        <w:t>: S76-S86 [PMID: 7550542]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126 </w:t>
      </w:r>
      <w:r w:rsidRPr="001326F0">
        <w:rPr>
          <w:rFonts w:ascii="Book Antiqua" w:eastAsia="SimSun" w:hAnsi="Book Antiqua" w:cs="SimSun"/>
          <w:b/>
          <w:bCs/>
          <w:sz w:val="24"/>
          <w:szCs w:val="24"/>
          <w:lang w:val="en-US" w:eastAsia="zh-CN"/>
        </w:rPr>
        <w:t>Banerji MA</w:t>
      </w:r>
      <w:r w:rsidRPr="001326F0">
        <w:rPr>
          <w:rFonts w:ascii="Book Antiqua" w:eastAsia="SimSun" w:hAnsi="Book Antiqua" w:cs="SimSun"/>
          <w:sz w:val="24"/>
          <w:szCs w:val="24"/>
          <w:lang w:val="en-US" w:eastAsia="zh-CN"/>
        </w:rPr>
        <w:t xml:space="preserve">, Chaiken RL, Gordon D, Kral JG, Lebovitz HE. Does intra-abdominal adipose tissue in black men determine whether NIDDM is insulin-resistant or insulin-sensitive?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1995; </w:t>
      </w:r>
      <w:r w:rsidRPr="001326F0">
        <w:rPr>
          <w:rFonts w:ascii="Book Antiqua" w:eastAsia="SimSun" w:hAnsi="Book Antiqua" w:cs="SimSun"/>
          <w:b/>
          <w:bCs/>
          <w:sz w:val="24"/>
          <w:szCs w:val="24"/>
          <w:lang w:val="en-US" w:eastAsia="zh-CN"/>
        </w:rPr>
        <w:t>44</w:t>
      </w:r>
      <w:r w:rsidRPr="001326F0">
        <w:rPr>
          <w:rFonts w:ascii="Book Antiqua" w:eastAsia="SimSun" w:hAnsi="Book Antiqua" w:cs="SimSun"/>
          <w:sz w:val="24"/>
          <w:szCs w:val="24"/>
          <w:lang w:val="en-US" w:eastAsia="zh-CN"/>
        </w:rPr>
        <w:t>: 141-146 [PMID: 7859931]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127 </w:t>
      </w:r>
      <w:r w:rsidRPr="001326F0">
        <w:rPr>
          <w:rFonts w:ascii="Book Antiqua" w:eastAsia="SimSun" w:hAnsi="Book Antiqua" w:cs="SimSun"/>
          <w:b/>
          <w:bCs/>
          <w:sz w:val="24"/>
          <w:szCs w:val="24"/>
          <w:lang w:val="en-US" w:eastAsia="zh-CN"/>
        </w:rPr>
        <w:t>Albu JB</w:t>
      </w:r>
      <w:r w:rsidRPr="001326F0">
        <w:rPr>
          <w:rFonts w:ascii="Book Antiqua" w:eastAsia="SimSun" w:hAnsi="Book Antiqua" w:cs="SimSun"/>
          <w:sz w:val="24"/>
          <w:szCs w:val="24"/>
          <w:lang w:val="en-US" w:eastAsia="zh-CN"/>
        </w:rPr>
        <w:t xml:space="preserve">, Kovera AJ, Johnson JA. Fat distribution and health in obesity. </w:t>
      </w:r>
      <w:r w:rsidRPr="001326F0">
        <w:rPr>
          <w:rFonts w:ascii="Book Antiqua" w:eastAsia="SimSun" w:hAnsi="Book Antiqua" w:cs="SimSun"/>
          <w:i/>
          <w:iCs/>
          <w:sz w:val="24"/>
          <w:szCs w:val="24"/>
          <w:lang w:val="en-US" w:eastAsia="zh-CN"/>
        </w:rPr>
        <w:t>Ann N Y Acad Sci</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904</w:t>
      </w:r>
      <w:r w:rsidRPr="001326F0">
        <w:rPr>
          <w:rFonts w:ascii="Book Antiqua" w:eastAsia="SimSun" w:hAnsi="Book Antiqua" w:cs="SimSun"/>
          <w:sz w:val="24"/>
          <w:szCs w:val="24"/>
          <w:lang w:val="en-US" w:eastAsia="zh-CN"/>
        </w:rPr>
        <w:t>: 491-501 [PMID: 10865794]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128 </w:t>
      </w:r>
      <w:r w:rsidRPr="001326F0">
        <w:rPr>
          <w:rFonts w:ascii="Book Antiqua" w:eastAsia="SimSun" w:hAnsi="Book Antiqua" w:cs="SimSun"/>
          <w:b/>
          <w:bCs/>
          <w:sz w:val="24"/>
          <w:szCs w:val="24"/>
          <w:lang w:val="en-US" w:eastAsia="zh-CN"/>
        </w:rPr>
        <w:t>Grundy SM</w:t>
      </w:r>
      <w:r w:rsidRPr="001326F0">
        <w:rPr>
          <w:rFonts w:ascii="Book Antiqua" w:eastAsia="SimSun" w:hAnsi="Book Antiqua" w:cs="SimSun"/>
          <w:sz w:val="24"/>
          <w:szCs w:val="24"/>
          <w:lang w:val="en-US" w:eastAsia="zh-CN"/>
        </w:rPr>
        <w:t xml:space="preserve">, Adams-Huet B, Vega GL. Variable contributions of fat content and distribution to metabolic syndrome risk factors. </w:t>
      </w:r>
      <w:r w:rsidRPr="001326F0">
        <w:rPr>
          <w:rFonts w:ascii="Book Antiqua" w:eastAsia="SimSun" w:hAnsi="Book Antiqua" w:cs="SimSun"/>
          <w:i/>
          <w:iCs/>
          <w:sz w:val="24"/>
          <w:szCs w:val="24"/>
          <w:lang w:val="en-US" w:eastAsia="zh-CN"/>
        </w:rPr>
        <w:t>Metab Syndr Relat Disord</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6</w:t>
      </w:r>
      <w:r w:rsidRPr="001326F0">
        <w:rPr>
          <w:rFonts w:ascii="Book Antiqua" w:eastAsia="SimSun" w:hAnsi="Book Antiqua" w:cs="SimSun"/>
          <w:sz w:val="24"/>
          <w:szCs w:val="24"/>
          <w:lang w:val="en-US" w:eastAsia="zh-CN"/>
        </w:rPr>
        <w:t>: 281-288 [PMID: 18759660 DOI: 10.1089/met.2008.0026]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129 </w:t>
      </w:r>
      <w:r w:rsidRPr="001326F0">
        <w:rPr>
          <w:rFonts w:ascii="Book Antiqua" w:eastAsia="SimSun" w:hAnsi="Book Antiqua" w:cs="SimSun"/>
          <w:b/>
          <w:bCs/>
          <w:sz w:val="24"/>
          <w:szCs w:val="24"/>
          <w:lang w:val="en-US" w:eastAsia="zh-CN"/>
        </w:rPr>
        <w:t>Unger RH</w:t>
      </w:r>
      <w:r w:rsidRPr="001326F0">
        <w:rPr>
          <w:rFonts w:ascii="Book Antiqua" w:eastAsia="SimSun" w:hAnsi="Book Antiqua" w:cs="SimSun"/>
          <w:sz w:val="24"/>
          <w:szCs w:val="24"/>
          <w:lang w:val="en-US" w:eastAsia="zh-CN"/>
        </w:rPr>
        <w:t xml:space="preserve">, Scherer PE. Gluttony, sloth and the metabolic syndrome: a roadmap to lipotoxicity. </w:t>
      </w:r>
      <w:r w:rsidRPr="001326F0">
        <w:rPr>
          <w:rFonts w:ascii="Book Antiqua" w:eastAsia="SimSun" w:hAnsi="Book Antiqua" w:cs="SimSun"/>
          <w:i/>
          <w:iCs/>
          <w:sz w:val="24"/>
          <w:szCs w:val="24"/>
          <w:lang w:val="en-US" w:eastAsia="zh-CN"/>
        </w:rPr>
        <w:t>Trends Endocrinol Metab</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21</w:t>
      </w:r>
      <w:r w:rsidRPr="001326F0">
        <w:rPr>
          <w:rFonts w:ascii="Book Antiqua" w:eastAsia="SimSun" w:hAnsi="Book Antiqua" w:cs="SimSun"/>
          <w:sz w:val="24"/>
          <w:szCs w:val="24"/>
          <w:lang w:val="en-US" w:eastAsia="zh-CN"/>
        </w:rPr>
        <w:t>: 345-352 [PMID: 20223680 DOI: 10.1016/j.tem.2010.01.009]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130 </w:t>
      </w:r>
      <w:r w:rsidRPr="001326F0">
        <w:rPr>
          <w:rFonts w:ascii="Book Antiqua" w:eastAsia="SimSun" w:hAnsi="Book Antiqua" w:cs="SimSun"/>
          <w:b/>
          <w:bCs/>
          <w:sz w:val="24"/>
          <w:szCs w:val="24"/>
          <w:lang w:val="en-US" w:eastAsia="zh-CN"/>
        </w:rPr>
        <w:t>Katzmarzyk PT</w:t>
      </w:r>
      <w:r w:rsidRPr="001326F0">
        <w:rPr>
          <w:rFonts w:ascii="Book Antiqua" w:eastAsia="SimSun" w:hAnsi="Book Antiqua" w:cs="SimSun"/>
          <w:sz w:val="24"/>
          <w:szCs w:val="24"/>
          <w:lang w:val="en-US" w:eastAsia="zh-CN"/>
        </w:rPr>
        <w:t xml:space="preserve">, Bray GA, Greenway FL, Johnson WD, Newton RL, Ravussin E, Ryan DH, Bouchard C. Ethnic-specific BMI and waist circumference thresholds.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19</w:t>
      </w:r>
      <w:r w:rsidRPr="001326F0">
        <w:rPr>
          <w:rFonts w:ascii="Book Antiqua" w:eastAsia="SimSun" w:hAnsi="Book Antiqua" w:cs="SimSun"/>
          <w:sz w:val="24"/>
          <w:szCs w:val="24"/>
          <w:lang w:val="en-US" w:eastAsia="zh-CN"/>
        </w:rPr>
        <w:t>: 1272-1278 [PMID: 21212770 DOI: 10.1038/oby.2010.319]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131 </w:t>
      </w:r>
      <w:r w:rsidRPr="001326F0">
        <w:rPr>
          <w:rFonts w:ascii="Book Antiqua" w:eastAsia="SimSun" w:hAnsi="Book Antiqua" w:cs="SimSun"/>
          <w:b/>
          <w:bCs/>
          <w:sz w:val="24"/>
          <w:szCs w:val="24"/>
          <w:lang w:val="en-US" w:eastAsia="zh-CN"/>
        </w:rPr>
        <w:t>Lear SA</w:t>
      </w:r>
      <w:r w:rsidRPr="001326F0">
        <w:rPr>
          <w:rFonts w:ascii="Book Antiqua" w:eastAsia="SimSun" w:hAnsi="Book Antiqua" w:cs="SimSun"/>
          <w:sz w:val="24"/>
          <w:szCs w:val="24"/>
          <w:lang w:val="en-US" w:eastAsia="zh-CN"/>
        </w:rPr>
        <w:t xml:space="preserve">, Humphries KH, Kohli S, Chockalingam A, Frohlich JJ, Birmingham CL. Visceral adipose tissue accumulation differs according to ethnic background: results of the Multicultural Community Health Assessment Trial (M-CHAT).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86</w:t>
      </w:r>
      <w:r w:rsidRPr="001326F0">
        <w:rPr>
          <w:rFonts w:ascii="Book Antiqua" w:eastAsia="SimSun" w:hAnsi="Book Antiqua" w:cs="SimSun"/>
          <w:sz w:val="24"/>
          <w:szCs w:val="24"/>
          <w:lang w:val="en-US" w:eastAsia="zh-CN"/>
        </w:rPr>
        <w:t>: 353-359 [PMID: 17684205]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132 </w:t>
      </w:r>
      <w:r w:rsidRPr="001326F0">
        <w:rPr>
          <w:rFonts w:ascii="Book Antiqua" w:eastAsia="SimSun" w:hAnsi="Book Antiqua" w:cs="SimSun"/>
          <w:b/>
          <w:bCs/>
          <w:sz w:val="24"/>
          <w:szCs w:val="24"/>
          <w:lang w:val="en-US" w:eastAsia="zh-CN"/>
        </w:rPr>
        <w:t>Deurenberg P</w:t>
      </w:r>
      <w:r w:rsidRPr="001326F0">
        <w:rPr>
          <w:rFonts w:ascii="Book Antiqua" w:eastAsia="SimSun" w:hAnsi="Book Antiqua" w:cs="SimSun"/>
          <w:sz w:val="24"/>
          <w:szCs w:val="24"/>
          <w:lang w:val="en-US" w:eastAsia="zh-CN"/>
        </w:rPr>
        <w:t xml:space="preserve">, Yap M, van Staveren WA. Body mass index and percent body fat: a meta analysis among different ethnic groups. </w:t>
      </w:r>
      <w:r w:rsidRPr="001326F0">
        <w:rPr>
          <w:rFonts w:ascii="Book Antiqua" w:eastAsia="SimSun" w:hAnsi="Book Antiqua" w:cs="SimSun"/>
          <w:i/>
          <w:iCs/>
          <w:sz w:val="24"/>
          <w:szCs w:val="24"/>
          <w:lang w:val="en-US" w:eastAsia="zh-CN"/>
        </w:rPr>
        <w:t>Int J Obes Relat Metab Disord</w:t>
      </w:r>
      <w:r w:rsidRPr="001326F0">
        <w:rPr>
          <w:rFonts w:ascii="Book Antiqua" w:eastAsia="SimSun" w:hAnsi="Book Antiqua" w:cs="SimSun"/>
          <w:sz w:val="24"/>
          <w:szCs w:val="24"/>
          <w:lang w:val="en-US" w:eastAsia="zh-CN"/>
        </w:rPr>
        <w:t xml:space="preserve"> 1998; </w:t>
      </w:r>
      <w:r w:rsidRPr="001326F0">
        <w:rPr>
          <w:rFonts w:ascii="Book Antiqua" w:eastAsia="SimSun" w:hAnsi="Book Antiqua" w:cs="SimSun"/>
          <w:b/>
          <w:bCs/>
          <w:sz w:val="24"/>
          <w:szCs w:val="24"/>
          <w:lang w:val="en-US" w:eastAsia="zh-CN"/>
        </w:rPr>
        <w:t>22</w:t>
      </w:r>
      <w:r w:rsidRPr="001326F0">
        <w:rPr>
          <w:rFonts w:ascii="Book Antiqua" w:eastAsia="SimSun" w:hAnsi="Book Antiqua" w:cs="SimSun"/>
          <w:sz w:val="24"/>
          <w:szCs w:val="24"/>
          <w:lang w:val="en-US" w:eastAsia="zh-CN"/>
        </w:rPr>
        <w:t>: 1164-1171 [PMID: 9877251]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133 </w:t>
      </w:r>
      <w:r w:rsidRPr="001326F0">
        <w:rPr>
          <w:rFonts w:ascii="Book Antiqua" w:eastAsia="SimSun" w:hAnsi="Book Antiqua" w:cs="SimSun"/>
          <w:b/>
          <w:bCs/>
          <w:sz w:val="24"/>
          <w:szCs w:val="24"/>
          <w:lang w:val="en-US" w:eastAsia="zh-CN"/>
        </w:rPr>
        <w:t>McKeigue PM</w:t>
      </w:r>
      <w:r w:rsidRPr="001326F0">
        <w:rPr>
          <w:rFonts w:ascii="Book Antiqua" w:eastAsia="SimSun" w:hAnsi="Book Antiqua" w:cs="SimSun"/>
          <w:sz w:val="24"/>
          <w:szCs w:val="24"/>
          <w:lang w:val="en-US" w:eastAsia="zh-CN"/>
        </w:rPr>
        <w:t xml:space="preserve">, Shah B, Marmot MG. Relation of central obesity and insulin resistance with high diabetes prevalence and cardiovascular risk in South Asians. </w:t>
      </w:r>
      <w:r w:rsidRPr="001326F0">
        <w:rPr>
          <w:rFonts w:ascii="Book Antiqua" w:eastAsia="SimSun" w:hAnsi="Book Antiqua" w:cs="SimSun"/>
          <w:i/>
          <w:iCs/>
          <w:sz w:val="24"/>
          <w:szCs w:val="24"/>
          <w:lang w:val="en-US" w:eastAsia="zh-CN"/>
        </w:rPr>
        <w:t>Lancet</w:t>
      </w:r>
      <w:r w:rsidRPr="001326F0">
        <w:rPr>
          <w:rFonts w:ascii="Book Antiqua" w:eastAsia="SimSun" w:hAnsi="Book Antiqua" w:cs="SimSun"/>
          <w:sz w:val="24"/>
          <w:szCs w:val="24"/>
          <w:lang w:val="en-US" w:eastAsia="zh-CN"/>
        </w:rPr>
        <w:t xml:space="preserve"> 1991; </w:t>
      </w:r>
      <w:r w:rsidRPr="001326F0">
        <w:rPr>
          <w:rFonts w:ascii="Book Antiqua" w:eastAsia="SimSun" w:hAnsi="Book Antiqua" w:cs="SimSun"/>
          <w:b/>
          <w:bCs/>
          <w:sz w:val="24"/>
          <w:szCs w:val="24"/>
          <w:lang w:val="en-US" w:eastAsia="zh-CN"/>
        </w:rPr>
        <w:t>337</w:t>
      </w:r>
      <w:r w:rsidRPr="001326F0">
        <w:rPr>
          <w:rFonts w:ascii="Book Antiqua" w:eastAsia="SimSun" w:hAnsi="Book Antiqua" w:cs="SimSun"/>
          <w:sz w:val="24"/>
          <w:szCs w:val="24"/>
          <w:lang w:val="en-US" w:eastAsia="zh-CN"/>
        </w:rPr>
        <w:t>: 382-386 [PMID: 1671422]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134 </w:t>
      </w:r>
      <w:r w:rsidRPr="001326F0">
        <w:rPr>
          <w:rFonts w:ascii="Book Antiqua" w:eastAsia="SimSun" w:hAnsi="Book Antiqua" w:cs="SimSun"/>
          <w:b/>
          <w:bCs/>
          <w:sz w:val="24"/>
          <w:szCs w:val="24"/>
          <w:lang w:val="en-US" w:eastAsia="zh-CN"/>
        </w:rPr>
        <w:t>Deurenberg P</w:t>
      </w:r>
      <w:r w:rsidRPr="001326F0">
        <w:rPr>
          <w:rFonts w:ascii="Book Antiqua" w:eastAsia="SimSun" w:hAnsi="Book Antiqua" w:cs="SimSun"/>
          <w:sz w:val="24"/>
          <w:szCs w:val="24"/>
          <w:lang w:val="en-US" w:eastAsia="zh-CN"/>
        </w:rPr>
        <w:t xml:space="preserve">, Deurenberg-Yap M, Guricci S. Asians are different from Caucasians and from each other in their body mass index/body fat per cent relationship. </w:t>
      </w:r>
      <w:r w:rsidRPr="001326F0">
        <w:rPr>
          <w:rFonts w:ascii="Book Antiqua" w:eastAsia="SimSun" w:hAnsi="Book Antiqua" w:cs="SimSun"/>
          <w:i/>
          <w:iCs/>
          <w:sz w:val="24"/>
          <w:szCs w:val="24"/>
          <w:lang w:val="en-US" w:eastAsia="zh-CN"/>
        </w:rPr>
        <w:t>Obes Rev</w:t>
      </w:r>
      <w:r w:rsidRPr="001326F0">
        <w:rPr>
          <w:rFonts w:ascii="Book Antiqua" w:eastAsia="SimSun" w:hAnsi="Book Antiqua" w:cs="SimSun"/>
          <w:sz w:val="24"/>
          <w:szCs w:val="24"/>
          <w:lang w:val="en-US" w:eastAsia="zh-CN"/>
        </w:rPr>
        <w:t xml:space="preserve"> 2002; </w:t>
      </w:r>
      <w:r w:rsidRPr="001326F0">
        <w:rPr>
          <w:rFonts w:ascii="Book Antiqua" w:eastAsia="SimSun" w:hAnsi="Book Antiqua" w:cs="SimSun"/>
          <w:b/>
          <w:bCs/>
          <w:sz w:val="24"/>
          <w:szCs w:val="24"/>
          <w:lang w:val="en-US" w:eastAsia="zh-CN"/>
        </w:rPr>
        <w:t>3</w:t>
      </w:r>
      <w:r w:rsidRPr="001326F0">
        <w:rPr>
          <w:rFonts w:ascii="Book Antiqua" w:eastAsia="SimSun" w:hAnsi="Book Antiqua" w:cs="SimSun"/>
          <w:sz w:val="24"/>
          <w:szCs w:val="24"/>
          <w:lang w:val="en-US" w:eastAsia="zh-CN"/>
        </w:rPr>
        <w:t>: 141-146 [PMID: 12164465]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135 </w:t>
      </w:r>
      <w:r w:rsidRPr="001326F0">
        <w:rPr>
          <w:rFonts w:ascii="Book Antiqua" w:eastAsia="SimSun" w:hAnsi="Book Antiqua" w:cs="SimSun"/>
          <w:b/>
          <w:bCs/>
          <w:sz w:val="24"/>
          <w:szCs w:val="24"/>
          <w:lang w:val="en-US" w:eastAsia="zh-CN"/>
        </w:rPr>
        <w:t>Després JP</w:t>
      </w:r>
      <w:r w:rsidRPr="001326F0">
        <w:rPr>
          <w:rFonts w:ascii="Book Antiqua" w:eastAsia="SimSun" w:hAnsi="Book Antiqua" w:cs="SimSun"/>
          <w:sz w:val="24"/>
          <w:szCs w:val="24"/>
          <w:lang w:val="en-US" w:eastAsia="zh-CN"/>
        </w:rPr>
        <w:t xml:space="preserve">, Couillard C, Gagnon J, Bergeron J, Leon AS, Rao DC, Skinner JS, Wilmore JH, Bouchard C. Race, visceral adipose tissue, plasma lipids, and lipoprotein lipase activity in men and women: the Health, Risk Factors, Exercise Training, and Genetics (HERITAGE) family study. </w:t>
      </w:r>
      <w:r w:rsidRPr="001326F0">
        <w:rPr>
          <w:rFonts w:ascii="Book Antiqua" w:eastAsia="SimSun" w:hAnsi="Book Antiqua" w:cs="SimSun"/>
          <w:i/>
          <w:iCs/>
          <w:sz w:val="24"/>
          <w:szCs w:val="24"/>
          <w:lang w:val="en-US" w:eastAsia="zh-CN"/>
        </w:rPr>
        <w:t>Arterioscler Thromb Vasc Biol</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20</w:t>
      </w:r>
      <w:r w:rsidRPr="001326F0">
        <w:rPr>
          <w:rFonts w:ascii="Book Antiqua" w:eastAsia="SimSun" w:hAnsi="Book Antiqua" w:cs="SimSun"/>
          <w:sz w:val="24"/>
          <w:szCs w:val="24"/>
          <w:lang w:val="en-US" w:eastAsia="zh-CN"/>
        </w:rPr>
        <w:t>: 1932-1938 [PMID: 10938014]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136 </w:t>
      </w:r>
      <w:r w:rsidRPr="001326F0">
        <w:rPr>
          <w:rFonts w:ascii="Book Antiqua" w:eastAsia="SimSun" w:hAnsi="Book Antiqua" w:cs="SimSun"/>
          <w:b/>
          <w:bCs/>
          <w:sz w:val="24"/>
          <w:szCs w:val="24"/>
          <w:lang w:val="en-US" w:eastAsia="zh-CN"/>
        </w:rPr>
        <w:t>Katzmarzyk PT</w:t>
      </w:r>
      <w:r w:rsidRPr="001326F0">
        <w:rPr>
          <w:rFonts w:ascii="Book Antiqua" w:eastAsia="SimSun" w:hAnsi="Book Antiqua" w:cs="SimSun"/>
          <w:sz w:val="24"/>
          <w:szCs w:val="24"/>
          <w:lang w:val="en-US" w:eastAsia="zh-CN"/>
        </w:rPr>
        <w:t xml:space="preserve">, Bray GA, Greenway FL, Johnson WD, Newton RL, Ravussin E, Ryan DH, Smith SR, Bouchard C. Racial differences in abdominal depot-specific adiposity in white and African American adults.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91</w:t>
      </w:r>
      <w:r w:rsidRPr="001326F0">
        <w:rPr>
          <w:rFonts w:ascii="Book Antiqua" w:eastAsia="SimSun" w:hAnsi="Book Antiqua" w:cs="SimSun"/>
          <w:sz w:val="24"/>
          <w:szCs w:val="24"/>
          <w:lang w:val="en-US" w:eastAsia="zh-CN"/>
        </w:rPr>
        <w:t>: 7-15 [PMID: 19828714 DOI: 10.3945/ajcn.2009.28136]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137 </w:t>
      </w:r>
      <w:r w:rsidRPr="001326F0">
        <w:rPr>
          <w:rFonts w:ascii="Book Antiqua" w:eastAsia="SimSun" w:hAnsi="Book Antiqua" w:cs="SimSun"/>
          <w:b/>
          <w:bCs/>
          <w:sz w:val="24"/>
          <w:szCs w:val="24"/>
          <w:lang w:val="en-US" w:eastAsia="zh-CN"/>
        </w:rPr>
        <w:t>Lovejoy JC</w:t>
      </w:r>
      <w:r w:rsidRPr="001326F0">
        <w:rPr>
          <w:rFonts w:ascii="Book Antiqua" w:eastAsia="SimSun" w:hAnsi="Book Antiqua" w:cs="SimSun"/>
          <w:sz w:val="24"/>
          <w:szCs w:val="24"/>
          <w:lang w:val="en-US" w:eastAsia="zh-CN"/>
        </w:rPr>
        <w:t xml:space="preserve">, de la Bretonne JA, Klemperer M, Tulley R. Abdominal fat distribution and metabolic risk factors: effects of race. </w:t>
      </w:r>
      <w:r w:rsidRPr="001326F0">
        <w:rPr>
          <w:rFonts w:ascii="Book Antiqua" w:eastAsia="SimSun" w:hAnsi="Book Antiqua" w:cs="SimSun"/>
          <w:i/>
          <w:iCs/>
          <w:sz w:val="24"/>
          <w:szCs w:val="24"/>
          <w:lang w:val="en-US" w:eastAsia="zh-CN"/>
        </w:rPr>
        <w:t>Metabolism</w:t>
      </w:r>
      <w:r w:rsidRPr="001326F0">
        <w:rPr>
          <w:rFonts w:ascii="Book Antiqua" w:eastAsia="SimSun" w:hAnsi="Book Antiqua" w:cs="SimSun"/>
          <w:sz w:val="24"/>
          <w:szCs w:val="24"/>
          <w:lang w:val="en-US" w:eastAsia="zh-CN"/>
        </w:rPr>
        <w:t xml:space="preserve"> 1996; </w:t>
      </w:r>
      <w:r w:rsidRPr="001326F0">
        <w:rPr>
          <w:rFonts w:ascii="Book Antiqua" w:eastAsia="SimSun" w:hAnsi="Book Antiqua" w:cs="SimSun"/>
          <w:b/>
          <w:bCs/>
          <w:sz w:val="24"/>
          <w:szCs w:val="24"/>
          <w:lang w:val="en-US" w:eastAsia="zh-CN"/>
        </w:rPr>
        <w:t>45</w:t>
      </w:r>
      <w:r w:rsidRPr="001326F0">
        <w:rPr>
          <w:rFonts w:ascii="Book Antiqua" w:eastAsia="SimSun" w:hAnsi="Book Antiqua" w:cs="SimSun"/>
          <w:sz w:val="24"/>
          <w:szCs w:val="24"/>
          <w:lang w:val="en-US" w:eastAsia="zh-CN"/>
        </w:rPr>
        <w:t>: 1119-1124 [PMID: 8781299]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138 </w:t>
      </w:r>
      <w:r w:rsidRPr="001326F0">
        <w:rPr>
          <w:rFonts w:ascii="Book Antiqua" w:eastAsia="SimSun" w:hAnsi="Book Antiqua" w:cs="SimSun"/>
          <w:b/>
          <w:bCs/>
          <w:sz w:val="24"/>
          <w:szCs w:val="24"/>
          <w:lang w:val="en-US" w:eastAsia="zh-CN"/>
        </w:rPr>
        <w:t>Kadowaki T</w:t>
      </w:r>
      <w:r w:rsidRPr="001326F0">
        <w:rPr>
          <w:rFonts w:ascii="Book Antiqua" w:eastAsia="SimSun" w:hAnsi="Book Antiqua" w:cs="SimSun"/>
          <w:sz w:val="24"/>
          <w:szCs w:val="24"/>
          <w:lang w:val="en-US" w:eastAsia="zh-CN"/>
        </w:rPr>
        <w:t xml:space="preserve">, Sekikawa A, Murata K, Maegawa H, Takamiya T, Okamura T, El-Saed A, Miyamatsu N, Edmundowicz D, Kita Y, Sutton-Tyrrell K, Kuller LH, Ueshima H. Japanese men have larger areas of visceral adipose tissue than Caucasian men in the same levels of waist circumference in a population-based study. </w:t>
      </w:r>
      <w:r w:rsidRPr="001326F0">
        <w:rPr>
          <w:rFonts w:ascii="Book Antiqua" w:eastAsia="SimSun" w:hAnsi="Book Antiqua" w:cs="SimSun"/>
          <w:i/>
          <w:iCs/>
          <w:sz w:val="24"/>
          <w:szCs w:val="24"/>
          <w:lang w:val="en-US" w:eastAsia="zh-CN"/>
        </w:rPr>
        <w:t>Int J Obes (Lond)</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30</w:t>
      </w:r>
      <w:r w:rsidRPr="001326F0">
        <w:rPr>
          <w:rFonts w:ascii="Book Antiqua" w:eastAsia="SimSun" w:hAnsi="Book Antiqua" w:cs="SimSun"/>
          <w:sz w:val="24"/>
          <w:szCs w:val="24"/>
          <w:lang w:val="en-US" w:eastAsia="zh-CN"/>
        </w:rPr>
        <w:t>: 1163-1165 [PMID: 16446744]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139 </w:t>
      </w:r>
      <w:r w:rsidRPr="001326F0">
        <w:rPr>
          <w:rFonts w:ascii="Book Antiqua" w:eastAsia="SimSun" w:hAnsi="Book Antiqua" w:cs="SimSun"/>
          <w:b/>
          <w:bCs/>
          <w:sz w:val="24"/>
          <w:szCs w:val="24"/>
          <w:lang w:val="en-US" w:eastAsia="zh-CN"/>
        </w:rPr>
        <w:t>Misra A</w:t>
      </w:r>
      <w:r w:rsidRPr="001326F0">
        <w:rPr>
          <w:rFonts w:ascii="Book Antiqua" w:eastAsia="SimSun" w:hAnsi="Book Antiqua" w:cs="SimSun"/>
          <w:sz w:val="24"/>
          <w:szCs w:val="24"/>
          <w:lang w:val="en-US" w:eastAsia="zh-CN"/>
        </w:rPr>
        <w:t xml:space="preserve">, Khurana L. The metabolic syndrome in South Asians: epidemiology, determinants, and prevention. </w:t>
      </w:r>
      <w:r w:rsidRPr="001326F0">
        <w:rPr>
          <w:rFonts w:ascii="Book Antiqua" w:eastAsia="SimSun" w:hAnsi="Book Antiqua" w:cs="SimSun"/>
          <w:i/>
          <w:iCs/>
          <w:sz w:val="24"/>
          <w:szCs w:val="24"/>
          <w:lang w:val="en-US" w:eastAsia="zh-CN"/>
        </w:rPr>
        <w:t>Metab Syndr Relat Disord</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7</w:t>
      </w:r>
      <w:r w:rsidRPr="001326F0">
        <w:rPr>
          <w:rFonts w:ascii="Book Antiqua" w:eastAsia="SimSun" w:hAnsi="Book Antiqua" w:cs="SimSun"/>
          <w:sz w:val="24"/>
          <w:szCs w:val="24"/>
          <w:lang w:val="en-US" w:eastAsia="zh-CN"/>
        </w:rPr>
        <w:t>: 497-514 [PMID: 19900153 DOI: 10.1089/met.2009.002]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140 </w:t>
      </w:r>
      <w:r w:rsidRPr="001326F0">
        <w:rPr>
          <w:rFonts w:ascii="Book Antiqua" w:eastAsia="SimSun" w:hAnsi="Book Antiqua" w:cs="SimSun"/>
          <w:b/>
          <w:bCs/>
          <w:sz w:val="24"/>
          <w:szCs w:val="24"/>
          <w:lang w:val="en-US" w:eastAsia="zh-CN"/>
        </w:rPr>
        <w:t>Sniderman AD</w:t>
      </w:r>
      <w:r w:rsidRPr="001326F0">
        <w:rPr>
          <w:rFonts w:ascii="Book Antiqua" w:eastAsia="SimSun" w:hAnsi="Book Antiqua" w:cs="SimSun"/>
          <w:sz w:val="24"/>
          <w:szCs w:val="24"/>
          <w:lang w:val="en-US" w:eastAsia="zh-CN"/>
        </w:rPr>
        <w:t xml:space="preserve">, Bhopal R, Prabhakaran D, Sarrafzadegan N, Tchernof A. Why might South Asians be so susceptible to central obesity and its atherogenic consequences? The adipose tissue overflow hypothesis. </w:t>
      </w:r>
      <w:r w:rsidRPr="001326F0">
        <w:rPr>
          <w:rFonts w:ascii="Book Antiqua" w:eastAsia="SimSun" w:hAnsi="Book Antiqua" w:cs="SimSun"/>
          <w:i/>
          <w:iCs/>
          <w:sz w:val="24"/>
          <w:szCs w:val="24"/>
          <w:lang w:val="en-US" w:eastAsia="zh-CN"/>
        </w:rPr>
        <w:t>Int J Epidemiol</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36</w:t>
      </w:r>
      <w:r w:rsidRPr="001326F0">
        <w:rPr>
          <w:rFonts w:ascii="Book Antiqua" w:eastAsia="SimSun" w:hAnsi="Book Antiqua" w:cs="SimSun"/>
          <w:sz w:val="24"/>
          <w:szCs w:val="24"/>
          <w:lang w:val="en-US" w:eastAsia="zh-CN"/>
        </w:rPr>
        <w:t>: 220-225 [PMID: 17510078]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141 </w:t>
      </w:r>
      <w:r w:rsidRPr="001326F0">
        <w:rPr>
          <w:rFonts w:ascii="Book Antiqua" w:eastAsia="SimSun" w:hAnsi="Book Antiqua" w:cs="SimSun"/>
          <w:b/>
          <w:bCs/>
          <w:sz w:val="24"/>
          <w:szCs w:val="24"/>
          <w:lang w:val="en-US" w:eastAsia="zh-CN"/>
        </w:rPr>
        <w:t>De Lorenzo A</w:t>
      </w:r>
      <w:r w:rsidRPr="001326F0">
        <w:rPr>
          <w:rFonts w:ascii="Book Antiqua" w:eastAsia="SimSun" w:hAnsi="Book Antiqua" w:cs="SimSun"/>
          <w:sz w:val="24"/>
          <w:szCs w:val="24"/>
          <w:lang w:val="en-US" w:eastAsia="zh-CN"/>
        </w:rPr>
        <w:t xml:space="preserve">, Martinoli R, Vaia F, Di Renzo L. Normal weight obese (NWO) women: an evaluation of a candidate new syndrome. </w:t>
      </w:r>
      <w:r w:rsidRPr="001326F0">
        <w:rPr>
          <w:rFonts w:ascii="Book Antiqua" w:eastAsia="SimSun" w:hAnsi="Book Antiqua" w:cs="SimSun"/>
          <w:i/>
          <w:iCs/>
          <w:sz w:val="24"/>
          <w:szCs w:val="24"/>
          <w:lang w:val="en-US" w:eastAsia="zh-CN"/>
        </w:rPr>
        <w:t>Nutr Metab Cardiovasc Dis</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16</w:t>
      </w:r>
      <w:r w:rsidRPr="001326F0">
        <w:rPr>
          <w:rFonts w:ascii="Book Antiqua" w:eastAsia="SimSun" w:hAnsi="Book Antiqua" w:cs="SimSun"/>
          <w:sz w:val="24"/>
          <w:szCs w:val="24"/>
          <w:lang w:val="en-US" w:eastAsia="zh-CN"/>
        </w:rPr>
        <w:t>: 513-523 [PMID: 17126766]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142 </w:t>
      </w:r>
      <w:r w:rsidRPr="001326F0">
        <w:rPr>
          <w:rFonts w:ascii="Book Antiqua" w:eastAsia="SimSun" w:hAnsi="Book Antiqua" w:cs="SimSun"/>
          <w:b/>
          <w:bCs/>
          <w:sz w:val="24"/>
          <w:szCs w:val="24"/>
          <w:lang w:val="en-US" w:eastAsia="zh-CN"/>
        </w:rPr>
        <w:t>Karelis AD</w:t>
      </w:r>
      <w:r w:rsidRPr="001326F0">
        <w:rPr>
          <w:rFonts w:ascii="Book Antiqua" w:eastAsia="SimSun" w:hAnsi="Book Antiqua" w:cs="SimSun"/>
          <w:sz w:val="24"/>
          <w:szCs w:val="24"/>
          <w:lang w:val="en-US" w:eastAsia="zh-CN"/>
        </w:rPr>
        <w:t xml:space="preserve">, St-Pierre DH, Conus F, Rabasa-Lhoret R, Poehlman ET. Metabolic and body composition factors in subgroups of obesity: what do we know?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89</w:t>
      </w:r>
      <w:r w:rsidRPr="001326F0">
        <w:rPr>
          <w:rFonts w:ascii="Book Antiqua" w:eastAsia="SimSun" w:hAnsi="Book Antiqua" w:cs="SimSun"/>
          <w:sz w:val="24"/>
          <w:szCs w:val="24"/>
          <w:lang w:val="en-US" w:eastAsia="zh-CN"/>
        </w:rPr>
        <w:t>: 2569-2575 [PMID: 15181025]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143 </w:t>
      </w:r>
      <w:r w:rsidRPr="001326F0">
        <w:rPr>
          <w:rFonts w:ascii="Book Antiqua" w:eastAsia="SimSun" w:hAnsi="Book Antiqua" w:cs="SimSun"/>
          <w:b/>
          <w:bCs/>
          <w:sz w:val="24"/>
          <w:szCs w:val="24"/>
          <w:lang w:val="en-US" w:eastAsia="zh-CN"/>
        </w:rPr>
        <w:t>Karelis AD</w:t>
      </w:r>
      <w:r w:rsidRPr="001326F0">
        <w:rPr>
          <w:rFonts w:ascii="Book Antiqua" w:eastAsia="SimSun" w:hAnsi="Book Antiqua" w:cs="SimSun"/>
          <w:sz w:val="24"/>
          <w:szCs w:val="24"/>
          <w:lang w:val="en-US" w:eastAsia="zh-CN"/>
        </w:rPr>
        <w:t xml:space="preserve">, Faraj M, Bastard JP, St-Pierre DH, Brochu M, Prud'homme D, Rabasa-Lhoret R. The metabolically healthy but obese individual presents a favorable inflammation profile.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90</w:t>
      </w:r>
      <w:r w:rsidRPr="001326F0">
        <w:rPr>
          <w:rFonts w:ascii="Book Antiqua" w:eastAsia="SimSun" w:hAnsi="Book Antiqua" w:cs="SimSun"/>
          <w:sz w:val="24"/>
          <w:szCs w:val="24"/>
          <w:lang w:val="en-US" w:eastAsia="zh-CN"/>
        </w:rPr>
        <w:t>: 4145-4150 [PMID: 15855252]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144 </w:t>
      </w:r>
      <w:r w:rsidRPr="001326F0">
        <w:rPr>
          <w:rFonts w:ascii="Book Antiqua" w:eastAsia="SimSun" w:hAnsi="Book Antiqua" w:cs="SimSun"/>
          <w:b/>
          <w:bCs/>
          <w:sz w:val="24"/>
          <w:szCs w:val="24"/>
          <w:lang w:val="en-US" w:eastAsia="zh-CN"/>
        </w:rPr>
        <w:t>Seo MH</w:t>
      </w:r>
      <w:r w:rsidRPr="001326F0">
        <w:rPr>
          <w:rFonts w:ascii="Book Antiqua" w:eastAsia="SimSun" w:hAnsi="Book Antiqua" w:cs="SimSun"/>
          <w:sz w:val="24"/>
          <w:szCs w:val="24"/>
          <w:lang w:val="en-US" w:eastAsia="zh-CN"/>
        </w:rPr>
        <w:t xml:space="preserve">, Rhee EJ. Metabolic and cardiovascular implications of a metabolically healthy obesity phenotype. </w:t>
      </w:r>
      <w:r w:rsidRPr="001326F0">
        <w:rPr>
          <w:rFonts w:ascii="Book Antiqua" w:eastAsia="SimSun" w:hAnsi="Book Antiqua" w:cs="SimSun"/>
          <w:i/>
          <w:iCs/>
          <w:sz w:val="24"/>
          <w:szCs w:val="24"/>
          <w:lang w:val="en-US" w:eastAsia="zh-CN"/>
        </w:rPr>
        <w:t>Endocrinol Metab (Seoul)</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29</w:t>
      </w:r>
      <w:r w:rsidRPr="001326F0">
        <w:rPr>
          <w:rFonts w:ascii="Book Antiqua" w:eastAsia="SimSun" w:hAnsi="Book Antiqua" w:cs="SimSun"/>
          <w:sz w:val="24"/>
          <w:szCs w:val="24"/>
          <w:lang w:val="en-US" w:eastAsia="zh-CN"/>
        </w:rPr>
        <w:t>: 427-434 [PMID: 25559571 DOI: 10.3803/EnM.2014.29.4.427]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145 </w:t>
      </w:r>
      <w:r w:rsidRPr="001326F0">
        <w:rPr>
          <w:rFonts w:ascii="Book Antiqua" w:eastAsia="SimSun" w:hAnsi="Book Antiqua" w:cs="SimSun"/>
          <w:b/>
          <w:bCs/>
          <w:sz w:val="24"/>
          <w:szCs w:val="24"/>
          <w:lang w:val="en-US" w:eastAsia="zh-CN"/>
        </w:rPr>
        <w:t>Roubenoff R</w:t>
      </w:r>
      <w:r w:rsidRPr="001326F0">
        <w:rPr>
          <w:rFonts w:ascii="Book Antiqua" w:eastAsia="SimSun" w:hAnsi="Book Antiqua" w:cs="SimSun"/>
          <w:sz w:val="24"/>
          <w:szCs w:val="24"/>
          <w:lang w:val="en-US" w:eastAsia="zh-CN"/>
        </w:rPr>
        <w:t xml:space="preserve">. Sarcopenic obesity: does muscle loss cause fat gain? Lessons from rheumatoid arthritis and osteoarthritis. </w:t>
      </w:r>
      <w:r w:rsidRPr="001326F0">
        <w:rPr>
          <w:rFonts w:ascii="Book Antiqua" w:eastAsia="SimSun" w:hAnsi="Book Antiqua" w:cs="SimSun"/>
          <w:i/>
          <w:iCs/>
          <w:sz w:val="24"/>
          <w:szCs w:val="24"/>
          <w:lang w:val="en-US" w:eastAsia="zh-CN"/>
        </w:rPr>
        <w:t>Ann N Y Acad Sci</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904</w:t>
      </w:r>
      <w:r w:rsidRPr="001326F0">
        <w:rPr>
          <w:rFonts w:ascii="Book Antiqua" w:eastAsia="SimSun" w:hAnsi="Book Antiqua" w:cs="SimSun"/>
          <w:sz w:val="24"/>
          <w:szCs w:val="24"/>
          <w:lang w:val="en-US" w:eastAsia="zh-CN"/>
        </w:rPr>
        <w:t>: 553-557 [PMID: 10865804]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146 </w:t>
      </w:r>
      <w:r w:rsidRPr="001326F0">
        <w:rPr>
          <w:rFonts w:ascii="Book Antiqua" w:eastAsia="SimSun" w:hAnsi="Book Antiqua" w:cs="SimSun"/>
          <w:b/>
          <w:bCs/>
          <w:sz w:val="24"/>
          <w:szCs w:val="24"/>
          <w:lang w:val="en-US" w:eastAsia="zh-CN"/>
        </w:rPr>
        <w:t>Oliveros E</w:t>
      </w:r>
      <w:r w:rsidRPr="001326F0">
        <w:rPr>
          <w:rFonts w:ascii="Book Antiqua" w:eastAsia="SimSun" w:hAnsi="Book Antiqua" w:cs="SimSun"/>
          <w:sz w:val="24"/>
          <w:szCs w:val="24"/>
          <w:lang w:val="en-US" w:eastAsia="zh-CN"/>
        </w:rPr>
        <w:t xml:space="preserve">, Somers VK, Sochor O, Goel K, Lopez-Jimenez F. The concept of normal weight obesity. </w:t>
      </w:r>
      <w:r w:rsidRPr="001326F0">
        <w:rPr>
          <w:rFonts w:ascii="Book Antiqua" w:eastAsia="SimSun" w:hAnsi="Book Antiqua" w:cs="SimSun"/>
          <w:i/>
          <w:iCs/>
          <w:sz w:val="24"/>
          <w:szCs w:val="24"/>
          <w:lang w:val="en-US" w:eastAsia="zh-CN"/>
        </w:rPr>
        <w:t>Prog Cardiovasc Dis</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2014</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56</w:t>
      </w:r>
      <w:r w:rsidRPr="001326F0">
        <w:rPr>
          <w:rFonts w:ascii="Book Antiqua" w:eastAsia="SimSun" w:hAnsi="Book Antiqua" w:cs="SimSun"/>
          <w:sz w:val="24"/>
          <w:szCs w:val="24"/>
          <w:lang w:val="en-US" w:eastAsia="zh-CN"/>
        </w:rPr>
        <w:t>: 426-433 [PMID: 24438734 DOI: 10.1016/j.pcad.2013.10.003]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147 </w:t>
      </w:r>
      <w:r w:rsidRPr="001326F0">
        <w:rPr>
          <w:rFonts w:ascii="Book Antiqua" w:eastAsia="SimSun" w:hAnsi="Book Antiqua" w:cs="SimSun"/>
          <w:b/>
          <w:bCs/>
          <w:sz w:val="24"/>
          <w:szCs w:val="24"/>
          <w:lang w:val="en-US" w:eastAsia="zh-CN"/>
        </w:rPr>
        <w:t>De Lorenzo A</w:t>
      </w:r>
      <w:r w:rsidRPr="001326F0">
        <w:rPr>
          <w:rFonts w:ascii="Book Antiqua" w:eastAsia="SimSun" w:hAnsi="Book Antiqua" w:cs="SimSun"/>
          <w:sz w:val="24"/>
          <w:szCs w:val="24"/>
          <w:lang w:val="en-US" w:eastAsia="zh-CN"/>
        </w:rPr>
        <w:t xml:space="preserve">, Del Gobbo V, Premrov MG, Bigioni M, Galvano F, Di Renzo L. Normal-weight obese syndrome: early inflammation?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85</w:t>
      </w:r>
      <w:r w:rsidRPr="001326F0">
        <w:rPr>
          <w:rFonts w:ascii="Book Antiqua" w:eastAsia="SimSun" w:hAnsi="Book Antiqua" w:cs="SimSun"/>
          <w:sz w:val="24"/>
          <w:szCs w:val="24"/>
          <w:lang w:val="en-US" w:eastAsia="zh-CN"/>
        </w:rPr>
        <w:t>: 40-45 [PMID: 17209175]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148 </w:t>
      </w:r>
      <w:r w:rsidRPr="001326F0">
        <w:rPr>
          <w:rFonts w:ascii="Book Antiqua" w:eastAsia="SimSun" w:hAnsi="Book Antiqua" w:cs="SimSun"/>
          <w:b/>
          <w:bCs/>
          <w:sz w:val="24"/>
          <w:szCs w:val="24"/>
          <w:lang w:val="en-US" w:eastAsia="zh-CN"/>
        </w:rPr>
        <w:t>Kosmala W</w:t>
      </w:r>
      <w:r w:rsidRPr="001326F0">
        <w:rPr>
          <w:rFonts w:ascii="Book Antiqua" w:eastAsia="SimSun" w:hAnsi="Book Antiqua" w:cs="SimSun"/>
          <w:sz w:val="24"/>
          <w:szCs w:val="24"/>
          <w:lang w:val="en-US" w:eastAsia="zh-CN"/>
        </w:rPr>
        <w:t xml:space="preserve">, Jedrzejuk D, Derzhko R, Przewlocka-Kosmala M, Mysiak A, Bednarek-Tupikowska G. Left ventricular function impairment in patients with normal-weight obesity: contribution of abdominal fat deposition, profibrotic state, reduced insulin sensitivity, and proinflammatory activation. </w:t>
      </w:r>
      <w:r w:rsidRPr="001326F0">
        <w:rPr>
          <w:rFonts w:ascii="Book Antiqua" w:eastAsia="SimSun" w:hAnsi="Book Antiqua" w:cs="SimSun"/>
          <w:i/>
          <w:iCs/>
          <w:sz w:val="24"/>
          <w:szCs w:val="24"/>
          <w:lang w:val="en-US" w:eastAsia="zh-CN"/>
        </w:rPr>
        <w:t>Circ Cardiovasc Imaging</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5</w:t>
      </w:r>
      <w:r w:rsidRPr="001326F0">
        <w:rPr>
          <w:rFonts w:ascii="Book Antiqua" w:eastAsia="SimSun" w:hAnsi="Book Antiqua" w:cs="SimSun"/>
          <w:sz w:val="24"/>
          <w:szCs w:val="24"/>
          <w:lang w:val="en-US" w:eastAsia="zh-CN"/>
        </w:rPr>
        <w:t>: 349-356 [PMID: 22407472 DOI: 10.1161/CIRCIMAGING.111.969956]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149 </w:t>
      </w:r>
      <w:r w:rsidRPr="001326F0">
        <w:rPr>
          <w:rFonts w:ascii="Book Antiqua" w:eastAsia="SimSun" w:hAnsi="Book Antiqua" w:cs="SimSun"/>
          <w:b/>
          <w:bCs/>
          <w:sz w:val="24"/>
          <w:szCs w:val="24"/>
          <w:lang w:val="en-US" w:eastAsia="zh-CN"/>
        </w:rPr>
        <w:t>Marques-Vidal P</w:t>
      </w:r>
      <w:r w:rsidRPr="001326F0">
        <w:rPr>
          <w:rFonts w:ascii="Book Antiqua" w:eastAsia="SimSun" w:hAnsi="Book Antiqua" w:cs="SimSun"/>
          <w:sz w:val="24"/>
          <w:szCs w:val="24"/>
          <w:lang w:val="en-US" w:eastAsia="zh-CN"/>
        </w:rPr>
        <w:t xml:space="preserve">, Pécoud A, Hayoz D, Paccaud F, Mooser V, Waeber G, Vollenweider P. Normal weight obesity: relationship with lipids, glycaemic status, liver enzymes and inflammation. </w:t>
      </w:r>
      <w:r w:rsidRPr="001326F0">
        <w:rPr>
          <w:rFonts w:ascii="Book Antiqua" w:eastAsia="SimSun" w:hAnsi="Book Antiqua" w:cs="SimSun"/>
          <w:i/>
          <w:iCs/>
          <w:sz w:val="24"/>
          <w:szCs w:val="24"/>
          <w:lang w:val="en-US" w:eastAsia="zh-CN"/>
        </w:rPr>
        <w:t>Nutr Metab Cardiovasc Dis</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20</w:t>
      </w:r>
      <w:r w:rsidRPr="001326F0">
        <w:rPr>
          <w:rFonts w:ascii="Book Antiqua" w:eastAsia="SimSun" w:hAnsi="Book Antiqua" w:cs="SimSun"/>
          <w:sz w:val="24"/>
          <w:szCs w:val="24"/>
          <w:lang w:val="en-US" w:eastAsia="zh-CN"/>
        </w:rPr>
        <w:t>: 669-675 [PMID: 19748248 DOI: 10.1016/j.numecd.2009.06.001]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150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Del Gobbo V, Bigioni M, Premrov MG, Cianci R, De Lorenzo A. Body composition analyses in normal weight obese women. </w:t>
      </w:r>
      <w:r w:rsidRPr="001326F0">
        <w:rPr>
          <w:rFonts w:ascii="Book Antiqua" w:eastAsia="SimSun" w:hAnsi="Book Antiqua" w:cs="SimSun"/>
          <w:i/>
          <w:iCs/>
          <w:sz w:val="24"/>
          <w:szCs w:val="24"/>
          <w:lang w:val="en-US" w:eastAsia="zh-CN"/>
        </w:rPr>
        <w:t>Eur Rev Med Pharmacol Sci</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2006</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10</w:t>
      </w:r>
      <w:r w:rsidRPr="001326F0">
        <w:rPr>
          <w:rFonts w:ascii="Book Antiqua" w:eastAsia="SimSun" w:hAnsi="Book Antiqua" w:cs="SimSun"/>
          <w:sz w:val="24"/>
          <w:szCs w:val="24"/>
          <w:lang w:val="en-US" w:eastAsia="zh-CN"/>
        </w:rPr>
        <w:t>: 191-196 [PMID: 16910350]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151 </w:t>
      </w:r>
      <w:r w:rsidRPr="001326F0">
        <w:rPr>
          <w:rFonts w:ascii="Book Antiqua" w:eastAsia="SimSun" w:hAnsi="Book Antiqua" w:cs="SimSun"/>
          <w:b/>
          <w:bCs/>
          <w:sz w:val="24"/>
          <w:szCs w:val="24"/>
          <w:lang w:val="en-US" w:eastAsia="zh-CN"/>
        </w:rPr>
        <w:t>Marques-Vidal P</w:t>
      </w:r>
      <w:r w:rsidRPr="001326F0">
        <w:rPr>
          <w:rFonts w:ascii="Book Antiqua" w:eastAsia="SimSun" w:hAnsi="Book Antiqua" w:cs="SimSun"/>
          <w:sz w:val="24"/>
          <w:szCs w:val="24"/>
          <w:lang w:val="en-US" w:eastAsia="zh-CN"/>
        </w:rPr>
        <w:t xml:space="preserve">, Pécoud A, Hayoz D, Paccaud F, Mooser V, Waeber G, Vollenweider P. Prevalence of normal weight obesity in Switzerland: effect of various definitions. </w:t>
      </w:r>
      <w:r w:rsidRPr="001326F0">
        <w:rPr>
          <w:rFonts w:ascii="Book Antiqua" w:eastAsia="SimSun" w:hAnsi="Book Antiqua" w:cs="SimSun"/>
          <w:i/>
          <w:iCs/>
          <w:sz w:val="24"/>
          <w:szCs w:val="24"/>
          <w:lang w:val="en-US" w:eastAsia="zh-CN"/>
        </w:rPr>
        <w:t>Eur J Nutr</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47</w:t>
      </w:r>
      <w:r w:rsidRPr="001326F0">
        <w:rPr>
          <w:rFonts w:ascii="Book Antiqua" w:eastAsia="SimSun" w:hAnsi="Book Antiqua" w:cs="SimSun"/>
          <w:sz w:val="24"/>
          <w:szCs w:val="24"/>
          <w:lang w:val="en-US" w:eastAsia="zh-CN"/>
        </w:rPr>
        <w:t>: 251-257 [PMID: 18604623 DOI: 10.1007/s00394-008-0719-6]</w:t>
      </w:r>
    </w:p>
    <w:p w:rsidR="0031238A" w:rsidRPr="001326F0" w:rsidRDefault="0031238A" w:rsidP="0031238A">
      <w:pPr>
        <w:spacing w:after="0" w:line="360" w:lineRule="auto"/>
        <w:jc w:val="both"/>
        <w:rPr>
          <w:rFonts w:ascii="Book Antiqua" w:eastAsia="SimSun" w:hAnsi="Book Antiqua" w:cs="SimSun"/>
          <w:sz w:val="24"/>
          <w:szCs w:val="24"/>
          <w:lang w:val="es-ES_tradnl" w:eastAsia="zh-CN"/>
        </w:rPr>
      </w:pPr>
      <w:r w:rsidRPr="001326F0">
        <w:rPr>
          <w:rFonts w:ascii="Book Antiqua" w:eastAsia="SimSun" w:hAnsi="Book Antiqua" w:cs="SimSun"/>
          <w:sz w:val="24"/>
          <w:szCs w:val="24"/>
          <w:lang w:val="en-US" w:eastAsia="zh-CN"/>
        </w:rPr>
        <w:t>152</w:t>
      </w:r>
      <w:r w:rsidRPr="001326F0">
        <w:rPr>
          <w:rFonts w:ascii="Book Antiqua" w:eastAsia="SimSun" w:hAnsi="Book Antiqua" w:cs="SimSun"/>
          <w:b/>
          <w:sz w:val="24"/>
          <w:szCs w:val="24"/>
          <w:lang w:val="en-US" w:eastAsia="zh-CN"/>
        </w:rPr>
        <w:t xml:space="preserve"> Marques-Vidal P</w:t>
      </w:r>
      <w:r w:rsidRPr="001326F0">
        <w:rPr>
          <w:rFonts w:ascii="Book Antiqua" w:eastAsia="SimSun" w:hAnsi="Book Antiqua" w:cs="SimSun"/>
          <w:sz w:val="24"/>
          <w:szCs w:val="24"/>
          <w:lang w:val="en-US" w:eastAsia="zh-CN"/>
        </w:rPr>
        <w:t xml:space="preserve">, Chiolero A. , Paccaud F. Large differences in the prevalence of normal weight obesity using various cut-offs for excess body fat. </w:t>
      </w:r>
      <w:bookmarkStart w:id="312" w:name="OLE_LINK2543"/>
      <w:bookmarkStart w:id="313" w:name="OLE_LINK2544"/>
      <w:r w:rsidRPr="001326F0">
        <w:rPr>
          <w:rFonts w:ascii="Book Antiqua" w:eastAsia="SimSun" w:hAnsi="Book Antiqua" w:cs="SimSun"/>
          <w:i/>
          <w:sz w:val="24"/>
          <w:szCs w:val="24"/>
          <w:lang w:val="es-ES_tradnl" w:eastAsia="zh-CN"/>
        </w:rPr>
        <w:t xml:space="preserve">E Spen Eur E J Clin Nutr Metab </w:t>
      </w:r>
      <w:r w:rsidRPr="001326F0">
        <w:rPr>
          <w:rFonts w:ascii="Book Antiqua" w:eastAsia="SimSun" w:hAnsi="Book Antiqua" w:cs="SimSun"/>
          <w:sz w:val="24"/>
          <w:szCs w:val="24"/>
          <w:lang w:val="es-ES_tradnl" w:eastAsia="zh-CN"/>
        </w:rPr>
        <w:t xml:space="preserve">2008; </w:t>
      </w:r>
      <w:r w:rsidRPr="001326F0">
        <w:rPr>
          <w:rFonts w:ascii="Book Antiqua" w:eastAsia="SimSun" w:hAnsi="Book Antiqua" w:cs="SimSun"/>
          <w:b/>
          <w:sz w:val="24"/>
          <w:szCs w:val="24"/>
          <w:lang w:val="es-ES_tradnl" w:eastAsia="zh-CN"/>
        </w:rPr>
        <w:t>3</w:t>
      </w:r>
      <w:r w:rsidRPr="001326F0">
        <w:rPr>
          <w:rFonts w:ascii="Book Antiqua" w:eastAsia="SimSun" w:hAnsi="Book Antiqua" w:cs="SimSun"/>
          <w:sz w:val="24"/>
          <w:szCs w:val="24"/>
          <w:lang w:val="es-ES_tradnl" w:eastAsia="zh-CN"/>
        </w:rPr>
        <w:t>: e159–e162</w:t>
      </w:r>
      <w:bookmarkEnd w:id="312"/>
      <w:bookmarkEnd w:id="313"/>
      <w:r w:rsidRPr="001326F0">
        <w:rPr>
          <w:rFonts w:ascii="Book Antiqua" w:eastAsia="SimSun" w:hAnsi="Book Antiqua" w:cs="SimSun"/>
          <w:sz w:val="24"/>
          <w:szCs w:val="24"/>
          <w:lang w:val="es-ES_tradnl" w:eastAsia="zh-CN"/>
        </w:rPr>
        <w:t xml:space="preserve"> [DOI: 10.1016/j.eclnm.2008.05.003]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153 </w:t>
      </w:r>
      <w:r w:rsidRPr="001326F0">
        <w:rPr>
          <w:rFonts w:ascii="Book Antiqua" w:eastAsia="SimSun" w:hAnsi="Book Antiqua" w:cs="SimSun"/>
          <w:b/>
          <w:bCs/>
          <w:sz w:val="24"/>
          <w:szCs w:val="24"/>
          <w:lang w:val="en-US" w:eastAsia="zh-CN"/>
        </w:rPr>
        <w:t>Kyle UG</w:t>
      </w:r>
      <w:r w:rsidRPr="001326F0">
        <w:rPr>
          <w:rFonts w:ascii="Book Antiqua" w:eastAsia="SimSun" w:hAnsi="Book Antiqua" w:cs="SimSun"/>
          <w:sz w:val="24"/>
          <w:szCs w:val="24"/>
          <w:lang w:val="en-US" w:eastAsia="zh-CN"/>
        </w:rPr>
        <w:t xml:space="preserve">, Genton L, Slosman DO, Pichard C. Fat-free and fat mass percentiles in 5225 healthy subjects aged 15 to 98 years. </w:t>
      </w:r>
      <w:r w:rsidRPr="001326F0">
        <w:rPr>
          <w:rFonts w:ascii="Book Antiqua" w:eastAsia="SimSun" w:hAnsi="Book Antiqua" w:cs="SimSun"/>
          <w:i/>
          <w:iCs/>
          <w:sz w:val="24"/>
          <w:szCs w:val="24"/>
          <w:lang w:val="en-US" w:eastAsia="zh-CN"/>
        </w:rPr>
        <w:t>Nutrition</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2001</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17</w:t>
      </w:r>
      <w:r w:rsidRPr="001326F0">
        <w:rPr>
          <w:rFonts w:ascii="Book Antiqua" w:eastAsia="SimSun" w:hAnsi="Book Antiqua" w:cs="SimSun"/>
          <w:sz w:val="24"/>
          <w:szCs w:val="24"/>
          <w:lang w:val="en-US" w:eastAsia="zh-CN"/>
        </w:rPr>
        <w:t>: 534-541 [PMID: 11448570]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154 </w:t>
      </w:r>
      <w:r w:rsidRPr="001326F0">
        <w:rPr>
          <w:rFonts w:ascii="Book Antiqua" w:eastAsia="SimSun" w:hAnsi="Book Antiqua" w:cs="SimSun"/>
          <w:b/>
          <w:bCs/>
          <w:sz w:val="24"/>
          <w:szCs w:val="24"/>
          <w:lang w:val="en-US" w:eastAsia="zh-CN"/>
        </w:rPr>
        <w:t>Kang S</w:t>
      </w:r>
      <w:r w:rsidRPr="001326F0">
        <w:rPr>
          <w:rFonts w:ascii="Book Antiqua" w:eastAsia="SimSun" w:hAnsi="Book Antiqua" w:cs="SimSun"/>
          <w:sz w:val="24"/>
          <w:szCs w:val="24"/>
          <w:lang w:val="en-US" w:eastAsia="zh-CN"/>
        </w:rPr>
        <w:t>, Kyung C, Park JS, Kim S, Lee SP, Kim MK, Kim HK, Kim KR, Jeon TJ, Ahn CW. Subclinical vascular inflammation in subjects with normal weight obesity and its association with body fat: an 18</w:t>
      </w:r>
      <w:r w:rsidRPr="001326F0">
        <w:rPr>
          <w:rFonts w:ascii="Times New Roman" w:eastAsia="MS Mincho" w:hAnsi="Times New Roman" w:cs="Times New Roman"/>
          <w:sz w:val="24"/>
          <w:szCs w:val="24"/>
          <w:lang w:val="en-US" w:eastAsia="zh-CN"/>
        </w:rPr>
        <w:t> </w:t>
      </w:r>
      <w:r w:rsidRPr="001326F0">
        <w:rPr>
          <w:rFonts w:ascii="Book Antiqua" w:eastAsia="SimSun" w:hAnsi="Book Antiqua" w:cs="SimSun"/>
          <w:sz w:val="24"/>
          <w:szCs w:val="24"/>
          <w:lang w:val="en-US" w:eastAsia="zh-CN"/>
        </w:rPr>
        <w:t xml:space="preserve">F-FDG-PET/CT study. </w:t>
      </w:r>
      <w:r w:rsidRPr="001326F0">
        <w:rPr>
          <w:rFonts w:ascii="Book Antiqua" w:eastAsia="SimSun" w:hAnsi="Book Antiqua" w:cs="SimSun"/>
          <w:i/>
          <w:iCs/>
          <w:sz w:val="24"/>
          <w:szCs w:val="24"/>
          <w:lang w:val="en-US" w:eastAsia="zh-CN"/>
        </w:rPr>
        <w:t>Cardiovasc Diabetol</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13</w:t>
      </w:r>
      <w:r w:rsidRPr="001326F0">
        <w:rPr>
          <w:rFonts w:ascii="Book Antiqua" w:eastAsia="SimSun" w:hAnsi="Book Antiqua" w:cs="SimSun"/>
          <w:sz w:val="24"/>
          <w:szCs w:val="24"/>
          <w:lang w:val="en-US" w:eastAsia="zh-CN"/>
        </w:rPr>
        <w:t>: 70 [PMID: 24708764 DOI: 10.1186/1475-2840-13-70]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155 </w:t>
      </w:r>
      <w:r w:rsidRPr="001326F0">
        <w:rPr>
          <w:rFonts w:ascii="Book Antiqua" w:eastAsia="SimSun" w:hAnsi="Book Antiqua" w:cs="SimSun"/>
          <w:b/>
          <w:bCs/>
          <w:sz w:val="24"/>
          <w:szCs w:val="24"/>
          <w:lang w:val="en-US" w:eastAsia="zh-CN"/>
        </w:rPr>
        <w:t>Madeira FB</w:t>
      </w:r>
      <w:r w:rsidRPr="001326F0">
        <w:rPr>
          <w:rFonts w:ascii="Book Antiqua" w:eastAsia="SimSun" w:hAnsi="Book Antiqua" w:cs="SimSun"/>
          <w:sz w:val="24"/>
          <w:szCs w:val="24"/>
          <w:lang w:val="en-US" w:eastAsia="zh-CN"/>
        </w:rPr>
        <w:t xml:space="preserve">, Silva AA, Veloso HF, Goldani MZ, Kac G, Cardoso VC, Bettiol H, Barbieri MA. Normal weight obesity is associated with metabolic syndrome and insulin resistance in young adults from a middle-income country. </w:t>
      </w:r>
      <w:r w:rsidRPr="001326F0">
        <w:rPr>
          <w:rFonts w:ascii="Book Antiqua" w:eastAsia="SimSun" w:hAnsi="Book Antiqua" w:cs="SimSun"/>
          <w:i/>
          <w:iCs/>
          <w:sz w:val="24"/>
          <w:szCs w:val="24"/>
          <w:lang w:val="en-US" w:eastAsia="zh-CN"/>
        </w:rPr>
        <w:t>PLoS One</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8</w:t>
      </w:r>
      <w:r w:rsidRPr="001326F0">
        <w:rPr>
          <w:rFonts w:ascii="Book Antiqua" w:eastAsia="SimSun" w:hAnsi="Book Antiqua" w:cs="SimSun"/>
          <w:sz w:val="24"/>
          <w:szCs w:val="24"/>
          <w:lang w:val="en-US" w:eastAsia="zh-CN"/>
        </w:rPr>
        <w:t>: e60673 [PMID: 23556000 DOI: 10.1371/journal.pone.0060673]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156 </w:t>
      </w:r>
      <w:r w:rsidRPr="001326F0">
        <w:rPr>
          <w:rFonts w:ascii="Book Antiqua" w:eastAsia="SimSun" w:hAnsi="Book Antiqua" w:cs="SimSun"/>
          <w:b/>
          <w:bCs/>
          <w:sz w:val="24"/>
          <w:szCs w:val="24"/>
          <w:lang w:val="en-US" w:eastAsia="zh-CN"/>
        </w:rPr>
        <w:t>Kim JY</w:t>
      </w:r>
      <w:r w:rsidRPr="001326F0">
        <w:rPr>
          <w:rFonts w:ascii="Book Antiqua" w:eastAsia="SimSun" w:hAnsi="Book Antiqua" w:cs="SimSun"/>
          <w:sz w:val="24"/>
          <w:szCs w:val="24"/>
          <w:lang w:val="en-US" w:eastAsia="zh-CN"/>
        </w:rPr>
        <w:t xml:space="preserve">, Han SH, Yang BM. Implication of high-body-fat percentage on cardiometabolic risk in middle-aged, healthy, normal-weight adults.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21</w:t>
      </w:r>
      <w:r w:rsidRPr="001326F0">
        <w:rPr>
          <w:rFonts w:ascii="Book Antiqua" w:eastAsia="SimSun" w:hAnsi="Book Antiqua" w:cs="SimSun"/>
          <w:sz w:val="24"/>
          <w:szCs w:val="24"/>
          <w:lang w:val="en-US" w:eastAsia="zh-CN"/>
        </w:rPr>
        <w:t>: 1571-1577 [PMID: 23404833 DOI: 10.1002/oby.20020]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157 </w:t>
      </w:r>
      <w:r w:rsidRPr="001326F0">
        <w:rPr>
          <w:rFonts w:ascii="Book Antiqua" w:eastAsia="SimSun" w:hAnsi="Book Antiqua" w:cs="SimSun"/>
          <w:b/>
          <w:bCs/>
          <w:sz w:val="24"/>
          <w:szCs w:val="24"/>
          <w:lang w:val="en-US" w:eastAsia="zh-CN"/>
        </w:rPr>
        <w:t>Romero-Corral A</w:t>
      </w:r>
      <w:r w:rsidRPr="001326F0">
        <w:rPr>
          <w:rFonts w:ascii="Book Antiqua" w:eastAsia="SimSun" w:hAnsi="Book Antiqua" w:cs="SimSun"/>
          <w:sz w:val="24"/>
          <w:szCs w:val="24"/>
          <w:lang w:val="en-US" w:eastAsia="zh-CN"/>
        </w:rPr>
        <w:t xml:space="preserve">, Somers VK, Sierra-Johnson J, Korenfeld Y, Boarin S, Korinek J, Jensen MD, Parati G, Lopez-Jimenez F. Normal weight obesity: a risk factor for cardiometabolic dysregulation and cardiovascular mortality. </w:t>
      </w:r>
      <w:r w:rsidRPr="001326F0">
        <w:rPr>
          <w:rFonts w:ascii="Book Antiqua" w:eastAsia="SimSun" w:hAnsi="Book Antiqua" w:cs="SimSun"/>
          <w:i/>
          <w:iCs/>
          <w:sz w:val="24"/>
          <w:szCs w:val="24"/>
          <w:lang w:val="en-US" w:eastAsia="zh-CN"/>
        </w:rPr>
        <w:t>Eur Heart J</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31</w:t>
      </w:r>
      <w:r w:rsidRPr="001326F0">
        <w:rPr>
          <w:rFonts w:ascii="Book Antiqua" w:eastAsia="SimSun" w:hAnsi="Book Antiqua" w:cs="SimSun"/>
          <w:sz w:val="24"/>
          <w:szCs w:val="24"/>
          <w:lang w:val="en-US" w:eastAsia="zh-CN"/>
        </w:rPr>
        <w:t>: 737-746 [PMID: 19933515 DOI: 10.1093/eurheartj/ehp487]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158 </w:t>
      </w:r>
      <w:r w:rsidRPr="001326F0">
        <w:rPr>
          <w:rFonts w:ascii="Book Antiqua" w:eastAsia="SimSun" w:hAnsi="Book Antiqua" w:cs="SimSun"/>
          <w:b/>
          <w:bCs/>
          <w:sz w:val="24"/>
          <w:szCs w:val="24"/>
          <w:lang w:val="en-US" w:eastAsia="zh-CN"/>
        </w:rPr>
        <w:t>Jean N</w:t>
      </w:r>
      <w:r w:rsidRPr="001326F0">
        <w:rPr>
          <w:rFonts w:ascii="Book Antiqua" w:eastAsia="SimSun" w:hAnsi="Book Antiqua" w:cs="SimSun"/>
          <w:sz w:val="24"/>
          <w:szCs w:val="24"/>
          <w:lang w:val="en-US" w:eastAsia="zh-CN"/>
        </w:rPr>
        <w:t xml:space="preserve">, Somers VK, Sochor O, Medina-Inojosa J, Llano EM, Lopez-Jimenez F. Normal-weight obesity: implications for cardiovascular health. </w:t>
      </w:r>
      <w:r w:rsidRPr="001326F0">
        <w:rPr>
          <w:rFonts w:ascii="Book Antiqua" w:eastAsia="SimSun" w:hAnsi="Book Antiqua" w:cs="SimSun"/>
          <w:i/>
          <w:iCs/>
          <w:sz w:val="24"/>
          <w:szCs w:val="24"/>
          <w:lang w:val="en-US" w:eastAsia="zh-CN"/>
        </w:rPr>
        <w:t>Curr Atheroscler Rep</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16</w:t>
      </w:r>
      <w:r w:rsidRPr="001326F0">
        <w:rPr>
          <w:rFonts w:ascii="Book Antiqua" w:eastAsia="SimSun" w:hAnsi="Book Antiqua" w:cs="SimSun"/>
          <w:sz w:val="24"/>
          <w:szCs w:val="24"/>
          <w:lang w:val="en-US" w:eastAsia="zh-CN"/>
        </w:rPr>
        <w:t>: 464 [PMID: 25342492 DOI: 10.1007/s11883-014-0464-7]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159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Galvano F, Orlandi C, Bianchi A, Di Giacomo C, La Fauci L, Acquaviva R, De Lorenzo A. Oxidative stress in normal-weight obese syndrome.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18</w:t>
      </w:r>
      <w:r w:rsidRPr="001326F0">
        <w:rPr>
          <w:rFonts w:ascii="Book Antiqua" w:eastAsia="SimSun" w:hAnsi="Book Antiqua" w:cs="SimSun"/>
          <w:sz w:val="24"/>
          <w:szCs w:val="24"/>
          <w:lang w:val="en-US" w:eastAsia="zh-CN"/>
        </w:rPr>
        <w:t>: 2125-2130 [PMID: 20339360 DOI: 10.1038/oby.2010.50]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160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Bigioni M, Del Gobbo V, Premrov MG, Barbini U, Di Lorenzo N, De Lorenzo A. Interleukin-1 (IL-1) receptor antagonist gene polymorphism in normal weight obese syndrome: relationship to body composition and IL-1 alpha and beta plasma levels. </w:t>
      </w:r>
      <w:r w:rsidRPr="001326F0">
        <w:rPr>
          <w:rFonts w:ascii="Book Antiqua" w:eastAsia="SimSun" w:hAnsi="Book Antiqua" w:cs="SimSun"/>
          <w:i/>
          <w:iCs/>
          <w:sz w:val="24"/>
          <w:szCs w:val="24"/>
          <w:lang w:val="en-US" w:eastAsia="zh-CN"/>
        </w:rPr>
        <w:t>Pharmacol Res</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55</w:t>
      </w:r>
      <w:r w:rsidRPr="001326F0">
        <w:rPr>
          <w:rFonts w:ascii="Book Antiqua" w:eastAsia="SimSun" w:hAnsi="Book Antiqua" w:cs="SimSun"/>
          <w:sz w:val="24"/>
          <w:szCs w:val="24"/>
          <w:lang w:val="en-US" w:eastAsia="zh-CN"/>
        </w:rPr>
        <w:t>: 131-138 [PMID: 17174563]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161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Bertoli A, Bigioni M, Del Gobbo V, Premrov MG, Calabrese V, Di Daniele N, De Lorenzo A. Body composition and -174G/C interleukin-6 promoter gene polymorphism: association with progression of insulin </w:t>
      </w:r>
      <w:r w:rsidRPr="001326F0">
        <w:rPr>
          <w:rFonts w:ascii="Book Antiqua" w:eastAsia="SimSun" w:hAnsi="Book Antiqua" w:cs="SimSun"/>
          <w:sz w:val="24"/>
          <w:szCs w:val="24"/>
          <w:lang w:val="en-US" w:eastAsia="zh-CN"/>
        </w:rPr>
        <w:lastRenderedPageBreak/>
        <w:t xml:space="preserve">resistance in normal weight obese syndrome. </w:t>
      </w:r>
      <w:r w:rsidRPr="001326F0">
        <w:rPr>
          <w:rFonts w:ascii="Book Antiqua" w:eastAsia="SimSun" w:hAnsi="Book Antiqua" w:cs="SimSun"/>
          <w:i/>
          <w:iCs/>
          <w:sz w:val="24"/>
          <w:szCs w:val="24"/>
          <w:lang w:val="en-US" w:eastAsia="zh-CN"/>
        </w:rPr>
        <w:t>Curr Pharm Des</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14</w:t>
      </w:r>
      <w:r w:rsidRPr="001326F0">
        <w:rPr>
          <w:rFonts w:ascii="Book Antiqua" w:eastAsia="SimSun" w:hAnsi="Book Antiqua" w:cs="SimSun"/>
          <w:sz w:val="24"/>
          <w:szCs w:val="24"/>
          <w:lang w:val="en-US" w:eastAsia="zh-CN"/>
        </w:rPr>
        <w:t>: 2699-2706 [PMID: 18991689]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162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Bigioni M, Bottini FG, Del Gobbo V, Premrov MG, Cianci R, De Lorenzo A. Normal Weight Obese syndrome: role of single nucleotide polymorphism of IL-1 5Ralpha and MTHFR 677C--&amp; gt; T genes in the relationship between body composition and resting metabolic rate. </w:t>
      </w:r>
      <w:r w:rsidRPr="001326F0">
        <w:rPr>
          <w:rFonts w:ascii="Book Antiqua" w:eastAsia="SimSun" w:hAnsi="Book Antiqua" w:cs="SimSun"/>
          <w:i/>
          <w:iCs/>
          <w:sz w:val="24"/>
          <w:szCs w:val="24"/>
          <w:lang w:val="en-US" w:eastAsia="zh-CN"/>
        </w:rPr>
        <w:t>Eur Rev Med Pharmacol Sci</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2006</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10</w:t>
      </w:r>
      <w:r w:rsidRPr="001326F0">
        <w:rPr>
          <w:rFonts w:ascii="Book Antiqua" w:eastAsia="SimSun" w:hAnsi="Book Antiqua" w:cs="SimSun"/>
          <w:sz w:val="24"/>
          <w:szCs w:val="24"/>
          <w:lang w:val="en-US" w:eastAsia="zh-CN"/>
        </w:rPr>
        <w:t>: 235-245 [PMID: 17121316]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163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Gloria-Bottini F, Saccucci P, Bigioni M, Abenavoli L, Gasbarrini G, De Lorenzo A. Role of interleukin-15 receptor alpha polymorphisms in normal weight obese syndrome. </w:t>
      </w:r>
      <w:r w:rsidRPr="001326F0">
        <w:rPr>
          <w:rFonts w:ascii="Book Antiqua" w:eastAsia="SimSun" w:hAnsi="Book Antiqua" w:cs="SimSun"/>
          <w:i/>
          <w:iCs/>
          <w:sz w:val="24"/>
          <w:szCs w:val="24"/>
          <w:lang w:val="en-US" w:eastAsia="zh-CN"/>
        </w:rPr>
        <w:t>Int J Immunopathol Pharmacol</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2009</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22</w:t>
      </w:r>
      <w:r w:rsidRPr="001326F0">
        <w:rPr>
          <w:rFonts w:ascii="Book Antiqua" w:eastAsia="SimSun" w:hAnsi="Book Antiqua" w:cs="SimSun"/>
          <w:sz w:val="24"/>
          <w:szCs w:val="24"/>
          <w:lang w:val="en-US" w:eastAsia="zh-CN"/>
        </w:rPr>
        <w:t>: 105-113 [PMID: 19309557]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164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Sarlo F, Petramala L, Iacopino L, Monteleone G, Colica C, De Lorenzo A. Association between -308 G/A TNF-α polymorphism and appendicular skeletal muscle mass index as a marker of sarcopenia in normal weight obese syndrome. </w:t>
      </w:r>
      <w:r w:rsidRPr="001326F0">
        <w:rPr>
          <w:rFonts w:ascii="Book Antiqua" w:eastAsia="SimSun" w:hAnsi="Book Antiqua" w:cs="SimSun"/>
          <w:i/>
          <w:iCs/>
          <w:sz w:val="24"/>
          <w:szCs w:val="24"/>
          <w:lang w:val="en-US" w:eastAsia="zh-CN"/>
        </w:rPr>
        <w:t>Dis Markers</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35</w:t>
      </w:r>
      <w:r w:rsidRPr="001326F0">
        <w:rPr>
          <w:rFonts w:ascii="Book Antiqua" w:eastAsia="SimSun" w:hAnsi="Book Antiqua" w:cs="SimSun"/>
          <w:sz w:val="24"/>
          <w:szCs w:val="24"/>
          <w:lang w:val="en-US" w:eastAsia="zh-CN"/>
        </w:rPr>
        <w:t>: 615-623 [PMID: 24285913 DOI: 10.1155/2013/9834244]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165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Gratteri S, Sarlo F, Cabibbo A, Colica C, De Lorenzo A. Individually tailored screening of susceptibility to sarcopenia using p53 codon 72 polymorphism, phenotypes, and conventional risk factors. </w:t>
      </w:r>
      <w:r w:rsidRPr="001326F0">
        <w:rPr>
          <w:rFonts w:ascii="Book Antiqua" w:eastAsia="SimSun" w:hAnsi="Book Antiqua" w:cs="SimSun"/>
          <w:i/>
          <w:iCs/>
          <w:sz w:val="24"/>
          <w:szCs w:val="24"/>
          <w:lang w:val="en-US" w:eastAsia="zh-CN"/>
        </w:rPr>
        <w:t>Dis Markers</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2014</w:t>
      </w:r>
      <w:r w:rsidRPr="001326F0">
        <w:rPr>
          <w:rFonts w:ascii="Book Antiqua" w:eastAsia="SimSun" w:hAnsi="Book Antiqua" w:cs="SimSun"/>
          <w:sz w:val="24"/>
          <w:szCs w:val="24"/>
          <w:lang w:val="en-US" w:eastAsia="zh-CN"/>
        </w:rPr>
        <w:t>: 743634 [PMID: 25371596 DOI: 10.1155/2014/743634]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166 </w:t>
      </w:r>
      <w:r w:rsidRPr="001326F0">
        <w:rPr>
          <w:rFonts w:ascii="Book Antiqua" w:eastAsia="SimSun" w:hAnsi="Book Antiqua" w:cs="SimSun"/>
          <w:b/>
          <w:bCs/>
          <w:sz w:val="24"/>
          <w:szCs w:val="24"/>
          <w:lang w:val="en-US" w:eastAsia="zh-CN"/>
        </w:rPr>
        <w:t>Ruderman NB</w:t>
      </w:r>
      <w:r w:rsidRPr="001326F0">
        <w:rPr>
          <w:rFonts w:ascii="Book Antiqua" w:eastAsia="SimSun" w:hAnsi="Book Antiqua" w:cs="SimSun"/>
          <w:sz w:val="24"/>
          <w:szCs w:val="24"/>
          <w:lang w:val="en-US" w:eastAsia="zh-CN"/>
        </w:rPr>
        <w:t xml:space="preserve">, Schneider SH, Berchtold P. The "metabolically-obese," normal-weight individual.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1981; </w:t>
      </w:r>
      <w:r w:rsidRPr="001326F0">
        <w:rPr>
          <w:rFonts w:ascii="Book Antiqua" w:eastAsia="SimSun" w:hAnsi="Book Antiqua" w:cs="SimSun"/>
          <w:b/>
          <w:bCs/>
          <w:sz w:val="24"/>
          <w:szCs w:val="24"/>
          <w:lang w:val="en-US" w:eastAsia="zh-CN"/>
        </w:rPr>
        <w:t>34</w:t>
      </w:r>
      <w:r w:rsidRPr="001326F0">
        <w:rPr>
          <w:rFonts w:ascii="Book Antiqua" w:eastAsia="SimSun" w:hAnsi="Book Antiqua" w:cs="SimSun"/>
          <w:sz w:val="24"/>
          <w:szCs w:val="24"/>
          <w:lang w:val="en-US" w:eastAsia="zh-CN"/>
        </w:rPr>
        <w:t>: 1617-1621 [PMID: 7270486]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167 </w:t>
      </w:r>
      <w:r w:rsidRPr="001326F0">
        <w:rPr>
          <w:rFonts w:ascii="Book Antiqua" w:eastAsia="SimSun" w:hAnsi="Book Antiqua" w:cs="SimSun"/>
          <w:b/>
          <w:bCs/>
          <w:sz w:val="24"/>
          <w:szCs w:val="24"/>
          <w:lang w:val="en-US" w:eastAsia="zh-CN"/>
        </w:rPr>
        <w:t>Ruderman N</w:t>
      </w:r>
      <w:r w:rsidRPr="001326F0">
        <w:rPr>
          <w:rFonts w:ascii="Book Antiqua" w:eastAsia="SimSun" w:hAnsi="Book Antiqua" w:cs="SimSun"/>
          <w:sz w:val="24"/>
          <w:szCs w:val="24"/>
          <w:lang w:val="en-US" w:eastAsia="zh-CN"/>
        </w:rPr>
        <w:t xml:space="preserve">, Chisholm D, Pi-Sunyer X, Schneider S. The metabolically obese, normal-weight individual revisited.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1998; </w:t>
      </w:r>
      <w:r w:rsidRPr="001326F0">
        <w:rPr>
          <w:rFonts w:ascii="Book Antiqua" w:eastAsia="SimSun" w:hAnsi="Book Antiqua" w:cs="SimSun"/>
          <w:b/>
          <w:bCs/>
          <w:sz w:val="24"/>
          <w:szCs w:val="24"/>
          <w:lang w:val="en-US" w:eastAsia="zh-CN"/>
        </w:rPr>
        <w:t>47</w:t>
      </w:r>
      <w:r w:rsidRPr="001326F0">
        <w:rPr>
          <w:rFonts w:ascii="Book Antiqua" w:eastAsia="SimSun" w:hAnsi="Book Antiqua" w:cs="SimSun"/>
          <w:sz w:val="24"/>
          <w:szCs w:val="24"/>
          <w:lang w:val="en-US" w:eastAsia="zh-CN"/>
        </w:rPr>
        <w:t>: 699-713 [PMID: 9588440]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168 </w:t>
      </w:r>
      <w:r w:rsidRPr="001326F0">
        <w:rPr>
          <w:rFonts w:ascii="Book Antiqua" w:eastAsia="SimSun" w:hAnsi="Book Antiqua" w:cs="SimSun"/>
          <w:b/>
          <w:bCs/>
          <w:sz w:val="24"/>
          <w:szCs w:val="24"/>
          <w:lang w:val="en-US" w:eastAsia="zh-CN"/>
        </w:rPr>
        <w:t>Dvorak RV</w:t>
      </w:r>
      <w:r w:rsidRPr="001326F0">
        <w:rPr>
          <w:rFonts w:ascii="Book Antiqua" w:eastAsia="SimSun" w:hAnsi="Book Antiqua" w:cs="SimSun"/>
          <w:sz w:val="24"/>
          <w:szCs w:val="24"/>
          <w:lang w:val="en-US" w:eastAsia="zh-CN"/>
        </w:rPr>
        <w:t xml:space="preserve">, DeNino WF, Ades PA, Poehlman ET. Phenotypic characteristics associated with insulin resistance in metabolically obese but normal-weight young women.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1999; </w:t>
      </w:r>
      <w:r w:rsidRPr="001326F0">
        <w:rPr>
          <w:rFonts w:ascii="Book Antiqua" w:eastAsia="SimSun" w:hAnsi="Book Antiqua" w:cs="SimSun"/>
          <w:b/>
          <w:bCs/>
          <w:sz w:val="24"/>
          <w:szCs w:val="24"/>
          <w:lang w:val="en-US" w:eastAsia="zh-CN"/>
        </w:rPr>
        <w:t>48</w:t>
      </w:r>
      <w:r w:rsidRPr="001326F0">
        <w:rPr>
          <w:rFonts w:ascii="Book Antiqua" w:eastAsia="SimSun" w:hAnsi="Book Antiqua" w:cs="SimSun"/>
          <w:sz w:val="24"/>
          <w:szCs w:val="24"/>
          <w:lang w:val="en-US" w:eastAsia="zh-CN"/>
        </w:rPr>
        <w:t>: 2210-2214 [PMID: 10535456]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169 </w:t>
      </w:r>
      <w:r w:rsidRPr="001326F0">
        <w:rPr>
          <w:rFonts w:ascii="Book Antiqua" w:eastAsia="SimSun" w:hAnsi="Book Antiqua" w:cs="SimSun"/>
          <w:b/>
          <w:bCs/>
          <w:sz w:val="24"/>
          <w:szCs w:val="24"/>
          <w:lang w:val="en-US" w:eastAsia="zh-CN"/>
        </w:rPr>
        <w:t>Conus F</w:t>
      </w:r>
      <w:r w:rsidRPr="001326F0">
        <w:rPr>
          <w:rFonts w:ascii="Book Antiqua" w:eastAsia="SimSun" w:hAnsi="Book Antiqua" w:cs="SimSun"/>
          <w:sz w:val="24"/>
          <w:szCs w:val="24"/>
          <w:lang w:val="en-US" w:eastAsia="zh-CN"/>
        </w:rPr>
        <w:t xml:space="preserve">, Allison DB, Rabasa-Lhoret R, St-Onge M, St-Pierre DH, Tremblay-Lebeau A, Poehlman ET. Metabolic and behavioral characteristics </w:t>
      </w:r>
      <w:r w:rsidRPr="001326F0">
        <w:rPr>
          <w:rFonts w:ascii="Book Antiqua" w:eastAsia="SimSun" w:hAnsi="Book Antiqua" w:cs="SimSun"/>
          <w:sz w:val="24"/>
          <w:szCs w:val="24"/>
          <w:lang w:val="en-US" w:eastAsia="zh-CN"/>
        </w:rPr>
        <w:lastRenderedPageBreak/>
        <w:t xml:space="preserve">of metabolically obese but normal-weight women.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89</w:t>
      </w:r>
      <w:r w:rsidRPr="001326F0">
        <w:rPr>
          <w:rFonts w:ascii="Book Antiqua" w:eastAsia="SimSun" w:hAnsi="Book Antiqua" w:cs="SimSun"/>
          <w:sz w:val="24"/>
          <w:szCs w:val="24"/>
          <w:lang w:val="en-US" w:eastAsia="zh-CN"/>
        </w:rPr>
        <w:t>: 5013-5020 [PMID: 15472199]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170 </w:t>
      </w:r>
      <w:r w:rsidRPr="001326F0">
        <w:rPr>
          <w:rFonts w:ascii="Book Antiqua" w:eastAsia="SimSun" w:hAnsi="Book Antiqua" w:cs="SimSun"/>
          <w:b/>
          <w:bCs/>
          <w:sz w:val="24"/>
          <w:szCs w:val="24"/>
          <w:lang w:val="en-US" w:eastAsia="zh-CN"/>
        </w:rPr>
        <w:t>Meigs JB</w:t>
      </w:r>
      <w:r w:rsidRPr="001326F0">
        <w:rPr>
          <w:rFonts w:ascii="Book Antiqua" w:eastAsia="SimSun" w:hAnsi="Book Antiqua" w:cs="SimSun"/>
          <w:sz w:val="24"/>
          <w:szCs w:val="24"/>
          <w:lang w:val="en-US" w:eastAsia="zh-CN"/>
        </w:rPr>
        <w:t xml:space="preserve">, Wilson PW, Fox CS, Vasan RS, Nathan DM, Sullivan LM, D'Agostino RB. Body mass index, metabolic syndrome, and risk of type 2 diabetes or cardiovascular disease.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91</w:t>
      </w:r>
      <w:r w:rsidRPr="001326F0">
        <w:rPr>
          <w:rFonts w:ascii="Book Antiqua" w:eastAsia="SimSun" w:hAnsi="Book Antiqua" w:cs="SimSun"/>
          <w:sz w:val="24"/>
          <w:szCs w:val="24"/>
          <w:lang w:val="en-US" w:eastAsia="zh-CN"/>
        </w:rPr>
        <w:t>: 2906-2912 [PMID: 16735483]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171 </w:t>
      </w:r>
      <w:r w:rsidRPr="001326F0">
        <w:rPr>
          <w:rFonts w:ascii="Book Antiqua" w:eastAsia="SimSun" w:hAnsi="Book Antiqua" w:cs="SimSun"/>
          <w:b/>
          <w:bCs/>
          <w:sz w:val="24"/>
          <w:szCs w:val="24"/>
          <w:lang w:val="en-US" w:eastAsia="zh-CN"/>
        </w:rPr>
        <w:t>Succurro E</w:t>
      </w:r>
      <w:r w:rsidRPr="001326F0">
        <w:rPr>
          <w:rFonts w:ascii="Book Antiqua" w:eastAsia="SimSun" w:hAnsi="Book Antiqua" w:cs="SimSun"/>
          <w:sz w:val="24"/>
          <w:szCs w:val="24"/>
          <w:lang w:val="en-US" w:eastAsia="zh-CN"/>
        </w:rPr>
        <w:t xml:space="preserve">, Marini MA, Frontoni S, Hribal ML, Andreozzi F, Lauro R, Perticone F, Sesti G. Insulin secretion in metabolically obese, but normal weight, and in metabolically healthy but obese individuals.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16</w:t>
      </w:r>
      <w:r w:rsidRPr="001326F0">
        <w:rPr>
          <w:rFonts w:ascii="Book Antiqua" w:eastAsia="SimSun" w:hAnsi="Book Antiqua" w:cs="SimSun"/>
          <w:sz w:val="24"/>
          <w:szCs w:val="24"/>
          <w:lang w:val="en-US" w:eastAsia="zh-CN"/>
        </w:rPr>
        <w:t>: 1881-1886 [PMID: 18551117 DOI: 10.1038/oby.2008.308]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172 </w:t>
      </w:r>
      <w:r w:rsidRPr="001326F0">
        <w:rPr>
          <w:rFonts w:ascii="Book Antiqua" w:eastAsia="SimSun" w:hAnsi="Book Antiqua" w:cs="SimSun"/>
          <w:b/>
          <w:bCs/>
          <w:sz w:val="24"/>
          <w:szCs w:val="24"/>
          <w:lang w:val="en-US" w:eastAsia="zh-CN"/>
        </w:rPr>
        <w:t>Eckel N</w:t>
      </w:r>
      <w:r w:rsidRPr="001326F0">
        <w:rPr>
          <w:rFonts w:ascii="Book Antiqua" w:eastAsia="SimSun" w:hAnsi="Book Antiqua" w:cs="SimSun"/>
          <w:sz w:val="24"/>
          <w:szCs w:val="24"/>
          <w:lang w:val="en-US" w:eastAsia="zh-CN"/>
        </w:rPr>
        <w:t xml:space="preserve">, Mühlenbruch K, Meidtner K, Boeing H, Stefan N, Schulze MB. Characterization of metabolically unhealthy normal-weight individuals: Risk factors and their associations with type 2 diabetes. </w:t>
      </w:r>
      <w:r w:rsidRPr="001326F0">
        <w:rPr>
          <w:rFonts w:ascii="Book Antiqua" w:eastAsia="SimSun" w:hAnsi="Book Antiqua" w:cs="SimSun"/>
          <w:i/>
          <w:iCs/>
          <w:sz w:val="24"/>
          <w:szCs w:val="24"/>
          <w:lang w:val="en-US" w:eastAsia="zh-CN"/>
        </w:rPr>
        <w:t>Metabolism</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64</w:t>
      </w:r>
      <w:r w:rsidRPr="001326F0">
        <w:rPr>
          <w:rFonts w:ascii="Book Antiqua" w:eastAsia="SimSun" w:hAnsi="Book Antiqua" w:cs="SimSun"/>
          <w:sz w:val="24"/>
          <w:szCs w:val="24"/>
          <w:lang w:val="en-US" w:eastAsia="zh-CN"/>
        </w:rPr>
        <w:t>: 862-871 [PMID: 25861921 DOI: 10.1016/j.metabol.2015.03.009]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173 </w:t>
      </w:r>
      <w:r w:rsidRPr="001326F0">
        <w:rPr>
          <w:rFonts w:ascii="Book Antiqua" w:eastAsia="SimSun" w:hAnsi="Book Antiqua" w:cs="SimSun"/>
          <w:b/>
          <w:bCs/>
          <w:sz w:val="24"/>
          <w:szCs w:val="24"/>
          <w:lang w:val="en-US" w:eastAsia="zh-CN"/>
        </w:rPr>
        <w:t>Du T</w:t>
      </w:r>
      <w:r w:rsidRPr="001326F0">
        <w:rPr>
          <w:rFonts w:ascii="Book Antiqua" w:eastAsia="SimSun" w:hAnsi="Book Antiqua" w:cs="SimSun"/>
          <w:sz w:val="24"/>
          <w:szCs w:val="24"/>
          <w:lang w:val="en-US" w:eastAsia="zh-CN"/>
        </w:rPr>
        <w:t xml:space="preserve">, Yu X, Zhang J, Sun X. Lipid accumulation product and visceral adiposity index are effective markers for identifying the metabolically obese normal-weight phenotype. </w:t>
      </w:r>
      <w:r w:rsidRPr="001326F0">
        <w:rPr>
          <w:rFonts w:ascii="Book Antiqua" w:eastAsia="SimSun" w:hAnsi="Book Antiqua" w:cs="SimSun"/>
          <w:i/>
          <w:iCs/>
          <w:sz w:val="24"/>
          <w:szCs w:val="24"/>
          <w:lang w:val="en-US" w:eastAsia="zh-CN"/>
        </w:rPr>
        <w:t>Acta Diabetol</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52</w:t>
      </w:r>
      <w:r w:rsidRPr="001326F0">
        <w:rPr>
          <w:rFonts w:ascii="Book Antiqua" w:eastAsia="SimSun" w:hAnsi="Book Antiqua" w:cs="SimSun"/>
          <w:sz w:val="24"/>
          <w:szCs w:val="24"/>
          <w:lang w:val="en-US" w:eastAsia="zh-CN"/>
        </w:rPr>
        <w:t>: 855-863 [PMID: 25690647]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174 </w:t>
      </w:r>
      <w:r w:rsidRPr="001326F0">
        <w:rPr>
          <w:rFonts w:ascii="Book Antiqua" w:eastAsia="SimSun" w:hAnsi="Book Antiqua" w:cs="SimSun"/>
          <w:b/>
          <w:bCs/>
          <w:sz w:val="24"/>
          <w:szCs w:val="24"/>
          <w:lang w:val="en-US" w:eastAsia="zh-CN"/>
        </w:rPr>
        <w:t>Lee SH</w:t>
      </w:r>
      <w:r w:rsidRPr="001326F0">
        <w:rPr>
          <w:rFonts w:ascii="Book Antiqua" w:eastAsia="SimSun" w:hAnsi="Book Antiqua" w:cs="SimSun"/>
          <w:sz w:val="24"/>
          <w:szCs w:val="24"/>
          <w:lang w:val="en-US" w:eastAsia="zh-CN"/>
        </w:rPr>
        <w:t xml:space="preserve">, Han K, Yang HK, Kim MK, Yoon KH, Kwon HS, Park YM. Identifying subgroups of obesity using the product of triglycerides and glucose: the Korea National Health and Nutrition Examination Survey, 2008-2010. </w:t>
      </w:r>
      <w:r w:rsidRPr="001326F0">
        <w:rPr>
          <w:rFonts w:ascii="Book Antiqua" w:eastAsia="SimSun" w:hAnsi="Book Antiqua" w:cs="SimSun"/>
          <w:i/>
          <w:iCs/>
          <w:sz w:val="24"/>
          <w:szCs w:val="24"/>
          <w:lang w:val="en-US" w:eastAsia="zh-CN"/>
        </w:rPr>
        <w:t>Clin Endocrinol (Oxf)</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82</w:t>
      </w:r>
      <w:r w:rsidRPr="001326F0">
        <w:rPr>
          <w:rFonts w:ascii="Book Antiqua" w:eastAsia="SimSun" w:hAnsi="Book Antiqua" w:cs="SimSun"/>
          <w:sz w:val="24"/>
          <w:szCs w:val="24"/>
          <w:lang w:val="en-US" w:eastAsia="zh-CN"/>
        </w:rPr>
        <w:t>: 213-220 [PMID: 24841432 DOI: 10.1038/nutd.2014.46]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175 </w:t>
      </w:r>
      <w:r w:rsidRPr="001326F0">
        <w:rPr>
          <w:rFonts w:ascii="Book Antiqua" w:eastAsia="SimSun" w:hAnsi="Book Antiqua" w:cs="SimSun"/>
          <w:b/>
          <w:bCs/>
          <w:sz w:val="24"/>
          <w:szCs w:val="24"/>
          <w:lang w:val="en-US" w:eastAsia="zh-CN"/>
        </w:rPr>
        <w:t>Thomas EL</w:t>
      </w:r>
      <w:r w:rsidRPr="001326F0">
        <w:rPr>
          <w:rFonts w:ascii="Book Antiqua" w:eastAsia="SimSun" w:hAnsi="Book Antiqua" w:cs="SimSun"/>
          <w:sz w:val="24"/>
          <w:szCs w:val="24"/>
          <w:lang w:val="en-US" w:eastAsia="zh-CN"/>
        </w:rPr>
        <w:t xml:space="preserve">, Frost G, Taylor-Robinson SD, Bell JD. Excess body fat in obese and normal-weight subjects. </w:t>
      </w:r>
      <w:r w:rsidRPr="001326F0">
        <w:rPr>
          <w:rFonts w:ascii="Book Antiqua" w:eastAsia="SimSun" w:hAnsi="Book Antiqua" w:cs="SimSun"/>
          <w:i/>
          <w:iCs/>
          <w:sz w:val="24"/>
          <w:szCs w:val="24"/>
          <w:lang w:val="en-US" w:eastAsia="zh-CN"/>
        </w:rPr>
        <w:t>Nutr Res Rev</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25</w:t>
      </w:r>
      <w:r w:rsidRPr="001326F0">
        <w:rPr>
          <w:rFonts w:ascii="Book Antiqua" w:eastAsia="SimSun" w:hAnsi="Book Antiqua" w:cs="SimSun"/>
          <w:sz w:val="24"/>
          <w:szCs w:val="24"/>
          <w:lang w:val="en-US" w:eastAsia="zh-CN"/>
        </w:rPr>
        <w:t>: 150-161 [PMID: 22625426 DOI: 10.1017/S0954422412000054]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176 </w:t>
      </w:r>
      <w:r w:rsidRPr="001326F0">
        <w:rPr>
          <w:rFonts w:ascii="Book Antiqua" w:eastAsia="SimSun" w:hAnsi="Book Antiqua" w:cs="SimSun"/>
          <w:b/>
          <w:sz w:val="24"/>
          <w:szCs w:val="24"/>
          <w:lang w:val="en-US" w:eastAsia="zh-CN"/>
        </w:rPr>
        <w:t>Esposito K</w:t>
      </w:r>
      <w:r w:rsidRPr="001326F0">
        <w:rPr>
          <w:rFonts w:ascii="Book Antiqua" w:eastAsia="SimSun" w:hAnsi="Book Antiqua" w:cs="SimSun"/>
          <w:sz w:val="24"/>
          <w:szCs w:val="24"/>
          <w:lang w:val="en-US" w:eastAsia="zh-CN"/>
        </w:rPr>
        <w:t xml:space="preserve">, Giugliano D. The metabolic syndrome and inflammation: association or causation? </w:t>
      </w:r>
      <w:bookmarkStart w:id="314" w:name="OLE_LINK2545"/>
      <w:bookmarkStart w:id="315" w:name="OLE_LINK2546"/>
      <w:bookmarkStart w:id="316" w:name="OLE_LINK2547"/>
      <w:r w:rsidRPr="001326F0">
        <w:rPr>
          <w:rFonts w:ascii="Book Antiqua" w:eastAsia="SimSun" w:hAnsi="Book Antiqua" w:cs="SimSun"/>
          <w:i/>
          <w:sz w:val="24"/>
          <w:szCs w:val="24"/>
          <w:lang w:val="en-US" w:eastAsia="zh-CN"/>
        </w:rPr>
        <w:t xml:space="preserve">Nutr Metab Cardiovasc Dis </w:t>
      </w:r>
      <w:r w:rsidRPr="001326F0">
        <w:rPr>
          <w:rFonts w:ascii="Book Antiqua" w:eastAsia="SimSun" w:hAnsi="Book Antiqua" w:cs="SimSun"/>
          <w:sz w:val="24"/>
          <w:szCs w:val="24"/>
          <w:lang w:val="en-US" w:eastAsia="zh-CN"/>
        </w:rPr>
        <w:t xml:space="preserve">2004; </w:t>
      </w:r>
      <w:r w:rsidRPr="001326F0">
        <w:rPr>
          <w:rFonts w:ascii="Book Antiqua" w:eastAsia="SimSun" w:hAnsi="Book Antiqua" w:cs="SimSun"/>
          <w:b/>
          <w:sz w:val="24"/>
          <w:szCs w:val="24"/>
          <w:lang w:val="en-US" w:eastAsia="zh-CN"/>
        </w:rPr>
        <w:t>14</w:t>
      </w:r>
      <w:r w:rsidRPr="001326F0">
        <w:rPr>
          <w:rFonts w:ascii="Book Antiqua" w:eastAsia="SimSun" w:hAnsi="Book Antiqua" w:cs="SimSun"/>
          <w:sz w:val="24"/>
          <w:szCs w:val="24"/>
          <w:lang w:val="en-US" w:eastAsia="zh-CN"/>
        </w:rPr>
        <w:t>: 228–232</w:t>
      </w:r>
      <w:bookmarkEnd w:id="314"/>
      <w:bookmarkEnd w:id="315"/>
      <w:bookmarkEnd w:id="316"/>
      <w:r w:rsidRPr="001326F0">
        <w:rPr>
          <w:rFonts w:ascii="Book Antiqua" w:eastAsia="SimSun" w:hAnsi="Book Antiqua" w:cs="SimSun" w:hint="eastAsia"/>
          <w:sz w:val="24"/>
          <w:szCs w:val="24"/>
          <w:lang w:val="en-US" w:eastAsia="zh-CN"/>
        </w:rPr>
        <w:t xml:space="preserve"> [</w:t>
      </w:r>
      <w:r w:rsidRPr="001326F0">
        <w:rPr>
          <w:rFonts w:ascii="Book Antiqua" w:eastAsia="SimSun" w:hAnsi="Book Antiqua" w:cs="SimSun"/>
          <w:sz w:val="24"/>
          <w:szCs w:val="24"/>
          <w:lang w:val="en-US" w:eastAsia="zh-CN"/>
        </w:rPr>
        <w:t>PMID: 15673055</w:t>
      </w:r>
      <w:r w:rsidRPr="001326F0">
        <w:rPr>
          <w:rFonts w:ascii="Book Antiqua" w:eastAsia="SimSun" w:hAnsi="Book Antiqua" w:cs="SimSun" w:hint="eastAsia"/>
          <w:sz w:val="24"/>
          <w:szCs w:val="24"/>
          <w:lang w:val="en-US" w:eastAsia="zh-CN"/>
        </w:rPr>
        <w:t>]</w:t>
      </w:r>
    </w:p>
    <w:p w:rsidR="0031238A" w:rsidRPr="001326F0" w:rsidRDefault="0031238A" w:rsidP="0031238A">
      <w:pPr>
        <w:tabs>
          <w:tab w:val="left" w:pos="810"/>
        </w:tabs>
        <w:autoSpaceDE w:val="0"/>
        <w:autoSpaceDN w:val="0"/>
        <w:adjustRightInd w:val="0"/>
        <w:snapToGrid w:val="0"/>
        <w:spacing w:after="0" w:line="360" w:lineRule="auto"/>
        <w:jc w:val="both"/>
        <w:rPr>
          <w:rFonts w:ascii="Book Antiqua" w:eastAsia="SimSun" w:hAnsi="Book Antiqua" w:cs="Times New Roman"/>
          <w:sz w:val="24"/>
          <w:szCs w:val="24"/>
          <w:lang w:val="en-US"/>
        </w:rPr>
      </w:pPr>
      <w:r w:rsidRPr="001326F0">
        <w:rPr>
          <w:rFonts w:ascii="Book Antiqua" w:eastAsia="SimSun" w:hAnsi="Book Antiqua" w:cs="SimSun" w:hint="eastAsia"/>
          <w:sz w:val="24"/>
          <w:szCs w:val="24"/>
        </w:rPr>
        <w:t xml:space="preserve">177 </w:t>
      </w:r>
      <w:r w:rsidRPr="001326F0">
        <w:rPr>
          <w:rFonts w:ascii="Book Antiqua" w:eastAsia="SimSun" w:hAnsi="Book Antiqua" w:cs="Times New Roman"/>
          <w:b/>
          <w:sz w:val="24"/>
          <w:szCs w:val="24"/>
          <w:lang w:val="en-US"/>
        </w:rPr>
        <w:t>Bednarek-Tupikowska G</w:t>
      </w:r>
      <w:r w:rsidRPr="001326F0">
        <w:rPr>
          <w:rFonts w:ascii="Book Antiqua" w:eastAsia="SimSun" w:hAnsi="Book Antiqua" w:cs="Times New Roman"/>
          <w:sz w:val="24"/>
          <w:szCs w:val="24"/>
          <w:lang w:val="en-US"/>
        </w:rPr>
        <w:t xml:space="preserve">, Zdrojowy-Welna A, Stachowska B, Kuliczkowska Plaksej J, Matczak-Giemza M, Kubicka E, Tworowska-Bardzilska U, Milewicz A, Bolanowski M. Accumulation of abdominal fat in </w:t>
      </w:r>
      <w:r w:rsidRPr="001326F0">
        <w:rPr>
          <w:rFonts w:ascii="Book Antiqua" w:eastAsia="SimSun" w:hAnsi="Book Antiqua" w:cs="Times New Roman"/>
          <w:sz w:val="24"/>
          <w:szCs w:val="24"/>
          <w:lang w:val="en-US"/>
        </w:rPr>
        <w:lastRenderedPageBreak/>
        <w:t xml:space="preserve">relation to selected proinflammatory cytokines concentrations in non-obese Wroclaw inhabitants. </w:t>
      </w:r>
      <w:r w:rsidRPr="001326F0">
        <w:rPr>
          <w:rFonts w:ascii="Book Antiqua" w:eastAsia="SimSun" w:hAnsi="Book Antiqua" w:cs="Times New Roman"/>
          <w:i/>
          <w:sz w:val="24"/>
          <w:szCs w:val="24"/>
          <w:lang w:val="en-US"/>
        </w:rPr>
        <w:t>Endokrynol Pol</w:t>
      </w:r>
      <w:r w:rsidRPr="001326F0">
        <w:rPr>
          <w:rFonts w:ascii="Book Antiqua" w:eastAsia="SimSun" w:hAnsi="Book Antiqua" w:cs="Times New Roman"/>
          <w:sz w:val="24"/>
          <w:szCs w:val="24"/>
          <w:lang w:val="en-US"/>
        </w:rPr>
        <w:t xml:space="preserve"> 2014; </w:t>
      </w:r>
      <w:r w:rsidRPr="001326F0">
        <w:rPr>
          <w:rFonts w:ascii="Book Antiqua" w:eastAsia="SimSun" w:hAnsi="Book Antiqua" w:cs="Times New Roman"/>
          <w:b/>
          <w:sz w:val="24"/>
          <w:szCs w:val="24"/>
          <w:lang w:val="en-US"/>
        </w:rPr>
        <w:t>65</w:t>
      </w:r>
      <w:r w:rsidRPr="001326F0">
        <w:rPr>
          <w:rFonts w:ascii="Book Antiqua" w:eastAsia="SimSun" w:hAnsi="Book Antiqua" w:cs="Times New Roman"/>
          <w:sz w:val="24"/>
          <w:szCs w:val="24"/>
          <w:lang w:val="en-US"/>
        </w:rPr>
        <w:t>:</w:t>
      </w:r>
      <w:r w:rsidRPr="001326F0">
        <w:rPr>
          <w:rFonts w:ascii="Book Antiqua" w:eastAsia="SimSun" w:hAnsi="Book Antiqua" w:cs="Times New Roman" w:hint="eastAsia"/>
          <w:sz w:val="24"/>
          <w:szCs w:val="24"/>
          <w:lang w:val="en-US" w:eastAsia="zh-CN"/>
        </w:rPr>
        <w:t xml:space="preserve"> </w:t>
      </w:r>
      <w:r w:rsidRPr="001326F0">
        <w:rPr>
          <w:rFonts w:ascii="Book Antiqua" w:eastAsia="SimSun" w:hAnsi="Book Antiqua" w:cs="Times New Roman"/>
          <w:sz w:val="24"/>
          <w:szCs w:val="24"/>
          <w:lang w:val="en-US"/>
        </w:rPr>
        <w:t>449-</w:t>
      </w:r>
      <w:r w:rsidRPr="001326F0">
        <w:rPr>
          <w:rFonts w:ascii="Book Antiqua" w:eastAsia="SimSun" w:hAnsi="Book Antiqua" w:cs="Times New Roman" w:hint="eastAsia"/>
          <w:sz w:val="24"/>
          <w:szCs w:val="24"/>
          <w:lang w:val="en-US" w:eastAsia="zh-CN"/>
        </w:rPr>
        <w:t>4</w:t>
      </w:r>
      <w:r w:rsidRPr="001326F0">
        <w:rPr>
          <w:rFonts w:ascii="Book Antiqua" w:eastAsia="SimSun" w:hAnsi="Book Antiqua" w:cs="Times New Roman"/>
          <w:sz w:val="24"/>
          <w:szCs w:val="24"/>
          <w:lang w:val="en-US"/>
        </w:rPr>
        <w:t>55 [PMID: 25554612 DOI: 10.5603/EP.2014.0062]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178 </w:t>
      </w:r>
      <w:r w:rsidRPr="001326F0">
        <w:rPr>
          <w:rFonts w:ascii="Book Antiqua" w:eastAsia="SimSun" w:hAnsi="Book Antiqua" w:cs="SimSun"/>
          <w:b/>
          <w:bCs/>
          <w:sz w:val="24"/>
          <w:szCs w:val="24"/>
          <w:lang w:val="en-US" w:eastAsia="zh-CN"/>
        </w:rPr>
        <w:t>Bonora E</w:t>
      </w:r>
      <w:r w:rsidRPr="001326F0">
        <w:rPr>
          <w:rFonts w:ascii="Book Antiqua" w:eastAsia="SimSun" w:hAnsi="Book Antiqua" w:cs="SimSun"/>
          <w:sz w:val="24"/>
          <w:szCs w:val="24"/>
          <w:lang w:val="en-US" w:eastAsia="zh-CN"/>
        </w:rPr>
        <w:t xml:space="preserve">, Willeit J, Kiechl S, Oberhollenzer F, Egger G, Bonadonna R, Muggeo M. U-shaped and J-shaped relationships between serum insulin and coronary heart disease in the general population. The Bruneck Study. </w:t>
      </w:r>
      <w:r w:rsidRPr="001326F0">
        <w:rPr>
          <w:rFonts w:ascii="Book Antiqua" w:eastAsia="SimSun" w:hAnsi="Book Antiqua" w:cs="SimSun"/>
          <w:i/>
          <w:iCs/>
          <w:sz w:val="24"/>
          <w:szCs w:val="24"/>
          <w:lang w:val="en-US" w:eastAsia="zh-CN"/>
        </w:rPr>
        <w:t>Diabetes Care</w:t>
      </w:r>
      <w:r w:rsidRPr="001326F0">
        <w:rPr>
          <w:rFonts w:ascii="Book Antiqua" w:eastAsia="SimSun" w:hAnsi="Book Antiqua" w:cs="SimSun"/>
          <w:sz w:val="24"/>
          <w:szCs w:val="24"/>
          <w:lang w:val="en-US" w:eastAsia="zh-CN"/>
        </w:rPr>
        <w:t xml:space="preserve"> 1998; </w:t>
      </w:r>
      <w:r w:rsidRPr="001326F0">
        <w:rPr>
          <w:rFonts w:ascii="Book Antiqua" w:eastAsia="SimSun" w:hAnsi="Book Antiqua" w:cs="SimSun"/>
          <w:b/>
          <w:bCs/>
          <w:sz w:val="24"/>
          <w:szCs w:val="24"/>
          <w:lang w:val="en-US" w:eastAsia="zh-CN"/>
        </w:rPr>
        <w:t>21</w:t>
      </w:r>
      <w:r w:rsidRPr="001326F0">
        <w:rPr>
          <w:rFonts w:ascii="Book Antiqua" w:eastAsia="SimSun" w:hAnsi="Book Antiqua" w:cs="SimSun"/>
          <w:sz w:val="24"/>
          <w:szCs w:val="24"/>
          <w:lang w:val="en-US" w:eastAsia="zh-CN"/>
        </w:rPr>
        <w:t>: 221-230 [PMID: 9539986]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179 </w:t>
      </w:r>
      <w:r w:rsidRPr="001326F0">
        <w:rPr>
          <w:rFonts w:ascii="Book Antiqua" w:eastAsia="SimSun" w:hAnsi="Book Antiqua" w:cs="SimSun"/>
          <w:b/>
          <w:bCs/>
          <w:sz w:val="24"/>
          <w:szCs w:val="24"/>
          <w:lang w:val="en-US" w:eastAsia="zh-CN"/>
        </w:rPr>
        <w:t>Sims EA</w:t>
      </w:r>
      <w:r w:rsidRPr="001326F0">
        <w:rPr>
          <w:rFonts w:ascii="Book Antiqua" w:eastAsia="SimSun" w:hAnsi="Book Antiqua" w:cs="SimSun"/>
          <w:sz w:val="24"/>
          <w:szCs w:val="24"/>
          <w:lang w:val="en-US" w:eastAsia="zh-CN"/>
        </w:rPr>
        <w:t xml:space="preserve">. Are there persons who are obese, but metabolically healthy? </w:t>
      </w:r>
      <w:r w:rsidRPr="001326F0">
        <w:rPr>
          <w:rFonts w:ascii="Book Antiqua" w:eastAsia="SimSun" w:hAnsi="Book Antiqua" w:cs="SimSun"/>
          <w:i/>
          <w:iCs/>
          <w:sz w:val="24"/>
          <w:szCs w:val="24"/>
          <w:lang w:val="en-US" w:eastAsia="zh-CN"/>
        </w:rPr>
        <w:t>Metabolism</w:t>
      </w:r>
      <w:r w:rsidRPr="001326F0">
        <w:rPr>
          <w:rFonts w:ascii="Book Antiqua" w:eastAsia="SimSun" w:hAnsi="Book Antiqua" w:cs="SimSun"/>
          <w:sz w:val="24"/>
          <w:szCs w:val="24"/>
          <w:lang w:val="en-US" w:eastAsia="zh-CN"/>
        </w:rPr>
        <w:t xml:space="preserve"> 2001; </w:t>
      </w:r>
      <w:r w:rsidRPr="001326F0">
        <w:rPr>
          <w:rFonts w:ascii="Book Antiqua" w:eastAsia="SimSun" w:hAnsi="Book Antiqua" w:cs="SimSun"/>
          <w:b/>
          <w:bCs/>
          <w:sz w:val="24"/>
          <w:szCs w:val="24"/>
          <w:lang w:val="en-US" w:eastAsia="zh-CN"/>
        </w:rPr>
        <w:t>50</w:t>
      </w:r>
      <w:r w:rsidRPr="001326F0">
        <w:rPr>
          <w:rFonts w:ascii="Book Antiqua" w:eastAsia="SimSun" w:hAnsi="Book Antiqua" w:cs="SimSun"/>
          <w:sz w:val="24"/>
          <w:szCs w:val="24"/>
          <w:lang w:val="en-US" w:eastAsia="zh-CN"/>
        </w:rPr>
        <w:t>: 1499-1504 [PMID: 11735101]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180 </w:t>
      </w:r>
      <w:r w:rsidRPr="001326F0">
        <w:rPr>
          <w:rFonts w:ascii="Book Antiqua" w:eastAsia="SimSun" w:hAnsi="Book Antiqua" w:cs="SimSun"/>
          <w:b/>
          <w:bCs/>
          <w:sz w:val="24"/>
          <w:szCs w:val="24"/>
          <w:lang w:val="en-US" w:eastAsia="zh-CN"/>
        </w:rPr>
        <w:t>van Vliet-Ostaptchouk JV</w:t>
      </w:r>
      <w:r w:rsidRPr="001326F0">
        <w:rPr>
          <w:rFonts w:ascii="Book Antiqua" w:eastAsia="SimSun" w:hAnsi="Book Antiqua" w:cs="SimSun"/>
          <w:sz w:val="24"/>
          <w:szCs w:val="24"/>
          <w:lang w:val="en-US" w:eastAsia="zh-CN"/>
        </w:rPr>
        <w:t xml:space="preserve">, Nuotio ML, Slagter SN, Doiron D, Fischer K, Foco L, Gaye A, Gögele M, Heier M, Hiekkalinna T, Joensuu A, Newby C, Pang C, Partinen E, Reischl E, Schwienbacher C, Tammesoo ML, Swertz MA, Burton P, Ferretti V, Fortier I, Giepmans L, Harris JR, Hillege HL, Holmen J, Jula A, Kootstra-Ros JE, Kvaløy K, Holmen TL, Männistö S, Metspalu A, Midthjell K, Murtagh MJ, Peters A, Pramstaller PP, Saaristo T, Salomaa V, Stolk RP, Uusitupa M, van der Harst P, van der Klauw MM, Waldenberger M, Perola M, Wolffenbuttel BH. The prevalence of metabolic syndrome and metabolically healthy obesity in Europe: a collaborative analysis of ten large cohort studies. </w:t>
      </w:r>
      <w:r w:rsidRPr="001326F0">
        <w:rPr>
          <w:rFonts w:ascii="Book Antiqua" w:eastAsia="SimSun" w:hAnsi="Book Antiqua" w:cs="SimSun"/>
          <w:i/>
          <w:iCs/>
          <w:sz w:val="24"/>
          <w:szCs w:val="24"/>
          <w:lang w:val="en-US" w:eastAsia="zh-CN"/>
        </w:rPr>
        <w:t>BMC Endocr Disord</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14</w:t>
      </w:r>
      <w:r w:rsidRPr="001326F0">
        <w:rPr>
          <w:rFonts w:ascii="Book Antiqua" w:eastAsia="SimSun" w:hAnsi="Book Antiqua" w:cs="SimSun"/>
          <w:sz w:val="24"/>
          <w:szCs w:val="24"/>
          <w:lang w:val="en-US" w:eastAsia="zh-CN"/>
        </w:rPr>
        <w:t>: 9 [PMID: 24484869 DOI: 10.1186/1472-6823-14-9]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181 </w:t>
      </w:r>
      <w:r w:rsidRPr="001326F0">
        <w:rPr>
          <w:rFonts w:ascii="Book Antiqua" w:eastAsia="SimSun" w:hAnsi="Book Antiqua" w:cs="SimSun"/>
          <w:b/>
          <w:bCs/>
          <w:sz w:val="24"/>
          <w:szCs w:val="24"/>
          <w:lang w:val="en-US" w:eastAsia="zh-CN"/>
        </w:rPr>
        <w:t>Yoo HK</w:t>
      </w:r>
      <w:r w:rsidRPr="001326F0">
        <w:rPr>
          <w:rFonts w:ascii="Book Antiqua" w:eastAsia="SimSun" w:hAnsi="Book Antiqua" w:cs="SimSun"/>
          <w:sz w:val="24"/>
          <w:szCs w:val="24"/>
          <w:lang w:val="en-US" w:eastAsia="zh-CN"/>
        </w:rPr>
        <w:t xml:space="preserve">, Choi EY, Park EW, Cheong YS, Bae RA. Comparison of Metabolic Characteristics of Metabolically Healthy but Obese (MHO) Middle-Aged Men According to Different Criteria. </w:t>
      </w:r>
      <w:r w:rsidRPr="001326F0">
        <w:rPr>
          <w:rFonts w:ascii="Book Antiqua" w:eastAsia="SimSun" w:hAnsi="Book Antiqua" w:cs="SimSun"/>
          <w:i/>
          <w:iCs/>
          <w:sz w:val="24"/>
          <w:szCs w:val="24"/>
          <w:lang w:val="en-US" w:eastAsia="zh-CN"/>
        </w:rPr>
        <w:t>Korean J Fam Med</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34</w:t>
      </w:r>
      <w:r w:rsidRPr="001326F0">
        <w:rPr>
          <w:rFonts w:ascii="Book Antiqua" w:eastAsia="SimSun" w:hAnsi="Book Antiqua" w:cs="SimSun"/>
          <w:sz w:val="24"/>
          <w:szCs w:val="24"/>
          <w:lang w:val="en-US" w:eastAsia="zh-CN"/>
        </w:rPr>
        <w:t>: 19-26 [PMID: 23372902 DOI: 10.4082/kjfm.2013.34.1.19]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182 </w:t>
      </w:r>
      <w:r w:rsidRPr="001326F0">
        <w:rPr>
          <w:rFonts w:ascii="Book Antiqua" w:eastAsia="SimSun" w:hAnsi="Book Antiqua" w:cs="SimSun"/>
          <w:b/>
          <w:bCs/>
          <w:sz w:val="24"/>
          <w:szCs w:val="24"/>
          <w:lang w:val="en-US" w:eastAsia="zh-CN"/>
        </w:rPr>
        <w:t>Singh-Manoux A</w:t>
      </w:r>
      <w:r w:rsidRPr="001326F0">
        <w:rPr>
          <w:rFonts w:ascii="Book Antiqua" w:eastAsia="SimSun" w:hAnsi="Book Antiqua" w:cs="SimSun"/>
          <w:sz w:val="24"/>
          <w:szCs w:val="24"/>
          <w:lang w:val="en-US" w:eastAsia="zh-CN"/>
        </w:rPr>
        <w:t xml:space="preserve">, Czernichow S, Elbaz A, Dugravot A, Sabia S, Hagger-Johnson G, Kaffashian S, Zins M, Brunner EJ, Nabi H, Kivimäki M. Obesity phenotypes in midlife and cognition in early old age: the Whitehall II cohort study. </w:t>
      </w:r>
      <w:r w:rsidRPr="001326F0">
        <w:rPr>
          <w:rFonts w:ascii="Book Antiqua" w:eastAsia="SimSun" w:hAnsi="Book Antiqua" w:cs="SimSun"/>
          <w:i/>
          <w:iCs/>
          <w:sz w:val="24"/>
          <w:szCs w:val="24"/>
          <w:lang w:val="en-US" w:eastAsia="zh-CN"/>
        </w:rPr>
        <w:t>Neurology</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79</w:t>
      </w:r>
      <w:r w:rsidRPr="001326F0">
        <w:rPr>
          <w:rFonts w:ascii="Book Antiqua" w:eastAsia="SimSun" w:hAnsi="Book Antiqua" w:cs="SimSun"/>
          <w:sz w:val="24"/>
          <w:szCs w:val="24"/>
          <w:lang w:val="en-US" w:eastAsia="zh-CN"/>
        </w:rPr>
        <w:t>: 755-762 [PMID: 22915175 DOI: 10.1212/WNL.0b013e3182661f63]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183 </w:t>
      </w:r>
      <w:r w:rsidRPr="001326F0">
        <w:rPr>
          <w:rFonts w:ascii="Book Antiqua" w:eastAsia="SimSun" w:hAnsi="Book Antiqua" w:cs="SimSun"/>
          <w:b/>
          <w:bCs/>
          <w:sz w:val="24"/>
          <w:szCs w:val="24"/>
          <w:lang w:val="en-US" w:eastAsia="zh-CN"/>
        </w:rPr>
        <w:t>Pajunen P</w:t>
      </w:r>
      <w:r w:rsidRPr="001326F0">
        <w:rPr>
          <w:rFonts w:ascii="Book Antiqua" w:eastAsia="SimSun" w:hAnsi="Book Antiqua" w:cs="SimSun"/>
          <w:sz w:val="24"/>
          <w:szCs w:val="24"/>
          <w:lang w:val="en-US" w:eastAsia="zh-CN"/>
        </w:rPr>
        <w:t xml:space="preserve">, Kotronen A, Korpi-Hyövälti E, Keinänen-Kiukaanniemi S, Oksa H, Niskanen L, Saaristo T, Saltevo JT, Sundvall J, Vanhala M, Uusitupa </w:t>
      </w:r>
      <w:r w:rsidRPr="001326F0">
        <w:rPr>
          <w:rFonts w:ascii="Book Antiqua" w:eastAsia="SimSun" w:hAnsi="Book Antiqua" w:cs="SimSun"/>
          <w:sz w:val="24"/>
          <w:szCs w:val="24"/>
          <w:lang w:val="en-US" w:eastAsia="zh-CN"/>
        </w:rPr>
        <w:lastRenderedPageBreak/>
        <w:t xml:space="preserve">M, Peltonen M. Metabolically healthy and unhealthy obesity phenotypes in the general population: the FIN-D2D Survey. </w:t>
      </w:r>
      <w:r w:rsidRPr="001326F0">
        <w:rPr>
          <w:rFonts w:ascii="Book Antiqua" w:eastAsia="SimSun" w:hAnsi="Book Antiqua" w:cs="SimSun"/>
          <w:i/>
          <w:iCs/>
          <w:sz w:val="24"/>
          <w:szCs w:val="24"/>
          <w:lang w:val="en-US" w:eastAsia="zh-CN"/>
        </w:rPr>
        <w:t>BMC Public Health</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11</w:t>
      </w:r>
      <w:r w:rsidRPr="001326F0">
        <w:rPr>
          <w:rFonts w:ascii="Book Antiqua" w:eastAsia="SimSun" w:hAnsi="Book Antiqua" w:cs="SimSun"/>
          <w:sz w:val="24"/>
          <w:szCs w:val="24"/>
          <w:lang w:val="en-US" w:eastAsia="zh-CN"/>
        </w:rPr>
        <w:t>: 754 [PMID: 21962038 DOI: 10.1186/1471-2458-11-754]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184 </w:t>
      </w:r>
      <w:r w:rsidRPr="001326F0">
        <w:rPr>
          <w:rFonts w:ascii="Book Antiqua" w:eastAsia="SimSun" w:hAnsi="Book Antiqua" w:cs="SimSun"/>
          <w:b/>
          <w:bCs/>
          <w:sz w:val="24"/>
          <w:szCs w:val="24"/>
          <w:lang w:val="en-US" w:eastAsia="zh-CN"/>
        </w:rPr>
        <w:t>Calori G</w:t>
      </w:r>
      <w:r w:rsidRPr="001326F0">
        <w:rPr>
          <w:rFonts w:ascii="Book Antiqua" w:eastAsia="SimSun" w:hAnsi="Book Antiqua" w:cs="SimSun"/>
          <w:sz w:val="24"/>
          <w:szCs w:val="24"/>
          <w:lang w:val="en-US" w:eastAsia="zh-CN"/>
        </w:rPr>
        <w:t xml:space="preserve">, Lattuada G, Piemonti L, Garancini MP, Ragogna F, Villa M, Mannino S, Crosignani P, Bosi E, Luzi L, Ruotolo G, Perseghin G. Prevalence, metabolic features, and prognosis of metabolically healthy obese Italian individuals: the Cremona Study. </w:t>
      </w:r>
      <w:r w:rsidRPr="001326F0">
        <w:rPr>
          <w:rFonts w:ascii="Book Antiqua" w:eastAsia="SimSun" w:hAnsi="Book Antiqua" w:cs="SimSun"/>
          <w:i/>
          <w:iCs/>
          <w:sz w:val="24"/>
          <w:szCs w:val="24"/>
          <w:lang w:val="en-US" w:eastAsia="zh-CN"/>
        </w:rPr>
        <w:t>Diabetes Care</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34</w:t>
      </w:r>
      <w:r w:rsidRPr="001326F0">
        <w:rPr>
          <w:rFonts w:ascii="Book Antiqua" w:eastAsia="SimSun" w:hAnsi="Book Antiqua" w:cs="SimSun"/>
          <w:sz w:val="24"/>
          <w:szCs w:val="24"/>
          <w:lang w:val="en-US" w:eastAsia="zh-CN"/>
        </w:rPr>
        <w:t>: 210-215 [PMID: 20937689 DOI: 10.2337/dc10-0665]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185 </w:t>
      </w:r>
      <w:r w:rsidRPr="001326F0">
        <w:rPr>
          <w:rFonts w:ascii="Book Antiqua" w:eastAsia="SimSun" w:hAnsi="Book Antiqua" w:cs="SimSun"/>
          <w:b/>
          <w:bCs/>
          <w:sz w:val="24"/>
          <w:szCs w:val="24"/>
          <w:lang w:val="en-US" w:eastAsia="zh-CN"/>
        </w:rPr>
        <w:t>Lopez-Garcia E</w:t>
      </w:r>
      <w:r w:rsidRPr="001326F0">
        <w:rPr>
          <w:rFonts w:ascii="Book Antiqua" w:eastAsia="SimSun" w:hAnsi="Book Antiqua" w:cs="SimSun"/>
          <w:sz w:val="24"/>
          <w:szCs w:val="24"/>
          <w:lang w:val="en-US" w:eastAsia="zh-CN"/>
        </w:rPr>
        <w:t xml:space="preserve">, Guallar-Castillon P, Leon-Muñoz L, Rodriguez-Artalejo F. Prevalence and determinants of metabolically healthy obesity in Spain. </w:t>
      </w:r>
      <w:r w:rsidRPr="001326F0">
        <w:rPr>
          <w:rFonts w:ascii="Book Antiqua" w:eastAsia="SimSun" w:hAnsi="Book Antiqua" w:cs="SimSun"/>
          <w:i/>
          <w:iCs/>
          <w:sz w:val="24"/>
          <w:szCs w:val="24"/>
          <w:lang w:val="en-US" w:eastAsia="zh-CN"/>
        </w:rPr>
        <w:t>Atherosclerosis</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231</w:t>
      </w:r>
      <w:r w:rsidRPr="001326F0">
        <w:rPr>
          <w:rFonts w:ascii="Book Antiqua" w:eastAsia="SimSun" w:hAnsi="Book Antiqua" w:cs="SimSun"/>
          <w:sz w:val="24"/>
          <w:szCs w:val="24"/>
          <w:lang w:val="en-US" w:eastAsia="zh-CN"/>
        </w:rPr>
        <w:t>: 152-157 [PMID: 24125427 DOI: 10.1016/j.atherosclerosis.2013.09.003]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186 </w:t>
      </w:r>
      <w:r w:rsidRPr="001326F0">
        <w:rPr>
          <w:rFonts w:ascii="Book Antiqua" w:eastAsia="SimSun" w:hAnsi="Book Antiqua" w:cs="SimSun"/>
          <w:b/>
          <w:bCs/>
          <w:sz w:val="24"/>
          <w:szCs w:val="24"/>
          <w:lang w:val="en-US" w:eastAsia="zh-CN"/>
        </w:rPr>
        <w:t>Hamer M</w:t>
      </w:r>
      <w:r w:rsidRPr="001326F0">
        <w:rPr>
          <w:rFonts w:ascii="Book Antiqua" w:eastAsia="SimSun" w:hAnsi="Book Antiqua" w:cs="SimSun"/>
          <w:sz w:val="24"/>
          <w:szCs w:val="24"/>
          <w:lang w:val="en-US" w:eastAsia="zh-CN"/>
        </w:rPr>
        <w:t xml:space="preserve">, Stamatakis E. Metabolically healthy obesity and risk of all-cause and cardiovascular disease mortality.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97</w:t>
      </w:r>
      <w:r w:rsidRPr="001326F0">
        <w:rPr>
          <w:rFonts w:ascii="Book Antiqua" w:eastAsia="SimSun" w:hAnsi="Book Antiqua" w:cs="SimSun"/>
          <w:sz w:val="24"/>
          <w:szCs w:val="24"/>
          <w:lang w:val="en-US" w:eastAsia="zh-CN"/>
        </w:rPr>
        <w:t>: 2482-2488 [PMID: 22508708 DOI: 10.1210/jc.2011-3475]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187 </w:t>
      </w:r>
      <w:r w:rsidRPr="001326F0">
        <w:rPr>
          <w:rFonts w:ascii="Book Antiqua" w:eastAsia="SimSun" w:hAnsi="Book Antiqua" w:cs="SimSun"/>
          <w:b/>
          <w:bCs/>
          <w:sz w:val="24"/>
          <w:szCs w:val="24"/>
          <w:lang w:val="en-US" w:eastAsia="zh-CN"/>
        </w:rPr>
        <w:t>Brochu M</w:t>
      </w:r>
      <w:r w:rsidRPr="001326F0">
        <w:rPr>
          <w:rFonts w:ascii="Book Antiqua" w:eastAsia="SimSun" w:hAnsi="Book Antiqua" w:cs="SimSun"/>
          <w:sz w:val="24"/>
          <w:szCs w:val="24"/>
          <w:lang w:val="en-US" w:eastAsia="zh-CN"/>
        </w:rPr>
        <w:t xml:space="preserve">, Tchernof A, Dionne IJ, Sites CK, Eltabbakh GH, Sims EA, Poehlman ET. What are the physical characteristics associated with a normal metabolic profile despite a high level of obesity in postmenopausal women?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2001; </w:t>
      </w:r>
      <w:r w:rsidRPr="001326F0">
        <w:rPr>
          <w:rFonts w:ascii="Book Antiqua" w:eastAsia="SimSun" w:hAnsi="Book Antiqua" w:cs="SimSun"/>
          <w:b/>
          <w:bCs/>
          <w:sz w:val="24"/>
          <w:szCs w:val="24"/>
          <w:lang w:val="en-US" w:eastAsia="zh-CN"/>
        </w:rPr>
        <w:t>86</w:t>
      </w:r>
      <w:r w:rsidRPr="001326F0">
        <w:rPr>
          <w:rFonts w:ascii="Book Antiqua" w:eastAsia="SimSun" w:hAnsi="Book Antiqua" w:cs="SimSun"/>
          <w:sz w:val="24"/>
          <w:szCs w:val="24"/>
          <w:lang w:val="en-US" w:eastAsia="zh-CN"/>
        </w:rPr>
        <w:t>: 1020-1025 [PMID: 11238480]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188 </w:t>
      </w:r>
      <w:r w:rsidRPr="001326F0">
        <w:rPr>
          <w:rFonts w:ascii="Book Antiqua" w:eastAsia="SimSun" w:hAnsi="Book Antiqua" w:cs="SimSun"/>
          <w:b/>
          <w:bCs/>
          <w:sz w:val="24"/>
          <w:szCs w:val="24"/>
          <w:lang w:val="en-US" w:eastAsia="zh-CN"/>
        </w:rPr>
        <w:t>Durward CM</w:t>
      </w:r>
      <w:r w:rsidRPr="001326F0">
        <w:rPr>
          <w:rFonts w:ascii="Book Antiqua" w:eastAsia="SimSun" w:hAnsi="Book Antiqua" w:cs="SimSun"/>
          <w:sz w:val="24"/>
          <w:szCs w:val="24"/>
          <w:lang w:val="en-US" w:eastAsia="zh-CN"/>
        </w:rPr>
        <w:t xml:space="preserve">, Hartman TJ, Nickols-Richardson SM. All-cause mortality risk of metabolically healthy obese individuals in NHANES III. </w:t>
      </w:r>
      <w:r w:rsidRPr="001326F0">
        <w:rPr>
          <w:rFonts w:ascii="Book Antiqua" w:eastAsia="SimSun" w:hAnsi="Book Antiqua" w:cs="SimSun"/>
          <w:i/>
          <w:iCs/>
          <w:sz w:val="24"/>
          <w:szCs w:val="24"/>
          <w:lang w:val="en-US" w:eastAsia="zh-CN"/>
        </w:rPr>
        <w:t>J Obes</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2012</w:t>
      </w:r>
      <w:r w:rsidRPr="001326F0">
        <w:rPr>
          <w:rFonts w:ascii="Book Antiqua" w:eastAsia="SimSun" w:hAnsi="Book Antiqua" w:cs="SimSun"/>
          <w:sz w:val="24"/>
          <w:szCs w:val="24"/>
          <w:lang w:val="en-US" w:eastAsia="zh-CN"/>
        </w:rPr>
        <w:t>: 460321 [PMID: 23304462 DOI: 10.1155/2012/460321]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189 </w:t>
      </w:r>
      <w:r w:rsidRPr="001326F0">
        <w:rPr>
          <w:rFonts w:ascii="Book Antiqua" w:eastAsia="SimSun" w:hAnsi="Book Antiqua" w:cs="SimSun"/>
          <w:b/>
          <w:bCs/>
          <w:sz w:val="24"/>
          <w:szCs w:val="24"/>
          <w:lang w:val="en-US" w:eastAsia="zh-CN"/>
        </w:rPr>
        <w:t>Shea JL</w:t>
      </w:r>
      <w:r w:rsidRPr="001326F0">
        <w:rPr>
          <w:rFonts w:ascii="Book Antiqua" w:eastAsia="SimSun" w:hAnsi="Book Antiqua" w:cs="SimSun"/>
          <w:sz w:val="24"/>
          <w:szCs w:val="24"/>
          <w:lang w:val="en-US" w:eastAsia="zh-CN"/>
        </w:rPr>
        <w:t xml:space="preserve">, Randell EW, Sun G. The prevalence of metabolically healthy obese subjects defined by BMI and dual-energy X-ray absorptiometry.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19</w:t>
      </w:r>
      <w:r w:rsidRPr="001326F0">
        <w:rPr>
          <w:rFonts w:ascii="Book Antiqua" w:eastAsia="SimSun" w:hAnsi="Book Antiqua" w:cs="SimSun"/>
          <w:sz w:val="24"/>
          <w:szCs w:val="24"/>
          <w:lang w:val="en-US" w:eastAsia="zh-CN"/>
        </w:rPr>
        <w:t>: 624-630 [PMID: 20706202 DOI: 10.1038/oby.2010.174]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190 </w:t>
      </w:r>
      <w:r w:rsidRPr="001326F0">
        <w:rPr>
          <w:rFonts w:ascii="Book Antiqua" w:eastAsia="SimSun" w:hAnsi="Book Antiqua" w:cs="SimSun"/>
          <w:b/>
          <w:bCs/>
          <w:sz w:val="24"/>
          <w:szCs w:val="24"/>
          <w:lang w:val="en-US" w:eastAsia="zh-CN"/>
        </w:rPr>
        <w:t>Karelis AD</w:t>
      </w:r>
      <w:r w:rsidRPr="001326F0">
        <w:rPr>
          <w:rFonts w:ascii="Book Antiqua" w:eastAsia="SimSun" w:hAnsi="Book Antiqua" w:cs="SimSun"/>
          <w:sz w:val="24"/>
          <w:szCs w:val="24"/>
          <w:lang w:val="en-US" w:eastAsia="zh-CN"/>
        </w:rPr>
        <w:t xml:space="preserve">, Brochu M, Rabasa-Lhoret R. Can we identify metabolically healthy but obese individuals (MHO)? </w:t>
      </w:r>
      <w:r w:rsidRPr="001326F0">
        <w:rPr>
          <w:rFonts w:ascii="Book Antiqua" w:eastAsia="SimSun" w:hAnsi="Book Antiqua" w:cs="SimSun"/>
          <w:i/>
          <w:iCs/>
          <w:sz w:val="24"/>
          <w:szCs w:val="24"/>
          <w:lang w:val="en-US" w:eastAsia="zh-CN"/>
        </w:rPr>
        <w:t>Diabetes Metab</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30</w:t>
      </w:r>
      <w:r w:rsidRPr="001326F0">
        <w:rPr>
          <w:rFonts w:ascii="Book Antiqua" w:eastAsia="SimSun" w:hAnsi="Book Antiqua" w:cs="SimSun"/>
          <w:sz w:val="24"/>
          <w:szCs w:val="24"/>
          <w:lang w:val="en-US" w:eastAsia="zh-CN"/>
        </w:rPr>
        <w:t>: 569-572 [PMID: 15671927]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191 </w:t>
      </w:r>
      <w:r w:rsidRPr="001326F0">
        <w:rPr>
          <w:rFonts w:ascii="Book Antiqua" w:eastAsia="SimSun" w:hAnsi="Book Antiqua" w:cs="SimSun"/>
          <w:b/>
          <w:bCs/>
          <w:sz w:val="24"/>
          <w:szCs w:val="24"/>
          <w:lang w:val="en-US" w:eastAsia="zh-CN"/>
        </w:rPr>
        <w:t>Manu P</w:t>
      </w:r>
      <w:r w:rsidRPr="001326F0">
        <w:rPr>
          <w:rFonts w:ascii="Book Antiqua" w:eastAsia="SimSun" w:hAnsi="Book Antiqua" w:cs="SimSun"/>
          <w:sz w:val="24"/>
          <w:szCs w:val="24"/>
          <w:lang w:val="en-US" w:eastAsia="zh-CN"/>
        </w:rPr>
        <w:t xml:space="preserve">, Ionescu-Tirgoviste C, Tsang J, Napolitano BA, Lesser ML, Correll CU. Dysmetabolic signals in "metabolically healthy" obesity. </w:t>
      </w:r>
      <w:r w:rsidRPr="001326F0">
        <w:rPr>
          <w:rFonts w:ascii="Book Antiqua" w:eastAsia="SimSun" w:hAnsi="Book Antiqua" w:cs="SimSun"/>
          <w:i/>
          <w:iCs/>
          <w:sz w:val="24"/>
          <w:szCs w:val="24"/>
          <w:lang w:val="en-US" w:eastAsia="zh-CN"/>
        </w:rPr>
        <w:t>Obes Res Clin Pract</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2012</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6</w:t>
      </w:r>
      <w:r w:rsidRPr="001326F0">
        <w:rPr>
          <w:rFonts w:ascii="Book Antiqua" w:eastAsia="SimSun" w:hAnsi="Book Antiqua" w:cs="SimSun"/>
          <w:sz w:val="24"/>
          <w:szCs w:val="24"/>
          <w:lang w:val="en-US" w:eastAsia="zh-CN"/>
        </w:rPr>
        <w:t>: e1-e90 [PMID: 24331169 DOI: 10.1016/j.orcp.2011.04.003]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192 </w:t>
      </w:r>
      <w:r w:rsidRPr="001326F0">
        <w:rPr>
          <w:rFonts w:ascii="Book Antiqua" w:eastAsia="SimSun" w:hAnsi="Book Antiqua" w:cs="SimSun"/>
          <w:b/>
          <w:bCs/>
          <w:sz w:val="24"/>
          <w:szCs w:val="24"/>
          <w:lang w:val="en-US" w:eastAsia="zh-CN"/>
        </w:rPr>
        <w:t>Arnlöv J</w:t>
      </w:r>
      <w:r w:rsidRPr="001326F0">
        <w:rPr>
          <w:rFonts w:ascii="Book Antiqua" w:eastAsia="SimSun" w:hAnsi="Book Antiqua" w:cs="SimSun"/>
          <w:sz w:val="24"/>
          <w:szCs w:val="24"/>
          <w:lang w:val="en-US" w:eastAsia="zh-CN"/>
        </w:rPr>
        <w:t xml:space="preserve">, Ingelsson E, Sundström J, Lind L. Impact of body mass index and the metabolic syndrome on the risk of cardiovascular disease and death in middle-aged men. </w:t>
      </w:r>
      <w:r w:rsidRPr="001326F0">
        <w:rPr>
          <w:rFonts w:ascii="Book Antiqua" w:eastAsia="SimSun" w:hAnsi="Book Antiqua" w:cs="SimSun"/>
          <w:i/>
          <w:iCs/>
          <w:sz w:val="24"/>
          <w:szCs w:val="24"/>
          <w:lang w:val="en-US" w:eastAsia="zh-CN"/>
        </w:rPr>
        <w:t>Circulation</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121</w:t>
      </w:r>
      <w:r w:rsidRPr="001326F0">
        <w:rPr>
          <w:rFonts w:ascii="Book Antiqua" w:eastAsia="SimSun" w:hAnsi="Book Antiqua" w:cs="SimSun"/>
          <w:sz w:val="24"/>
          <w:szCs w:val="24"/>
          <w:lang w:val="en-US" w:eastAsia="zh-CN"/>
        </w:rPr>
        <w:t>: 230-236 [PMID: 20038741 DOI: 10.1161/CIRCULATIONAHA.109.887521]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193 </w:t>
      </w:r>
      <w:r w:rsidRPr="001326F0">
        <w:rPr>
          <w:rFonts w:ascii="Book Antiqua" w:eastAsia="SimSun" w:hAnsi="Book Antiqua" w:cs="SimSun"/>
          <w:b/>
          <w:bCs/>
          <w:sz w:val="24"/>
          <w:szCs w:val="24"/>
          <w:lang w:val="en-US" w:eastAsia="zh-CN"/>
        </w:rPr>
        <w:t>Flint AJ</w:t>
      </w:r>
      <w:r w:rsidRPr="001326F0">
        <w:rPr>
          <w:rFonts w:ascii="Book Antiqua" w:eastAsia="SimSun" w:hAnsi="Book Antiqua" w:cs="SimSun"/>
          <w:sz w:val="24"/>
          <w:szCs w:val="24"/>
          <w:lang w:val="en-US" w:eastAsia="zh-CN"/>
        </w:rPr>
        <w:t xml:space="preserve">, Hu FB, Glynn RJ, Caspard H, Manson JE, Willett WC, Rimm EB. Excess weight and the risk of incident coronary heart disease among men and women.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18</w:t>
      </w:r>
      <w:r w:rsidRPr="001326F0">
        <w:rPr>
          <w:rFonts w:ascii="Book Antiqua" w:eastAsia="SimSun" w:hAnsi="Book Antiqua" w:cs="SimSun"/>
          <w:sz w:val="24"/>
          <w:szCs w:val="24"/>
          <w:lang w:val="en-US" w:eastAsia="zh-CN"/>
        </w:rPr>
        <w:t>: 377-383 [PMID: 19629058 DOI: 10.1038/oby.2009.223]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194 </w:t>
      </w:r>
      <w:r w:rsidRPr="001326F0">
        <w:rPr>
          <w:rFonts w:ascii="Book Antiqua" w:eastAsia="SimSun" w:hAnsi="Book Antiqua" w:cs="SimSun"/>
          <w:b/>
          <w:bCs/>
          <w:sz w:val="24"/>
          <w:szCs w:val="24"/>
          <w:lang w:val="en-US" w:eastAsia="zh-CN"/>
        </w:rPr>
        <w:t>Eshtiaghi R</w:t>
      </w:r>
      <w:r w:rsidRPr="001326F0">
        <w:rPr>
          <w:rFonts w:ascii="Book Antiqua" w:eastAsia="SimSun" w:hAnsi="Book Antiqua" w:cs="SimSun"/>
          <w:sz w:val="24"/>
          <w:szCs w:val="24"/>
          <w:lang w:val="en-US" w:eastAsia="zh-CN"/>
        </w:rPr>
        <w:t xml:space="preserve">, Keihani S, Hosseinpanah F, Barzin M, Azizi F. Natural course of metabolically healthy abdominal obese adults after 10 years of follow-up: the Tehran Lipid and Glucose Study. </w:t>
      </w:r>
      <w:r w:rsidRPr="001326F0">
        <w:rPr>
          <w:rFonts w:ascii="Book Antiqua" w:eastAsia="SimSun" w:hAnsi="Book Antiqua" w:cs="SimSun"/>
          <w:i/>
          <w:iCs/>
          <w:sz w:val="24"/>
          <w:szCs w:val="24"/>
          <w:lang w:val="en-US" w:eastAsia="zh-CN"/>
        </w:rPr>
        <w:t>Int J Obes (Lond)</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39</w:t>
      </w:r>
      <w:r w:rsidRPr="001326F0">
        <w:rPr>
          <w:rFonts w:ascii="Book Antiqua" w:eastAsia="SimSun" w:hAnsi="Book Antiqua" w:cs="SimSun"/>
          <w:sz w:val="24"/>
          <w:szCs w:val="24"/>
          <w:lang w:val="en-US" w:eastAsia="zh-CN"/>
        </w:rPr>
        <w:t>: 514-519 [PMID: 25287753 DOI: 10.1038/ijo.2014.176]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s-ES_tradnl" w:eastAsia="zh-CN"/>
        </w:rPr>
        <w:t xml:space="preserve">195 </w:t>
      </w:r>
      <w:r w:rsidRPr="001326F0">
        <w:rPr>
          <w:rFonts w:ascii="Book Antiqua" w:eastAsia="SimSun" w:hAnsi="Book Antiqua" w:cs="SimSun"/>
          <w:b/>
          <w:bCs/>
          <w:sz w:val="24"/>
          <w:szCs w:val="24"/>
          <w:lang w:val="es-ES_tradnl" w:eastAsia="zh-CN"/>
        </w:rPr>
        <w:t>Brozena SJ</w:t>
      </w:r>
      <w:r w:rsidRPr="001326F0">
        <w:rPr>
          <w:rFonts w:ascii="Book Antiqua" w:eastAsia="SimSun" w:hAnsi="Book Antiqua" w:cs="SimSun"/>
          <w:sz w:val="24"/>
          <w:szCs w:val="24"/>
          <w:lang w:val="es-ES_tradnl" w:eastAsia="zh-CN"/>
        </w:rPr>
        <w:t xml:space="preserve">, Cohen LE, Saba HI, Fenske NA. </w:t>
      </w:r>
      <w:r w:rsidRPr="001326F0">
        <w:rPr>
          <w:rFonts w:ascii="Book Antiqua" w:eastAsia="SimSun" w:hAnsi="Book Antiqua" w:cs="SimSun"/>
          <w:sz w:val="24"/>
          <w:szCs w:val="24"/>
          <w:lang w:val="en-US" w:eastAsia="zh-CN"/>
        </w:rPr>
        <w:t xml:space="preserve">A pigmentary purpuric eruption associated with an unusual platelet dysfunction. </w:t>
      </w:r>
      <w:r w:rsidRPr="001326F0">
        <w:rPr>
          <w:rFonts w:ascii="Book Antiqua" w:eastAsia="SimSun" w:hAnsi="Book Antiqua" w:cs="SimSun"/>
          <w:i/>
          <w:iCs/>
          <w:sz w:val="24"/>
          <w:szCs w:val="24"/>
          <w:lang w:val="en-US" w:eastAsia="zh-CN"/>
        </w:rPr>
        <w:t>Int J Dermatol</w:t>
      </w:r>
      <w:r w:rsidRPr="001326F0">
        <w:rPr>
          <w:rFonts w:ascii="Book Antiqua" w:eastAsia="SimSun" w:hAnsi="Book Antiqua" w:cs="SimSun"/>
          <w:sz w:val="24"/>
          <w:szCs w:val="24"/>
          <w:lang w:val="en-US" w:eastAsia="zh-CN"/>
        </w:rPr>
        <w:t xml:space="preserve"> 1989; </w:t>
      </w:r>
      <w:r w:rsidRPr="001326F0">
        <w:rPr>
          <w:rFonts w:ascii="Book Antiqua" w:eastAsia="SimSun" w:hAnsi="Book Antiqua" w:cs="SimSun"/>
          <w:b/>
          <w:bCs/>
          <w:sz w:val="24"/>
          <w:szCs w:val="24"/>
          <w:lang w:val="en-US" w:eastAsia="zh-CN"/>
        </w:rPr>
        <w:t>28</w:t>
      </w:r>
      <w:r w:rsidRPr="001326F0">
        <w:rPr>
          <w:rFonts w:ascii="Book Antiqua" w:eastAsia="SimSun" w:hAnsi="Book Antiqua" w:cs="SimSun"/>
          <w:sz w:val="24"/>
          <w:szCs w:val="24"/>
          <w:lang w:val="en-US" w:eastAsia="zh-CN"/>
        </w:rPr>
        <w:t>: 537-538 [PMID: 2583894 DOI: 10.1155/2015/178526]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196 </w:t>
      </w:r>
      <w:r w:rsidRPr="001326F0">
        <w:rPr>
          <w:rFonts w:ascii="Book Antiqua" w:eastAsia="SimSun" w:hAnsi="Book Antiqua" w:cs="SimSun"/>
          <w:b/>
          <w:bCs/>
          <w:sz w:val="24"/>
          <w:szCs w:val="24"/>
          <w:lang w:val="en-US" w:eastAsia="zh-CN"/>
        </w:rPr>
        <w:t>Achilike I</w:t>
      </w:r>
      <w:r w:rsidRPr="001326F0">
        <w:rPr>
          <w:rFonts w:ascii="Book Antiqua" w:eastAsia="SimSun" w:hAnsi="Book Antiqua" w:cs="SimSun"/>
          <w:sz w:val="24"/>
          <w:szCs w:val="24"/>
          <w:lang w:val="en-US" w:eastAsia="zh-CN"/>
        </w:rPr>
        <w:t xml:space="preserve">, Hazuda HP, Fowler SP, Aung K, Lorenzo C. Predicting the development of the metabolically healthy obese phenotype. </w:t>
      </w:r>
      <w:r w:rsidRPr="001326F0">
        <w:rPr>
          <w:rFonts w:ascii="Book Antiqua" w:eastAsia="SimSun" w:hAnsi="Book Antiqua" w:cs="SimSun"/>
          <w:i/>
          <w:iCs/>
          <w:sz w:val="24"/>
          <w:szCs w:val="24"/>
          <w:lang w:val="en-US" w:eastAsia="zh-CN"/>
        </w:rPr>
        <w:t>Int J Obes (Lond)</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39</w:t>
      </w:r>
      <w:r w:rsidRPr="001326F0">
        <w:rPr>
          <w:rFonts w:ascii="Book Antiqua" w:eastAsia="SimSun" w:hAnsi="Book Antiqua" w:cs="SimSun"/>
          <w:sz w:val="24"/>
          <w:szCs w:val="24"/>
          <w:lang w:val="en-US" w:eastAsia="zh-CN"/>
        </w:rPr>
        <w:t>: 228-234 [PMID: 24984752 DOI: 10.1038/ijo.2014.113]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197 </w:t>
      </w:r>
      <w:r w:rsidRPr="001326F0">
        <w:rPr>
          <w:rFonts w:ascii="Book Antiqua" w:eastAsia="SimSun" w:hAnsi="Book Antiqua" w:cs="SimSun"/>
          <w:b/>
          <w:bCs/>
          <w:sz w:val="24"/>
          <w:szCs w:val="24"/>
          <w:lang w:val="en-US" w:eastAsia="zh-CN"/>
        </w:rPr>
        <w:t>Puri R</w:t>
      </w:r>
      <w:r w:rsidRPr="001326F0">
        <w:rPr>
          <w:rFonts w:ascii="Book Antiqua" w:eastAsia="SimSun" w:hAnsi="Book Antiqua" w:cs="SimSun"/>
          <w:sz w:val="24"/>
          <w:szCs w:val="24"/>
          <w:lang w:val="en-US" w:eastAsia="zh-CN"/>
        </w:rPr>
        <w:t xml:space="preserve">. Is it finally time to dispel the concept of metabolically-healthy obesity? </w:t>
      </w:r>
      <w:r w:rsidRPr="001326F0">
        <w:rPr>
          <w:rFonts w:ascii="Book Antiqua" w:eastAsia="SimSun" w:hAnsi="Book Antiqua" w:cs="SimSun"/>
          <w:i/>
          <w:iCs/>
          <w:sz w:val="24"/>
          <w:szCs w:val="24"/>
          <w:lang w:val="en-US" w:eastAsia="zh-CN"/>
        </w:rPr>
        <w:t>J Am Coll Cardiol</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63</w:t>
      </w:r>
      <w:r w:rsidRPr="001326F0">
        <w:rPr>
          <w:rFonts w:ascii="Book Antiqua" w:eastAsia="SimSun" w:hAnsi="Book Antiqua" w:cs="SimSun"/>
          <w:sz w:val="24"/>
          <w:szCs w:val="24"/>
          <w:lang w:val="en-US" w:eastAsia="zh-CN"/>
        </w:rPr>
        <w:t>: 2687-2688 [PMID: 24794116 DOI: 10.1016/j.jacc.2014.03.043]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198 </w:t>
      </w:r>
      <w:r w:rsidRPr="001326F0">
        <w:rPr>
          <w:rFonts w:ascii="Book Antiqua" w:eastAsia="SimSun" w:hAnsi="Book Antiqua" w:cs="SimSun"/>
          <w:b/>
          <w:bCs/>
          <w:sz w:val="24"/>
          <w:szCs w:val="24"/>
          <w:lang w:val="en-US" w:eastAsia="zh-CN"/>
        </w:rPr>
        <w:t>Chang Y</w:t>
      </w:r>
      <w:r w:rsidRPr="001326F0">
        <w:rPr>
          <w:rFonts w:ascii="Book Antiqua" w:eastAsia="SimSun" w:hAnsi="Book Antiqua" w:cs="SimSun"/>
          <w:sz w:val="24"/>
          <w:szCs w:val="24"/>
          <w:lang w:val="en-US" w:eastAsia="zh-CN"/>
        </w:rPr>
        <w:t xml:space="preserve">, Kim BK, Yun KE, Cho J, Zhang Y, Rampal S, Zhao D, Jung HS, Choi Y, Ahn J, Lima JA, Shin H, Guallar E, Ryu S. Metabolically-healthy obesity and coronary artery calcification. </w:t>
      </w:r>
      <w:r w:rsidRPr="001326F0">
        <w:rPr>
          <w:rFonts w:ascii="Book Antiqua" w:eastAsia="SimSun" w:hAnsi="Book Antiqua" w:cs="SimSun"/>
          <w:i/>
          <w:iCs/>
          <w:sz w:val="24"/>
          <w:szCs w:val="24"/>
          <w:lang w:val="en-US" w:eastAsia="zh-CN"/>
        </w:rPr>
        <w:t>J Am Coll Cardiol</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63</w:t>
      </w:r>
      <w:r w:rsidRPr="001326F0">
        <w:rPr>
          <w:rFonts w:ascii="Book Antiqua" w:eastAsia="SimSun" w:hAnsi="Book Antiqua" w:cs="SimSun"/>
          <w:sz w:val="24"/>
          <w:szCs w:val="24"/>
          <w:lang w:val="en-US" w:eastAsia="zh-CN"/>
        </w:rPr>
        <w:t>: 2679-2686 [PMID: 24794119 DOI: 10.1016/j.jacc.2014.03.042]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199 </w:t>
      </w:r>
      <w:r w:rsidRPr="001326F0">
        <w:rPr>
          <w:rFonts w:ascii="Book Antiqua" w:eastAsia="SimSun" w:hAnsi="Book Antiqua" w:cs="SimSun"/>
          <w:b/>
          <w:bCs/>
          <w:sz w:val="24"/>
          <w:szCs w:val="24"/>
          <w:lang w:val="en-US" w:eastAsia="zh-CN"/>
        </w:rPr>
        <w:t>Kramer CK</w:t>
      </w:r>
      <w:r w:rsidRPr="001326F0">
        <w:rPr>
          <w:rFonts w:ascii="Book Antiqua" w:eastAsia="SimSun" w:hAnsi="Book Antiqua" w:cs="SimSun"/>
          <w:sz w:val="24"/>
          <w:szCs w:val="24"/>
          <w:lang w:val="en-US" w:eastAsia="zh-CN"/>
        </w:rPr>
        <w:t xml:space="preserve">, Zinman B, Retnakaran R. Are metabolically healthy overweight and obesity benign conditions?: A systematic review and meta-analysis. </w:t>
      </w:r>
      <w:r w:rsidRPr="001326F0">
        <w:rPr>
          <w:rFonts w:ascii="Book Antiqua" w:eastAsia="SimSun" w:hAnsi="Book Antiqua" w:cs="SimSun"/>
          <w:i/>
          <w:iCs/>
          <w:sz w:val="24"/>
          <w:szCs w:val="24"/>
          <w:lang w:val="en-US" w:eastAsia="zh-CN"/>
        </w:rPr>
        <w:t>Ann Intern Med</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159</w:t>
      </w:r>
      <w:r w:rsidRPr="001326F0">
        <w:rPr>
          <w:rFonts w:ascii="Book Antiqua" w:eastAsia="SimSun" w:hAnsi="Book Antiqua" w:cs="SimSun"/>
          <w:sz w:val="24"/>
          <w:szCs w:val="24"/>
          <w:lang w:val="en-US" w:eastAsia="zh-CN"/>
        </w:rPr>
        <w:t>: 758-769 [PMID: 24297192 DOI: 10.7326/0003-4819-159-11-201312030-00008]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200 </w:t>
      </w:r>
      <w:r w:rsidRPr="001326F0">
        <w:rPr>
          <w:rFonts w:ascii="Book Antiqua" w:eastAsia="SimSun" w:hAnsi="Book Antiqua" w:cs="SimSun"/>
          <w:b/>
          <w:bCs/>
          <w:sz w:val="24"/>
          <w:szCs w:val="24"/>
          <w:lang w:val="en-US" w:eastAsia="zh-CN"/>
        </w:rPr>
        <w:t>Després JP</w:t>
      </w:r>
      <w:r w:rsidRPr="001326F0">
        <w:rPr>
          <w:rFonts w:ascii="Book Antiqua" w:eastAsia="SimSun" w:hAnsi="Book Antiqua" w:cs="SimSun"/>
          <w:sz w:val="24"/>
          <w:szCs w:val="24"/>
          <w:lang w:val="en-US" w:eastAsia="zh-CN"/>
        </w:rPr>
        <w:t xml:space="preserve">. Body fat distribution and risk of cardiovascular disease: an update. </w:t>
      </w:r>
      <w:r w:rsidRPr="001326F0">
        <w:rPr>
          <w:rFonts w:ascii="Book Antiqua" w:eastAsia="SimSun" w:hAnsi="Book Antiqua" w:cs="SimSun"/>
          <w:i/>
          <w:iCs/>
          <w:sz w:val="24"/>
          <w:szCs w:val="24"/>
          <w:lang w:val="en-US" w:eastAsia="zh-CN"/>
        </w:rPr>
        <w:t>Circulation</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126</w:t>
      </w:r>
      <w:r w:rsidRPr="001326F0">
        <w:rPr>
          <w:rFonts w:ascii="Book Antiqua" w:eastAsia="SimSun" w:hAnsi="Book Antiqua" w:cs="SimSun"/>
          <w:sz w:val="24"/>
          <w:szCs w:val="24"/>
          <w:lang w:val="en-US" w:eastAsia="zh-CN"/>
        </w:rPr>
        <w:t>: 1301-1313 [PMID: 22949540 DOI: 10.1161/CIRCULATIONAHA.111.067264]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201 </w:t>
      </w:r>
      <w:r w:rsidRPr="001326F0">
        <w:rPr>
          <w:rFonts w:ascii="Book Antiqua" w:eastAsia="SimSun" w:hAnsi="Book Antiqua" w:cs="SimSun"/>
          <w:b/>
          <w:bCs/>
          <w:sz w:val="24"/>
          <w:szCs w:val="24"/>
          <w:lang w:val="en-US" w:eastAsia="zh-CN"/>
        </w:rPr>
        <w:t>Alberti KG</w:t>
      </w:r>
      <w:r w:rsidRPr="001326F0">
        <w:rPr>
          <w:rFonts w:ascii="Book Antiqua" w:eastAsia="SimSun" w:hAnsi="Book Antiqua" w:cs="SimSun"/>
          <w:sz w:val="24"/>
          <w:szCs w:val="24"/>
          <w:lang w:val="en-US" w:eastAsia="zh-CN"/>
        </w:rPr>
        <w:t xml:space="preserve">, Zimmet P, Shaw J. The metabolic syndrome--a new worldwide definition. </w:t>
      </w:r>
      <w:r w:rsidRPr="001326F0">
        <w:rPr>
          <w:rFonts w:ascii="Book Antiqua" w:eastAsia="SimSun" w:hAnsi="Book Antiqua" w:cs="SimSun"/>
          <w:i/>
          <w:iCs/>
          <w:sz w:val="24"/>
          <w:szCs w:val="24"/>
          <w:lang w:val="en-US" w:eastAsia="zh-CN"/>
        </w:rPr>
        <w:t>Lancet</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2005</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366</w:t>
      </w:r>
      <w:r w:rsidRPr="001326F0">
        <w:rPr>
          <w:rFonts w:ascii="Book Antiqua" w:eastAsia="SimSun" w:hAnsi="Book Antiqua" w:cs="SimSun"/>
          <w:sz w:val="24"/>
          <w:szCs w:val="24"/>
          <w:lang w:val="en-US" w:eastAsia="zh-CN"/>
        </w:rPr>
        <w:t>: 1059-1062 [PMID: 16182882]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202 </w:t>
      </w:r>
      <w:r w:rsidRPr="001326F0">
        <w:rPr>
          <w:rFonts w:ascii="Book Antiqua" w:eastAsia="SimSun" w:hAnsi="Book Antiqua" w:cs="SimSun"/>
          <w:b/>
          <w:bCs/>
          <w:sz w:val="24"/>
          <w:szCs w:val="24"/>
          <w:lang w:val="en-US" w:eastAsia="zh-CN"/>
        </w:rPr>
        <w:t>Di Daniele N</w:t>
      </w:r>
      <w:r w:rsidRPr="001326F0">
        <w:rPr>
          <w:rFonts w:ascii="Book Antiqua" w:eastAsia="SimSun" w:hAnsi="Book Antiqua" w:cs="SimSun"/>
          <w:sz w:val="24"/>
          <w:szCs w:val="24"/>
          <w:lang w:val="en-US" w:eastAsia="zh-CN"/>
        </w:rPr>
        <w:t xml:space="preserve">, Petramala L, Di Renzo L, Sarlo F, Della Rocca DG, Rizzo M, Fondacaro V, Iacopino L, Pepine CJ, De Lorenzo A. Body composition changes and cardiometabolic benefits of a balanced Italian Mediterranean Diet in obese patients with metabolic syndrome. </w:t>
      </w:r>
      <w:r w:rsidRPr="001326F0">
        <w:rPr>
          <w:rFonts w:ascii="Book Antiqua" w:eastAsia="SimSun" w:hAnsi="Book Antiqua" w:cs="SimSun"/>
          <w:i/>
          <w:iCs/>
          <w:sz w:val="24"/>
          <w:szCs w:val="24"/>
          <w:lang w:val="en-US" w:eastAsia="zh-CN"/>
        </w:rPr>
        <w:t>Acta Diabetol</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50</w:t>
      </w:r>
      <w:r w:rsidRPr="001326F0">
        <w:rPr>
          <w:rFonts w:ascii="Book Antiqua" w:eastAsia="SimSun" w:hAnsi="Book Antiqua" w:cs="SimSun"/>
          <w:sz w:val="24"/>
          <w:szCs w:val="24"/>
          <w:lang w:val="en-US" w:eastAsia="zh-CN"/>
        </w:rPr>
        <w:t>: 409-416 [PMID: 23188216 DOI: 10.1007/s00592-012-0445-7]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203 </w:t>
      </w:r>
      <w:r w:rsidRPr="001326F0">
        <w:rPr>
          <w:rFonts w:ascii="Book Antiqua" w:eastAsia="SimSun" w:hAnsi="Book Antiqua" w:cs="SimSun"/>
          <w:b/>
          <w:bCs/>
          <w:sz w:val="24"/>
          <w:szCs w:val="24"/>
          <w:lang w:val="en-US" w:eastAsia="zh-CN"/>
        </w:rPr>
        <w:t>Timmers S</w:t>
      </w:r>
      <w:r w:rsidRPr="001326F0">
        <w:rPr>
          <w:rFonts w:ascii="Book Antiqua" w:eastAsia="SimSun" w:hAnsi="Book Antiqua" w:cs="SimSun"/>
          <w:sz w:val="24"/>
          <w:szCs w:val="24"/>
          <w:lang w:val="en-US" w:eastAsia="zh-CN"/>
        </w:rPr>
        <w:t xml:space="preserve">, Konings E, Bilet L, Houtkooper RH, van de Weijer T, Goossens GH, Hoeks J, van der Krieken S, Ryu D, Kersten S, Moonen-Kornips E, Hesselink MK, Kunz I, Schrauwen-Hinderling VB, Blaak EE, Auwerx J, Schrauwen P. Calorie restriction-like effects of 30 days of resveratrol supplementation on energy metabolism and metabolic profile in obese humans. </w:t>
      </w:r>
      <w:r w:rsidRPr="001326F0">
        <w:rPr>
          <w:rFonts w:ascii="Book Antiqua" w:eastAsia="SimSun" w:hAnsi="Book Antiqua" w:cs="SimSun"/>
          <w:i/>
          <w:iCs/>
          <w:sz w:val="24"/>
          <w:szCs w:val="24"/>
          <w:lang w:val="en-US" w:eastAsia="zh-CN"/>
        </w:rPr>
        <w:t>Cell Metab</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14</w:t>
      </w:r>
      <w:r w:rsidRPr="001326F0">
        <w:rPr>
          <w:rFonts w:ascii="Book Antiqua" w:eastAsia="SimSun" w:hAnsi="Book Antiqua" w:cs="SimSun"/>
          <w:sz w:val="24"/>
          <w:szCs w:val="24"/>
          <w:lang w:val="en-US" w:eastAsia="zh-CN"/>
        </w:rPr>
        <w:t>: 612-622 [PMID: 22055504 DOI: 10.1016/j.cmet.2011.10.002]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204 </w:t>
      </w:r>
      <w:r w:rsidRPr="001326F0">
        <w:rPr>
          <w:rFonts w:ascii="Book Antiqua" w:eastAsia="SimSun" w:hAnsi="Book Antiqua" w:cs="SimSun"/>
          <w:b/>
          <w:bCs/>
          <w:sz w:val="24"/>
          <w:szCs w:val="24"/>
          <w:lang w:val="en-US" w:eastAsia="zh-CN"/>
        </w:rPr>
        <w:t>Alberti KG</w:t>
      </w:r>
      <w:r w:rsidRPr="001326F0">
        <w:rPr>
          <w:rFonts w:ascii="Book Antiqua" w:eastAsia="SimSun" w:hAnsi="Book Antiqua" w:cs="SimSun"/>
          <w:sz w:val="24"/>
          <w:szCs w:val="24"/>
          <w:lang w:val="en-US" w:eastAsia="zh-CN"/>
        </w:rPr>
        <w:t xml:space="preserve">, Zimmet PZ. Definition, diagnosis and classification of diabetes mellitus and its complications. Part 1: diagnosis and classification of diabetes mellitus provisional report of a WHO consultation. </w:t>
      </w:r>
      <w:r w:rsidRPr="001326F0">
        <w:rPr>
          <w:rFonts w:ascii="Book Antiqua" w:eastAsia="SimSun" w:hAnsi="Book Antiqua" w:cs="SimSun"/>
          <w:i/>
          <w:iCs/>
          <w:sz w:val="24"/>
          <w:szCs w:val="24"/>
          <w:lang w:val="en-US" w:eastAsia="zh-CN"/>
        </w:rPr>
        <w:t>Diabet Med</w:t>
      </w:r>
      <w:r w:rsidRPr="001326F0">
        <w:rPr>
          <w:rFonts w:ascii="Book Antiqua" w:eastAsia="SimSun" w:hAnsi="Book Antiqua" w:cs="SimSun"/>
          <w:sz w:val="24"/>
          <w:szCs w:val="24"/>
          <w:lang w:val="en-US" w:eastAsia="zh-CN"/>
        </w:rPr>
        <w:t xml:space="preserve"> 1998; </w:t>
      </w:r>
      <w:r w:rsidRPr="001326F0">
        <w:rPr>
          <w:rFonts w:ascii="Book Antiqua" w:eastAsia="SimSun" w:hAnsi="Book Antiqua" w:cs="SimSun"/>
          <w:b/>
          <w:bCs/>
          <w:sz w:val="24"/>
          <w:szCs w:val="24"/>
          <w:lang w:val="en-US" w:eastAsia="zh-CN"/>
        </w:rPr>
        <w:t>15</w:t>
      </w:r>
      <w:r w:rsidRPr="001326F0">
        <w:rPr>
          <w:rFonts w:ascii="Book Antiqua" w:eastAsia="SimSun" w:hAnsi="Book Antiqua" w:cs="SimSun"/>
          <w:sz w:val="24"/>
          <w:szCs w:val="24"/>
          <w:lang w:val="en-US" w:eastAsia="zh-CN"/>
        </w:rPr>
        <w:t>: 539-553 [PMID: 9686693]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205 </w:t>
      </w:r>
      <w:r w:rsidRPr="001326F0">
        <w:rPr>
          <w:rFonts w:ascii="Book Antiqua" w:eastAsia="SimSun" w:hAnsi="Book Antiqua" w:cs="SimSun"/>
          <w:b/>
          <w:bCs/>
          <w:sz w:val="24"/>
          <w:szCs w:val="24"/>
          <w:lang w:val="en-US" w:eastAsia="zh-CN"/>
        </w:rPr>
        <w:t>Grundy SM</w:t>
      </w:r>
      <w:r w:rsidRPr="001326F0">
        <w:rPr>
          <w:rFonts w:ascii="Book Antiqua" w:eastAsia="SimSun" w:hAnsi="Book Antiqua" w:cs="SimSun"/>
          <w:sz w:val="24"/>
          <w:szCs w:val="24"/>
          <w:lang w:val="en-US" w:eastAsia="zh-CN"/>
        </w:rPr>
        <w:t xml:space="preserve">, Cleeman JI, Daniels SR, Donato KA, Eckel RH, Franklin BA, Gordon DJ, Krauss RM, Savage PJ, Smith SC, Spertus JA, Costa F. Diagnosis and management of the metabolic syndrome: an American Heart Association/National Heart, Lung, and Blood Institute Scientific Statement. </w:t>
      </w:r>
      <w:r w:rsidRPr="001326F0">
        <w:rPr>
          <w:rFonts w:ascii="Book Antiqua" w:eastAsia="SimSun" w:hAnsi="Book Antiqua" w:cs="SimSun"/>
          <w:i/>
          <w:iCs/>
          <w:sz w:val="24"/>
          <w:szCs w:val="24"/>
          <w:lang w:val="en-US" w:eastAsia="zh-CN"/>
        </w:rPr>
        <w:t>Circulation</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112</w:t>
      </w:r>
      <w:r w:rsidRPr="001326F0">
        <w:rPr>
          <w:rFonts w:ascii="Book Antiqua" w:eastAsia="SimSun" w:hAnsi="Book Antiqua" w:cs="SimSun"/>
          <w:sz w:val="24"/>
          <w:szCs w:val="24"/>
          <w:lang w:val="en-US" w:eastAsia="zh-CN"/>
        </w:rPr>
        <w:t>: 2735-2752 [PMID: 16157765]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206 </w:t>
      </w:r>
      <w:r w:rsidRPr="001326F0">
        <w:rPr>
          <w:rFonts w:ascii="Book Antiqua" w:eastAsia="SimSun" w:hAnsi="Book Antiqua" w:cs="SimSun"/>
          <w:b/>
          <w:sz w:val="24"/>
          <w:szCs w:val="24"/>
          <w:lang w:val="en-US" w:eastAsia="zh-CN"/>
        </w:rPr>
        <w:t>Expert Panel on Detection, Evaluation, and Treatment of High Blood Cholesterol in Adults</w:t>
      </w:r>
      <w:r w:rsidRPr="001326F0">
        <w:rPr>
          <w:rFonts w:ascii="Book Antiqua" w:eastAsia="SimSun" w:hAnsi="Book Antiqua" w:cs="SimSun"/>
          <w:sz w:val="24"/>
          <w:szCs w:val="24"/>
          <w:lang w:val="en-US" w:eastAsia="zh-CN"/>
        </w:rPr>
        <w:t xml:space="preserve">. Executive Summary of The Third Report of The National Cholesterol Education Program (NCEP) Expert Panel on Detection, Evaluation, And Treatment of High Blood Cholesterol In Adults (Adult Treatment Panel III). </w:t>
      </w:r>
      <w:r w:rsidRPr="001326F0">
        <w:rPr>
          <w:rFonts w:ascii="Book Antiqua" w:eastAsia="SimSun" w:hAnsi="Book Antiqua" w:cs="SimSun"/>
          <w:i/>
          <w:iCs/>
          <w:sz w:val="24"/>
          <w:szCs w:val="24"/>
          <w:lang w:val="en-US" w:eastAsia="zh-CN"/>
        </w:rPr>
        <w:t>JAMA</w:t>
      </w:r>
      <w:r w:rsidRPr="001326F0">
        <w:rPr>
          <w:rFonts w:ascii="Book Antiqua" w:eastAsia="SimSun" w:hAnsi="Book Antiqua" w:cs="SimSun"/>
          <w:sz w:val="24"/>
          <w:szCs w:val="24"/>
          <w:lang w:val="en-US" w:eastAsia="zh-CN"/>
        </w:rPr>
        <w:t xml:space="preserve"> 2001; </w:t>
      </w:r>
      <w:r w:rsidRPr="001326F0">
        <w:rPr>
          <w:rFonts w:ascii="Book Antiqua" w:eastAsia="SimSun" w:hAnsi="Book Antiqua" w:cs="SimSun"/>
          <w:b/>
          <w:bCs/>
          <w:sz w:val="24"/>
          <w:szCs w:val="24"/>
          <w:lang w:val="en-US" w:eastAsia="zh-CN"/>
        </w:rPr>
        <w:t>285</w:t>
      </w:r>
      <w:r w:rsidRPr="001326F0">
        <w:rPr>
          <w:rFonts w:ascii="Book Antiqua" w:eastAsia="SimSun" w:hAnsi="Book Antiqua" w:cs="SimSun"/>
          <w:sz w:val="24"/>
          <w:szCs w:val="24"/>
          <w:lang w:val="en-US" w:eastAsia="zh-CN"/>
        </w:rPr>
        <w:t xml:space="preserve">: 2486-2497 [PMID: </w:t>
      </w:r>
      <w:bookmarkStart w:id="317" w:name="OLE_LINK2548"/>
      <w:bookmarkStart w:id="318" w:name="OLE_LINK2549"/>
      <w:r w:rsidRPr="001326F0">
        <w:rPr>
          <w:rFonts w:ascii="Book Antiqua" w:eastAsia="SimSun" w:hAnsi="Book Antiqua" w:cs="SimSun"/>
          <w:sz w:val="24"/>
          <w:szCs w:val="24"/>
          <w:lang w:val="en-US" w:eastAsia="zh-CN"/>
        </w:rPr>
        <w:t>11368702</w:t>
      </w:r>
      <w:bookmarkEnd w:id="317"/>
      <w:bookmarkEnd w:id="318"/>
      <w:r w:rsidRPr="001326F0">
        <w:rPr>
          <w:rFonts w:ascii="Book Antiqua" w:eastAsia="SimSun" w:hAnsi="Book Antiqua" w:cs="SimSun"/>
          <w:sz w:val="24"/>
          <w:szCs w:val="24"/>
          <w:lang w:val="en-US" w:eastAsia="zh-CN"/>
        </w:rPr>
        <w:t>]</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207 </w:t>
      </w:r>
      <w:r w:rsidRPr="001326F0">
        <w:rPr>
          <w:rFonts w:ascii="Book Antiqua" w:eastAsia="SimSun" w:hAnsi="Book Antiqua" w:cs="SimSun"/>
          <w:b/>
          <w:bCs/>
          <w:sz w:val="24"/>
          <w:szCs w:val="24"/>
          <w:lang w:val="en-US" w:eastAsia="zh-CN"/>
        </w:rPr>
        <w:t>Keys A</w:t>
      </w:r>
      <w:r w:rsidRPr="001326F0">
        <w:rPr>
          <w:rFonts w:ascii="Book Antiqua" w:eastAsia="SimSun" w:hAnsi="Book Antiqua" w:cs="SimSun"/>
          <w:sz w:val="24"/>
          <w:szCs w:val="24"/>
          <w:lang w:val="en-US" w:eastAsia="zh-CN"/>
        </w:rPr>
        <w:t xml:space="preserve">, Menotti A, Karvonen MJ, Aravanis C, Blackburn H, Buzina R, Djordjevic BS, Dontas AS, Fidanza F, Keys MH. The diet and 15-year death rate in the seven countries study. </w:t>
      </w:r>
      <w:r w:rsidRPr="001326F0">
        <w:rPr>
          <w:rFonts w:ascii="Book Antiqua" w:eastAsia="SimSun" w:hAnsi="Book Antiqua" w:cs="SimSun"/>
          <w:i/>
          <w:iCs/>
          <w:sz w:val="24"/>
          <w:szCs w:val="24"/>
          <w:lang w:val="en-US" w:eastAsia="zh-CN"/>
        </w:rPr>
        <w:t>Am J Epidemiol</w:t>
      </w:r>
      <w:r w:rsidRPr="001326F0">
        <w:rPr>
          <w:rFonts w:ascii="Book Antiqua" w:eastAsia="SimSun" w:hAnsi="Book Antiqua" w:cs="SimSun"/>
          <w:sz w:val="24"/>
          <w:szCs w:val="24"/>
          <w:lang w:val="en-US" w:eastAsia="zh-CN"/>
        </w:rPr>
        <w:t xml:space="preserve"> 1986; </w:t>
      </w:r>
      <w:r w:rsidRPr="001326F0">
        <w:rPr>
          <w:rFonts w:ascii="Book Antiqua" w:eastAsia="SimSun" w:hAnsi="Book Antiqua" w:cs="SimSun"/>
          <w:b/>
          <w:bCs/>
          <w:sz w:val="24"/>
          <w:szCs w:val="24"/>
          <w:lang w:val="en-US" w:eastAsia="zh-CN"/>
        </w:rPr>
        <w:t>124</w:t>
      </w:r>
      <w:r w:rsidRPr="001326F0">
        <w:rPr>
          <w:rFonts w:ascii="Book Antiqua" w:eastAsia="SimSun" w:hAnsi="Book Antiqua" w:cs="SimSun"/>
          <w:sz w:val="24"/>
          <w:szCs w:val="24"/>
          <w:lang w:val="en-US" w:eastAsia="zh-CN"/>
        </w:rPr>
        <w:t>: 903-915 [PMID: 3776973]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208 </w:t>
      </w:r>
      <w:r w:rsidRPr="001326F0">
        <w:rPr>
          <w:rFonts w:ascii="Book Antiqua" w:eastAsia="SimSun" w:hAnsi="Book Antiqua" w:cs="SimSun"/>
          <w:b/>
          <w:bCs/>
          <w:sz w:val="24"/>
          <w:szCs w:val="24"/>
          <w:lang w:val="en-US" w:eastAsia="zh-CN"/>
        </w:rPr>
        <w:t>Wycherley TP</w:t>
      </w:r>
      <w:r w:rsidRPr="001326F0">
        <w:rPr>
          <w:rFonts w:ascii="Book Antiqua" w:eastAsia="SimSun" w:hAnsi="Book Antiqua" w:cs="SimSun"/>
          <w:sz w:val="24"/>
          <w:szCs w:val="24"/>
          <w:lang w:val="en-US" w:eastAsia="zh-CN"/>
        </w:rPr>
        <w:t xml:space="preserve">, Brinkworth GD, Clifton PM, Noakes M. Comparison of the effects of 52 weeks weight loss with either a high-protein or high-carbohydrate diet on body composition and cardiometabolic risk factors in overweight and obese males. </w:t>
      </w:r>
      <w:r w:rsidRPr="001326F0">
        <w:rPr>
          <w:rFonts w:ascii="Book Antiqua" w:eastAsia="SimSun" w:hAnsi="Book Antiqua" w:cs="SimSun"/>
          <w:i/>
          <w:iCs/>
          <w:sz w:val="24"/>
          <w:szCs w:val="24"/>
          <w:lang w:val="en-US" w:eastAsia="zh-CN"/>
        </w:rPr>
        <w:t>Nutr Diabetes</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2</w:t>
      </w:r>
      <w:r w:rsidRPr="001326F0">
        <w:rPr>
          <w:rFonts w:ascii="Book Antiqua" w:eastAsia="SimSun" w:hAnsi="Book Antiqua" w:cs="SimSun"/>
          <w:sz w:val="24"/>
          <w:szCs w:val="24"/>
          <w:lang w:val="en-US" w:eastAsia="zh-CN"/>
        </w:rPr>
        <w:t>: e40 [PMID: 23448804 DOI: 10.1038/nutd.2012.11]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209 </w:t>
      </w:r>
      <w:r w:rsidRPr="001326F0">
        <w:rPr>
          <w:rFonts w:ascii="Book Antiqua" w:eastAsia="SimSun" w:hAnsi="Book Antiqua" w:cs="SimSun"/>
          <w:b/>
          <w:sz w:val="24"/>
          <w:szCs w:val="24"/>
          <w:lang w:val="en-US" w:eastAsia="zh-CN"/>
        </w:rPr>
        <w:t>Teixeira TFS</w:t>
      </w:r>
      <w:r w:rsidRPr="001326F0">
        <w:rPr>
          <w:rFonts w:ascii="Book Antiqua" w:eastAsia="SimSun" w:hAnsi="Book Antiqua" w:cs="SimSun"/>
          <w:sz w:val="24"/>
          <w:szCs w:val="24"/>
          <w:lang w:val="en-US" w:eastAsia="zh-CN"/>
        </w:rPr>
        <w:t xml:space="preserve">, Alves RDM , Moreira APB , Peluzio Mdo C. Main characteristics of metabolically obese normal weight and metabolically healthy obese phenotypes. </w:t>
      </w:r>
      <w:bookmarkStart w:id="319" w:name="OLE_LINK2550"/>
      <w:bookmarkStart w:id="320" w:name="OLE_LINK2551"/>
      <w:r w:rsidRPr="001326F0">
        <w:rPr>
          <w:rFonts w:ascii="Book Antiqua" w:eastAsia="SimSun" w:hAnsi="Book Antiqua" w:cs="SimSun"/>
          <w:i/>
          <w:sz w:val="24"/>
          <w:szCs w:val="24"/>
          <w:lang w:val="en-US" w:eastAsia="zh-CN"/>
        </w:rPr>
        <w:t>Nutr Rev</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sz w:val="24"/>
          <w:szCs w:val="24"/>
          <w:lang w:val="en-US" w:eastAsia="zh-CN"/>
        </w:rPr>
        <w:t>73</w:t>
      </w:r>
      <w:r w:rsidRPr="001326F0">
        <w:rPr>
          <w:rFonts w:ascii="Book Antiqua" w:eastAsia="SimSun" w:hAnsi="Book Antiqua" w:cs="SimSun"/>
          <w:sz w:val="24"/>
          <w:szCs w:val="24"/>
          <w:lang w:val="en-US" w:eastAsia="zh-CN"/>
        </w:rPr>
        <w:t xml:space="preserve">: 175–190 </w:t>
      </w:r>
      <w:bookmarkEnd w:id="319"/>
      <w:bookmarkEnd w:id="320"/>
      <w:r w:rsidRPr="001326F0">
        <w:rPr>
          <w:rFonts w:ascii="Book Antiqua" w:eastAsia="SimSun" w:hAnsi="Book Antiqua" w:cs="SimSun"/>
          <w:sz w:val="24"/>
          <w:szCs w:val="24"/>
          <w:lang w:val="en-US" w:eastAsia="zh-CN"/>
        </w:rPr>
        <w:t>[PMID: 26024540</w:t>
      </w:r>
      <w:r w:rsidRPr="001326F0">
        <w:rPr>
          <w:rFonts w:ascii="Book Antiqua" w:eastAsia="SimSun" w:hAnsi="Book Antiqua" w:cs="SimSun" w:hint="eastAsia"/>
          <w:sz w:val="24"/>
          <w:szCs w:val="24"/>
          <w:lang w:val="en-US" w:eastAsia="zh-CN"/>
        </w:rPr>
        <w:t xml:space="preserve"> </w:t>
      </w:r>
      <w:r w:rsidRPr="001326F0">
        <w:rPr>
          <w:rFonts w:ascii="Book Antiqua" w:eastAsia="SimSun" w:hAnsi="Book Antiqua" w:cs="SimSun"/>
          <w:sz w:val="24"/>
          <w:szCs w:val="24"/>
          <w:lang w:val="en-US" w:eastAsia="zh-CN"/>
        </w:rPr>
        <w:t>DOI: 10.1093/nutrit/nuu007]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210 </w:t>
      </w:r>
      <w:r w:rsidRPr="001326F0">
        <w:rPr>
          <w:rFonts w:ascii="Book Antiqua" w:eastAsia="SimSun" w:hAnsi="Book Antiqua" w:cs="SimSun"/>
          <w:b/>
          <w:bCs/>
          <w:sz w:val="24"/>
          <w:szCs w:val="24"/>
          <w:lang w:val="en-US" w:eastAsia="zh-CN"/>
        </w:rPr>
        <w:t>O'Connell J</w:t>
      </w:r>
      <w:r w:rsidRPr="001326F0">
        <w:rPr>
          <w:rFonts w:ascii="Book Antiqua" w:eastAsia="SimSun" w:hAnsi="Book Antiqua" w:cs="SimSun"/>
          <w:sz w:val="24"/>
          <w:szCs w:val="24"/>
          <w:lang w:val="en-US" w:eastAsia="zh-CN"/>
        </w:rPr>
        <w:t xml:space="preserve">, Lynch L, Cawood TJ, Kwasnik A, Nolan N, Geoghegan J, McCormick A, O'Farrelly C, O'Shea D. The relationship of omental and subcutaneous adipocyte size to metabolic disease in severe obesity. </w:t>
      </w:r>
      <w:r w:rsidRPr="001326F0">
        <w:rPr>
          <w:rFonts w:ascii="Book Antiqua" w:eastAsia="SimSun" w:hAnsi="Book Antiqua" w:cs="SimSun"/>
          <w:i/>
          <w:iCs/>
          <w:sz w:val="24"/>
          <w:szCs w:val="24"/>
          <w:lang w:val="en-US" w:eastAsia="zh-CN"/>
        </w:rPr>
        <w:t>PLoS One</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5</w:t>
      </w:r>
      <w:r w:rsidRPr="001326F0">
        <w:rPr>
          <w:rFonts w:ascii="Book Antiqua" w:eastAsia="SimSun" w:hAnsi="Book Antiqua" w:cs="SimSun"/>
          <w:sz w:val="24"/>
          <w:szCs w:val="24"/>
          <w:lang w:val="en-US" w:eastAsia="zh-CN"/>
        </w:rPr>
        <w:t>: e9997 [PMID: 20376319 DOI: 10.1371/journal.pone.0009997]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211 </w:t>
      </w:r>
      <w:r w:rsidRPr="001326F0">
        <w:rPr>
          <w:rFonts w:ascii="Book Antiqua" w:eastAsia="SimSun" w:hAnsi="Book Antiqua" w:cs="SimSun"/>
          <w:b/>
          <w:bCs/>
          <w:sz w:val="24"/>
          <w:szCs w:val="24"/>
          <w:lang w:val="en-US" w:eastAsia="zh-CN"/>
        </w:rPr>
        <w:t>Calanna S</w:t>
      </w:r>
      <w:r w:rsidRPr="001326F0">
        <w:rPr>
          <w:rFonts w:ascii="Book Antiqua" w:eastAsia="SimSun" w:hAnsi="Book Antiqua" w:cs="SimSun"/>
          <w:sz w:val="24"/>
          <w:szCs w:val="24"/>
          <w:lang w:val="en-US" w:eastAsia="zh-CN"/>
        </w:rPr>
        <w:t xml:space="preserve">, Piro S, Di Pino A, Maria Zagami R, Urbano F, Purrello F, Maria Rabuazzo A. Beta and alpha cell function in metabolically healthy but obese subjects: relationship with entero-insular axis.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21</w:t>
      </w:r>
      <w:r w:rsidRPr="001326F0">
        <w:rPr>
          <w:rFonts w:ascii="Book Antiqua" w:eastAsia="SimSun" w:hAnsi="Book Antiqua" w:cs="SimSun"/>
          <w:sz w:val="24"/>
          <w:szCs w:val="24"/>
          <w:lang w:val="en-US" w:eastAsia="zh-CN"/>
        </w:rPr>
        <w:t>: 320-325 [PMID: 23404781 DOI: 10.1002/oby.20017]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212 </w:t>
      </w:r>
      <w:r w:rsidRPr="001326F0">
        <w:rPr>
          <w:rFonts w:ascii="Book Antiqua" w:eastAsia="SimSun" w:hAnsi="Book Antiqua" w:cs="SimSun"/>
          <w:b/>
          <w:bCs/>
          <w:sz w:val="24"/>
          <w:szCs w:val="24"/>
          <w:lang w:val="en-US" w:eastAsia="zh-CN"/>
        </w:rPr>
        <w:t>Fabbrini E</w:t>
      </w:r>
      <w:r w:rsidRPr="001326F0">
        <w:rPr>
          <w:rFonts w:ascii="Book Antiqua" w:eastAsia="SimSun" w:hAnsi="Book Antiqua" w:cs="SimSun"/>
          <w:sz w:val="24"/>
          <w:szCs w:val="24"/>
          <w:lang w:val="en-US" w:eastAsia="zh-CN"/>
        </w:rPr>
        <w:t xml:space="preserve">, Mohammed BS, Magkos F, Korenblat KM, Patterson BW, Klein S. Alterations in adipose tissue and hepatic lipid kinetics in obese men and women with nonalcoholic fatty liver disease. </w:t>
      </w:r>
      <w:r w:rsidRPr="001326F0">
        <w:rPr>
          <w:rFonts w:ascii="Book Antiqua" w:eastAsia="SimSun" w:hAnsi="Book Antiqua" w:cs="SimSun"/>
          <w:i/>
          <w:iCs/>
          <w:sz w:val="24"/>
          <w:szCs w:val="24"/>
          <w:lang w:val="en-US" w:eastAsia="zh-CN"/>
        </w:rPr>
        <w:t>Gastroenterology</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134</w:t>
      </w:r>
      <w:r w:rsidRPr="001326F0">
        <w:rPr>
          <w:rFonts w:ascii="Book Antiqua" w:eastAsia="SimSun" w:hAnsi="Book Antiqua" w:cs="SimSun"/>
          <w:sz w:val="24"/>
          <w:szCs w:val="24"/>
          <w:lang w:val="en-US" w:eastAsia="zh-CN"/>
        </w:rPr>
        <w:t>: 424-431 [PMID: 18242210 DOI: 10.1053/j.gastro.2007.11.038]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213 </w:t>
      </w:r>
      <w:r w:rsidRPr="001326F0">
        <w:rPr>
          <w:rFonts w:ascii="Book Antiqua" w:eastAsia="SimSun" w:hAnsi="Book Antiqua" w:cs="SimSun"/>
          <w:b/>
          <w:bCs/>
          <w:sz w:val="24"/>
          <w:szCs w:val="24"/>
          <w:lang w:val="en-US" w:eastAsia="zh-CN"/>
        </w:rPr>
        <w:t>Sanyal AJ</w:t>
      </w:r>
      <w:r w:rsidRPr="001326F0">
        <w:rPr>
          <w:rFonts w:ascii="Book Antiqua" w:eastAsia="SimSun" w:hAnsi="Book Antiqua" w:cs="SimSun"/>
          <w:sz w:val="24"/>
          <w:szCs w:val="24"/>
          <w:lang w:val="en-US" w:eastAsia="zh-CN"/>
        </w:rPr>
        <w:t xml:space="preserve">, Campbell-Sargent C, Mirshahi F, Rizzo WB, Contos MJ, Sterling RK, Luketic VA, Shiffman ML, Clore JN. Nonalcoholic steatohepatitis: association of insulin resistance and mitochondrial abnormalities. </w:t>
      </w:r>
      <w:r w:rsidRPr="001326F0">
        <w:rPr>
          <w:rFonts w:ascii="Book Antiqua" w:eastAsia="SimSun" w:hAnsi="Book Antiqua" w:cs="SimSun"/>
          <w:i/>
          <w:iCs/>
          <w:sz w:val="24"/>
          <w:szCs w:val="24"/>
          <w:lang w:val="en-US" w:eastAsia="zh-CN"/>
        </w:rPr>
        <w:t>Gastroenterology</w:t>
      </w:r>
      <w:r w:rsidRPr="001326F0">
        <w:rPr>
          <w:rFonts w:ascii="Book Antiqua" w:eastAsia="SimSun" w:hAnsi="Book Antiqua" w:cs="SimSun"/>
          <w:sz w:val="24"/>
          <w:szCs w:val="24"/>
          <w:lang w:val="en-US" w:eastAsia="zh-CN"/>
        </w:rPr>
        <w:t xml:space="preserve"> 2001; </w:t>
      </w:r>
      <w:r w:rsidRPr="001326F0">
        <w:rPr>
          <w:rFonts w:ascii="Book Antiqua" w:eastAsia="SimSun" w:hAnsi="Book Antiqua" w:cs="SimSun"/>
          <w:b/>
          <w:bCs/>
          <w:sz w:val="24"/>
          <w:szCs w:val="24"/>
          <w:lang w:val="en-US" w:eastAsia="zh-CN"/>
        </w:rPr>
        <w:t>120</w:t>
      </w:r>
      <w:r w:rsidRPr="001326F0">
        <w:rPr>
          <w:rFonts w:ascii="Book Antiqua" w:eastAsia="SimSun" w:hAnsi="Book Antiqua" w:cs="SimSun"/>
          <w:sz w:val="24"/>
          <w:szCs w:val="24"/>
          <w:lang w:val="en-US" w:eastAsia="zh-CN"/>
        </w:rPr>
        <w:t>: 1183-1192 [PMID: 11266382]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214 </w:t>
      </w:r>
      <w:r w:rsidRPr="001326F0">
        <w:rPr>
          <w:rFonts w:ascii="Book Antiqua" w:eastAsia="SimSun" w:hAnsi="Book Antiqua" w:cs="SimSun"/>
          <w:b/>
          <w:bCs/>
          <w:sz w:val="24"/>
          <w:szCs w:val="24"/>
          <w:lang w:val="en-US" w:eastAsia="zh-CN"/>
        </w:rPr>
        <w:t>Korenblat KM</w:t>
      </w:r>
      <w:r w:rsidRPr="001326F0">
        <w:rPr>
          <w:rFonts w:ascii="Book Antiqua" w:eastAsia="SimSun" w:hAnsi="Book Antiqua" w:cs="SimSun"/>
          <w:sz w:val="24"/>
          <w:szCs w:val="24"/>
          <w:lang w:val="en-US" w:eastAsia="zh-CN"/>
        </w:rPr>
        <w:t xml:space="preserve">, Fabbrini E, Mohammed BS, Klein S. Liver, muscle, and adipose tissue insulin action is directly related to intrahepatic triglyceride </w:t>
      </w:r>
      <w:r w:rsidRPr="001326F0">
        <w:rPr>
          <w:rFonts w:ascii="Book Antiqua" w:eastAsia="SimSun" w:hAnsi="Book Antiqua" w:cs="SimSun"/>
          <w:sz w:val="24"/>
          <w:szCs w:val="24"/>
          <w:lang w:val="en-US" w:eastAsia="zh-CN"/>
        </w:rPr>
        <w:lastRenderedPageBreak/>
        <w:t xml:space="preserve">content in obese subjects. </w:t>
      </w:r>
      <w:r w:rsidRPr="001326F0">
        <w:rPr>
          <w:rFonts w:ascii="Book Antiqua" w:eastAsia="SimSun" w:hAnsi="Book Antiqua" w:cs="SimSun"/>
          <w:i/>
          <w:iCs/>
          <w:sz w:val="24"/>
          <w:szCs w:val="24"/>
          <w:lang w:val="en-US" w:eastAsia="zh-CN"/>
        </w:rPr>
        <w:t>Gastroenterology</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134</w:t>
      </w:r>
      <w:r w:rsidRPr="001326F0">
        <w:rPr>
          <w:rFonts w:ascii="Book Antiqua" w:eastAsia="SimSun" w:hAnsi="Book Antiqua" w:cs="SimSun"/>
          <w:sz w:val="24"/>
          <w:szCs w:val="24"/>
          <w:lang w:val="en-US" w:eastAsia="zh-CN"/>
        </w:rPr>
        <w:t>: 1369-1375 [PMID: 18355813 DOI: 10.1053/j.gastro.2008.01.075]</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215 </w:t>
      </w:r>
      <w:r w:rsidRPr="001326F0">
        <w:rPr>
          <w:rFonts w:ascii="Book Antiqua" w:eastAsia="SimSun" w:hAnsi="Book Antiqua" w:cs="SimSun"/>
          <w:b/>
          <w:bCs/>
          <w:sz w:val="24"/>
          <w:szCs w:val="24"/>
          <w:lang w:val="en-US" w:eastAsia="zh-CN"/>
        </w:rPr>
        <w:t>Roberts R</w:t>
      </w:r>
      <w:r w:rsidRPr="001326F0">
        <w:rPr>
          <w:rFonts w:ascii="Book Antiqua" w:eastAsia="SimSun" w:hAnsi="Book Antiqua" w:cs="SimSun"/>
          <w:sz w:val="24"/>
          <w:szCs w:val="24"/>
          <w:lang w:val="en-US" w:eastAsia="zh-CN"/>
        </w:rPr>
        <w:t xml:space="preserve">, Hodson L, Dennis AL, Neville MJ, Humphreys SM, Harnden KE, Micklem KJ, Frayn KN. Markers of de novo lipogenesis in adipose tissue: associations with small adipocytes and insulin sensitivity in humans. </w:t>
      </w:r>
      <w:r w:rsidRPr="001326F0">
        <w:rPr>
          <w:rFonts w:ascii="Book Antiqua" w:eastAsia="SimSun" w:hAnsi="Book Antiqua" w:cs="SimSun"/>
          <w:i/>
          <w:iCs/>
          <w:sz w:val="24"/>
          <w:szCs w:val="24"/>
          <w:lang w:val="en-US" w:eastAsia="zh-CN"/>
        </w:rPr>
        <w:t>Diabetologia</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52</w:t>
      </w:r>
      <w:r w:rsidRPr="001326F0">
        <w:rPr>
          <w:rFonts w:ascii="Book Antiqua" w:eastAsia="SimSun" w:hAnsi="Book Antiqua" w:cs="SimSun"/>
          <w:sz w:val="24"/>
          <w:szCs w:val="24"/>
          <w:lang w:val="en-US" w:eastAsia="zh-CN"/>
        </w:rPr>
        <w:t>: 882-890 [PMID: 19252892 DOI: 10.1007/s00125-009-1300-4]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216 </w:t>
      </w:r>
      <w:r w:rsidRPr="001326F0">
        <w:rPr>
          <w:rFonts w:ascii="Book Antiqua" w:eastAsia="SimSun" w:hAnsi="Book Antiqua" w:cs="SimSun"/>
          <w:b/>
          <w:bCs/>
          <w:sz w:val="24"/>
          <w:szCs w:val="24"/>
          <w:lang w:val="en-US" w:eastAsia="zh-CN"/>
        </w:rPr>
        <w:t>Herman MA</w:t>
      </w:r>
      <w:r w:rsidRPr="001326F0">
        <w:rPr>
          <w:rFonts w:ascii="Book Antiqua" w:eastAsia="SimSun" w:hAnsi="Book Antiqua" w:cs="SimSun"/>
          <w:sz w:val="24"/>
          <w:szCs w:val="24"/>
          <w:lang w:val="en-US" w:eastAsia="zh-CN"/>
        </w:rPr>
        <w:t xml:space="preserve">, Peroni OD, Villoria J, Schön MR, Abumrad NA, Blüher M, Klein S, Kahn BB. A novel ChREBP isoform in adipose tissue regulates systemic glucose metabolism. </w:t>
      </w:r>
      <w:r w:rsidRPr="001326F0">
        <w:rPr>
          <w:rFonts w:ascii="Book Antiqua" w:eastAsia="SimSun" w:hAnsi="Book Antiqua" w:cs="SimSun"/>
          <w:i/>
          <w:iCs/>
          <w:sz w:val="24"/>
          <w:szCs w:val="24"/>
          <w:lang w:val="en-US" w:eastAsia="zh-CN"/>
        </w:rPr>
        <w:t>Nature</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484</w:t>
      </w:r>
      <w:r w:rsidRPr="001326F0">
        <w:rPr>
          <w:rFonts w:ascii="Book Antiqua" w:eastAsia="SimSun" w:hAnsi="Book Antiqua" w:cs="SimSun"/>
          <w:sz w:val="24"/>
          <w:szCs w:val="24"/>
          <w:lang w:val="en-US" w:eastAsia="zh-CN"/>
        </w:rPr>
        <w:t>: 333-338 [PMID: 22466288 DOI: 10.1038/nature10986]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217 </w:t>
      </w:r>
      <w:r w:rsidRPr="001326F0">
        <w:rPr>
          <w:rFonts w:ascii="Book Antiqua" w:eastAsia="SimSun" w:hAnsi="Book Antiqua" w:cs="SimSun"/>
          <w:b/>
          <w:bCs/>
          <w:sz w:val="24"/>
          <w:szCs w:val="24"/>
          <w:lang w:val="en-US" w:eastAsia="zh-CN"/>
        </w:rPr>
        <w:t>Hoffstedt J</w:t>
      </w:r>
      <w:r w:rsidRPr="001326F0">
        <w:rPr>
          <w:rFonts w:ascii="Book Antiqua" w:eastAsia="SimSun" w:hAnsi="Book Antiqua" w:cs="SimSun"/>
          <w:sz w:val="24"/>
          <w:szCs w:val="24"/>
          <w:lang w:val="en-US" w:eastAsia="zh-CN"/>
        </w:rPr>
        <w:t xml:space="preserve">, Förster D, Löfgren P. Impaired subcutaneous adipocyte lipogenesis is associated with systemic insulin resistance and increased apolipoprotein B/AI ratio in men and women. </w:t>
      </w:r>
      <w:r w:rsidRPr="001326F0">
        <w:rPr>
          <w:rFonts w:ascii="Book Antiqua" w:eastAsia="SimSun" w:hAnsi="Book Antiqua" w:cs="SimSun"/>
          <w:i/>
          <w:iCs/>
          <w:sz w:val="24"/>
          <w:szCs w:val="24"/>
          <w:lang w:val="en-US" w:eastAsia="zh-CN"/>
        </w:rPr>
        <w:t>J Intern Med</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262</w:t>
      </w:r>
      <w:r w:rsidRPr="001326F0">
        <w:rPr>
          <w:rFonts w:ascii="Book Antiqua" w:eastAsia="SimSun" w:hAnsi="Book Antiqua" w:cs="SimSun"/>
          <w:sz w:val="24"/>
          <w:szCs w:val="24"/>
          <w:lang w:val="en-US" w:eastAsia="zh-CN"/>
        </w:rPr>
        <w:t>: 131-139 [PMID: 17598821]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218 </w:t>
      </w:r>
      <w:r w:rsidRPr="001326F0">
        <w:rPr>
          <w:rFonts w:ascii="Book Antiqua" w:eastAsia="SimSun" w:hAnsi="Book Antiqua" w:cs="SimSun"/>
          <w:b/>
          <w:bCs/>
          <w:sz w:val="24"/>
          <w:szCs w:val="24"/>
          <w:lang w:val="en-US" w:eastAsia="zh-CN"/>
        </w:rPr>
        <w:t>Kursawe R</w:t>
      </w:r>
      <w:r w:rsidRPr="001326F0">
        <w:rPr>
          <w:rFonts w:ascii="Book Antiqua" w:eastAsia="SimSun" w:hAnsi="Book Antiqua" w:cs="SimSun"/>
          <w:sz w:val="24"/>
          <w:szCs w:val="24"/>
          <w:lang w:val="en-US" w:eastAsia="zh-CN"/>
        </w:rPr>
        <w:t xml:space="preserve">, Eszlinger M, Narayan D, Liu T, Bazuine M, Cali AM, D'Adamo E, Shaw M, Pierpont B, Shulman GI, Cushman SW, Sherman A, Caprio S. Cellularity and adipogenic profile of the abdominal subcutaneous adipose tissue from obese adolescents: association with insulin resistance and hepatic steatosis.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59</w:t>
      </w:r>
      <w:r w:rsidRPr="001326F0">
        <w:rPr>
          <w:rFonts w:ascii="Book Antiqua" w:eastAsia="SimSun" w:hAnsi="Book Antiqua" w:cs="SimSun"/>
          <w:sz w:val="24"/>
          <w:szCs w:val="24"/>
          <w:lang w:val="en-US" w:eastAsia="zh-CN"/>
        </w:rPr>
        <w:t>: 2288-2296 [PMID: 20805387 DOI: 10.2337/db10-0113]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219 </w:t>
      </w:r>
      <w:r w:rsidRPr="001326F0">
        <w:rPr>
          <w:rFonts w:ascii="Book Antiqua" w:eastAsia="SimSun" w:hAnsi="Book Antiqua" w:cs="SimSun"/>
          <w:b/>
          <w:bCs/>
          <w:sz w:val="24"/>
          <w:szCs w:val="24"/>
          <w:lang w:val="en-US" w:eastAsia="zh-CN"/>
        </w:rPr>
        <w:t>Graham TE</w:t>
      </w:r>
      <w:r w:rsidRPr="001326F0">
        <w:rPr>
          <w:rFonts w:ascii="Book Antiqua" w:eastAsia="SimSun" w:hAnsi="Book Antiqua" w:cs="SimSun"/>
          <w:sz w:val="24"/>
          <w:szCs w:val="24"/>
          <w:lang w:val="en-US" w:eastAsia="zh-CN"/>
        </w:rPr>
        <w:t xml:space="preserve">, Kahn BB. Tissue-specific alterations of glucose transport and molecular mechanisms of intertissue communication in obesity and type 2 diabetes. </w:t>
      </w:r>
      <w:r w:rsidRPr="001326F0">
        <w:rPr>
          <w:rFonts w:ascii="Book Antiqua" w:eastAsia="SimSun" w:hAnsi="Book Antiqua" w:cs="SimSun"/>
          <w:i/>
          <w:iCs/>
          <w:sz w:val="24"/>
          <w:szCs w:val="24"/>
          <w:lang w:val="en-US" w:eastAsia="zh-CN"/>
        </w:rPr>
        <w:t>Horm Metab Res</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39</w:t>
      </w:r>
      <w:r w:rsidRPr="001326F0">
        <w:rPr>
          <w:rFonts w:ascii="Book Antiqua" w:eastAsia="SimSun" w:hAnsi="Book Antiqua" w:cs="SimSun"/>
          <w:sz w:val="24"/>
          <w:szCs w:val="24"/>
          <w:lang w:val="en-US" w:eastAsia="zh-CN"/>
        </w:rPr>
        <w:t>: 717-721 [PMID: 17952832]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220 </w:t>
      </w:r>
      <w:r w:rsidRPr="001326F0">
        <w:rPr>
          <w:rFonts w:ascii="Book Antiqua" w:eastAsia="SimSun" w:hAnsi="Book Antiqua" w:cs="SimSun"/>
          <w:b/>
          <w:bCs/>
          <w:sz w:val="24"/>
          <w:szCs w:val="24"/>
          <w:lang w:val="en-US" w:eastAsia="zh-CN"/>
        </w:rPr>
        <w:t>Kotronen A</w:t>
      </w:r>
      <w:r w:rsidRPr="001326F0">
        <w:rPr>
          <w:rFonts w:ascii="Book Antiqua" w:eastAsia="SimSun" w:hAnsi="Book Antiqua" w:cs="SimSun"/>
          <w:sz w:val="24"/>
          <w:szCs w:val="24"/>
          <w:lang w:val="en-US" w:eastAsia="zh-CN"/>
        </w:rPr>
        <w:t xml:space="preserve">, Westerbacka J, Bergholm R, Pietiläinen KH, Yki-Järvinen H. Liver fat in the metabolic syndrome.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92</w:t>
      </w:r>
      <w:r w:rsidRPr="001326F0">
        <w:rPr>
          <w:rFonts w:ascii="Book Antiqua" w:eastAsia="SimSun" w:hAnsi="Book Antiqua" w:cs="SimSun"/>
          <w:sz w:val="24"/>
          <w:szCs w:val="24"/>
          <w:lang w:val="en-US" w:eastAsia="zh-CN"/>
        </w:rPr>
        <w:t>: 3490-3497 [PMID: 17595248]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221 </w:t>
      </w:r>
      <w:r w:rsidRPr="001326F0">
        <w:rPr>
          <w:rFonts w:ascii="Book Antiqua" w:eastAsia="SimSun" w:hAnsi="Book Antiqua" w:cs="SimSun"/>
          <w:b/>
          <w:bCs/>
          <w:sz w:val="24"/>
          <w:szCs w:val="24"/>
          <w:lang w:val="en-US" w:eastAsia="zh-CN"/>
        </w:rPr>
        <w:t>Kim CH</w:t>
      </w:r>
      <w:r w:rsidRPr="001326F0">
        <w:rPr>
          <w:rFonts w:ascii="Book Antiqua" w:eastAsia="SimSun" w:hAnsi="Book Antiqua" w:cs="SimSun"/>
          <w:sz w:val="24"/>
          <w:szCs w:val="24"/>
          <w:lang w:val="en-US" w:eastAsia="zh-CN"/>
        </w:rPr>
        <w:t xml:space="preserve">, Younossi ZM. Nonalcoholic fatty liver disease: a manifestation of the metabolic syndrome. </w:t>
      </w:r>
      <w:r w:rsidRPr="001326F0">
        <w:rPr>
          <w:rFonts w:ascii="Book Antiqua" w:eastAsia="SimSun" w:hAnsi="Book Antiqua" w:cs="SimSun"/>
          <w:i/>
          <w:iCs/>
          <w:sz w:val="24"/>
          <w:szCs w:val="24"/>
          <w:lang w:val="en-US" w:eastAsia="zh-CN"/>
        </w:rPr>
        <w:t>Cleve Clin J Med</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75</w:t>
      </w:r>
      <w:r w:rsidRPr="001326F0">
        <w:rPr>
          <w:rFonts w:ascii="Book Antiqua" w:eastAsia="SimSun" w:hAnsi="Book Antiqua" w:cs="SimSun"/>
          <w:sz w:val="24"/>
          <w:szCs w:val="24"/>
          <w:lang w:val="en-US" w:eastAsia="zh-CN"/>
        </w:rPr>
        <w:t>: 721-728 [PMID: 18939388]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222 </w:t>
      </w:r>
      <w:r w:rsidRPr="001326F0">
        <w:rPr>
          <w:rFonts w:ascii="Book Antiqua" w:eastAsia="SimSun" w:hAnsi="Book Antiqua" w:cs="SimSun"/>
          <w:b/>
          <w:bCs/>
          <w:sz w:val="24"/>
          <w:szCs w:val="24"/>
          <w:lang w:val="en-US" w:eastAsia="zh-CN"/>
        </w:rPr>
        <w:t>Evans WJ</w:t>
      </w:r>
      <w:r w:rsidRPr="001326F0">
        <w:rPr>
          <w:rFonts w:ascii="Book Antiqua" w:eastAsia="SimSun" w:hAnsi="Book Antiqua" w:cs="SimSun"/>
          <w:sz w:val="24"/>
          <w:szCs w:val="24"/>
          <w:lang w:val="en-US" w:eastAsia="zh-CN"/>
        </w:rPr>
        <w:t xml:space="preserve">. Skeletal muscle loss: cachexia, sarcopenia, and inactivity.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91</w:t>
      </w:r>
      <w:r w:rsidRPr="001326F0">
        <w:rPr>
          <w:rFonts w:ascii="Book Antiqua" w:eastAsia="SimSun" w:hAnsi="Book Antiqua" w:cs="SimSun"/>
          <w:sz w:val="24"/>
          <w:szCs w:val="24"/>
          <w:lang w:val="en-US" w:eastAsia="zh-CN"/>
        </w:rPr>
        <w:t>: 1123S-1127S [PMID: 20164314 DOI: 10.3945/ajcn.2010.28608A]</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223 </w:t>
      </w:r>
      <w:r w:rsidRPr="001326F0">
        <w:rPr>
          <w:rFonts w:ascii="Book Antiqua" w:eastAsia="SimSun" w:hAnsi="Book Antiqua" w:cs="SimSun"/>
          <w:b/>
          <w:bCs/>
          <w:sz w:val="24"/>
          <w:szCs w:val="24"/>
          <w:lang w:val="en-US" w:eastAsia="zh-CN"/>
        </w:rPr>
        <w:t>Sakuma K</w:t>
      </w:r>
      <w:r w:rsidRPr="001326F0">
        <w:rPr>
          <w:rFonts w:ascii="Book Antiqua" w:eastAsia="SimSun" w:hAnsi="Book Antiqua" w:cs="SimSun"/>
          <w:sz w:val="24"/>
          <w:szCs w:val="24"/>
          <w:lang w:val="en-US" w:eastAsia="zh-CN"/>
        </w:rPr>
        <w:t xml:space="preserve">, Yamaguchi A. Sarcopenic obesity and endocrinal adaptation with age. </w:t>
      </w:r>
      <w:r w:rsidRPr="001326F0">
        <w:rPr>
          <w:rFonts w:ascii="Book Antiqua" w:eastAsia="SimSun" w:hAnsi="Book Antiqua" w:cs="SimSun"/>
          <w:i/>
          <w:iCs/>
          <w:sz w:val="24"/>
          <w:szCs w:val="24"/>
          <w:lang w:val="en-US" w:eastAsia="zh-CN"/>
        </w:rPr>
        <w:t>Int J Endocrinol</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2013</w:t>
      </w:r>
      <w:r w:rsidRPr="001326F0">
        <w:rPr>
          <w:rFonts w:ascii="Book Antiqua" w:eastAsia="SimSun" w:hAnsi="Book Antiqua" w:cs="SimSun"/>
          <w:sz w:val="24"/>
          <w:szCs w:val="24"/>
          <w:lang w:val="en-US" w:eastAsia="zh-CN"/>
        </w:rPr>
        <w:t>: 204164 [PMID: 23690769 DOI: 10.1155/2013/204164]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224 </w:t>
      </w:r>
      <w:r w:rsidRPr="001326F0">
        <w:rPr>
          <w:rFonts w:ascii="Book Antiqua" w:eastAsia="SimSun" w:hAnsi="Book Antiqua" w:cs="SimSun"/>
          <w:b/>
          <w:bCs/>
          <w:sz w:val="24"/>
          <w:szCs w:val="24"/>
          <w:lang w:val="en-US" w:eastAsia="zh-CN"/>
        </w:rPr>
        <w:t>Frühbeck G</w:t>
      </w:r>
      <w:r w:rsidRPr="001326F0">
        <w:rPr>
          <w:rFonts w:ascii="Book Antiqua" w:eastAsia="SimSun" w:hAnsi="Book Antiqua" w:cs="SimSun"/>
          <w:sz w:val="24"/>
          <w:szCs w:val="24"/>
          <w:lang w:val="en-US" w:eastAsia="zh-CN"/>
        </w:rPr>
        <w:t xml:space="preserve">. The Sir David Cuthbertson Medal Lecture. Hunting for new pieces to the complex puzzle of obesity. </w:t>
      </w:r>
      <w:r w:rsidRPr="001326F0">
        <w:rPr>
          <w:rFonts w:ascii="Book Antiqua" w:eastAsia="SimSun" w:hAnsi="Book Antiqua" w:cs="SimSun"/>
          <w:i/>
          <w:iCs/>
          <w:sz w:val="24"/>
          <w:szCs w:val="24"/>
          <w:lang w:val="en-US" w:eastAsia="zh-CN"/>
        </w:rPr>
        <w:t>Proc Nutr Soc</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65</w:t>
      </w:r>
      <w:r w:rsidRPr="001326F0">
        <w:rPr>
          <w:rFonts w:ascii="Book Antiqua" w:eastAsia="SimSun" w:hAnsi="Book Antiqua" w:cs="SimSun"/>
          <w:sz w:val="24"/>
          <w:szCs w:val="24"/>
          <w:lang w:val="en-US" w:eastAsia="zh-CN"/>
        </w:rPr>
        <w:t>: 329-347 [PMID: 17181900]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225 </w:t>
      </w:r>
      <w:r w:rsidRPr="001326F0">
        <w:rPr>
          <w:rFonts w:ascii="Book Antiqua" w:eastAsia="SimSun" w:hAnsi="Book Antiqua" w:cs="SimSun"/>
          <w:b/>
          <w:bCs/>
          <w:sz w:val="24"/>
          <w:szCs w:val="24"/>
          <w:lang w:val="en-US" w:eastAsia="zh-CN"/>
        </w:rPr>
        <w:t>Rankinen T</w:t>
      </w:r>
      <w:r w:rsidRPr="001326F0">
        <w:rPr>
          <w:rFonts w:ascii="Book Antiqua" w:eastAsia="SimSun" w:hAnsi="Book Antiqua" w:cs="SimSun"/>
          <w:sz w:val="24"/>
          <w:szCs w:val="24"/>
          <w:lang w:val="en-US" w:eastAsia="zh-CN"/>
        </w:rPr>
        <w:t xml:space="preserve">, Zuberi A, Chagnon YC, Weisnagel SJ, Argyropoulos G, Walts B, Pérusse L, Bouchard C. The human obesity gene map: the 2005 update.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14</w:t>
      </w:r>
      <w:r w:rsidRPr="001326F0">
        <w:rPr>
          <w:rFonts w:ascii="Book Antiqua" w:eastAsia="SimSun" w:hAnsi="Book Antiqua" w:cs="SimSun"/>
          <w:sz w:val="24"/>
          <w:szCs w:val="24"/>
          <w:lang w:val="en-US" w:eastAsia="zh-CN"/>
        </w:rPr>
        <w:t>: 529-644 [PMID: 16741264]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226 </w:t>
      </w:r>
      <w:r w:rsidRPr="001326F0">
        <w:rPr>
          <w:rFonts w:ascii="Book Antiqua" w:eastAsia="SimSun" w:hAnsi="Book Antiqua" w:cs="SimSun"/>
          <w:b/>
          <w:bCs/>
          <w:sz w:val="24"/>
          <w:szCs w:val="24"/>
          <w:lang w:val="en-US" w:eastAsia="zh-CN"/>
        </w:rPr>
        <w:t>Cruz-Jentoft AJ</w:t>
      </w:r>
      <w:r w:rsidRPr="001326F0">
        <w:rPr>
          <w:rFonts w:ascii="Book Antiqua" w:eastAsia="SimSun" w:hAnsi="Book Antiqua" w:cs="SimSun"/>
          <w:sz w:val="24"/>
          <w:szCs w:val="24"/>
          <w:lang w:val="en-US" w:eastAsia="zh-CN"/>
        </w:rPr>
        <w:t xml:space="preserve">, Baeyens JP, Bauer JM, Boirie Y, Cederholm T, Landi F, Martin FC, Michel JP, Rolland Y, Schneider SM, Topinková E, Vandewoude M, Zamboni M. Sarcopenia: European consensus on definition and diagnosis: Report of the European Working Group on Sarcopenia in Older People. </w:t>
      </w:r>
      <w:r w:rsidRPr="001326F0">
        <w:rPr>
          <w:rFonts w:ascii="Book Antiqua" w:eastAsia="SimSun" w:hAnsi="Book Antiqua" w:cs="SimSun"/>
          <w:i/>
          <w:iCs/>
          <w:sz w:val="24"/>
          <w:szCs w:val="24"/>
          <w:lang w:val="en-US" w:eastAsia="zh-CN"/>
        </w:rPr>
        <w:t>Age Ageing</w:t>
      </w:r>
      <w:r w:rsidRPr="001326F0">
        <w:rPr>
          <w:rFonts w:ascii="Book Antiqua" w:eastAsia="SimSun" w:hAnsi="Book Antiqua" w:cs="SimSun"/>
          <w:sz w:val="24"/>
          <w:szCs w:val="24"/>
          <w:lang w:val="en-US" w:eastAsia="zh-CN"/>
        </w:rPr>
        <w:t xml:space="preserve"> 2010; </w:t>
      </w:r>
      <w:r w:rsidRPr="001326F0">
        <w:rPr>
          <w:rFonts w:ascii="Book Antiqua" w:eastAsia="SimSun" w:hAnsi="Book Antiqua" w:cs="SimSun"/>
          <w:b/>
          <w:bCs/>
          <w:sz w:val="24"/>
          <w:szCs w:val="24"/>
          <w:lang w:val="en-US" w:eastAsia="zh-CN"/>
        </w:rPr>
        <w:t>39</w:t>
      </w:r>
      <w:r w:rsidRPr="001326F0">
        <w:rPr>
          <w:rFonts w:ascii="Book Antiqua" w:eastAsia="SimSun" w:hAnsi="Book Antiqua" w:cs="SimSun"/>
          <w:sz w:val="24"/>
          <w:szCs w:val="24"/>
          <w:lang w:val="en-US" w:eastAsia="zh-CN"/>
        </w:rPr>
        <w:t>: 412-423 [PMID: 20392703 DOI: 10.1093/ageing/afq034]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227 </w:t>
      </w:r>
      <w:r w:rsidRPr="001326F0">
        <w:rPr>
          <w:rFonts w:ascii="Book Antiqua" w:eastAsia="SimSun" w:hAnsi="Book Antiqua" w:cs="SimSun"/>
          <w:b/>
          <w:bCs/>
          <w:sz w:val="24"/>
          <w:szCs w:val="24"/>
          <w:lang w:val="en-US" w:eastAsia="zh-CN"/>
        </w:rPr>
        <w:t>Schrager MA</w:t>
      </w:r>
      <w:r w:rsidRPr="001326F0">
        <w:rPr>
          <w:rFonts w:ascii="Book Antiqua" w:eastAsia="SimSun" w:hAnsi="Book Antiqua" w:cs="SimSun"/>
          <w:sz w:val="24"/>
          <w:szCs w:val="24"/>
          <w:lang w:val="en-US" w:eastAsia="zh-CN"/>
        </w:rPr>
        <w:t xml:space="preserve">, Metter EJ, Simonsick E, Ble A, Bandinelli S, Lauretani F, Ferrucci L. Sarcopenic obesity and inflammation in the InCHIANTI study. </w:t>
      </w:r>
      <w:r w:rsidRPr="001326F0">
        <w:rPr>
          <w:rFonts w:ascii="Book Antiqua" w:eastAsia="SimSun" w:hAnsi="Book Antiqua" w:cs="SimSun"/>
          <w:i/>
          <w:iCs/>
          <w:sz w:val="24"/>
          <w:szCs w:val="24"/>
          <w:lang w:val="en-US" w:eastAsia="zh-CN"/>
        </w:rPr>
        <w:t>J Appl Physiol (1985)</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102</w:t>
      </w:r>
      <w:r w:rsidRPr="001326F0">
        <w:rPr>
          <w:rFonts w:ascii="Book Antiqua" w:eastAsia="SimSun" w:hAnsi="Book Antiqua" w:cs="SimSun"/>
          <w:sz w:val="24"/>
          <w:szCs w:val="24"/>
          <w:lang w:val="en-US" w:eastAsia="zh-CN"/>
        </w:rPr>
        <w:t>: 919-925 [PMID: 17095641]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228 </w:t>
      </w:r>
      <w:r w:rsidRPr="001326F0">
        <w:rPr>
          <w:rFonts w:ascii="Book Antiqua" w:eastAsia="SimSun" w:hAnsi="Book Antiqua" w:cs="SimSun"/>
          <w:b/>
          <w:bCs/>
          <w:sz w:val="24"/>
          <w:szCs w:val="24"/>
          <w:lang w:val="en-US" w:eastAsia="zh-CN"/>
        </w:rPr>
        <w:t>Silva AO</w:t>
      </w:r>
      <w:r w:rsidRPr="001326F0">
        <w:rPr>
          <w:rFonts w:ascii="Book Antiqua" w:eastAsia="SimSun" w:hAnsi="Book Antiqua" w:cs="SimSun"/>
          <w:sz w:val="24"/>
          <w:szCs w:val="24"/>
          <w:lang w:val="en-US" w:eastAsia="zh-CN"/>
        </w:rPr>
        <w:t xml:space="preserve">, Karnikowski MG, Funghetto SS, Stival MM, Lima RM, de Souza JC, Navalta JW, Prestes J. Association of body composition with sarcopenic obesity in elderly women. </w:t>
      </w:r>
      <w:r w:rsidRPr="001326F0">
        <w:rPr>
          <w:rFonts w:ascii="Book Antiqua" w:eastAsia="SimSun" w:hAnsi="Book Antiqua" w:cs="SimSun"/>
          <w:i/>
          <w:iCs/>
          <w:sz w:val="24"/>
          <w:szCs w:val="24"/>
          <w:lang w:val="en-US" w:eastAsia="zh-CN"/>
        </w:rPr>
        <w:t>Int J Gen Med</w:t>
      </w:r>
      <w:r w:rsidRPr="001326F0">
        <w:rPr>
          <w:rFonts w:ascii="Book Antiqua" w:eastAsia="SimSun" w:hAnsi="Book Antiqua" w:cs="SimSun"/>
          <w:sz w:val="24"/>
          <w:szCs w:val="24"/>
          <w:lang w:val="en-US" w:eastAsia="zh-CN"/>
        </w:rPr>
        <w:t xml:space="preserve"> 2013; </w:t>
      </w:r>
      <w:r w:rsidRPr="001326F0">
        <w:rPr>
          <w:rFonts w:ascii="Book Antiqua" w:eastAsia="SimSun" w:hAnsi="Book Antiqua" w:cs="SimSun"/>
          <w:b/>
          <w:bCs/>
          <w:sz w:val="24"/>
          <w:szCs w:val="24"/>
          <w:lang w:val="en-US" w:eastAsia="zh-CN"/>
        </w:rPr>
        <w:t>6</w:t>
      </w:r>
      <w:r w:rsidRPr="001326F0">
        <w:rPr>
          <w:rFonts w:ascii="Book Antiqua" w:eastAsia="SimSun" w:hAnsi="Book Antiqua" w:cs="SimSun"/>
          <w:sz w:val="24"/>
          <w:szCs w:val="24"/>
          <w:lang w:val="en-US" w:eastAsia="zh-CN"/>
        </w:rPr>
        <w:t>: 25-29 [PMID: 23378781 DOI: 10.2147/IJGM.S36279]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229 </w:t>
      </w:r>
      <w:r w:rsidRPr="001326F0">
        <w:rPr>
          <w:rFonts w:ascii="Book Antiqua" w:eastAsia="SimSun" w:hAnsi="Book Antiqua" w:cs="SimSun"/>
          <w:b/>
          <w:bCs/>
          <w:sz w:val="24"/>
          <w:szCs w:val="24"/>
          <w:lang w:val="en-US" w:eastAsia="zh-CN"/>
        </w:rPr>
        <w:t>De Lorenzo A</w:t>
      </w:r>
      <w:r w:rsidRPr="001326F0">
        <w:rPr>
          <w:rFonts w:ascii="Book Antiqua" w:eastAsia="SimSun" w:hAnsi="Book Antiqua" w:cs="SimSun"/>
          <w:sz w:val="24"/>
          <w:szCs w:val="24"/>
          <w:lang w:val="en-US" w:eastAsia="zh-CN"/>
        </w:rPr>
        <w:t xml:space="preserve">, Di Renzo L, Puja A, Saccucci P, Gloria-Bottini F, Bottini E. A study of acid phosphatase locus 1 in women with high fat content and normal body mass index. </w:t>
      </w:r>
      <w:r w:rsidRPr="001326F0">
        <w:rPr>
          <w:rFonts w:ascii="Book Antiqua" w:eastAsia="SimSun" w:hAnsi="Book Antiqua" w:cs="SimSun"/>
          <w:i/>
          <w:iCs/>
          <w:sz w:val="24"/>
          <w:szCs w:val="24"/>
          <w:lang w:val="en-US" w:eastAsia="zh-CN"/>
        </w:rPr>
        <w:t>Metabolism</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58</w:t>
      </w:r>
      <w:r w:rsidRPr="001326F0">
        <w:rPr>
          <w:rFonts w:ascii="Book Antiqua" w:eastAsia="SimSun" w:hAnsi="Book Antiqua" w:cs="SimSun"/>
          <w:sz w:val="24"/>
          <w:szCs w:val="24"/>
          <w:lang w:val="en-US" w:eastAsia="zh-CN"/>
        </w:rPr>
        <w:t>: 351-354 [PMID: 19217450 DOI: 10.1016/j.metabol.2008.10.007]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230 </w:t>
      </w:r>
      <w:r w:rsidRPr="001326F0">
        <w:rPr>
          <w:rFonts w:ascii="Book Antiqua" w:eastAsia="SimSun" w:hAnsi="Book Antiqua" w:cs="SimSun"/>
          <w:b/>
          <w:bCs/>
          <w:sz w:val="24"/>
          <w:szCs w:val="24"/>
          <w:lang w:val="en-US" w:eastAsia="zh-CN"/>
        </w:rPr>
        <w:t>Hsu FC</w:t>
      </w:r>
      <w:r w:rsidRPr="001326F0">
        <w:rPr>
          <w:rFonts w:ascii="Book Antiqua" w:eastAsia="SimSun" w:hAnsi="Book Antiqua" w:cs="SimSun"/>
          <w:sz w:val="24"/>
          <w:szCs w:val="24"/>
          <w:lang w:val="en-US" w:eastAsia="zh-CN"/>
        </w:rPr>
        <w:t xml:space="preserve">, Lenchik L, Nicklas BJ, Lohman K, Register TC, Mychaleckyj J, Langefeld CD, Freedman BI, Bowden DW, Carr JJ. Heritability of body </w:t>
      </w:r>
      <w:r w:rsidRPr="001326F0">
        <w:rPr>
          <w:rFonts w:ascii="Book Antiqua" w:eastAsia="SimSun" w:hAnsi="Book Antiqua" w:cs="SimSun"/>
          <w:sz w:val="24"/>
          <w:szCs w:val="24"/>
          <w:lang w:val="en-US" w:eastAsia="zh-CN"/>
        </w:rPr>
        <w:lastRenderedPageBreak/>
        <w:t xml:space="preserve">composition measured by DXA in the diabetes heart study. </w:t>
      </w:r>
      <w:r w:rsidRPr="001326F0">
        <w:rPr>
          <w:rFonts w:ascii="Book Antiqua" w:eastAsia="SimSun" w:hAnsi="Book Antiqua" w:cs="SimSun"/>
          <w:i/>
          <w:iCs/>
          <w:sz w:val="24"/>
          <w:szCs w:val="24"/>
          <w:lang w:val="en-US" w:eastAsia="zh-CN"/>
        </w:rPr>
        <w:t>Obes Res</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13</w:t>
      </w:r>
      <w:r w:rsidRPr="001326F0">
        <w:rPr>
          <w:rFonts w:ascii="Book Antiqua" w:eastAsia="SimSun" w:hAnsi="Book Antiqua" w:cs="SimSun"/>
          <w:sz w:val="24"/>
          <w:szCs w:val="24"/>
          <w:lang w:val="en-US" w:eastAsia="zh-CN"/>
        </w:rPr>
        <w:t>: 312-319 [PMID: 15800289]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231 </w:t>
      </w:r>
      <w:r w:rsidRPr="001326F0">
        <w:rPr>
          <w:rFonts w:ascii="Book Antiqua" w:eastAsia="SimSun" w:hAnsi="Book Antiqua" w:cs="SimSun"/>
          <w:b/>
          <w:bCs/>
          <w:sz w:val="24"/>
          <w:szCs w:val="24"/>
          <w:lang w:val="en-US" w:eastAsia="zh-CN"/>
        </w:rPr>
        <w:t>Prado CM</w:t>
      </w:r>
      <w:r w:rsidRPr="001326F0">
        <w:rPr>
          <w:rFonts w:ascii="Book Antiqua" w:eastAsia="SimSun" w:hAnsi="Book Antiqua" w:cs="SimSun"/>
          <w:sz w:val="24"/>
          <w:szCs w:val="24"/>
          <w:lang w:val="en-US" w:eastAsia="zh-CN"/>
        </w:rPr>
        <w:t xml:space="preserve">, Siervo M, Mire E, Heymsfield SB, Stephan BC, Broyles S, Smith SR, Wells JC, Katzmarzyk PT. A population-based approach to define body-composition phenotypes. </w:t>
      </w:r>
      <w:r w:rsidRPr="001326F0">
        <w:rPr>
          <w:rFonts w:ascii="Book Antiqua" w:eastAsia="SimSun" w:hAnsi="Book Antiqua" w:cs="SimSun"/>
          <w:i/>
          <w:iCs/>
          <w:sz w:val="24"/>
          <w:szCs w:val="24"/>
          <w:lang w:val="en-US" w:eastAsia="zh-CN"/>
        </w:rPr>
        <w:t>Am J Clin Nutr</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99</w:t>
      </w:r>
      <w:r w:rsidRPr="001326F0">
        <w:rPr>
          <w:rFonts w:ascii="Book Antiqua" w:eastAsia="SimSun" w:hAnsi="Book Antiqua" w:cs="SimSun"/>
          <w:sz w:val="24"/>
          <w:szCs w:val="24"/>
          <w:lang w:val="en-US" w:eastAsia="zh-CN"/>
        </w:rPr>
        <w:t>: 1369-1377 [PMID: 24760978 DOI: 10.3945/ajcn.113.078576]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232 </w:t>
      </w:r>
      <w:r w:rsidRPr="001326F0">
        <w:rPr>
          <w:rFonts w:ascii="Book Antiqua" w:eastAsia="SimSun" w:hAnsi="Book Antiqua" w:cs="SimSun"/>
          <w:b/>
          <w:bCs/>
          <w:sz w:val="24"/>
          <w:szCs w:val="24"/>
          <w:lang w:val="en-US" w:eastAsia="zh-CN"/>
        </w:rPr>
        <w:t>Prado CM</w:t>
      </w:r>
      <w:r w:rsidRPr="001326F0">
        <w:rPr>
          <w:rFonts w:ascii="Book Antiqua" w:eastAsia="SimSun" w:hAnsi="Book Antiqua" w:cs="SimSun"/>
          <w:sz w:val="24"/>
          <w:szCs w:val="24"/>
          <w:lang w:val="en-US" w:eastAsia="zh-CN"/>
        </w:rPr>
        <w:t xml:space="preserve">, Heymsfield SB. Lean tissue imaging: a new era for nutritional assessment and intervention. </w:t>
      </w:r>
      <w:r w:rsidRPr="001326F0">
        <w:rPr>
          <w:rFonts w:ascii="Book Antiqua" w:eastAsia="SimSun" w:hAnsi="Book Antiqua" w:cs="SimSun"/>
          <w:i/>
          <w:iCs/>
          <w:sz w:val="24"/>
          <w:szCs w:val="24"/>
          <w:lang w:val="en-US" w:eastAsia="zh-CN"/>
        </w:rPr>
        <w:t>JPEN J Parenter Enteral Nutr</w:t>
      </w:r>
      <w:r w:rsidRPr="001326F0">
        <w:rPr>
          <w:rFonts w:ascii="Book Antiqua" w:eastAsia="SimSun" w:hAnsi="Book Antiqua" w:cs="SimSun"/>
          <w:sz w:val="24"/>
          <w:szCs w:val="24"/>
          <w:lang w:val="en-US" w:eastAsia="zh-CN"/>
        </w:rPr>
        <w:t xml:space="preserve"> 2014; </w:t>
      </w:r>
      <w:r w:rsidRPr="001326F0">
        <w:rPr>
          <w:rFonts w:ascii="Book Antiqua" w:eastAsia="SimSun" w:hAnsi="Book Antiqua" w:cs="SimSun"/>
          <w:b/>
          <w:bCs/>
          <w:sz w:val="24"/>
          <w:szCs w:val="24"/>
          <w:lang w:val="en-US" w:eastAsia="zh-CN"/>
        </w:rPr>
        <w:t>38</w:t>
      </w:r>
      <w:r w:rsidRPr="001326F0">
        <w:rPr>
          <w:rFonts w:ascii="Book Antiqua" w:eastAsia="SimSun" w:hAnsi="Book Antiqua" w:cs="SimSun"/>
          <w:sz w:val="24"/>
          <w:szCs w:val="24"/>
          <w:lang w:val="en-US" w:eastAsia="zh-CN"/>
        </w:rPr>
        <w:t>: 940-953 [PMID: 25239112 DOI: 10.1177/0148607114550189]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s-ES_tradnl" w:eastAsia="zh-CN"/>
        </w:rPr>
        <w:t xml:space="preserve">233 </w:t>
      </w:r>
      <w:r w:rsidRPr="001326F0">
        <w:rPr>
          <w:rFonts w:ascii="Book Antiqua" w:eastAsia="SimSun" w:hAnsi="Book Antiqua" w:cs="SimSun"/>
          <w:b/>
          <w:bCs/>
          <w:sz w:val="24"/>
          <w:szCs w:val="24"/>
          <w:lang w:val="es-ES_tradnl" w:eastAsia="zh-CN"/>
        </w:rPr>
        <w:t>Kral JG</w:t>
      </w:r>
      <w:r w:rsidRPr="001326F0">
        <w:rPr>
          <w:rFonts w:ascii="Book Antiqua" w:eastAsia="SimSun" w:hAnsi="Book Antiqua" w:cs="SimSun"/>
          <w:sz w:val="24"/>
          <w:szCs w:val="24"/>
          <w:lang w:val="es-ES_tradnl" w:eastAsia="zh-CN"/>
        </w:rPr>
        <w:t xml:space="preserve">, Kava RA, Catalano PM, Moore BJ. </w:t>
      </w:r>
      <w:r w:rsidRPr="001326F0">
        <w:rPr>
          <w:rFonts w:ascii="Book Antiqua" w:eastAsia="SimSun" w:hAnsi="Book Antiqua" w:cs="SimSun"/>
          <w:sz w:val="24"/>
          <w:szCs w:val="24"/>
          <w:lang w:val="en-US" w:eastAsia="zh-CN"/>
        </w:rPr>
        <w:t xml:space="preserve">Severe obesity: the neglected epidemic. </w:t>
      </w:r>
      <w:r w:rsidRPr="001326F0">
        <w:rPr>
          <w:rFonts w:ascii="Book Antiqua" w:eastAsia="SimSun" w:hAnsi="Book Antiqua" w:cs="SimSun"/>
          <w:i/>
          <w:iCs/>
          <w:sz w:val="24"/>
          <w:szCs w:val="24"/>
          <w:lang w:val="en-US" w:eastAsia="zh-CN"/>
        </w:rPr>
        <w:t>Obes Facts</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5</w:t>
      </w:r>
      <w:r w:rsidRPr="001326F0">
        <w:rPr>
          <w:rFonts w:ascii="Book Antiqua" w:eastAsia="SimSun" w:hAnsi="Book Antiqua" w:cs="SimSun"/>
          <w:sz w:val="24"/>
          <w:szCs w:val="24"/>
          <w:lang w:val="en-US" w:eastAsia="zh-CN"/>
        </w:rPr>
        <w:t>: 254-269 [PMID: 22647306 DOI: 10.1159/000338566]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234 </w:t>
      </w:r>
      <w:r w:rsidRPr="001326F0">
        <w:rPr>
          <w:rFonts w:ascii="Book Antiqua" w:eastAsia="SimSun" w:hAnsi="Book Antiqua" w:cs="SimSun"/>
          <w:b/>
          <w:bCs/>
          <w:sz w:val="24"/>
          <w:szCs w:val="24"/>
          <w:lang w:val="en-US" w:eastAsia="zh-CN"/>
        </w:rPr>
        <w:t>Sjöström L</w:t>
      </w:r>
      <w:r w:rsidRPr="001326F0">
        <w:rPr>
          <w:rFonts w:ascii="Book Antiqua" w:eastAsia="SimSun" w:hAnsi="Book Antiqua" w:cs="SimSun"/>
          <w:sz w:val="24"/>
          <w:szCs w:val="24"/>
          <w:lang w:val="en-US" w:eastAsia="zh-CN"/>
        </w:rPr>
        <w:t xml:space="preserve">, Narbro K, Sjöström CD, Karason K, Larsson B, Wedel H, Lystig T, Sullivan M, Bouchard C, Carlsson B, Bengtsson C, Dahlgren S, Gummesson A, Jacobson P, Karlsson J, Lindroos AK, Lönroth H, Näslund I, Olbers T, Stenlöf K, Torgerson J, Agren G, Carlsson LM. Effects of bariatric surgery on mortality in Swedish obese subjects. </w:t>
      </w:r>
      <w:r w:rsidRPr="001326F0">
        <w:rPr>
          <w:rFonts w:ascii="Book Antiqua" w:eastAsia="SimSun" w:hAnsi="Book Antiqua" w:cs="SimSun"/>
          <w:i/>
          <w:iCs/>
          <w:sz w:val="24"/>
          <w:szCs w:val="24"/>
          <w:lang w:val="en-US" w:eastAsia="zh-CN"/>
        </w:rPr>
        <w:t>N Engl J Med</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357</w:t>
      </w:r>
      <w:r w:rsidRPr="001326F0">
        <w:rPr>
          <w:rFonts w:ascii="Book Antiqua" w:eastAsia="SimSun" w:hAnsi="Book Antiqua" w:cs="SimSun"/>
          <w:sz w:val="24"/>
          <w:szCs w:val="24"/>
          <w:lang w:val="en-US" w:eastAsia="zh-CN"/>
        </w:rPr>
        <w:t>: 741-752 [PMID: 17715408]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235 </w:t>
      </w:r>
      <w:r w:rsidRPr="001326F0">
        <w:rPr>
          <w:rFonts w:ascii="Book Antiqua" w:eastAsia="SimSun" w:hAnsi="Book Antiqua" w:cs="SimSun"/>
          <w:b/>
          <w:bCs/>
          <w:sz w:val="24"/>
          <w:szCs w:val="24"/>
          <w:lang w:val="en-US" w:eastAsia="zh-CN"/>
        </w:rPr>
        <w:t>Mitka M</w:t>
      </w:r>
      <w:r w:rsidRPr="001326F0">
        <w:rPr>
          <w:rFonts w:ascii="Book Antiqua" w:eastAsia="SimSun" w:hAnsi="Book Antiqua" w:cs="SimSun"/>
          <w:sz w:val="24"/>
          <w:szCs w:val="24"/>
          <w:lang w:val="en-US" w:eastAsia="zh-CN"/>
        </w:rPr>
        <w:t xml:space="preserve">. Bariatric surgery continues to show benefits for patients with diabetes. </w:t>
      </w:r>
      <w:r w:rsidRPr="001326F0">
        <w:rPr>
          <w:rFonts w:ascii="Book Antiqua" w:eastAsia="SimSun" w:hAnsi="Book Antiqua" w:cs="SimSun"/>
          <w:i/>
          <w:iCs/>
          <w:sz w:val="24"/>
          <w:szCs w:val="24"/>
          <w:lang w:val="en-US" w:eastAsia="zh-CN"/>
        </w:rPr>
        <w:t>JAMA</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307</w:t>
      </w:r>
      <w:r w:rsidRPr="001326F0">
        <w:rPr>
          <w:rFonts w:ascii="Book Antiqua" w:eastAsia="SimSun" w:hAnsi="Book Antiqua" w:cs="SimSun"/>
          <w:sz w:val="24"/>
          <w:szCs w:val="24"/>
          <w:lang w:val="en-US" w:eastAsia="zh-CN"/>
        </w:rPr>
        <w:t>: 1901-1902 [PMID: 22570449 DOI: 10.1001/jama.2012.3727]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236 </w:t>
      </w:r>
      <w:r w:rsidRPr="001326F0">
        <w:rPr>
          <w:rFonts w:ascii="Book Antiqua" w:eastAsia="SimSun" w:hAnsi="Book Antiqua" w:cs="SimSun"/>
          <w:b/>
          <w:bCs/>
          <w:sz w:val="24"/>
          <w:szCs w:val="24"/>
          <w:lang w:val="en-US" w:eastAsia="zh-CN"/>
        </w:rPr>
        <w:t>Elder KA</w:t>
      </w:r>
      <w:r w:rsidRPr="001326F0">
        <w:rPr>
          <w:rFonts w:ascii="Book Antiqua" w:eastAsia="SimSun" w:hAnsi="Book Antiqua" w:cs="SimSun"/>
          <w:sz w:val="24"/>
          <w:szCs w:val="24"/>
          <w:lang w:val="en-US" w:eastAsia="zh-CN"/>
        </w:rPr>
        <w:t xml:space="preserve">, Wolfe BM. Bariatric surgery: a review of procedures and outcomes. </w:t>
      </w:r>
      <w:r w:rsidRPr="001326F0">
        <w:rPr>
          <w:rFonts w:ascii="Book Antiqua" w:eastAsia="SimSun" w:hAnsi="Book Antiqua" w:cs="SimSun"/>
          <w:i/>
          <w:iCs/>
          <w:sz w:val="24"/>
          <w:szCs w:val="24"/>
          <w:lang w:val="en-US" w:eastAsia="zh-CN"/>
        </w:rPr>
        <w:t>Gastroenterology</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132</w:t>
      </w:r>
      <w:r w:rsidRPr="001326F0">
        <w:rPr>
          <w:rFonts w:ascii="Book Antiqua" w:eastAsia="SimSun" w:hAnsi="Book Antiqua" w:cs="SimSun"/>
          <w:sz w:val="24"/>
          <w:szCs w:val="24"/>
          <w:lang w:val="en-US" w:eastAsia="zh-CN"/>
        </w:rPr>
        <w:t>: 2253-2271 [PMID: 17498516]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237 </w:t>
      </w:r>
      <w:r w:rsidRPr="001326F0">
        <w:rPr>
          <w:rFonts w:ascii="Book Antiqua" w:eastAsia="SimSun" w:hAnsi="Book Antiqua" w:cs="SimSun"/>
          <w:b/>
          <w:bCs/>
          <w:sz w:val="24"/>
          <w:szCs w:val="24"/>
          <w:lang w:val="en-US" w:eastAsia="zh-CN"/>
        </w:rPr>
        <w:t>Pontiroli AE</w:t>
      </w:r>
      <w:r w:rsidRPr="001326F0">
        <w:rPr>
          <w:rFonts w:ascii="Book Antiqua" w:eastAsia="SimSun" w:hAnsi="Book Antiqua" w:cs="SimSun"/>
          <w:sz w:val="24"/>
          <w:szCs w:val="24"/>
          <w:lang w:val="en-US" w:eastAsia="zh-CN"/>
        </w:rPr>
        <w:t xml:space="preserve">, Pizzocri P, Librenti MC, Vedani P, Marchi M, Cucchi E, Orena C, Paganelli M, Giacomelli M, Ferla G, Folli F. Laparoscopic adjustable gastric banding for the treatment of morbid (grade 3) obesity and its metabolic complications: a three-year study.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2002; </w:t>
      </w:r>
      <w:r w:rsidRPr="001326F0">
        <w:rPr>
          <w:rFonts w:ascii="Book Antiqua" w:eastAsia="SimSun" w:hAnsi="Book Antiqua" w:cs="SimSun"/>
          <w:b/>
          <w:bCs/>
          <w:sz w:val="24"/>
          <w:szCs w:val="24"/>
          <w:lang w:val="en-US" w:eastAsia="zh-CN"/>
        </w:rPr>
        <w:t>87</w:t>
      </w:r>
      <w:r w:rsidRPr="001326F0">
        <w:rPr>
          <w:rFonts w:ascii="Book Antiqua" w:eastAsia="SimSun" w:hAnsi="Book Antiqua" w:cs="SimSun"/>
          <w:sz w:val="24"/>
          <w:szCs w:val="24"/>
          <w:lang w:val="en-US" w:eastAsia="zh-CN"/>
        </w:rPr>
        <w:t>: 3555-3561 [PMID: 12161474]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238 </w:t>
      </w:r>
      <w:r w:rsidRPr="001326F0">
        <w:rPr>
          <w:rFonts w:ascii="Book Antiqua" w:eastAsia="SimSun" w:hAnsi="Book Antiqua" w:cs="SimSun"/>
          <w:b/>
          <w:bCs/>
          <w:sz w:val="24"/>
          <w:szCs w:val="24"/>
          <w:lang w:val="en-US" w:eastAsia="zh-CN"/>
        </w:rPr>
        <w:t>Wittgrove AC</w:t>
      </w:r>
      <w:r w:rsidRPr="001326F0">
        <w:rPr>
          <w:rFonts w:ascii="Book Antiqua" w:eastAsia="SimSun" w:hAnsi="Book Antiqua" w:cs="SimSun"/>
          <w:sz w:val="24"/>
          <w:szCs w:val="24"/>
          <w:lang w:val="en-US" w:eastAsia="zh-CN"/>
        </w:rPr>
        <w:t xml:space="preserve">, Clark GW. Laparoscopic gastric bypass, Roux-en-Y- 500 patients: technique and results, with 3-60 month follow-up. </w:t>
      </w:r>
      <w:r w:rsidRPr="001326F0">
        <w:rPr>
          <w:rFonts w:ascii="Book Antiqua" w:eastAsia="SimSun" w:hAnsi="Book Antiqua" w:cs="SimSun"/>
          <w:i/>
          <w:iCs/>
          <w:sz w:val="24"/>
          <w:szCs w:val="24"/>
          <w:lang w:val="en-US" w:eastAsia="zh-CN"/>
        </w:rPr>
        <w:t>Obes Surg</w:t>
      </w:r>
      <w:r w:rsidRPr="001326F0">
        <w:rPr>
          <w:rFonts w:ascii="Book Antiqua" w:eastAsia="SimSun" w:hAnsi="Book Antiqua" w:cs="SimSun"/>
          <w:sz w:val="24"/>
          <w:szCs w:val="24"/>
          <w:lang w:val="en-US" w:eastAsia="zh-CN"/>
        </w:rPr>
        <w:t xml:space="preserve"> 2000; </w:t>
      </w:r>
      <w:r w:rsidRPr="001326F0">
        <w:rPr>
          <w:rFonts w:ascii="Book Antiqua" w:eastAsia="SimSun" w:hAnsi="Book Antiqua" w:cs="SimSun"/>
          <w:b/>
          <w:bCs/>
          <w:sz w:val="24"/>
          <w:szCs w:val="24"/>
          <w:lang w:val="en-US" w:eastAsia="zh-CN"/>
        </w:rPr>
        <w:t>10</w:t>
      </w:r>
      <w:r w:rsidRPr="001326F0">
        <w:rPr>
          <w:rFonts w:ascii="Book Antiqua" w:eastAsia="SimSun" w:hAnsi="Book Antiqua" w:cs="SimSun"/>
          <w:sz w:val="24"/>
          <w:szCs w:val="24"/>
          <w:lang w:val="en-US" w:eastAsia="zh-CN"/>
        </w:rPr>
        <w:t>: 233-239 [PMID: 10929154]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239 </w:t>
      </w:r>
      <w:r w:rsidRPr="001326F0">
        <w:rPr>
          <w:rFonts w:ascii="Book Antiqua" w:eastAsia="SimSun" w:hAnsi="Book Antiqua" w:cs="SimSun"/>
          <w:b/>
          <w:bCs/>
          <w:sz w:val="24"/>
          <w:szCs w:val="24"/>
          <w:lang w:val="en-US" w:eastAsia="zh-CN"/>
        </w:rPr>
        <w:t>Adams TD</w:t>
      </w:r>
      <w:r w:rsidRPr="001326F0">
        <w:rPr>
          <w:rFonts w:ascii="Book Antiqua" w:eastAsia="SimSun" w:hAnsi="Book Antiqua" w:cs="SimSun"/>
          <w:sz w:val="24"/>
          <w:szCs w:val="24"/>
          <w:lang w:val="en-US" w:eastAsia="zh-CN"/>
        </w:rPr>
        <w:t xml:space="preserve">, Gress RE, Smith SC, Halverson RC, Simper SC, Rosamond WD, Lamonte MJ, Stroup AM, Hunt SC. Long-term mortality after gastric bypass surgery. </w:t>
      </w:r>
      <w:r w:rsidRPr="001326F0">
        <w:rPr>
          <w:rFonts w:ascii="Book Antiqua" w:eastAsia="SimSun" w:hAnsi="Book Antiqua" w:cs="SimSun"/>
          <w:i/>
          <w:iCs/>
          <w:sz w:val="24"/>
          <w:szCs w:val="24"/>
          <w:lang w:val="en-US" w:eastAsia="zh-CN"/>
        </w:rPr>
        <w:t>N Engl J Med</w:t>
      </w:r>
      <w:r w:rsidRPr="001326F0">
        <w:rPr>
          <w:rFonts w:ascii="Book Antiqua" w:eastAsia="SimSun" w:hAnsi="Book Antiqua" w:cs="SimSun"/>
          <w:sz w:val="24"/>
          <w:szCs w:val="24"/>
          <w:lang w:val="en-US" w:eastAsia="zh-CN"/>
        </w:rPr>
        <w:t xml:space="preserve"> 2007; </w:t>
      </w:r>
      <w:r w:rsidRPr="001326F0">
        <w:rPr>
          <w:rFonts w:ascii="Book Antiqua" w:eastAsia="SimSun" w:hAnsi="Book Antiqua" w:cs="SimSun"/>
          <w:b/>
          <w:bCs/>
          <w:sz w:val="24"/>
          <w:szCs w:val="24"/>
          <w:lang w:val="en-US" w:eastAsia="zh-CN"/>
        </w:rPr>
        <w:t>357</w:t>
      </w:r>
      <w:r w:rsidRPr="001326F0">
        <w:rPr>
          <w:rFonts w:ascii="Book Antiqua" w:eastAsia="SimSun" w:hAnsi="Book Antiqua" w:cs="SimSun"/>
          <w:sz w:val="24"/>
          <w:szCs w:val="24"/>
          <w:lang w:val="en-US" w:eastAsia="zh-CN"/>
        </w:rPr>
        <w:t>: 753-761 [PMID: 17715409]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240 </w:t>
      </w:r>
      <w:r w:rsidRPr="001326F0">
        <w:rPr>
          <w:rFonts w:ascii="Book Antiqua" w:eastAsia="SimSun" w:hAnsi="Book Antiqua" w:cs="SimSun"/>
          <w:b/>
          <w:bCs/>
          <w:sz w:val="24"/>
          <w:szCs w:val="24"/>
          <w:lang w:val="en-US" w:eastAsia="zh-CN"/>
        </w:rPr>
        <w:t>Dixon JB</w:t>
      </w:r>
      <w:r w:rsidRPr="001326F0">
        <w:rPr>
          <w:rFonts w:ascii="Book Antiqua" w:eastAsia="SimSun" w:hAnsi="Book Antiqua" w:cs="SimSun"/>
          <w:sz w:val="24"/>
          <w:szCs w:val="24"/>
          <w:lang w:val="en-US" w:eastAsia="zh-CN"/>
        </w:rPr>
        <w:t xml:space="preserve">, Zimmet P, Alberti KG, Rubino F. Bariatric surgery: an IDF statement for obese Type 2 diabetes. </w:t>
      </w:r>
      <w:r w:rsidRPr="001326F0">
        <w:rPr>
          <w:rFonts w:ascii="Book Antiqua" w:eastAsia="SimSun" w:hAnsi="Book Antiqua" w:cs="SimSun"/>
          <w:i/>
          <w:iCs/>
          <w:sz w:val="24"/>
          <w:szCs w:val="24"/>
          <w:lang w:val="en-US" w:eastAsia="zh-CN"/>
        </w:rPr>
        <w:t>Diabet Med</w:t>
      </w:r>
      <w:r w:rsidRPr="001326F0">
        <w:rPr>
          <w:rFonts w:ascii="Book Antiqua" w:eastAsia="SimSun" w:hAnsi="Book Antiqua" w:cs="SimSun"/>
          <w:sz w:val="24"/>
          <w:szCs w:val="24"/>
          <w:lang w:val="en-US" w:eastAsia="zh-CN"/>
        </w:rPr>
        <w:t xml:space="preserve"> 2011; </w:t>
      </w:r>
      <w:r w:rsidRPr="001326F0">
        <w:rPr>
          <w:rFonts w:ascii="Book Antiqua" w:eastAsia="SimSun" w:hAnsi="Book Antiqua" w:cs="SimSun"/>
          <w:b/>
          <w:bCs/>
          <w:sz w:val="24"/>
          <w:szCs w:val="24"/>
          <w:lang w:val="en-US" w:eastAsia="zh-CN"/>
        </w:rPr>
        <w:t>28</w:t>
      </w:r>
      <w:r w:rsidRPr="001326F0">
        <w:rPr>
          <w:rFonts w:ascii="Book Antiqua" w:eastAsia="SimSun" w:hAnsi="Book Antiqua" w:cs="SimSun"/>
          <w:sz w:val="24"/>
          <w:szCs w:val="24"/>
          <w:lang w:val="en-US" w:eastAsia="zh-CN"/>
        </w:rPr>
        <w:t>: 628-642 [PMID: 21480973 DOI: 10.1111/j.1464-5491.2011.03306.x]</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241 </w:t>
      </w:r>
      <w:r w:rsidRPr="001326F0">
        <w:rPr>
          <w:rFonts w:ascii="Book Antiqua" w:eastAsia="SimSun" w:hAnsi="Book Antiqua" w:cs="SimSun"/>
          <w:b/>
          <w:bCs/>
          <w:sz w:val="24"/>
          <w:szCs w:val="24"/>
          <w:lang w:val="en-US" w:eastAsia="zh-CN"/>
        </w:rPr>
        <w:t>Ramalho R</w:t>
      </w:r>
      <w:r w:rsidRPr="001326F0">
        <w:rPr>
          <w:rFonts w:ascii="Book Antiqua" w:eastAsia="SimSun" w:hAnsi="Book Antiqua" w:cs="SimSun"/>
          <w:sz w:val="24"/>
          <w:szCs w:val="24"/>
          <w:lang w:val="en-US" w:eastAsia="zh-CN"/>
        </w:rPr>
        <w:t xml:space="preserve">, Guimarães C. [The role of adipose tissue and macrophages in chronic inflammation associated with obesity: clinical implications]. </w:t>
      </w:r>
      <w:r w:rsidRPr="001326F0">
        <w:rPr>
          <w:rFonts w:ascii="Book Antiqua" w:eastAsia="SimSun" w:hAnsi="Book Antiqua" w:cs="SimSun"/>
          <w:i/>
          <w:iCs/>
          <w:sz w:val="24"/>
          <w:szCs w:val="24"/>
          <w:lang w:val="en-US" w:eastAsia="zh-CN"/>
        </w:rPr>
        <w:t>Acta Med Port</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2008</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21</w:t>
      </w:r>
      <w:r w:rsidRPr="001326F0">
        <w:rPr>
          <w:rFonts w:ascii="Book Antiqua" w:eastAsia="SimSun" w:hAnsi="Book Antiqua" w:cs="SimSun"/>
          <w:sz w:val="24"/>
          <w:szCs w:val="24"/>
          <w:lang w:val="en-US" w:eastAsia="zh-CN"/>
        </w:rPr>
        <w:t>: 489-496 [PMID: 19187692]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242 </w:t>
      </w:r>
      <w:r w:rsidRPr="001326F0">
        <w:rPr>
          <w:rFonts w:ascii="Book Antiqua" w:eastAsia="SimSun" w:hAnsi="Book Antiqua" w:cs="SimSun"/>
          <w:b/>
          <w:bCs/>
          <w:sz w:val="24"/>
          <w:szCs w:val="24"/>
          <w:lang w:val="en-US" w:eastAsia="zh-CN"/>
        </w:rPr>
        <w:t>Ramalho R</w:t>
      </w:r>
      <w:r w:rsidRPr="001326F0">
        <w:rPr>
          <w:rFonts w:ascii="Book Antiqua" w:eastAsia="SimSun" w:hAnsi="Book Antiqua" w:cs="SimSun"/>
          <w:sz w:val="24"/>
          <w:szCs w:val="24"/>
          <w:lang w:val="en-US" w:eastAsia="zh-CN"/>
        </w:rPr>
        <w:t xml:space="preserve">, Guimarães C, Gil C, Neves C, Guimarães JT, Delgado L. Morbid obesity and inflammation: a prospective study after adjustable gastric banding surgery. </w:t>
      </w:r>
      <w:r w:rsidRPr="001326F0">
        <w:rPr>
          <w:rFonts w:ascii="Book Antiqua" w:eastAsia="SimSun" w:hAnsi="Book Antiqua" w:cs="SimSun"/>
          <w:i/>
          <w:iCs/>
          <w:sz w:val="24"/>
          <w:szCs w:val="24"/>
          <w:lang w:val="en-US" w:eastAsia="zh-CN"/>
        </w:rPr>
        <w:t>Obes Surg</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19</w:t>
      </w:r>
      <w:r w:rsidRPr="001326F0">
        <w:rPr>
          <w:rFonts w:ascii="Book Antiqua" w:eastAsia="SimSun" w:hAnsi="Book Antiqua" w:cs="SimSun"/>
          <w:sz w:val="24"/>
          <w:szCs w:val="24"/>
          <w:lang w:val="en-US" w:eastAsia="zh-CN"/>
        </w:rPr>
        <w:t>: 915-920 [PMID: 19440803 DOI: 10.1007/s11695-009-9848-0]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243 </w:t>
      </w:r>
      <w:r w:rsidRPr="001326F0">
        <w:rPr>
          <w:rFonts w:ascii="Book Antiqua" w:eastAsia="SimSun" w:hAnsi="Book Antiqua" w:cs="SimSun"/>
          <w:b/>
          <w:bCs/>
          <w:sz w:val="24"/>
          <w:szCs w:val="24"/>
          <w:lang w:val="en-US" w:eastAsia="zh-CN"/>
        </w:rPr>
        <w:t>Weiss R</w:t>
      </w:r>
      <w:r w:rsidRPr="001326F0">
        <w:rPr>
          <w:rFonts w:ascii="Book Antiqua" w:eastAsia="SimSun" w:hAnsi="Book Antiqua" w:cs="SimSun"/>
          <w:sz w:val="24"/>
          <w:szCs w:val="24"/>
          <w:lang w:val="en-US" w:eastAsia="zh-CN"/>
        </w:rPr>
        <w:t xml:space="preserve">, Appelbaum L, Schweiger C, Matot I, Constantini N, Idan A, Shussman N, Sosna J, Keidar A. Short-term dynamics and metabolic impact of abdominal fat depots after bariatric surgery. </w:t>
      </w:r>
      <w:r w:rsidRPr="001326F0">
        <w:rPr>
          <w:rFonts w:ascii="Book Antiqua" w:eastAsia="SimSun" w:hAnsi="Book Antiqua" w:cs="SimSun"/>
          <w:i/>
          <w:iCs/>
          <w:sz w:val="24"/>
          <w:szCs w:val="24"/>
          <w:lang w:val="en-US" w:eastAsia="zh-CN"/>
        </w:rPr>
        <w:t>Diabetes Care</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32</w:t>
      </w:r>
      <w:r w:rsidRPr="001326F0">
        <w:rPr>
          <w:rFonts w:ascii="Book Antiqua" w:eastAsia="SimSun" w:hAnsi="Book Antiqua" w:cs="SimSun"/>
          <w:sz w:val="24"/>
          <w:szCs w:val="24"/>
          <w:lang w:val="en-US" w:eastAsia="zh-CN"/>
        </w:rPr>
        <w:t>: 1910-1915 [PMID: 19587363 DOI: 10.2337/dc09-0943]</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244 </w:t>
      </w:r>
      <w:r w:rsidRPr="001326F0">
        <w:rPr>
          <w:rFonts w:ascii="Book Antiqua" w:eastAsia="SimSun" w:hAnsi="Book Antiqua" w:cs="SimSun"/>
          <w:b/>
          <w:bCs/>
          <w:sz w:val="24"/>
          <w:szCs w:val="24"/>
          <w:lang w:val="en-US" w:eastAsia="zh-CN"/>
        </w:rPr>
        <w:t>Buchwald H</w:t>
      </w:r>
      <w:r w:rsidRPr="001326F0">
        <w:rPr>
          <w:rFonts w:ascii="Book Antiqua" w:eastAsia="SimSun" w:hAnsi="Book Antiqua" w:cs="SimSun"/>
          <w:sz w:val="24"/>
          <w:szCs w:val="24"/>
          <w:lang w:val="en-US" w:eastAsia="zh-CN"/>
        </w:rPr>
        <w:t xml:space="preserve">, Avidor Y, Braunwald E, Jensen MD, Pories W, Fahrbach K, Schoelles K. Bariatric surgery: a systematic review and meta-analysis. </w:t>
      </w:r>
      <w:r w:rsidRPr="001326F0">
        <w:rPr>
          <w:rFonts w:ascii="Book Antiqua" w:eastAsia="SimSun" w:hAnsi="Book Antiqua" w:cs="SimSun"/>
          <w:i/>
          <w:iCs/>
          <w:sz w:val="24"/>
          <w:szCs w:val="24"/>
          <w:lang w:val="en-US" w:eastAsia="zh-CN"/>
        </w:rPr>
        <w:t>JAMA</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292</w:t>
      </w:r>
      <w:r w:rsidRPr="001326F0">
        <w:rPr>
          <w:rFonts w:ascii="Book Antiqua" w:eastAsia="SimSun" w:hAnsi="Book Antiqua" w:cs="SimSun"/>
          <w:sz w:val="24"/>
          <w:szCs w:val="24"/>
          <w:lang w:val="en-US" w:eastAsia="zh-CN"/>
        </w:rPr>
        <w:t>: 1724-1737 [PMID: 15479938]</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245 </w:t>
      </w:r>
      <w:r w:rsidRPr="001326F0">
        <w:rPr>
          <w:rFonts w:ascii="Book Antiqua" w:eastAsia="SimSun" w:hAnsi="Book Antiqua" w:cs="SimSun"/>
          <w:b/>
          <w:bCs/>
          <w:sz w:val="24"/>
          <w:szCs w:val="24"/>
          <w:lang w:val="en-US" w:eastAsia="zh-CN"/>
        </w:rPr>
        <w:t>Garg A</w:t>
      </w:r>
      <w:r w:rsidRPr="001326F0">
        <w:rPr>
          <w:rFonts w:ascii="Book Antiqua" w:eastAsia="SimSun" w:hAnsi="Book Antiqua" w:cs="SimSun"/>
          <w:sz w:val="24"/>
          <w:szCs w:val="24"/>
          <w:lang w:val="en-US" w:eastAsia="zh-CN"/>
        </w:rPr>
        <w:t xml:space="preserve">. Regional adiposity and insulin resistance.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89</w:t>
      </w:r>
      <w:r w:rsidRPr="001326F0">
        <w:rPr>
          <w:rFonts w:ascii="Book Antiqua" w:eastAsia="SimSun" w:hAnsi="Book Antiqua" w:cs="SimSun"/>
          <w:sz w:val="24"/>
          <w:szCs w:val="24"/>
          <w:lang w:val="en-US" w:eastAsia="zh-CN"/>
        </w:rPr>
        <w:t>: 4206-4210 [PMID: 15356007]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246 </w:t>
      </w:r>
      <w:r w:rsidRPr="001326F0">
        <w:rPr>
          <w:rFonts w:ascii="Book Antiqua" w:eastAsia="SimSun" w:hAnsi="Book Antiqua" w:cs="SimSun"/>
          <w:b/>
          <w:bCs/>
          <w:sz w:val="24"/>
          <w:szCs w:val="24"/>
          <w:lang w:val="en-US" w:eastAsia="zh-CN"/>
        </w:rPr>
        <w:t>Fujioka S</w:t>
      </w:r>
      <w:r w:rsidRPr="001326F0">
        <w:rPr>
          <w:rFonts w:ascii="Book Antiqua" w:eastAsia="SimSun" w:hAnsi="Book Antiqua" w:cs="SimSun"/>
          <w:sz w:val="24"/>
          <w:szCs w:val="24"/>
          <w:lang w:val="en-US" w:eastAsia="zh-CN"/>
        </w:rPr>
        <w:t xml:space="preserve">, Matsuzawa Y, Tokunaga K, Tarui S. Contribution of intra-abdominal fat accumulation to the impairment of glucose and lipid metabolism in human obesity. </w:t>
      </w:r>
      <w:r w:rsidRPr="001326F0">
        <w:rPr>
          <w:rFonts w:ascii="Book Antiqua" w:eastAsia="SimSun" w:hAnsi="Book Antiqua" w:cs="SimSun"/>
          <w:i/>
          <w:iCs/>
          <w:sz w:val="24"/>
          <w:szCs w:val="24"/>
          <w:lang w:val="en-US" w:eastAsia="zh-CN"/>
        </w:rPr>
        <w:t>Metabolism</w:t>
      </w:r>
      <w:r w:rsidRPr="001326F0">
        <w:rPr>
          <w:rFonts w:ascii="Book Antiqua" w:eastAsia="SimSun" w:hAnsi="Book Antiqua" w:cs="SimSun"/>
          <w:sz w:val="24"/>
          <w:szCs w:val="24"/>
          <w:lang w:val="en-US" w:eastAsia="zh-CN"/>
        </w:rPr>
        <w:t xml:space="preserve"> 1987; </w:t>
      </w:r>
      <w:r w:rsidRPr="001326F0">
        <w:rPr>
          <w:rFonts w:ascii="Book Antiqua" w:eastAsia="SimSun" w:hAnsi="Book Antiqua" w:cs="SimSun"/>
          <w:b/>
          <w:bCs/>
          <w:sz w:val="24"/>
          <w:szCs w:val="24"/>
          <w:lang w:val="en-US" w:eastAsia="zh-CN"/>
        </w:rPr>
        <w:t>36</w:t>
      </w:r>
      <w:r w:rsidRPr="001326F0">
        <w:rPr>
          <w:rFonts w:ascii="Book Antiqua" w:eastAsia="SimSun" w:hAnsi="Book Antiqua" w:cs="SimSun"/>
          <w:sz w:val="24"/>
          <w:szCs w:val="24"/>
          <w:lang w:val="en-US" w:eastAsia="zh-CN"/>
        </w:rPr>
        <w:t>: 54-59 [PMID: 3796297]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247 </w:t>
      </w:r>
      <w:r w:rsidRPr="001326F0">
        <w:rPr>
          <w:rFonts w:ascii="Book Antiqua" w:eastAsia="SimSun" w:hAnsi="Book Antiqua" w:cs="SimSun"/>
          <w:b/>
          <w:bCs/>
          <w:sz w:val="24"/>
          <w:szCs w:val="24"/>
          <w:lang w:val="en-US" w:eastAsia="zh-CN"/>
        </w:rPr>
        <w:t>Lebovitz HE</w:t>
      </w:r>
      <w:r w:rsidRPr="001326F0">
        <w:rPr>
          <w:rFonts w:ascii="Book Antiqua" w:eastAsia="SimSun" w:hAnsi="Book Antiqua" w:cs="SimSun"/>
          <w:sz w:val="24"/>
          <w:szCs w:val="24"/>
          <w:lang w:val="en-US" w:eastAsia="zh-CN"/>
        </w:rPr>
        <w:t xml:space="preserve">, Banerji MA. Point: visceral adiposity is causally related to insulin resistance. </w:t>
      </w:r>
      <w:r w:rsidRPr="001326F0">
        <w:rPr>
          <w:rFonts w:ascii="Book Antiqua" w:eastAsia="SimSun" w:hAnsi="Book Antiqua" w:cs="SimSun"/>
          <w:i/>
          <w:iCs/>
          <w:sz w:val="24"/>
          <w:szCs w:val="24"/>
          <w:lang w:val="en-US" w:eastAsia="zh-CN"/>
        </w:rPr>
        <w:t>Diabetes Care</w:t>
      </w:r>
      <w:r w:rsidRPr="001326F0">
        <w:rPr>
          <w:rFonts w:ascii="Book Antiqua" w:eastAsia="SimSun" w:hAnsi="Book Antiqua" w:cs="SimSun"/>
          <w:sz w:val="24"/>
          <w:szCs w:val="24"/>
          <w:lang w:val="en-US" w:eastAsia="zh-CN"/>
        </w:rPr>
        <w:t xml:space="preserve"> 2005; </w:t>
      </w:r>
      <w:r w:rsidRPr="001326F0">
        <w:rPr>
          <w:rFonts w:ascii="Book Antiqua" w:eastAsia="SimSun" w:hAnsi="Book Antiqua" w:cs="SimSun"/>
          <w:b/>
          <w:bCs/>
          <w:sz w:val="24"/>
          <w:szCs w:val="24"/>
          <w:lang w:val="en-US" w:eastAsia="zh-CN"/>
        </w:rPr>
        <w:t>28</w:t>
      </w:r>
      <w:r w:rsidRPr="001326F0">
        <w:rPr>
          <w:rFonts w:ascii="Book Antiqua" w:eastAsia="SimSun" w:hAnsi="Book Antiqua" w:cs="SimSun"/>
          <w:sz w:val="24"/>
          <w:szCs w:val="24"/>
          <w:lang w:val="en-US" w:eastAsia="zh-CN"/>
        </w:rPr>
        <w:t>: 2322-2325 [PMID: 16123512]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248 </w:t>
      </w:r>
      <w:r w:rsidRPr="001326F0">
        <w:rPr>
          <w:rFonts w:ascii="Book Antiqua" w:eastAsia="SimSun" w:hAnsi="Book Antiqua" w:cs="SimSun"/>
          <w:b/>
          <w:bCs/>
          <w:sz w:val="24"/>
          <w:szCs w:val="24"/>
          <w:lang w:val="en-US" w:eastAsia="zh-CN"/>
        </w:rPr>
        <w:t>Goodpaster BH</w:t>
      </w:r>
      <w:r w:rsidRPr="001326F0">
        <w:rPr>
          <w:rFonts w:ascii="Book Antiqua" w:eastAsia="SimSun" w:hAnsi="Book Antiqua" w:cs="SimSun"/>
          <w:sz w:val="24"/>
          <w:szCs w:val="24"/>
          <w:lang w:val="en-US" w:eastAsia="zh-CN"/>
        </w:rPr>
        <w:t xml:space="preserve">, Kelley DE, Wing RR, Meier A, Thaete FL. Effects of weight loss on regional fat distribution and insulin sensitivity in obesity. </w:t>
      </w:r>
      <w:r w:rsidRPr="001326F0">
        <w:rPr>
          <w:rFonts w:ascii="Book Antiqua" w:eastAsia="SimSun" w:hAnsi="Book Antiqua" w:cs="SimSun"/>
          <w:i/>
          <w:iCs/>
          <w:sz w:val="24"/>
          <w:szCs w:val="24"/>
          <w:lang w:val="en-US" w:eastAsia="zh-CN"/>
        </w:rPr>
        <w:t>Diabetes</w:t>
      </w:r>
      <w:r w:rsidRPr="001326F0">
        <w:rPr>
          <w:rFonts w:ascii="Book Antiqua" w:eastAsia="SimSun" w:hAnsi="Book Antiqua" w:cs="SimSun"/>
          <w:sz w:val="24"/>
          <w:szCs w:val="24"/>
          <w:lang w:val="en-US" w:eastAsia="zh-CN"/>
        </w:rPr>
        <w:t xml:space="preserve"> 1999; </w:t>
      </w:r>
      <w:r w:rsidRPr="001326F0">
        <w:rPr>
          <w:rFonts w:ascii="Book Antiqua" w:eastAsia="SimSun" w:hAnsi="Book Antiqua" w:cs="SimSun"/>
          <w:b/>
          <w:bCs/>
          <w:sz w:val="24"/>
          <w:szCs w:val="24"/>
          <w:lang w:val="en-US" w:eastAsia="zh-CN"/>
        </w:rPr>
        <w:t>48</w:t>
      </w:r>
      <w:r w:rsidRPr="001326F0">
        <w:rPr>
          <w:rFonts w:ascii="Book Antiqua" w:eastAsia="SimSun" w:hAnsi="Book Antiqua" w:cs="SimSun"/>
          <w:sz w:val="24"/>
          <w:szCs w:val="24"/>
          <w:lang w:val="en-US" w:eastAsia="zh-CN"/>
        </w:rPr>
        <w:t>: 839-847 [PMID: 10102702]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lastRenderedPageBreak/>
        <w:t xml:space="preserve">249 </w:t>
      </w:r>
      <w:r w:rsidRPr="001326F0">
        <w:rPr>
          <w:rFonts w:ascii="Book Antiqua" w:eastAsia="SimSun" w:hAnsi="Book Antiqua" w:cs="SimSun"/>
          <w:b/>
          <w:bCs/>
          <w:sz w:val="24"/>
          <w:szCs w:val="24"/>
          <w:lang w:val="en-US" w:eastAsia="zh-CN"/>
        </w:rPr>
        <w:t>Carroll JF</w:t>
      </w:r>
      <w:r w:rsidRPr="001326F0">
        <w:rPr>
          <w:rFonts w:ascii="Book Antiqua" w:eastAsia="SimSun" w:hAnsi="Book Antiqua" w:cs="SimSun"/>
          <w:sz w:val="24"/>
          <w:szCs w:val="24"/>
          <w:lang w:val="en-US" w:eastAsia="zh-CN"/>
        </w:rPr>
        <w:t xml:space="preserve">, Franks SF, Smith AB, Phelps DR. Visceral adipose tissue loss and insulin resistance 6 months after laparoscopic gastric banding surgery: a preliminary study. </w:t>
      </w:r>
      <w:r w:rsidRPr="001326F0">
        <w:rPr>
          <w:rFonts w:ascii="Book Antiqua" w:eastAsia="SimSun" w:hAnsi="Book Antiqua" w:cs="SimSun"/>
          <w:i/>
          <w:iCs/>
          <w:sz w:val="24"/>
          <w:szCs w:val="24"/>
          <w:lang w:val="en-US" w:eastAsia="zh-CN"/>
        </w:rPr>
        <w:t>Obes Surg</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19</w:t>
      </w:r>
      <w:r w:rsidRPr="001326F0">
        <w:rPr>
          <w:rFonts w:ascii="Book Antiqua" w:eastAsia="SimSun" w:hAnsi="Book Antiqua" w:cs="SimSun"/>
          <w:sz w:val="24"/>
          <w:szCs w:val="24"/>
          <w:lang w:val="en-US" w:eastAsia="zh-CN"/>
        </w:rPr>
        <w:t>: 47-55 [PMID: 18663543 DOI: 10.1007/s11695-008-9642-4]</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250 </w:t>
      </w:r>
      <w:r w:rsidRPr="001326F0">
        <w:rPr>
          <w:rFonts w:ascii="Book Antiqua" w:eastAsia="SimSun" w:hAnsi="Book Antiqua" w:cs="SimSun"/>
          <w:b/>
          <w:sz w:val="24"/>
          <w:szCs w:val="24"/>
          <w:lang w:val="en-US" w:eastAsia="zh-CN"/>
        </w:rPr>
        <w:t>Korner J</w:t>
      </w:r>
      <w:r w:rsidRPr="001326F0">
        <w:rPr>
          <w:rFonts w:ascii="Book Antiqua" w:eastAsia="SimSun" w:hAnsi="Book Antiqua" w:cs="SimSun"/>
          <w:sz w:val="24"/>
          <w:szCs w:val="24"/>
          <w:lang w:val="en-US" w:eastAsia="zh-CN"/>
        </w:rPr>
        <w:t xml:space="preserve">, Punyanitya M, Taveras C, McMahon DJ, Kim HJ, Inabnet W, Bessler M, Gallagher D. Sex differences in visceral adipose tissue post-bariatric surgery compared to matched non-surgical controls. </w:t>
      </w:r>
      <w:r w:rsidRPr="001326F0">
        <w:rPr>
          <w:rFonts w:ascii="Book Antiqua" w:eastAsia="SimSun" w:hAnsi="Book Antiqua" w:cs="SimSun"/>
          <w:i/>
          <w:iCs/>
          <w:sz w:val="24"/>
          <w:szCs w:val="24"/>
          <w:lang w:val="en-US" w:eastAsia="zh-CN"/>
        </w:rPr>
        <w:t>Int J Body Compos Res</w:t>
      </w:r>
      <w:r w:rsidRPr="001326F0">
        <w:rPr>
          <w:rFonts w:ascii="Book Antiqua" w:eastAsia="SimSun" w:hAnsi="Book Antiqua" w:cs="SimSun"/>
          <w:sz w:val="24"/>
          <w:szCs w:val="24"/>
          <w:lang w:val="en-US" w:eastAsia="zh-CN"/>
        </w:rPr>
        <w:t xml:space="preserve"> 2008; </w:t>
      </w:r>
      <w:r w:rsidRPr="001326F0">
        <w:rPr>
          <w:rFonts w:ascii="Book Antiqua" w:eastAsia="SimSun" w:hAnsi="Book Antiqua" w:cs="SimSun"/>
          <w:b/>
          <w:bCs/>
          <w:sz w:val="24"/>
          <w:szCs w:val="24"/>
          <w:lang w:val="en-US" w:eastAsia="zh-CN"/>
        </w:rPr>
        <w:t>6</w:t>
      </w:r>
      <w:r w:rsidRPr="001326F0">
        <w:rPr>
          <w:rFonts w:ascii="Book Antiqua" w:eastAsia="SimSun" w:hAnsi="Book Antiqua" w:cs="SimSun"/>
          <w:sz w:val="24"/>
          <w:szCs w:val="24"/>
          <w:lang w:val="en-US" w:eastAsia="zh-CN"/>
        </w:rPr>
        <w:t>: 93-99 [PMID: 20582247]</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251 </w:t>
      </w:r>
      <w:r w:rsidRPr="001326F0">
        <w:rPr>
          <w:rFonts w:ascii="Book Antiqua" w:eastAsia="SimSun" w:hAnsi="Book Antiqua" w:cs="SimSun"/>
          <w:b/>
          <w:bCs/>
          <w:sz w:val="24"/>
          <w:szCs w:val="24"/>
          <w:lang w:val="en-US" w:eastAsia="zh-CN"/>
        </w:rPr>
        <w:t>Toro-Ramos T</w:t>
      </w:r>
      <w:r w:rsidRPr="001326F0">
        <w:rPr>
          <w:rFonts w:ascii="Book Antiqua" w:eastAsia="SimSun" w:hAnsi="Book Antiqua" w:cs="SimSun"/>
          <w:sz w:val="24"/>
          <w:szCs w:val="24"/>
          <w:lang w:val="en-US" w:eastAsia="zh-CN"/>
        </w:rPr>
        <w:t xml:space="preserve">, Goodpaster BH, Janumala I, Lin S, Strain GW, Thornton JC, Kang P, Courcoulas AP, Pomp A, Gallagher D. Continued loss in visceral and intermuscular adipose tissue in weight-stable women following bariatric surgery. </w:t>
      </w:r>
      <w:r w:rsidRPr="001326F0">
        <w:rPr>
          <w:rFonts w:ascii="Book Antiqua" w:eastAsia="SimSun" w:hAnsi="Book Antiqua" w:cs="SimSun"/>
          <w:i/>
          <w:iCs/>
          <w:sz w:val="24"/>
          <w:szCs w:val="24"/>
          <w:lang w:val="en-US" w:eastAsia="zh-CN"/>
        </w:rPr>
        <w:t>Obesity (Silver Spring)</w:t>
      </w:r>
      <w:r w:rsidRPr="001326F0">
        <w:rPr>
          <w:rFonts w:ascii="Book Antiqua" w:eastAsia="SimSun" w:hAnsi="Book Antiqua" w:cs="SimSun"/>
          <w:sz w:val="24"/>
          <w:szCs w:val="24"/>
          <w:lang w:val="en-US" w:eastAsia="zh-CN"/>
        </w:rPr>
        <w:t xml:space="preserve"> 2015; </w:t>
      </w:r>
      <w:r w:rsidRPr="001326F0">
        <w:rPr>
          <w:rFonts w:ascii="Book Antiqua" w:eastAsia="SimSun" w:hAnsi="Book Antiqua" w:cs="SimSun"/>
          <w:b/>
          <w:bCs/>
          <w:sz w:val="24"/>
          <w:szCs w:val="24"/>
          <w:lang w:val="en-US" w:eastAsia="zh-CN"/>
        </w:rPr>
        <w:t>23</w:t>
      </w:r>
      <w:r w:rsidRPr="001326F0">
        <w:rPr>
          <w:rFonts w:ascii="Book Antiqua" w:eastAsia="SimSun" w:hAnsi="Book Antiqua" w:cs="SimSun"/>
          <w:sz w:val="24"/>
          <w:szCs w:val="24"/>
          <w:lang w:val="en-US" w:eastAsia="zh-CN"/>
        </w:rPr>
        <w:t>: 62-69 [PMID: 25384375 DOI: 10.1002/oby.20932]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252 </w:t>
      </w:r>
      <w:r w:rsidRPr="001326F0">
        <w:rPr>
          <w:rFonts w:ascii="Book Antiqua" w:eastAsia="SimSun" w:hAnsi="Book Antiqua" w:cs="SimSun"/>
          <w:b/>
          <w:bCs/>
          <w:sz w:val="24"/>
          <w:szCs w:val="24"/>
          <w:lang w:val="en-US" w:eastAsia="zh-CN"/>
        </w:rPr>
        <w:t>Benaiges D</w:t>
      </w:r>
      <w:r w:rsidRPr="001326F0">
        <w:rPr>
          <w:rFonts w:ascii="Book Antiqua" w:eastAsia="SimSun" w:hAnsi="Book Antiqua" w:cs="SimSun"/>
          <w:sz w:val="24"/>
          <w:szCs w:val="24"/>
          <w:lang w:val="en-US" w:eastAsia="zh-CN"/>
        </w:rPr>
        <w:t xml:space="preserve">, Goday A, Ramon JM, Hernandez E, Pera M, Cano JF. Laparoscopic sleeve gastrectomy and laparoscopic gastric bypass are equally effective for reduction of cardiovascular risk in severely obese patients at one year of follow-up. </w:t>
      </w:r>
      <w:r w:rsidRPr="001326F0">
        <w:rPr>
          <w:rFonts w:ascii="Book Antiqua" w:eastAsia="SimSun" w:hAnsi="Book Antiqua" w:cs="SimSun"/>
          <w:i/>
          <w:iCs/>
          <w:sz w:val="24"/>
          <w:szCs w:val="24"/>
          <w:lang w:val="en-US" w:eastAsia="zh-CN"/>
        </w:rPr>
        <w:t>Surg Obes Relat Dis</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hint="eastAsia"/>
          <w:sz w:val="24"/>
          <w:szCs w:val="24"/>
          <w:lang w:val="en-US" w:eastAsia="zh-CN"/>
        </w:rPr>
        <w:t>2011</w:t>
      </w:r>
      <w:r w:rsidRPr="001326F0">
        <w:rPr>
          <w:rFonts w:ascii="Book Antiqua" w:eastAsia="SimSun" w:hAnsi="Book Antiqua" w:cs="SimSun"/>
          <w:sz w:val="24"/>
          <w:szCs w:val="24"/>
          <w:lang w:val="en-US" w:eastAsia="zh-CN"/>
        </w:rPr>
        <w:t xml:space="preserve">; </w:t>
      </w:r>
      <w:r w:rsidRPr="001326F0">
        <w:rPr>
          <w:rFonts w:ascii="Book Antiqua" w:eastAsia="SimSun" w:hAnsi="Book Antiqua" w:cs="SimSun"/>
          <w:b/>
          <w:bCs/>
          <w:sz w:val="24"/>
          <w:szCs w:val="24"/>
          <w:lang w:val="en-US" w:eastAsia="zh-CN"/>
        </w:rPr>
        <w:t>7</w:t>
      </w:r>
      <w:r w:rsidRPr="001326F0">
        <w:rPr>
          <w:rFonts w:ascii="Book Antiqua" w:eastAsia="SimSun" w:hAnsi="Book Antiqua" w:cs="SimSun"/>
          <w:sz w:val="24"/>
          <w:szCs w:val="24"/>
          <w:lang w:val="en-US" w:eastAsia="zh-CN"/>
        </w:rPr>
        <w:t>: 575-580 [PMID: 21546321 DOI: 10.1016/j.soard.2011.03.002]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253 </w:t>
      </w:r>
      <w:r w:rsidRPr="001326F0">
        <w:rPr>
          <w:rFonts w:ascii="Book Antiqua" w:eastAsia="SimSun" w:hAnsi="Book Antiqua" w:cs="SimSun"/>
          <w:b/>
          <w:bCs/>
          <w:sz w:val="24"/>
          <w:szCs w:val="24"/>
          <w:lang w:val="en-US" w:eastAsia="zh-CN"/>
        </w:rPr>
        <w:t>Shah M</w:t>
      </w:r>
      <w:r w:rsidRPr="001326F0">
        <w:rPr>
          <w:rFonts w:ascii="Book Antiqua" w:eastAsia="SimSun" w:hAnsi="Book Antiqua" w:cs="SimSun"/>
          <w:sz w:val="24"/>
          <w:szCs w:val="24"/>
          <w:lang w:val="en-US" w:eastAsia="zh-CN"/>
        </w:rPr>
        <w:t xml:space="preserve">, Simha V, Garg A. Review: long-term impact of bariatric surgery on body weight, comorbidities, and nutritional status.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2006; </w:t>
      </w:r>
      <w:r w:rsidRPr="001326F0">
        <w:rPr>
          <w:rFonts w:ascii="Book Antiqua" w:eastAsia="SimSun" w:hAnsi="Book Antiqua" w:cs="SimSun"/>
          <w:b/>
          <w:bCs/>
          <w:sz w:val="24"/>
          <w:szCs w:val="24"/>
          <w:lang w:val="en-US" w:eastAsia="zh-CN"/>
        </w:rPr>
        <w:t>91</w:t>
      </w:r>
      <w:r w:rsidRPr="001326F0">
        <w:rPr>
          <w:rFonts w:ascii="Book Antiqua" w:eastAsia="SimSun" w:hAnsi="Book Antiqua" w:cs="SimSun"/>
          <w:sz w:val="24"/>
          <w:szCs w:val="24"/>
          <w:lang w:val="en-US" w:eastAsia="zh-CN"/>
        </w:rPr>
        <w:t>: 4223-4231 [PMID: 16954156]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254 </w:t>
      </w:r>
      <w:r w:rsidRPr="001326F0">
        <w:rPr>
          <w:rFonts w:ascii="Book Antiqua" w:eastAsia="SimSun" w:hAnsi="Book Antiqua" w:cs="SimSun"/>
          <w:b/>
          <w:bCs/>
          <w:sz w:val="24"/>
          <w:szCs w:val="24"/>
          <w:lang w:val="en-US" w:eastAsia="zh-CN"/>
        </w:rPr>
        <w:t>Sugerman HJ</w:t>
      </w:r>
      <w:r w:rsidRPr="001326F0">
        <w:rPr>
          <w:rFonts w:ascii="Book Antiqua" w:eastAsia="SimSun" w:hAnsi="Book Antiqua" w:cs="SimSun"/>
          <w:sz w:val="24"/>
          <w:szCs w:val="24"/>
          <w:lang w:val="en-US" w:eastAsia="zh-CN"/>
        </w:rPr>
        <w:t xml:space="preserve">, Sugerman EL, DeMaria EJ, Kellum JM, Kennedy C, Mowery Y, Wolfe LG. Bariatric surgery for severely obese adolescents. </w:t>
      </w:r>
      <w:r w:rsidRPr="001326F0">
        <w:rPr>
          <w:rFonts w:ascii="Book Antiqua" w:eastAsia="SimSun" w:hAnsi="Book Antiqua" w:cs="SimSun"/>
          <w:i/>
          <w:iCs/>
          <w:sz w:val="24"/>
          <w:szCs w:val="24"/>
          <w:lang w:val="en-US" w:eastAsia="zh-CN"/>
        </w:rPr>
        <w:t>J Gastrointest Surg</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7</w:t>
      </w:r>
      <w:r w:rsidRPr="001326F0">
        <w:rPr>
          <w:rFonts w:ascii="Book Antiqua" w:eastAsia="SimSun" w:hAnsi="Book Antiqua" w:cs="SimSun"/>
          <w:sz w:val="24"/>
          <w:szCs w:val="24"/>
          <w:lang w:val="en-US" w:eastAsia="zh-CN"/>
        </w:rPr>
        <w:t>: 102-17; discussion 102-17; [PMID: 12559191]</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255 </w:t>
      </w:r>
      <w:r w:rsidRPr="001326F0">
        <w:rPr>
          <w:rFonts w:ascii="Book Antiqua" w:eastAsia="SimSun" w:hAnsi="Book Antiqua" w:cs="SimSun"/>
          <w:b/>
          <w:bCs/>
          <w:sz w:val="24"/>
          <w:szCs w:val="24"/>
          <w:lang w:val="en-US" w:eastAsia="zh-CN"/>
        </w:rPr>
        <w:t>Vozarova B</w:t>
      </w:r>
      <w:r w:rsidRPr="001326F0">
        <w:rPr>
          <w:rFonts w:ascii="Book Antiqua" w:eastAsia="SimSun" w:hAnsi="Book Antiqua" w:cs="SimSun"/>
          <w:sz w:val="24"/>
          <w:szCs w:val="24"/>
          <w:lang w:val="en-US" w:eastAsia="zh-CN"/>
        </w:rPr>
        <w:t xml:space="preserve">, Fernández-Real JM, Knowler WC, Gallart L, Hanson RL, Gruber JD, Ricart W, Vendrell J, Richart C, Tataranni PA, Wolford JK. The interleukin-6 (-174) G/C promoter polymorphism is associated with type-2 diabetes mellitus in Native Americans and Caucasians. </w:t>
      </w:r>
      <w:r w:rsidRPr="001326F0">
        <w:rPr>
          <w:rFonts w:ascii="Book Antiqua" w:eastAsia="SimSun" w:hAnsi="Book Antiqua" w:cs="SimSun"/>
          <w:i/>
          <w:iCs/>
          <w:sz w:val="24"/>
          <w:szCs w:val="24"/>
          <w:lang w:val="en-US" w:eastAsia="zh-CN"/>
        </w:rPr>
        <w:t>Hum Genet</w:t>
      </w:r>
      <w:r w:rsidRPr="001326F0">
        <w:rPr>
          <w:rFonts w:ascii="Book Antiqua" w:eastAsia="SimSun" w:hAnsi="Book Antiqua" w:cs="SimSun"/>
          <w:sz w:val="24"/>
          <w:szCs w:val="24"/>
          <w:lang w:val="en-US" w:eastAsia="zh-CN"/>
        </w:rPr>
        <w:t xml:space="preserve"> 2003; </w:t>
      </w:r>
      <w:r w:rsidRPr="001326F0">
        <w:rPr>
          <w:rFonts w:ascii="Book Antiqua" w:eastAsia="SimSun" w:hAnsi="Book Antiqua" w:cs="SimSun"/>
          <w:b/>
          <w:bCs/>
          <w:sz w:val="24"/>
          <w:szCs w:val="24"/>
          <w:lang w:val="en-US" w:eastAsia="zh-CN"/>
        </w:rPr>
        <w:t>112</w:t>
      </w:r>
      <w:r w:rsidRPr="001326F0">
        <w:rPr>
          <w:rFonts w:ascii="Book Antiqua" w:eastAsia="SimSun" w:hAnsi="Book Antiqua" w:cs="SimSun"/>
          <w:sz w:val="24"/>
          <w:szCs w:val="24"/>
          <w:lang w:val="en-US" w:eastAsia="zh-CN"/>
        </w:rPr>
        <w:t>: 409-413 [PMID: 12589429]</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256 </w:t>
      </w:r>
      <w:r w:rsidRPr="001326F0">
        <w:rPr>
          <w:rFonts w:ascii="Book Antiqua" w:eastAsia="SimSun" w:hAnsi="Book Antiqua" w:cs="SimSun"/>
          <w:b/>
          <w:bCs/>
          <w:sz w:val="24"/>
          <w:szCs w:val="24"/>
          <w:lang w:val="en-US" w:eastAsia="zh-CN"/>
        </w:rPr>
        <w:t>Moleres A</w:t>
      </w:r>
      <w:r w:rsidRPr="001326F0">
        <w:rPr>
          <w:rFonts w:ascii="Book Antiqua" w:eastAsia="SimSun" w:hAnsi="Book Antiqua" w:cs="SimSun"/>
          <w:sz w:val="24"/>
          <w:szCs w:val="24"/>
          <w:lang w:val="en-US" w:eastAsia="zh-CN"/>
        </w:rPr>
        <w:t>, Rendo-Urteaga T, Azcona C, Martínez JA, Gómez-Martínez S, Ruiz JR, Moreno LA, Marcos A, Marti A. Il6 gene promoter polymorphism (-</w:t>
      </w:r>
      <w:r w:rsidRPr="001326F0">
        <w:rPr>
          <w:rFonts w:ascii="Book Antiqua" w:eastAsia="SimSun" w:hAnsi="Book Antiqua" w:cs="SimSun"/>
          <w:sz w:val="24"/>
          <w:szCs w:val="24"/>
          <w:lang w:val="en-US" w:eastAsia="zh-CN"/>
        </w:rPr>
        <w:lastRenderedPageBreak/>
        <w:t xml:space="preserve">174G/C) influences the association between fat mass and cardiovascular risk factors. </w:t>
      </w:r>
      <w:r w:rsidRPr="001326F0">
        <w:rPr>
          <w:rFonts w:ascii="Book Antiqua" w:eastAsia="SimSun" w:hAnsi="Book Antiqua" w:cs="SimSun"/>
          <w:i/>
          <w:iCs/>
          <w:sz w:val="24"/>
          <w:szCs w:val="24"/>
          <w:lang w:val="en-US" w:eastAsia="zh-CN"/>
        </w:rPr>
        <w:t>J Physiol Biochem</w:t>
      </w:r>
      <w:r w:rsidRPr="001326F0">
        <w:rPr>
          <w:rFonts w:ascii="Book Antiqua" w:eastAsia="SimSun" w:hAnsi="Book Antiqua" w:cs="SimSun"/>
          <w:sz w:val="24"/>
          <w:szCs w:val="24"/>
          <w:lang w:val="en-US" w:eastAsia="zh-CN"/>
        </w:rPr>
        <w:t xml:space="preserve"> 2009; </w:t>
      </w:r>
      <w:r w:rsidRPr="001326F0">
        <w:rPr>
          <w:rFonts w:ascii="Book Antiqua" w:eastAsia="SimSun" w:hAnsi="Book Antiqua" w:cs="SimSun"/>
          <w:b/>
          <w:bCs/>
          <w:sz w:val="24"/>
          <w:szCs w:val="24"/>
          <w:lang w:val="en-US" w:eastAsia="zh-CN"/>
        </w:rPr>
        <w:t>65</w:t>
      </w:r>
      <w:r w:rsidRPr="001326F0">
        <w:rPr>
          <w:rFonts w:ascii="Book Antiqua" w:eastAsia="SimSun" w:hAnsi="Book Antiqua" w:cs="SimSun"/>
          <w:sz w:val="24"/>
          <w:szCs w:val="24"/>
          <w:lang w:val="en-US" w:eastAsia="zh-CN"/>
        </w:rPr>
        <w:t>: 405-413 [PMID: 20358354 DOI: 10.1007/BF03185936]</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257 </w:t>
      </w:r>
      <w:r w:rsidRPr="001326F0">
        <w:rPr>
          <w:rFonts w:ascii="Book Antiqua" w:eastAsia="SimSun" w:hAnsi="Book Antiqua" w:cs="SimSun"/>
          <w:b/>
          <w:bCs/>
          <w:sz w:val="24"/>
          <w:szCs w:val="24"/>
          <w:lang w:val="en-US" w:eastAsia="zh-CN"/>
        </w:rPr>
        <w:t>Möhlig M</w:t>
      </w:r>
      <w:r w:rsidRPr="001326F0">
        <w:rPr>
          <w:rFonts w:ascii="Book Antiqua" w:eastAsia="SimSun" w:hAnsi="Book Antiqua" w:cs="SimSun"/>
          <w:sz w:val="24"/>
          <w:szCs w:val="24"/>
          <w:lang w:val="en-US" w:eastAsia="zh-CN"/>
        </w:rPr>
        <w:t xml:space="preserve">, Boeing H, Spranger J, Osterhoff M, Kroke A, Fisher E, Bergmann MM, Ristow M, Hoffmann K, Pfeiffer AF. Body mass index and C-174G interleukin-6 promoter polymorphism interact in predicting type 2 diabetes. </w:t>
      </w:r>
      <w:r w:rsidRPr="001326F0">
        <w:rPr>
          <w:rFonts w:ascii="Book Antiqua" w:eastAsia="SimSun" w:hAnsi="Book Antiqua" w:cs="SimSun"/>
          <w:i/>
          <w:iCs/>
          <w:sz w:val="24"/>
          <w:szCs w:val="24"/>
          <w:lang w:val="en-US" w:eastAsia="zh-CN"/>
        </w:rPr>
        <w:t>J Clin Endocrinol Metab</w:t>
      </w:r>
      <w:r w:rsidRPr="001326F0">
        <w:rPr>
          <w:rFonts w:ascii="Book Antiqua" w:eastAsia="SimSun" w:hAnsi="Book Antiqua" w:cs="SimSun"/>
          <w:sz w:val="24"/>
          <w:szCs w:val="24"/>
          <w:lang w:val="en-US" w:eastAsia="zh-CN"/>
        </w:rPr>
        <w:t xml:space="preserve"> 2004; </w:t>
      </w:r>
      <w:r w:rsidRPr="001326F0">
        <w:rPr>
          <w:rFonts w:ascii="Book Antiqua" w:eastAsia="SimSun" w:hAnsi="Book Antiqua" w:cs="SimSun"/>
          <w:b/>
          <w:bCs/>
          <w:sz w:val="24"/>
          <w:szCs w:val="24"/>
          <w:lang w:val="en-US" w:eastAsia="zh-CN"/>
        </w:rPr>
        <w:t>89</w:t>
      </w:r>
      <w:r w:rsidRPr="001326F0">
        <w:rPr>
          <w:rFonts w:ascii="Book Antiqua" w:eastAsia="SimSun" w:hAnsi="Book Antiqua" w:cs="SimSun"/>
          <w:sz w:val="24"/>
          <w:szCs w:val="24"/>
          <w:lang w:val="en-US" w:eastAsia="zh-CN"/>
        </w:rPr>
        <w:t>: 1885-1890 [PMID: 15070960]</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258 </w:t>
      </w:r>
      <w:r w:rsidRPr="001326F0">
        <w:rPr>
          <w:rFonts w:ascii="Book Antiqua" w:eastAsia="SimSun" w:hAnsi="Book Antiqua" w:cs="SimSun"/>
          <w:b/>
          <w:bCs/>
          <w:sz w:val="24"/>
          <w:szCs w:val="24"/>
          <w:lang w:val="en-US" w:eastAsia="zh-CN"/>
        </w:rPr>
        <w:t>Di Renzo L</w:t>
      </w:r>
      <w:r w:rsidRPr="001326F0">
        <w:rPr>
          <w:rFonts w:ascii="Book Antiqua" w:eastAsia="SimSun" w:hAnsi="Book Antiqua" w:cs="SimSun"/>
          <w:sz w:val="24"/>
          <w:szCs w:val="24"/>
          <w:lang w:val="en-US" w:eastAsia="zh-CN"/>
        </w:rPr>
        <w:t xml:space="preserve">, Carbonelli MG, Bianchi A, Iacopino L, Fiorito R, Di Daniele N, De Lorenzo A. Body composition changes after laparoscopic adjustable gastric banding: what is the role of -174G&amp; gt; C interleukin-6 promoter gene polymorphism in the therapeutic strategy? </w:t>
      </w:r>
      <w:r w:rsidRPr="001326F0">
        <w:rPr>
          <w:rFonts w:ascii="Book Antiqua" w:eastAsia="SimSun" w:hAnsi="Book Antiqua" w:cs="SimSun"/>
          <w:i/>
          <w:iCs/>
          <w:sz w:val="24"/>
          <w:szCs w:val="24"/>
          <w:lang w:val="en-US" w:eastAsia="zh-CN"/>
        </w:rPr>
        <w:t>Int J Obes (Lond)</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36</w:t>
      </w:r>
      <w:r w:rsidRPr="001326F0">
        <w:rPr>
          <w:rFonts w:ascii="Book Antiqua" w:eastAsia="SimSun" w:hAnsi="Book Antiqua" w:cs="SimSun"/>
          <w:sz w:val="24"/>
          <w:szCs w:val="24"/>
          <w:lang w:val="en-US" w:eastAsia="zh-CN"/>
        </w:rPr>
        <w:t>: 369-378 [PMID: 21730965 DOI: 10.1038/ijo.2011.132]</w:t>
      </w:r>
    </w:p>
    <w:p w:rsidR="0031238A" w:rsidRPr="001326F0" w:rsidRDefault="0031238A" w:rsidP="0031238A">
      <w:pPr>
        <w:spacing w:after="0" w:line="360" w:lineRule="auto"/>
        <w:jc w:val="both"/>
        <w:rPr>
          <w:rFonts w:ascii="Book Antiqua" w:eastAsia="SimSun" w:hAnsi="Book Antiqua" w:cs="SimSun"/>
          <w:sz w:val="24"/>
          <w:szCs w:val="24"/>
          <w:lang w:val="en-US" w:eastAsia="zh-CN"/>
        </w:rPr>
      </w:pPr>
      <w:r w:rsidRPr="001326F0">
        <w:rPr>
          <w:rFonts w:ascii="Book Antiqua" w:eastAsia="SimSun" w:hAnsi="Book Antiqua" w:cs="SimSun"/>
          <w:sz w:val="24"/>
          <w:szCs w:val="24"/>
          <w:lang w:val="en-US" w:eastAsia="zh-CN"/>
        </w:rPr>
        <w:t xml:space="preserve">259 </w:t>
      </w:r>
      <w:r w:rsidRPr="001326F0">
        <w:rPr>
          <w:rFonts w:ascii="Book Antiqua" w:eastAsia="SimSun" w:hAnsi="Book Antiqua" w:cs="SimSun"/>
          <w:b/>
          <w:bCs/>
          <w:sz w:val="24"/>
          <w:szCs w:val="24"/>
          <w:lang w:val="en-US" w:eastAsia="zh-CN"/>
        </w:rPr>
        <w:t>Tian Q</w:t>
      </w:r>
      <w:r w:rsidRPr="001326F0">
        <w:rPr>
          <w:rFonts w:ascii="Book Antiqua" w:eastAsia="SimSun" w:hAnsi="Book Antiqua" w:cs="SimSun"/>
          <w:sz w:val="24"/>
          <w:szCs w:val="24"/>
          <w:lang w:val="en-US" w:eastAsia="zh-CN"/>
        </w:rPr>
        <w:t xml:space="preserve">, Price ND, Hood L. Systems cancer medicine: towards realization of predictive, preventive, personalized and participatory (P4) medicine. </w:t>
      </w:r>
      <w:r w:rsidRPr="001326F0">
        <w:rPr>
          <w:rFonts w:ascii="Book Antiqua" w:eastAsia="SimSun" w:hAnsi="Book Antiqua" w:cs="SimSun"/>
          <w:i/>
          <w:iCs/>
          <w:sz w:val="24"/>
          <w:szCs w:val="24"/>
          <w:lang w:val="en-US" w:eastAsia="zh-CN"/>
        </w:rPr>
        <w:t>J Intern Med</w:t>
      </w:r>
      <w:r w:rsidRPr="001326F0">
        <w:rPr>
          <w:rFonts w:ascii="Book Antiqua" w:eastAsia="SimSun" w:hAnsi="Book Antiqua" w:cs="SimSun"/>
          <w:sz w:val="24"/>
          <w:szCs w:val="24"/>
          <w:lang w:val="en-US" w:eastAsia="zh-CN"/>
        </w:rPr>
        <w:t xml:space="preserve"> 2012; </w:t>
      </w:r>
      <w:r w:rsidRPr="001326F0">
        <w:rPr>
          <w:rFonts w:ascii="Book Antiqua" w:eastAsia="SimSun" w:hAnsi="Book Antiqua" w:cs="SimSun"/>
          <w:b/>
          <w:bCs/>
          <w:sz w:val="24"/>
          <w:szCs w:val="24"/>
          <w:lang w:val="en-US" w:eastAsia="zh-CN"/>
        </w:rPr>
        <w:t>271</w:t>
      </w:r>
      <w:r w:rsidRPr="001326F0">
        <w:rPr>
          <w:rFonts w:ascii="Book Antiqua" w:eastAsia="SimSun" w:hAnsi="Book Antiqua" w:cs="SimSun"/>
          <w:sz w:val="24"/>
          <w:szCs w:val="24"/>
          <w:lang w:val="en-US" w:eastAsia="zh-CN"/>
        </w:rPr>
        <w:t>: 111-121 [PMID: 22142401 DOI: 10.1111/j.1365-2796.2011.02498.x]</w:t>
      </w:r>
    </w:p>
    <w:p w:rsidR="00FB336C" w:rsidRPr="001326F0" w:rsidRDefault="00FB336C" w:rsidP="00FB336C">
      <w:pPr>
        <w:wordWrap w:val="0"/>
        <w:spacing w:line="360" w:lineRule="auto"/>
        <w:ind w:left="361" w:hangingChars="150" w:hanging="361"/>
        <w:jc w:val="right"/>
        <w:rPr>
          <w:rFonts w:ascii="Book Antiqua" w:hAnsi="Book Antiqua"/>
          <w:sz w:val="24"/>
        </w:rPr>
      </w:pPr>
      <w:bookmarkStart w:id="321" w:name="OLE_LINK51"/>
      <w:bookmarkStart w:id="322" w:name="OLE_LINK52"/>
      <w:bookmarkStart w:id="323" w:name="OLE_LINK75"/>
      <w:bookmarkStart w:id="324" w:name="OLE_LINK120"/>
      <w:bookmarkStart w:id="325" w:name="OLE_LINK148"/>
      <w:bookmarkStart w:id="326" w:name="OLE_LINK72"/>
      <w:bookmarkStart w:id="327" w:name="OLE_LINK112"/>
      <w:bookmarkStart w:id="328" w:name="OLE_LINK320"/>
      <w:bookmarkStart w:id="329" w:name="OLE_LINK387"/>
      <w:bookmarkStart w:id="330" w:name="OLE_LINK183"/>
      <w:bookmarkStart w:id="331" w:name="OLE_LINK254"/>
      <w:bookmarkStart w:id="332" w:name="OLE_LINK149"/>
      <w:bookmarkStart w:id="333" w:name="OLE_LINK225"/>
      <w:bookmarkStart w:id="334" w:name="OLE_LINK207"/>
      <w:bookmarkStart w:id="335" w:name="OLE_LINK226"/>
      <w:bookmarkStart w:id="336" w:name="OLE_LINK212"/>
      <w:bookmarkStart w:id="337" w:name="OLE_LINK250"/>
      <w:bookmarkStart w:id="338" w:name="OLE_LINK281"/>
      <w:bookmarkStart w:id="339" w:name="OLE_LINK240"/>
      <w:bookmarkStart w:id="340" w:name="OLE_LINK313"/>
      <w:bookmarkStart w:id="341" w:name="OLE_LINK304"/>
      <w:bookmarkStart w:id="342" w:name="OLE_LINK321"/>
      <w:bookmarkStart w:id="343" w:name="OLE_LINK385"/>
      <w:bookmarkStart w:id="344" w:name="OLE_LINK400"/>
      <w:bookmarkStart w:id="345" w:name="OLE_LINK346"/>
      <w:bookmarkStart w:id="346" w:name="OLE_LINK371"/>
      <w:bookmarkStart w:id="347" w:name="OLE_LINK334"/>
      <w:bookmarkStart w:id="348" w:name="OLE_LINK1830"/>
      <w:bookmarkStart w:id="349" w:name="OLE_LINK457"/>
      <w:bookmarkStart w:id="350" w:name="OLE_LINK288"/>
      <w:bookmarkStart w:id="351" w:name="OLE_LINK384"/>
      <w:bookmarkStart w:id="352" w:name="OLE_LINK379"/>
      <w:bookmarkStart w:id="353" w:name="OLE_LINK303"/>
      <w:bookmarkStart w:id="354" w:name="OLE_LINK450"/>
      <w:bookmarkStart w:id="355" w:name="OLE_LINK489"/>
      <w:bookmarkStart w:id="356" w:name="OLE_LINK535"/>
      <w:bookmarkStart w:id="357" w:name="OLE_LINK648"/>
      <w:bookmarkStart w:id="358" w:name="OLE_LINK686"/>
      <w:bookmarkStart w:id="359" w:name="OLE_LINK430"/>
      <w:bookmarkStart w:id="360" w:name="OLE_LINK471"/>
      <w:bookmarkStart w:id="361" w:name="OLE_LINK462"/>
      <w:bookmarkStart w:id="362" w:name="OLE_LINK519"/>
      <w:bookmarkStart w:id="363" w:name="OLE_LINK575"/>
      <w:bookmarkStart w:id="364" w:name="OLE_LINK491"/>
      <w:bookmarkStart w:id="365" w:name="OLE_LINK532"/>
      <w:bookmarkStart w:id="366" w:name="OLE_LINK572"/>
      <w:bookmarkStart w:id="367" w:name="OLE_LINK574"/>
      <w:bookmarkStart w:id="368" w:name="OLE_LINK480"/>
      <w:bookmarkStart w:id="369" w:name="OLE_LINK567"/>
      <w:bookmarkStart w:id="370" w:name="OLE_LINK2700"/>
      <w:bookmarkStart w:id="371" w:name="OLE_LINK581"/>
      <w:bookmarkStart w:id="372" w:name="OLE_LINK639"/>
      <w:bookmarkStart w:id="373" w:name="OLE_LINK688"/>
      <w:bookmarkStart w:id="374" w:name="OLE_LINK722"/>
      <w:bookmarkStart w:id="375" w:name="OLE_LINK542"/>
      <w:bookmarkStart w:id="376" w:name="OLE_LINK589"/>
      <w:bookmarkStart w:id="377" w:name="OLE_LINK582"/>
      <w:bookmarkStart w:id="378" w:name="OLE_LINK640"/>
      <w:bookmarkStart w:id="379" w:name="OLE_LINK714"/>
      <w:bookmarkStart w:id="380" w:name="OLE_LINK716"/>
      <w:bookmarkStart w:id="381" w:name="OLE_LINK770"/>
      <w:bookmarkStart w:id="382" w:name="OLE_LINK801"/>
      <w:bookmarkStart w:id="383" w:name="OLE_LINK660"/>
      <w:bookmarkStart w:id="384" w:name="OLE_LINK739"/>
      <w:bookmarkStart w:id="385" w:name="OLE_LINK781"/>
      <w:bookmarkStart w:id="386" w:name="OLE_LINK833"/>
      <w:bookmarkStart w:id="387" w:name="OLE_LINK642"/>
      <w:bookmarkStart w:id="388" w:name="OLE_LINK700"/>
      <w:bookmarkStart w:id="389" w:name="OLE_LINK792"/>
      <w:bookmarkStart w:id="390" w:name="OLE_LINK2882"/>
      <w:bookmarkStart w:id="391" w:name="OLE_LINK836"/>
      <w:bookmarkStart w:id="392" w:name="OLE_LINK889"/>
      <w:bookmarkStart w:id="393" w:name="OLE_LINK782"/>
      <w:bookmarkStart w:id="394" w:name="OLE_LINK826"/>
      <w:bookmarkStart w:id="395" w:name="OLE_LINK865"/>
      <w:bookmarkStart w:id="396" w:name="OLE_LINK2898"/>
      <w:bookmarkStart w:id="397" w:name="OLE_LINK856"/>
      <w:bookmarkStart w:id="398" w:name="OLE_LINK908"/>
      <w:bookmarkStart w:id="399" w:name="OLE_LINK980"/>
      <w:bookmarkStart w:id="400" w:name="OLE_LINK1018"/>
      <w:bookmarkStart w:id="401" w:name="OLE_LINK1049"/>
      <w:bookmarkStart w:id="402" w:name="OLE_LINK1076"/>
      <w:bookmarkStart w:id="403" w:name="OLE_LINK1106"/>
      <w:bookmarkStart w:id="404" w:name="OLE_LINK891"/>
      <w:bookmarkStart w:id="405" w:name="OLE_LINK943"/>
      <w:bookmarkStart w:id="406" w:name="OLE_LINK981"/>
      <w:bookmarkStart w:id="407" w:name="OLE_LINK1030"/>
      <w:bookmarkStart w:id="408" w:name="OLE_LINK847"/>
      <w:bookmarkStart w:id="409" w:name="OLE_LINK909"/>
      <w:bookmarkStart w:id="410" w:name="OLE_LINK898"/>
      <w:bookmarkStart w:id="411" w:name="OLE_LINK906"/>
      <w:bookmarkStart w:id="412" w:name="OLE_LINK992"/>
      <w:bookmarkStart w:id="413" w:name="OLE_LINK993"/>
      <w:bookmarkStart w:id="414" w:name="OLE_LINK1052"/>
      <w:bookmarkStart w:id="415" w:name="OLE_LINK946"/>
      <w:bookmarkStart w:id="416" w:name="OLE_LINK911"/>
      <w:bookmarkStart w:id="417" w:name="OLE_LINK930"/>
      <w:bookmarkStart w:id="418" w:name="OLE_LINK1059"/>
      <w:bookmarkStart w:id="419" w:name="OLE_LINK1137"/>
      <w:bookmarkStart w:id="420" w:name="OLE_LINK1167"/>
      <w:bookmarkStart w:id="421" w:name="OLE_LINK1200"/>
      <w:bookmarkStart w:id="422" w:name="OLE_LINK1241"/>
      <w:bookmarkStart w:id="423" w:name="OLE_LINK1288"/>
      <w:bookmarkStart w:id="424" w:name="OLE_LINK1056"/>
      <w:bookmarkStart w:id="425" w:name="OLE_LINK1158"/>
      <w:bookmarkStart w:id="426" w:name="OLE_LINK1074"/>
      <w:bookmarkStart w:id="427" w:name="OLE_LINK1169"/>
      <w:bookmarkStart w:id="428" w:name="OLE_LINK1060"/>
      <w:bookmarkStart w:id="429" w:name="OLE_LINK1185"/>
      <w:bookmarkStart w:id="430" w:name="OLE_LINK1172"/>
      <w:bookmarkStart w:id="431" w:name="OLE_LINK1176"/>
      <w:bookmarkStart w:id="432" w:name="OLE_LINK1373"/>
      <w:bookmarkStart w:id="433" w:name="OLE_LINK1410"/>
      <w:bookmarkStart w:id="434" w:name="OLE_LINK1448"/>
      <w:bookmarkStart w:id="435" w:name="OLE_LINK1492"/>
      <w:bookmarkStart w:id="436" w:name="OLE_LINK1530"/>
      <w:bookmarkStart w:id="437" w:name="OLE_LINK1585"/>
      <w:bookmarkStart w:id="438" w:name="OLE_LINK1622"/>
      <w:bookmarkStart w:id="439" w:name="OLE_LINK1661"/>
      <w:bookmarkStart w:id="440" w:name="OLE_LINK1691"/>
      <w:bookmarkStart w:id="441" w:name="OLE_LINK1343"/>
      <w:bookmarkStart w:id="442" w:name="OLE_LINK1462"/>
      <w:bookmarkStart w:id="443" w:name="OLE_LINK1531"/>
      <w:bookmarkStart w:id="444" w:name="OLE_LINK1344"/>
      <w:bookmarkStart w:id="445" w:name="OLE_LINK1384"/>
      <w:bookmarkStart w:id="446" w:name="OLE_LINK1457"/>
      <w:bookmarkStart w:id="447" w:name="OLE_LINK1591"/>
      <w:bookmarkStart w:id="448" w:name="OLE_LINK1370"/>
      <w:bookmarkStart w:id="449" w:name="OLE_LINK1443"/>
      <w:bookmarkStart w:id="450" w:name="OLE_LINK1472"/>
      <w:bookmarkStart w:id="451" w:name="OLE_LINK1503"/>
      <w:bookmarkStart w:id="452" w:name="OLE_LINK1390"/>
      <w:bookmarkStart w:id="453" w:name="OLE_LINK1490"/>
      <w:bookmarkStart w:id="454" w:name="OLE_LINK1576"/>
      <w:bookmarkStart w:id="455" w:name="OLE_LINK1618"/>
      <w:bookmarkStart w:id="456" w:name="OLE_LINK1650"/>
      <w:bookmarkStart w:id="457" w:name="OLE_LINK1721"/>
      <w:bookmarkStart w:id="458" w:name="OLE_LINK1565"/>
      <w:bookmarkStart w:id="459" w:name="OLE_LINK1619"/>
      <w:bookmarkStart w:id="460" w:name="OLE_LINK1671"/>
      <w:bookmarkStart w:id="461" w:name="OLE_LINK1716"/>
      <w:bookmarkStart w:id="462" w:name="OLE_LINK1761"/>
      <w:bookmarkStart w:id="463" w:name="OLE_LINK1586"/>
      <w:bookmarkStart w:id="464" w:name="OLE_LINK1593"/>
      <w:bookmarkStart w:id="465" w:name="OLE_LINK1630"/>
      <w:bookmarkStart w:id="466" w:name="OLE_LINK1699"/>
      <w:bookmarkStart w:id="467" w:name="OLE_LINK1736"/>
      <w:bookmarkStart w:id="468" w:name="OLE_LINK1792"/>
      <w:bookmarkStart w:id="469" w:name="OLE_LINK1825"/>
      <w:bookmarkStart w:id="470" w:name="OLE_LINK1865"/>
      <w:bookmarkStart w:id="471" w:name="OLE_LINK1692"/>
      <w:bookmarkStart w:id="472" w:name="OLE_LINK1808"/>
      <w:bookmarkStart w:id="473" w:name="OLE_LINK1862"/>
      <w:bookmarkStart w:id="474" w:name="OLE_LINK1859"/>
      <w:bookmarkStart w:id="475" w:name="OLE_LINK1901"/>
      <w:bookmarkStart w:id="476" w:name="OLE_LINK1939"/>
      <w:bookmarkStart w:id="477" w:name="OLE_LINK1977"/>
      <w:bookmarkStart w:id="478" w:name="OLE_LINK1841"/>
      <w:bookmarkStart w:id="479" w:name="OLE_LINK1879"/>
      <w:bookmarkStart w:id="480" w:name="OLE_LINK1916"/>
      <w:bookmarkStart w:id="481" w:name="OLE_LINK1960"/>
      <w:bookmarkStart w:id="482" w:name="OLE_LINK1834"/>
      <w:bookmarkStart w:id="483" w:name="OLE_LINK2027"/>
      <w:bookmarkStart w:id="484" w:name="OLE_LINK2056"/>
      <w:bookmarkStart w:id="485" w:name="OLE_LINK1870"/>
      <w:bookmarkStart w:id="486" w:name="OLE_LINK1883"/>
      <w:bookmarkStart w:id="487" w:name="OLE_LINK1890"/>
      <w:bookmarkStart w:id="488" w:name="OLE_LINK1922"/>
      <w:bookmarkStart w:id="489" w:name="OLE_LINK1943"/>
      <w:bookmarkStart w:id="490" w:name="OLE_LINK1970"/>
      <w:bookmarkStart w:id="491" w:name="OLE_LINK1983"/>
      <w:bookmarkStart w:id="492" w:name="OLE_LINK2031"/>
      <w:bookmarkStart w:id="493" w:name="OLE_LINK2066"/>
      <w:bookmarkStart w:id="494" w:name="OLE_LINK2094"/>
      <w:bookmarkStart w:id="495" w:name="OLE_LINK2136"/>
      <w:bookmarkStart w:id="496" w:name="OLE_LINK2192"/>
      <w:bookmarkStart w:id="497" w:name="OLE_LINK1984"/>
      <w:bookmarkStart w:id="498" w:name="OLE_LINK2040"/>
      <w:bookmarkStart w:id="499" w:name="OLE_LINK2087"/>
      <w:bookmarkStart w:id="500" w:name="OLE_LINK2131"/>
      <w:bookmarkStart w:id="501" w:name="OLE_LINK2167"/>
      <w:bookmarkStart w:id="502" w:name="OLE_LINK2211"/>
      <w:bookmarkStart w:id="503" w:name="OLE_LINK2265"/>
      <w:bookmarkStart w:id="504" w:name="OLE_LINK2274"/>
      <w:bookmarkStart w:id="505" w:name="OLE_LINK2071"/>
      <w:bookmarkStart w:id="506" w:name="OLE_LINK3320"/>
      <w:bookmarkStart w:id="507" w:name="OLE_LINK3374"/>
      <w:bookmarkStart w:id="508" w:name="OLE_LINK3410"/>
      <w:bookmarkStart w:id="509" w:name="OLE_LINK1997"/>
      <w:bookmarkStart w:id="510" w:name="OLE_LINK2043"/>
      <w:bookmarkStart w:id="511" w:name="OLE_LINK2041"/>
      <w:bookmarkStart w:id="512" w:name="OLE_LINK2133"/>
      <w:bookmarkStart w:id="513" w:name="OLE_LINK2181"/>
      <w:bookmarkStart w:id="514" w:name="OLE_LINK2101"/>
      <w:bookmarkStart w:id="515" w:name="OLE_LINK2128"/>
      <w:bookmarkStart w:id="516" w:name="OLE_LINK3357"/>
      <w:bookmarkStart w:id="517" w:name="OLE_LINK2139"/>
      <w:bookmarkStart w:id="518" w:name="OLE_LINK2219"/>
      <w:bookmarkStart w:id="519" w:name="OLE_LINK2248"/>
      <w:bookmarkStart w:id="520" w:name="OLE_LINK2281"/>
      <w:bookmarkStart w:id="521" w:name="OLE_LINK2294"/>
      <w:bookmarkStart w:id="522" w:name="OLE_LINK2395"/>
      <w:bookmarkStart w:id="523" w:name="OLE_LINK2148"/>
      <w:bookmarkStart w:id="524" w:name="OLE_LINK2236"/>
      <w:bookmarkStart w:id="525" w:name="OLE_LINK2354"/>
      <w:bookmarkStart w:id="526" w:name="OLE_LINK2273"/>
      <w:bookmarkStart w:id="527" w:name="OLE_LINK2314"/>
      <w:bookmarkStart w:id="528" w:name="OLE_LINK2240"/>
      <w:bookmarkStart w:id="529" w:name="OLE_LINK2290"/>
      <w:bookmarkStart w:id="530" w:name="OLE_LINK2330"/>
      <w:bookmarkStart w:id="531" w:name="OLE_LINK2402"/>
      <w:bookmarkStart w:id="532" w:name="OLE_LINK2432"/>
      <w:bookmarkStart w:id="533" w:name="OLE_LINK2336"/>
      <w:bookmarkStart w:id="534" w:name="OLE_LINK2369"/>
      <w:bookmarkStart w:id="535" w:name="OLE_LINK2427"/>
      <w:bookmarkStart w:id="536" w:name="OLE_LINK2370"/>
      <w:bookmarkStart w:id="537" w:name="OLE_LINK2474"/>
      <w:bookmarkStart w:id="538" w:name="OLE_LINK2382"/>
      <w:bookmarkStart w:id="539" w:name="OLE_LINK2476"/>
      <w:bookmarkStart w:id="540" w:name="OLE_LINK2471"/>
      <w:bookmarkStart w:id="541" w:name="OLE_LINK2483"/>
      <w:bookmarkStart w:id="542" w:name="OLE_LINK2511"/>
      <w:bookmarkStart w:id="543" w:name="OLE_LINK2583"/>
      <w:bookmarkStart w:id="544" w:name="OLE_LINK2615"/>
      <w:r w:rsidRPr="001326F0">
        <w:rPr>
          <w:rFonts w:ascii="Book Antiqua" w:hAnsi="Book Antiqua"/>
          <w:b/>
          <w:bCs/>
          <w:sz w:val="24"/>
        </w:rPr>
        <w:t>P-Reviewer:</w:t>
      </w:r>
      <w:r w:rsidR="00D74C7F" w:rsidRPr="001326F0">
        <w:rPr>
          <w:rFonts w:ascii="Book Antiqua" w:hAnsi="Book Antiqua"/>
          <w:b/>
          <w:bCs/>
          <w:sz w:val="24"/>
        </w:rPr>
        <w:t xml:space="preserve"> </w:t>
      </w:r>
      <w:r w:rsidRPr="001326F0">
        <w:rPr>
          <w:rFonts w:ascii="Book Antiqua" w:hAnsi="Book Antiqua"/>
          <w:bCs/>
          <w:sz w:val="24"/>
        </w:rPr>
        <w:t>Boileve</w:t>
      </w:r>
      <w:r w:rsidRPr="001326F0">
        <w:rPr>
          <w:rFonts w:ascii="Book Antiqua" w:hAnsi="Book Antiqua" w:hint="eastAsia"/>
          <w:bCs/>
          <w:sz w:val="24"/>
          <w:lang w:eastAsia="zh-CN"/>
        </w:rPr>
        <w:t xml:space="preserve"> </w:t>
      </w:r>
      <w:r w:rsidRPr="001326F0">
        <w:rPr>
          <w:rFonts w:ascii="Book Antiqua" w:hAnsi="Book Antiqua"/>
          <w:bCs/>
          <w:sz w:val="24"/>
        </w:rPr>
        <w:t>JB</w:t>
      </w:r>
      <w:r w:rsidRPr="001326F0">
        <w:rPr>
          <w:rFonts w:ascii="Book Antiqua" w:hAnsi="Book Antiqua" w:hint="eastAsia"/>
          <w:b/>
          <w:bCs/>
          <w:sz w:val="24"/>
          <w:lang w:eastAsia="zh-CN"/>
        </w:rPr>
        <w:t xml:space="preserve"> </w:t>
      </w:r>
      <w:r w:rsidRPr="001326F0">
        <w:rPr>
          <w:rFonts w:ascii="Book Antiqua" w:hAnsi="Book Antiqua"/>
          <w:b/>
          <w:bCs/>
          <w:sz w:val="24"/>
        </w:rPr>
        <w:t>S-Editor:</w:t>
      </w:r>
      <w:r w:rsidRPr="001326F0">
        <w:rPr>
          <w:rFonts w:ascii="Book Antiqua" w:hAnsi="Book Antiqua"/>
          <w:sz w:val="24"/>
        </w:rPr>
        <w:t xml:space="preserve"> </w:t>
      </w:r>
      <w:r w:rsidRPr="001326F0">
        <w:rPr>
          <w:rFonts w:ascii="Book Antiqua" w:hAnsi="Book Antiqua" w:hint="eastAsia"/>
          <w:sz w:val="24"/>
        </w:rPr>
        <w:t>Yu J</w:t>
      </w:r>
      <w:r w:rsidRPr="001326F0">
        <w:rPr>
          <w:rFonts w:ascii="Book Antiqua" w:hAnsi="Book Antiqua"/>
          <w:sz w:val="24"/>
        </w:rPr>
        <w:t xml:space="preserve"> </w:t>
      </w:r>
      <w:r w:rsidRPr="001326F0">
        <w:rPr>
          <w:rFonts w:ascii="Book Antiqua" w:hAnsi="Book Antiqua"/>
          <w:b/>
          <w:bCs/>
          <w:sz w:val="24"/>
        </w:rPr>
        <w:t>L-Editor:</w:t>
      </w:r>
      <w:r w:rsidR="00D74C7F" w:rsidRPr="001326F0">
        <w:rPr>
          <w:rFonts w:ascii="Book Antiqua" w:hAnsi="Book Antiqua"/>
          <w:sz w:val="24"/>
        </w:rPr>
        <w:t xml:space="preserve"> </w:t>
      </w:r>
      <w:r w:rsidRPr="001326F0">
        <w:rPr>
          <w:rFonts w:ascii="Book Antiqua" w:hAnsi="Book Antiqua"/>
          <w:b/>
          <w:bCs/>
          <w:sz w:val="24"/>
        </w:rPr>
        <w:t>E-Editor:</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rsidR="0031238A" w:rsidRPr="001326F0" w:rsidRDefault="0031238A" w:rsidP="0031238A">
      <w:pPr>
        <w:widowControl w:val="0"/>
        <w:spacing w:after="0" w:line="360" w:lineRule="auto"/>
        <w:jc w:val="both"/>
        <w:rPr>
          <w:rFonts w:ascii="Book Antiqua" w:eastAsia="SimSun" w:hAnsi="Book Antiqua" w:cs="Times New Roman"/>
          <w:kern w:val="2"/>
          <w:sz w:val="24"/>
          <w:szCs w:val="24"/>
          <w:lang w:eastAsia="zh-CN"/>
        </w:rPr>
      </w:pPr>
    </w:p>
    <w:p w:rsidR="007010F5" w:rsidRPr="001326F0" w:rsidRDefault="007010F5" w:rsidP="00746C86">
      <w:pPr>
        <w:tabs>
          <w:tab w:val="left" w:pos="810"/>
        </w:tabs>
        <w:autoSpaceDE w:val="0"/>
        <w:autoSpaceDN w:val="0"/>
        <w:adjustRightInd w:val="0"/>
        <w:snapToGrid w:val="0"/>
        <w:spacing w:after="0" w:line="360" w:lineRule="auto"/>
        <w:jc w:val="both"/>
        <w:rPr>
          <w:rFonts w:ascii="Book Antiqua" w:hAnsi="Book Antiqua"/>
          <w:sz w:val="24"/>
          <w:szCs w:val="24"/>
          <w:lang w:val="en-US"/>
        </w:rPr>
      </w:pPr>
    </w:p>
    <w:bookmarkEnd w:id="292"/>
    <w:bookmarkEnd w:id="293"/>
    <w:p w:rsidR="00E90285" w:rsidRPr="001326F0" w:rsidRDefault="00E90285" w:rsidP="00746C86">
      <w:pPr>
        <w:shd w:val="clear" w:color="auto" w:fill="FFFFFF"/>
        <w:adjustRightInd w:val="0"/>
        <w:snapToGrid w:val="0"/>
        <w:spacing w:after="0" w:line="360" w:lineRule="auto"/>
        <w:jc w:val="both"/>
        <w:rPr>
          <w:rFonts w:ascii="Book Antiqua" w:eastAsia="Times New Roman" w:hAnsi="Book Antiqua" w:cs="Arial"/>
          <w:b/>
          <w:sz w:val="24"/>
          <w:szCs w:val="24"/>
          <w:lang w:val="en-GB" w:eastAsia="it-IT"/>
        </w:rPr>
      </w:pPr>
    </w:p>
    <w:p w:rsidR="00E90285" w:rsidRPr="001326F0" w:rsidRDefault="00E90285" w:rsidP="00746C86">
      <w:pPr>
        <w:shd w:val="clear" w:color="auto" w:fill="FFFFFF"/>
        <w:adjustRightInd w:val="0"/>
        <w:snapToGrid w:val="0"/>
        <w:spacing w:after="0" w:line="360" w:lineRule="auto"/>
        <w:jc w:val="both"/>
        <w:rPr>
          <w:rFonts w:ascii="Book Antiqua" w:eastAsia="Times New Roman" w:hAnsi="Book Antiqua" w:cs="Arial"/>
          <w:b/>
          <w:sz w:val="24"/>
          <w:szCs w:val="24"/>
          <w:lang w:val="en-GB" w:eastAsia="it-IT"/>
        </w:rPr>
      </w:pPr>
    </w:p>
    <w:p w:rsidR="007F75D9" w:rsidRPr="001326F0" w:rsidRDefault="007F75D9" w:rsidP="00746C86">
      <w:pPr>
        <w:adjustRightInd w:val="0"/>
        <w:snapToGrid w:val="0"/>
        <w:spacing w:after="0" w:line="360" w:lineRule="auto"/>
        <w:jc w:val="both"/>
        <w:rPr>
          <w:rFonts w:ascii="Book Antiqua" w:hAnsi="Book Antiqua" w:cs="Times New Roman"/>
          <w:b/>
          <w:sz w:val="24"/>
          <w:szCs w:val="24"/>
        </w:rPr>
      </w:pPr>
    </w:p>
    <w:p w:rsidR="007F75D9" w:rsidRPr="001326F0" w:rsidRDefault="007F75D9" w:rsidP="00746C86">
      <w:pPr>
        <w:adjustRightInd w:val="0"/>
        <w:snapToGrid w:val="0"/>
        <w:spacing w:after="0" w:line="360" w:lineRule="auto"/>
        <w:jc w:val="both"/>
        <w:rPr>
          <w:rFonts w:ascii="Book Antiqua" w:hAnsi="Book Antiqua" w:cs="Times New Roman"/>
          <w:b/>
          <w:sz w:val="24"/>
          <w:szCs w:val="24"/>
        </w:rPr>
      </w:pPr>
    </w:p>
    <w:p w:rsidR="006B6066" w:rsidRPr="001326F0" w:rsidRDefault="006B6066">
      <w:pPr>
        <w:rPr>
          <w:rFonts w:ascii="Book Antiqua" w:hAnsi="Book Antiqua" w:cs="Times New Roman"/>
          <w:b/>
          <w:sz w:val="24"/>
          <w:szCs w:val="24"/>
        </w:rPr>
      </w:pPr>
      <w:r w:rsidRPr="001326F0">
        <w:rPr>
          <w:rFonts w:ascii="Book Antiqua" w:hAnsi="Book Antiqua" w:cs="Times New Roman"/>
          <w:b/>
          <w:sz w:val="24"/>
          <w:szCs w:val="24"/>
        </w:rPr>
        <w:br w:type="page"/>
      </w:r>
    </w:p>
    <w:p w:rsidR="006B6066" w:rsidRPr="001326F0" w:rsidRDefault="006B6066" w:rsidP="006B6066">
      <w:pPr>
        <w:adjustRightInd w:val="0"/>
        <w:snapToGrid w:val="0"/>
        <w:spacing w:after="0" w:line="360" w:lineRule="auto"/>
        <w:jc w:val="both"/>
        <w:rPr>
          <w:rFonts w:ascii="Book Antiqua" w:hAnsi="Book Antiqua" w:cs="Times New Roman"/>
          <w:sz w:val="24"/>
          <w:szCs w:val="24"/>
          <w:lang w:val="en-GB"/>
        </w:rPr>
      </w:pPr>
      <w:r w:rsidRPr="001326F0">
        <w:rPr>
          <w:rFonts w:ascii="Book Antiqua" w:hAnsi="Book Antiqua" w:cs="Times New Roman"/>
          <w:noProof/>
          <w:sz w:val="24"/>
          <w:szCs w:val="24"/>
          <w:lang w:val="en-US" w:eastAsia="zh-CN"/>
        </w:rPr>
        <w:lastRenderedPageBreak/>
        <w:drawing>
          <wp:inline distT="0" distB="0" distL="0" distR="0" wp14:anchorId="498F49F8" wp14:editId="19158BEF">
            <wp:extent cx="5278120" cy="3960789"/>
            <wp:effectExtent l="0" t="0" r="0" b="0"/>
            <wp:docPr id="1" name="Immagine 7" descr="C:\Users\paolahp\Desktop\review\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olahp\Desktop\review\Figur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960789"/>
                    </a:xfrm>
                    <a:prstGeom prst="rect">
                      <a:avLst/>
                    </a:prstGeom>
                    <a:noFill/>
                    <a:ln>
                      <a:noFill/>
                    </a:ln>
                  </pic:spPr>
                </pic:pic>
              </a:graphicData>
            </a:graphic>
          </wp:inline>
        </w:drawing>
      </w:r>
    </w:p>
    <w:p w:rsidR="006B6066" w:rsidRPr="001326F0" w:rsidRDefault="006B6066" w:rsidP="006B6066">
      <w:pPr>
        <w:adjustRightInd w:val="0"/>
        <w:snapToGrid w:val="0"/>
        <w:spacing w:after="0" w:line="360" w:lineRule="auto"/>
        <w:jc w:val="both"/>
        <w:rPr>
          <w:rFonts w:ascii="Book Antiqua" w:hAnsi="Book Antiqua" w:cs="Times New Roman"/>
          <w:b/>
          <w:sz w:val="24"/>
          <w:szCs w:val="24"/>
          <w:lang w:val="en-GB" w:eastAsia="zh-CN"/>
        </w:rPr>
      </w:pPr>
      <w:r w:rsidRPr="001326F0">
        <w:rPr>
          <w:rFonts w:ascii="Book Antiqua" w:hAnsi="Book Antiqua" w:cs="Times New Roman"/>
          <w:b/>
          <w:sz w:val="24"/>
          <w:szCs w:val="24"/>
          <w:lang w:val="en-GB"/>
        </w:rPr>
        <w:t>Figure 1 Techniques in body composition</w:t>
      </w:r>
      <w:r w:rsidRPr="001326F0">
        <w:rPr>
          <w:rFonts w:ascii="Book Antiqua" w:hAnsi="Book Antiqua" w:cs="Times New Roman" w:hint="eastAsia"/>
          <w:b/>
          <w:sz w:val="24"/>
          <w:szCs w:val="24"/>
          <w:lang w:val="en-GB" w:eastAsia="zh-CN"/>
        </w:rPr>
        <w:t>.</w:t>
      </w:r>
    </w:p>
    <w:p w:rsidR="006B6066" w:rsidRPr="001326F0" w:rsidRDefault="006B6066" w:rsidP="006B6066">
      <w:pPr>
        <w:adjustRightInd w:val="0"/>
        <w:snapToGrid w:val="0"/>
        <w:spacing w:after="0" w:line="360" w:lineRule="auto"/>
        <w:jc w:val="both"/>
        <w:rPr>
          <w:rFonts w:ascii="Book Antiqua" w:hAnsi="Book Antiqua" w:cs="Times New Roman"/>
          <w:sz w:val="24"/>
          <w:szCs w:val="24"/>
          <w:lang w:val="en-GB"/>
        </w:rPr>
      </w:pPr>
    </w:p>
    <w:p w:rsidR="006B6066" w:rsidRPr="001326F0" w:rsidRDefault="006B6066" w:rsidP="006B6066">
      <w:pPr>
        <w:tabs>
          <w:tab w:val="left" w:pos="1615"/>
        </w:tabs>
        <w:adjustRightInd w:val="0"/>
        <w:snapToGrid w:val="0"/>
        <w:spacing w:after="0" w:line="360" w:lineRule="auto"/>
        <w:jc w:val="both"/>
        <w:rPr>
          <w:rFonts w:ascii="Book Antiqua" w:hAnsi="Book Antiqua" w:cs="Times New Roman"/>
          <w:sz w:val="24"/>
          <w:szCs w:val="24"/>
          <w:lang w:val="en-GB"/>
        </w:rPr>
      </w:pPr>
      <w:r w:rsidRPr="001326F0">
        <w:rPr>
          <w:rFonts w:ascii="Book Antiqua" w:hAnsi="Book Antiqua" w:cs="Times New Roman"/>
          <w:sz w:val="24"/>
          <w:szCs w:val="24"/>
          <w:lang w:val="en-GB"/>
        </w:rPr>
        <w:tab/>
      </w:r>
    </w:p>
    <w:p w:rsidR="006B6066" w:rsidRPr="001326F0" w:rsidRDefault="006B6066" w:rsidP="006B6066">
      <w:pPr>
        <w:adjustRightInd w:val="0"/>
        <w:snapToGrid w:val="0"/>
        <w:spacing w:after="0" w:line="360" w:lineRule="auto"/>
        <w:jc w:val="both"/>
        <w:rPr>
          <w:rFonts w:ascii="Book Antiqua" w:hAnsi="Book Antiqua" w:cs="Times New Roman"/>
          <w:sz w:val="24"/>
          <w:szCs w:val="24"/>
          <w:lang w:val="en-GB"/>
        </w:rPr>
      </w:pPr>
      <w:r w:rsidRPr="001326F0">
        <w:rPr>
          <w:rFonts w:ascii="Book Antiqua" w:hAnsi="Book Antiqua" w:cs="Times New Roman"/>
          <w:sz w:val="24"/>
          <w:szCs w:val="24"/>
          <w:lang w:val="en-GB"/>
        </w:rPr>
        <w:br w:type="page"/>
      </w:r>
    </w:p>
    <w:p w:rsidR="006B6066" w:rsidRPr="001326F0" w:rsidRDefault="006B6066" w:rsidP="006B6066">
      <w:pPr>
        <w:tabs>
          <w:tab w:val="left" w:pos="1615"/>
        </w:tabs>
        <w:adjustRightInd w:val="0"/>
        <w:snapToGrid w:val="0"/>
        <w:spacing w:after="0" w:line="360" w:lineRule="auto"/>
        <w:jc w:val="both"/>
        <w:rPr>
          <w:rFonts w:ascii="Book Antiqua" w:hAnsi="Book Antiqua" w:cs="Times New Roman"/>
          <w:sz w:val="24"/>
          <w:szCs w:val="24"/>
          <w:lang w:val="en-US"/>
        </w:rPr>
      </w:pPr>
    </w:p>
    <w:p w:rsidR="006B6066" w:rsidRPr="001326F0" w:rsidRDefault="006B6066" w:rsidP="006B6066">
      <w:pPr>
        <w:tabs>
          <w:tab w:val="left" w:pos="1615"/>
        </w:tabs>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A</w:t>
      </w:r>
    </w:p>
    <w:p w:rsidR="006B6066" w:rsidRPr="001326F0" w:rsidRDefault="006B6066" w:rsidP="006B6066">
      <w:pPr>
        <w:tabs>
          <w:tab w:val="left" w:pos="1615"/>
        </w:tabs>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noProof/>
          <w:sz w:val="24"/>
          <w:szCs w:val="24"/>
          <w:lang w:val="en-US" w:eastAsia="zh-CN"/>
        </w:rPr>
        <w:drawing>
          <wp:inline distT="0" distB="0" distL="0" distR="0" wp14:anchorId="307B2AFF" wp14:editId="002D419F">
            <wp:extent cx="5278120" cy="3300384"/>
            <wp:effectExtent l="0" t="0" r="0" b="0"/>
            <wp:docPr id="2" name="Immagine 8" descr="C:\Users\paolahp\Desktop\review\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olahp\Desktop\review\Figure 2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300384"/>
                    </a:xfrm>
                    <a:prstGeom prst="rect">
                      <a:avLst/>
                    </a:prstGeom>
                    <a:noFill/>
                    <a:ln>
                      <a:noFill/>
                    </a:ln>
                  </pic:spPr>
                </pic:pic>
              </a:graphicData>
            </a:graphic>
          </wp:inline>
        </w:drawing>
      </w:r>
    </w:p>
    <w:p w:rsidR="006B6066" w:rsidRPr="001326F0" w:rsidRDefault="006B6066" w:rsidP="006B6066">
      <w:pPr>
        <w:tabs>
          <w:tab w:val="left" w:pos="902"/>
        </w:tabs>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tab/>
      </w:r>
    </w:p>
    <w:p w:rsidR="006B6066" w:rsidRPr="001326F0" w:rsidRDefault="006B6066" w:rsidP="006B6066">
      <w:pPr>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br w:type="page"/>
      </w:r>
    </w:p>
    <w:p w:rsidR="006B6066" w:rsidRPr="001326F0" w:rsidRDefault="006B6066" w:rsidP="006B6066">
      <w:pPr>
        <w:tabs>
          <w:tab w:val="left" w:pos="902"/>
        </w:tabs>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sz w:val="24"/>
          <w:szCs w:val="24"/>
          <w:lang w:val="en-US"/>
        </w:rPr>
        <w:lastRenderedPageBreak/>
        <w:t>B</w:t>
      </w:r>
    </w:p>
    <w:p w:rsidR="006B6066" w:rsidRPr="001326F0" w:rsidRDefault="006B6066" w:rsidP="006B6066">
      <w:pPr>
        <w:tabs>
          <w:tab w:val="left" w:pos="902"/>
        </w:tabs>
        <w:adjustRightInd w:val="0"/>
        <w:snapToGrid w:val="0"/>
        <w:spacing w:after="0" w:line="360" w:lineRule="auto"/>
        <w:jc w:val="both"/>
        <w:rPr>
          <w:rFonts w:ascii="Book Antiqua" w:hAnsi="Book Antiqua" w:cs="Times New Roman"/>
          <w:sz w:val="24"/>
          <w:szCs w:val="24"/>
          <w:lang w:val="en-US"/>
        </w:rPr>
      </w:pPr>
      <w:r w:rsidRPr="001326F0">
        <w:rPr>
          <w:rFonts w:ascii="Book Antiqua" w:hAnsi="Book Antiqua" w:cs="Times New Roman"/>
          <w:noProof/>
          <w:sz w:val="24"/>
          <w:szCs w:val="24"/>
          <w:lang w:val="en-US" w:eastAsia="zh-CN"/>
        </w:rPr>
        <w:drawing>
          <wp:inline distT="0" distB="0" distL="0" distR="0" wp14:anchorId="40041DBB" wp14:editId="78F57415">
            <wp:extent cx="5278120" cy="3339692"/>
            <wp:effectExtent l="0" t="0" r="0" b="0"/>
            <wp:docPr id="3" name="Immagine 9" descr="C:\Users\paolahp\Desktop\review\Figure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olahp\Desktop\review\Figure 2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3339692"/>
                    </a:xfrm>
                    <a:prstGeom prst="rect">
                      <a:avLst/>
                    </a:prstGeom>
                    <a:noFill/>
                    <a:ln>
                      <a:noFill/>
                    </a:ln>
                  </pic:spPr>
                </pic:pic>
              </a:graphicData>
            </a:graphic>
          </wp:inline>
        </w:drawing>
      </w:r>
    </w:p>
    <w:p w:rsidR="006B6066" w:rsidRPr="001326F0" w:rsidRDefault="006B6066" w:rsidP="006B6066">
      <w:pPr>
        <w:adjustRightInd w:val="0"/>
        <w:snapToGrid w:val="0"/>
        <w:spacing w:after="0" w:line="360" w:lineRule="auto"/>
        <w:jc w:val="both"/>
        <w:rPr>
          <w:rFonts w:ascii="Book Antiqua" w:hAnsi="Book Antiqua" w:cs="Times New Roman"/>
          <w:sz w:val="24"/>
          <w:szCs w:val="24"/>
          <w:lang w:val="en-US" w:eastAsia="zh-CN"/>
        </w:rPr>
      </w:pPr>
      <w:r w:rsidRPr="001326F0">
        <w:rPr>
          <w:rFonts w:ascii="Book Antiqua" w:hAnsi="Book Antiqua" w:cs="Times New Roman"/>
          <w:b/>
          <w:sz w:val="24"/>
          <w:szCs w:val="24"/>
          <w:lang w:val="en-US"/>
        </w:rPr>
        <w:t>Figure 2 Characteristic of the four obese phenotypes</w:t>
      </w:r>
      <w:r w:rsidRPr="001326F0">
        <w:rPr>
          <w:rFonts w:ascii="Book Antiqua" w:hAnsi="Book Antiqua" w:cs="Times New Roman" w:hint="eastAsia"/>
          <w:b/>
          <w:sz w:val="24"/>
          <w:szCs w:val="24"/>
          <w:lang w:val="en-US"/>
        </w:rPr>
        <w:t>.</w:t>
      </w:r>
      <w:r w:rsidRPr="001326F0">
        <w:rPr>
          <w:rFonts w:ascii="Book Antiqua" w:hAnsi="Book Antiqua" w:cs="Times New Roman"/>
          <w:b/>
          <w:sz w:val="24"/>
          <w:szCs w:val="24"/>
          <w:lang w:val="en-US"/>
        </w:rPr>
        <w:t xml:space="preserve"> </w:t>
      </w:r>
      <w:r w:rsidRPr="001326F0">
        <w:rPr>
          <w:rFonts w:ascii="Book Antiqua" w:hAnsi="Book Antiqua" w:cs="Times New Roman"/>
          <w:sz w:val="24"/>
          <w:szCs w:val="24"/>
          <w:lang w:val="en-US"/>
        </w:rPr>
        <w:t>A</w:t>
      </w:r>
      <w:r w:rsidRPr="001326F0">
        <w:rPr>
          <w:rFonts w:ascii="Book Antiqua" w:hAnsi="Book Antiqua" w:cs="Times New Roman" w:hint="eastAsia"/>
          <w:sz w:val="24"/>
          <w:szCs w:val="24"/>
          <w:lang w:val="en-US"/>
        </w:rPr>
        <w:t>:</w:t>
      </w:r>
      <w:r w:rsidRPr="001326F0">
        <w:rPr>
          <w:rFonts w:ascii="Book Antiqua" w:hAnsi="Book Antiqua" w:cs="Times New Roman"/>
          <w:sz w:val="24"/>
          <w:szCs w:val="24"/>
          <w:lang w:val="en-US"/>
        </w:rPr>
        <w:t xml:space="preserve"> Women</w:t>
      </w:r>
      <w:r w:rsidRPr="001326F0">
        <w:rPr>
          <w:rFonts w:ascii="Book Antiqua" w:hAnsi="Book Antiqua" w:cs="Times New Roman" w:hint="eastAsia"/>
          <w:sz w:val="24"/>
          <w:szCs w:val="24"/>
          <w:lang w:val="en-US"/>
        </w:rPr>
        <w:t xml:space="preserve">; </w:t>
      </w:r>
      <w:r w:rsidRPr="001326F0">
        <w:rPr>
          <w:rFonts w:ascii="Book Antiqua" w:hAnsi="Book Antiqua" w:cs="Times New Roman"/>
          <w:sz w:val="24"/>
          <w:szCs w:val="24"/>
          <w:lang w:val="en-US"/>
        </w:rPr>
        <w:t>B</w:t>
      </w:r>
      <w:r w:rsidRPr="001326F0">
        <w:rPr>
          <w:rFonts w:ascii="Book Antiqua" w:hAnsi="Book Antiqua" w:cs="Times New Roman" w:hint="eastAsia"/>
          <w:sz w:val="24"/>
          <w:szCs w:val="24"/>
          <w:lang w:val="en-US"/>
        </w:rPr>
        <w:t>:</w:t>
      </w:r>
      <w:r w:rsidRPr="001326F0">
        <w:rPr>
          <w:rFonts w:ascii="Book Antiqua" w:hAnsi="Book Antiqua" w:cs="Times New Roman"/>
          <w:sz w:val="24"/>
          <w:szCs w:val="24"/>
          <w:lang w:val="en-US"/>
        </w:rPr>
        <w:t xml:space="preserve"> Men</w:t>
      </w:r>
      <w:r w:rsidRPr="001326F0">
        <w:rPr>
          <w:rFonts w:ascii="Book Antiqua" w:hAnsi="Book Antiqua" w:cs="Times New Roman" w:hint="eastAsia"/>
          <w:sz w:val="24"/>
          <w:szCs w:val="24"/>
          <w:lang w:val="en-US"/>
        </w:rPr>
        <w:t>.</w:t>
      </w:r>
      <w:r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US"/>
        </w:rPr>
        <w:t>NWO: Normal weight obese</w:t>
      </w:r>
      <w:r w:rsidRPr="001326F0">
        <w:rPr>
          <w:rFonts w:ascii="Book Antiqua" w:hAnsi="Book Antiqua" w:cs="Times New Roman"/>
          <w:sz w:val="24"/>
          <w:szCs w:val="24"/>
          <w:lang w:val="en-US" w:eastAsia="zh-CN"/>
        </w:rPr>
        <w:t>;</w:t>
      </w:r>
      <w:r w:rsidRPr="001326F0">
        <w:rPr>
          <w:rFonts w:ascii="Book Antiqua" w:hAnsi="Book Antiqua" w:cs="Times New Roman"/>
          <w:sz w:val="24"/>
          <w:szCs w:val="24"/>
          <w:lang w:val="en-US"/>
        </w:rPr>
        <w:t xml:space="preserve"> MONW: Metabolically obese normal weight</w:t>
      </w:r>
      <w:r w:rsidRPr="001326F0">
        <w:rPr>
          <w:rFonts w:ascii="Book Antiqua" w:hAnsi="Book Antiqua" w:cs="Times New Roman"/>
          <w:sz w:val="24"/>
          <w:szCs w:val="24"/>
          <w:lang w:val="en-US" w:eastAsia="zh-CN"/>
        </w:rPr>
        <w:t>;</w:t>
      </w:r>
      <w:r w:rsidRPr="001326F0">
        <w:rPr>
          <w:rFonts w:ascii="Book Antiqua" w:hAnsi="Book Antiqua" w:cs="Times New Roman"/>
          <w:sz w:val="24"/>
          <w:szCs w:val="24"/>
          <w:lang w:val="en-US"/>
        </w:rPr>
        <w:t xml:space="preserve"> MHO: Metabolically healthy obese</w:t>
      </w:r>
      <w:r w:rsidRPr="001326F0">
        <w:rPr>
          <w:rFonts w:ascii="Book Antiqua" w:hAnsi="Book Antiqua" w:cs="Times New Roman"/>
          <w:sz w:val="24"/>
          <w:szCs w:val="24"/>
          <w:lang w:val="en-US" w:eastAsia="zh-CN"/>
        </w:rPr>
        <w:t>;</w:t>
      </w:r>
      <w:r w:rsidRPr="001326F0">
        <w:rPr>
          <w:rFonts w:ascii="Book Antiqua" w:hAnsi="Book Antiqua" w:cs="Times New Roman"/>
          <w:sz w:val="24"/>
          <w:szCs w:val="24"/>
          <w:lang w:val="en-US"/>
        </w:rPr>
        <w:t xml:space="preserve"> MUO: Metabolically unhealthy obese</w:t>
      </w:r>
      <w:r w:rsidRPr="001326F0">
        <w:rPr>
          <w:rFonts w:ascii="Book Antiqua" w:hAnsi="Book Antiqua" w:cs="Times New Roman"/>
          <w:sz w:val="24"/>
          <w:szCs w:val="24"/>
          <w:lang w:val="en-US" w:eastAsia="zh-CN"/>
        </w:rPr>
        <w:t>;</w:t>
      </w:r>
      <w:r w:rsidRPr="001326F0">
        <w:rPr>
          <w:rFonts w:ascii="Book Antiqua" w:hAnsi="Book Antiqua" w:cs="Times New Roman"/>
          <w:sz w:val="24"/>
          <w:szCs w:val="24"/>
          <w:lang w:val="en-US"/>
        </w:rPr>
        <w:t xml:space="preserve"> BMI: Body mass index</w:t>
      </w:r>
      <w:r w:rsidRPr="001326F0">
        <w:rPr>
          <w:rFonts w:ascii="Book Antiqua" w:hAnsi="Book Antiqua" w:cs="Times New Roman"/>
          <w:sz w:val="24"/>
          <w:szCs w:val="24"/>
          <w:lang w:val="en-US" w:eastAsia="zh-CN"/>
        </w:rPr>
        <w:t>;</w:t>
      </w:r>
      <w:r w:rsidRPr="001326F0">
        <w:rPr>
          <w:rFonts w:ascii="Book Antiqua" w:hAnsi="Book Antiqua" w:cs="Times New Roman" w:hint="eastAsia"/>
          <w:sz w:val="24"/>
          <w:szCs w:val="24"/>
          <w:lang w:val="en-US" w:eastAsia="zh-CN"/>
        </w:rPr>
        <w:t xml:space="preserve"> </w:t>
      </w:r>
      <w:r w:rsidRPr="001326F0">
        <w:rPr>
          <w:rFonts w:ascii="Book Antiqua" w:hAnsi="Book Antiqua" w:cs="Times New Roman"/>
          <w:sz w:val="24"/>
          <w:szCs w:val="24"/>
          <w:lang w:val="en-US"/>
        </w:rPr>
        <w:t>hsPCR: High sensitive C-reactive protein</w:t>
      </w:r>
      <w:r w:rsidRPr="001326F0">
        <w:rPr>
          <w:rFonts w:ascii="Book Antiqua" w:hAnsi="Book Antiqua" w:cs="Times New Roman" w:hint="eastAsia"/>
          <w:sz w:val="24"/>
          <w:szCs w:val="24"/>
          <w:lang w:val="en-US" w:eastAsia="zh-CN"/>
        </w:rPr>
        <w:t>.</w:t>
      </w:r>
    </w:p>
    <w:p w:rsidR="00D74C7F" w:rsidRPr="001326F0" w:rsidRDefault="00D74C7F">
      <w:pPr>
        <w:rPr>
          <w:rFonts w:ascii="Book Antiqua" w:hAnsi="Book Antiqua" w:cs="Times New Roman"/>
          <w:b/>
          <w:sz w:val="24"/>
          <w:szCs w:val="24"/>
        </w:rPr>
      </w:pPr>
      <w:r w:rsidRPr="001326F0">
        <w:rPr>
          <w:rFonts w:ascii="Book Antiqua" w:hAnsi="Book Antiqua" w:cs="Times New Roman"/>
          <w:b/>
          <w:sz w:val="24"/>
          <w:szCs w:val="24"/>
        </w:rPr>
        <w:br w:type="page"/>
      </w:r>
    </w:p>
    <w:p w:rsidR="00B070CF" w:rsidRPr="001326F0" w:rsidRDefault="00B070CF" w:rsidP="00746C86">
      <w:pPr>
        <w:adjustRightInd w:val="0"/>
        <w:snapToGrid w:val="0"/>
        <w:spacing w:after="0" w:line="360" w:lineRule="auto"/>
        <w:jc w:val="both"/>
        <w:rPr>
          <w:rFonts w:ascii="Book Antiqua" w:hAnsi="Book Antiqua" w:cs="Times New Roman"/>
          <w:b/>
          <w:sz w:val="24"/>
          <w:szCs w:val="24"/>
        </w:rPr>
      </w:pPr>
      <w:r w:rsidRPr="001326F0">
        <w:rPr>
          <w:rFonts w:ascii="Book Antiqua" w:hAnsi="Book Antiqua" w:cs="Times New Roman"/>
          <w:b/>
          <w:sz w:val="24"/>
          <w:szCs w:val="24"/>
        </w:rPr>
        <w:lastRenderedPageBreak/>
        <w:t>Tabl</w:t>
      </w:r>
      <w:r w:rsidR="00D74C7F" w:rsidRPr="001326F0">
        <w:rPr>
          <w:rFonts w:ascii="Book Antiqua" w:hAnsi="Book Antiqua" w:cs="Times New Roman"/>
          <w:b/>
          <w:sz w:val="24"/>
          <w:szCs w:val="24"/>
        </w:rPr>
        <w:t xml:space="preserve">e 1 </w:t>
      </w:r>
      <w:r w:rsidRPr="001326F0">
        <w:rPr>
          <w:rFonts w:ascii="Book Antiqua" w:hAnsi="Book Antiqua" w:cs="Times New Roman"/>
          <w:b/>
          <w:sz w:val="24"/>
          <w:szCs w:val="24"/>
        </w:rPr>
        <w:t xml:space="preserve">Obesity classification </w:t>
      </w:r>
    </w:p>
    <w:tbl>
      <w:tblPr>
        <w:tblStyle w:val="TableGrid"/>
        <w:tblW w:w="110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851"/>
        <w:gridCol w:w="7742"/>
      </w:tblGrid>
      <w:tr w:rsidR="001326F0" w:rsidRPr="001326F0" w:rsidTr="00D74C7F">
        <w:trPr>
          <w:trHeight w:val="330"/>
          <w:jc w:val="center"/>
        </w:trPr>
        <w:tc>
          <w:tcPr>
            <w:tcW w:w="2456" w:type="dxa"/>
            <w:tcBorders>
              <w:top w:val="single" w:sz="4" w:space="0" w:color="auto"/>
              <w:bottom w:val="single" w:sz="4" w:space="0" w:color="auto"/>
            </w:tcBorders>
            <w:noWrap/>
            <w:hideMark/>
          </w:tcPr>
          <w:p w:rsidR="00B070CF" w:rsidRPr="001326F0" w:rsidRDefault="00B070CF" w:rsidP="00746C86">
            <w:pPr>
              <w:adjustRightInd w:val="0"/>
              <w:snapToGrid w:val="0"/>
              <w:spacing w:line="360" w:lineRule="auto"/>
              <w:jc w:val="both"/>
              <w:rPr>
                <w:rFonts w:ascii="Book Antiqua" w:eastAsia="Times New Roman" w:hAnsi="Book Antiqua" w:cs="Times New Roman"/>
                <w:b/>
                <w:bCs/>
                <w:sz w:val="24"/>
                <w:szCs w:val="24"/>
                <w:lang w:eastAsia="it-IT"/>
              </w:rPr>
            </w:pPr>
            <w:r w:rsidRPr="001326F0">
              <w:rPr>
                <w:rFonts w:ascii="Book Antiqua" w:eastAsia="Times New Roman" w:hAnsi="Book Antiqua" w:cs="Times New Roman"/>
                <w:b/>
                <w:bCs/>
                <w:sz w:val="24"/>
                <w:szCs w:val="24"/>
                <w:lang w:eastAsia="it-IT"/>
              </w:rPr>
              <w:t>Publication</w:t>
            </w:r>
          </w:p>
        </w:tc>
        <w:tc>
          <w:tcPr>
            <w:tcW w:w="851" w:type="dxa"/>
            <w:tcBorders>
              <w:top w:val="single" w:sz="4" w:space="0" w:color="auto"/>
              <w:bottom w:val="single" w:sz="4" w:space="0" w:color="auto"/>
            </w:tcBorders>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b/>
                <w:bCs/>
                <w:sz w:val="24"/>
                <w:szCs w:val="24"/>
                <w:lang w:eastAsia="it-IT"/>
              </w:rPr>
            </w:pPr>
            <w:r w:rsidRPr="001326F0">
              <w:rPr>
                <w:rFonts w:ascii="Book Antiqua" w:eastAsia="Times New Roman" w:hAnsi="Book Antiqua" w:cs="Times New Roman"/>
                <w:b/>
                <w:bCs/>
                <w:sz w:val="24"/>
                <w:szCs w:val="24"/>
                <w:lang w:eastAsia="it-IT"/>
              </w:rPr>
              <w:t>Year</w:t>
            </w:r>
          </w:p>
        </w:tc>
        <w:tc>
          <w:tcPr>
            <w:tcW w:w="7742" w:type="dxa"/>
            <w:tcBorders>
              <w:top w:val="single" w:sz="4" w:space="0" w:color="auto"/>
              <w:bottom w:val="single" w:sz="4" w:space="0" w:color="auto"/>
            </w:tcBorders>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b/>
                <w:bCs/>
                <w:sz w:val="24"/>
                <w:szCs w:val="24"/>
                <w:lang w:eastAsia="it-IT"/>
              </w:rPr>
            </w:pPr>
            <w:r w:rsidRPr="001326F0">
              <w:rPr>
                <w:rFonts w:ascii="Book Antiqua" w:eastAsia="Times New Roman" w:hAnsi="Book Antiqua" w:cs="Times New Roman"/>
                <w:b/>
                <w:bCs/>
                <w:sz w:val="24"/>
                <w:szCs w:val="24"/>
                <w:lang w:eastAsia="it-IT"/>
              </w:rPr>
              <w:t>Definition</w:t>
            </w:r>
          </w:p>
        </w:tc>
      </w:tr>
      <w:tr w:rsidR="001326F0" w:rsidRPr="001326F0" w:rsidTr="00D74C7F">
        <w:trPr>
          <w:trHeight w:val="330"/>
          <w:jc w:val="center"/>
        </w:trPr>
        <w:tc>
          <w:tcPr>
            <w:tcW w:w="11049" w:type="dxa"/>
            <w:gridSpan w:val="3"/>
            <w:tcBorders>
              <w:bottom w:val="single" w:sz="4" w:space="0" w:color="auto"/>
            </w:tcBorders>
            <w:shd w:val="pct15" w:color="auto" w:fill="auto"/>
            <w:noWrap/>
            <w:hideMark/>
          </w:tcPr>
          <w:p w:rsidR="00B070CF" w:rsidRPr="001326F0" w:rsidRDefault="00B070CF" w:rsidP="00E91F7F">
            <w:pPr>
              <w:adjustRightInd w:val="0"/>
              <w:snapToGrid w:val="0"/>
              <w:spacing w:line="360" w:lineRule="auto"/>
              <w:rPr>
                <w:rFonts w:ascii="Book Antiqua" w:eastAsia="Times New Roman" w:hAnsi="Book Antiqua" w:cs="Times New Roman"/>
                <w:b/>
                <w:bCs/>
                <w:sz w:val="24"/>
                <w:szCs w:val="24"/>
                <w:lang w:eastAsia="it-IT"/>
              </w:rPr>
            </w:pPr>
            <w:r w:rsidRPr="001326F0">
              <w:rPr>
                <w:rFonts w:ascii="Book Antiqua" w:eastAsia="Times New Roman" w:hAnsi="Book Antiqua" w:cs="Times New Roman"/>
                <w:b/>
                <w:bCs/>
                <w:sz w:val="24"/>
                <w:szCs w:val="24"/>
                <w:lang w:eastAsia="it-IT"/>
              </w:rPr>
              <w:t>N</w:t>
            </w:r>
            <w:r w:rsidR="00D74C7F" w:rsidRPr="001326F0">
              <w:rPr>
                <w:rFonts w:ascii="Book Antiqua" w:eastAsia="Times New Roman" w:hAnsi="Book Antiqua" w:cs="Times New Roman"/>
                <w:b/>
                <w:bCs/>
                <w:sz w:val="24"/>
                <w:szCs w:val="24"/>
                <w:lang w:eastAsia="it-IT"/>
              </w:rPr>
              <w:t>ormal weight obesity -</w:t>
            </w:r>
            <w:r w:rsidRPr="001326F0">
              <w:rPr>
                <w:rFonts w:ascii="Book Antiqua" w:eastAsia="Times New Roman" w:hAnsi="Book Antiqua" w:cs="Times New Roman"/>
                <w:b/>
                <w:bCs/>
                <w:sz w:val="24"/>
                <w:szCs w:val="24"/>
                <w:lang w:eastAsia="it-IT"/>
              </w:rPr>
              <w:t xml:space="preserve"> NWO</w:t>
            </w:r>
          </w:p>
        </w:tc>
      </w:tr>
      <w:tr w:rsidR="001326F0" w:rsidRPr="001326F0" w:rsidTr="00D74C7F">
        <w:trPr>
          <w:trHeight w:val="897"/>
          <w:jc w:val="center"/>
        </w:trPr>
        <w:tc>
          <w:tcPr>
            <w:tcW w:w="2456" w:type="dxa"/>
            <w:tcBorders>
              <w:top w:val="single" w:sz="4" w:space="0" w:color="auto"/>
            </w:tcBorders>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De Lorenzo </w:t>
            </w:r>
            <w:r w:rsidR="005821C0" w:rsidRPr="001326F0">
              <w:rPr>
                <w:rFonts w:ascii="Book Antiqua" w:eastAsia="Times New Roman" w:hAnsi="Book Antiqua" w:cs="Times New Roman"/>
                <w:i/>
                <w:sz w:val="24"/>
                <w:szCs w:val="24"/>
                <w:lang w:val="en-US" w:eastAsia="it-IT"/>
              </w:rPr>
              <w:t>et al</w:t>
            </w:r>
            <w:r w:rsidRPr="001326F0">
              <w:rPr>
                <w:rFonts w:ascii="Book Antiqua" w:eastAsia="Times New Roman" w:hAnsi="Book Antiqua" w:cs="Times New Roman"/>
                <w:sz w:val="24"/>
                <w:szCs w:val="24"/>
                <w:vertAlign w:val="superscript"/>
                <w:lang w:val="en-US" w:eastAsia="it-IT"/>
              </w:rPr>
              <w:t>[141]</w:t>
            </w:r>
          </w:p>
        </w:tc>
        <w:tc>
          <w:tcPr>
            <w:tcW w:w="851" w:type="dxa"/>
            <w:tcBorders>
              <w:top w:val="single" w:sz="4" w:space="0" w:color="auto"/>
            </w:tcBorders>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2005</w:t>
            </w:r>
          </w:p>
        </w:tc>
        <w:tc>
          <w:tcPr>
            <w:tcW w:w="7742" w:type="dxa"/>
            <w:tcBorders>
              <w:top w:val="single" w:sz="4" w:space="0" w:color="auto"/>
            </w:tcBorders>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val="en-US" w:eastAsia="it-IT"/>
              </w:rPr>
              <w:t xml:space="preserve">Normal weight (by BMI) + PBF &gt;30 (dual </w:t>
            </w:r>
            <w:r w:rsidR="00CC434E" w:rsidRPr="001326F0">
              <w:rPr>
                <w:rFonts w:ascii="Book Antiqua" w:eastAsia="Times New Roman" w:hAnsi="Book Antiqua" w:cs="Times New Roman"/>
                <w:sz w:val="24"/>
                <w:szCs w:val="24"/>
                <w:lang w:val="en-US" w:eastAsia="it-IT"/>
              </w:rPr>
              <w:t>X</w:t>
            </w:r>
            <w:r w:rsidRPr="001326F0">
              <w:rPr>
                <w:rFonts w:ascii="Book Antiqua" w:eastAsia="Times New Roman" w:hAnsi="Book Antiqua" w:cs="Times New Roman"/>
                <w:sz w:val="24"/>
                <w:szCs w:val="24"/>
                <w:lang w:val="en-US" w:eastAsia="it-IT"/>
              </w:rPr>
              <w:t>-ray</w:t>
            </w:r>
            <w:r w:rsidRPr="001326F0">
              <w:rPr>
                <w:rFonts w:ascii="Book Antiqua" w:eastAsia="Times New Roman" w:hAnsi="Book Antiqua" w:cs="Times New Roman"/>
                <w:sz w:val="24"/>
                <w:szCs w:val="24"/>
                <w:lang w:val="en-US" w:eastAsia="it-IT"/>
              </w:rPr>
              <w:br/>
              <w:t>absorptiometry) + ↓ lean body composition of the</w:t>
            </w:r>
            <w:r w:rsidRPr="001326F0">
              <w:rPr>
                <w:rFonts w:ascii="Book Antiqua" w:eastAsia="Times New Roman" w:hAnsi="Book Antiqua" w:cs="Times New Roman"/>
                <w:sz w:val="24"/>
                <w:szCs w:val="24"/>
                <w:lang w:val="en-US" w:eastAsia="it-IT"/>
              </w:rPr>
              <w:br/>
              <w:t>left leg. Do not have metab</w:t>
            </w:r>
            <w:r w:rsidRPr="001326F0">
              <w:rPr>
                <w:rFonts w:ascii="Book Antiqua" w:eastAsia="Times New Roman" w:hAnsi="Book Antiqua" w:cs="Times New Roman"/>
                <w:sz w:val="24"/>
                <w:szCs w:val="24"/>
                <w:lang w:eastAsia="it-IT"/>
              </w:rPr>
              <w:t>olic syndrome</w:t>
            </w:r>
          </w:p>
        </w:tc>
      </w:tr>
      <w:tr w:rsidR="001326F0" w:rsidRPr="001326F0" w:rsidTr="00D74C7F">
        <w:trPr>
          <w:trHeight w:val="73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Di Renzo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[162]</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2006</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NWO syndrome is characterized by wild type homozygotes genotypes regarding IL-15 R-</w:t>
            </w:r>
            <w:r w:rsidRPr="001326F0">
              <w:rPr>
                <w:rFonts w:ascii="Book Antiqua" w:eastAsia="Times New Roman" w:hAnsi="Book Antiqua" w:cs="Times New Roman"/>
                <w:sz w:val="24"/>
                <w:szCs w:val="24"/>
                <w:lang w:eastAsia="it-IT"/>
              </w:rPr>
              <w:t>α</w:t>
            </w:r>
            <w:r w:rsidRPr="001326F0">
              <w:rPr>
                <w:rFonts w:ascii="Book Antiqua" w:eastAsia="Times New Roman" w:hAnsi="Book Antiqua" w:cs="Times New Roman"/>
                <w:sz w:val="24"/>
                <w:szCs w:val="24"/>
                <w:lang w:val="en-US" w:eastAsia="it-IT"/>
              </w:rPr>
              <w:t xml:space="preserve"> and MTHFR 677C/T polymorphism.</w:t>
            </w:r>
          </w:p>
        </w:tc>
      </w:tr>
      <w:tr w:rsidR="001326F0" w:rsidRPr="001326F0" w:rsidTr="00D74C7F">
        <w:trPr>
          <w:trHeight w:val="696"/>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De Lorenzo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[147]</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2007</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concentrations of pro-inflammatory cytokines (IL)-1α, IL-1β, IL-6, IL-8, TNF-α in NWO respect to non obese group</w:t>
            </w:r>
          </w:p>
        </w:tc>
      </w:tr>
      <w:tr w:rsidR="001326F0" w:rsidRPr="001326F0" w:rsidTr="00D74C7F">
        <w:trPr>
          <w:trHeight w:val="812"/>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Di Renzo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[160]</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2007</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The allele 2 (A2) of IL-1 receptor antagonist (Ra) in</w:t>
            </w:r>
            <w:r w:rsidRPr="001326F0">
              <w:rPr>
                <w:rFonts w:ascii="Book Antiqua" w:eastAsia="Times New Roman" w:hAnsi="Book Antiqua" w:cs="Times New Roman"/>
                <w:sz w:val="24"/>
                <w:szCs w:val="24"/>
                <w:lang w:val="en-US" w:eastAsia="it-IT"/>
              </w:rPr>
              <w:br/>
              <w:t>NWO subjects was associated with ↑ of IL-1</w:t>
            </w:r>
            <w:r w:rsidRPr="001326F0">
              <w:rPr>
                <w:rFonts w:ascii="Book Antiqua" w:eastAsia="Times New Roman" w:hAnsi="Book Antiqua" w:cs="Times New Roman"/>
                <w:sz w:val="24"/>
                <w:szCs w:val="24"/>
                <w:lang w:eastAsia="it-IT"/>
              </w:rPr>
              <w:t>β</w:t>
            </w:r>
            <w:r w:rsidRPr="001326F0">
              <w:rPr>
                <w:rFonts w:ascii="Book Antiqua" w:eastAsia="Times New Roman" w:hAnsi="Book Antiqua" w:cs="Times New Roman"/>
                <w:sz w:val="24"/>
                <w:szCs w:val="24"/>
                <w:lang w:val="en-US" w:eastAsia="it-IT"/>
              </w:rPr>
              <w:t xml:space="preserve"> plasma amount</w:t>
            </w:r>
          </w:p>
        </w:tc>
      </w:tr>
      <w:tr w:rsidR="001326F0" w:rsidRPr="001326F0" w:rsidTr="00D74C7F">
        <w:trPr>
          <w:trHeight w:val="740"/>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Marques-Vidal </w:t>
            </w:r>
            <w:r w:rsidR="005821C0" w:rsidRPr="001326F0">
              <w:rPr>
                <w:rFonts w:ascii="Book Antiqua" w:eastAsia="Times New Roman" w:hAnsi="Book Antiqua" w:cs="Times New Roman"/>
                <w:i/>
                <w:sz w:val="24"/>
                <w:szCs w:val="24"/>
                <w:lang w:eastAsia="it-IT"/>
              </w:rPr>
              <w:t>et al</w:t>
            </w:r>
            <w:r w:rsidR="00D74C7F" w:rsidRPr="001326F0">
              <w:rPr>
                <w:rFonts w:ascii="Book Antiqua" w:eastAsia="Times New Roman" w:hAnsi="Book Antiqua" w:cs="Times New Roman"/>
                <w:sz w:val="24"/>
                <w:szCs w:val="24"/>
                <w:vertAlign w:val="superscript"/>
                <w:lang w:val="en-US" w:eastAsia="it-IT"/>
              </w:rPr>
              <w:t>[151]</w:t>
            </w:r>
            <w:r w:rsidRPr="001326F0">
              <w:rPr>
                <w:rFonts w:ascii="Book Antiqua" w:eastAsia="Times New Roman" w:hAnsi="Book Antiqua" w:cs="Times New Roman"/>
                <w:sz w:val="24"/>
                <w:szCs w:val="24"/>
                <w:lang w:eastAsia="it-IT"/>
              </w:rPr>
              <w:t xml:space="preserve"> </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2008</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Normal weight (by BMI) + ↑PBF (Bioelectrical impedance) or fat mass index</w:t>
            </w:r>
            <w:r w:rsidR="004E769D" w:rsidRPr="001326F0">
              <w:rPr>
                <w:rFonts w:ascii="Book Antiqua" w:eastAsia="Times New Roman" w:hAnsi="Book Antiqua" w:cs="Times New Roman"/>
                <w:sz w:val="24"/>
                <w:szCs w:val="24"/>
                <w:lang w:val="en-US" w:eastAsia="it-IT"/>
              </w:rPr>
              <w:t xml:space="preserve"> </w:t>
            </w:r>
            <w:r w:rsidR="00EF3F4D"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8.3 kg/m</w:t>
            </w:r>
            <w:r w:rsidRPr="001326F0">
              <w:rPr>
                <w:rFonts w:ascii="Book Antiqua" w:eastAsia="Times New Roman" w:hAnsi="Book Antiqua" w:cs="Times New Roman"/>
                <w:sz w:val="24"/>
                <w:szCs w:val="24"/>
                <w:vertAlign w:val="superscript"/>
                <w:lang w:val="en-US" w:eastAsia="it-IT"/>
              </w:rPr>
              <w:t>2</w:t>
            </w:r>
            <w:r w:rsidRPr="001326F0">
              <w:rPr>
                <w:rFonts w:ascii="Book Antiqua" w:eastAsia="Times New Roman" w:hAnsi="Book Antiqua" w:cs="Times New Roman"/>
                <w:sz w:val="24"/>
                <w:szCs w:val="24"/>
                <w:lang w:val="en-US" w:eastAsia="it-IT"/>
              </w:rPr>
              <w:t xml:space="preserve"> (men) or</w:t>
            </w:r>
            <w:r w:rsidR="004E769D" w:rsidRPr="001326F0">
              <w:rPr>
                <w:rFonts w:ascii="Book Antiqua" w:eastAsia="Times New Roman" w:hAnsi="Book Antiqua" w:cs="Times New Roman"/>
                <w:sz w:val="24"/>
                <w:szCs w:val="24"/>
                <w:lang w:val="en-US" w:eastAsia="it-IT"/>
              </w:rPr>
              <w:t xml:space="preserve"> </w:t>
            </w:r>
            <w:r w:rsidR="00EF3F4D"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11.8 kg/m</w:t>
            </w:r>
            <w:r w:rsidRPr="001326F0">
              <w:rPr>
                <w:rFonts w:ascii="Book Antiqua" w:eastAsia="Times New Roman" w:hAnsi="Book Antiqua" w:cs="Times New Roman"/>
                <w:sz w:val="24"/>
                <w:szCs w:val="24"/>
                <w:vertAlign w:val="superscript"/>
                <w:lang w:val="en-US" w:eastAsia="it-IT"/>
              </w:rPr>
              <w:t>2</w:t>
            </w:r>
            <w:r w:rsidRPr="001326F0">
              <w:rPr>
                <w:rFonts w:ascii="Book Antiqua" w:eastAsia="Times New Roman" w:hAnsi="Book Antiqua" w:cs="Times New Roman"/>
                <w:sz w:val="24"/>
                <w:szCs w:val="24"/>
                <w:lang w:val="en-US" w:eastAsia="it-IT"/>
              </w:rPr>
              <w:t xml:space="preserve"> (women)</w:t>
            </w:r>
          </w:p>
        </w:tc>
      </w:tr>
      <w:tr w:rsidR="001326F0" w:rsidRPr="001326F0" w:rsidTr="00D74C7F">
        <w:trPr>
          <w:trHeight w:val="1264"/>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Di Renzo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[161]</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2008</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Genotyping of -175 G/C IL-6 polymorphism: in G/G</w:t>
            </w:r>
            <w:r w:rsidR="00D74C7F"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the serum IL-6 level of NWO (10.70±2.52 pg/ml) and obese (10.67±1.09 pg/ml) was significantly higher</w:t>
            </w:r>
            <w:r w:rsidR="00D74C7F"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compared with NWL women (5.54±1.51 pg/ml). Positive correlation between PBF and plasma IL-6</w:t>
            </w:r>
            <w:r w:rsidR="00D74C7F"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and between HOMA-IR and plasma IL-6</w:t>
            </w:r>
            <w:r w:rsidR="00D74C7F"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only in NWO e obese G/G carrier</w:t>
            </w:r>
          </w:p>
        </w:tc>
      </w:tr>
      <w:tr w:rsidR="001326F0" w:rsidRPr="001326F0" w:rsidTr="00D74C7F">
        <w:trPr>
          <w:trHeight w:val="1104"/>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Marques-Vidal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[149]</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2010</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 blood pressure, ↑ lipid levels and ↑ prevalence of dyslipidaemia </w:t>
            </w:r>
            <w:r w:rsidR="000D2616" w:rsidRPr="001326F0">
              <w:rPr>
                <w:rFonts w:ascii="Book Antiqua" w:hAnsi="Book Antiqua" w:cs="Times New Roman" w:hint="eastAsia"/>
                <w:sz w:val="24"/>
                <w:szCs w:val="24"/>
                <w:lang w:val="en-US" w:eastAsia="zh-CN"/>
              </w:rPr>
              <w:t>[</w:t>
            </w:r>
            <w:r w:rsidRPr="001326F0">
              <w:rPr>
                <w:rFonts w:ascii="Book Antiqua" w:eastAsia="Times New Roman" w:hAnsi="Book Antiqua" w:cs="Times New Roman"/>
                <w:sz w:val="24"/>
                <w:szCs w:val="24"/>
                <w:lang w:val="en-US" w:eastAsia="it-IT"/>
              </w:rPr>
              <w:t>odds-ratio</w:t>
            </w:r>
            <w:r w:rsidR="000D2616" w:rsidRPr="001326F0">
              <w:rPr>
                <w:rFonts w:ascii="Book Antiqua" w:eastAsia="Times New Roman" w:hAnsi="Book Antiqua" w:cs="Times New Roman"/>
                <w:sz w:val="24"/>
                <w:szCs w:val="24"/>
                <w:lang w:val="en-US" w:eastAsia="it-IT"/>
              </w:rPr>
              <w:t xml:space="preserve"> = 1.90 </w:t>
            </w:r>
            <w:r w:rsidR="000D2616" w:rsidRPr="001326F0">
              <w:rPr>
                <w:rFonts w:ascii="Book Antiqua" w:hAnsi="Book Antiqua" w:cs="Times New Roman" w:hint="eastAsia"/>
                <w:sz w:val="24"/>
                <w:szCs w:val="24"/>
                <w:lang w:val="en-US" w:eastAsia="zh-CN"/>
              </w:rPr>
              <w:t>(</w:t>
            </w:r>
            <w:r w:rsidR="000D2616" w:rsidRPr="001326F0">
              <w:rPr>
                <w:rFonts w:ascii="Book Antiqua" w:eastAsia="Times New Roman" w:hAnsi="Book Antiqua" w:cs="Times New Roman"/>
                <w:sz w:val="24"/>
                <w:szCs w:val="24"/>
                <w:lang w:val="en-US" w:eastAsia="it-IT"/>
              </w:rPr>
              <w:t>1.34-2.68</w:t>
            </w:r>
            <w:r w:rsidR="000D2616" w:rsidRPr="001326F0">
              <w:rPr>
                <w:rFonts w:ascii="Book Antiqua" w:hAnsi="Book Antiqua" w:cs="Times New Roman" w:hint="eastAsia"/>
                <w:sz w:val="24"/>
                <w:szCs w:val="24"/>
                <w:lang w:val="en-US" w:eastAsia="zh-CN"/>
              </w:rPr>
              <w:t>)</w:t>
            </w:r>
            <w:r w:rsidR="000D2616" w:rsidRPr="001326F0">
              <w:rPr>
                <w:rFonts w:ascii="Book Antiqua" w:eastAsia="Times New Roman" w:hAnsi="Book Antiqua" w:cs="Times New Roman"/>
                <w:sz w:val="24"/>
                <w:szCs w:val="24"/>
                <w:lang w:val="en-US" w:eastAsia="it-IT"/>
              </w:rPr>
              <w:t>]</w:t>
            </w:r>
            <w:r w:rsidRPr="001326F0">
              <w:rPr>
                <w:rFonts w:ascii="Book Antiqua" w:eastAsia="Times New Roman" w:hAnsi="Book Antiqua" w:cs="Times New Roman"/>
                <w:sz w:val="24"/>
                <w:szCs w:val="24"/>
                <w:lang w:val="en-US" w:eastAsia="it-IT"/>
              </w:rPr>
              <w:t xml:space="preserve"> and fasting hyperglycaemia </w:t>
            </w:r>
            <w:r w:rsidR="000D2616" w:rsidRPr="001326F0">
              <w:rPr>
                <w:rFonts w:ascii="Book Antiqua" w:hAnsi="Book Antiqua" w:cs="Times New Roman" w:hint="eastAsia"/>
                <w:sz w:val="24"/>
                <w:szCs w:val="24"/>
                <w:lang w:val="en-US" w:eastAsia="zh-CN"/>
              </w:rPr>
              <w:t>[</w:t>
            </w:r>
            <w:r w:rsidRPr="001326F0">
              <w:rPr>
                <w:rFonts w:ascii="Book Antiqua" w:eastAsia="Times New Roman" w:hAnsi="Book Antiqua" w:cs="Times New Roman"/>
                <w:sz w:val="24"/>
                <w:szCs w:val="24"/>
                <w:lang w:val="en-US" w:eastAsia="it-IT"/>
              </w:rPr>
              <w:t>odds-ratio</w:t>
            </w:r>
            <w:r w:rsidR="000D2616" w:rsidRPr="001326F0">
              <w:rPr>
                <w:rFonts w:ascii="Book Antiqua" w:eastAsia="Times New Roman" w:hAnsi="Book Antiqua" w:cs="Times New Roman"/>
                <w:sz w:val="24"/>
                <w:szCs w:val="24"/>
                <w:lang w:val="en-US" w:eastAsia="it-IT"/>
              </w:rPr>
              <w:t xml:space="preserve"> = 1.63 </w:t>
            </w:r>
            <w:r w:rsidR="000D2616" w:rsidRPr="001326F0">
              <w:rPr>
                <w:rFonts w:ascii="Book Antiqua" w:hAnsi="Book Antiqua" w:cs="Times New Roman" w:hint="eastAsia"/>
                <w:sz w:val="24"/>
                <w:szCs w:val="24"/>
                <w:lang w:val="en-US" w:eastAsia="zh-CN"/>
              </w:rPr>
              <w:t>(</w:t>
            </w:r>
            <w:r w:rsidR="000D2616" w:rsidRPr="001326F0">
              <w:rPr>
                <w:rFonts w:ascii="Book Antiqua" w:eastAsia="Times New Roman" w:hAnsi="Book Antiqua" w:cs="Times New Roman"/>
                <w:sz w:val="24"/>
                <w:szCs w:val="24"/>
                <w:lang w:val="en-US" w:eastAsia="it-IT"/>
              </w:rPr>
              <w:t>1.10-2.42</w:t>
            </w:r>
            <w:r w:rsidR="000D2616" w:rsidRPr="001326F0">
              <w:rPr>
                <w:rFonts w:ascii="Book Antiqua" w:hAnsi="Book Antiqua" w:cs="Times New Roman" w:hint="eastAsia"/>
                <w:sz w:val="24"/>
                <w:szCs w:val="24"/>
                <w:lang w:val="en-US" w:eastAsia="zh-CN"/>
              </w:rPr>
              <w:t>)</w:t>
            </w:r>
            <w:r w:rsidR="000D2616" w:rsidRPr="001326F0">
              <w:rPr>
                <w:rFonts w:ascii="Book Antiqua" w:eastAsia="Times New Roman" w:hAnsi="Book Antiqua" w:cs="Times New Roman"/>
                <w:sz w:val="24"/>
                <w:szCs w:val="24"/>
                <w:lang w:val="en-US" w:eastAsia="it-IT"/>
              </w:rPr>
              <w:t>]</w:t>
            </w:r>
            <w:r w:rsidRPr="001326F0">
              <w:rPr>
                <w:rFonts w:ascii="Book Antiqua" w:eastAsia="Times New Roman" w:hAnsi="Book Antiqua" w:cs="Times New Roman"/>
                <w:sz w:val="24"/>
                <w:szCs w:val="24"/>
                <w:lang w:val="en-US" w:eastAsia="it-IT"/>
              </w:rPr>
              <w:t xml:space="preserve"> respect to lean women, whereas no differences were found between NWO and overweight women.</w:t>
            </w:r>
          </w:p>
        </w:tc>
      </w:tr>
      <w:tr w:rsidR="001326F0" w:rsidRPr="001326F0" w:rsidTr="00D74C7F">
        <w:trPr>
          <w:trHeight w:val="1650"/>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Di Renzo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[159]</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2010</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glutathione and nitric oxide metabolites were significantly lower in pre-obese-obese and NWO compared to normal weight individuals. Lipid peroxide leve</w:t>
            </w:r>
            <w:r w:rsidR="000D2616" w:rsidRPr="001326F0">
              <w:rPr>
                <w:rFonts w:ascii="Book Antiqua" w:eastAsia="Times New Roman" w:hAnsi="Book Antiqua" w:cs="Times New Roman"/>
                <w:sz w:val="24"/>
                <w:szCs w:val="24"/>
                <w:lang w:val="en-US" w:eastAsia="it-IT"/>
              </w:rPr>
              <w:t>ls negatively correlated to FFM</w:t>
            </w:r>
            <w:r w:rsidRPr="001326F0">
              <w:rPr>
                <w:rFonts w:ascii="Book Antiqua" w:eastAsia="Times New Roman" w:hAnsi="Book Antiqua" w:cs="Times New Roman"/>
                <w:sz w:val="24"/>
                <w:szCs w:val="24"/>
                <w:lang w:val="en-US" w:eastAsia="it-IT"/>
              </w:rPr>
              <w:t>% and positively correlated to PBF, IL-15, TNF-</w:t>
            </w:r>
            <w:r w:rsidRPr="001326F0">
              <w:rPr>
                <w:rFonts w:ascii="Book Antiqua" w:eastAsia="Times New Roman" w:hAnsi="Book Antiqua" w:cs="Times New Roman"/>
                <w:sz w:val="24"/>
                <w:szCs w:val="24"/>
                <w:lang w:eastAsia="it-IT"/>
              </w:rPr>
              <w:t>α</w:t>
            </w:r>
            <w:r w:rsidRPr="001326F0">
              <w:rPr>
                <w:rFonts w:ascii="Book Antiqua" w:eastAsia="Times New Roman" w:hAnsi="Book Antiqua" w:cs="Times New Roman"/>
                <w:sz w:val="24"/>
                <w:szCs w:val="24"/>
                <w:lang w:val="en-US" w:eastAsia="it-IT"/>
              </w:rPr>
              <w:t>, insulin, total cholesterol, LDL, and triglycerides</w:t>
            </w:r>
          </w:p>
        </w:tc>
      </w:tr>
      <w:tr w:rsidR="001326F0" w:rsidRPr="001326F0" w:rsidTr="00D74C7F">
        <w:trPr>
          <w:trHeight w:val="1365"/>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Romero-Corral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[157]</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2010</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NWO not manifest the metabolic syndrome, despite a cluster of metabolic and genetic features such as the higher prevalence of dyslipidemia, hypertension (men), CVD (women), and a 2.2- fold </w:t>
            </w:r>
            <w:r w:rsidRPr="001326F0">
              <w:rPr>
                <w:rFonts w:ascii="Book Antiqua" w:eastAsia="Times New Roman" w:hAnsi="Book Antiqua" w:cs="Times New Roman"/>
                <w:sz w:val="24"/>
                <w:szCs w:val="24"/>
                <w:lang w:val="en-US" w:eastAsia="it-IT"/>
              </w:rPr>
              <w:lastRenderedPageBreak/>
              <w:t>increased risk of CVD mortality (women) compared with those with low PBF</w:t>
            </w:r>
          </w:p>
        </w:tc>
      </w:tr>
      <w:tr w:rsidR="001326F0" w:rsidRPr="001326F0" w:rsidTr="00D74C7F">
        <w:trPr>
          <w:trHeight w:val="358"/>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lastRenderedPageBreak/>
              <w:t xml:space="preserve">Kim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[156]</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2013</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Normal weight (by BMI) + ↑ PBF</w:t>
            </w:r>
          </w:p>
        </w:tc>
      </w:tr>
      <w:tr w:rsidR="001326F0" w:rsidRPr="001326F0" w:rsidTr="00D74C7F">
        <w:trPr>
          <w:trHeight w:val="786"/>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Madeira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[155]</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2013</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Normal weight (by BMI &lt;</w:t>
            </w:r>
            <w:r w:rsidR="000D2616"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25) + Sum of triceps and</w:t>
            </w:r>
            <w:r w:rsidRPr="001326F0">
              <w:rPr>
                <w:rFonts w:ascii="Book Antiqua" w:eastAsia="Times New Roman" w:hAnsi="Book Antiqua" w:cs="Times New Roman"/>
                <w:sz w:val="24"/>
                <w:szCs w:val="24"/>
                <w:lang w:val="en-US" w:eastAsia="it-IT"/>
              </w:rPr>
              <w:br/>
              <w:t>subscapular skinfolds &gt;</w:t>
            </w:r>
            <w:r w:rsidR="00875A33"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90</w:t>
            </w:r>
            <w:r w:rsidRPr="001326F0">
              <w:rPr>
                <w:rFonts w:ascii="Book Antiqua" w:eastAsia="Times New Roman" w:hAnsi="Book Antiqua" w:cs="Times New Roman"/>
                <w:sz w:val="24"/>
                <w:szCs w:val="24"/>
                <w:vertAlign w:val="superscript"/>
                <w:lang w:val="en-US" w:eastAsia="it-IT"/>
              </w:rPr>
              <w:t>th</w:t>
            </w:r>
            <w:r w:rsidRPr="001326F0">
              <w:rPr>
                <w:rFonts w:ascii="Book Antiqua" w:eastAsia="Times New Roman" w:hAnsi="Book Antiqua" w:cs="Times New Roman"/>
                <w:sz w:val="24"/>
                <w:szCs w:val="24"/>
                <w:lang w:val="en-US" w:eastAsia="it-IT"/>
              </w:rPr>
              <w:t xml:space="preserve"> percentiles.</w:t>
            </w:r>
          </w:p>
        </w:tc>
      </w:tr>
      <w:tr w:rsidR="001326F0" w:rsidRPr="001326F0" w:rsidTr="00D74C7F">
        <w:trPr>
          <w:trHeight w:val="636"/>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Di Renzo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[164]</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2013</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G/A −308 TNF-α polymorphism contributes to sarcopenic obesity susceptibility in NWO.</w:t>
            </w:r>
          </w:p>
        </w:tc>
      </w:tr>
      <w:tr w:rsidR="001326F0" w:rsidRPr="001326F0" w:rsidTr="00D74C7F">
        <w:trPr>
          <w:trHeight w:val="796"/>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Di Renzo </w:t>
            </w:r>
            <w:r w:rsidR="005821C0"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[165]</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2014</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TP53 codon 72 in exon 4 polymorphism was associated to the reduction of appendicular skeletal muscle mass index in NWO, leading to increase of sarcopenia risk</w:t>
            </w:r>
          </w:p>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p>
        </w:tc>
      </w:tr>
      <w:tr w:rsidR="001326F0" w:rsidRPr="001326F0" w:rsidTr="00D74C7F">
        <w:trPr>
          <w:trHeight w:val="695"/>
          <w:jc w:val="center"/>
        </w:trPr>
        <w:tc>
          <w:tcPr>
            <w:tcW w:w="2456" w:type="dxa"/>
            <w:noWrap/>
            <w:hideMark/>
          </w:tcPr>
          <w:p w:rsidR="00B070CF" w:rsidRPr="001326F0" w:rsidRDefault="00767107" w:rsidP="000D2616">
            <w:pPr>
              <w:adjustRightInd w:val="0"/>
              <w:snapToGrid w:val="0"/>
              <w:spacing w:line="360" w:lineRule="auto"/>
              <w:rPr>
                <w:rFonts w:ascii="Book Antiqua" w:eastAsia="Times New Roman" w:hAnsi="Book Antiqua" w:cs="Times New Roman"/>
                <w:sz w:val="24"/>
                <w:szCs w:val="24"/>
                <w:lang w:eastAsia="it-IT"/>
              </w:rPr>
            </w:pPr>
            <w:hyperlink r:id="rId13" w:history="1">
              <w:r w:rsidR="00B070CF" w:rsidRPr="001326F0">
                <w:rPr>
                  <w:rFonts w:ascii="Book Antiqua" w:eastAsia="Times New Roman" w:hAnsi="Book Antiqua" w:cs="Times New Roman"/>
                  <w:sz w:val="24"/>
                  <w:szCs w:val="24"/>
                  <w:lang w:eastAsia="it-IT"/>
                </w:rPr>
                <w:t xml:space="preserve">Oliveros </w:t>
              </w:r>
              <w:r w:rsidR="00D74C7F" w:rsidRPr="001326F0">
                <w:rPr>
                  <w:rFonts w:ascii="Book Antiqua" w:eastAsia="Times New Roman" w:hAnsi="Book Antiqua" w:cs="Times New Roman"/>
                  <w:i/>
                  <w:sz w:val="24"/>
                  <w:szCs w:val="24"/>
                  <w:lang w:eastAsia="it-IT"/>
                </w:rPr>
                <w:t>et al</w:t>
              </w:r>
            </w:hyperlink>
            <w:r w:rsidR="00B070CF" w:rsidRPr="001326F0">
              <w:rPr>
                <w:rFonts w:ascii="Book Antiqua" w:eastAsia="Times New Roman" w:hAnsi="Book Antiqua" w:cs="Times New Roman"/>
                <w:sz w:val="24"/>
                <w:szCs w:val="24"/>
                <w:vertAlign w:val="superscript"/>
                <w:lang w:val="en-US" w:eastAsia="it-IT"/>
              </w:rPr>
              <w:t>[146]</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2014</w:t>
            </w:r>
          </w:p>
        </w:tc>
        <w:tc>
          <w:tcPr>
            <w:tcW w:w="7742" w:type="dxa"/>
            <w:hideMark/>
          </w:tcPr>
          <w:p w:rsidR="00B070CF" w:rsidRPr="001326F0" w:rsidRDefault="000D2616"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Normal BMI</w:t>
            </w:r>
            <w:r w:rsidR="00B070CF" w:rsidRPr="001326F0">
              <w:rPr>
                <w:rFonts w:ascii="Book Antiqua" w:eastAsia="Times New Roman" w:hAnsi="Book Antiqua" w:cs="Times New Roman"/>
                <w:sz w:val="24"/>
                <w:szCs w:val="24"/>
                <w:lang w:val="en-US" w:eastAsia="it-IT"/>
              </w:rPr>
              <w:t>, ↑ PBF content and at increased risk for metabolic dysregulation, systemic inflammation and mortality.</w:t>
            </w:r>
            <w:r w:rsidR="00B070CF" w:rsidRPr="001326F0">
              <w:rPr>
                <w:rFonts w:ascii="Book Antiqua" w:eastAsia="Times New Roman" w:hAnsi="Book Antiqua" w:cs="Times New Roman"/>
                <w:sz w:val="24"/>
                <w:szCs w:val="24"/>
                <w:lang w:val="en-US" w:eastAsia="it-IT"/>
              </w:rPr>
              <w:br/>
            </w:r>
          </w:p>
        </w:tc>
      </w:tr>
      <w:tr w:rsidR="001326F0" w:rsidRPr="001326F0" w:rsidTr="00D74C7F">
        <w:trPr>
          <w:trHeight w:val="96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Jean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[158]</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2014</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Highlight the importance of PBF correct assessment and </w:t>
            </w:r>
            <w:r w:rsidRPr="001326F0">
              <w:rPr>
                <w:rFonts w:ascii="Book Antiqua" w:eastAsia="Times New Roman" w:hAnsi="Book Antiqua" w:cs="Times New Roman"/>
                <w:sz w:val="24"/>
                <w:szCs w:val="24"/>
                <w:lang w:val="en-US" w:eastAsia="it-IT"/>
              </w:rPr>
              <w:br/>
              <w:t xml:space="preserve">body fat distribution in the clinical setting to identify </w:t>
            </w:r>
            <w:r w:rsidRPr="001326F0">
              <w:rPr>
                <w:rFonts w:ascii="Book Antiqua" w:eastAsia="Times New Roman" w:hAnsi="Book Antiqua" w:cs="Times New Roman"/>
                <w:sz w:val="24"/>
                <w:szCs w:val="24"/>
                <w:lang w:val="en-US" w:eastAsia="it-IT"/>
              </w:rPr>
              <w:br/>
              <w:t>NWO phenotype.</w:t>
            </w:r>
          </w:p>
        </w:tc>
      </w:tr>
      <w:tr w:rsidR="001326F0" w:rsidRPr="001326F0" w:rsidTr="00D74C7F">
        <w:trPr>
          <w:trHeight w:val="378"/>
          <w:jc w:val="center"/>
        </w:trPr>
        <w:tc>
          <w:tcPr>
            <w:tcW w:w="11049" w:type="dxa"/>
            <w:gridSpan w:val="3"/>
            <w:shd w:val="pct15" w:color="auto" w:fill="auto"/>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b/>
                <w:bCs/>
                <w:sz w:val="24"/>
                <w:szCs w:val="24"/>
                <w:lang w:eastAsia="it-IT"/>
              </w:rPr>
              <w:t>M</w:t>
            </w:r>
            <w:r w:rsidR="000D2616" w:rsidRPr="001326F0">
              <w:rPr>
                <w:rFonts w:ascii="Book Antiqua" w:eastAsia="Times New Roman" w:hAnsi="Book Antiqua" w:cs="Times New Roman"/>
                <w:b/>
                <w:bCs/>
                <w:sz w:val="24"/>
                <w:szCs w:val="24"/>
                <w:lang w:eastAsia="it-IT"/>
              </w:rPr>
              <w:t xml:space="preserve">etabolically healty obese </w:t>
            </w:r>
            <w:r w:rsidRPr="001326F0">
              <w:rPr>
                <w:rFonts w:ascii="Book Antiqua" w:eastAsia="Times New Roman" w:hAnsi="Book Antiqua" w:cs="Times New Roman"/>
                <w:b/>
                <w:bCs/>
                <w:sz w:val="24"/>
                <w:szCs w:val="24"/>
                <w:lang w:eastAsia="it-IT"/>
              </w:rPr>
              <w:t>- MHO</w:t>
            </w:r>
          </w:p>
        </w:tc>
      </w:tr>
      <w:tr w:rsidR="001326F0" w:rsidRPr="001326F0" w:rsidTr="00D74C7F">
        <w:trPr>
          <w:trHeight w:val="790"/>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Bonora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[178]</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1998</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Subgroup of obese individuals with a normal metabolic response</w:t>
            </w:r>
          </w:p>
        </w:tc>
      </w:tr>
      <w:tr w:rsidR="001326F0" w:rsidRPr="001326F0" w:rsidTr="00D74C7F">
        <w:trPr>
          <w:trHeight w:val="790"/>
          <w:jc w:val="center"/>
        </w:trPr>
        <w:tc>
          <w:tcPr>
            <w:tcW w:w="2456" w:type="dxa"/>
            <w:noWrap/>
            <w:hideMark/>
          </w:tcPr>
          <w:p w:rsidR="00B070CF" w:rsidRPr="001326F0" w:rsidRDefault="000D2616"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Sims</w:t>
            </w:r>
            <w:r w:rsidR="00B070CF" w:rsidRPr="001326F0">
              <w:rPr>
                <w:rFonts w:ascii="Book Antiqua" w:eastAsia="Times New Roman" w:hAnsi="Book Antiqua" w:cs="Times New Roman"/>
                <w:sz w:val="24"/>
                <w:szCs w:val="24"/>
                <w:vertAlign w:val="superscript"/>
                <w:lang w:val="en-US" w:eastAsia="it-IT"/>
              </w:rPr>
              <w:t>[179]</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2001</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The MHO subset include family members</w:t>
            </w:r>
          </w:p>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with uncomplicated obesity, early onset of the obesity, fasting plasma insulin within normal range, and normal</w:t>
            </w:r>
          </w:p>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distribution of the excess fat.</w:t>
            </w:r>
          </w:p>
        </w:tc>
      </w:tr>
      <w:tr w:rsidR="001326F0" w:rsidRPr="001326F0" w:rsidTr="00D74C7F">
        <w:trPr>
          <w:trHeight w:val="790"/>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Karelis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[190]</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2004</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Fat mass + Normal Metabolic profile +</w:t>
            </w:r>
            <w:r w:rsidRPr="001326F0">
              <w:rPr>
                <w:rFonts w:ascii="Book Antiqua" w:eastAsia="Times New Roman" w:hAnsi="Book Antiqua" w:cs="Times New Roman"/>
                <w:sz w:val="24"/>
                <w:szCs w:val="24"/>
                <w:lang w:val="en-US" w:eastAsia="it-IT"/>
              </w:rPr>
              <w:br/>
              <w:t>↑insulin sensitivity</w:t>
            </w:r>
          </w:p>
        </w:tc>
      </w:tr>
      <w:tr w:rsidR="001326F0" w:rsidRPr="001326F0" w:rsidTr="00D74C7F">
        <w:trPr>
          <w:trHeight w:val="1162"/>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Karelis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[143]</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2005</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Favorable inflammation profile: ↓ hsCRP, ↓ </w:t>
            </w:r>
            <w:r w:rsidRPr="001326F0">
              <w:rPr>
                <w:rFonts w:ascii="Book Antiqua" w:eastAsia="Times New Roman" w:hAnsi="Book Antiqua" w:cs="Times New Roman"/>
                <w:sz w:val="24"/>
                <w:szCs w:val="24"/>
                <w:lang w:eastAsia="it-IT"/>
              </w:rPr>
              <w:t>α</w:t>
            </w:r>
            <w:r w:rsidRPr="001326F0">
              <w:rPr>
                <w:rFonts w:ascii="Book Antiqua" w:eastAsia="Times New Roman" w:hAnsi="Book Antiqua" w:cs="Times New Roman"/>
                <w:sz w:val="24"/>
                <w:szCs w:val="24"/>
                <w:lang w:val="en-US" w:eastAsia="it-IT"/>
              </w:rPr>
              <w:t>-1 antitrypsin levels compared with insulin-resistant women, suggesting that lower inflammation state could play a role in the protection of this phenotype</w:t>
            </w:r>
          </w:p>
        </w:tc>
      </w:tr>
      <w:tr w:rsidR="001326F0" w:rsidRPr="001326F0" w:rsidTr="00D74C7F">
        <w:trPr>
          <w:trHeight w:val="85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lastRenderedPageBreak/>
              <w:t xml:space="preserve">Succurro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[171]</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2008</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Respect to MONW, MHO have a healthier metabolic risk profile and ↑ disposition index (insulin sensitivity x insulin secretion)</w:t>
            </w:r>
          </w:p>
        </w:tc>
      </w:tr>
      <w:tr w:rsidR="001326F0" w:rsidRPr="001326F0" w:rsidTr="00D74C7F">
        <w:trPr>
          <w:trHeight w:val="822"/>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Wildman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[50]</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2008</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In NHANES sample, it was found a prevalence of 32% among obese adults over the age of 20.</w:t>
            </w:r>
          </w:p>
        </w:tc>
      </w:tr>
      <w:tr w:rsidR="001326F0" w:rsidRPr="001326F0" w:rsidTr="00D74C7F">
        <w:trPr>
          <w:trHeight w:val="928"/>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Amlov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[192]</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2010</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MHO individuals were at an increased risk of major CVD events as compared to MHNW individuals in follow-up periods (&gt;</w:t>
            </w:r>
            <w:r w:rsidR="000D2616"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15 years)</w:t>
            </w:r>
          </w:p>
        </w:tc>
      </w:tr>
      <w:tr w:rsidR="001326F0" w:rsidRPr="001326F0" w:rsidTr="00D74C7F">
        <w:trPr>
          <w:trHeight w:val="772"/>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Eshtiaghi </w:t>
            </w:r>
            <w:r w:rsidR="00D74C7F" w:rsidRPr="001326F0">
              <w:rPr>
                <w:rFonts w:ascii="Book Antiqua" w:eastAsia="Times New Roman" w:hAnsi="Book Antiqua" w:cs="Times New Roman"/>
                <w:i/>
                <w:sz w:val="24"/>
                <w:szCs w:val="24"/>
                <w:lang w:val="en-US" w:eastAsia="it-IT"/>
              </w:rPr>
              <w:t>et al</w:t>
            </w:r>
            <w:r w:rsidRPr="001326F0">
              <w:rPr>
                <w:rFonts w:ascii="Book Antiqua" w:eastAsia="Times New Roman" w:hAnsi="Book Antiqua" w:cs="Times New Roman"/>
                <w:sz w:val="24"/>
                <w:szCs w:val="24"/>
                <w:vertAlign w:val="superscript"/>
                <w:lang w:val="en-US" w:eastAsia="it-IT"/>
              </w:rPr>
              <w:t>[194]</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2014</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MHO phenotype over a 10 year period progressed to frank metabolic syndrome</w:t>
            </w:r>
          </w:p>
        </w:tc>
      </w:tr>
      <w:tr w:rsidR="001326F0" w:rsidRPr="001326F0" w:rsidTr="00D74C7F">
        <w:trPr>
          <w:trHeight w:val="772"/>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Achilike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[196]</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2015</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Among subjects classified as MHO at baseline, almost half (47.6%) of them progressed to metabolically unhealthy obese (MUO) within the 7.8-year follow-up period.</w:t>
            </w:r>
          </w:p>
        </w:tc>
      </w:tr>
      <w:tr w:rsidR="001326F0" w:rsidRPr="001326F0" w:rsidTr="00D74C7F">
        <w:trPr>
          <w:trHeight w:val="106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Shaharyar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[195]</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2015</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Both MHO individuals and MONW phenotypes were associated with ↑ high hsCRP, and hepatic steatosis</w:t>
            </w:r>
          </w:p>
        </w:tc>
      </w:tr>
      <w:tr w:rsidR="001326F0" w:rsidRPr="001326F0" w:rsidTr="00D74C7F">
        <w:trPr>
          <w:trHeight w:val="286"/>
          <w:jc w:val="center"/>
        </w:trPr>
        <w:tc>
          <w:tcPr>
            <w:tcW w:w="11049" w:type="dxa"/>
            <w:gridSpan w:val="3"/>
            <w:shd w:val="pct15" w:color="auto" w:fill="auto"/>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b/>
                <w:bCs/>
                <w:sz w:val="24"/>
                <w:szCs w:val="24"/>
                <w:lang w:val="en-US" w:eastAsia="it-IT"/>
              </w:rPr>
              <w:t>M</w:t>
            </w:r>
            <w:r w:rsidR="000D2616" w:rsidRPr="001326F0">
              <w:rPr>
                <w:rFonts w:ascii="Book Antiqua" w:eastAsia="Times New Roman" w:hAnsi="Book Antiqua" w:cs="Times New Roman"/>
                <w:b/>
                <w:bCs/>
                <w:sz w:val="24"/>
                <w:szCs w:val="24"/>
                <w:lang w:val="en-US" w:eastAsia="it-IT"/>
              </w:rPr>
              <w:t xml:space="preserve">etabolically obese but normal weight </w:t>
            </w:r>
            <w:r w:rsidRPr="001326F0">
              <w:rPr>
                <w:rFonts w:ascii="Book Antiqua" w:eastAsia="Times New Roman" w:hAnsi="Book Antiqua" w:cs="Times New Roman"/>
                <w:b/>
                <w:bCs/>
                <w:sz w:val="24"/>
                <w:szCs w:val="24"/>
                <w:lang w:val="en-US" w:eastAsia="it-IT"/>
              </w:rPr>
              <w:t>- MONW</w:t>
            </w:r>
          </w:p>
        </w:tc>
      </w:tr>
      <w:tr w:rsidR="001326F0" w:rsidRPr="001326F0" w:rsidTr="00D74C7F">
        <w:trPr>
          <w:trHeight w:val="840"/>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Ruderman </w:t>
            </w:r>
            <w:r w:rsidR="00D74C7F" w:rsidRPr="001326F0">
              <w:rPr>
                <w:rFonts w:ascii="Book Antiqua" w:eastAsia="Times New Roman" w:hAnsi="Book Antiqua" w:cs="Times New Roman"/>
                <w:i/>
                <w:sz w:val="24"/>
                <w:szCs w:val="24"/>
                <w:lang w:val="en-US" w:eastAsia="it-IT"/>
              </w:rPr>
              <w:t>et al</w:t>
            </w:r>
            <w:r w:rsidRPr="001326F0">
              <w:rPr>
                <w:rFonts w:ascii="Book Antiqua" w:eastAsia="Times New Roman" w:hAnsi="Book Antiqua" w:cs="Times New Roman"/>
                <w:sz w:val="24"/>
                <w:szCs w:val="24"/>
                <w:vertAlign w:val="superscript"/>
                <w:lang w:val="en-US" w:eastAsia="it-IT"/>
              </w:rPr>
              <w:t>[166]</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1981</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Subtle increase in adiposity and/or hyperinsulinism</w:t>
            </w:r>
            <w:r w:rsidRPr="001326F0">
              <w:rPr>
                <w:rFonts w:ascii="Book Antiqua" w:eastAsia="Times New Roman" w:hAnsi="Book Antiqua" w:cs="Times New Roman"/>
                <w:sz w:val="24"/>
                <w:szCs w:val="24"/>
                <w:lang w:val="en-US" w:eastAsia="it-IT"/>
              </w:rPr>
              <w:br/>
              <w:t>creating obese associated diseases in normal</w:t>
            </w:r>
            <w:r w:rsidRPr="001326F0">
              <w:rPr>
                <w:rFonts w:ascii="Book Antiqua" w:eastAsia="Times New Roman" w:hAnsi="Book Antiqua" w:cs="Times New Roman"/>
                <w:sz w:val="24"/>
                <w:szCs w:val="24"/>
                <w:lang w:val="en-US" w:eastAsia="it-IT"/>
              </w:rPr>
              <w:br/>
              <w:t>weight (by standard weight tables)</w:t>
            </w:r>
          </w:p>
        </w:tc>
      </w:tr>
      <w:tr w:rsidR="001326F0" w:rsidRPr="001326F0" w:rsidTr="00D74C7F">
        <w:trPr>
          <w:trHeight w:val="1005"/>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Ruderman </w:t>
            </w:r>
            <w:r w:rsidR="00D74C7F" w:rsidRPr="001326F0">
              <w:rPr>
                <w:rFonts w:ascii="Book Antiqua" w:eastAsia="Times New Roman" w:hAnsi="Book Antiqua" w:cs="Times New Roman"/>
                <w:i/>
                <w:sz w:val="24"/>
                <w:szCs w:val="24"/>
                <w:lang w:val="en-US" w:eastAsia="it-IT"/>
              </w:rPr>
              <w:t>et al</w:t>
            </w:r>
            <w:r w:rsidRPr="001326F0">
              <w:rPr>
                <w:rFonts w:ascii="Book Antiqua" w:eastAsia="Times New Roman" w:hAnsi="Book Antiqua" w:cs="Times New Roman"/>
                <w:sz w:val="24"/>
                <w:szCs w:val="24"/>
                <w:vertAlign w:val="superscript"/>
                <w:lang w:val="en-US" w:eastAsia="it-IT"/>
              </w:rPr>
              <w:t>[167]</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1998</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CHD, T2DM and other disorders associated with</w:t>
            </w:r>
            <w:r w:rsidRPr="001326F0">
              <w:rPr>
                <w:rFonts w:ascii="Book Antiqua" w:eastAsia="Times New Roman" w:hAnsi="Book Antiqua" w:cs="Times New Roman"/>
                <w:sz w:val="24"/>
                <w:szCs w:val="24"/>
                <w:lang w:val="en-US" w:eastAsia="it-IT"/>
              </w:rPr>
              <w:br/>
              <w:t>obesity + normal weight (&lt;</w:t>
            </w:r>
            <w:r w:rsidR="000D2616"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115% of ideal body</w:t>
            </w:r>
            <w:r w:rsidRPr="001326F0">
              <w:rPr>
                <w:rFonts w:ascii="Book Antiqua" w:eastAsia="Times New Roman" w:hAnsi="Book Antiqua" w:cs="Times New Roman"/>
                <w:sz w:val="24"/>
                <w:szCs w:val="24"/>
                <w:lang w:val="en-US" w:eastAsia="it-IT"/>
              </w:rPr>
              <w:br/>
              <w:t>weight or BMI &lt;</w:t>
            </w:r>
            <w:r w:rsidR="000D2616"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28 kg/m</w:t>
            </w:r>
            <w:r w:rsidRPr="001326F0">
              <w:rPr>
                <w:rFonts w:ascii="Book Antiqua" w:eastAsia="Times New Roman" w:hAnsi="Book Antiqua" w:cs="Times New Roman"/>
                <w:sz w:val="24"/>
                <w:szCs w:val="24"/>
                <w:vertAlign w:val="superscript"/>
                <w:lang w:val="en-US" w:eastAsia="it-IT"/>
              </w:rPr>
              <w:t>2</w:t>
            </w:r>
            <w:r w:rsidRPr="001326F0">
              <w:rPr>
                <w:rFonts w:ascii="Book Antiqua" w:eastAsia="Times New Roman" w:hAnsi="Book Antiqua" w:cs="Times New Roman"/>
                <w:sz w:val="24"/>
                <w:szCs w:val="24"/>
                <w:lang w:val="en-US" w:eastAsia="it-IT"/>
              </w:rPr>
              <w:t>)</w:t>
            </w:r>
          </w:p>
        </w:tc>
      </w:tr>
      <w:tr w:rsidR="001326F0" w:rsidRPr="001326F0" w:rsidTr="00D74C7F">
        <w:trPr>
          <w:trHeight w:val="983"/>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Dvorak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[168]</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1999</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Impaired insulin sensitivity, BMI &lt;</w:t>
            </w:r>
            <w:r w:rsidR="000D2616"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26.3 kg/m</w:t>
            </w:r>
            <w:r w:rsidRPr="001326F0">
              <w:rPr>
                <w:rFonts w:ascii="Book Antiqua" w:eastAsia="Times New Roman" w:hAnsi="Book Antiqua" w:cs="Times New Roman"/>
                <w:sz w:val="24"/>
                <w:szCs w:val="24"/>
                <w:vertAlign w:val="superscript"/>
                <w:lang w:val="en-US" w:eastAsia="it-IT"/>
              </w:rPr>
              <w:t xml:space="preserve">2 </w:t>
            </w:r>
            <w:r w:rsidRPr="001326F0">
              <w:rPr>
                <w:rFonts w:ascii="Book Antiqua" w:eastAsia="Times New Roman" w:hAnsi="Book Antiqua" w:cs="Times New Roman"/>
                <w:sz w:val="24"/>
                <w:szCs w:val="24"/>
                <w:lang w:val="en-US" w:eastAsia="it-IT"/>
              </w:rPr>
              <w:t>↑total fat mass (+20%), ↑PBF (+16%) (dual x-ray absorptiometry), ↑subcutaneous fat (+33%), ↑visceral fat (+26%)</w:t>
            </w:r>
          </w:p>
        </w:tc>
      </w:tr>
      <w:tr w:rsidR="001326F0" w:rsidRPr="001326F0" w:rsidTr="00D74C7F">
        <w:trPr>
          <w:trHeight w:val="700"/>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Esposito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[176]</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2004</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inflammation biomarkers, TNF-</w:t>
            </w:r>
            <w:r w:rsidRPr="001326F0">
              <w:rPr>
                <w:rFonts w:ascii="Book Antiqua" w:eastAsia="Times New Roman" w:hAnsi="Book Antiqua" w:cs="Times New Roman"/>
                <w:sz w:val="24"/>
                <w:szCs w:val="24"/>
                <w:lang w:eastAsia="it-IT"/>
              </w:rPr>
              <w:t>α</w:t>
            </w:r>
            <w:r w:rsidRPr="001326F0">
              <w:rPr>
                <w:rFonts w:ascii="Book Antiqua" w:eastAsia="Times New Roman" w:hAnsi="Book Antiqua" w:cs="Times New Roman"/>
                <w:sz w:val="24"/>
                <w:szCs w:val="24"/>
                <w:lang w:val="en-US" w:eastAsia="it-IT"/>
              </w:rPr>
              <w:t xml:space="preserve"> and IL-6, in as a result of the larger visceral fat areas in this group.</w:t>
            </w:r>
          </w:p>
        </w:tc>
      </w:tr>
      <w:tr w:rsidR="001326F0" w:rsidRPr="001326F0" w:rsidTr="00D74C7F">
        <w:trPr>
          <w:trHeight w:val="1403"/>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Conus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[169]</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2004</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Insulin sensitivity determined by HOMA &gt;</w:t>
            </w:r>
            <w:r w:rsidR="000D2616"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1.69 with</w:t>
            </w:r>
            <w:r w:rsidRPr="001326F0">
              <w:rPr>
                <w:rFonts w:ascii="Book Antiqua" w:eastAsia="Times New Roman" w:hAnsi="Book Antiqua" w:cs="Times New Roman"/>
                <w:sz w:val="24"/>
                <w:szCs w:val="24"/>
                <w:lang w:val="en-US" w:eastAsia="it-IT"/>
              </w:rPr>
              <w:br/>
              <w:t>normal weight (by BMI &lt;</w:t>
            </w:r>
            <w:r w:rsidR="000D2616" w:rsidRPr="001326F0">
              <w:rPr>
                <w:rFonts w:ascii="Book Antiqua" w:hAnsi="Book Antiqua" w:cs="Times New Roman" w:hint="eastAsia"/>
                <w:sz w:val="24"/>
                <w:szCs w:val="24"/>
                <w:lang w:val="en-US" w:eastAsia="zh-CN"/>
              </w:rPr>
              <w:t xml:space="preserve"> </w:t>
            </w:r>
            <w:r w:rsidRPr="001326F0">
              <w:rPr>
                <w:rFonts w:ascii="Book Antiqua" w:eastAsia="Times New Roman" w:hAnsi="Book Antiqua" w:cs="Times New Roman"/>
                <w:sz w:val="24"/>
                <w:szCs w:val="24"/>
                <w:lang w:val="en-US" w:eastAsia="it-IT"/>
              </w:rPr>
              <w:t>25 kg/m</w:t>
            </w:r>
            <w:r w:rsidRPr="001326F0">
              <w:rPr>
                <w:rFonts w:ascii="Book Antiqua" w:eastAsia="Times New Roman" w:hAnsi="Book Antiqua" w:cs="Times New Roman"/>
                <w:sz w:val="24"/>
                <w:szCs w:val="24"/>
                <w:vertAlign w:val="superscript"/>
                <w:lang w:val="en-US" w:eastAsia="it-IT"/>
              </w:rPr>
              <w:t>2</w:t>
            </w:r>
            <w:r w:rsidRPr="001326F0">
              <w:rPr>
                <w:rFonts w:ascii="Book Antiqua" w:eastAsia="Times New Roman" w:hAnsi="Book Antiqua" w:cs="Times New Roman"/>
                <w:sz w:val="24"/>
                <w:szCs w:val="24"/>
                <w:lang w:val="en-US" w:eastAsia="it-IT"/>
              </w:rPr>
              <w:t>), ↑PBF (dual</w:t>
            </w:r>
            <w:r w:rsidRPr="001326F0">
              <w:rPr>
                <w:rFonts w:ascii="Book Antiqua" w:eastAsia="Times New Roman" w:hAnsi="Book Antiqua" w:cs="Times New Roman"/>
                <w:sz w:val="24"/>
                <w:szCs w:val="24"/>
                <w:lang w:val="en-US" w:eastAsia="it-IT"/>
              </w:rPr>
              <w:br/>
            </w:r>
            <w:r w:rsidR="000D2616" w:rsidRPr="001326F0">
              <w:rPr>
                <w:rFonts w:ascii="Book Antiqua" w:eastAsia="Times New Roman" w:hAnsi="Book Antiqua" w:cs="Times New Roman"/>
                <w:sz w:val="24"/>
                <w:szCs w:val="24"/>
                <w:lang w:val="en-US" w:eastAsia="it-IT"/>
              </w:rPr>
              <w:t>X-</w:t>
            </w:r>
            <w:r w:rsidRPr="001326F0">
              <w:rPr>
                <w:rFonts w:ascii="Book Antiqua" w:eastAsia="Times New Roman" w:hAnsi="Book Antiqua" w:cs="Times New Roman"/>
                <w:sz w:val="24"/>
                <w:szCs w:val="24"/>
                <w:lang w:val="en-US" w:eastAsia="it-IT"/>
              </w:rPr>
              <w:t>ray absorptiometry), ↓ FFM,</w:t>
            </w:r>
            <w:r w:rsidRPr="001326F0">
              <w:rPr>
                <w:rFonts w:ascii="Book Antiqua" w:eastAsia="Times New Roman" w:hAnsi="Book Antiqua" w:cs="Times New Roman"/>
                <w:sz w:val="24"/>
                <w:szCs w:val="24"/>
                <w:lang w:val="en-US" w:eastAsia="it-IT"/>
              </w:rPr>
              <w:br/>
              <w:t>↓ physical activity energy expenditure,</w:t>
            </w:r>
            <w:r w:rsidRPr="001326F0">
              <w:rPr>
                <w:rFonts w:ascii="Book Antiqua" w:eastAsia="Times New Roman" w:hAnsi="Book Antiqua" w:cs="Times New Roman"/>
                <w:sz w:val="24"/>
                <w:szCs w:val="24"/>
                <w:lang w:val="en-US" w:eastAsia="it-IT"/>
              </w:rPr>
              <w:br/>
              <w:t>↓ peak oxygen uptake</w:t>
            </w:r>
          </w:p>
        </w:tc>
      </w:tr>
      <w:tr w:rsidR="001326F0" w:rsidRPr="001326F0" w:rsidTr="00D74C7F">
        <w:trPr>
          <w:trHeight w:val="558"/>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lastRenderedPageBreak/>
              <w:t xml:space="preserve">Meigs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[170]</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2006</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BMI &lt;</w:t>
            </w:r>
            <w:r w:rsidR="000D2616" w:rsidRPr="001326F0">
              <w:rPr>
                <w:rFonts w:ascii="Book Antiqua" w:hAnsi="Book Antiqua" w:cs="Times New Roman" w:hint="eastAsia"/>
                <w:sz w:val="24"/>
                <w:szCs w:val="24"/>
                <w:lang w:eastAsia="zh-CN"/>
              </w:rPr>
              <w:t xml:space="preserve"> </w:t>
            </w:r>
            <w:r w:rsidRPr="001326F0">
              <w:rPr>
                <w:rFonts w:ascii="Book Antiqua" w:eastAsia="Times New Roman" w:hAnsi="Book Antiqua" w:cs="Times New Roman"/>
                <w:sz w:val="24"/>
                <w:szCs w:val="24"/>
                <w:lang w:eastAsia="it-IT"/>
              </w:rPr>
              <w:t>25 kg/m</w:t>
            </w:r>
            <w:r w:rsidRPr="001326F0">
              <w:rPr>
                <w:rFonts w:ascii="Book Antiqua" w:eastAsia="Times New Roman" w:hAnsi="Book Antiqua" w:cs="Times New Roman"/>
                <w:sz w:val="24"/>
                <w:szCs w:val="24"/>
                <w:vertAlign w:val="superscript"/>
                <w:lang w:eastAsia="it-IT"/>
              </w:rPr>
              <w:t>2</w:t>
            </w:r>
            <w:r w:rsidRPr="001326F0">
              <w:rPr>
                <w:rFonts w:ascii="Book Antiqua" w:eastAsia="Times New Roman" w:hAnsi="Book Antiqua" w:cs="Times New Roman"/>
                <w:sz w:val="24"/>
                <w:szCs w:val="24"/>
                <w:lang w:eastAsia="it-IT"/>
              </w:rPr>
              <w:t xml:space="preserve"> + Metabolic Syndrome criteria/insulin resistance</w:t>
            </w:r>
          </w:p>
        </w:tc>
      </w:tr>
      <w:tr w:rsidR="001326F0" w:rsidRPr="001326F0" w:rsidTr="00D74C7F">
        <w:trPr>
          <w:trHeight w:val="852"/>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Succurro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[171]</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2008</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Normal weight (by BMI) +</w:t>
            </w:r>
            <w:r w:rsidRPr="001326F0">
              <w:rPr>
                <w:rFonts w:ascii="Book Antiqua" w:eastAsia="Times New Roman" w:hAnsi="Book Antiqua" w:cs="Times New Roman"/>
                <w:sz w:val="24"/>
                <w:szCs w:val="24"/>
                <w:lang w:val="en-US" w:eastAsia="it-IT"/>
              </w:rPr>
              <w:br/>
              <w:t>Impaired insulin sensitivity, ↑ visceral adiposity,</w:t>
            </w:r>
            <w:r w:rsidRPr="001326F0">
              <w:rPr>
                <w:rFonts w:ascii="Book Antiqua" w:eastAsia="Times New Roman" w:hAnsi="Book Antiqua" w:cs="Times New Roman"/>
                <w:sz w:val="24"/>
                <w:szCs w:val="24"/>
                <w:lang w:val="en-US" w:eastAsia="it-IT"/>
              </w:rPr>
              <w:br/>
              <w:t>↓HDL, ↑ fasting glucose, ↑ triglycerides, hypertension</w:t>
            </w:r>
          </w:p>
        </w:tc>
      </w:tr>
      <w:tr w:rsidR="001326F0" w:rsidRPr="001326F0" w:rsidTr="00D74C7F">
        <w:trPr>
          <w:trHeight w:val="964"/>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hAnsi="Book Antiqua" w:cs="Times New Roman"/>
                <w:sz w:val="24"/>
                <w:szCs w:val="24"/>
                <w:lang w:val="en-US"/>
              </w:rPr>
              <w:t xml:space="preserve">Thomas </w:t>
            </w:r>
            <w:r w:rsidR="00D74C7F" w:rsidRPr="001326F0">
              <w:rPr>
                <w:rFonts w:ascii="Book Antiqua" w:hAnsi="Book Antiqua" w:cs="Times New Roman"/>
                <w:i/>
                <w:sz w:val="24"/>
                <w:szCs w:val="24"/>
                <w:lang w:val="en-US"/>
              </w:rPr>
              <w:t>et al</w:t>
            </w:r>
            <w:r w:rsidRPr="001326F0">
              <w:rPr>
                <w:rFonts w:ascii="Book Antiqua" w:eastAsia="Times New Roman" w:hAnsi="Book Antiqua" w:cs="Times New Roman"/>
                <w:sz w:val="24"/>
                <w:szCs w:val="24"/>
                <w:vertAlign w:val="superscript"/>
                <w:lang w:val="en-US" w:eastAsia="it-IT"/>
              </w:rPr>
              <w:t>[175]</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2012</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According magnetic resonance imaging, they refined MONW phenotype and renaming this sub-phenotype as “thin-on-the-outside fat-on-the-inside” (TOFI), with a higher ratio of visceral:subcutaneous abdominal adipose tissue</w:t>
            </w:r>
          </w:p>
        </w:tc>
      </w:tr>
      <w:tr w:rsidR="001326F0" w:rsidRPr="001326F0" w:rsidTr="00D74C7F">
        <w:trPr>
          <w:trHeight w:val="84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Eckel </w:t>
            </w:r>
            <w:r w:rsidR="00D74C7F" w:rsidRPr="001326F0">
              <w:rPr>
                <w:rFonts w:ascii="Book Antiqua" w:eastAsia="Times New Roman" w:hAnsi="Book Antiqua" w:cs="Times New Roman"/>
                <w:i/>
                <w:sz w:val="24"/>
                <w:szCs w:val="24"/>
                <w:lang w:val="en-US" w:eastAsia="it-IT"/>
              </w:rPr>
              <w:t>et al</w:t>
            </w:r>
            <w:r w:rsidRPr="001326F0">
              <w:rPr>
                <w:rFonts w:ascii="Book Antiqua" w:eastAsia="Times New Roman" w:hAnsi="Book Antiqua" w:cs="Times New Roman"/>
                <w:sz w:val="24"/>
                <w:szCs w:val="24"/>
                <w:vertAlign w:val="superscript"/>
                <w:lang w:val="en-US" w:eastAsia="it-IT"/>
              </w:rPr>
              <w:t>172]</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2015</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 </w:t>
            </w:r>
            <w:r w:rsidRPr="001326F0">
              <w:rPr>
                <w:rFonts w:ascii="Book Antiqua" w:eastAsia="Arial Unicode MS" w:hAnsi="Book Antiqua" w:cs="Arial Unicode MS"/>
                <w:sz w:val="24"/>
                <w:szCs w:val="24"/>
                <w:shd w:val="clear" w:color="auto" w:fill="FFFFFF"/>
                <w:lang w:val="en-US"/>
              </w:rPr>
              <w:t xml:space="preserve">waist circumference (women: 75.5 </w:t>
            </w:r>
            <w:r w:rsidR="000D2616" w:rsidRPr="001326F0">
              <w:rPr>
                <w:rFonts w:ascii="Book Antiqua" w:eastAsia="Arial Unicode MS" w:hAnsi="Book Antiqua" w:cs="Arial Unicode MS"/>
                <w:sz w:val="24"/>
                <w:szCs w:val="24"/>
                <w:shd w:val="clear" w:color="auto" w:fill="FFFFFF"/>
                <w:lang w:val="en-US"/>
              </w:rPr>
              <w:t>cm</w:t>
            </w:r>
            <w:r w:rsidR="000D2616" w:rsidRPr="001326F0">
              <w:rPr>
                <w:rFonts w:ascii="Book Antiqua" w:eastAsia="Arial Unicode MS" w:hAnsi="Book Antiqua" w:cs="Arial Unicode MS"/>
                <w:i/>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73.1 cm; men: 88.0 </w:t>
            </w:r>
            <w:r w:rsidR="000D2616" w:rsidRPr="001326F0">
              <w:rPr>
                <w:rFonts w:ascii="Book Antiqua" w:eastAsia="Arial Unicode MS" w:hAnsi="Book Antiqua" w:cs="Arial Unicode MS"/>
                <w:sz w:val="24"/>
                <w:szCs w:val="24"/>
                <w:shd w:val="clear" w:color="auto" w:fill="FFFFFF"/>
                <w:lang w:val="en-US"/>
              </w:rPr>
              <w:t>cm</w:t>
            </w:r>
            <w:r w:rsidR="000D2616" w:rsidRPr="001326F0">
              <w:rPr>
                <w:rFonts w:ascii="Book Antiqua" w:eastAsia="Arial Unicode MS" w:hAnsi="Book Antiqua" w:cs="Arial Unicode MS"/>
                <w:i/>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85.1 cm), </w:t>
            </w:r>
            <w:r w:rsidRPr="001326F0">
              <w:rPr>
                <w:rFonts w:ascii="Book Antiqua" w:eastAsia="Times New Roman" w:hAnsi="Book Antiqua" w:cs="Times New Roman"/>
                <w:sz w:val="24"/>
                <w:szCs w:val="24"/>
                <w:lang w:val="en-US" w:eastAsia="it-IT"/>
              </w:rPr>
              <w:t>↑</w:t>
            </w:r>
            <w:r w:rsidRPr="001326F0">
              <w:rPr>
                <w:rFonts w:ascii="Book Antiqua" w:eastAsia="Arial Unicode MS" w:hAnsi="Book Antiqua" w:cs="Arial Unicode MS"/>
                <w:sz w:val="24"/>
                <w:szCs w:val="24"/>
                <w:shd w:val="clear" w:color="auto" w:fill="FFFFFF"/>
                <w:lang w:val="en-US"/>
              </w:rPr>
              <w:t xml:space="preserve"> HbA</w:t>
            </w:r>
            <w:r w:rsidRPr="001326F0">
              <w:rPr>
                <w:rFonts w:ascii="Book Antiqua" w:eastAsia="Arial Unicode MS" w:hAnsi="Book Antiqua" w:cs="Arial Unicode MS"/>
                <w:sz w:val="24"/>
                <w:szCs w:val="24"/>
                <w:bdr w:val="none" w:sz="0" w:space="0" w:color="auto" w:frame="1"/>
                <w:shd w:val="clear" w:color="auto" w:fill="FFFFFF"/>
                <w:vertAlign w:val="subscript"/>
                <w:lang w:val="en-US"/>
              </w:rPr>
              <w:t>1c</w:t>
            </w:r>
            <w:r w:rsidRPr="001326F0">
              <w:rPr>
                <w:rStyle w:val="apple-converted-space"/>
                <w:rFonts w:ascii="Book Antiqua" w:eastAsia="Arial Unicode MS" w:hAnsi="Book Antiqua" w:cs="Arial Unicode MS"/>
                <w:sz w:val="24"/>
                <w:szCs w:val="24"/>
                <w:shd w:val="clear" w:color="auto" w:fill="FFFFFF"/>
                <w:lang w:val="en-US"/>
              </w:rPr>
              <w:t> </w:t>
            </w:r>
            <w:r w:rsidRPr="001326F0">
              <w:rPr>
                <w:rFonts w:ascii="Book Antiqua" w:eastAsia="Arial Unicode MS" w:hAnsi="Book Antiqua" w:cs="Arial Unicode MS"/>
                <w:sz w:val="24"/>
                <w:szCs w:val="24"/>
                <w:shd w:val="clear" w:color="auto" w:fill="FFFFFF"/>
                <w:lang w:val="en-US"/>
              </w:rPr>
              <w:t>(6.1</w:t>
            </w:r>
            <w:r w:rsidR="000D2616" w:rsidRPr="001326F0">
              <w:rPr>
                <w:rFonts w:ascii="Book Antiqua" w:eastAsia="Arial Unicode MS" w:hAnsi="Book Antiqua" w:cs="Arial Unicode MS" w:hint="eastAsia"/>
                <w:sz w:val="24"/>
                <w:szCs w:val="24"/>
                <w:shd w:val="clear" w:color="auto" w:fill="FFFFFF"/>
                <w:lang w:val="en-US" w:eastAsia="zh-CN"/>
              </w:rPr>
              <w:t>%</w:t>
            </w:r>
            <w:r w:rsidRPr="001326F0">
              <w:rPr>
                <w:rFonts w:ascii="Book Antiqua" w:eastAsia="Arial Unicode MS" w:hAnsi="Book Antiqua" w:cs="Arial Unicode MS"/>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5.3%), </w:t>
            </w:r>
            <w:r w:rsidRPr="001326F0">
              <w:rPr>
                <w:rFonts w:ascii="Book Antiqua" w:eastAsia="Times New Roman" w:hAnsi="Book Antiqua" w:cs="Times New Roman"/>
                <w:sz w:val="24"/>
                <w:szCs w:val="24"/>
                <w:lang w:val="en-US" w:eastAsia="it-IT"/>
              </w:rPr>
              <w:t>↑</w:t>
            </w:r>
            <w:r w:rsidRPr="001326F0">
              <w:rPr>
                <w:rFonts w:ascii="Book Antiqua" w:eastAsia="Arial Unicode MS" w:hAnsi="Book Antiqua" w:cs="Arial Unicode MS"/>
                <w:sz w:val="24"/>
                <w:szCs w:val="24"/>
                <w:shd w:val="clear" w:color="auto" w:fill="FFFFFF"/>
                <w:lang w:val="en-US"/>
              </w:rPr>
              <w:t xml:space="preserve"> triglycerides (1.47</w:t>
            </w:r>
            <w:r w:rsidR="004E769D" w:rsidRPr="001326F0">
              <w:rPr>
                <w:rFonts w:ascii="Book Antiqua" w:eastAsia="Arial Unicode MS" w:hAnsi="Book Antiqua" w:cs="Arial Unicode MS"/>
                <w:sz w:val="24"/>
                <w:szCs w:val="24"/>
                <w:shd w:val="clear" w:color="auto" w:fill="FFFFFF"/>
                <w:lang w:val="en-US"/>
              </w:rPr>
              <w:t xml:space="preserve"> </w:t>
            </w:r>
            <w:r w:rsidR="000D2616" w:rsidRPr="001326F0">
              <w:rPr>
                <w:rFonts w:ascii="Book Antiqua" w:eastAsia="Arial Unicode MS" w:hAnsi="Book Antiqua" w:cs="Arial Unicode MS"/>
                <w:sz w:val="24"/>
                <w:szCs w:val="24"/>
                <w:shd w:val="clear" w:color="auto" w:fill="FFFFFF"/>
                <w:lang w:val="en-US"/>
              </w:rPr>
              <w:t>mmol/</w:t>
            </w:r>
            <w:r w:rsidR="000D2616" w:rsidRPr="001326F0">
              <w:rPr>
                <w:rFonts w:ascii="Book Antiqua" w:eastAsia="Arial Unicode MS" w:hAnsi="Book Antiqua" w:cs="Arial Unicode MS" w:hint="eastAsia"/>
                <w:sz w:val="24"/>
                <w:szCs w:val="24"/>
                <w:shd w:val="clear" w:color="auto" w:fill="FFFFFF"/>
                <w:lang w:val="en-US"/>
              </w:rPr>
              <w:t>L</w:t>
            </w:r>
            <w:r w:rsidR="000D2616" w:rsidRPr="001326F0">
              <w:rPr>
                <w:rFonts w:ascii="Book Antiqua" w:eastAsia="Arial Unicode MS" w:hAnsi="Book Antiqua" w:cs="Arial Unicode MS"/>
                <w:i/>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1.11 mmol/</w:t>
            </w:r>
            <w:r w:rsidR="000D2616"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 xml:space="preserve">), and </w:t>
            </w:r>
            <w:r w:rsidRPr="001326F0">
              <w:rPr>
                <w:rFonts w:ascii="Book Antiqua" w:eastAsia="Times New Roman" w:hAnsi="Book Antiqua" w:cs="Times New Roman"/>
                <w:sz w:val="24"/>
                <w:szCs w:val="24"/>
                <w:lang w:val="en-US" w:eastAsia="it-IT"/>
              </w:rPr>
              <w:t>↑</w:t>
            </w:r>
            <w:r w:rsidRPr="001326F0">
              <w:rPr>
                <w:rFonts w:ascii="Book Antiqua" w:eastAsia="Arial Unicode MS" w:hAnsi="Book Antiqua" w:cs="Arial Unicode MS"/>
                <w:sz w:val="24"/>
                <w:szCs w:val="24"/>
                <w:shd w:val="clear" w:color="auto" w:fill="FFFFFF"/>
                <w:lang w:val="en-US"/>
              </w:rPr>
              <w:t xml:space="preserve"> </w:t>
            </w:r>
            <w:r w:rsidRPr="001326F0">
              <w:rPr>
                <w:rFonts w:ascii="Book Antiqua" w:eastAsia="Times New Roman" w:hAnsi="Book Antiqua" w:cs="Times New Roman"/>
                <w:sz w:val="24"/>
                <w:szCs w:val="24"/>
                <w:lang w:val="en-US" w:eastAsia="it-IT"/>
              </w:rPr>
              <w:t>hsCRP</w:t>
            </w:r>
            <w:r w:rsidRPr="001326F0">
              <w:rPr>
                <w:rFonts w:ascii="Book Antiqua" w:eastAsia="Arial Unicode MS" w:hAnsi="Book Antiqua" w:cs="Arial Unicode MS"/>
                <w:sz w:val="24"/>
                <w:szCs w:val="24"/>
                <w:shd w:val="clear" w:color="auto" w:fill="FFFFFF"/>
                <w:lang w:val="en-US"/>
              </w:rPr>
              <w:t xml:space="preserve"> (0.81 </w:t>
            </w:r>
            <w:r w:rsidR="000D2616" w:rsidRPr="001326F0">
              <w:rPr>
                <w:rFonts w:ascii="Book Antiqua" w:eastAsia="Arial Unicode MS" w:hAnsi="Book Antiqua" w:cs="Arial Unicode MS"/>
                <w:sz w:val="24"/>
                <w:szCs w:val="24"/>
                <w:shd w:val="clear" w:color="auto" w:fill="FFFFFF"/>
                <w:lang w:val="en-US"/>
              </w:rPr>
              <w:t>mg/</w:t>
            </w:r>
            <w:r w:rsidR="000D2616" w:rsidRPr="001326F0">
              <w:rPr>
                <w:rFonts w:ascii="Book Antiqua" w:eastAsia="Arial Unicode MS" w:hAnsi="Book Antiqua" w:cs="Arial Unicode MS" w:hint="eastAsia"/>
                <w:sz w:val="24"/>
                <w:szCs w:val="24"/>
                <w:shd w:val="clear" w:color="auto" w:fill="FFFFFF"/>
                <w:lang w:val="en-US"/>
              </w:rPr>
              <w:t>L</w:t>
            </w:r>
            <w:r w:rsidR="000D2616" w:rsidRPr="001326F0">
              <w:rPr>
                <w:rFonts w:ascii="Book Antiqua" w:eastAsia="Arial Unicode MS" w:hAnsi="Book Antiqua" w:cs="Arial Unicode MS"/>
                <w:i/>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0.51 mg/</w:t>
            </w:r>
            <w:r w:rsidR="000D2616"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 xml:space="preserve">) , </w:t>
            </w:r>
            <w:r w:rsidRPr="001326F0">
              <w:rPr>
                <w:rFonts w:ascii="Book Antiqua" w:eastAsia="Times New Roman" w:hAnsi="Book Antiqua" w:cs="Times New Roman"/>
                <w:sz w:val="24"/>
                <w:szCs w:val="24"/>
                <w:lang w:val="en-US" w:eastAsia="it-IT"/>
              </w:rPr>
              <w:t>↓</w:t>
            </w:r>
            <w:r w:rsidRPr="001326F0">
              <w:rPr>
                <w:rFonts w:ascii="Book Antiqua" w:eastAsia="Arial Unicode MS" w:hAnsi="Book Antiqua" w:cs="Arial Unicode MS"/>
                <w:sz w:val="24"/>
                <w:szCs w:val="24"/>
                <w:shd w:val="clear" w:color="auto" w:fill="FFFFFF"/>
                <w:lang w:val="en-US"/>
              </w:rPr>
              <w:t>HDL (1.28</w:t>
            </w:r>
            <w:r w:rsidR="004E769D" w:rsidRPr="001326F0">
              <w:rPr>
                <w:rFonts w:ascii="Book Antiqua" w:eastAsia="Arial Unicode MS" w:hAnsi="Book Antiqua" w:cs="Arial Unicode MS"/>
                <w:sz w:val="24"/>
                <w:szCs w:val="24"/>
                <w:shd w:val="clear" w:color="auto" w:fill="FFFFFF"/>
                <w:lang w:val="en-US"/>
              </w:rPr>
              <w:t xml:space="preserve"> </w:t>
            </w:r>
            <w:r w:rsidR="000D2616" w:rsidRPr="001326F0">
              <w:rPr>
                <w:rFonts w:ascii="Book Antiqua" w:eastAsia="Arial Unicode MS" w:hAnsi="Book Antiqua" w:cs="Arial Unicode MS"/>
                <w:sz w:val="24"/>
                <w:szCs w:val="24"/>
                <w:shd w:val="clear" w:color="auto" w:fill="FFFFFF"/>
                <w:lang w:val="en-US"/>
              </w:rPr>
              <w:t>mmol/</w:t>
            </w:r>
            <w:r w:rsidR="000D2616" w:rsidRPr="001326F0">
              <w:rPr>
                <w:rFonts w:ascii="Book Antiqua" w:eastAsia="Arial Unicode MS" w:hAnsi="Book Antiqua" w:cs="Arial Unicode MS" w:hint="eastAsia"/>
                <w:sz w:val="24"/>
                <w:szCs w:val="24"/>
                <w:shd w:val="clear" w:color="auto" w:fill="FFFFFF"/>
                <w:lang w:val="en-US"/>
              </w:rPr>
              <w:t>L</w:t>
            </w:r>
            <w:r w:rsidR="000D2616" w:rsidRPr="001326F0">
              <w:rPr>
                <w:rFonts w:ascii="Book Antiqua" w:eastAsia="Arial Unicode MS" w:hAnsi="Book Antiqua" w:cs="Arial Unicode MS"/>
                <w:i/>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1.49 mmol/</w:t>
            </w:r>
            <w:r w:rsidR="000D2616"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 xml:space="preserve">) and </w:t>
            </w:r>
            <w:r w:rsidRPr="001326F0">
              <w:rPr>
                <w:rFonts w:ascii="Book Antiqua" w:eastAsia="Times New Roman" w:hAnsi="Book Antiqua" w:cs="Times New Roman"/>
                <w:sz w:val="24"/>
                <w:szCs w:val="24"/>
                <w:lang w:val="en-US" w:eastAsia="it-IT"/>
              </w:rPr>
              <w:t xml:space="preserve">↓ </w:t>
            </w:r>
            <w:r w:rsidRPr="001326F0">
              <w:rPr>
                <w:rFonts w:ascii="Book Antiqua" w:eastAsia="Arial Unicode MS" w:hAnsi="Book Antiqua" w:cs="Arial Unicode MS"/>
                <w:sz w:val="24"/>
                <w:szCs w:val="24"/>
                <w:shd w:val="clear" w:color="auto" w:fill="FFFFFF"/>
                <w:lang w:val="en-US"/>
              </w:rPr>
              <w:t xml:space="preserve">adiponectin (6.32 </w:t>
            </w:r>
            <w:r w:rsidR="000D2616" w:rsidRPr="001326F0">
              <w:rPr>
                <w:rFonts w:ascii="Book Antiqua" w:eastAsia="Arial Unicode MS" w:hAnsi="Book Antiqua" w:cs="Arial Unicode MS"/>
                <w:sz w:val="24"/>
                <w:szCs w:val="24"/>
                <w:shd w:val="clear" w:color="auto" w:fill="FFFFFF"/>
              </w:rPr>
              <w:t>μ</w:t>
            </w:r>
            <w:r w:rsidR="000D2616" w:rsidRPr="001326F0">
              <w:rPr>
                <w:rFonts w:ascii="Book Antiqua" w:eastAsia="Arial Unicode MS" w:hAnsi="Book Antiqua" w:cs="Arial Unicode MS"/>
                <w:sz w:val="24"/>
                <w:szCs w:val="24"/>
                <w:shd w:val="clear" w:color="auto" w:fill="FFFFFF"/>
                <w:lang w:val="en-US"/>
              </w:rPr>
              <w:t>g/</w:t>
            </w:r>
            <w:r w:rsidR="000D2616" w:rsidRPr="001326F0">
              <w:rPr>
                <w:rFonts w:ascii="Book Antiqua" w:eastAsia="Arial Unicode MS" w:hAnsi="Book Antiqua" w:cs="Arial Unicode MS" w:hint="eastAsia"/>
                <w:sz w:val="24"/>
                <w:szCs w:val="24"/>
                <w:shd w:val="clear" w:color="auto" w:fill="FFFFFF"/>
                <w:lang w:val="en-US"/>
              </w:rPr>
              <w:t>L</w:t>
            </w:r>
            <w:r w:rsidR="000D2616" w:rsidRPr="001326F0">
              <w:rPr>
                <w:rFonts w:ascii="Book Antiqua" w:eastAsia="Arial Unicode MS" w:hAnsi="Book Antiqua" w:cs="Arial Unicode MS"/>
                <w:i/>
                <w:sz w:val="24"/>
                <w:szCs w:val="24"/>
                <w:shd w:val="clear" w:color="auto" w:fill="FFFFFF"/>
                <w:lang w:val="en-US"/>
              </w:rPr>
              <w:t xml:space="preserve"> </w:t>
            </w:r>
            <w:r w:rsidR="00BF5F43" w:rsidRPr="001326F0">
              <w:rPr>
                <w:rFonts w:ascii="Book Antiqua" w:eastAsia="Arial Unicode MS" w:hAnsi="Book Antiqua" w:cs="Arial Unicode MS"/>
                <w:i/>
                <w:sz w:val="24"/>
                <w:szCs w:val="24"/>
                <w:shd w:val="clear" w:color="auto" w:fill="FFFFFF"/>
                <w:lang w:val="en-US"/>
              </w:rPr>
              <w:t>vs</w:t>
            </w:r>
            <w:r w:rsidRPr="001326F0">
              <w:rPr>
                <w:rFonts w:ascii="Book Antiqua" w:eastAsia="Arial Unicode MS" w:hAnsi="Book Antiqua" w:cs="Arial Unicode MS"/>
                <w:sz w:val="24"/>
                <w:szCs w:val="24"/>
                <w:shd w:val="clear" w:color="auto" w:fill="FFFFFF"/>
                <w:lang w:val="en-US"/>
              </w:rPr>
              <w:t xml:space="preserve"> 8.25 </w:t>
            </w:r>
            <w:r w:rsidRPr="001326F0">
              <w:rPr>
                <w:rFonts w:ascii="Book Antiqua" w:eastAsia="Arial Unicode MS" w:hAnsi="Book Antiqua" w:cs="Arial Unicode MS"/>
                <w:sz w:val="24"/>
                <w:szCs w:val="24"/>
                <w:shd w:val="clear" w:color="auto" w:fill="FFFFFF"/>
              </w:rPr>
              <w:t>μ</w:t>
            </w:r>
            <w:r w:rsidRPr="001326F0">
              <w:rPr>
                <w:rFonts w:ascii="Book Antiqua" w:eastAsia="Arial Unicode MS" w:hAnsi="Book Antiqua" w:cs="Arial Unicode MS"/>
                <w:sz w:val="24"/>
                <w:szCs w:val="24"/>
                <w:shd w:val="clear" w:color="auto" w:fill="FFFFFF"/>
                <w:lang w:val="en-US"/>
              </w:rPr>
              <w:t>g/m</w:t>
            </w:r>
            <w:r w:rsidR="000D2616" w:rsidRPr="001326F0">
              <w:rPr>
                <w:rFonts w:ascii="Book Antiqua" w:eastAsia="Arial Unicode MS" w:hAnsi="Book Antiqua" w:cs="Arial Unicode MS" w:hint="eastAsia"/>
                <w:sz w:val="24"/>
                <w:szCs w:val="24"/>
                <w:shd w:val="clear" w:color="auto" w:fill="FFFFFF"/>
                <w:lang w:val="en-US" w:eastAsia="zh-CN"/>
              </w:rPr>
              <w:t>L</w:t>
            </w:r>
            <w:r w:rsidRPr="001326F0">
              <w:rPr>
                <w:rFonts w:ascii="Book Antiqua" w:eastAsia="Arial Unicode MS" w:hAnsi="Book Antiqua" w:cs="Arial Unicode MS"/>
                <w:sz w:val="24"/>
                <w:szCs w:val="24"/>
                <w:shd w:val="clear" w:color="auto" w:fill="FFFFFF"/>
                <w:lang w:val="en-US"/>
              </w:rPr>
              <w:t>)</w:t>
            </w:r>
          </w:p>
        </w:tc>
      </w:tr>
      <w:tr w:rsidR="001326F0" w:rsidRPr="001326F0" w:rsidTr="00D74C7F">
        <w:trPr>
          <w:trHeight w:val="84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Du </w:t>
            </w:r>
            <w:r w:rsidR="00D74C7F" w:rsidRPr="001326F0">
              <w:rPr>
                <w:rFonts w:ascii="Book Antiqua" w:eastAsia="Times New Roman" w:hAnsi="Book Antiqua" w:cs="Times New Roman"/>
                <w:i/>
                <w:sz w:val="24"/>
                <w:szCs w:val="24"/>
                <w:lang w:val="en-US" w:eastAsia="it-IT"/>
              </w:rPr>
              <w:t>et al</w:t>
            </w:r>
            <w:r w:rsidRPr="001326F0">
              <w:rPr>
                <w:rFonts w:ascii="Book Antiqua" w:eastAsia="Times New Roman" w:hAnsi="Book Antiqua" w:cs="Times New Roman"/>
                <w:sz w:val="24"/>
                <w:szCs w:val="24"/>
                <w:vertAlign w:val="superscript"/>
                <w:lang w:val="en-US" w:eastAsia="it-IT"/>
              </w:rPr>
              <w:t>[173]</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2015</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Lipid accumulation product and visceral adiposity index, two markers of visceral obesity, identify the MONW phenotype</w:t>
            </w:r>
          </w:p>
        </w:tc>
      </w:tr>
      <w:tr w:rsidR="001326F0" w:rsidRPr="001326F0" w:rsidTr="00D74C7F">
        <w:trPr>
          <w:trHeight w:val="400"/>
          <w:jc w:val="center"/>
        </w:trPr>
        <w:tc>
          <w:tcPr>
            <w:tcW w:w="11049" w:type="dxa"/>
            <w:gridSpan w:val="3"/>
            <w:shd w:val="pct15" w:color="auto" w:fill="auto"/>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b/>
                <w:bCs/>
                <w:sz w:val="24"/>
                <w:szCs w:val="24"/>
                <w:lang w:val="en-US" w:eastAsia="it-IT"/>
              </w:rPr>
              <w:t>M</w:t>
            </w:r>
            <w:r w:rsidR="000D2616" w:rsidRPr="001326F0">
              <w:rPr>
                <w:rFonts w:ascii="Book Antiqua" w:eastAsia="Times New Roman" w:hAnsi="Book Antiqua" w:cs="Times New Roman"/>
                <w:b/>
                <w:bCs/>
                <w:sz w:val="24"/>
                <w:szCs w:val="24"/>
                <w:lang w:val="en-US" w:eastAsia="it-IT"/>
              </w:rPr>
              <w:t xml:space="preserve">etabolically unhealthy obese </w:t>
            </w:r>
            <w:r w:rsidRPr="001326F0">
              <w:rPr>
                <w:rFonts w:ascii="Book Antiqua" w:eastAsia="Times New Roman" w:hAnsi="Book Antiqua" w:cs="Times New Roman"/>
                <w:b/>
                <w:bCs/>
                <w:sz w:val="24"/>
                <w:szCs w:val="24"/>
                <w:lang w:val="en-US" w:eastAsia="it-IT"/>
              </w:rPr>
              <w:t>- MUO</w:t>
            </w:r>
          </w:p>
        </w:tc>
      </w:tr>
      <w:tr w:rsidR="001326F0" w:rsidRPr="001326F0" w:rsidTr="00D74C7F">
        <w:trPr>
          <w:trHeight w:val="84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hAnsi="Book Antiqua" w:cs="Times New Roman"/>
                <w:sz w:val="24"/>
                <w:szCs w:val="24"/>
                <w:lang w:val="en-US"/>
              </w:rPr>
              <w:t xml:space="preserve">Alberti </w:t>
            </w:r>
            <w:r w:rsidR="00D74C7F" w:rsidRPr="001326F0">
              <w:rPr>
                <w:rFonts w:ascii="Book Antiqua" w:hAnsi="Book Antiqua" w:cs="Times New Roman"/>
                <w:i/>
                <w:sz w:val="24"/>
                <w:szCs w:val="24"/>
                <w:lang w:val="en-US"/>
              </w:rPr>
              <w:t>et al</w:t>
            </w:r>
            <w:r w:rsidRPr="001326F0">
              <w:rPr>
                <w:rFonts w:ascii="Book Antiqua" w:eastAsia="Times New Roman" w:hAnsi="Book Antiqua" w:cs="Times New Roman"/>
                <w:sz w:val="24"/>
                <w:szCs w:val="24"/>
                <w:vertAlign w:val="superscript"/>
                <w:lang w:val="en-US" w:eastAsia="it-IT"/>
              </w:rPr>
              <w:t>[201]</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2005</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MUO</w:t>
            </w:r>
            <w:r w:rsidR="00D74C7F"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subjects are characterized by a BMI</w:t>
            </w:r>
            <w:r w:rsidR="004E769D" w:rsidRPr="001326F0">
              <w:rPr>
                <w:rFonts w:ascii="Book Antiqua" w:eastAsia="Times New Roman" w:hAnsi="Book Antiqua" w:cs="Times New Roman"/>
                <w:sz w:val="24"/>
                <w:szCs w:val="24"/>
                <w:lang w:val="en-US" w:eastAsia="it-IT"/>
              </w:rPr>
              <w:t xml:space="preserve"> </w:t>
            </w:r>
            <w:r w:rsidR="00EF3F4D" w:rsidRPr="001326F0">
              <w:rPr>
                <w:rFonts w:ascii="Book Antiqua" w:eastAsia="Times New Roman" w:hAnsi="Book Antiqua" w:cs="Times New Roman"/>
                <w:sz w:val="24"/>
                <w:szCs w:val="24"/>
                <w:lang w:val="en-US" w:eastAsia="it-IT"/>
              </w:rPr>
              <w:t>≥</w:t>
            </w:r>
            <w:r w:rsidR="004E769D"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30 kg/m</w:t>
            </w:r>
            <w:r w:rsidRPr="001326F0">
              <w:rPr>
                <w:rFonts w:ascii="Book Antiqua" w:eastAsia="Times New Roman" w:hAnsi="Book Antiqua" w:cs="Times New Roman"/>
                <w:sz w:val="24"/>
                <w:szCs w:val="24"/>
                <w:vertAlign w:val="superscript"/>
                <w:lang w:val="en-US" w:eastAsia="it-IT"/>
              </w:rPr>
              <w:t>2</w:t>
            </w:r>
            <w:r w:rsidRPr="001326F0">
              <w:rPr>
                <w:rFonts w:ascii="Book Antiqua" w:eastAsia="Times New Roman" w:hAnsi="Book Antiqua" w:cs="Times New Roman"/>
                <w:sz w:val="24"/>
                <w:szCs w:val="24"/>
                <w:lang w:val="en-US" w:eastAsia="it-IT"/>
              </w:rPr>
              <w:t>, a PBF&gt;30% and high visceral fat mass, closely linked to the development of the metabolic syndrome, T2DM, and atherosclerotic cardiovascular disease</w:t>
            </w:r>
          </w:p>
        </w:tc>
      </w:tr>
      <w:tr w:rsidR="001326F0" w:rsidRPr="001326F0" w:rsidTr="00D74C7F">
        <w:trPr>
          <w:trHeight w:val="84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Fabbrini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[47]</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2009</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 xml:space="preserve">In MAO subjects, but not MNO subjects, moderate weight exacerbated several metabolic risk factors for CVD: ↑ blood </w:t>
            </w:r>
            <w:r w:rsidR="000D2616" w:rsidRPr="001326F0">
              <w:rPr>
                <w:rFonts w:ascii="Book Antiqua" w:eastAsia="Times New Roman" w:hAnsi="Book Antiqua" w:cs="Times New Roman"/>
                <w:sz w:val="24"/>
                <w:szCs w:val="24"/>
                <w:lang w:val="en-US" w:eastAsia="it-IT"/>
              </w:rPr>
              <w:t>pressure, ↑ plasma triglyceride</w:t>
            </w:r>
            <w:r w:rsidRPr="001326F0">
              <w:rPr>
                <w:rFonts w:ascii="Book Antiqua" w:eastAsia="Times New Roman" w:hAnsi="Book Antiqua" w:cs="Times New Roman"/>
                <w:sz w:val="24"/>
                <w:szCs w:val="24"/>
                <w:lang w:val="en-US" w:eastAsia="it-IT"/>
              </w:rPr>
              <w:t>,↑ in intra hepatic triglyceride, ↑ VLDL apoB100 and ↓ plasma adiponectin concentrations and insulin sensitivity in the liver, skeletal muscle, and adipose tissues, ↓ adipose tissue expression of genes involved in glucose uptake and lipogenesis</w:t>
            </w:r>
          </w:p>
        </w:tc>
      </w:tr>
      <w:tr w:rsidR="001326F0" w:rsidRPr="001326F0" w:rsidTr="00D74C7F">
        <w:trPr>
          <w:trHeight w:val="84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eastAsia="it-IT"/>
              </w:rPr>
              <w:t xml:space="preserve">O'Connell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[210]</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2010</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MUO and obese with T2DM subjects had a omental adipocyte size greater than MHO, moreover MUO group had an intermediate degree of steatosis (43%) respect to MHO (3%) and obese with T2DM (74%).</w:t>
            </w:r>
          </w:p>
        </w:tc>
      </w:tr>
      <w:tr w:rsidR="001326F0" w:rsidRPr="001326F0" w:rsidTr="000D2616">
        <w:trPr>
          <w:trHeight w:val="849"/>
          <w:jc w:val="center"/>
        </w:trPr>
        <w:tc>
          <w:tcPr>
            <w:tcW w:w="2456" w:type="dxa"/>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t xml:space="preserve">Di Daniele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[202]</w:t>
            </w:r>
          </w:p>
        </w:tc>
        <w:tc>
          <w:tcPr>
            <w:tcW w:w="851" w:type="dxa"/>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2013</w:t>
            </w:r>
          </w:p>
        </w:tc>
        <w:tc>
          <w:tcPr>
            <w:tcW w:w="7742" w:type="dxa"/>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6 months of dietary intervention based on Italian Mediterranean Diet in “at risk” obese subjec</w:t>
            </w:r>
            <w:r w:rsidR="000D2616" w:rsidRPr="001326F0">
              <w:rPr>
                <w:rFonts w:ascii="Book Antiqua" w:eastAsia="Times New Roman" w:hAnsi="Book Antiqua" w:cs="Times New Roman"/>
                <w:sz w:val="24"/>
                <w:szCs w:val="24"/>
                <w:lang w:val="en-US" w:eastAsia="it-IT"/>
              </w:rPr>
              <w:t>ts, determined a reduction (-52</w:t>
            </w:r>
            <w:r w:rsidRPr="001326F0">
              <w:rPr>
                <w:rFonts w:ascii="Book Antiqua" w:eastAsia="Times New Roman" w:hAnsi="Book Antiqua" w:cs="Times New Roman"/>
                <w:sz w:val="24"/>
                <w:szCs w:val="24"/>
                <w:lang w:val="en-US" w:eastAsia="it-IT"/>
              </w:rPr>
              <w:t xml:space="preserve">%) in the </w:t>
            </w:r>
            <w:r w:rsidRPr="001326F0">
              <w:rPr>
                <w:rFonts w:ascii="Book Antiqua" w:eastAsia="Times New Roman" w:hAnsi="Book Antiqua" w:cs="Times New Roman"/>
                <w:sz w:val="24"/>
                <w:szCs w:val="24"/>
                <w:lang w:val="en-US" w:eastAsia="it-IT"/>
              </w:rPr>
              <w:lastRenderedPageBreak/>
              <w:t>prevalence of the metabolic syndrome and a reduction in terms of waist circumference, BMI and total body weight.</w:t>
            </w:r>
          </w:p>
        </w:tc>
      </w:tr>
      <w:tr w:rsidR="001326F0" w:rsidRPr="001326F0" w:rsidTr="000D2616">
        <w:trPr>
          <w:trHeight w:val="849"/>
          <w:jc w:val="center"/>
        </w:trPr>
        <w:tc>
          <w:tcPr>
            <w:tcW w:w="2456" w:type="dxa"/>
            <w:tcBorders>
              <w:bottom w:val="single" w:sz="4" w:space="0" w:color="auto"/>
            </w:tcBorders>
            <w:noWrap/>
            <w:hideMark/>
          </w:tcPr>
          <w:p w:rsidR="00B070CF" w:rsidRPr="001326F0" w:rsidRDefault="00B070CF" w:rsidP="000D2616">
            <w:pPr>
              <w:adjustRightInd w:val="0"/>
              <w:snapToGrid w:val="0"/>
              <w:spacing w:line="360" w:lineRule="auto"/>
              <w:rPr>
                <w:rFonts w:ascii="Book Antiqua" w:eastAsia="Times New Roman" w:hAnsi="Book Antiqua" w:cs="Times New Roman"/>
                <w:sz w:val="24"/>
                <w:szCs w:val="24"/>
                <w:lang w:eastAsia="it-IT"/>
              </w:rPr>
            </w:pPr>
            <w:r w:rsidRPr="001326F0">
              <w:rPr>
                <w:rFonts w:ascii="Book Antiqua" w:eastAsia="Times New Roman" w:hAnsi="Book Antiqua" w:cs="Times New Roman"/>
                <w:sz w:val="24"/>
                <w:szCs w:val="24"/>
                <w:lang w:eastAsia="it-IT"/>
              </w:rPr>
              <w:lastRenderedPageBreak/>
              <w:t>Calanna</w:t>
            </w:r>
            <w:r w:rsidR="00D74C7F" w:rsidRPr="001326F0">
              <w:rPr>
                <w:rFonts w:ascii="Book Antiqua" w:eastAsia="Times New Roman" w:hAnsi="Book Antiqua" w:cs="Times New Roman"/>
                <w:sz w:val="24"/>
                <w:szCs w:val="24"/>
                <w:lang w:eastAsia="it-IT"/>
              </w:rPr>
              <w:t xml:space="preserve"> </w:t>
            </w:r>
            <w:r w:rsidR="00D74C7F" w:rsidRPr="001326F0">
              <w:rPr>
                <w:rFonts w:ascii="Book Antiqua" w:eastAsia="Times New Roman" w:hAnsi="Book Antiqua" w:cs="Times New Roman"/>
                <w:i/>
                <w:sz w:val="24"/>
                <w:szCs w:val="24"/>
                <w:lang w:eastAsia="it-IT"/>
              </w:rPr>
              <w:t>et al</w:t>
            </w:r>
            <w:r w:rsidRPr="001326F0">
              <w:rPr>
                <w:rFonts w:ascii="Book Antiqua" w:eastAsia="Times New Roman" w:hAnsi="Book Antiqua" w:cs="Times New Roman"/>
                <w:sz w:val="24"/>
                <w:szCs w:val="24"/>
                <w:vertAlign w:val="superscript"/>
                <w:lang w:val="en-US" w:eastAsia="it-IT"/>
              </w:rPr>
              <w:t>[211]</w:t>
            </w:r>
          </w:p>
        </w:tc>
        <w:tc>
          <w:tcPr>
            <w:tcW w:w="851" w:type="dxa"/>
            <w:tcBorders>
              <w:bottom w:val="single" w:sz="4" w:space="0" w:color="auto"/>
            </w:tcBorders>
            <w:noWrap/>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2013</w:t>
            </w:r>
          </w:p>
        </w:tc>
        <w:tc>
          <w:tcPr>
            <w:tcW w:w="7742" w:type="dxa"/>
            <w:tcBorders>
              <w:bottom w:val="single" w:sz="4" w:space="0" w:color="auto"/>
            </w:tcBorders>
            <w:hideMark/>
          </w:tcPr>
          <w:p w:rsidR="00B070CF" w:rsidRPr="001326F0" w:rsidRDefault="00B070CF" w:rsidP="000D2616">
            <w:pPr>
              <w:adjustRightInd w:val="0"/>
              <w:snapToGrid w:val="0"/>
              <w:spacing w:line="360" w:lineRule="auto"/>
              <w:jc w:val="center"/>
              <w:rPr>
                <w:rFonts w:ascii="Book Antiqua" w:eastAsia="Times New Roman" w:hAnsi="Book Antiqua" w:cs="Times New Roman"/>
                <w:sz w:val="24"/>
                <w:szCs w:val="24"/>
                <w:lang w:val="en-US" w:eastAsia="it-IT"/>
              </w:rPr>
            </w:pPr>
            <w:r w:rsidRPr="001326F0">
              <w:rPr>
                <w:rFonts w:ascii="Book Antiqua" w:eastAsia="Times New Roman" w:hAnsi="Book Antiqua" w:cs="Times New Roman"/>
                <w:sz w:val="24"/>
                <w:szCs w:val="24"/>
                <w:lang w:val="en-US" w:eastAsia="it-IT"/>
              </w:rPr>
              <w:t>At-risk obese individuals showed ↑ plasma glucose dependent insulinotropic polypeptide, ↓</w:t>
            </w:r>
            <w:r w:rsidR="00D74C7F" w:rsidRPr="001326F0">
              <w:rPr>
                <w:rFonts w:ascii="Book Antiqua" w:eastAsia="Times New Roman" w:hAnsi="Book Antiqua" w:cs="Times New Roman"/>
                <w:sz w:val="24"/>
                <w:szCs w:val="24"/>
                <w:lang w:val="en-US" w:eastAsia="it-IT"/>
              </w:rPr>
              <w:t xml:space="preserve"> </w:t>
            </w:r>
            <w:r w:rsidRPr="001326F0">
              <w:rPr>
                <w:rFonts w:ascii="Book Antiqua" w:eastAsia="Times New Roman" w:hAnsi="Book Antiqua" w:cs="Times New Roman"/>
                <w:sz w:val="24"/>
                <w:szCs w:val="24"/>
                <w:lang w:val="en-US" w:eastAsia="it-IT"/>
              </w:rPr>
              <w:t>post-glucose load glucagone-like-peptide-1, and ↑ levels at baseline and after glucose load, indicating inappropriate glucagone suppression</w:t>
            </w:r>
          </w:p>
        </w:tc>
      </w:tr>
    </w:tbl>
    <w:p w:rsidR="00B070CF" w:rsidRPr="001326F0" w:rsidRDefault="00B070CF" w:rsidP="00746C86">
      <w:pPr>
        <w:adjustRightInd w:val="0"/>
        <w:snapToGrid w:val="0"/>
        <w:spacing w:after="0" w:line="360" w:lineRule="auto"/>
        <w:jc w:val="both"/>
        <w:rPr>
          <w:rFonts w:ascii="Book Antiqua" w:hAnsi="Book Antiqua"/>
          <w:sz w:val="24"/>
          <w:szCs w:val="24"/>
          <w:lang w:val="en-US"/>
        </w:rPr>
      </w:pPr>
      <w:r w:rsidRPr="001326F0">
        <w:rPr>
          <w:rFonts w:ascii="Book Antiqua" w:hAnsi="Book Antiqua"/>
          <w:sz w:val="24"/>
          <w:szCs w:val="24"/>
          <w:lang w:val="en-US"/>
        </w:rPr>
        <w:t>BMI: Body</w:t>
      </w:r>
      <w:r w:rsidR="0048577B" w:rsidRPr="001326F0">
        <w:rPr>
          <w:rFonts w:ascii="Book Antiqua" w:hAnsi="Book Antiqua"/>
          <w:sz w:val="24"/>
          <w:szCs w:val="24"/>
          <w:lang w:val="en-US"/>
        </w:rPr>
        <w:t xml:space="preserve"> mass index</w:t>
      </w:r>
      <w:r w:rsidRPr="001326F0">
        <w:rPr>
          <w:rFonts w:ascii="Book Antiqua" w:hAnsi="Book Antiqua"/>
          <w:sz w:val="24"/>
          <w:szCs w:val="24"/>
          <w:lang w:val="en-US"/>
        </w:rPr>
        <w:t xml:space="preserve">; PBF: Percentage </w:t>
      </w:r>
      <w:r w:rsidR="0048577B" w:rsidRPr="001326F0">
        <w:rPr>
          <w:rFonts w:ascii="Book Antiqua" w:hAnsi="Book Antiqua"/>
          <w:sz w:val="24"/>
          <w:szCs w:val="24"/>
          <w:lang w:val="en-US"/>
        </w:rPr>
        <w:t xml:space="preserve">of total body fat; </w:t>
      </w:r>
      <w:r w:rsidRPr="001326F0">
        <w:rPr>
          <w:rFonts w:ascii="Book Antiqua" w:hAnsi="Book Antiqua"/>
          <w:sz w:val="24"/>
          <w:szCs w:val="24"/>
          <w:lang w:val="en-US"/>
        </w:rPr>
        <w:t xml:space="preserve">NWO: Normal </w:t>
      </w:r>
      <w:r w:rsidR="0048577B" w:rsidRPr="001326F0">
        <w:rPr>
          <w:rFonts w:ascii="Book Antiqua" w:hAnsi="Book Antiqua"/>
          <w:sz w:val="24"/>
          <w:szCs w:val="24"/>
          <w:lang w:val="en-US"/>
        </w:rPr>
        <w:t>weight obesity</w:t>
      </w:r>
      <w:r w:rsidRPr="001326F0">
        <w:rPr>
          <w:rFonts w:ascii="Book Antiqua" w:hAnsi="Book Antiqua"/>
          <w:sz w:val="24"/>
          <w:szCs w:val="24"/>
          <w:lang w:val="en-US"/>
        </w:rPr>
        <w:t xml:space="preserve">; NWL: Normal </w:t>
      </w:r>
      <w:r w:rsidR="0048577B" w:rsidRPr="001326F0">
        <w:rPr>
          <w:rFonts w:ascii="Book Antiqua" w:hAnsi="Book Antiqua"/>
          <w:sz w:val="24"/>
          <w:szCs w:val="24"/>
          <w:lang w:val="en-US"/>
        </w:rPr>
        <w:t>weight lean;</w:t>
      </w:r>
      <w:r w:rsidRPr="001326F0">
        <w:rPr>
          <w:rFonts w:ascii="Book Antiqua" w:hAnsi="Book Antiqua"/>
          <w:sz w:val="24"/>
          <w:szCs w:val="24"/>
          <w:lang w:val="en-US"/>
        </w:rPr>
        <w:t xml:space="preserve"> FFM: Fat </w:t>
      </w:r>
      <w:r w:rsidR="0048577B" w:rsidRPr="001326F0">
        <w:rPr>
          <w:rFonts w:ascii="Book Antiqua" w:hAnsi="Book Antiqua"/>
          <w:sz w:val="24"/>
          <w:szCs w:val="24"/>
          <w:lang w:val="en-US"/>
        </w:rPr>
        <w:t xml:space="preserve">free mass; </w:t>
      </w:r>
      <w:r w:rsidRPr="001326F0">
        <w:rPr>
          <w:rFonts w:ascii="Book Antiqua" w:hAnsi="Book Antiqua"/>
          <w:sz w:val="24"/>
          <w:szCs w:val="24"/>
          <w:lang w:val="en-US"/>
        </w:rPr>
        <w:t xml:space="preserve">HOMA: Homeostatic </w:t>
      </w:r>
      <w:r w:rsidR="0048577B" w:rsidRPr="001326F0">
        <w:rPr>
          <w:rFonts w:ascii="Book Antiqua" w:hAnsi="Book Antiqua"/>
          <w:sz w:val="24"/>
          <w:szCs w:val="24"/>
          <w:lang w:val="en-US"/>
        </w:rPr>
        <w:t>model assessment</w:t>
      </w:r>
      <w:r w:rsidRPr="001326F0">
        <w:rPr>
          <w:rFonts w:ascii="Book Antiqua" w:hAnsi="Book Antiqua"/>
          <w:sz w:val="24"/>
          <w:szCs w:val="24"/>
          <w:lang w:val="en-US"/>
        </w:rPr>
        <w:t xml:space="preserve">; LDL: Low </w:t>
      </w:r>
      <w:r w:rsidR="0048577B" w:rsidRPr="001326F0">
        <w:rPr>
          <w:rFonts w:ascii="Book Antiqua" w:hAnsi="Book Antiqua"/>
          <w:sz w:val="24"/>
          <w:szCs w:val="24"/>
          <w:lang w:val="en-US"/>
        </w:rPr>
        <w:t>density lipoprotein;</w:t>
      </w:r>
      <w:r w:rsidRPr="001326F0">
        <w:rPr>
          <w:rFonts w:ascii="Book Antiqua" w:hAnsi="Book Antiqua"/>
          <w:sz w:val="24"/>
          <w:szCs w:val="24"/>
          <w:lang w:val="en-US"/>
        </w:rPr>
        <w:t xml:space="preserve"> HDL: High </w:t>
      </w:r>
      <w:r w:rsidR="0048577B" w:rsidRPr="001326F0">
        <w:rPr>
          <w:rFonts w:ascii="Book Antiqua" w:hAnsi="Book Antiqua"/>
          <w:sz w:val="24"/>
          <w:szCs w:val="24"/>
          <w:lang w:val="en-US"/>
        </w:rPr>
        <w:t>density lipoprotein;</w:t>
      </w:r>
      <w:r w:rsidRPr="001326F0">
        <w:rPr>
          <w:rFonts w:ascii="Book Antiqua" w:hAnsi="Book Antiqua"/>
          <w:sz w:val="24"/>
          <w:szCs w:val="24"/>
          <w:lang w:val="en-US"/>
        </w:rPr>
        <w:t xml:space="preserve"> CVD: Cardiovascular </w:t>
      </w:r>
      <w:r w:rsidR="0048577B" w:rsidRPr="001326F0">
        <w:rPr>
          <w:rFonts w:ascii="Book Antiqua" w:hAnsi="Book Antiqua"/>
          <w:sz w:val="24"/>
          <w:szCs w:val="24"/>
          <w:lang w:val="en-US"/>
        </w:rPr>
        <w:t>disease</w:t>
      </w:r>
      <w:r w:rsidRPr="001326F0">
        <w:rPr>
          <w:rFonts w:ascii="Book Antiqua" w:hAnsi="Book Antiqua"/>
          <w:sz w:val="24"/>
          <w:szCs w:val="24"/>
          <w:lang w:val="en-US"/>
        </w:rPr>
        <w:t xml:space="preserve">; MHO: Metabolically </w:t>
      </w:r>
      <w:r w:rsidR="0048577B" w:rsidRPr="001326F0">
        <w:rPr>
          <w:rFonts w:ascii="Book Antiqua" w:hAnsi="Book Antiqua"/>
          <w:sz w:val="24"/>
          <w:szCs w:val="24"/>
          <w:lang w:val="en-US"/>
        </w:rPr>
        <w:t>healthy obese;</w:t>
      </w:r>
      <w:r w:rsidRPr="001326F0">
        <w:rPr>
          <w:rFonts w:ascii="Book Antiqua" w:hAnsi="Book Antiqua"/>
          <w:sz w:val="24"/>
          <w:szCs w:val="24"/>
          <w:lang w:val="en-US"/>
        </w:rPr>
        <w:t xml:space="preserve"> HbA</w:t>
      </w:r>
      <w:r w:rsidRPr="001326F0">
        <w:rPr>
          <w:rFonts w:ascii="Book Antiqua" w:hAnsi="Book Antiqua"/>
          <w:sz w:val="24"/>
          <w:szCs w:val="24"/>
          <w:vertAlign w:val="subscript"/>
          <w:lang w:val="en-US"/>
        </w:rPr>
        <w:t>1c</w:t>
      </w:r>
      <w:r w:rsidRPr="001326F0">
        <w:rPr>
          <w:rFonts w:ascii="Book Antiqua" w:hAnsi="Book Antiqua"/>
          <w:sz w:val="24"/>
          <w:szCs w:val="24"/>
          <w:lang w:val="en-US"/>
        </w:rPr>
        <w:t xml:space="preserve">: Glycated </w:t>
      </w:r>
      <w:r w:rsidR="0048577B" w:rsidRPr="001326F0">
        <w:rPr>
          <w:rFonts w:ascii="Book Antiqua" w:hAnsi="Book Antiqua"/>
          <w:sz w:val="24"/>
          <w:szCs w:val="24"/>
          <w:lang w:val="en-US"/>
        </w:rPr>
        <w:t>haemoglobin;</w:t>
      </w:r>
      <w:r w:rsidRPr="001326F0">
        <w:rPr>
          <w:rFonts w:ascii="Book Antiqua" w:hAnsi="Book Antiqua"/>
          <w:sz w:val="24"/>
          <w:szCs w:val="24"/>
          <w:lang w:val="en-US"/>
        </w:rPr>
        <w:t xml:space="preserve"> hsCRP: </w:t>
      </w:r>
      <w:r w:rsidR="0048577B" w:rsidRPr="001326F0">
        <w:rPr>
          <w:rFonts w:ascii="Book Antiqua" w:hAnsi="Book Antiqua"/>
          <w:sz w:val="24"/>
          <w:szCs w:val="24"/>
          <w:lang w:val="en-US"/>
        </w:rPr>
        <w:t xml:space="preserve">High </w:t>
      </w:r>
      <w:r w:rsidRPr="001326F0">
        <w:rPr>
          <w:rFonts w:ascii="Book Antiqua" w:hAnsi="Book Antiqua"/>
          <w:sz w:val="24"/>
          <w:szCs w:val="24"/>
          <w:lang w:val="en-US"/>
        </w:rPr>
        <w:t xml:space="preserve">sensitive C-reactive protein; MHNW: Metabolically </w:t>
      </w:r>
      <w:r w:rsidR="0048577B" w:rsidRPr="001326F0">
        <w:rPr>
          <w:rFonts w:ascii="Book Antiqua" w:hAnsi="Book Antiqua"/>
          <w:sz w:val="24"/>
          <w:szCs w:val="24"/>
          <w:lang w:val="en-US"/>
        </w:rPr>
        <w:t>healthy normal weight;</w:t>
      </w:r>
      <w:r w:rsidRPr="001326F0">
        <w:rPr>
          <w:rFonts w:ascii="Book Antiqua" w:hAnsi="Book Antiqua"/>
          <w:sz w:val="24"/>
          <w:szCs w:val="24"/>
          <w:lang w:val="en-US"/>
        </w:rPr>
        <w:t xml:space="preserve"> MONW: Metabolically </w:t>
      </w:r>
      <w:r w:rsidR="0048577B" w:rsidRPr="001326F0">
        <w:rPr>
          <w:rFonts w:ascii="Book Antiqua" w:hAnsi="Book Antiqua"/>
          <w:sz w:val="24"/>
          <w:szCs w:val="24"/>
          <w:lang w:val="en-US"/>
        </w:rPr>
        <w:t>obese normal weight;</w:t>
      </w:r>
      <w:r w:rsidRPr="001326F0">
        <w:rPr>
          <w:rFonts w:ascii="Book Antiqua" w:hAnsi="Book Antiqua"/>
          <w:sz w:val="24"/>
          <w:szCs w:val="24"/>
          <w:lang w:val="en-US"/>
        </w:rPr>
        <w:t xml:space="preserve"> </w:t>
      </w:r>
      <w:r w:rsidRPr="001326F0">
        <w:rPr>
          <w:rFonts w:ascii="Book Antiqua" w:hAnsi="Book Antiqua" w:cs="Times New Roman"/>
          <w:sz w:val="24"/>
          <w:szCs w:val="24"/>
          <w:lang w:val="en-US"/>
        </w:rPr>
        <w:t>MUO: Metabolically</w:t>
      </w:r>
      <w:r w:rsidR="0048577B" w:rsidRPr="001326F0">
        <w:rPr>
          <w:rFonts w:ascii="Book Antiqua" w:hAnsi="Book Antiqua" w:cs="Times New Roman"/>
          <w:sz w:val="24"/>
          <w:szCs w:val="24"/>
          <w:lang w:val="en-US"/>
        </w:rPr>
        <w:t xml:space="preserve"> unhealthy obese; </w:t>
      </w:r>
      <w:r w:rsidRPr="001326F0">
        <w:rPr>
          <w:rFonts w:ascii="Book Antiqua" w:hAnsi="Book Antiqua"/>
          <w:sz w:val="24"/>
          <w:szCs w:val="24"/>
          <w:lang w:val="en-US"/>
        </w:rPr>
        <w:t xml:space="preserve">CHD: Chronic </w:t>
      </w:r>
      <w:r w:rsidR="0048577B" w:rsidRPr="001326F0">
        <w:rPr>
          <w:rFonts w:ascii="Book Antiqua" w:hAnsi="Book Antiqua"/>
          <w:sz w:val="24"/>
          <w:szCs w:val="24"/>
          <w:lang w:val="en-US"/>
        </w:rPr>
        <w:t xml:space="preserve">heart disease; </w:t>
      </w:r>
      <w:r w:rsidRPr="001326F0">
        <w:rPr>
          <w:rFonts w:ascii="Book Antiqua" w:hAnsi="Book Antiqua"/>
          <w:sz w:val="24"/>
          <w:szCs w:val="24"/>
          <w:lang w:val="en-US"/>
        </w:rPr>
        <w:t xml:space="preserve">T2DM: Type 2 </w:t>
      </w:r>
      <w:r w:rsidR="0048577B" w:rsidRPr="001326F0">
        <w:rPr>
          <w:rFonts w:ascii="Book Antiqua" w:hAnsi="Book Antiqua"/>
          <w:sz w:val="24"/>
          <w:szCs w:val="24"/>
          <w:lang w:val="en-US"/>
        </w:rPr>
        <w:t xml:space="preserve">diabetes mellitus; </w:t>
      </w:r>
      <w:r w:rsidRPr="001326F0">
        <w:rPr>
          <w:rFonts w:ascii="Book Antiqua" w:hAnsi="Book Antiqua"/>
          <w:sz w:val="24"/>
          <w:szCs w:val="24"/>
          <w:lang w:val="en-US"/>
        </w:rPr>
        <w:t xml:space="preserve">MAO: Metabolic </w:t>
      </w:r>
      <w:r w:rsidR="0048577B" w:rsidRPr="001326F0">
        <w:rPr>
          <w:rFonts w:ascii="Book Antiqua" w:hAnsi="Book Antiqua"/>
          <w:sz w:val="24"/>
          <w:szCs w:val="24"/>
          <w:lang w:val="en-US"/>
        </w:rPr>
        <w:t xml:space="preserve">abnormal obese; </w:t>
      </w:r>
      <w:r w:rsidRPr="001326F0">
        <w:rPr>
          <w:rFonts w:ascii="Book Antiqua" w:hAnsi="Book Antiqua"/>
          <w:sz w:val="24"/>
          <w:szCs w:val="24"/>
          <w:lang w:val="en-US"/>
        </w:rPr>
        <w:t>MNO: Metabolically</w:t>
      </w:r>
      <w:r w:rsidR="0048577B" w:rsidRPr="001326F0">
        <w:rPr>
          <w:rFonts w:ascii="Book Antiqua" w:hAnsi="Book Antiqua"/>
          <w:sz w:val="24"/>
          <w:szCs w:val="24"/>
          <w:lang w:val="en-US"/>
        </w:rPr>
        <w:t xml:space="preserve"> normal obese</w:t>
      </w:r>
      <w:r w:rsidR="0048577B" w:rsidRPr="001326F0">
        <w:rPr>
          <w:rFonts w:ascii="Book Antiqua" w:hAnsi="Book Antiqua" w:hint="eastAsia"/>
          <w:sz w:val="24"/>
          <w:szCs w:val="24"/>
          <w:lang w:val="en-US" w:eastAsia="zh-CN"/>
        </w:rPr>
        <w:t>.</w:t>
      </w:r>
      <w:r w:rsidR="0048577B" w:rsidRPr="001326F0">
        <w:rPr>
          <w:rFonts w:ascii="Book Antiqua" w:hAnsi="Book Antiqua"/>
          <w:sz w:val="24"/>
          <w:szCs w:val="24"/>
          <w:lang w:val="en-US"/>
        </w:rPr>
        <w:t xml:space="preserve"> </w:t>
      </w:r>
    </w:p>
    <w:p w:rsidR="00B070CF" w:rsidRPr="001326F0" w:rsidRDefault="00B070CF" w:rsidP="00746C86">
      <w:pPr>
        <w:adjustRightInd w:val="0"/>
        <w:snapToGrid w:val="0"/>
        <w:spacing w:after="0" w:line="360" w:lineRule="auto"/>
        <w:jc w:val="both"/>
        <w:rPr>
          <w:rFonts w:ascii="Book Antiqua" w:hAnsi="Book Antiqua" w:cs="Times New Roman"/>
          <w:sz w:val="24"/>
          <w:szCs w:val="24"/>
          <w:lang w:val="en-US" w:eastAsia="zh-CN"/>
        </w:rPr>
      </w:pPr>
    </w:p>
    <w:sectPr w:rsidR="00B070CF" w:rsidRPr="001326F0" w:rsidSect="002A2823">
      <w:footerReference w:type="default" r:id="rId14"/>
      <w:pgSz w:w="11906" w:h="16838"/>
      <w:pgMar w:top="1440" w:right="1797" w:bottom="1429"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107" w:rsidRDefault="00767107" w:rsidP="006D6CFF">
      <w:pPr>
        <w:spacing w:after="0" w:line="240" w:lineRule="auto"/>
      </w:pPr>
      <w:r>
        <w:separator/>
      </w:r>
    </w:p>
  </w:endnote>
  <w:endnote w:type="continuationSeparator" w:id="0">
    <w:p w:rsidR="00767107" w:rsidRDefault="00767107" w:rsidP="006D6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A1002AE7" w:usb1="C0000063" w:usb2="00000038" w:usb3="00000000" w:csb0="000000B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83" w:usb1="08070000" w:usb2="00000010" w:usb3="00000000" w:csb0="00020009" w:csb1="00000000"/>
  </w:font>
  <w:font w:name="Trebuchet MS">
    <w:panose1 w:val="020B0603020202020204"/>
    <w:charset w:val="00"/>
    <w:family w:val="swiss"/>
    <w:pitch w:val="variable"/>
    <w:sig w:usb0="00000287" w:usb1="00000000" w:usb2="00000000" w:usb3="00000000" w:csb0="0000009F" w:csb1="00000000"/>
  </w:font>
  <w:font w:name="Times-Roman">
    <w:altName w:val="MS Mincho"/>
    <w:panose1 w:val="00000000000000000000"/>
    <w:charset w:val="8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19110"/>
      <w:docPartObj>
        <w:docPartGallery w:val="Page Numbers (Bottom of Page)"/>
        <w:docPartUnique/>
      </w:docPartObj>
    </w:sdtPr>
    <w:sdtEndPr/>
    <w:sdtContent>
      <w:p w:rsidR="00EF3F4D" w:rsidRDefault="00EF3F4D">
        <w:pPr>
          <w:pStyle w:val="Footer"/>
          <w:jc w:val="right"/>
        </w:pPr>
        <w:r>
          <w:fldChar w:fldCharType="begin"/>
        </w:r>
        <w:r>
          <w:instrText xml:space="preserve"> PAGE   \* MERGEFORMAT </w:instrText>
        </w:r>
        <w:r>
          <w:fldChar w:fldCharType="separate"/>
        </w:r>
        <w:r w:rsidR="00CE6FD3">
          <w:rPr>
            <w:noProof/>
          </w:rPr>
          <w:t>75</w:t>
        </w:r>
        <w:r>
          <w:rPr>
            <w:noProof/>
          </w:rPr>
          <w:fldChar w:fldCharType="end"/>
        </w:r>
      </w:p>
    </w:sdtContent>
  </w:sdt>
  <w:p w:rsidR="00EF3F4D" w:rsidRDefault="00EF3F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107" w:rsidRDefault="00767107" w:rsidP="006D6CFF">
      <w:pPr>
        <w:spacing w:after="0" w:line="240" w:lineRule="auto"/>
      </w:pPr>
      <w:r>
        <w:separator/>
      </w:r>
    </w:p>
  </w:footnote>
  <w:footnote w:type="continuationSeparator" w:id="0">
    <w:p w:rsidR="00767107" w:rsidRDefault="00767107" w:rsidP="006D6C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A6C20082"/>
    <w:name w:val="WW8Num2"/>
    <w:lvl w:ilvl="0">
      <w:start w:val="1"/>
      <w:numFmt w:val="decimal"/>
      <w:lvlText w:val="[%1]"/>
      <w:lvlJc w:val="right"/>
      <w:pPr>
        <w:tabs>
          <w:tab w:val="num" w:pos="720"/>
        </w:tabs>
        <w:ind w:left="720" w:hanging="360"/>
      </w:pPr>
      <w:rPr>
        <w:rFonts w:ascii="Times New Roman" w:hAnsi="Times New Roman" w:hint="default"/>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DE3978"/>
    <w:multiLevelType w:val="hybridMultilevel"/>
    <w:tmpl w:val="1018A704"/>
    <w:lvl w:ilvl="0" w:tplc="04100011">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B4465EF"/>
    <w:multiLevelType w:val="multilevel"/>
    <w:tmpl w:val="A5D69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E10133"/>
    <w:multiLevelType w:val="hybridMultilevel"/>
    <w:tmpl w:val="5574C994"/>
    <w:lvl w:ilvl="0" w:tplc="3D3A2C72">
      <w:start w:val="1"/>
      <w:numFmt w:val="upperLetter"/>
      <w:lvlText w:val="%1."/>
      <w:lvlJc w:val="left"/>
      <w:pPr>
        <w:ind w:left="720" w:hanging="360"/>
      </w:pPr>
      <w:rPr>
        <w:rFonts w:hint="default"/>
        <w:color w:val="C0504D" w:themeColor="accent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47695C"/>
    <w:multiLevelType w:val="hybridMultilevel"/>
    <w:tmpl w:val="04383EA8"/>
    <w:lvl w:ilvl="0" w:tplc="4F72244C">
      <w:start w:val="1"/>
      <w:numFmt w:val="decimal"/>
      <w:lvlText w:val="%1"/>
      <w:lvlJc w:val="left"/>
      <w:pPr>
        <w:ind w:left="360" w:hanging="360"/>
      </w:pPr>
      <w:rPr>
        <w:rFonts w:eastAsia="SimSun" w:cs="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9EA4BDA"/>
    <w:multiLevelType w:val="hybridMultilevel"/>
    <w:tmpl w:val="4676B31C"/>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A1D48E3"/>
    <w:multiLevelType w:val="hybridMultilevel"/>
    <w:tmpl w:val="F63635FA"/>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D6B79D8"/>
    <w:multiLevelType w:val="singleLevel"/>
    <w:tmpl w:val="91169316"/>
    <w:lvl w:ilvl="0">
      <w:start w:val="1"/>
      <w:numFmt w:val="decimal"/>
      <w:lvlText w:val="%1."/>
      <w:lvlJc w:val="left"/>
      <w:pPr>
        <w:tabs>
          <w:tab w:val="num" w:pos="360"/>
        </w:tabs>
        <w:ind w:left="360" w:hanging="360"/>
      </w:pPr>
      <w:rPr>
        <w:rFonts w:ascii="Arial" w:hAnsi="Arial" w:hint="default"/>
        <w:b w:val="0"/>
        <w:i w:val="0"/>
        <w:sz w:val="20"/>
      </w:rPr>
    </w:lvl>
  </w:abstractNum>
  <w:abstractNum w:abstractNumId="10" w15:restartNumberingAfterBreak="0">
    <w:nsid w:val="45C0125F"/>
    <w:multiLevelType w:val="hybridMultilevel"/>
    <w:tmpl w:val="4676B31C"/>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6FA1713"/>
    <w:multiLevelType w:val="hybridMultilevel"/>
    <w:tmpl w:val="D620136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E5A1A16"/>
    <w:multiLevelType w:val="hybridMultilevel"/>
    <w:tmpl w:val="F63635FA"/>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6E60A55"/>
    <w:multiLevelType w:val="hybridMultilevel"/>
    <w:tmpl w:val="65F850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C1A107E"/>
    <w:multiLevelType w:val="hybridMultilevel"/>
    <w:tmpl w:val="F09046AC"/>
    <w:lvl w:ilvl="0" w:tplc="17D805A6">
      <w:start w:val="3"/>
      <w:numFmt w:val="bullet"/>
      <w:lvlText w:val=""/>
      <w:lvlJc w:val="left"/>
      <w:pPr>
        <w:ind w:left="720" w:hanging="360"/>
      </w:pPr>
      <w:rPr>
        <w:rFonts w:ascii="Symbol" w:eastAsia="宋体 Italic" w:hAnsi="Symbol" w:cs="Times New Roman"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E5E7A05"/>
    <w:multiLevelType w:val="hybridMultilevel"/>
    <w:tmpl w:val="860C2178"/>
    <w:lvl w:ilvl="0" w:tplc="04100015">
      <w:start w:val="1"/>
      <w:numFmt w:val="upp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60206C67"/>
    <w:multiLevelType w:val="hybridMultilevel"/>
    <w:tmpl w:val="F63635FA"/>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11B2060"/>
    <w:multiLevelType w:val="hybridMultilevel"/>
    <w:tmpl w:val="85E413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B3931AE"/>
    <w:multiLevelType w:val="hybridMultilevel"/>
    <w:tmpl w:val="4676B31C"/>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C653B87"/>
    <w:multiLevelType w:val="hybridMultilevel"/>
    <w:tmpl w:val="8B687C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F8971F4"/>
    <w:multiLevelType w:val="hybridMultilevel"/>
    <w:tmpl w:val="D8049A42"/>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FC0401D"/>
    <w:multiLevelType w:val="hybridMultilevel"/>
    <w:tmpl w:val="F63635FA"/>
    <w:lvl w:ilvl="0" w:tplc="1DC8DBF8">
      <w:start w:val="1"/>
      <w:numFmt w:val="decimal"/>
      <w:lvlText w:val="%1."/>
      <w:lvlJc w:val="left"/>
      <w:pPr>
        <w:ind w:left="720" w:hanging="360"/>
      </w:pPr>
      <w:rPr>
        <w:rFonts w:hint="default"/>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4"/>
  </w:num>
  <w:num w:numId="3">
    <w:abstractNumId w:val="1"/>
  </w:num>
  <w:num w:numId="4">
    <w:abstractNumId w:val="9"/>
  </w:num>
  <w:num w:numId="5">
    <w:abstractNumId w:val="11"/>
  </w:num>
  <w:num w:numId="6">
    <w:abstractNumId w:val="3"/>
  </w:num>
  <w:num w:numId="7">
    <w:abstractNumId w:val="0"/>
  </w:num>
  <w:num w:numId="8">
    <w:abstractNumId w:val="2"/>
  </w:num>
  <w:num w:numId="9">
    <w:abstractNumId w:val="5"/>
  </w:num>
  <w:num w:numId="10">
    <w:abstractNumId w:val="17"/>
  </w:num>
  <w:num w:numId="11">
    <w:abstractNumId w:val="19"/>
  </w:num>
  <w:num w:numId="12">
    <w:abstractNumId w:val="14"/>
  </w:num>
  <w:num w:numId="13">
    <w:abstractNumId w:val="13"/>
  </w:num>
  <w:num w:numId="14">
    <w:abstractNumId w:val="10"/>
  </w:num>
  <w:num w:numId="15">
    <w:abstractNumId w:val="21"/>
  </w:num>
  <w:num w:numId="16">
    <w:abstractNumId w:val="12"/>
  </w:num>
  <w:num w:numId="17">
    <w:abstractNumId w:val="16"/>
  </w:num>
  <w:num w:numId="18">
    <w:abstractNumId w:val="8"/>
  </w:num>
  <w:num w:numId="19">
    <w:abstractNumId w:val="20"/>
  </w:num>
  <w:num w:numId="20">
    <w:abstractNumId w:val="7"/>
  </w:num>
  <w:num w:numId="21">
    <w:abstractNumId w:val="1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9E"/>
    <w:rsid w:val="0000090A"/>
    <w:rsid w:val="000011DE"/>
    <w:rsid w:val="00002079"/>
    <w:rsid w:val="00004A55"/>
    <w:rsid w:val="000069EA"/>
    <w:rsid w:val="0001010E"/>
    <w:rsid w:val="00010EDC"/>
    <w:rsid w:val="000123ED"/>
    <w:rsid w:val="000123FB"/>
    <w:rsid w:val="000139EC"/>
    <w:rsid w:val="000159C1"/>
    <w:rsid w:val="00015B54"/>
    <w:rsid w:val="00016C21"/>
    <w:rsid w:val="00017047"/>
    <w:rsid w:val="00020851"/>
    <w:rsid w:val="000208D0"/>
    <w:rsid w:val="00021012"/>
    <w:rsid w:val="000228A2"/>
    <w:rsid w:val="00022C48"/>
    <w:rsid w:val="00026971"/>
    <w:rsid w:val="00026DCF"/>
    <w:rsid w:val="000327E3"/>
    <w:rsid w:val="00032E12"/>
    <w:rsid w:val="00033769"/>
    <w:rsid w:val="00033AFA"/>
    <w:rsid w:val="000340CB"/>
    <w:rsid w:val="00036939"/>
    <w:rsid w:val="00040B2A"/>
    <w:rsid w:val="00041121"/>
    <w:rsid w:val="00041909"/>
    <w:rsid w:val="00042AB2"/>
    <w:rsid w:val="00042B13"/>
    <w:rsid w:val="000452DD"/>
    <w:rsid w:val="00045B45"/>
    <w:rsid w:val="00046183"/>
    <w:rsid w:val="000467D3"/>
    <w:rsid w:val="000471E4"/>
    <w:rsid w:val="00050463"/>
    <w:rsid w:val="000504E7"/>
    <w:rsid w:val="00052C2E"/>
    <w:rsid w:val="00055CBF"/>
    <w:rsid w:val="00056FC6"/>
    <w:rsid w:val="000570AB"/>
    <w:rsid w:val="000601BA"/>
    <w:rsid w:val="00062656"/>
    <w:rsid w:val="00062D07"/>
    <w:rsid w:val="00064B72"/>
    <w:rsid w:val="000653AE"/>
    <w:rsid w:val="00066F87"/>
    <w:rsid w:val="00070077"/>
    <w:rsid w:val="00070DE8"/>
    <w:rsid w:val="00073A7D"/>
    <w:rsid w:val="00073E8C"/>
    <w:rsid w:val="00074FBA"/>
    <w:rsid w:val="000763D6"/>
    <w:rsid w:val="000804F8"/>
    <w:rsid w:val="00081E0B"/>
    <w:rsid w:val="000821B5"/>
    <w:rsid w:val="00083690"/>
    <w:rsid w:val="00083E08"/>
    <w:rsid w:val="00084CDE"/>
    <w:rsid w:val="000866DE"/>
    <w:rsid w:val="00090A19"/>
    <w:rsid w:val="00090BA7"/>
    <w:rsid w:val="00092311"/>
    <w:rsid w:val="00093D47"/>
    <w:rsid w:val="000A07CF"/>
    <w:rsid w:val="000A0AE4"/>
    <w:rsid w:val="000A1E98"/>
    <w:rsid w:val="000A1F87"/>
    <w:rsid w:val="000A2416"/>
    <w:rsid w:val="000A31A9"/>
    <w:rsid w:val="000A31C5"/>
    <w:rsid w:val="000A3646"/>
    <w:rsid w:val="000A36E5"/>
    <w:rsid w:val="000A396A"/>
    <w:rsid w:val="000A40DE"/>
    <w:rsid w:val="000A6C63"/>
    <w:rsid w:val="000B0069"/>
    <w:rsid w:val="000B0BA5"/>
    <w:rsid w:val="000B0DE4"/>
    <w:rsid w:val="000B3E0D"/>
    <w:rsid w:val="000B59BB"/>
    <w:rsid w:val="000B6415"/>
    <w:rsid w:val="000C009E"/>
    <w:rsid w:val="000C20BE"/>
    <w:rsid w:val="000C20FA"/>
    <w:rsid w:val="000C2F1B"/>
    <w:rsid w:val="000C31A9"/>
    <w:rsid w:val="000C429C"/>
    <w:rsid w:val="000C481F"/>
    <w:rsid w:val="000C4C3D"/>
    <w:rsid w:val="000C5D86"/>
    <w:rsid w:val="000C6681"/>
    <w:rsid w:val="000C673D"/>
    <w:rsid w:val="000D0E7A"/>
    <w:rsid w:val="000D1870"/>
    <w:rsid w:val="000D2616"/>
    <w:rsid w:val="000D3DCA"/>
    <w:rsid w:val="000D4E44"/>
    <w:rsid w:val="000D5C14"/>
    <w:rsid w:val="000D7185"/>
    <w:rsid w:val="000E0205"/>
    <w:rsid w:val="000E054F"/>
    <w:rsid w:val="000E0CD1"/>
    <w:rsid w:val="000E2787"/>
    <w:rsid w:val="000E5192"/>
    <w:rsid w:val="000E67E2"/>
    <w:rsid w:val="000F01FC"/>
    <w:rsid w:val="000F575F"/>
    <w:rsid w:val="000F5FE8"/>
    <w:rsid w:val="000F67B9"/>
    <w:rsid w:val="000F6889"/>
    <w:rsid w:val="0010010E"/>
    <w:rsid w:val="0010161E"/>
    <w:rsid w:val="00101AC0"/>
    <w:rsid w:val="001039B8"/>
    <w:rsid w:val="001069AA"/>
    <w:rsid w:val="00113478"/>
    <w:rsid w:val="001136E4"/>
    <w:rsid w:val="00114083"/>
    <w:rsid w:val="001159E6"/>
    <w:rsid w:val="001163BD"/>
    <w:rsid w:val="001223D6"/>
    <w:rsid w:val="00123594"/>
    <w:rsid w:val="00123C20"/>
    <w:rsid w:val="00124867"/>
    <w:rsid w:val="001267A9"/>
    <w:rsid w:val="00130D90"/>
    <w:rsid w:val="0013214F"/>
    <w:rsid w:val="001326F0"/>
    <w:rsid w:val="001356A9"/>
    <w:rsid w:val="00135D2E"/>
    <w:rsid w:val="00136E32"/>
    <w:rsid w:val="00137425"/>
    <w:rsid w:val="00140738"/>
    <w:rsid w:val="00141D10"/>
    <w:rsid w:val="00142AF7"/>
    <w:rsid w:val="00143B67"/>
    <w:rsid w:val="00143D07"/>
    <w:rsid w:val="0014419F"/>
    <w:rsid w:val="001471B5"/>
    <w:rsid w:val="0014755E"/>
    <w:rsid w:val="00147A4E"/>
    <w:rsid w:val="00147CB7"/>
    <w:rsid w:val="001501B5"/>
    <w:rsid w:val="00150B43"/>
    <w:rsid w:val="00152231"/>
    <w:rsid w:val="00152E04"/>
    <w:rsid w:val="001530E1"/>
    <w:rsid w:val="00154A26"/>
    <w:rsid w:val="00155FC2"/>
    <w:rsid w:val="00160B01"/>
    <w:rsid w:val="001627B0"/>
    <w:rsid w:val="00162D4F"/>
    <w:rsid w:val="00164153"/>
    <w:rsid w:val="00167B4E"/>
    <w:rsid w:val="00170046"/>
    <w:rsid w:val="00170482"/>
    <w:rsid w:val="00170E30"/>
    <w:rsid w:val="001718E2"/>
    <w:rsid w:val="001719EF"/>
    <w:rsid w:val="00171B1E"/>
    <w:rsid w:val="00173C94"/>
    <w:rsid w:val="0017488B"/>
    <w:rsid w:val="001748E7"/>
    <w:rsid w:val="00181633"/>
    <w:rsid w:val="001826CD"/>
    <w:rsid w:val="0018356B"/>
    <w:rsid w:val="00183929"/>
    <w:rsid w:val="00184A49"/>
    <w:rsid w:val="0018588B"/>
    <w:rsid w:val="001864F2"/>
    <w:rsid w:val="00192392"/>
    <w:rsid w:val="00192655"/>
    <w:rsid w:val="0019308C"/>
    <w:rsid w:val="00194886"/>
    <w:rsid w:val="001960F6"/>
    <w:rsid w:val="00196275"/>
    <w:rsid w:val="00196BEF"/>
    <w:rsid w:val="001A06C1"/>
    <w:rsid w:val="001A15A4"/>
    <w:rsid w:val="001A210D"/>
    <w:rsid w:val="001A3818"/>
    <w:rsid w:val="001A540C"/>
    <w:rsid w:val="001A59CD"/>
    <w:rsid w:val="001A59ED"/>
    <w:rsid w:val="001A75C6"/>
    <w:rsid w:val="001A78B4"/>
    <w:rsid w:val="001B0793"/>
    <w:rsid w:val="001B1522"/>
    <w:rsid w:val="001B192B"/>
    <w:rsid w:val="001B2537"/>
    <w:rsid w:val="001B36FA"/>
    <w:rsid w:val="001B5857"/>
    <w:rsid w:val="001B67CC"/>
    <w:rsid w:val="001B76F1"/>
    <w:rsid w:val="001C2B3D"/>
    <w:rsid w:val="001C2FC3"/>
    <w:rsid w:val="001C5D18"/>
    <w:rsid w:val="001C61C8"/>
    <w:rsid w:val="001C6A9A"/>
    <w:rsid w:val="001D3ABA"/>
    <w:rsid w:val="001D5EC9"/>
    <w:rsid w:val="001D6DF8"/>
    <w:rsid w:val="001E0000"/>
    <w:rsid w:val="001E06D3"/>
    <w:rsid w:val="001E0CC3"/>
    <w:rsid w:val="001E13D9"/>
    <w:rsid w:val="001E13E7"/>
    <w:rsid w:val="001E1BFB"/>
    <w:rsid w:val="001E1E99"/>
    <w:rsid w:val="001E22F0"/>
    <w:rsid w:val="001E3032"/>
    <w:rsid w:val="001E306F"/>
    <w:rsid w:val="001E32CB"/>
    <w:rsid w:val="001E4129"/>
    <w:rsid w:val="001E4A62"/>
    <w:rsid w:val="001E4A7C"/>
    <w:rsid w:val="001E56CE"/>
    <w:rsid w:val="001E7ADF"/>
    <w:rsid w:val="001F053B"/>
    <w:rsid w:val="001F0601"/>
    <w:rsid w:val="001F3B07"/>
    <w:rsid w:val="001F73CB"/>
    <w:rsid w:val="001F7BF8"/>
    <w:rsid w:val="00202775"/>
    <w:rsid w:val="00202BDD"/>
    <w:rsid w:val="00202C37"/>
    <w:rsid w:val="00203900"/>
    <w:rsid w:val="00203C4C"/>
    <w:rsid w:val="00203D76"/>
    <w:rsid w:val="00204222"/>
    <w:rsid w:val="00204EB0"/>
    <w:rsid w:val="00206168"/>
    <w:rsid w:val="0020660C"/>
    <w:rsid w:val="00210641"/>
    <w:rsid w:val="00212277"/>
    <w:rsid w:val="00212947"/>
    <w:rsid w:val="00216035"/>
    <w:rsid w:val="00217260"/>
    <w:rsid w:val="002210FE"/>
    <w:rsid w:val="002228FE"/>
    <w:rsid w:val="00222AE4"/>
    <w:rsid w:val="00224C27"/>
    <w:rsid w:val="002265F2"/>
    <w:rsid w:val="00226A32"/>
    <w:rsid w:val="00226C61"/>
    <w:rsid w:val="002275CD"/>
    <w:rsid w:val="00231A54"/>
    <w:rsid w:val="002355D3"/>
    <w:rsid w:val="00237E6D"/>
    <w:rsid w:val="0024043E"/>
    <w:rsid w:val="002404FA"/>
    <w:rsid w:val="0024060B"/>
    <w:rsid w:val="002421B4"/>
    <w:rsid w:val="00243001"/>
    <w:rsid w:val="00243D1F"/>
    <w:rsid w:val="00244296"/>
    <w:rsid w:val="00244338"/>
    <w:rsid w:val="002453FE"/>
    <w:rsid w:val="00245ED9"/>
    <w:rsid w:val="00245F21"/>
    <w:rsid w:val="00247071"/>
    <w:rsid w:val="00251819"/>
    <w:rsid w:val="00252598"/>
    <w:rsid w:val="0025299D"/>
    <w:rsid w:val="002529EF"/>
    <w:rsid w:val="0025483C"/>
    <w:rsid w:val="00255589"/>
    <w:rsid w:val="00255DF5"/>
    <w:rsid w:val="00255EC5"/>
    <w:rsid w:val="002575B0"/>
    <w:rsid w:val="00257A52"/>
    <w:rsid w:val="00260E51"/>
    <w:rsid w:val="00262748"/>
    <w:rsid w:val="002630C3"/>
    <w:rsid w:val="002665D7"/>
    <w:rsid w:val="0026781C"/>
    <w:rsid w:val="00270B25"/>
    <w:rsid w:val="0027110F"/>
    <w:rsid w:val="00271D80"/>
    <w:rsid w:val="002727E2"/>
    <w:rsid w:val="0027358E"/>
    <w:rsid w:val="002745E0"/>
    <w:rsid w:val="00274737"/>
    <w:rsid w:val="00274947"/>
    <w:rsid w:val="00274A3B"/>
    <w:rsid w:val="00274F8A"/>
    <w:rsid w:val="00276319"/>
    <w:rsid w:val="00276ACF"/>
    <w:rsid w:val="00276CAD"/>
    <w:rsid w:val="00280848"/>
    <w:rsid w:val="00281A7F"/>
    <w:rsid w:val="002827EF"/>
    <w:rsid w:val="00287364"/>
    <w:rsid w:val="00287816"/>
    <w:rsid w:val="00290002"/>
    <w:rsid w:val="0029176E"/>
    <w:rsid w:val="00291AED"/>
    <w:rsid w:val="00293765"/>
    <w:rsid w:val="002951E3"/>
    <w:rsid w:val="00295626"/>
    <w:rsid w:val="00296508"/>
    <w:rsid w:val="002977CF"/>
    <w:rsid w:val="00297ED0"/>
    <w:rsid w:val="002A0198"/>
    <w:rsid w:val="002A26FB"/>
    <w:rsid w:val="002A2823"/>
    <w:rsid w:val="002A45A5"/>
    <w:rsid w:val="002A46BA"/>
    <w:rsid w:val="002A5ECE"/>
    <w:rsid w:val="002A64DE"/>
    <w:rsid w:val="002A6B4A"/>
    <w:rsid w:val="002A6CAB"/>
    <w:rsid w:val="002A7191"/>
    <w:rsid w:val="002A75C2"/>
    <w:rsid w:val="002A78E6"/>
    <w:rsid w:val="002A7ADB"/>
    <w:rsid w:val="002A7E43"/>
    <w:rsid w:val="002B25BD"/>
    <w:rsid w:val="002B3D5C"/>
    <w:rsid w:val="002B5141"/>
    <w:rsid w:val="002B60AB"/>
    <w:rsid w:val="002B65F8"/>
    <w:rsid w:val="002B74AF"/>
    <w:rsid w:val="002B76DF"/>
    <w:rsid w:val="002C3202"/>
    <w:rsid w:val="002C3318"/>
    <w:rsid w:val="002C3C36"/>
    <w:rsid w:val="002C71EA"/>
    <w:rsid w:val="002C7777"/>
    <w:rsid w:val="002D123B"/>
    <w:rsid w:val="002D1ACA"/>
    <w:rsid w:val="002D2A1D"/>
    <w:rsid w:val="002D2BCA"/>
    <w:rsid w:val="002D2BE1"/>
    <w:rsid w:val="002D2F39"/>
    <w:rsid w:val="002D385D"/>
    <w:rsid w:val="002D58DE"/>
    <w:rsid w:val="002D6A94"/>
    <w:rsid w:val="002D6F59"/>
    <w:rsid w:val="002D79EE"/>
    <w:rsid w:val="002D7D91"/>
    <w:rsid w:val="002E025B"/>
    <w:rsid w:val="002E05EC"/>
    <w:rsid w:val="002E09C5"/>
    <w:rsid w:val="002E1A29"/>
    <w:rsid w:val="002E2E66"/>
    <w:rsid w:val="002E398B"/>
    <w:rsid w:val="002E40C4"/>
    <w:rsid w:val="002E4D9E"/>
    <w:rsid w:val="002E58CD"/>
    <w:rsid w:val="002E64C0"/>
    <w:rsid w:val="002E6B01"/>
    <w:rsid w:val="002F093A"/>
    <w:rsid w:val="002F13CC"/>
    <w:rsid w:val="002F172C"/>
    <w:rsid w:val="002F2AEB"/>
    <w:rsid w:val="002F47E8"/>
    <w:rsid w:val="002F5515"/>
    <w:rsid w:val="002F5FCE"/>
    <w:rsid w:val="002F68E1"/>
    <w:rsid w:val="002F6A29"/>
    <w:rsid w:val="002F712B"/>
    <w:rsid w:val="002F7791"/>
    <w:rsid w:val="002F7BFC"/>
    <w:rsid w:val="002F7F7C"/>
    <w:rsid w:val="0030137B"/>
    <w:rsid w:val="00301C33"/>
    <w:rsid w:val="00302BE9"/>
    <w:rsid w:val="00302FD6"/>
    <w:rsid w:val="00302FDB"/>
    <w:rsid w:val="00310BBC"/>
    <w:rsid w:val="00310C2F"/>
    <w:rsid w:val="00310F51"/>
    <w:rsid w:val="003113F9"/>
    <w:rsid w:val="00311645"/>
    <w:rsid w:val="0031238A"/>
    <w:rsid w:val="003124E1"/>
    <w:rsid w:val="00312DF3"/>
    <w:rsid w:val="00315B01"/>
    <w:rsid w:val="00317EE2"/>
    <w:rsid w:val="00320658"/>
    <w:rsid w:val="003221C3"/>
    <w:rsid w:val="00327D94"/>
    <w:rsid w:val="003312F0"/>
    <w:rsid w:val="0033259A"/>
    <w:rsid w:val="00341A7E"/>
    <w:rsid w:val="00342EAC"/>
    <w:rsid w:val="00344FC8"/>
    <w:rsid w:val="0034592F"/>
    <w:rsid w:val="003465B1"/>
    <w:rsid w:val="003476BE"/>
    <w:rsid w:val="00347EFC"/>
    <w:rsid w:val="00350A10"/>
    <w:rsid w:val="00351146"/>
    <w:rsid w:val="003516F7"/>
    <w:rsid w:val="00352EDE"/>
    <w:rsid w:val="0035336F"/>
    <w:rsid w:val="00353AB6"/>
    <w:rsid w:val="00353DF7"/>
    <w:rsid w:val="00354405"/>
    <w:rsid w:val="0035462E"/>
    <w:rsid w:val="00354C84"/>
    <w:rsid w:val="0035563F"/>
    <w:rsid w:val="0035791F"/>
    <w:rsid w:val="00357E39"/>
    <w:rsid w:val="00357FFA"/>
    <w:rsid w:val="003603A5"/>
    <w:rsid w:val="00360AF4"/>
    <w:rsid w:val="00361810"/>
    <w:rsid w:val="003618F0"/>
    <w:rsid w:val="003649A5"/>
    <w:rsid w:val="00364FF8"/>
    <w:rsid w:val="0036533F"/>
    <w:rsid w:val="00365B73"/>
    <w:rsid w:val="00367025"/>
    <w:rsid w:val="00367F15"/>
    <w:rsid w:val="003708E1"/>
    <w:rsid w:val="003714AB"/>
    <w:rsid w:val="00371DE6"/>
    <w:rsid w:val="003734CF"/>
    <w:rsid w:val="0037384B"/>
    <w:rsid w:val="00377713"/>
    <w:rsid w:val="003808BE"/>
    <w:rsid w:val="00381DA5"/>
    <w:rsid w:val="00383AED"/>
    <w:rsid w:val="00383DA8"/>
    <w:rsid w:val="0038436D"/>
    <w:rsid w:val="003848A2"/>
    <w:rsid w:val="00387ADE"/>
    <w:rsid w:val="003901C2"/>
    <w:rsid w:val="003917E4"/>
    <w:rsid w:val="003926AB"/>
    <w:rsid w:val="0039362F"/>
    <w:rsid w:val="00393F8E"/>
    <w:rsid w:val="00394C42"/>
    <w:rsid w:val="00397384"/>
    <w:rsid w:val="00397E89"/>
    <w:rsid w:val="003A0831"/>
    <w:rsid w:val="003A0D99"/>
    <w:rsid w:val="003A63EE"/>
    <w:rsid w:val="003B0276"/>
    <w:rsid w:val="003B064D"/>
    <w:rsid w:val="003B1EA1"/>
    <w:rsid w:val="003B2939"/>
    <w:rsid w:val="003B3C21"/>
    <w:rsid w:val="003B49EA"/>
    <w:rsid w:val="003B5F82"/>
    <w:rsid w:val="003B6D46"/>
    <w:rsid w:val="003C0C68"/>
    <w:rsid w:val="003C1508"/>
    <w:rsid w:val="003C1D3F"/>
    <w:rsid w:val="003C221F"/>
    <w:rsid w:val="003C2A19"/>
    <w:rsid w:val="003C5CC5"/>
    <w:rsid w:val="003C6170"/>
    <w:rsid w:val="003C6CB8"/>
    <w:rsid w:val="003D19AF"/>
    <w:rsid w:val="003D2127"/>
    <w:rsid w:val="003D69C4"/>
    <w:rsid w:val="003D6CC1"/>
    <w:rsid w:val="003D7165"/>
    <w:rsid w:val="003D75F4"/>
    <w:rsid w:val="003E100B"/>
    <w:rsid w:val="003E1234"/>
    <w:rsid w:val="003E229D"/>
    <w:rsid w:val="003E25B9"/>
    <w:rsid w:val="003E2B39"/>
    <w:rsid w:val="003E30C2"/>
    <w:rsid w:val="003E35B8"/>
    <w:rsid w:val="003E4803"/>
    <w:rsid w:val="003E4B43"/>
    <w:rsid w:val="003E589A"/>
    <w:rsid w:val="003E5CA1"/>
    <w:rsid w:val="003E5CCC"/>
    <w:rsid w:val="003E60A9"/>
    <w:rsid w:val="003E6978"/>
    <w:rsid w:val="003E7571"/>
    <w:rsid w:val="003F0813"/>
    <w:rsid w:val="003F0E3A"/>
    <w:rsid w:val="003F0FAF"/>
    <w:rsid w:val="003F234B"/>
    <w:rsid w:val="003F2A7D"/>
    <w:rsid w:val="003F2C50"/>
    <w:rsid w:val="003F2E8C"/>
    <w:rsid w:val="003F329F"/>
    <w:rsid w:val="003F32B2"/>
    <w:rsid w:val="003F3AC5"/>
    <w:rsid w:val="003F60C3"/>
    <w:rsid w:val="003F78A1"/>
    <w:rsid w:val="00400868"/>
    <w:rsid w:val="004022B0"/>
    <w:rsid w:val="004034DC"/>
    <w:rsid w:val="00403C87"/>
    <w:rsid w:val="00403CF5"/>
    <w:rsid w:val="004047E0"/>
    <w:rsid w:val="00405C28"/>
    <w:rsid w:val="00407DBE"/>
    <w:rsid w:val="00410E77"/>
    <w:rsid w:val="00411634"/>
    <w:rsid w:val="00411AB3"/>
    <w:rsid w:val="00411BB8"/>
    <w:rsid w:val="00411E61"/>
    <w:rsid w:val="004130C9"/>
    <w:rsid w:val="004142BF"/>
    <w:rsid w:val="00415901"/>
    <w:rsid w:val="00417374"/>
    <w:rsid w:val="004177E0"/>
    <w:rsid w:val="00420509"/>
    <w:rsid w:val="00420C9E"/>
    <w:rsid w:val="00420FC2"/>
    <w:rsid w:val="004219D3"/>
    <w:rsid w:val="00422B7B"/>
    <w:rsid w:val="00422C1F"/>
    <w:rsid w:val="004233AE"/>
    <w:rsid w:val="0042511F"/>
    <w:rsid w:val="00430B1F"/>
    <w:rsid w:val="00430DF7"/>
    <w:rsid w:val="00433157"/>
    <w:rsid w:val="004349E1"/>
    <w:rsid w:val="00440CAE"/>
    <w:rsid w:val="00442A8F"/>
    <w:rsid w:val="0044390B"/>
    <w:rsid w:val="00445C28"/>
    <w:rsid w:val="00445EF6"/>
    <w:rsid w:val="00446E91"/>
    <w:rsid w:val="0045236A"/>
    <w:rsid w:val="004539A4"/>
    <w:rsid w:val="0045427D"/>
    <w:rsid w:val="00455133"/>
    <w:rsid w:val="00455DF1"/>
    <w:rsid w:val="004570CF"/>
    <w:rsid w:val="00457911"/>
    <w:rsid w:val="00460E57"/>
    <w:rsid w:val="0046119F"/>
    <w:rsid w:val="004632AF"/>
    <w:rsid w:val="004643F8"/>
    <w:rsid w:val="0046503B"/>
    <w:rsid w:val="004706F3"/>
    <w:rsid w:val="00470AD7"/>
    <w:rsid w:val="00470B24"/>
    <w:rsid w:val="0047128B"/>
    <w:rsid w:val="00473985"/>
    <w:rsid w:val="00473B14"/>
    <w:rsid w:val="0047555C"/>
    <w:rsid w:val="00476B7F"/>
    <w:rsid w:val="0047742E"/>
    <w:rsid w:val="004776A9"/>
    <w:rsid w:val="004801C9"/>
    <w:rsid w:val="00480435"/>
    <w:rsid w:val="0048179A"/>
    <w:rsid w:val="0048205A"/>
    <w:rsid w:val="0048226E"/>
    <w:rsid w:val="00482CAF"/>
    <w:rsid w:val="004832E4"/>
    <w:rsid w:val="004848DA"/>
    <w:rsid w:val="0048577B"/>
    <w:rsid w:val="00485DDB"/>
    <w:rsid w:val="00486105"/>
    <w:rsid w:val="00486B36"/>
    <w:rsid w:val="00487E2B"/>
    <w:rsid w:val="00494AF9"/>
    <w:rsid w:val="00494D53"/>
    <w:rsid w:val="00496338"/>
    <w:rsid w:val="00496398"/>
    <w:rsid w:val="00496418"/>
    <w:rsid w:val="00496DB1"/>
    <w:rsid w:val="00497005"/>
    <w:rsid w:val="004974F4"/>
    <w:rsid w:val="00497506"/>
    <w:rsid w:val="004976A4"/>
    <w:rsid w:val="00497899"/>
    <w:rsid w:val="004A035B"/>
    <w:rsid w:val="004A053C"/>
    <w:rsid w:val="004A10E8"/>
    <w:rsid w:val="004A1627"/>
    <w:rsid w:val="004A19AC"/>
    <w:rsid w:val="004A1D1F"/>
    <w:rsid w:val="004A447F"/>
    <w:rsid w:val="004A7F88"/>
    <w:rsid w:val="004B0C1C"/>
    <w:rsid w:val="004B0E0D"/>
    <w:rsid w:val="004B3BA0"/>
    <w:rsid w:val="004B752D"/>
    <w:rsid w:val="004B75A7"/>
    <w:rsid w:val="004C008B"/>
    <w:rsid w:val="004C1D92"/>
    <w:rsid w:val="004C49C8"/>
    <w:rsid w:val="004C4AB6"/>
    <w:rsid w:val="004C52AF"/>
    <w:rsid w:val="004C6B3C"/>
    <w:rsid w:val="004C7068"/>
    <w:rsid w:val="004C7112"/>
    <w:rsid w:val="004D2CB3"/>
    <w:rsid w:val="004D2D52"/>
    <w:rsid w:val="004D4260"/>
    <w:rsid w:val="004D429D"/>
    <w:rsid w:val="004D734B"/>
    <w:rsid w:val="004E13F4"/>
    <w:rsid w:val="004E15A9"/>
    <w:rsid w:val="004E2F6C"/>
    <w:rsid w:val="004E31E6"/>
    <w:rsid w:val="004E3E18"/>
    <w:rsid w:val="004E4AB6"/>
    <w:rsid w:val="004E4F58"/>
    <w:rsid w:val="004E593D"/>
    <w:rsid w:val="004E5DE5"/>
    <w:rsid w:val="004E62BF"/>
    <w:rsid w:val="004E69B5"/>
    <w:rsid w:val="004E6AF1"/>
    <w:rsid w:val="004E7546"/>
    <w:rsid w:val="004E769D"/>
    <w:rsid w:val="004F0420"/>
    <w:rsid w:val="004F43BF"/>
    <w:rsid w:val="004F641B"/>
    <w:rsid w:val="00500299"/>
    <w:rsid w:val="00500CE5"/>
    <w:rsid w:val="005014F9"/>
    <w:rsid w:val="00501F01"/>
    <w:rsid w:val="0050246C"/>
    <w:rsid w:val="0050253A"/>
    <w:rsid w:val="00504168"/>
    <w:rsid w:val="00506F98"/>
    <w:rsid w:val="00507957"/>
    <w:rsid w:val="005136FF"/>
    <w:rsid w:val="005142C1"/>
    <w:rsid w:val="00515E25"/>
    <w:rsid w:val="00516FD1"/>
    <w:rsid w:val="00517FA8"/>
    <w:rsid w:val="00520526"/>
    <w:rsid w:val="0052153A"/>
    <w:rsid w:val="005219C5"/>
    <w:rsid w:val="00521DEC"/>
    <w:rsid w:val="0052366A"/>
    <w:rsid w:val="005237B5"/>
    <w:rsid w:val="005240B9"/>
    <w:rsid w:val="00524B05"/>
    <w:rsid w:val="00525D32"/>
    <w:rsid w:val="00530E23"/>
    <w:rsid w:val="00532070"/>
    <w:rsid w:val="00532681"/>
    <w:rsid w:val="0053353B"/>
    <w:rsid w:val="0053572E"/>
    <w:rsid w:val="00535B05"/>
    <w:rsid w:val="00536513"/>
    <w:rsid w:val="00540A8A"/>
    <w:rsid w:val="0054129D"/>
    <w:rsid w:val="005427EE"/>
    <w:rsid w:val="00546A01"/>
    <w:rsid w:val="00550EDD"/>
    <w:rsid w:val="005527C6"/>
    <w:rsid w:val="00552B24"/>
    <w:rsid w:val="0055358B"/>
    <w:rsid w:val="00553E78"/>
    <w:rsid w:val="00554C9E"/>
    <w:rsid w:val="00555066"/>
    <w:rsid w:val="00556360"/>
    <w:rsid w:val="00563A6A"/>
    <w:rsid w:val="00564582"/>
    <w:rsid w:val="005659A0"/>
    <w:rsid w:val="005673AB"/>
    <w:rsid w:val="005677BC"/>
    <w:rsid w:val="0057065F"/>
    <w:rsid w:val="00571A72"/>
    <w:rsid w:val="00573AD8"/>
    <w:rsid w:val="005761E7"/>
    <w:rsid w:val="00577600"/>
    <w:rsid w:val="0058121E"/>
    <w:rsid w:val="0058184E"/>
    <w:rsid w:val="00581D47"/>
    <w:rsid w:val="00581EBC"/>
    <w:rsid w:val="005821C0"/>
    <w:rsid w:val="00583848"/>
    <w:rsid w:val="00583C77"/>
    <w:rsid w:val="00583ECD"/>
    <w:rsid w:val="005844E1"/>
    <w:rsid w:val="00587ADC"/>
    <w:rsid w:val="00587D35"/>
    <w:rsid w:val="00587E65"/>
    <w:rsid w:val="0059252E"/>
    <w:rsid w:val="00593064"/>
    <w:rsid w:val="00594808"/>
    <w:rsid w:val="0059485E"/>
    <w:rsid w:val="00597825"/>
    <w:rsid w:val="00597846"/>
    <w:rsid w:val="00597DF2"/>
    <w:rsid w:val="00597F04"/>
    <w:rsid w:val="005A1A18"/>
    <w:rsid w:val="005A32BA"/>
    <w:rsid w:val="005A3D50"/>
    <w:rsid w:val="005A5442"/>
    <w:rsid w:val="005A571C"/>
    <w:rsid w:val="005B0748"/>
    <w:rsid w:val="005B0D53"/>
    <w:rsid w:val="005B293A"/>
    <w:rsid w:val="005B55FB"/>
    <w:rsid w:val="005B5D3E"/>
    <w:rsid w:val="005B6E13"/>
    <w:rsid w:val="005B7C2B"/>
    <w:rsid w:val="005C1B36"/>
    <w:rsid w:val="005C2DC5"/>
    <w:rsid w:val="005C561C"/>
    <w:rsid w:val="005D0576"/>
    <w:rsid w:val="005D0BA1"/>
    <w:rsid w:val="005D1BBE"/>
    <w:rsid w:val="005D2916"/>
    <w:rsid w:val="005D2DFF"/>
    <w:rsid w:val="005D53E8"/>
    <w:rsid w:val="005E0330"/>
    <w:rsid w:val="005E0BE7"/>
    <w:rsid w:val="005E0E90"/>
    <w:rsid w:val="005E1759"/>
    <w:rsid w:val="005E1775"/>
    <w:rsid w:val="005E4B10"/>
    <w:rsid w:val="005E661D"/>
    <w:rsid w:val="005F0BE6"/>
    <w:rsid w:val="005F146C"/>
    <w:rsid w:val="005F1590"/>
    <w:rsid w:val="005F17FF"/>
    <w:rsid w:val="005F186E"/>
    <w:rsid w:val="005F474C"/>
    <w:rsid w:val="005F4D90"/>
    <w:rsid w:val="005F68BA"/>
    <w:rsid w:val="00602519"/>
    <w:rsid w:val="0060572A"/>
    <w:rsid w:val="00606B39"/>
    <w:rsid w:val="00607729"/>
    <w:rsid w:val="00607878"/>
    <w:rsid w:val="00607F05"/>
    <w:rsid w:val="00610CB8"/>
    <w:rsid w:val="0061299B"/>
    <w:rsid w:val="00612D27"/>
    <w:rsid w:val="00613781"/>
    <w:rsid w:val="0061623F"/>
    <w:rsid w:val="00620065"/>
    <w:rsid w:val="006203A9"/>
    <w:rsid w:val="00620574"/>
    <w:rsid w:val="00622D47"/>
    <w:rsid w:val="00624B94"/>
    <w:rsid w:val="00624FFE"/>
    <w:rsid w:val="006253E0"/>
    <w:rsid w:val="00625405"/>
    <w:rsid w:val="00625AEE"/>
    <w:rsid w:val="00631211"/>
    <w:rsid w:val="006316CE"/>
    <w:rsid w:val="006322E3"/>
    <w:rsid w:val="00632423"/>
    <w:rsid w:val="006326ED"/>
    <w:rsid w:val="00632F9F"/>
    <w:rsid w:val="00640B33"/>
    <w:rsid w:val="006427CF"/>
    <w:rsid w:val="00643ED2"/>
    <w:rsid w:val="0065027D"/>
    <w:rsid w:val="00650EF2"/>
    <w:rsid w:val="00653396"/>
    <w:rsid w:val="006546A0"/>
    <w:rsid w:val="00655916"/>
    <w:rsid w:val="006564C6"/>
    <w:rsid w:val="00656FDF"/>
    <w:rsid w:val="00657FE2"/>
    <w:rsid w:val="00660564"/>
    <w:rsid w:val="00660944"/>
    <w:rsid w:val="00660E8E"/>
    <w:rsid w:val="006638D1"/>
    <w:rsid w:val="00663ADC"/>
    <w:rsid w:val="00667B02"/>
    <w:rsid w:val="006728A0"/>
    <w:rsid w:val="006733A1"/>
    <w:rsid w:val="00673C55"/>
    <w:rsid w:val="00675324"/>
    <w:rsid w:val="00675CB8"/>
    <w:rsid w:val="006765B7"/>
    <w:rsid w:val="0068004A"/>
    <w:rsid w:val="00681CC3"/>
    <w:rsid w:val="00682D9D"/>
    <w:rsid w:val="00682E36"/>
    <w:rsid w:val="00682F91"/>
    <w:rsid w:val="00683DB8"/>
    <w:rsid w:val="00684A8E"/>
    <w:rsid w:val="00684EFA"/>
    <w:rsid w:val="00690C68"/>
    <w:rsid w:val="006911A6"/>
    <w:rsid w:val="006913D6"/>
    <w:rsid w:val="00691E87"/>
    <w:rsid w:val="00691EB1"/>
    <w:rsid w:val="006926E1"/>
    <w:rsid w:val="00692BBE"/>
    <w:rsid w:val="0069608C"/>
    <w:rsid w:val="006960ED"/>
    <w:rsid w:val="00696719"/>
    <w:rsid w:val="006A00AB"/>
    <w:rsid w:val="006A0383"/>
    <w:rsid w:val="006A2722"/>
    <w:rsid w:val="006A2E64"/>
    <w:rsid w:val="006A30E4"/>
    <w:rsid w:val="006A3188"/>
    <w:rsid w:val="006A36F8"/>
    <w:rsid w:val="006A3ADF"/>
    <w:rsid w:val="006A4714"/>
    <w:rsid w:val="006A47BB"/>
    <w:rsid w:val="006A51EF"/>
    <w:rsid w:val="006A52D8"/>
    <w:rsid w:val="006A5D2E"/>
    <w:rsid w:val="006A5DB7"/>
    <w:rsid w:val="006A6AFE"/>
    <w:rsid w:val="006A7BDC"/>
    <w:rsid w:val="006A7C3E"/>
    <w:rsid w:val="006B07B7"/>
    <w:rsid w:val="006B1256"/>
    <w:rsid w:val="006B263B"/>
    <w:rsid w:val="006B3249"/>
    <w:rsid w:val="006B3566"/>
    <w:rsid w:val="006B4A05"/>
    <w:rsid w:val="006B4ACF"/>
    <w:rsid w:val="006B6066"/>
    <w:rsid w:val="006B7EDE"/>
    <w:rsid w:val="006C00C5"/>
    <w:rsid w:val="006C094E"/>
    <w:rsid w:val="006C1202"/>
    <w:rsid w:val="006C28A2"/>
    <w:rsid w:val="006C466B"/>
    <w:rsid w:val="006C4705"/>
    <w:rsid w:val="006D0E24"/>
    <w:rsid w:val="006D1665"/>
    <w:rsid w:val="006D17B3"/>
    <w:rsid w:val="006D2974"/>
    <w:rsid w:val="006D6CFF"/>
    <w:rsid w:val="006D72B9"/>
    <w:rsid w:val="006D7C70"/>
    <w:rsid w:val="006E01B3"/>
    <w:rsid w:val="006E15AE"/>
    <w:rsid w:val="006E23D4"/>
    <w:rsid w:val="006E2A29"/>
    <w:rsid w:val="006E31D9"/>
    <w:rsid w:val="006E6800"/>
    <w:rsid w:val="006F0E39"/>
    <w:rsid w:val="006F1895"/>
    <w:rsid w:val="006F3510"/>
    <w:rsid w:val="006F5228"/>
    <w:rsid w:val="006F6BFE"/>
    <w:rsid w:val="006F755B"/>
    <w:rsid w:val="007003D5"/>
    <w:rsid w:val="007010F5"/>
    <w:rsid w:val="007033EA"/>
    <w:rsid w:val="0070476E"/>
    <w:rsid w:val="0070612A"/>
    <w:rsid w:val="007064C6"/>
    <w:rsid w:val="00707482"/>
    <w:rsid w:val="007075CD"/>
    <w:rsid w:val="007078A0"/>
    <w:rsid w:val="00710E69"/>
    <w:rsid w:val="007135F6"/>
    <w:rsid w:val="0071389B"/>
    <w:rsid w:val="00713AED"/>
    <w:rsid w:val="00722FC1"/>
    <w:rsid w:val="007252D8"/>
    <w:rsid w:val="00725F7D"/>
    <w:rsid w:val="00727000"/>
    <w:rsid w:val="00730D8B"/>
    <w:rsid w:val="00733380"/>
    <w:rsid w:val="00734DC3"/>
    <w:rsid w:val="0073615C"/>
    <w:rsid w:val="00736F7E"/>
    <w:rsid w:val="00740BD7"/>
    <w:rsid w:val="00741DFF"/>
    <w:rsid w:val="00742B0C"/>
    <w:rsid w:val="00746804"/>
    <w:rsid w:val="00746C86"/>
    <w:rsid w:val="00747E3A"/>
    <w:rsid w:val="0075038C"/>
    <w:rsid w:val="007516BB"/>
    <w:rsid w:val="00751AFF"/>
    <w:rsid w:val="00751C80"/>
    <w:rsid w:val="00753419"/>
    <w:rsid w:val="00753D40"/>
    <w:rsid w:val="00755F2F"/>
    <w:rsid w:val="007567DA"/>
    <w:rsid w:val="00756C70"/>
    <w:rsid w:val="0075704B"/>
    <w:rsid w:val="00760468"/>
    <w:rsid w:val="0076161F"/>
    <w:rsid w:val="00763623"/>
    <w:rsid w:val="007639FA"/>
    <w:rsid w:val="007641F0"/>
    <w:rsid w:val="007643A2"/>
    <w:rsid w:val="007647B9"/>
    <w:rsid w:val="0076534E"/>
    <w:rsid w:val="00765AAB"/>
    <w:rsid w:val="00766E78"/>
    <w:rsid w:val="00766FFC"/>
    <w:rsid w:val="007670C3"/>
    <w:rsid w:val="00767107"/>
    <w:rsid w:val="00767D93"/>
    <w:rsid w:val="00770AFB"/>
    <w:rsid w:val="00771E28"/>
    <w:rsid w:val="00773D66"/>
    <w:rsid w:val="00773E05"/>
    <w:rsid w:val="00773EA5"/>
    <w:rsid w:val="007753DF"/>
    <w:rsid w:val="0077731C"/>
    <w:rsid w:val="007774BD"/>
    <w:rsid w:val="0077766D"/>
    <w:rsid w:val="007778BA"/>
    <w:rsid w:val="00780226"/>
    <w:rsid w:val="00780B15"/>
    <w:rsid w:val="007810B3"/>
    <w:rsid w:val="00781C63"/>
    <w:rsid w:val="00785D00"/>
    <w:rsid w:val="00786161"/>
    <w:rsid w:val="00787241"/>
    <w:rsid w:val="00791EB7"/>
    <w:rsid w:val="00793949"/>
    <w:rsid w:val="00793E4C"/>
    <w:rsid w:val="0079424C"/>
    <w:rsid w:val="0079635E"/>
    <w:rsid w:val="007A097B"/>
    <w:rsid w:val="007A60F3"/>
    <w:rsid w:val="007A67E8"/>
    <w:rsid w:val="007A77D0"/>
    <w:rsid w:val="007B1111"/>
    <w:rsid w:val="007B20F2"/>
    <w:rsid w:val="007B2A25"/>
    <w:rsid w:val="007B341A"/>
    <w:rsid w:val="007B503E"/>
    <w:rsid w:val="007B5BE8"/>
    <w:rsid w:val="007B70B9"/>
    <w:rsid w:val="007B74E3"/>
    <w:rsid w:val="007C09C1"/>
    <w:rsid w:val="007C122F"/>
    <w:rsid w:val="007C14B3"/>
    <w:rsid w:val="007C2702"/>
    <w:rsid w:val="007C2A03"/>
    <w:rsid w:val="007C56EE"/>
    <w:rsid w:val="007C5DB0"/>
    <w:rsid w:val="007C60F3"/>
    <w:rsid w:val="007C69B0"/>
    <w:rsid w:val="007D2495"/>
    <w:rsid w:val="007D391D"/>
    <w:rsid w:val="007D6432"/>
    <w:rsid w:val="007D666A"/>
    <w:rsid w:val="007D680E"/>
    <w:rsid w:val="007D6854"/>
    <w:rsid w:val="007D68A4"/>
    <w:rsid w:val="007D754A"/>
    <w:rsid w:val="007D7947"/>
    <w:rsid w:val="007E0228"/>
    <w:rsid w:val="007E0D08"/>
    <w:rsid w:val="007E1DD7"/>
    <w:rsid w:val="007E3170"/>
    <w:rsid w:val="007E352E"/>
    <w:rsid w:val="007E3CB5"/>
    <w:rsid w:val="007E3FE0"/>
    <w:rsid w:val="007E4120"/>
    <w:rsid w:val="007E73FD"/>
    <w:rsid w:val="007E761F"/>
    <w:rsid w:val="007F1065"/>
    <w:rsid w:val="007F1561"/>
    <w:rsid w:val="007F18EB"/>
    <w:rsid w:val="007F2F8F"/>
    <w:rsid w:val="007F3CC9"/>
    <w:rsid w:val="007F54FD"/>
    <w:rsid w:val="007F67B2"/>
    <w:rsid w:val="007F75D9"/>
    <w:rsid w:val="00803D16"/>
    <w:rsid w:val="00804C43"/>
    <w:rsid w:val="00804C5C"/>
    <w:rsid w:val="00805035"/>
    <w:rsid w:val="00805955"/>
    <w:rsid w:val="00807349"/>
    <w:rsid w:val="00807518"/>
    <w:rsid w:val="00811170"/>
    <w:rsid w:val="00812EED"/>
    <w:rsid w:val="00813971"/>
    <w:rsid w:val="00813EC7"/>
    <w:rsid w:val="00814887"/>
    <w:rsid w:val="008148B3"/>
    <w:rsid w:val="008155DF"/>
    <w:rsid w:val="0081687D"/>
    <w:rsid w:val="008214BF"/>
    <w:rsid w:val="008220D6"/>
    <w:rsid w:val="0082409E"/>
    <w:rsid w:val="008253EA"/>
    <w:rsid w:val="0082689E"/>
    <w:rsid w:val="0082701E"/>
    <w:rsid w:val="008275F2"/>
    <w:rsid w:val="00831456"/>
    <w:rsid w:val="008337EF"/>
    <w:rsid w:val="00834582"/>
    <w:rsid w:val="00836E27"/>
    <w:rsid w:val="00837F9A"/>
    <w:rsid w:val="00841E88"/>
    <w:rsid w:val="00842245"/>
    <w:rsid w:val="00842E7E"/>
    <w:rsid w:val="00842F8D"/>
    <w:rsid w:val="00843177"/>
    <w:rsid w:val="0084371B"/>
    <w:rsid w:val="00844E28"/>
    <w:rsid w:val="00847E7E"/>
    <w:rsid w:val="00851D30"/>
    <w:rsid w:val="00852EEF"/>
    <w:rsid w:val="00853F99"/>
    <w:rsid w:val="0085583C"/>
    <w:rsid w:val="00855CFB"/>
    <w:rsid w:val="00857363"/>
    <w:rsid w:val="0086054C"/>
    <w:rsid w:val="00861596"/>
    <w:rsid w:val="00862424"/>
    <w:rsid w:val="0086596B"/>
    <w:rsid w:val="008663BF"/>
    <w:rsid w:val="00867617"/>
    <w:rsid w:val="00871795"/>
    <w:rsid w:val="0087250D"/>
    <w:rsid w:val="00872A0D"/>
    <w:rsid w:val="008734CF"/>
    <w:rsid w:val="00875A33"/>
    <w:rsid w:val="00876441"/>
    <w:rsid w:val="0087671E"/>
    <w:rsid w:val="00876E66"/>
    <w:rsid w:val="008801FC"/>
    <w:rsid w:val="00881D05"/>
    <w:rsid w:val="00883059"/>
    <w:rsid w:val="008878DC"/>
    <w:rsid w:val="00890C83"/>
    <w:rsid w:val="00895488"/>
    <w:rsid w:val="008A154D"/>
    <w:rsid w:val="008A263D"/>
    <w:rsid w:val="008A2EA5"/>
    <w:rsid w:val="008A391C"/>
    <w:rsid w:val="008A4252"/>
    <w:rsid w:val="008A49F5"/>
    <w:rsid w:val="008A5CEE"/>
    <w:rsid w:val="008A5FEF"/>
    <w:rsid w:val="008A67E2"/>
    <w:rsid w:val="008B08A6"/>
    <w:rsid w:val="008B1E84"/>
    <w:rsid w:val="008B1F9A"/>
    <w:rsid w:val="008B22AB"/>
    <w:rsid w:val="008B37CB"/>
    <w:rsid w:val="008B524A"/>
    <w:rsid w:val="008B5262"/>
    <w:rsid w:val="008B720D"/>
    <w:rsid w:val="008C0148"/>
    <w:rsid w:val="008C069A"/>
    <w:rsid w:val="008C142E"/>
    <w:rsid w:val="008C1494"/>
    <w:rsid w:val="008C1A0D"/>
    <w:rsid w:val="008C2F5D"/>
    <w:rsid w:val="008C615A"/>
    <w:rsid w:val="008C6421"/>
    <w:rsid w:val="008C76B0"/>
    <w:rsid w:val="008C77A8"/>
    <w:rsid w:val="008C7885"/>
    <w:rsid w:val="008D0DF6"/>
    <w:rsid w:val="008D29B6"/>
    <w:rsid w:val="008D2CA7"/>
    <w:rsid w:val="008D5157"/>
    <w:rsid w:val="008D6D7F"/>
    <w:rsid w:val="008E0FFB"/>
    <w:rsid w:val="008E27C9"/>
    <w:rsid w:val="008E2F5A"/>
    <w:rsid w:val="008E3775"/>
    <w:rsid w:val="008E674C"/>
    <w:rsid w:val="008F068D"/>
    <w:rsid w:val="008F0AAA"/>
    <w:rsid w:val="008F13CA"/>
    <w:rsid w:val="008F411D"/>
    <w:rsid w:val="008F49F8"/>
    <w:rsid w:val="008F4E17"/>
    <w:rsid w:val="008F5387"/>
    <w:rsid w:val="008F7177"/>
    <w:rsid w:val="008F799E"/>
    <w:rsid w:val="008F7E7A"/>
    <w:rsid w:val="00902E0F"/>
    <w:rsid w:val="00903B41"/>
    <w:rsid w:val="00904F2E"/>
    <w:rsid w:val="00912297"/>
    <w:rsid w:val="00912838"/>
    <w:rsid w:val="009128A1"/>
    <w:rsid w:val="00912F2C"/>
    <w:rsid w:val="00913AB8"/>
    <w:rsid w:val="00914123"/>
    <w:rsid w:val="00914E01"/>
    <w:rsid w:val="00920FA0"/>
    <w:rsid w:val="00921AEF"/>
    <w:rsid w:val="00923C4A"/>
    <w:rsid w:val="00924844"/>
    <w:rsid w:val="0092484C"/>
    <w:rsid w:val="00924A33"/>
    <w:rsid w:val="0092692B"/>
    <w:rsid w:val="0092741B"/>
    <w:rsid w:val="009319D6"/>
    <w:rsid w:val="00933B2D"/>
    <w:rsid w:val="009340BD"/>
    <w:rsid w:val="00935684"/>
    <w:rsid w:val="00935E55"/>
    <w:rsid w:val="0093639A"/>
    <w:rsid w:val="00936459"/>
    <w:rsid w:val="009369AE"/>
    <w:rsid w:val="0093765A"/>
    <w:rsid w:val="0093787E"/>
    <w:rsid w:val="00937AA0"/>
    <w:rsid w:val="00940CD3"/>
    <w:rsid w:val="00941B2C"/>
    <w:rsid w:val="00941DB9"/>
    <w:rsid w:val="00943469"/>
    <w:rsid w:val="00943A61"/>
    <w:rsid w:val="0094586E"/>
    <w:rsid w:val="00946387"/>
    <w:rsid w:val="009541EE"/>
    <w:rsid w:val="00954844"/>
    <w:rsid w:val="009548D4"/>
    <w:rsid w:val="00955196"/>
    <w:rsid w:val="0095566F"/>
    <w:rsid w:val="00955930"/>
    <w:rsid w:val="00956E93"/>
    <w:rsid w:val="0095714E"/>
    <w:rsid w:val="009572B4"/>
    <w:rsid w:val="00961DBA"/>
    <w:rsid w:val="00961F71"/>
    <w:rsid w:val="0096373E"/>
    <w:rsid w:val="00963F1A"/>
    <w:rsid w:val="0096515F"/>
    <w:rsid w:val="00967292"/>
    <w:rsid w:val="0096764F"/>
    <w:rsid w:val="00967D2F"/>
    <w:rsid w:val="00972859"/>
    <w:rsid w:val="00972F15"/>
    <w:rsid w:val="009743CA"/>
    <w:rsid w:val="00975C92"/>
    <w:rsid w:val="009766B8"/>
    <w:rsid w:val="009768A9"/>
    <w:rsid w:val="00977361"/>
    <w:rsid w:val="00980A5D"/>
    <w:rsid w:val="00981C77"/>
    <w:rsid w:val="0098356B"/>
    <w:rsid w:val="0098507F"/>
    <w:rsid w:val="009921E7"/>
    <w:rsid w:val="0099570F"/>
    <w:rsid w:val="009963FA"/>
    <w:rsid w:val="0099746B"/>
    <w:rsid w:val="00997777"/>
    <w:rsid w:val="0099794C"/>
    <w:rsid w:val="009A2FA9"/>
    <w:rsid w:val="009A3EBE"/>
    <w:rsid w:val="009A4FA1"/>
    <w:rsid w:val="009A5967"/>
    <w:rsid w:val="009A6832"/>
    <w:rsid w:val="009A7C5E"/>
    <w:rsid w:val="009B1076"/>
    <w:rsid w:val="009B1210"/>
    <w:rsid w:val="009B6D64"/>
    <w:rsid w:val="009B7C42"/>
    <w:rsid w:val="009C06E6"/>
    <w:rsid w:val="009C071C"/>
    <w:rsid w:val="009C1193"/>
    <w:rsid w:val="009C2082"/>
    <w:rsid w:val="009C5036"/>
    <w:rsid w:val="009C5234"/>
    <w:rsid w:val="009C6087"/>
    <w:rsid w:val="009C66F4"/>
    <w:rsid w:val="009C696D"/>
    <w:rsid w:val="009C6D5B"/>
    <w:rsid w:val="009D0C61"/>
    <w:rsid w:val="009D389A"/>
    <w:rsid w:val="009D4A36"/>
    <w:rsid w:val="009D5472"/>
    <w:rsid w:val="009E0E78"/>
    <w:rsid w:val="009E294F"/>
    <w:rsid w:val="009E2D3B"/>
    <w:rsid w:val="009E5C77"/>
    <w:rsid w:val="009E5F8C"/>
    <w:rsid w:val="009E7847"/>
    <w:rsid w:val="009E79DE"/>
    <w:rsid w:val="009F092F"/>
    <w:rsid w:val="009F1502"/>
    <w:rsid w:val="009F2988"/>
    <w:rsid w:val="009F619A"/>
    <w:rsid w:val="009F635B"/>
    <w:rsid w:val="009F7075"/>
    <w:rsid w:val="009F7970"/>
    <w:rsid w:val="00A01F10"/>
    <w:rsid w:val="00A03D03"/>
    <w:rsid w:val="00A05038"/>
    <w:rsid w:val="00A050A1"/>
    <w:rsid w:val="00A05D7E"/>
    <w:rsid w:val="00A06429"/>
    <w:rsid w:val="00A067C4"/>
    <w:rsid w:val="00A0759D"/>
    <w:rsid w:val="00A079BF"/>
    <w:rsid w:val="00A07BE8"/>
    <w:rsid w:val="00A136A3"/>
    <w:rsid w:val="00A14543"/>
    <w:rsid w:val="00A14A5C"/>
    <w:rsid w:val="00A14E6C"/>
    <w:rsid w:val="00A22AA9"/>
    <w:rsid w:val="00A250C0"/>
    <w:rsid w:val="00A25451"/>
    <w:rsid w:val="00A33A8F"/>
    <w:rsid w:val="00A34F7A"/>
    <w:rsid w:val="00A35165"/>
    <w:rsid w:val="00A404DA"/>
    <w:rsid w:val="00A40A0F"/>
    <w:rsid w:val="00A4152C"/>
    <w:rsid w:val="00A4212D"/>
    <w:rsid w:val="00A42BBF"/>
    <w:rsid w:val="00A448C7"/>
    <w:rsid w:val="00A46224"/>
    <w:rsid w:val="00A47911"/>
    <w:rsid w:val="00A50DBB"/>
    <w:rsid w:val="00A510C6"/>
    <w:rsid w:val="00A51A17"/>
    <w:rsid w:val="00A536A2"/>
    <w:rsid w:val="00A543A1"/>
    <w:rsid w:val="00A578B5"/>
    <w:rsid w:val="00A622E8"/>
    <w:rsid w:val="00A659AE"/>
    <w:rsid w:val="00A66DBA"/>
    <w:rsid w:val="00A707EB"/>
    <w:rsid w:val="00A73C8C"/>
    <w:rsid w:val="00A74B6D"/>
    <w:rsid w:val="00A7533C"/>
    <w:rsid w:val="00A76006"/>
    <w:rsid w:val="00A77E5D"/>
    <w:rsid w:val="00A8071A"/>
    <w:rsid w:val="00A81386"/>
    <w:rsid w:val="00A81D29"/>
    <w:rsid w:val="00A81FE9"/>
    <w:rsid w:val="00A82508"/>
    <w:rsid w:val="00A8334D"/>
    <w:rsid w:val="00A879A6"/>
    <w:rsid w:val="00A87B71"/>
    <w:rsid w:val="00A92742"/>
    <w:rsid w:val="00A92B5D"/>
    <w:rsid w:val="00A9352F"/>
    <w:rsid w:val="00A9377E"/>
    <w:rsid w:val="00A95AC4"/>
    <w:rsid w:val="00A95FC2"/>
    <w:rsid w:val="00A9683F"/>
    <w:rsid w:val="00A977F0"/>
    <w:rsid w:val="00AA1BD5"/>
    <w:rsid w:val="00AA2548"/>
    <w:rsid w:val="00AA292D"/>
    <w:rsid w:val="00AA30B6"/>
    <w:rsid w:val="00AA33E5"/>
    <w:rsid w:val="00AA369E"/>
    <w:rsid w:val="00AB0EAD"/>
    <w:rsid w:val="00AB1247"/>
    <w:rsid w:val="00AB1C09"/>
    <w:rsid w:val="00AB261F"/>
    <w:rsid w:val="00AB37BE"/>
    <w:rsid w:val="00AB495A"/>
    <w:rsid w:val="00AB53E2"/>
    <w:rsid w:val="00AB5A39"/>
    <w:rsid w:val="00AB7941"/>
    <w:rsid w:val="00AB7D99"/>
    <w:rsid w:val="00AC1506"/>
    <w:rsid w:val="00AC1E06"/>
    <w:rsid w:val="00AC5055"/>
    <w:rsid w:val="00AC536E"/>
    <w:rsid w:val="00AC7D83"/>
    <w:rsid w:val="00AC7E25"/>
    <w:rsid w:val="00AD07B9"/>
    <w:rsid w:val="00AD1AF3"/>
    <w:rsid w:val="00AD2567"/>
    <w:rsid w:val="00AD3374"/>
    <w:rsid w:val="00AD4531"/>
    <w:rsid w:val="00AD554F"/>
    <w:rsid w:val="00AD58C7"/>
    <w:rsid w:val="00AE02EB"/>
    <w:rsid w:val="00AE0672"/>
    <w:rsid w:val="00AE2B07"/>
    <w:rsid w:val="00AE4A16"/>
    <w:rsid w:val="00AE4B5C"/>
    <w:rsid w:val="00AE5632"/>
    <w:rsid w:val="00AE632F"/>
    <w:rsid w:val="00AE64B9"/>
    <w:rsid w:val="00AF01BD"/>
    <w:rsid w:val="00AF11A6"/>
    <w:rsid w:val="00AF1E5A"/>
    <w:rsid w:val="00AF27DB"/>
    <w:rsid w:val="00AF2DB9"/>
    <w:rsid w:val="00AF579E"/>
    <w:rsid w:val="00AF626F"/>
    <w:rsid w:val="00AF732A"/>
    <w:rsid w:val="00AF7729"/>
    <w:rsid w:val="00B01296"/>
    <w:rsid w:val="00B015A6"/>
    <w:rsid w:val="00B01E3D"/>
    <w:rsid w:val="00B030F8"/>
    <w:rsid w:val="00B032D9"/>
    <w:rsid w:val="00B03DB3"/>
    <w:rsid w:val="00B05020"/>
    <w:rsid w:val="00B05422"/>
    <w:rsid w:val="00B070CF"/>
    <w:rsid w:val="00B1146A"/>
    <w:rsid w:val="00B1192C"/>
    <w:rsid w:val="00B11A98"/>
    <w:rsid w:val="00B1406C"/>
    <w:rsid w:val="00B1432F"/>
    <w:rsid w:val="00B156C7"/>
    <w:rsid w:val="00B17474"/>
    <w:rsid w:val="00B20704"/>
    <w:rsid w:val="00B24E2A"/>
    <w:rsid w:val="00B2536E"/>
    <w:rsid w:val="00B27329"/>
    <w:rsid w:val="00B3019E"/>
    <w:rsid w:val="00B32125"/>
    <w:rsid w:val="00B3323C"/>
    <w:rsid w:val="00B34810"/>
    <w:rsid w:val="00B378DA"/>
    <w:rsid w:val="00B40620"/>
    <w:rsid w:val="00B411D9"/>
    <w:rsid w:val="00B41287"/>
    <w:rsid w:val="00B42177"/>
    <w:rsid w:val="00B4335A"/>
    <w:rsid w:val="00B46F42"/>
    <w:rsid w:val="00B50287"/>
    <w:rsid w:val="00B50454"/>
    <w:rsid w:val="00B50E07"/>
    <w:rsid w:val="00B52FD5"/>
    <w:rsid w:val="00B542BB"/>
    <w:rsid w:val="00B55338"/>
    <w:rsid w:val="00B57693"/>
    <w:rsid w:val="00B578A3"/>
    <w:rsid w:val="00B57F38"/>
    <w:rsid w:val="00B57FAC"/>
    <w:rsid w:val="00B60A04"/>
    <w:rsid w:val="00B611F4"/>
    <w:rsid w:val="00B62518"/>
    <w:rsid w:val="00B64B78"/>
    <w:rsid w:val="00B66A0B"/>
    <w:rsid w:val="00B707F5"/>
    <w:rsid w:val="00B70D32"/>
    <w:rsid w:val="00B71B39"/>
    <w:rsid w:val="00B71D37"/>
    <w:rsid w:val="00B73765"/>
    <w:rsid w:val="00B75A8A"/>
    <w:rsid w:val="00B76F3A"/>
    <w:rsid w:val="00B776B6"/>
    <w:rsid w:val="00B81BCC"/>
    <w:rsid w:val="00B82E92"/>
    <w:rsid w:val="00B835AE"/>
    <w:rsid w:val="00B84039"/>
    <w:rsid w:val="00B8639D"/>
    <w:rsid w:val="00B878D7"/>
    <w:rsid w:val="00B90503"/>
    <w:rsid w:val="00B919B9"/>
    <w:rsid w:val="00B91CE3"/>
    <w:rsid w:val="00B94EFB"/>
    <w:rsid w:val="00B95888"/>
    <w:rsid w:val="00B9636E"/>
    <w:rsid w:val="00B97904"/>
    <w:rsid w:val="00BA04A1"/>
    <w:rsid w:val="00BA1492"/>
    <w:rsid w:val="00BA1BC3"/>
    <w:rsid w:val="00BA483C"/>
    <w:rsid w:val="00BA6170"/>
    <w:rsid w:val="00BA7CC4"/>
    <w:rsid w:val="00BB355C"/>
    <w:rsid w:val="00BB42B5"/>
    <w:rsid w:val="00BB4995"/>
    <w:rsid w:val="00BB5DDB"/>
    <w:rsid w:val="00BB6B11"/>
    <w:rsid w:val="00BB7045"/>
    <w:rsid w:val="00BB7410"/>
    <w:rsid w:val="00BB77AF"/>
    <w:rsid w:val="00BC1D4A"/>
    <w:rsid w:val="00BC2778"/>
    <w:rsid w:val="00BC4DF9"/>
    <w:rsid w:val="00BC71E0"/>
    <w:rsid w:val="00BC7827"/>
    <w:rsid w:val="00BC7F3E"/>
    <w:rsid w:val="00BD069D"/>
    <w:rsid w:val="00BD1ACE"/>
    <w:rsid w:val="00BD3295"/>
    <w:rsid w:val="00BD465E"/>
    <w:rsid w:val="00BD5CD2"/>
    <w:rsid w:val="00BE005F"/>
    <w:rsid w:val="00BE04CC"/>
    <w:rsid w:val="00BE0E9C"/>
    <w:rsid w:val="00BE16F8"/>
    <w:rsid w:val="00BE3155"/>
    <w:rsid w:val="00BE3C6C"/>
    <w:rsid w:val="00BE4160"/>
    <w:rsid w:val="00BE7D43"/>
    <w:rsid w:val="00BF0098"/>
    <w:rsid w:val="00BF3B30"/>
    <w:rsid w:val="00BF5AE8"/>
    <w:rsid w:val="00BF5F43"/>
    <w:rsid w:val="00BF6652"/>
    <w:rsid w:val="00C02079"/>
    <w:rsid w:val="00C0302B"/>
    <w:rsid w:val="00C0344F"/>
    <w:rsid w:val="00C046FF"/>
    <w:rsid w:val="00C0670D"/>
    <w:rsid w:val="00C079AA"/>
    <w:rsid w:val="00C109B6"/>
    <w:rsid w:val="00C126E3"/>
    <w:rsid w:val="00C148CD"/>
    <w:rsid w:val="00C15E58"/>
    <w:rsid w:val="00C21DEE"/>
    <w:rsid w:val="00C2232D"/>
    <w:rsid w:val="00C22E17"/>
    <w:rsid w:val="00C23EE6"/>
    <w:rsid w:val="00C244D7"/>
    <w:rsid w:val="00C2538C"/>
    <w:rsid w:val="00C279B7"/>
    <w:rsid w:val="00C3245F"/>
    <w:rsid w:val="00C3266A"/>
    <w:rsid w:val="00C33A15"/>
    <w:rsid w:val="00C33A2B"/>
    <w:rsid w:val="00C33E46"/>
    <w:rsid w:val="00C342E9"/>
    <w:rsid w:val="00C34632"/>
    <w:rsid w:val="00C351C9"/>
    <w:rsid w:val="00C3731E"/>
    <w:rsid w:val="00C449F6"/>
    <w:rsid w:val="00C472E6"/>
    <w:rsid w:val="00C4776E"/>
    <w:rsid w:val="00C5377B"/>
    <w:rsid w:val="00C5681D"/>
    <w:rsid w:val="00C56EAF"/>
    <w:rsid w:val="00C60A78"/>
    <w:rsid w:val="00C615A6"/>
    <w:rsid w:val="00C6299D"/>
    <w:rsid w:val="00C62EC1"/>
    <w:rsid w:val="00C6303B"/>
    <w:rsid w:val="00C63E0A"/>
    <w:rsid w:val="00C64019"/>
    <w:rsid w:val="00C65C17"/>
    <w:rsid w:val="00C664A6"/>
    <w:rsid w:val="00C66594"/>
    <w:rsid w:val="00C66850"/>
    <w:rsid w:val="00C66FD1"/>
    <w:rsid w:val="00C70987"/>
    <w:rsid w:val="00C70F6A"/>
    <w:rsid w:val="00C71923"/>
    <w:rsid w:val="00C72652"/>
    <w:rsid w:val="00C76A63"/>
    <w:rsid w:val="00C776C7"/>
    <w:rsid w:val="00C77FE7"/>
    <w:rsid w:val="00C80A52"/>
    <w:rsid w:val="00C81DC9"/>
    <w:rsid w:val="00C82031"/>
    <w:rsid w:val="00C84532"/>
    <w:rsid w:val="00C86E19"/>
    <w:rsid w:val="00C87970"/>
    <w:rsid w:val="00C87F5C"/>
    <w:rsid w:val="00C90A9D"/>
    <w:rsid w:val="00C91683"/>
    <w:rsid w:val="00C933A3"/>
    <w:rsid w:val="00C93ABE"/>
    <w:rsid w:val="00C95D2A"/>
    <w:rsid w:val="00C96CE3"/>
    <w:rsid w:val="00C97BB5"/>
    <w:rsid w:val="00CA0736"/>
    <w:rsid w:val="00CA4446"/>
    <w:rsid w:val="00CA4568"/>
    <w:rsid w:val="00CA4845"/>
    <w:rsid w:val="00CA4BB0"/>
    <w:rsid w:val="00CA5C82"/>
    <w:rsid w:val="00CA7417"/>
    <w:rsid w:val="00CA7527"/>
    <w:rsid w:val="00CB2325"/>
    <w:rsid w:val="00CB308B"/>
    <w:rsid w:val="00CB3B01"/>
    <w:rsid w:val="00CB45E6"/>
    <w:rsid w:val="00CB5656"/>
    <w:rsid w:val="00CB7AC2"/>
    <w:rsid w:val="00CC090B"/>
    <w:rsid w:val="00CC175C"/>
    <w:rsid w:val="00CC1AE1"/>
    <w:rsid w:val="00CC434E"/>
    <w:rsid w:val="00CC7137"/>
    <w:rsid w:val="00CC761F"/>
    <w:rsid w:val="00CC7C66"/>
    <w:rsid w:val="00CD1134"/>
    <w:rsid w:val="00CD1F32"/>
    <w:rsid w:val="00CD2BA5"/>
    <w:rsid w:val="00CD2BB8"/>
    <w:rsid w:val="00CD5BCF"/>
    <w:rsid w:val="00CD5F77"/>
    <w:rsid w:val="00CD64C9"/>
    <w:rsid w:val="00CE09AF"/>
    <w:rsid w:val="00CE0DDB"/>
    <w:rsid w:val="00CE1722"/>
    <w:rsid w:val="00CE228C"/>
    <w:rsid w:val="00CE3C97"/>
    <w:rsid w:val="00CE4720"/>
    <w:rsid w:val="00CE607E"/>
    <w:rsid w:val="00CE614D"/>
    <w:rsid w:val="00CE62C3"/>
    <w:rsid w:val="00CE6731"/>
    <w:rsid w:val="00CE6E09"/>
    <w:rsid w:val="00CE6FD3"/>
    <w:rsid w:val="00CE7450"/>
    <w:rsid w:val="00CF1729"/>
    <w:rsid w:val="00CF208B"/>
    <w:rsid w:val="00CF2B5F"/>
    <w:rsid w:val="00CF3256"/>
    <w:rsid w:val="00CF377C"/>
    <w:rsid w:val="00CF3F0E"/>
    <w:rsid w:val="00CF4344"/>
    <w:rsid w:val="00CF4D83"/>
    <w:rsid w:val="00CF4EDC"/>
    <w:rsid w:val="00D04721"/>
    <w:rsid w:val="00D05DBC"/>
    <w:rsid w:val="00D0606E"/>
    <w:rsid w:val="00D07B96"/>
    <w:rsid w:val="00D11E45"/>
    <w:rsid w:val="00D130D8"/>
    <w:rsid w:val="00D131F2"/>
    <w:rsid w:val="00D1352B"/>
    <w:rsid w:val="00D143E2"/>
    <w:rsid w:val="00D15610"/>
    <w:rsid w:val="00D16764"/>
    <w:rsid w:val="00D16F0D"/>
    <w:rsid w:val="00D20676"/>
    <w:rsid w:val="00D21554"/>
    <w:rsid w:val="00D23D8E"/>
    <w:rsid w:val="00D24AA3"/>
    <w:rsid w:val="00D266BD"/>
    <w:rsid w:val="00D270B8"/>
    <w:rsid w:val="00D31359"/>
    <w:rsid w:val="00D314D4"/>
    <w:rsid w:val="00D324A0"/>
    <w:rsid w:val="00D3261C"/>
    <w:rsid w:val="00D33000"/>
    <w:rsid w:val="00D41E9C"/>
    <w:rsid w:val="00D42202"/>
    <w:rsid w:val="00D43060"/>
    <w:rsid w:val="00D432A3"/>
    <w:rsid w:val="00D443F0"/>
    <w:rsid w:val="00D463A8"/>
    <w:rsid w:val="00D47D95"/>
    <w:rsid w:val="00D541B2"/>
    <w:rsid w:val="00D54D4C"/>
    <w:rsid w:val="00D55B31"/>
    <w:rsid w:val="00D55C52"/>
    <w:rsid w:val="00D63379"/>
    <w:rsid w:val="00D63553"/>
    <w:rsid w:val="00D63627"/>
    <w:rsid w:val="00D65336"/>
    <w:rsid w:val="00D66490"/>
    <w:rsid w:val="00D66C63"/>
    <w:rsid w:val="00D67C6A"/>
    <w:rsid w:val="00D72861"/>
    <w:rsid w:val="00D72A83"/>
    <w:rsid w:val="00D73A83"/>
    <w:rsid w:val="00D744E1"/>
    <w:rsid w:val="00D745BD"/>
    <w:rsid w:val="00D74C7F"/>
    <w:rsid w:val="00D74C9D"/>
    <w:rsid w:val="00D76FC6"/>
    <w:rsid w:val="00D77D0B"/>
    <w:rsid w:val="00D8051E"/>
    <w:rsid w:val="00D80C7E"/>
    <w:rsid w:val="00D80FE5"/>
    <w:rsid w:val="00D81F33"/>
    <w:rsid w:val="00D8214E"/>
    <w:rsid w:val="00D830D9"/>
    <w:rsid w:val="00D84A13"/>
    <w:rsid w:val="00D84FC5"/>
    <w:rsid w:val="00D86C19"/>
    <w:rsid w:val="00D86D99"/>
    <w:rsid w:val="00D87FD3"/>
    <w:rsid w:val="00D90486"/>
    <w:rsid w:val="00D91320"/>
    <w:rsid w:val="00D91AF0"/>
    <w:rsid w:val="00D93E1E"/>
    <w:rsid w:val="00D94289"/>
    <w:rsid w:val="00D944EC"/>
    <w:rsid w:val="00D952CE"/>
    <w:rsid w:val="00D95448"/>
    <w:rsid w:val="00D957FF"/>
    <w:rsid w:val="00D966E8"/>
    <w:rsid w:val="00D96D09"/>
    <w:rsid w:val="00DA1032"/>
    <w:rsid w:val="00DA223B"/>
    <w:rsid w:val="00DA256E"/>
    <w:rsid w:val="00DA264C"/>
    <w:rsid w:val="00DA29D4"/>
    <w:rsid w:val="00DA474D"/>
    <w:rsid w:val="00DA53CB"/>
    <w:rsid w:val="00DA673F"/>
    <w:rsid w:val="00DA6D11"/>
    <w:rsid w:val="00DA7EEC"/>
    <w:rsid w:val="00DB05E1"/>
    <w:rsid w:val="00DB26B9"/>
    <w:rsid w:val="00DB3DF2"/>
    <w:rsid w:val="00DB54AD"/>
    <w:rsid w:val="00DB6578"/>
    <w:rsid w:val="00DB7B9B"/>
    <w:rsid w:val="00DC096C"/>
    <w:rsid w:val="00DC1247"/>
    <w:rsid w:val="00DC21C8"/>
    <w:rsid w:val="00DC2639"/>
    <w:rsid w:val="00DC331F"/>
    <w:rsid w:val="00DC49F7"/>
    <w:rsid w:val="00DC55B1"/>
    <w:rsid w:val="00DC72D9"/>
    <w:rsid w:val="00DC7ADD"/>
    <w:rsid w:val="00DD098B"/>
    <w:rsid w:val="00DD185A"/>
    <w:rsid w:val="00DD1B72"/>
    <w:rsid w:val="00DD5971"/>
    <w:rsid w:val="00DD63F2"/>
    <w:rsid w:val="00DE19BF"/>
    <w:rsid w:val="00DE2068"/>
    <w:rsid w:val="00DE266A"/>
    <w:rsid w:val="00DE3864"/>
    <w:rsid w:val="00DE3B2D"/>
    <w:rsid w:val="00DE3F5D"/>
    <w:rsid w:val="00DE4EDA"/>
    <w:rsid w:val="00DE788E"/>
    <w:rsid w:val="00DF00CD"/>
    <w:rsid w:val="00DF0B95"/>
    <w:rsid w:val="00DF16AE"/>
    <w:rsid w:val="00DF18C6"/>
    <w:rsid w:val="00DF2AB0"/>
    <w:rsid w:val="00DF6604"/>
    <w:rsid w:val="00E005AD"/>
    <w:rsid w:val="00E00B92"/>
    <w:rsid w:val="00E01165"/>
    <w:rsid w:val="00E02E13"/>
    <w:rsid w:val="00E03C77"/>
    <w:rsid w:val="00E03FE3"/>
    <w:rsid w:val="00E045A5"/>
    <w:rsid w:val="00E04E7E"/>
    <w:rsid w:val="00E05176"/>
    <w:rsid w:val="00E06260"/>
    <w:rsid w:val="00E0694E"/>
    <w:rsid w:val="00E07FD7"/>
    <w:rsid w:val="00E1086F"/>
    <w:rsid w:val="00E11326"/>
    <w:rsid w:val="00E1221C"/>
    <w:rsid w:val="00E12802"/>
    <w:rsid w:val="00E13DE2"/>
    <w:rsid w:val="00E20B7E"/>
    <w:rsid w:val="00E2155D"/>
    <w:rsid w:val="00E252B9"/>
    <w:rsid w:val="00E257D2"/>
    <w:rsid w:val="00E25EC6"/>
    <w:rsid w:val="00E27373"/>
    <w:rsid w:val="00E27A84"/>
    <w:rsid w:val="00E30BA4"/>
    <w:rsid w:val="00E3265A"/>
    <w:rsid w:val="00E331D9"/>
    <w:rsid w:val="00E35155"/>
    <w:rsid w:val="00E3681C"/>
    <w:rsid w:val="00E41D83"/>
    <w:rsid w:val="00E4235F"/>
    <w:rsid w:val="00E427DE"/>
    <w:rsid w:val="00E4377D"/>
    <w:rsid w:val="00E43820"/>
    <w:rsid w:val="00E43E6D"/>
    <w:rsid w:val="00E44825"/>
    <w:rsid w:val="00E44CD0"/>
    <w:rsid w:val="00E460E5"/>
    <w:rsid w:val="00E50110"/>
    <w:rsid w:val="00E50386"/>
    <w:rsid w:val="00E51477"/>
    <w:rsid w:val="00E52E0D"/>
    <w:rsid w:val="00E54309"/>
    <w:rsid w:val="00E5633B"/>
    <w:rsid w:val="00E57502"/>
    <w:rsid w:val="00E6000E"/>
    <w:rsid w:val="00E60449"/>
    <w:rsid w:val="00E61B36"/>
    <w:rsid w:val="00E631D7"/>
    <w:rsid w:val="00E63ABD"/>
    <w:rsid w:val="00E64619"/>
    <w:rsid w:val="00E655D4"/>
    <w:rsid w:val="00E65B80"/>
    <w:rsid w:val="00E65F92"/>
    <w:rsid w:val="00E67131"/>
    <w:rsid w:val="00E674E0"/>
    <w:rsid w:val="00E67F52"/>
    <w:rsid w:val="00E73C95"/>
    <w:rsid w:val="00E74E20"/>
    <w:rsid w:val="00E758BD"/>
    <w:rsid w:val="00E75B5A"/>
    <w:rsid w:val="00E75E4C"/>
    <w:rsid w:val="00E76AB4"/>
    <w:rsid w:val="00E80F2A"/>
    <w:rsid w:val="00E810E9"/>
    <w:rsid w:val="00E81FBF"/>
    <w:rsid w:val="00E8273B"/>
    <w:rsid w:val="00E84499"/>
    <w:rsid w:val="00E8658D"/>
    <w:rsid w:val="00E86FD8"/>
    <w:rsid w:val="00E901AF"/>
    <w:rsid w:val="00E90285"/>
    <w:rsid w:val="00E909F2"/>
    <w:rsid w:val="00E91001"/>
    <w:rsid w:val="00E91F7F"/>
    <w:rsid w:val="00E92EAB"/>
    <w:rsid w:val="00E94112"/>
    <w:rsid w:val="00E97633"/>
    <w:rsid w:val="00EA0B20"/>
    <w:rsid w:val="00EA0C42"/>
    <w:rsid w:val="00EA0C88"/>
    <w:rsid w:val="00EA19A7"/>
    <w:rsid w:val="00EA267B"/>
    <w:rsid w:val="00EA3BD5"/>
    <w:rsid w:val="00EA3BDC"/>
    <w:rsid w:val="00EA3C99"/>
    <w:rsid w:val="00EA4018"/>
    <w:rsid w:val="00EA43B6"/>
    <w:rsid w:val="00EA4D70"/>
    <w:rsid w:val="00EA5C87"/>
    <w:rsid w:val="00EB2FE9"/>
    <w:rsid w:val="00EB5463"/>
    <w:rsid w:val="00EB5B5C"/>
    <w:rsid w:val="00EB622B"/>
    <w:rsid w:val="00EB690E"/>
    <w:rsid w:val="00EB77D8"/>
    <w:rsid w:val="00EC21A4"/>
    <w:rsid w:val="00EC3C26"/>
    <w:rsid w:val="00EC4CB9"/>
    <w:rsid w:val="00EC5046"/>
    <w:rsid w:val="00EC792F"/>
    <w:rsid w:val="00ED0867"/>
    <w:rsid w:val="00ED11F9"/>
    <w:rsid w:val="00ED1AAB"/>
    <w:rsid w:val="00ED32BC"/>
    <w:rsid w:val="00ED4227"/>
    <w:rsid w:val="00ED578D"/>
    <w:rsid w:val="00ED7115"/>
    <w:rsid w:val="00ED7899"/>
    <w:rsid w:val="00EE03FE"/>
    <w:rsid w:val="00EE054B"/>
    <w:rsid w:val="00EE0761"/>
    <w:rsid w:val="00EE07F9"/>
    <w:rsid w:val="00EE0FD6"/>
    <w:rsid w:val="00EE10CF"/>
    <w:rsid w:val="00EE21D3"/>
    <w:rsid w:val="00EE3F3F"/>
    <w:rsid w:val="00EE511E"/>
    <w:rsid w:val="00EE5425"/>
    <w:rsid w:val="00EE6F9C"/>
    <w:rsid w:val="00EF040F"/>
    <w:rsid w:val="00EF0B6D"/>
    <w:rsid w:val="00EF2778"/>
    <w:rsid w:val="00EF2B6E"/>
    <w:rsid w:val="00EF315C"/>
    <w:rsid w:val="00EF3F4D"/>
    <w:rsid w:val="00EF4E36"/>
    <w:rsid w:val="00EF5152"/>
    <w:rsid w:val="00EF632C"/>
    <w:rsid w:val="00EF77B9"/>
    <w:rsid w:val="00F023DA"/>
    <w:rsid w:val="00F0307B"/>
    <w:rsid w:val="00F034A4"/>
    <w:rsid w:val="00F050FD"/>
    <w:rsid w:val="00F0600C"/>
    <w:rsid w:val="00F07F05"/>
    <w:rsid w:val="00F106B0"/>
    <w:rsid w:val="00F10E0B"/>
    <w:rsid w:val="00F11C68"/>
    <w:rsid w:val="00F125A9"/>
    <w:rsid w:val="00F12A95"/>
    <w:rsid w:val="00F12ACD"/>
    <w:rsid w:val="00F147EB"/>
    <w:rsid w:val="00F14DC5"/>
    <w:rsid w:val="00F14DCF"/>
    <w:rsid w:val="00F15478"/>
    <w:rsid w:val="00F167FE"/>
    <w:rsid w:val="00F16D09"/>
    <w:rsid w:val="00F176D1"/>
    <w:rsid w:val="00F205A4"/>
    <w:rsid w:val="00F20684"/>
    <w:rsid w:val="00F208EB"/>
    <w:rsid w:val="00F2106E"/>
    <w:rsid w:val="00F22B45"/>
    <w:rsid w:val="00F23B9E"/>
    <w:rsid w:val="00F2479B"/>
    <w:rsid w:val="00F27675"/>
    <w:rsid w:val="00F3067C"/>
    <w:rsid w:val="00F30842"/>
    <w:rsid w:val="00F30B28"/>
    <w:rsid w:val="00F336B7"/>
    <w:rsid w:val="00F33DF8"/>
    <w:rsid w:val="00F34102"/>
    <w:rsid w:val="00F35D31"/>
    <w:rsid w:val="00F35F95"/>
    <w:rsid w:val="00F364D3"/>
    <w:rsid w:val="00F3746A"/>
    <w:rsid w:val="00F379DB"/>
    <w:rsid w:val="00F37A0A"/>
    <w:rsid w:val="00F4065C"/>
    <w:rsid w:val="00F434C7"/>
    <w:rsid w:val="00F43F6A"/>
    <w:rsid w:val="00F44090"/>
    <w:rsid w:val="00F440DB"/>
    <w:rsid w:val="00F51DD1"/>
    <w:rsid w:val="00F52137"/>
    <w:rsid w:val="00F52EA5"/>
    <w:rsid w:val="00F53FBA"/>
    <w:rsid w:val="00F554F5"/>
    <w:rsid w:val="00F56821"/>
    <w:rsid w:val="00F57663"/>
    <w:rsid w:val="00F625DD"/>
    <w:rsid w:val="00F63283"/>
    <w:rsid w:val="00F63A4B"/>
    <w:rsid w:val="00F63E16"/>
    <w:rsid w:val="00F66AAD"/>
    <w:rsid w:val="00F70736"/>
    <w:rsid w:val="00F71550"/>
    <w:rsid w:val="00F72257"/>
    <w:rsid w:val="00F72901"/>
    <w:rsid w:val="00F73E93"/>
    <w:rsid w:val="00F73F31"/>
    <w:rsid w:val="00F75C54"/>
    <w:rsid w:val="00F762B8"/>
    <w:rsid w:val="00F76E1C"/>
    <w:rsid w:val="00F80857"/>
    <w:rsid w:val="00F80F34"/>
    <w:rsid w:val="00F82761"/>
    <w:rsid w:val="00F83BAF"/>
    <w:rsid w:val="00F861B5"/>
    <w:rsid w:val="00F86DC5"/>
    <w:rsid w:val="00F87CE8"/>
    <w:rsid w:val="00F91CBC"/>
    <w:rsid w:val="00F92699"/>
    <w:rsid w:val="00F94378"/>
    <w:rsid w:val="00F95F58"/>
    <w:rsid w:val="00F96730"/>
    <w:rsid w:val="00F9728A"/>
    <w:rsid w:val="00F974F8"/>
    <w:rsid w:val="00F97A32"/>
    <w:rsid w:val="00F97C3F"/>
    <w:rsid w:val="00FA1135"/>
    <w:rsid w:val="00FA14A4"/>
    <w:rsid w:val="00FA5482"/>
    <w:rsid w:val="00FB1AF4"/>
    <w:rsid w:val="00FB1B5A"/>
    <w:rsid w:val="00FB336C"/>
    <w:rsid w:val="00FB470A"/>
    <w:rsid w:val="00FB4AF4"/>
    <w:rsid w:val="00FB4F94"/>
    <w:rsid w:val="00FB5EBD"/>
    <w:rsid w:val="00FB73E9"/>
    <w:rsid w:val="00FB7A24"/>
    <w:rsid w:val="00FC12C3"/>
    <w:rsid w:val="00FC19B0"/>
    <w:rsid w:val="00FC3803"/>
    <w:rsid w:val="00FC4856"/>
    <w:rsid w:val="00FD0649"/>
    <w:rsid w:val="00FD3AE4"/>
    <w:rsid w:val="00FD5078"/>
    <w:rsid w:val="00FD6A28"/>
    <w:rsid w:val="00FE1E73"/>
    <w:rsid w:val="00FE3CFF"/>
    <w:rsid w:val="00FE49AA"/>
    <w:rsid w:val="00FE56E0"/>
    <w:rsid w:val="00FF216C"/>
    <w:rsid w:val="00FF2585"/>
    <w:rsid w:val="00FF2B02"/>
    <w:rsid w:val="00FF2CFB"/>
    <w:rsid w:val="00FF3BCC"/>
    <w:rsid w:val="00FF480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C1BA5FA-E6A2-4451-A78D-E438EA62E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71B"/>
  </w:style>
  <w:style w:type="paragraph" w:styleId="Heading1">
    <w:name w:val="heading 1"/>
    <w:basedOn w:val="Normal"/>
    <w:link w:val="Heading1Char"/>
    <w:uiPriority w:val="9"/>
    <w:qFormat/>
    <w:rsid w:val="00245F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Heading2">
    <w:name w:val="heading 2"/>
    <w:basedOn w:val="Normal"/>
    <w:next w:val="Normal"/>
    <w:link w:val="Heading2Char"/>
    <w:uiPriority w:val="9"/>
    <w:unhideWhenUsed/>
    <w:qFormat/>
    <w:rsid w:val="00F762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823"/>
    <w:pPr>
      <w:ind w:left="720"/>
      <w:contextualSpacing/>
    </w:pPr>
  </w:style>
  <w:style w:type="character" w:styleId="Hyperlink">
    <w:name w:val="Hyperlink"/>
    <w:basedOn w:val="DefaultParagraphFont"/>
    <w:uiPriority w:val="99"/>
    <w:unhideWhenUsed/>
    <w:rsid w:val="00212277"/>
    <w:rPr>
      <w:color w:val="0000FF" w:themeColor="hyperlink"/>
      <w:u w:val="single"/>
    </w:rPr>
  </w:style>
  <w:style w:type="character" w:customStyle="1" w:styleId="apple-converted-space">
    <w:name w:val="apple-converted-space"/>
    <w:basedOn w:val="DefaultParagraphFont"/>
    <w:rsid w:val="00766E78"/>
  </w:style>
  <w:style w:type="character" w:customStyle="1" w:styleId="element-citation">
    <w:name w:val="element-citation"/>
    <w:basedOn w:val="DefaultParagraphFont"/>
    <w:rsid w:val="00766E78"/>
  </w:style>
  <w:style w:type="character" w:customStyle="1" w:styleId="ref-journal">
    <w:name w:val="ref-journal"/>
    <w:basedOn w:val="DefaultParagraphFont"/>
    <w:rsid w:val="00766E78"/>
  </w:style>
  <w:style w:type="character" w:customStyle="1" w:styleId="ref-vol">
    <w:name w:val="ref-vol"/>
    <w:basedOn w:val="DefaultParagraphFont"/>
    <w:rsid w:val="00766E78"/>
  </w:style>
  <w:style w:type="character" w:customStyle="1" w:styleId="nowrap">
    <w:name w:val="nowrap"/>
    <w:basedOn w:val="DefaultParagraphFont"/>
    <w:rsid w:val="00766E78"/>
  </w:style>
  <w:style w:type="table" w:styleId="TableGrid">
    <w:name w:val="Table Grid"/>
    <w:basedOn w:val="TableNormal"/>
    <w:uiPriority w:val="59"/>
    <w:rsid w:val="00A54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chiaro1">
    <w:name w:val="Sfondo chiaro1"/>
    <w:basedOn w:val="TableNormal"/>
    <w:uiPriority w:val="60"/>
    <w:rsid w:val="007F54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8A4252"/>
    <w:pPr>
      <w:spacing w:line="240" w:lineRule="auto"/>
    </w:pPr>
    <w:rPr>
      <w:i/>
      <w:iCs/>
      <w:color w:val="1F497D" w:themeColor="text2"/>
      <w:sz w:val="18"/>
      <w:szCs w:val="18"/>
    </w:rPr>
  </w:style>
  <w:style w:type="paragraph" w:customStyle="1" w:styleId="Paragrafoelenco1">
    <w:name w:val="Paragrafo elenco1"/>
    <w:basedOn w:val="Normal"/>
    <w:rsid w:val="00607878"/>
    <w:pPr>
      <w:suppressAutoHyphens/>
      <w:ind w:left="720"/>
    </w:pPr>
    <w:rPr>
      <w:rFonts w:ascii="Calibri" w:eastAsia="Calibri" w:hAnsi="Calibri" w:cs="Calibri"/>
      <w:kern w:val="1"/>
      <w:lang w:val="en-GB" w:eastAsia="ar-SA"/>
    </w:rPr>
  </w:style>
  <w:style w:type="paragraph" w:styleId="Header">
    <w:name w:val="header"/>
    <w:basedOn w:val="Normal"/>
    <w:link w:val="HeaderChar"/>
    <w:uiPriority w:val="99"/>
    <w:unhideWhenUsed/>
    <w:rsid w:val="006D6CFF"/>
    <w:pPr>
      <w:tabs>
        <w:tab w:val="center" w:pos="4819"/>
        <w:tab w:val="right" w:pos="9638"/>
      </w:tabs>
      <w:spacing w:after="0" w:line="240" w:lineRule="auto"/>
    </w:pPr>
  </w:style>
  <w:style w:type="character" w:customStyle="1" w:styleId="HeaderChar">
    <w:name w:val="Header Char"/>
    <w:basedOn w:val="DefaultParagraphFont"/>
    <w:link w:val="Header"/>
    <w:uiPriority w:val="99"/>
    <w:rsid w:val="006D6CFF"/>
  </w:style>
  <w:style w:type="paragraph" w:styleId="Footer">
    <w:name w:val="footer"/>
    <w:basedOn w:val="Normal"/>
    <w:link w:val="FooterChar"/>
    <w:uiPriority w:val="99"/>
    <w:unhideWhenUsed/>
    <w:rsid w:val="006D6CFF"/>
    <w:pPr>
      <w:tabs>
        <w:tab w:val="center" w:pos="4819"/>
        <w:tab w:val="right" w:pos="9638"/>
      </w:tabs>
      <w:spacing w:after="0" w:line="240" w:lineRule="auto"/>
    </w:pPr>
  </w:style>
  <w:style w:type="character" w:customStyle="1" w:styleId="FooterChar">
    <w:name w:val="Footer Char"/>
    <w:basedOn w:val="DefaultParagraphFont"/>
    <w:link w:val="Footer"/>
    <w:uiPriority w:val="99"/>
    <w:rsid w:val="006D6CFF"/>
  </w:style>
  <w:style w:type="paragraph" w:styleId="BalloonText">
    <w:name w:val="Balloon Text"/>
    <w:basedOn w:val="Normal"/>
    <w:link w:val="BalloonTextChar"/>
    <w:uiPriority w:val="99"/>
    <w:semiHidden/>
    <w:unhideWhenUsed/>
    <w:rsid w:val="003917E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17E4"/>
    <w:rPr>
      <w:rFonts w:ascii="Lucida Grande" w:hAnsi="Lucida Grande" w:cs="Lucida Grande"/>
      <w:sz w:val="18"/>
      <w:szCs w:val="18"/>
    </w:rPr>
  </w:style>
  <w:style w:type="character" w:customStyle="1" w:styleId="Heading2Char">
    <w:name w:val="Heading 2 Char"/>
    <w:basedOn w:val="DefaultParagraphFont"/>
    <w:link w:val="Heading2"/>
    <w:uiPriority w:val="9"/>
    <w:rsid w:val="00F762B8"/>
    <w:rPr>
      <w:rFonts w:asciiTheme="majorHAnsi" w:eastAsiaTheme="majorEastAsia" w:hAnsiTheme="majorHAnsi" w:cstheme="majorBidi"/>
      <w:b/>
      <w:bCs/>
      <w:color w:val="4F81BD" w:themeColor="accent1"/>
      <w:sz w:val="26"/>
      <w:szCs w:val="26"/>
    </w:rPr>
  </w:style>
  <w:style w:type="character" w:customStyle="1" w:styleId="highwire-citation-authors">
    <w:name w:val="highwire-citation-authors"/>
    <w:basedOn w:val="DefaultParagraphFont"/>
    <w:rsid w:val="00B62518"/>
  </w:style>
  <w:style w:type="character" w:customStyle="1" w:styleId="nlm-given-names">
    <w:name w:val="nlm-given-names"/>
    <w:basedOn w:val="DefaultParagraphFont"/>
    <w:rsid w:val="00B62518"/>
  </w:style>
  <w:style w:type="character" w:customStyle="1" w:styleId="nlm-surname">
    <w:name w:val="nlm-surname"/>
    <w:basedOn w:val="DefaultParagraphFont"/>
    <w:rsid w:val="00B62518"/>
  </w:style>
  <w:style w:type="character" w:customStyle="1" w:styleId="highwire-cite-doi">
    <w:name w:val="highwire-cite-doi"/>
    <w:basedOn w:val="DefaultParagraphFont"/>
    <w:rsid w:val="00B62518"/>
  </w:style>
  <w:style w:type="character" w:styleId="Emphasis">
    <w:name w:val="Emphasis"/>
    <w:basedOn w:val="DefaultParagraphFont"/>
    <w:uiPriority w:val="20"/>
    <w:qFormat/>
    <w:rsid w:val="004E3E18"/>
    <w:rPr>
      <w:i/>
      <w:iCs/>
    </w:rPr>
  </w:style>
  <w:style w:type="character" w:customStyle="1" w:styleId="Heading1Char">
    <w:name w:val="Heading 1 Char"/>
    <w:basedOn w:val="DefaultParagraphFont"/>
    <w:link w:val="Heading1"/>
    <w:uiPriority w:val="9"/>
    <w:rsid w:val="00245F21"/>
    <w:rPr>
      <w:rFonts w:ascii="Times New Roman" w:eastAsia="Times New Roman" w:hAnsi="Times New Roman" w:cs="Times New Roman"/>
      <w:b/>
      <w:bCs/>
      <w:kern w:val="36"/>
      <w:sz w:val="48"/>
      <w:szCs w:val="48"/>
      <w:lang w:eastAsia="it-IT"/>
    </w:rPr>
  </w:style>
  <w:style w:type="character" w:customStyle="1" w:styleId="highlight">
    <w:name w:val="highlight"/>
    <w:basedOn w:val="DefaultParagraphFont"/>
    <w:rsid w:val="00245F21"/>
  </w:style>
  <w:style w:type="paragraph" w:styleId="HTMLPreformatted">
    <w:name w:val="HTML Preformatted"/>
    <w:basedOn w:val="Normal"/>
    <w:link w:val="HTMLPreformattedChar"/>
    <w:uiPriority w:val="99"/>
    <w:semiHidden/>
    <w:unhideWhenUsed/>
    <w:rsid w:val="007010F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10F5"/>
    <w:rPr>
      <w:rFonts w:ascii="Consolas" w:hAnsi="Consolas"/>
      <w:sz w:val="20"/>
      <w:szCs w:val="20"/>
    </w:rPr>
  </w:style>
  <w:style w:type="character" w:styleId="CommentReference">
    <w:name w:val="annotation reference"/>
    <w:basedOn w:val="DefaultParagraphFont"/>
    <w:uiPriority w:val="99"/>
    <w:semiHidden/>
    <w:unhideWhenUsed/>
    <w:rsid w:val="00C63E0A"/>
    <w:rPr>
      <w:sz w:val="21"/>
      <w:szCs w:val="21"/>
    </w:rPr>
  </w:style>
  <w:style w:type="paragraph" w:styleId="CommentText">
    <w:name w:val="annotation text"/>
    <w:basedOn w:val="Normal"/>
    <w:link w:val="CommentTextChar"/>
    <w:uiPriority w:val="99"/>
    <w:unhideWhenUsed/>
    <w:rsid w:val="00C63E0A"/>
  </w:style>
  <w:style w:type="character" w:customStyle="1" w:styleId="CommentTextChar">
    <w:name w:val="Comment Text Char"/>
    <w:basedOn w:val="DefaultParagraphFont"/>
    <w:link w:val="CommentText"/>
    <w:uiPriority w:val="99"/>
    <w:semiHidden/>
    <w:rsid w:val="00C63E0A"/>
  </w:style>
  <w:style w:type="paragraph" w:styleId="CommentSubject">
    <w:name w:val="annotation subject"/>
    <w:basedOn w:val="CommentText"/>
    <w:next w:val="CommentText"/>
    <w:link w:val="CommentSubjectChar"/>
    <w:uiPriority w:val="99"/>
    <w:semiHidden/>
    <w:unhideWhenUsed/>
    <w:rsid w:val="00C63E0A"/>
    <w:rPr>
      <w:b/>
      <w:bCs/>
    </w:rPr>
  </w:style>
  <w:style w:type="character" w:customStyle="1" w:styleId="CommentSubjectChar">
    <w:name w:val="Comment Subject Char"/>
    <w:basedOn w:val="CommentTextChar"/>
    <w:link w:val="CommentSubject"/>
    <w:uiPriority w:val="99"/>
    <w:semiHidden/>
    <w:rsid w:val="00C63E0A"/>
    <w:rPr>
      <w:b/>
      <w:bCs/>
    </w:rPr>
  </w:style>
  <w:style w:type="character" w:customStyle="1" w:styleId="Char1">
    <w:name w:val="批注文字 Char1"/>
    <w:uiPriority w:val="99"/>
    <w:rsid w:val="001B0793"/>
    <w:rPr>
      <w:rFonts w:eastAsia="SimSun"/>
      <w:kern w:val="2"/>
      <w:sz w:val="21"/>
      <w:szCs w:val="24"/>
      <w:lang w:val="en-US" w:eastAsia="zh-CN" w:bidi="ar-SA"/>
    </w:rPr>
  </w:style>
  <w:style w:type="character" w:customStyle="1" w:styleId="trans">
    <w:name w:val="trans"/>
    <w:basedOn w:val="DefaultParagraphFont"/>
    <w:rsid w:val="001B0793"/>
  </w:style>
  <w:style w:type="character" w:customStyle="1" w:styleId="webdict">
    <w:name w:val="webdict"/>
    <w:basedOn w:val="DefaultParagraphFont"/>
    <w:rsid w:val="001B0793"/>
  </w:style>
  <w:style w:type="character" w:styleId="FollowedHyperlink">
    <w:name w:val="FollowedHyperlink"/>
    <w:basedOn w:val="DefaultParagraphFont"/>
    <w:uiPriority w:val="99"/>
    <w:semiHidden/>
    <w:unhideWhenUsed/>
    <w:rsid w:val="00C84532"/>
    <w:rPr>
      <w:color w:val="800080" w:themeColor="followedHyperlink"/>
      <w:u w:val="single"/>
    </w:rPr>
  </w:style>
  <w:style w:type="numbering" w:customStyle="1" w:styleId="1">
    <w:name w:val="无列表1"/>
    <w:next w:val="NoList"/>
    <w:uiPriority w:val="99"/>
    <w:semiHidden/>
    <w:unhideWhenUsed/>
    <w:rsid w:val="00312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278">
      <w:bodyDiv w:val="1"/>
      <w:marLeft w:val="0"/>
      <w:marRight w:val="0"/>
      <w:marTop w:val="0"/>
      <w:marBottom w:val="0"/>
      <w:divBdr>
        <w:top w:val="none" w:sz="0" w:space="0" w:color="auto"/>
        <w:left w:val="none" w:sz="0" w:space="0" w:color="auto"/>
        <w:bottom w:val="none" w:sz="0" w:space="0" w:color="auto"/>
        <w:right w:val="none" w:sz="0" w:space="0" w:color="auto"/>
      </w:divBdr>
    </w:div>
    <w:div w:id="14771527">
      <w:bodyDiv w:val="1"/>
      <w:marLeft w:val="0"/>
      <w:marRight w:val="0"/>
      <w:marTop w:val="0"/>
      <w:marBottom w:val="0"/>
      <w:divBdr>
        <w:top w:val="none" w:sz="0" w:space="0" w:color="auto"/>
        <w:left w:val="none" w:sz="0" w:space="0" w:color="auto"/>
        <w:bottom w:val="none" w:sz="0" w:space="0" w:color="auto"/>
        <w:right w:val="none" w:sz="0" w:space="0" w:color="auto"/>
      </w:divBdr>
    </w:div>
    <w:div w:id="19402472">
      <w:bodyDiv w:val="1"/>
      <w:marLeft w:val="0"/>
      <w:marRight w:val="0"/>
      <w:marTop w:val="0"/>
      <w:marBottom w:val="0"/>
      <w:divBdr>
        <w:top w:val="none" w:sz="0" w:space="0" w:color="auto"/>
        <w:left w:val="none" w:sz="0" w:space="0" w:color="auto"/>
        <w:bottom w:val="none" w:sz="0" w:space="0" w:color="auto"/>
        <w:right w:val="none" w:sz="0" w:space="0" w:color="auto"/>
      </w:divBdr>
      <w:divsChild>
        <w:div w:id="73626374">
          <w:marLeft w:val="0"/>
          <w:marRight w:val="0"/>
          <w:marTop w:val="166"/>
          <w:marBottom w:val="166"/>
          <w:divBdr>
            <w:top w:val="none" w:sz="0" w:space="0" w:color="auto"/>
            <w:left w:val="none" w:sz="0" w:space="0" w:color="auto"/>
            <w:bottom w:val="none" w:sz="0" w:space="0" w:color="auto"/>
            <w:right w:val="none" w:sz="0" w:space="0" w:color="auto"/>
          </w:divBdr>
        </w:div>
        <w:div w:id="1701127100">
          <w:marLeft w:val="0"/>
          <w:marRight w:val="0"/>
          <w:marTop w:val="166"/>
          <w:marBottom w:val="166"/>
          <w:divBdr>
            <w:top w:val="none" w:sz="0" w:space="0" w:color="auto"/>
            <w:left w:val="none" w:sz="0" w:space="0" w:color="auto"/>
            <w:bottom w:val="none" w:sz="0" w:space="0" w:color="auto"/>
            <w:right w:val="none" w:sz="0" w:space="0" w:color="auto"/>
          </w:divBdr>
        </w:div>
      </w:divsChild>
    </w:div>
    <w:div w:id="23211670">
      <w:bodyDiv w:val="1"/>
      <w:marLeft w:val="0"/>
      <w:marRight w:val="0"/>
      <w:marTop w:val="0"/>
      <w:marBottom w:val="0"/>
      <w:divBdr>
        <w:top w:val="none" w:sz="0" w:space="0" w:color="auto"/>
        <w:left w:val="none" w:sz="0" w:space="0" w:color="auto"/>
        <w:bottom w:val="none" w:sz="0" w:space="0" w:color="auto"/>
        <w:right w:val="none" w:sz="0" w:space="0" w:color="auto"/>
      </w:divBdr>
    </w:div>
    <w:div w:id="35013584">
      <w:bodyDiv w:val="1"/>
      <w:marLeft w:val="0"/>
      <w:marRight w:val="0"/>
      <w:marTop w:val="0"/>
      <w:marBottom w:val="0"/>
      <w:divBdr>
        <w:top w:val="none" w:sz="0" w:space="0" w:color="auto"/>
        <w:left w:val="none" w:sz="0" w:space="0" w:color="auto"/>
        <w:bottom w:val="none" w:sz="0" w:space="0" w:color="auto"/>
        <w:right w:val="none" w:sz="0" w:space="0" w:color="auto"/>
      </w:divBdr>
    </w:div>
    <w:div w:id="35738218">
      <w:bodyDiv w:val="1"/>
      <w:marLeft w:val="0"/>
      <w:marRight w:val="0"/>
      <w:marTop w:val="0"/>
      <w:marBottom w:val="0"/>
      <w:divBdr>
        <w:top w:val="none" w:sz="0" w:space="0" w:color="auto"/>
        <w:left w:val="none" w:sz="0" w:space="0" w:color="auto"/>
        <w:bottom w:val="none" w:sz="0" w:space="0" w:color="auto"/>
        <w:right w:val="none" w:sz="0" w:space="0" w:color="auto"/>
      </w:divBdr>
    </w:div>
    <w:div w:id="42873686">
      <w:bodyDiv w:val="1"/>
      <w:marLeft w:val="0"/>
      <w:marRight w:val="0"/>
      <w:marTop w:val="0"/>
      <w:marBottom w:val="0"/>
      <w:divBdr>
        <w:top w:val="none" w:sz="0" w:space="0" w:color="auto"/>
        <w:left w:val="none" w:sz="0" w:space="0" w:color="auto"/>
        <w:bottom w:val="none" w:sz="0" w:space="0" w:color="auto"/>
        <w:right w:val="none" w:sz="0" w:space="0" w:color="auto"/>
      </w:divBdr>
    </w:div>
    <w:div w:id="47849033">
      <w:bodyDiv w:val="1"/>
      <w:marLeft w:val="0"/>
      <w:marRight w:val="0"/>
      <w:marTop w:val="0"/>
      <w:marBottom w:val="0"/>
      <w:divBdr>
        <w:top w:val="none" w:sz="0" w:space="0" w:color="auto"/>
        <w:left w:val="none" w:sz="0" w:space="0" w:color="auto"/>
        <w:bottom w:val="none" w:sz="0" w:space="0" w:color="auto"/>
        <w:right w:val="none" w:sz="0" w:space="0" w:color="auto"/>
      </w:divBdr>
    </w:div>
    <w:div w:id="51463488">
      <w:bodyDiv w:val="1"/>
      <w:marLeft w:val="0"/>
      <w:marRight w:val="0"/>
      <w:marTop w:val="0"/>
      <w:marBottom w:val="0"/>
      <w:divBdr>
        <w:top w:val="none" w:sz="0" w:space="0" w:color="auto"/>
        <w:left w:val="none" w:sz="0" w:space="0" w:color="auto"/>
        <w:bottom w:val="none" w:sz="0" w:space="0" w:color="auto"/>
        <w:right w:val="none" w:sz="0" w:space="0" w:color="auto"/>
      </w:divBdr>
    </w:div>
    <w:div w:id="52778075">
      <w:bodyDiv w:val="1"/>
      <w:marLeft w:val="0"/>
      <w:marRight w:val="0"/>
      <w:marTop w:val="0"/>
      <w:marBottom w:val="0"/>
      <w:divBdr>
        <w:top w:val="none" w:sz="0" w:space="0" w:color="auto"/>
        <w:left w:val="none" w:sz="0" w:space="0" w:color="auto"/>
        <w:bottom w:val="none" w:sz="0" w:space="0" w:color="auto"/>
        <w:right w:val="none" w:sz="0" w:space="0" w:color="auto"/>
      </w:divBdr>
    </w:div>
    <w:div w:id="55327400">
      <w:bodyDiv w:val="1"/>
      <w:marLeft w:val="0"/>
      <w:marRight w:val="0"/>
      <w:marTop w:val="0"/>
      <w:marBottom w:val="0"/>
      <w:divBdr>
        <w:top w:val="none" w:sz="0" w:space="0" w:color="auto"/>
        <w:left w:val="none" w:sz="0" w:space="0" w:color="auto"/>
        <w:bottom w:val="none" w:sz="0" w:space="0" w:color="auto"/>
        <w:right w:val="none" w:sz="0" w:space="0" w:color="auto"/>
      </w:divBdr>
    </w:div>
    <w:div w:id="57870906">
      <w:bodyDiv w:val="1"/>
      <w:marLeft w:val="0"/>
      <w:marRight w:val="0"/>
      <w:marTop w:val="0"/>
      <w:marBottom w:val="0"/>
      <w:divBdr>
        <w:top w:val="none" w:sz="0" w:space="0" w:color="auto"/>
        <w:left w:val="none" w:sz="0" w:space="0" w:color="auto"/>
        <w:bottom w:val="none" w:sz="0" w:space="0" w:color="auto"/>
        <w:right w:val="none" w:sz="0" w:space="0" w:color="auto"/>
      </w:divBdr>
    </w:div>
    <w:div w:id="58331224">
      <w:bodyDiv w:val="1"/>
      <w:marLeft w:val="0"/>
      <w:marRight w:val="0"/>
      <w:marTop w:val="0"/>
      <w:marBottom w:val="0"/>
      <w:divBdr>
        <w:top w:val="none" w:sz="0" w:space="0" w:color="auto"/>
        <w:left w:val="none" w:sz="0" w:space="0" w:color="auto"/>
        <w:bottom w:val="none" w:sz="0" w:space="0" w:color="auto"/>
        <w:right w:val="none" w:sz="0" w:space="0" w:color="auto"/>
      </w:divBdr>
    </w:div>
    <w:div w:id="59522991">
      <w:bodyDiv w:val="1"/>
      <w:marLeft w:val="0"/>
      <w:marRight w:val="0"/>
      <w:marTop w:val="0"/>
      <w:marBottom w:val="0"/>
      <w:divBdr>
        <w:top w:val="none" w:sz="0" w:space="0" w:color="auto"/>
        <w:left w:val="none" w:sz="0" w:space="0" w:color="auto"/>
        <w:bottom w:val="none" w:sz="0" w:space="0" w:color="auto"/>
        <w:right w:val="none" w:sz="0" w:space="0" w:color="auto"/>
      </w:divBdr>
    </w:div>
    <w:div w:id="67264415">
      <w:bodyDiv w:val="1"/>
      <w:marLeft w:val="0"/>
      <w:marRight w:val="0"/>
      <w:marTop w:val="0"/>
      <w:marBottom w:val="0"/>
      <w:divBdr>
        <w:top w:val="none" w:sz="0" w:space="0" w:color="auto"/>
        <w:left w:val="none" w:sz="0" w:space="0" w:color="auto"/>
        <w:bottom w:val="none" w:sz="0" w:space="0" w:color="auto"/>
        <w:right w:val="none" w:sz="0" w:space="0" w:color="auto"/>
      </w:divBdr>
    </w:div>
    <w:div w:id="68843180">
      <w:bodyDiv w:val="1"/>
      <w:marLeft w:val="0"/>
      <w:marRight w:val="0"/>
      <w:marTop w:val="0"/>
      <w:marBottom w:val="0"/>
      <w:divBdr>
        <w:top w:val="none" w:sz="0" w:space="0" w:color="auto"/>
        <w:left w:val="none" w:sz="0" w:space="0" w:color="auto"/>
        <w:bottom w:val="none" w:sz="0" w:space="0" w:color="auto"/>
        <w:right w:val="none" w:sz="0" w:space="0" w:color="auto"/>
      </w:divBdr>
    </w:div>
    <w:div w:id="73866852">
      <w:bodyDiv w:val="1"/>
      <w:marLeft w:val="0"/>
      <w:marRight w:val="0"/>
      <w:marTop w:val="0"/>
      <w:marBottom w:val="0"/>
      <w:divBdr>
        <w:top w:val="none" w:sz="0" w:space="0" w:color="auto"/>
        <w:left w:val="none" w:sz="0" w:space="0" w:color="auto"/>
        <w:bottom w:val="none" w:sz="0" w:space="0" w:color="auto"/>
        <w:right w:val="none" w:sz="0" w:space="0" w:color="auto"/>
      </w:divBdr>
    </w:div>
    <w:div w:id="108821490">
      <w:bodyDiv w:val="1"/>
      <w:marLeft w:val="0"/>
      <w:marRight w:val="0"/>
      <w:marTop w:val="0"/>
      <w:marBottom w:val="0"/>
      <w:divBdr>
        <w:top w:val="none" w:sz="0" w:space="0" w:color="auto"/>
        <w:left w:val="none" w:sz="0" w:space="0" w:color="auto"/>
        <w:bottom w:val="none" w:sz="0" w:space="0" w:color="auto"/>
        <w:right w:val="none" w:sz="0" w:space="0" w:color="auto"/>
      </w:divBdr>
    </w:div>
    <w:div w:id="111018003">
      <w:bodyDiv w:val="1"/>
      <w:marLeft w:val="0"/>
      <w:marRight w:val="0"/>
      <w:marTop w:val="0"/>
      <w:marBottom w:val="0"/>
      <w:divBdr>
        <w:top w:val="none" w:sz="0" w:space="0" w:color="auto"/>
        <w:left w:val="none" w:sz="0" w:space="0" w:color="auto"/>
        <w:bottom w:val="none" w:sz="0" w:space="0" w:color="auto"/>
        <w:right w:val="none" w:sz="0" w:space="0" w:color="auto"/>
      </w:divBdr>
    </w:div>
    <w:div w:id="122816056">
      <w:bodyDiv w:val="1"/>
      <w:marLeft w:val="0"/>
      <w:marRight w:val="0"/>
      <w:marTop w:val="0"/>
      <w:marBottom w:val="0"/>
      <w:divBdr>
        <w:top w:val="none" w:sz="0" w:space="0" w:color="auto"/>
        <w:left w:val="none" w:sz="0" w:space="0" w:color="auto"/>
        <w:bottom w:val="none" w:sz="0" w:space="0" w:color="auto"/>
        <w:right w:val="none" w:sz="0" w:space="0" w:color="auto"/>
      </w:divBdr>
    </w:div>
    <w:div w:id="129248144">
      <w:bodyDiv w:val="1"/>
      <w:marLeft w:val="0"/>
      <w:marRight w:val="0"/>
      <w:marTop w:val="0"/>
      <w:marBottom w:val="0"/>
      <w:divBdr>
        <w:top w:val="none" w:sz="0" w:space="0" w:color="auto"/>
        <w:left w:val="none" w:sz="0" w:space="0" w:color="auto"/>
        <w:bottom w:val="none" w:sz="0" w:space="0" w:color="auto"/>
        <w:right w:val="none" w:sz="0" w:space="0" w:color="auto"/>
      </w:divBdr>
      <w:divsChild>
        <w:div w:id="847405339">
          <w:marLeft w:val="0"/>
          <w:marRight w:val="0"/>
          <w:marTop w:val="166"/>
          <w:marBottom w:val="166"/>
          <w:divBdr>
            <w:top w:val="none" w:sz="0" w:space="0" w:color="auto"/>
            <w:left w:val="none" w:sz="0" w:space="0" w:color="auto"/>
            <w:bottom w:val="none" w:sz="0" w:space="0" w:color="auto"/>
            <w:right w:val="none" w:sz="0" w:space="0" w:color="auto"/>
          </w:divBdr>
        </w:div>
        <w:div w:id="1956213608">
          <w:marLeft w:val="0"/>
          <w:marRight w:val="0"/>
          <w:marTop w:val="166"/>
          <w:marBottom w:val="166"/>
          <w:divBdr>
            <w:top w:val="none" w:sz="0" w:space="0" w:color="auto"/>
            <w:left w:val="none" w:sz="0" w:space="0" w:color="auto"/>
            <w:bottom w:val="none" w:sz="0" w:space="0" w:color="auto"/>
            <w:right w:val="none" w:sz="0" w:space="0" w:color="auto"/>
          </w:divBdr>
        </w:div>
      </w:divsChild>
    </w:div>
    <w:div w:id="143015310">
      <w:bodyDiv w:val="1"/>
      <w:marLeft w:val="0"/>
      <w:marRight w:val="0"/>
      <w:marTop w:val="0"/>
      <w:marBottom w:val="0"/>
      <w:divBdr>
        <w:top w:val="none" w:sz="0" w:space="0" w:color="auto"/>
        <w:left w:val="none" w:sz="0" w:space="0" w:color="auto"/>
        <w:bottom w:val="none" w:sz="0" w:space="0" w:color="auto"/>
        <w:right w:val="none" w:sz="0" w:space="0" w:color="auto"/>
      </w:divBdr>
    </w:div>
    <w:div w:id="149831051">
      <w:bodyDiv w:val="1"/>
      <w:marLeft w:val="0"/>
      <w:marRight w:val="0"/>
      <w:marTop w:val="0"/>
      <w:marBottom w:val="0"/>
      <w:divBdr>
        <w:top w:val="none" w:sz="0" w:space="0" w:color="auto"/>
        <w:left w:val="none" w:sz="0" w:space="0" w:color="auto"/>
        <w:bottom w:val="none" w:sz="0" w:space="0" w:color="auto"/>
        <w:right w:val="none" w:sz="0" w:space="0" w:color="auto"/>
      </w:divBdr>
      <w:divsChild>
        <w:div w:id="1770393821">
          <w:marLeft w:val="0"/>
          <w:marRight w:val="0"/>
          <w:marTop w:val="34"/>
          <w:marBottom w:val="34"/>
          <w:divBdr>
            <w:top w:val="none" w:sz="0" w:space="0" w:color="auto"/>
            <w:left w:val="none" w:sz="0" w:space="0" w:color="auto"/>
            <w:bottom w:val="none" w:sz="0" w:space="0" w:color="auto"/>
            <w:right w:val="none" w:sz="0" w:space="0" w:color="auto"/>
          </w:divBdr>
        </w:div>
        <w:div w:id="5713920">
          <w:marLeft w:val="0"/>
          <w:marRight w:val="0"/>
          <w:marTop w:val="0"/>
          <w:marBottom w:val="0"/>
          <w:divBdr>
            <w:top w:val="none" w:sz="0" w:space="0" w:color="auto"/>
            <w:left w:val="none" w:sz="0" w:space="0" w:color="auto"/>
            <w:bottom w:val="none" w:sz="0" w:space="0" w:color="auto"/>
            <w:right w:val="none" w:sz="0" w:space="0" w:color="auto"/>
          </w:divBdr>
        </w:div>
      </w:divsChild>
    </w:div>
    <w:div w:id="155344844">
      <w:bodyDiv w:val="1"/>
      <w:marLeft w:val="0"/>
      <w:marRight w:val="0"/>
      <w:marTop w:val="0"/>
      <w:marBottom w:val="0"/>
      <w:divBdr>
        <w:top w:val="none" w:sz="0" w:space="0" w:color="auto"/>
        <w:left w:val="none" w:sz="0" w:space="0" w:color="auto"/>
        <w:bottom w:val="none" w:sz="0" w:space="0" w:color="auto"/>
        <w:right w:val="none" w:sz="0" w:space="0" w:color="auto"/>
      </w:divBdr>
    </w:div>
    <w:div w:id="160003078">
      <w:bodyDiv w:val="1"/>
      <w:marLeft w:val="0"/>
      <w:marRight w:val="0"/>
      <w:marTop w:val="0"/>
      <w:marBottom w:val="0"/>
      <w:divBdr>
        <w:top w:val="none" w:sz="0" w:space="0" w:color="auto"/>
        <w:left w:val="none" w:sz="0" w:space="0" w:color="auto"/>
        <w:bottom w:val="none" w:sz="0" w:space="0" w:color="auto"/>
        <w:right w:val="none" w:sz="0" w:space="0" w:color="auto"/>
      </w:divBdr>
    </w:div>
    <w:div w:id="163280116">
      <w:bodyDiv w:val="1"/>
      <w:marLeft w:val="0"/>
      <w:marRight w:val="0"/>
      <w:marTop w:val="0"/>
      <w:marBottom w:val="0"/>
      <w:divBdr>
        <w:top w:val="none" w:sz="0" w:space="0" w:color="auto"/>
        <w:left w:val="none" w:sz="0" w:space="0" w:color="auto"/>
        <w:bottom w:val="none" w:sz="0" w:space="0" w:color="auto"/>
        <w:right w:val="none" w:sz="0" w:space="0" w:color="auto"/>
      </w:divBdr>
    </w:div>
    <w:div w:id="166139444">
      <w:bodyDiv w:val="1"/>
      <w:marLeft w:val="0"/>
      <w:marRight w:val="0"/>
      <w:marTop w:val="0"/>
      <w:marBottom w:val="0"/>
      <w:divBdr>
        <w:top w:val="none" w:sz="0" w:space="0" w:color="auto"/>
        <w:left w:val="none" w:sz="0" w:space="0" w:color="auto"/>
        <w:bottom w:val="none" w:sz="0" w:space="0" w:color="auto"/>
        <w:right w:val="none" w:sz="0" w:space="0" w:color="auto"/>
      </w:divBdr>
    </w:div>
    <w:div w:id="175465752">
      <w:bodyDiv w:val="1"/>
      <w:marLeft w:val="0"/>
      <w:marRight w:val="0"/>
      <w:marTop w:val="0"/>
      <w:marBottom w:val="0"/>
      <w:divBdr>
        <w:top w:val="none" w:sz="0" w:space="0" w:color="auto"/>
        <w:left w:val="none" w:sz="0" w:space="0" w:color="auto"/>
        <w:bottom w:val="none" w:sz="0" w:space="0" w:color="auto"/>
        <w:right w:val="none" w:sz="0" w:space="0" w:color="auto"/>
      </w:divBdr>
    </w:div>
    <w:div w:id="176426926">
      <w:bodyDiv w:val="1"/>
      <w:marLeft w:val="0"/>
      <w:marRight w:val="0"/>
      <w:marTop w:val="0"/>
      <w:marBottom w:val="0"/>
      <w:divBdr>
        <w:top w:val="none" w:sz="0" w:space="0" w:color="auto"/>
        <w:left w:val="none" w:sz="0" w:space="0" w:color="auto"/>
        <w:bottom w:val="none" w:sz="0" w:space="0" w:color="auto"/>
        <w:right w:val="none" w:sz="0" w:space="0" w:color="auto"/>
      </w:divBdr>
    </w:div>
    <w:div w:id="176621872">
      <w:bodyDiv w:val="1"/>
      <w:marLeft w:val="0"/>
      <w:marRight w:val="0"/>
      <w:marTop w:val="0"/>
      <w:marBottom w:val="0"/>
      <w:divBdr>
        <w:top w:val="none" w:sz="0" w:space="0" w:color="auto"/>
        <w:left w:val="none" w:sz="0" w:space="0" w:color="auto"/>
        <w:bottom w:val="none" w:sz="0" w:space="0" w:color="auto"/>
        <w:right w:val="none" w:sz="0" w:space="0" w:color="auto"/>
      </w:divBdr>
    </w:div>
    <w:div w:id="182786322">
      <w:bodyDiv w:val="1"/>
      <w:marLeft w:val="0"/>
      <w:marRight w:val="0"/>
      <w:marTop w:val="0"/>
      <w:marBottom w:val="0"/>
      <w:divBdr>
        <w:top w:val="none" w:sz="0" w:space="0" w:color="auto"/>
        <w:left w:val="none" w:sz="0" w:space="0" w:color="auto"/>
        <w:bottom w:val="none" w:sz="0" w:space="0" w:color="auto"/>
        <w:right w:val="none" w:sz="0" w:space="0" w:color="auto"/>
      </w:divBdr>
    </w:div>
    <w:div w:id="196816305">
      <w:bodyDiv w:val="1"/>
      <w:marLeft w:val="0"/>
      <w:marRight w:val="0"/>
      <w:marTop w:val="0"/>
      <w:marBottom w:val="0"/>
      <w:divBdr>
        <w:top w:val="none" w:sz="0" w:space="0" w:color="auto"/>
        <w:left w:val="none" w:sz="0" w:space="0" w:color="auto"/>
        <w:bottom w:val="none" w:sz="0" w:space="0" w:color="auto"/>
        <w:right w:val="none" w:sz="0" w:space="0" w:color="auto"/>
      </w:divBdr>
    </w:div>
    <w:div w:id="219218864">
      <w:bodyDiv w:val="1"/>
      <w:marLeft w:val="0"/>
      <w:marRight w:val="0"/>
      <w:marTop w:val="0"/>
      <w:marBottom w:val="0"/>
      <w:divBdr>
        <w:top w:val="none" w:sz="0" w:space="0" w:color="auto"/>
        <w:left w:val="none" w:sz="0" w:space="0" w:color="auto"/>
        <w:bottom w:val="none" w:sz="0" w:space="0" w:color="auto"/>
        <w:right w:val="none" w:sz="0" w:space="0" w:color="auto"/>
      </w:divBdr>
    </w:div>
    <w:div w:id="219941557">
      <w:bodyDiv w:val="1"/>
      <w:marLeft w:val="0"/>
      <w:marRight w:val="0"/>
      <w:marTop w:val="0"/>
      <w:marBottom w:val="0"/>
      <w:divBdr>
        <w:top w:val="none" w:sz="0" w:space="0" w:color="auto"/>
        <w:left w:val="none" w:sz="0" w:space="0" w:color="auto"/>
        <w:bottom w:val="none" w:sz="0" w:space="0" w:color="auto"/>
        <w:right w:val="none" w:sz="0" w:space="0" w:color="auto"/>
      </w:divBdr>
    </w:div>
    <w:div w:id="220409421">
      <w:bodyDiv w:val="1"/>
      <w:marLeft w:val="0"/>
      <w:marRight w:val="0"/>
      <w:marTop w:val="0"/>
      <w:marBottom w:val="0"/>
      <w:divBdr>
        <w:top w:val="none" w:sz="0" w:space="0" w:color="auto"/>
        <w:left w:val="none" w:sz="0" w:space="0" w:color="auto"/>
        <w:bottom w:val="none" w:sz="0" w:space="0" w:color="auto"/>
        <w:right w:val="none" w:sz="0" w:space="0" w:color="auto"/>
      </w:divBdr>
    </w:div>
    <w:div w:id="228228409">
      <w:bodyDiv w:val="1"/>
      <w:marLeft w:val="0"/>
      <w:marRight w:val="0"/>
      <w:marTop w:val="0"/>
      <w:marBottom w:val="0"/>
      <w:divBdr>
        <w:top w:val="none" w:sz="0" w:space="0" w:color="auto"/>
        <w:left w:val="none" w:sz="0" w:space="0" w:color="auto"/>
        <w:bottom w:val="none" w:sz="0" w:space="0" w:color="auto"/>
        <w:right w:val="none" w:sz="0" w:space="0" w:color="auto"/>
      </w:divBdr>
    </w:div>
    <w:div w:id="243415629">
      <w:bodyDiv w:val="1"/>
      <w:marLeft w:val="0"/>
      <w:marRight w:val="0"/>
      <w:marTop w:val="0"/>
      <w:marBottom w:val="0"/>
      <w:divBdr>
        <w:top w:val="none" w:sz="0" w:space="0" w:color="auto"/>
        <w:left w:val="none" w:sz="0" w:space="0" w:color="auto"/>
        <w:bottom w:val="none" w:sz="0" w:space="0" w:color="auto"/>
        <w:right w:val="none" w:sz="0" w:space="0" w:color="auto"/>
      </w:divBdr>
    </w:div>
    <w:div w:id="243805316">
      <w:bodyDiv w:val="1"/>
      <w:marLeft w:val="0"/>
      <w:marRight w:val="0"/>
      <w:marTop w:val="0"/>
      <w:marBottom w:val="0"/>
      <w:divBdr>
        <w:top w:val="none" w:sz="0" w:space="0" w:color="auto"/>
        <w:left w:val="none" w:sz="0" w:space="0" w:color="auto"/>
        <w:bottom w:val="none" w:sz="0" w:space="0" w:color="auto"/>
        <w:right w:val="none" w:sz="0" w:space="0" w:color="auto"/>
      </w:divBdr>
    </w:div>
    <w:div w:id="251548818">
      <w:bodyDiv w:val="1"/>
      <w:marLeft w:val="0"/>
      <w:marRight w:val="0"/>
      <w:marTop w:val="0"/>
      <w:marBottom w:val="0"/>
      <w:divBdr>
        <w:top w:val="none" w:sz="0" w:space="0" w:color="auto"/>
        <w:left w:val="none" w:sz="0" w:space="0" w:color="auto"/>
        <w:bottom w:val="none" w:sz="0" w:space="0" w:color="auto"/>
        <w:right w:val="none" w:sz="0" w:space="0" w:color="auto"/>
      </w:divBdr>
    </w:div>
    <w:div w:id="254171072">
      <w:bodyDiv w:val="1"/>
      <w:marLeft w:val="0"/>
      <w:marRight w:val="0"/>
      <w:marTop w:val="0"/>
      <w:marBottom w:val="0"/>
      <w:divBdr>
        <w:top w:val="none" w:sz="0" w:space="0" w:color="auto"/>
        <w:left w:val="none" w:sz="0" w:space="0" w:color="auto"/>
        <w:bottom w:val="none" w:sz="0" w:space="0" w:color="auto"/>
        <w:right w:val="none" w:sz="0" w:space="0" w:color="auto"/>
      </w:divBdr>
    </w:div>
    <w:div w:id="255527267">
      <w:bodyDiv w:val="1"/>
      <w:marLeft w:val="0"/>
      <w:marRight w:val="0"/>
      <w:marTop w:val="0"/>
      <w:marBottom w:val="0"/>
      <w:divBdr>
        <w:top w:val="none" w:sz="0" w:space="0" w:color="auto"/>
        <w:left w:val="none" w:sz="0" w:space="0" w:color="auto"/>
        <w:bottom w:val="none" w:sz="0" w:space="0" w:color="auto"/>
        <w:right w:val="none" w:sz="0" w:space="0" w:color="auto"/>
      </w:divBdr>
    </w:div>
    <w:div w:id="256254531">
      <w:bodyDiv w:val="1"/>
      <w:marLeft w:val="0"/>
      <w:marRight w:val="0"/>
      <w:marTop w:val="0"/>
      <w:marBottom w:val="0"/>
      <w:divBdr>
        <w:top w:val="none" w:sz="0" w:space="0" w:color="auto"/>
        <w:left w:val="none" w:sz="0" w:space="0" w:color="auto"/>
        <w:bottom w:val="none" w:sz="0" w:space="0" w:color="auto"/>
        <w:right w:val="none" w:sz="0" w:space="0" w:color="auto"/>
      </w:divBdr>
    </w:div>
    <w:div w:id="261492435">
      <w:bodyDiv w:val="1"/>
      <w:marLeft w:val="0"/>
      <w:marRight w:val="0"/>
      <w:marTop w:val="0"/>
      <w:marBottom w:val="0"/>
      <w:divBdr>
        <w:top w:val="none" w:sz="0" w:space="0" w:color="auto"/>
        <w:left w:val="none" w:sz="0" w:space="0" w:color="auto"/>
        <w:bottom w:val="none" w:sz="0" w:space="0" w:color="auto"/>
        <w:right w:val="none" w:sz="0" w:space="0" w:color="auto"/>
      </w:divBdr>
    </w:div>
    <w:div w:id="263004158">
      <w:bodyDiv w:val="1"/>
      <w:marLeft w:val="0"/>
      <w:marRight w:val="0"/>
      <w:marTop w:val="0"/>
      <w:marBottom w:val="0"/>
      <w:divBdr>
        <w:top w:val="none" w:sz="0" w:space="0" w:color="auto"/>
        <w:left w:val="none" w:sz="0" w:space="0" w:color="auto"/>
        <w:bottom w:val="none" w:sz="0" w:space="0" w:color="auto"/>
        <w:right w:val="none" w:sz="0" w:space="0" w:color="auto"/>
      </w:divBdr>
    </w:div>
    <w:div w:id="265697050">
      <w:bodyDiv w:val="1"/>
      <w:marLeft w:val="0"/>
      <w:marRight w:val="0"/>
      <w:marTop w:val="0"/>
      <w:marBottom w:val="0"/>
      <w:divBdr>
        <w:top w:val="none" w:sz="0" w:space="0" w:color="auto"/>
        <w:left w:val="none" w:sz="0" w:space="0" w:color="auto"/>
        <w:bottom w:val="none" w:sz="0" w:space="0" w:color="auto"/>
        <w:right w:val="none" w:sz="0" w:space="0" w:color="auto"/>
      </w:divBdr>
    </w:div>
    <w:div w:id="265777157">
      <w:bodyDiv w:val="1"/>
      <w:marLeft w:val="0"/>
      <w:marRight w:val="0"/>
      <w:marTop w:val="0"/>
      <w:marBottom w:val="0"/>
      <w:divBdr>
        <w:top w:val="none" w:sz="0" w:space="0" w:color="auto"/>
        <w:left w:val="none" w:sz="0" w:space="0" w:color="auto"/>
        <w:bottom w:val="none" w:sz="0" w:space="0" w:color="auto"/>
        <w:right w:val="none" w:sz="0" w:space="0" w:color="auto"/>
      </w:divBdr>
    </w:div>
    <w:div w:id="266621264">
      <w:bodyDiv w:val="1"/>
      <w:marLeft w:val="0"/>
      <w:marRight w:val="0"/>
      <w:marTop w:val="0"/>
      <w:marBottom w:val="0"/>
      <w:divBdr>
        <w:top w:val="none" w:sz="0" w:space="0" w:color="auto"/>
        <w:left w:val="none" w:sz="0" w:space="0" w:color="auto"/>
        <w:bottom w:val="none" w:sz="0" w:space="0" w:color="auto"/>
        <w:right w:val="none" w:sz="0" w:space="0" w:color="auto"/>
      </w:divBdr>
    </w:div>
    <w:div w:id="267276820">
      <w:bodyDiv w:val="1"/>
      <w:marLeft w:val="0"/>
      <w:marRight w:val="0"/>
      <w:marTop w:val="0"/>
      <w:marBottom w:val="0"/>
      <w:divBdr>
        <w:top w:val="none" w:sz="0" w:space="0" w:color="auto"/>
        <w:left w:val="none" w:sz="0" w:space="0" w:color="auto"/>
        <w:bottom w:val="none" w:sz="0" w:space="0" w:color="auto"/>
        <w:right w:val="none" w:sz="0" w:space="0" w:color="auto"/>
      </w:divBdr>
    </w:div>
    <w:div w:id="267784071">
      <w:bodyDiv w:val="1"/>
      <w:marLeft w:val="0"/>
      <w:marRight w:val="0"/>
      <w:marTop w:val="0"/>
      <w:marBottom w:val="0"/>
      <w:divBdr>
        <w:top w:val="none" w:sz="0" w:space="0" w:color="auto"/>
        <w:left w:val="none" w:sz="0" w:space="0" w:color="auto"/>
        <w:bottom w:val="none" w:sz="0" w:space="0" w:color="auto"/>
        <w:right w:val="none" w:sz="0" w:space="0" w:color="auto"/>
      </w:divBdr>
    </w:div>
    <w:div w:id="270431389">
      <w:bodyDiv w:val="1"/>
      <w:marLeft w:val="0"/>
      <w:marRight w:val="0"/>
      <w:marTop w:val="0"/>
      <w:marBottom w:val="0"/>
      <w:divBdr>
        <w:top w:val="none" w:sz="0" w:space="0" w:color="auto"/>
        <w:left w:val="none" w:sz="0" w:space="0" w:color="auto"/>
        <w:bottom w:val="none" w:sz="0" w:space="0" w:color="auto"/>
        <w:right w:val="none" w:sz="0" w:space="0" w:color="auto"/>
      </w:divBdr>
    </w:div>
    <w:div w:id="274562722">
      <w:bodyDiv w:val="1"/>
      <w:marLeft w:val="0"/>
      <w:marRight w:val="0"/>
      <w:marTop w:val="0"/>
      <w:marBottom w:val="0"/>
      <w:divBdr>
        <w:top w:val="none" w:sz="0" w:space="0" w:color="auto"/>
        <w:left w:val="none" w:sz="0" w:space="0" w:color="auto"/>
        <w:bottom w:val="none" w:sz="0" w:space="0" w:color="auto"/>
        <w:right w:val="none" w:sz="0" w:space="0" w:color="auto"/>
      </w:divBdr>
    </w:div>
    <w:div w:id="278074518">
      <w:bodyDiv w:val="1"/>
      <w:marLeft w:val="0"/>
      <w:marRight w:val="0"/>
      <w:marTop w:val="0"/>
      <w:marBottom w:val="0"/>
      <w:divBdr>
        <w:top w:val="none" w:sz="0" w:space="0" w:color="auto"/>
        <w:left w:val="none" w:sz="0" w:space="0" w:color="auto"/>
        <w:bottom w:val="none" w:sz="0" w:space="0" w:color="auto"/>
        <w:right w:val="none" w:sz="0" w:space="0" w:color="auto"/>
      </w:divBdr>
    </w:div>
    <w:div w:id="280114895">
      <w:bodyDiv w:val="1"/>
      <w:marLeft w:val="0"/>
      <w:marRight w:val="0"/>
      <w:marTop w:val="0"/>
      <w:marBottom w:val="0"/>
      <w:divBdr>
        <w:top w:val="none" w:sz="0" w:space="0" w:color="auto"/>
        <w:left w:val="none" w:sz="0" w:space="0" w:color="auto"/>
        <w:bottom w:val="none" w:sz="0" w:space="0" w:color="auto"/>
        <w:right w:val="none" w:sz="0" w:space="0" w:color="auto"/>
      </w:divBdr>
    </w:div>
    <w:div w:id="283734412">
      <w:bodyDiv w:val="1"/>
      <w:marLeft w:val="0"/>
      <w:marRight w:val="0"/>
      <w:marTop w:val="0"/>
      <w:marBottom w:val="0"/>
      <w:divBdr>
        <w:top w:val="none" w:sz="0" w:space="0" w:color="auto"/>
        <w:left w:val="none" w:sz="0" w:space="0" w:color="auto"/>
        <w:bottom w:val="none" w:sz="0" w:space="0" w:color="auto"/>
        <w:right w:val="none" w:sz="0" w:space="0" w:color="auto"/>
      </w:divBdr>
    </w:div>
    <w:div w:id="285308870">
      <w:bodyDiv w:val="1"/>
      <w:marLeft w:val="0"/>
      <w:marRight w:val="0"/>
      <w:marTop w:val="0"/>
      <w:marBottom w:val="0"/>
      <w:divBdr>
        <w:top w:val="none" w:sz="0" w:space="0" w:color="auto"/>
        <w:left w:val="none" w:sz="0" w:space="0" w:color="auto"/>
        <w:bottom w:val="none" w:sz="0" w:space="0" w:color="auto"/>
        <w:right w:val="none" w:sz="0" w:space="0" w:color="auto"/>
      </w:divBdr>
    </w:div>
    <w:div w:id="293099559">
      <w:bodyDiv w:val="1"/>
      <w:marLeft w:val="0"/>
      <w:marRight w:val="0"/>
      <w:marTop w:val="0"/>
      <w:marBottom w:val="0"/>
      <w:divBdr>
        <w:top w:val="none" w:sz="0" w:space="0" w:color="auto"/>
        <w:left w:val="none" w:sz="0" w:space="0" w:color="auto"/>
        <w:bottom w:val="none" w:sz="0" w:space="0" w:color="auto"/>
        <w:right w:val="none" w:sz="0" w:space="0" w:color="auto"/>
      </w:divBdr>
    </w:div>
    <w:div w:id="297493582">
      <w:bodyDiv w:val="1"/>
      <w:marLeft w:val="0"/>
      <w:marRight w:val="0"/>
      <w:marTop w:val="0"/>
      <w:marBottom w:val="0"/>
      <w:divBdr>
        <w:top w:val="none" w:sz="0" w:space="0" w:color="auto"/>
        <w:left w:val="none" w:sz="0" w:space="0" w:color="auto"/>
        <w:bottom w:val="none" w:sz="0" w:space="0" w:color="auto"/>
        <w:right w:val="none" w:sz="0" w:space="0" w:color="auto"/>
      </w:divBdr>
    </w:div>
    <w:div w:id="310864404">
      <w:bodyDiv w:val="1"/>
      <w:marLeft w:val="0"/>
      <w:marRight w:val="0"/>
      <w:marTop w:val="0"/>
      <w:marBottom w:val="0"/>
      <w:divBdr>
        <w:top w:val="none" w:sz="0" w:space="0" w:color="auto"/>
        <w:left w:val="none" w:sz="0" w:space="0" w:color="auto"/>
        <w:bottom w:val="none" w:sz="0" w:space="0" w:color="auto"/>
        <w:right w:val="none" w:sz="0" w:space="0" w:color="auto"/>
      </w:divBdr>
    </w:div>
    <w:div w:id="316887208">
      <w:bodyDiv w:val="1"/>
      <w:marLeft w:val="0"/>
      <w:marRight w:val="0"/>
      <w:marTop w:val="0"/>
      <w:marBottom w:val="0"/>
      <w:divBdr>
        <w:top w:val="none" w:sz="0" w:space="0" w:color="auto"/>
        <w:left w:val="none" w:sz="0" w:space="0" w:color="auto"/>
        <w:bottom w:val="none" w:sz="0" w:space="0" w:color="auto"/>
        <w:right w:val="none" w:sz="0" w:space="0" w:color="auto"/>
      </w:divBdr>
    </w:div>
    <w:div w:id="326791340">
      <w:bodyDiv w:val="1"/>
      <w:marLeft w:val="0"/>
      <w:marRight w:val="0"/>
      <w:marTop w:val="0"/>
      <w:marBottom w:val="0"/>
      <w:divBdr>
        <w:top w:val="none" w:sz="0" w:space="0" w:color="auto"/>
        <w:left w:val="none" w:sz="0" w:space="0" w:color="auto"/>
        <w:bottom w:val="none" w:sz="0" w:space="0" w:color="auto"/>
        <w:right w:val="none" w:sz="0" w:space="0" w:color="auto"/>
      </w:divBdr>
    </w:div>
    <w:div w:id="339237287">
      <w:bodyDiv w:val="1"/>
      <w:marLeft w:val="0"/>
      <w:marRight w:val="0"/>
      <w:marTop w:val="0"/>
      <w:marBottom w:val="0"/>
      <w:divBdr>
        <w:top w:val="none" w:sz="0" w:space="0" w:color="auto"/>
        <w:left w:val="none" w:sz="0" w:space="0" w:color="auto"/>
        <w:bottom w:val="none" w:sz="0" w:space="0" w:color="auto"/>
        <w:right w:val="none" w:sz="0" w:space="0" w:color="auto"/>
      </w:divBdr>
    </w:div>
    <w:div w:id="343829190">
      <w:bodyDiv w:val="1"/>
      <w:marLeft w:val="0"/>
      <w:marRight w:val="0"/>
      <w:marTop w:val="0"/>
      <w:marBottom w:val="0"/>
      <w:divBdr>
        <w:top w:val="none" w:sz="0" w:space="0" w:color="auto"/>
        <w:left w:val="none" w:sz="0" w:space="0" w:color="auto"/>
        <w:bottom w:val="none" w:sz="0" w:space="0" w:color="auto"/>
        <w:right w:val="none" w:sz="0" w:space="0" w:color="auto"/>
      </w:divBdr>
      <w:divsChild>
        <w:div w:id="1893883734">
          <w:marLeft w:val="0"/>
          <w:marRight w:val="0"/>
          <w:marTop w:val="34"/>
          <w:marBottom w:val="34"/>
          <w:divBdr>
            <w:top w:val="none" w:sz="0" w:space="0" w:color="auto"/>
            <w:left w:val="none" w:sz="0" w:space="0" w:color="auto"/>
            <w:bottom w:val="none" w:sz="0" w:space="0" w:color="auto"/>
            <w:right w:val="none" w:sz="0" w:space="0" w:color="auto"/>
          </w:divBdr>
        </w:div>
      </w:divsChild>
    </w:div>
    <w:div w:id="344135215">
      <w:bodyDiv w:val="1"/>
      <w:marLeft w:val="0"/>
      <w:marRight w:val="0"/>
      <w:marTop w:val="0"/>
      <w:marBottom w:val="0"/>
      <w:divBdr>
        <w:top w:val="none" w:sz="0" w:space="0" w:color="auto"/>
        <w:left w:val="none" w:sz="0" w:space="0" w:color="auto"/>
        <w:bottom w:val="none" w:sz="0" w:space="0" w:color="auto"/>
        <w:right w:val="none" w:sz="0" w:space="0" w:color="auto"/>
      </w:divBdr>
    </w:div>
    <w:div w:id="344552383">
      <w:bodyDiv w:val="1"/>
      <w:marLeft w:val="0"/>
      <w:marRight w:val="0"/>
      <w:marTop w:val="0"/>
      <w:marBottom w:val="0"/>
      <w:divBdr>
        <w:top w:val="none" w:sz="0" w:space="0" w:color="auto"/>
        <w:left w:val="none" w:sz="0" w:space="0" w:color="auto"/>
        <w:bottom w:val="none" w:sz="0" w:space="0" w:color="auto"/>
        <w:right w:val="none" w:sz="0" w:space="0" w:color="auto"/>
      </w:divBdr>
      <w:divsChild>
        <w:div w:id="215358655">
          <w:marLeft w:val="0"/>
          <w:marRight w:val="0"/>
          <w:marTop w:val="166"/>
          <w:marBottom w:val="166"/>
          <w:divBdr>
            <w:top w:val="none" w:sz="0" w:space="0" w:color="auto"/>
            <w:left w:val="none" w:sz="0" w:space="0" w:color="auto"/>
            <w:bottom w:val="none" w:sz="0" w:space="0" w:color="auto"/>
            <w:right w:val="none" w:sz="0" w:space="0" w:color="auto"/>
          </w:divBdr>
        </w:div>
        <w:div w:id="1753745396">
          <w:marLeft w:val="0"/>
          <w:marRight w:val="0"/>
          <w:marTop w:val="166"/>
          <w:marBottom w:val="166"/>
          <w:divBdr>
            <w:top w:val="none" w:sz="0" w:space="0" w:color="auto"/>
            <w:left w:val="none" w:sz="0" w:space="0" w:color="auto"/>
            <w:bottom w:val="none" w:sz="0" w:space="0" w:color="auto"/>
            <w:right w:val="none" w:sz="0" w:space="0" w:color="auto"/>
          </w:divBdr>
        </w:div>
        <w:div w:id="398021143">
          <w:marLeft w:val="0"/>
          <w:marRight w:val="0"/>
          <w:marTop w:val="166"/>
          <w:marBottom w:val="166"/>
          <w:divBdr>
            <w:top w:val="none" w:sz="0" w:space="0" w:color="auto"/>
            <w:left w:val="none" w:sz="0" w:space="0" w:color="auto"/>
            <w:bottom w:val="none" w:sz="0" w:space="0" w:color="auto"/>
            <w:right w:val="none" w:sz="0" w:space="0" w:color="auto"/>
          </w:divBdr>
        </w:div>
        <w:div w:id="1618608609">
          <w:marLeft w:val="0"/>
          <w:marRight w:val="0"/>
          <w:marTop w:val="166"/>
          <w:marBottom w:val="166"/>
          <w:divBdr>
            <w:top w:val="none" w:sz="0" w:space="0" w:color="auto"/>
            <w:left w:val="none" w:sz="0" w:space="0" w:color="auto"/>
            <w:bottom w:val="none" w:sz="0" w:space="0" w:color="auto"/>
            <w:right w:val="none" w:sz="0" w:space="0" w:color="auto"/>
          </w:divBdr>
        </w:div>
      </w:divsChild>
    </w:div>
    <w:div w:id="367880941">
      <w:bodyDiv w:val="1"/>
      <w:marLeft w:val="0"/>
      <w:marRight w:val="0"/>
      <w:marTop w:val="0"/>
      <w:marBottom w:val="0"/>
      <w:divBdr>
        <w:top w:val="none" w:sz="0" w:space="0" w:color="auto"/>
        <w:left w:val="none" w:sz="0" w:space="0" w:color="auto"/>
        <w:bottom w:val="none" w:sz="0" w:space="0" w:color="auto"/>
        <w:right w:val="none" w:sz="0" w:space="0" w:color="auto"/>
      </w:divBdr>
    </w:div>
    <w:div w:id="382606014">
      <w:bodyDiv w:val="1"/>
      <w:marLeft w:val="0"/>
      <w:marRight w:val="0"/>
      <w:marTop w:val="0"/>
      <w:marBottom w:val="0"/>
      <w:divBdr>
        <w:top w:val="none" w:sz="0" w:space="0" w:color="auto"/>
        <w:left w:val="none" w:sz="0" w:space="0" w:color="auto"/>
        <w:bottom w:val="none" w:sz="0" w:space="0" w:color="auto"/>
        <w:right w:val="none" w:sz="0" w:space="0" w:color="auto"/>
      </w:divBdr>
    </w:div>
    <w:div w:id="386300615">
      <w:bodyDiv w:val="1"/>
      <w:marLeft w:val="0"/>
      <w:marRight w:val="0"/>
      <w:marTop w:val="0"/>
      <w:marBottom w:val="0"/>
      <w:divBdr>
        <w:top w:val="none" w:sz="0" w:space="0" w:color="auto"/>
        <w:left w:val="none" w:sz="0" w:space="0" w:color="auto"/>
        <w:bottom w:val="none" w:sz="0" w:space="0" w:color="auto"/>
        <w:right w:val="none" w:sz="0" w:space="0" w:color="auto"/>
      </w:divBdr>
    </w:div>
    <w:div w:id="404690997">
      <w:bodyDiv w:val="1"/>
      <w:marLeft w:val="0"/>
      <w:marRight w:val="0"/>
      <w:marTop w:val="0"/>
      <w:marBottom w:val="0"/>
      <w:divBdr>
        <w:top w:val="none" w:sz="0" w:space="0" w:color="auto"/>
        <w:left w:val="none" w:sz="0" w:space="0" w:color="auto"/>
        <w:bottom w:val="none" w:sz="0" w:space="0" w:color="auto"/>
        <w:right w:val="none" w:sz="0" w:space="0" w:color="auto"/>
      </w:divBdr>
    </w:div>
    <w:div w:id="407843657">
      <w:bodyDiv w:val="1"/>
      <w:marLeft w:val="0"/>
      <w:marRight w:val="0"/>
      <w:marTop w:val="0"/>
      <w:marBottom w:val="0"/>
      <w:divBdr>
        <w:top w:val="none" w:sz="0" w:space="0" w:color="auto"/>
        <w:left w:val="none" w:sz="0" w:space="0" w:color="auto"/>
        <w:bottom w:val="none" w:sz="0" w:space="0" w:color="auto"/>
        <w:right w:val="none" w:sz="0" w:space="0" w:color="auto"/>
      </w:divBdr>
    </w:div>
    <w:div w:id="427116093">
      <w:bodyDiv w:val="1"/>
      <w:marLeft w:val="0"/>
      <w:marRight w:val="0"/>
      <w:marTop w:val="0"/>
      <w:marBottom w:val="0"/>
      <w:divBdr>
        <w:top w:val="none" w:sz="0" w:space="0" w:color="auto"/>
        <w:left w:val="none" w:sz="0" w:space="0" w:color="auto"/>
        <w:bottom w:val="none" w:sz="0" w:space="0" w:color="auto"/>
        <w:right w:val="none" w:sz="0" w:space="0" w:color="auto"/>
      </w:divBdr>
      <w:divsChild>
        <w:div w:id="772479739">
          <w:marLeft w:val="0"/>
          <w:marRight w:val="0"/>
          <w:marTop w:val="0"/>
          <w:marBottom w:val="288"/>
          <w:divBdr>
            <w:top w:val="none" w:sz="0" w:space="0" w:color="auto"/>
            <w:left w:val="none" w:sz="0" w:space="0" w:color="auto"/>
            <w:bottom w:val="none" w:sz="0" w:space="0" w:color="auto"/>
            <w:right w:val="none" w:sz="0" w:space="0" w:color="auto"/>
          </w:divBdr>
        </w:div>
        <w:div w:id="109402586">
          <w:marLeft w:val="0"/>
          <w:marRight w:val="0"/>
          <w:marTop w:val="0"/>
          <w:marBottom w:val="288"/>
          <w:divBdr>
            <w:top w:val="none" w:sz="0" w:space="0" w:color="auto"/>
            <w:left w:val="none" w:sz="0" w:space="0" w:color="auto"/>
            <w:bottom w:val="none" w:sz="0" w:space="0" w:color="auto"/>
            <w:right w:val="none" w:sz="0" w:space="0" w:color="auto"/>
          </w:divBdr>
          <w:divsChild>
            <w:div w:id="321736705">
              <w:marLeft w:val="0"/>
              <w:marRight w:val="0"/>
              <w:marTop w:val="0"/>
              <w:marBottom w:val="0"/>
              <w:divBdr>
                <w:top w:val="none" w:sz="0" w:space="0" w:color="auto"/>
                <w:left w:val="none" w:sz="0" w:space="0" w:color="auto"/>
                <w:bottom w:val="none" w:sz="0" w:space="0" w:color="auto"/>
                <w:right w:val="none" w:sz="0" w:space="0" w:color="auto"/>
              </w:divBdr>
            </w:div>
            <w:div w:id="17028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3218">
      <w:bodyDiv w:val="1"/>
      <w:marLeft w:val="0"/>
      <w:marRight w:val="0"/>
      <w:marTop w:val="0"/>
      <w:marBottom w:val="0"/>
      <w:divBdr>
        <w:top w:val="none" w:sz="0" w:space="0" w:color="auto"/>
        <w:left w:val="none" w:sz="0" w:space="0" w:color="auto"/>
        <w:bottom w:val="none" w:sz="0" w:space="0" w:color="auto"/>
        <w:right w:val="none" w:sz="0" w:space="0" w:color="auto"/>
      </w:divBdr>
    </w:div>
    <w:div w:id="429353030">
      <w:bodyDiv w:val="1"/>
      <w:marLeft w:val="0"/>
      <w:marRight w:val="0"/>
      <w:marTop w:val="0"/>
      <w:marBottom w:val="0"/>
      <w:divBdr>
        <w:top w:val="none" w:sz="0" w:space="0" w:color="auto"/>
        <w:left w:val="none" w:sz="0" w:space="0" w:color="auto"/>
        <w:bottom w:val="none" w:sz="0" w:space="0" w:color="auto"/>
        <w:right w:val="none" w:sz="0" w:space="0" w:color="auto"/>
      </w:divBdr>
    </w:div>
    <w:div w:id="437484597">
      <w:bodyDiv w:val="1"/>
      <w:marLeft w:val="0"/>
      <w:marRight w:val="0"/>
      <w:marTop w:val="0"/>
      <w:marBottom w:val="0"/>
      <w:divBdr>
        <w:top w:val="none" w:sz="0" w:space="0" w:color="auto"/>
        <w:left w:val="none" w:sz="0" w:space="0" w:color="auto"/>
        <w:bottom w:val="none" w:sz="0" w:space="0" w:color="auto"/>
        <w:right w:val="none" w:sz="0" w:space="0" w:color="auto"/>
      </w:divBdr>
    </w:div>
    <w:div w:id="443304340">
      <w:bodyDiv w:val="1"/>
      <w:marLeft w:val="0"/>
      <w:marRight w:val="0"/>
      <w:marTop w:val="0"/>
      <w:marBottom w:val="0"/>
      <w:divBdr>
        <w:top w:val="none" w:sz="0" w:space="0" w:color="auto"/>
        <w:left w:val="none" w:sz="0" w:space="0" w:color="auto"/>
        <w:bottom w:val="none" w:sz="0" w:space="0" w:color="auto"/>
        <w:right w:val="none" w:sz="0" w:space="0" w:color="auto"/>
      </w:divBdr>
    </w:div>
    <w:div w:id="448672823">
      <w:bodyDiv w:val="1"/>
      <w:marLeft w:val="0"/>
      <w:marRight w:val="0"/>
      <w:marTop w:val="0"/>
      <w:marBottom w:val="0"/>
      <w:divBdr>
        <w:top w:val="none" w:sz="0" w:space="0" w:color="auto"/>
        <w:left w:val="none" w:sz="0" w:space="0" w:color="auto"/>
        <w:bottom w:val="none" w:sz="0" w:space="0" w:color="auto"/>
        <w:right w:val="none" w:sz="0" w:space="0" w:color="auto"/>
      </w:divBdr>
    </w:div>
    <w:div w:id="449905760">
      <w:bodyDiv w:val="1"/>
      <w:marLeft w:val="0"/>
      <w:marRight w:val="0"/>
      <w:marTop w:val="0"/>
      <w:marBottom w:val="0"/>
      <w:divBdr>
        <w:top w:val="none" w:sz="0" w:space="0" w:color="auto"/>
        <w:left w:val="none" w:sz="0" w:space="0" w:color="auto"/>
        <w:bottom w:val="none" w:sz="0" w:space="0" w:color="auto"/>
        <w:right w:val="none" w:sz="0" w:space="0" w:color="auto"/>
      </w:divBdr>
    </w:div>
    <w:div w:id="457838724">
      <w:bodyDiv w:val="1"/>
      <w:marLeft w:val="0"/>
      <w:marRight w:val="0"/>
      <w:marTop w:val="0"/>
      <w:marBottom w:val="0"/>
      <w:divBdr>
        <w:top w:val="none" w:sz="0" w:space="0" w:color="auto"/>
        <w:left w:val="none" w:sz="0" w:space="0" w:color="auto"/>
        <w:bottom w:val="none" w:sz="0" w:space="0" w:color="auto"/>
        <w:right w:val="none" w:sz="0" w:space="0" w:color="auto"/>
      </w:divBdr>
    </w:div>
    <w:div w:id="459106562">
      <w:bodyDiv w:val="1"/>
      <w:marLeft w:val="0"/>
      <w:marRight w:val="0"/>
      <w:marTop w:val="0"/>
      <w:marBottom w:val="0"/>
      <w:divBdr>
        <w:top w:val="none" w:sz="0" w:space="0" w:color="auto"/>
        <w:left w:val="none" w:sz="0" w:space="0" w:color="auto"/>
        <w:bottom w:val="none" w:sz="0" w:space="0" w:color="auto"/>
        <w:right w:val="none" w:sz="0" w:space="0" w:color="auto"/>
      </w:divBdr>
    </w:div>
    <w:div w:id="469131826">
      <w:bodyDiv w:val="1"/>
      <w:marLeft w:val="0"/>
      <w:marRight w:val="0"/>
      <w:marTop w:val="0"/>
      <w:marBottom w:val="0"/>
      <w:divBdr>
        <w:top w:val="none" w:sz="0" w:space="0" w:color="auto"/>
        <w:left w:val="none" w:sz="0" w:space="0" w:color="auto"/>
        <w:bottom w:val="none" w:sz="0" w:space="0" w:color="auto"/>
        <w:right w:val="none" w:sz="0" w:space="0" w:color="auto"/>
      </w:divBdr>
    </w:div>
    <w:div w:id="470178753">
      <w:bodyDiv w:val="1"/>
      <w:marLeft w:val="0"/>
      <w:marRight w:val="0"/>
      <w:marTop w:val="0"/>
      <w:marBottom w:val="0"/>
      <w:divBdr>
        <w:top w:val="none" w:sz="0" w:space="0" w:color="auto"/>
        <w:left w:val="none" w:sz="0" w:space="0" w:color="auto"/>
        <w:bottom w:val="none" w:sz="0" w:space="0" w:color="auto"/>
        <w:right w:val="none" w:sz="0" w:space="0" w:color="auto"/>
      </w:divBdr>
    </w:div>
    <w:div w:id="475806848">
      <w:bodyDiv w:val="1"/>
      <w:marLeft w:val="0"/>
      <w:marRight w:val="0"/>
      <w:marTop w:val="0"/>
      <w:marBottom w:val="0"/>
      <w:divBdr>
        <w:top w:val="none" w:sz="0" w:space="0" w:color="auto"/>
        <w:left w:val="none" w:sz="0" w:space="0" w:color="auto"/>
        <w:bottom w:val="none" w:sz="0" w:space="0" w:color="auto"/>
        <w:right w:val="none" w:sz="0" w:space="0" w:color="auto"/>
      </w:divBdr>
    </w:div>
    <w:div w:id="494491083">
      <w:bodyDiv w:val="1"/>
      <w:marLeft w:val="0"/>
      <w:marRight w:val="0"/>
      <w:marTop w:val="0"/>
      <w:marBottom w:val="0"/>
      <w:divBdr>
        <w:top w:val="none" w:sz="0" w:space="0" w:color="auto"/>
        <w:left w:val="none" w:sz="0" w:space="0" w:color="auto"/>
        <w:bottom w:val="none" w:sz="0" w:space="0" w:color="auto"/>
        <w:right w:val="none" w:sz="0" w:space="0" w:color="auto"/>
      </w:divBdr>
    </w:div>
    <w:div w:id="497700097">
      <w:bodyDiv w:val="1"/>
      <w:marLeft w:val="0"/>
      <w:marRight w:val="0"/>
      <w:marTop w:val="0"/>
      <w:marBottom w:val="0"/>
      <w:divBdr>
        <w:top w:val="none" w:sz="0" w:space="0" w:color="auto"/>
        <w:left w:val="none" w:sz="0" w:space="0" w:color="auto"/>
        <w:bottom w:val="none" w:sz="0" w:space="0" w:color="auto"/>
        <w:right w:val="none" w:sz="0" w:space="0" w:color="auto"/>
      </w:divBdr>
    </w:div>
    <w:div w:id="499733925">
      <w:bodyDiv w:val="1"/>
      <w:marLeft w:val="0"/>
      <w:marRight w:val="0"/>
      <w:marTop w:val="0"/>
      <w:marBottom w:val="0"/>
      <w:divBdr>
        <w:top w:val="none" w:sz="0" w:space="0" w:color="auto"/>
        <w:left w:val="none" w:sz="0" w:space="0" w:color="auto"/>
        <w:bottom w:val="none" w:sz="0" w:space="0" w:color="auto"/>
        <w:right w:val="none" w:sz="0" w:space="0" w:color="auto"/>
      </w:divBdr>
    </w:div>
    <w:div w:id="505485208">
      <w:bodyDiv w:val="1"/>
      <w:marLeft w:val="0"/>
      <w:marRight w:val="0"/>
      <w:marTop w:val="0"/>
      <w:marBottom w:val="0"/>
      <w:divBdr>
        <w:top w:val="none" w:sz="0" w:space="0" w:color="auto"/>
        <w:left w:val="none" w:sz="0" w:space="0" w:color="auto"/>
        <w:bottom w:val="none" w:sz="0" w:space="0" w:color="auto"/>
        <w:right w:val="none" w:sz="0" w:space="0" w:color="auto"/>
      </w:divBdr>
    </w:div>
    <w:div w:id="505677211">
      <w:bodyDiv w:val="1"/>
      <w:marLeft w:val="0"/>
      <w:marRight w:val="0"/>
      <w:marTop w:val="0"/>
      <w:marBottom w:val="0"/>
      <w:divBdr>
        <w:top w:val="none" w:sz="0" w:space="0" w:color="auto"/>
        <w:left w:val="none" w:sz="0" w:space="0" w:color="auto"/>
        <w:bottom w:val="none" w:sz="0" w:space="0" w:color="auto"/>
        <w:right w:val="none" w:sz="0" w:space="0" w:color="auto"/>
      </w:divBdr>
    </w:div>
    <w:div w:id="514031441">
      <w:bodyDiv w:val="1"/>
      <w:marLeft w:val="0"/>
      <w:marRight w:val="0"/>
      <w:marTop w:val="0"/>
      <w:marBottom w:val="0"/>
      <w:divBdr>
        <w:top w:val="none" w:sz="0" w:space="0" w:color="auto"/>
        <w:left w:val="none" w:sz="0" w:space="0" w:color="auto"/>
        <w:bottom w:val="none" w:sz="0" w:space="0" w:color="auto"/>
        <w:right w:val="none" w:sz="0" w:space="0" w:color="auto"/>
      </w:divBdr>
    </w:div>
    <w:div w:id="530385209">
      <w:bodyDiv w:val="1"/>
      <w:marLeft w:val="0"/>
      <w:marRight w:val="0"/>
      <w:marTop w:val="0"/>
      <w:marBottom w:val="0"/>
      <w:divBdr>
        <w:top w:val="none" w:sz="0" w:space="0" w:color="auto"/>
        <w:left w:val="none" w:sz="0" w:space="0" w:color="auto"/>
        <w:bottom w:val="none" w:sz="0" w:space="0" w:color="auto"/>
        <w:right w:val="none" w:sz="0" w:space="0" w:color="auto"/>
      </w:divBdr>
    </w:div>
    <w:div w:id="533811580">
      <w:bodyDiv w:val="1"/>
      <w:marLeft w:val="0"/>
      <w:marRight w:val="0"/>
      <w:marTop w:val="0"/>
      <w:marBottom w:val="0"/>
      <w:divBdr>
        <w:top w:val="none" w:sz="0" w:space="0" w:color="auto"/>
        <w:left w:val="none" w:sz="0" w:space="0" w:color="auto"/>
        <w:bottom w:val="none" w:sz="0" w:space="0" w:color="auto"/>
        <w:right w:val="none" w:sz="0" w:space="0" w:color="auto"/>
      </w:divBdr>
    </w:div>
    <w:div w:id="540872206">
      <w:bodyDiv w:val="1"/>
      <w:marLeft w:val="0"/>
      <w:marRight w:val="0"/>
      <w:marTop w:val="0"/>
      <w:marBottom w:val="0"/>
      <w:divBdr>
        <w:top w:val="none" w:sz="0" w:space="0" w:color="auto"/>
        <w:left w:val="none" w:sz="0" w:space="0" w:color="auto"/>
        <w:bottom w:val="none" w:sz="0" w:space="0" w:color="auto"/>
        <w:right w:val="none" w:sz="0" w:space="0" w:color="auto"/>
      </w:divBdr>
    </w:div>
    <w:div w:id="549417288">
      <w:bodyDiv w:val="1"/>
      <w:marLeft w:val="0"/>
      <w:marRight w:val="0"/>
      <w:marTop w:val="0"/>
      <w:marBottom w:val="0"/>
      <w:divBdr>
        <w:top w:val="none" w:sz="0" w:space="0" w:color="auto"/>
        <w:left w:val="none" w:sz="0" w:space="0" w:color="auto"/>
        <w:bottom w:val="none" w:sz="0" w:space="0" w:color="auto"/>
        <w:right w:val="none" w:sz="0" w:space="0" w:color="auto"/>
      </w:divBdr>
    </w:div>
    <w:div w:id="553391342">
      <w:bodyDiv w:val="1"/>
      <w:marLeft w:val="0"/>
      <w:marRight w:val="0"/>
      <w:marTop w:val="0"/>
      <w:marBottom w:val="0"/>
      <w:divBdr>
        <w:top w:val="none" w:sz="0" w:space="0" w:color="auto"/>
        <w:left w:val="none" w:sz="0" w:space="0" w:color="auto"/>
        <w:bottom w:val="none" w:sz="0" w:space="0" w:color="auto"/>
        <w:right w:val="none" w:sz="0" w:space="0" w:color="auto"/>
      </w:divBdr>
    </w:div>
    <w:div w:id="556861144">
      <w:bodyDiv w:val="1"/>
      <w:marLeft w:val="0"/>
      <w:marRight w:val="0"/>
      <w:marTop w:val="0"/>
      <w:marBottom w:val="0"/>
      <w:divBdr>
        <w:top w:val="none" w:sz="0" w:space="0" w:color="auto"/>
        <w:left w:val="none" w:sz="0" w:space="0" w:color="auto"/>
        <w:bottom w:val="none" w:sz="0" w:space="0" w:color="auto"/>
        <w:right w:val="none" w:sz="0" w:space="0" w:color="auto"/>
      </w:divBdr>
    </w:div>
    <w:div w:id="560674456">
      <w:bodyDiv w:val="1"/>
      <w:marLeft w:val="0"/>
      <w:marRight w:val="0"/>
      <w:marTop w:val="0"/>
      <w:marBottom w:val="0"/>
      <w:divBdr>
        <w:top w:val="none" w:sz="0" w:space="0" w:color="auto"/>
        <w:left w:val="none" w:sz="0" w:space="0" w:color="auto"/>
        <w:bottom w:val="none" w:sz="0" w:space="0" w:color="auto"/>
        <w:right w:val="none" w:sz="0" w:space="0" w:color="auto"/>
      </w:divBdr>
    </w:div>
    <w:div w:id="565260056">
      <w:bodyDiv w:val="1"/>
      <w:marLeft w:val="0"/>
      <w:marRight w:val="0"/>
      <w:marTop w:val="0"/>
      <w:marBottom w:val="0"/>
      <w:divBdr>
        <w:top w:val="none" w:sz="0" w:space="0" w:color="auto"/>
        <w:left w:val="none" w:sz="0" w:space="0" w:color="auto"/>
        <w:bottom w:val="none" w:sz="0" w:space="0" w:color="auto"/>
        <w:right w:val="none" w:sz="0" w:space="0" w:color="auto"/>
      </w:divBdr>
    </w:div>
    <w:div w:id="565453028">
      <w:bodyDiv w:val="1"/>
      <w:marLeft w:val="0"/>
      <w:marRight w:val="0"/>
      <w:marTop w:val="0"/>
      <w:marBottom w:val="0"/>
      <w:divBdr>
        <w:top w:val="none" w:sz="0" w:space="0" w:color="auto"/>
        <w:left w:val="none" w:sz="0" w:space="0" w:color="auto"/>
        <w:bottom w:val="none" w:sz="0" w:space="0" w:color="auto"/>
        <w:right w:val="none" w:sz="0" w:space="0" w:color="auto"/>
      </w:divBdr>
    </w:div>
    <w:div w:id="566847099">
      <w:bodyDiv w:val="1"/>
      <w:marLeft w:val="0"/>
      <w:marRight w:val="0"/>
      <w:marTop w:val="0"/>
      <w:marBottom w:val="0"/>
      <w:divBdr>
        <w:top w:val="none" w:sz="0" w:space="0" w:color="auto"/>
        <w:left w:val="none" w:sz="0" w:space="0" w:color="auto"/>
        <w:bottom w:val="none" w:sz="0" w:space="0" w:color="auto"/>
        <w:right w:val="none" w:sz="0" w:space="0" w:color="auto"/>
      </w:divBdr>
    </w:div>
    <w:div w:id="567690760">
      <w:bodyDiv w:val="1"/>
      <w:marLeft w:val="0"/>
      <w:marRight w:val="0"/>
      <w:marTop w:val="0"/>
      <w:marBottom w:val="0"/>
      <w:divBdr>
        <w:top w:val="none" w:sz="0" w:space="0" w:color="auto"/>
        <w:left w:val="none" w:sz="0" w:space="0" w:color="auto"/>
        <w:bottom w:val="none" w:sz="0" w:space="0" w:color="auto"/>
        <w:right w:val="none" w:sz="0" w:space="0" w:color="auto"/>
      </w:divBdr>
    </w:div>
    <w:div w:id="568345375">
      <w:bodyDiv w:val="1"/>
      <w:marLeft w:val="0"/>
      <w:marRight w:val="0"/>
      <w:marTop w:val="0"/>
      <w:marBottom w:val="0"/>
      <w:divBdr>
        <w:top w:val="none" w:sz="0" w:space="0" w:color="auto"/>
        <w:left w:val="none" w:sz="0" w:space="0" w:color="auto"/>
        <w:bottom w:val="none" w:sz="0" w:space="0" w:color="auto"/>
        <w:right w:val="none" w:sz="0" w:space="0" w:color="auto"/>
      </w:divBdr>
    </w:div>
    <w:div w:id="568619796">
      <w:bodyDiv w:val="1"/>
      <w:marLeft w:val="0"/>
      <w:marRight w:val="0"/>
      <w:marTop w:val="0"/>
      <w:marBottom w:val="0"/>
      <w:divBdr>
        <w:top w:val="none" w:sz="0" w:space="0" w:color="auto"/>
        <w:left w:val="none" w:sz="0" w:space="0" w:color="auto"/>
        <w:bottom w:val="none" w:sz="0" w:space="0" w:color="auto"/>
        <w:right w:val="none" w:sz="0" w:space="0" w:color="auto"/>
      </w:divBdr>
    </w:div>
    <w:div w:id="570046072">
      <w:bodyDiv w:val="1"/>
      <w:marLeft w:val="0"/>
      <w:marRight w:val="0"/>
      <w:marTop w:val="0"/>
      <w:marBottom w:val="0"/>
      <w:divBdr>
        <w:top w:val="none" w:sz="0" w:space="0" w:color="auto"/>
        <w:left w:val="none" w:sz="0" w:space="0" w:color="auto"/>
        <w:bottom w:val="none" w:sz="0" w:space="0" w:color="auto"/>
        <w:right w:val="none" w:sz="0" w:space="0" w:color="auto"/>
      </w:divBdr>
    </w:div>
    <w:div w:id="572934515">
      <w:bodyDiv w:val="1"/>
      <w:marLeft w:val="0"/>
      <w:marRight w:val="0"/>
      <w:marTop w:val="0"/>
      <w:marBottom w:val="0"/>
      <w:divBdr>
        <w:top w:val="none" w:sz="0" w:space="0" w:color="auto"/>
        <w:left w:val="none" w:sz="0" w:space="0" w:color="auto"/>
        <w:bottom w:val="none" w:sz="0" w:space="0" w:color="auto"/>
        <w:right w:val="none" w:sz="0" w:space="0" w:color="auto"/>
      </w:divBdr>
    </w:div>
    <w:div w:id="574629061">
      <w:bodyDiv w:val="1"/>
      <w:marLeft w:val="0"/>
      <w:marRight w:val="0"/>
      <w:marTop w:val="0"/>
      <w:marBottom w:val="0"/>
      <w:divBdr>
        <w:top w:val="none" w:sz="0" w:space="0" w:color="auto"/>
        <w:left w:val="none" w:sz="0" w:space="0" w:color="auto"/>
        <w:bottom w:val="none" w:sz="0" w:space="0" w:color="auto"/>
        <w:right w:val="none" w:sz="0" w:space="0" w:color="auto"/>
      </w:divBdr>
    </w:div>
    <w:div w:id="580141203">
      <w:bodyDiv w:val="1"/>
      <w:marLeft w:val="0"/>
      <w:marRight w:val="0"/>
      <w:marTop w:val="0"/>
      <w:marBottom w:val="0"/>
      <w:divBdr>
        <w:top w:val="none" w:sz="0" w:space="0" w:color="auto"/>
        <w:left w:val="none" w:sz="0" w:space="0" w:color="auto"/>
        <w:bottom w:val="none" w:sz="0" w:space="0" w:color="auto"/>
        <w:right w:val="none" w:sz="0" w:space="0" w:color="auto"/>
      </w:divBdr>
    </w:div>
    <w:div w:id="580794741">
      <w:bodyDiv w:val="1"/>
      <w:marLeft w:val="0"/>
      <w:marRight w:val="0"/>
      <w:marTop w:val="0"/>
      <w:marBottom w:val="0"/>
      <w:divBdr>
        <w:top w:val="none" w:sz="0" w:space="0" w:color="auto"/>
        <w:left w:val="none" w:sz="0" w:space="0" w:color="auto"/>
        <w:bottom w:val="none" w:sz="0" w:space="0" w:color="auto"/>
        <w:right w:val="none" w:sz="0" w:space="0" w:color="auto"/>
      </w:divBdr>
    </w:div>
    <w:div w:id="601957969">
      <w:bodyDiv w:val="1"/>
      <w:marLeft w:val="0"/>
      <w:marRight w:val="0"/>
      <w:marTop w:val="0"/>
      <w:marBottom w:val="0"/>
      <w:divBdr>
        <w:top w:val="none" w:sz="0" w:space="0" w:color="auto"/>
        <w:left w:val="none" w:sz="0" w:space="0" w:color="auto"/>
        <w:bottom w:val="none" w:sz="0" w:space="0" w:color="auto"/>
        <w:right w:val="none" w:sz="0" w:space="0" w:color="auto"/>
      </w:divBdr>
    </w:div>
    <w:div w:id="606012245">
      <w:bodyDiv w:val="1"/>
      <w:marLeft w:val="0"/>
      <w:marRight w:val="0"/>
      <w:marTop w:val="0"/>
      <w:marBottom w:val="0"/>
      <w:divBdr>
        <w:top w:val="none" w:sz="0" w:space="0" w:color="auto"/>
        <w:left w:val="none" w:sz="0" w:space="0" w:color="auto"/>
        <w:bottom w:val="none" w:sz="0" w:space="0" w:color="auto"/>
        <w:right w:val="none" w:sz="0" w:space="0" w:color="auto"/>
      </w:divBdr>
    </w:div>
    <w:div w:id="608895579">
      <w:bodyDiv w:val="1"/>
      <w:marLeft w:val="0"/>
      <w:marRight w:val="0"/>
      <w:marTop w:val="0"/>
      <w:marBottom w:val="0"/>
      <w:divBdr>
        <w:top w:val="none" w:sz="0" w:space="0" w:color="auto"/>
        <w:left w:val="none" w:sz="0" w:space="0" w:color="auto"/>
        <w:bottom w:val="none" w:sz="0" w:space="0" w:color="auto"/>
        <w:right w:val="none" w:sz="0" w:space="0" w:color="auto"/>
      </w:divBdr>
    </w:div>
    <w:div w:id="613754690">
      <w:bodyDiv w:val="1"/>
      <w:marLeft w:val="0"/>
      <w:marRight w:val="0"/>
      <w:marTop w:val="0"/>
      <w:marBottom w:val="0"/>
      <w:divBdr>
        <w:top w:val="none" w:sz="0" w:space="0" w:color="auto"/>
        <w:left w:val="none" w:sz="0" w:space="0" w:color="auto"/>
        <w:bottom w:val="none" w:sz="0" w:space="0" w:color="auto"/>
        <w:right w:val="none" w:sz="0" w:space="0" w:color="auto"/>
      </w:divBdr>
    </w:div>
    <w:div w:id="613951357">
      <w:bodyDiv w:val="1"/>
      <w:marLeft w:val="0"/>
      <w:marRight w:val="0"/>
      <w:marTop w:val="0"/>
      <w:marBottom w:val="0"/>
      <w:divBdr>
        <w:top w:val="none" w:sz="0" w:space="0" w:color="auto"/>
        <w:left w:val="none" w:sz="0" w:space="0" w:color="auto"/>
        <w:bottom w:val="none" w:sz="0" w:space="0" w:color="auto"/>
        <w:right w:val="none" w:sz="0" w:space="0" w:color="auto"/>
      </w:divBdr>
    </w:div>
    <w:div w:id="621157644">
      <w:bodyDiv w:val="1"/>
      <w:marLeft w:val="0"/>
      <w:marRight w:val="0"/>
      <w:marTop w:val="0"/>
      <w:marBottom w:val="0"/>
      <w:divBdr>
        <w:top w:val="none" w:sz="0" w:space="0" w:color="auto"/>
        <w:left w:val="none" w:sz="0" w:space="0" w:color="auto"/>
        <w:bottom w:val="none" w:sz="0" w:space="0" w:color="auto"/>
        <w:right w:val="none" w:sz="0" w:space="0" w:color="auto"/>
      </w:divBdr>
    </w:div>
    <w:div w:id="621378620">
      <w:bodyDiv w:val="1"/>
      <w:marLeft w:val="0"/>
      <w:marRight w:val="0"/>
      <w:marTop w:val="0"/>
      <w:marBottom w:val="0"/>
      <w:divBdr>
        <w:top w:val="none" w:sz="0" w:space="0" w:color="auto"/>
        <w:left w:val="none" w:sz="0" w:space="0" w:color="auto"/>
        <w:bottom w:val="none" w:sz="0" w:space="0" w:color="auto"/>
        <w:right w:val="none" w:sz="0" w:space="0" w:color="auto"/>
      </w:divBdr>
    </w:div>
    <w:div w:id="621544983">
      <w:bodyDiv w:val="1"/>
      <w:marLeft w:val="0"/>
      <w:marRight w:val="0"/>
      <w:marTop w:val="0"/>
      <w:marBottom w:val="0"/>
      <w:divBdr>
        <w:top w:val="none" w:sz="0" w:space="0" w:color="auto"/>
        <w:left w:val="none" w:sz="0" w:space="0" w:color="auto"/>
        <w:bottom w:val="none" w:sz="0" w:space="0" w:color="auto"/>
        <w:right w:val="none" w:sz="0" w:space="0" w:color="auto"/>
      </w:divBdr>
    </w:div>
    <w:div w:id="621881570">
      <w:bodyDiv w:val="1"/>
      <w:marLeft w:val="0"/>
      <w:marRight w:val="0"/>
      <w:marTop w:val="0"/>
      <w:marBottom w:val="0"/>
      <w:divBdr>
        <w:top w:val="none" w:sz="0" w:space="0" w:color="auto"/>
        <w:left w:val="none" w:sz="0" w:space="0" w:color="auto"/>
        <w:bottom w:val="none" w:sz="0" w:space="0" w:color="auto"/>
        <w:right w:val="none" w:sz="0" w:space="0" w:color="auto"/>
      </w:divBdr>
    </w:div>
    <w:div w:id="625426348">
      <w:bodyDiv w:val="1"/>
      <w:marLeft w:val="0"/>
      <w:marRight w:val="0"/>
      <w:marTop w:val="0"/>
      <w:marBottom w:val="0"/>
      <w:divBdr>
        <w:top w:val="none" w:sz="0" w:space="0" w:color="auto"/>
        <w:left w:val="none" w:sz="0" w:space="0" w:color="auto"/>
        <w:bottom w:val="none" w:sz="0" w:space="0" w:color="auto"/>
        <w:right w:val="none" w:sz="0" w:space="0" w:color="auto"/>
      </w:divBdr>
    </w:div>
    <w:div w:id="630980666">
      <w:bodyDiv w:val="1"/>
      <w:marLeft w:val="0"/>
      <w:marRight w:val="0"/>
      <w:marTop w:val="0"/>
      <w:marBottom w:val="0"/>
      <w:divBdr>
        <w:top w:val="none" w:sz="0" w:space="0" w:color="auto"/>
        <w:left w:val="none" w:sz="0" w:space="0" w:color="auto"/>
        <w:bottom w:val="none" w:sz="0" w:space="0" w:color="auto"/>
        <w:right w:val="none" w:sz="0" w:space="0" w:color="auto"/>
      </w:divBdr>
    </w:div>
    <w:div w:id="632096789">
      <w:bodyDiv w:val="1"/>
      <w:marLeft w:val="0"/>
      <w:marRight w:val="0"/>
      <w:marTop w:val="0"/>
      <w:marBottom w:val="0"/>
      <w:divBdr>
        <w:top w:val="none" w:sz="0" w:space="0" w:color="auto"/>
        <w:left w:val="none" w:sz="0" w:space="0" w:color="auto"/>
        <w:bottom w:val="none" w:sz="0" w:space="0" w:color="auto"/>
        <w:right w:val="none" w:sz="0" w:space="0" w:color="auto"/>
      </w:divBdr>
    </w:div>
    <w:div w:id="651100978">
      <w:bodyDiv w:val="1"/>
      <w:marLeft w:val="0"/>
      <w:marRight w:val="0"/>
      <w:marTop w:val="0"/>
      <w:marBottom w:val="0"/>
      <w:divBdr>
        <w:top w:val="none" w:sz="0" w:space="0" w:color="auto"/>
        <w:left w:val="none" w:sz="0" w:space="0" w:color="auto"/>
        <w:bottom w:val="none" w:sz="0" w:space="0" w:color="auto"/>
        <w:right w:val="none" w:sz="0" w:space="0" w:color="auto"/>
      </w:divBdr>
    </w:div>
    <w:div w:id="651639680">
      <w:bodyDiv w:val="1"/>
      <w:marLeft w:val="0"/>
      <w:marRight w:val="0"/>
      <w:marTop w:val="0"/>
      <w:marBottom w:val="0"/>
      <w:divBdr>
        <w:top w:val="none" w:sz="0" w:space="0" w:color="auto"/>
        <w:left w:val="none" w:sz="0" w:space="0" w:color="auto"/>
        <w:bottom w:val="none" w:sz="0" w:space="0" w:color="auto"/>
        <w:right w:val="none" w:sz="0" w:space="0" w:color="auto"/>
      </w:divBdr>
    </w:div>
    <w:div w:id="663316982">
      <w:bodyDiv w:val="1"/>
      <w:marLeft w:val="0"/>
      <w:marRight w:val="0"/>
      <w:marTop w:val="0"/>
      <w:marBottom w:val="0"/>
      <w:divBdr>
        <w:top w:val="none" w:sz="0" w:space="0" w:color="auto"/>
        <w:left w:val="none" w:sz="0" w:space="0" w:color="auto"/>
        <w:bottom w:val="none" w:sz="0" w:space="0" w:color="auto"/>
        <w:right w:val="none" w:sz="0" w:space="0" w:color="auto"/>
      </w:divBdr>
    </w:div>
    <w:div w:id="669135733">
      <w:bodyDiv w:val="1"/>
      <w:marLeft w:val="0"/>
      <w:marRight w:val="0"/>
      <w:marTop w:val="0"/>
      <w:marBottom w:val="0"/>
      <w:divBdr>
        <w:top w:val="none" w:sz="0" w:space="0" w:color="auto"/>
        <w:left w:val="none" w:sz="0" w:space="0" w:color="auto"/>
        <w:bottom w:val="none" w:sz="0" w:space="0" w:color="auto"/>
        <w:right w:val="none" w:sz="0" w:space="0" w:color="auto"/>
      </w:divBdr>
    </w:div>
    <w:div w:id="682561205">
      <w:bodyDiv w:val="1"/>
      <w:marLeft w:val="0"/>
      <w:marRight w:val="0"/>
      <w:marTop w:val="0"/>
      <w:marBottom w:val="0"/>
      <w:divBdr>
        <w:top w:val="none" w:sz="0" w:space="0" w:color="auto"/>
        <w:left w:val="none" w:sz="0" w:space="0" w:color="auto"/>
        <w:bottom w:val="none" w:sz="0" w:space="0" w:color="auto"/>
        <w:right w:val="none" w:sz="0" w:space="0" w:color="auto"/>
      </w:divBdr>
    </w:div>
    <w:div w:id="688413246">
      <w:bodyDiv w:val="1"/>
      <w:marLeft w:val="0"/>
      <w:marRight w:val="0"/>
      <w:marTop w:val="0"/>
      <w:marBottom w:val="0"/>
      <w:divBdr>
        <w:top w:val="none" w:sz="0" w:space="0" w:color="auto"/>
        <w:left w:val="none" w:sz="0" w:space="0" w:color="auto"/>
        <w:bottom w:val="none" w:sz="0" w:space="0" w:color="auto"/>
        <w:right w:val="none" w:sz="0" w:space="0" w:color="auto"/>
      </w:divBdr>
    </w:div>
    <w:div w:id="694573890">
      <w:bodyDiv w:val="1"/>
      <w:marLeft w:val="0"/>
      <w:marRight w:val="0"/>
      <w:marTop w:val="0"/>
      <w:marBottom w:val="0"/>
      <w:divBdr>
        <w:top w:val="none" w:sz="0" w:space="0" w:color="auto"/>
        <w:left w:val="none" w:sz="0" w:space="0" w:color="auto"/>
        <w:bottom w:val="none" w:sz="0" w:space="0" w:color="auto"/>
        <w:right w:val="none" w:sz="0" w:space="0" w:color="auto"/>
      </w:divBdr>
    </w:div>
    <w:div w:id="698896817">
      <w:bodyDiv w:val="1"/>
      <w:marLeft w:val="0"/>
      <w:marRight w:val="0"/>
      <w:marTop w:val="0"/>
      <w:marBottom w:val="0"/>
      <w:divBdr>
        <w:top w:val="none" w:sz="0" w:space="0" w:color="auto"/>
        <w:left w:val="none" w:sz="0" w:space="0" w:color="auto"/>
        <w:bottom w:val="none" w:sz="0" w:space="0" w:color="auto"/>
        <w:right w:val="none" w:sz="0" w:space="0" w:color="auto"/>
      </w:divBdr>
    </w:div>
    <w:div w:id="706564616">
      <w:bodyDiv w:val="1"/>
      <w:marLeft w:val="0"/>
      <w:marRight w:val="0"/>
      <w:marTop w:val="0"/>
      <w:marBottom w:val="0"/>
      <w:divBdr>
        <w:top w:val="none" w:sz="0" w:space="0" w:color="auto"/>
        <w:left w:val="none" w:sz="0" w:space="0" w:color="auto"/>
        <w:bottom w:val="none" w:sz="0" w:space="0" w:color="auto"/>
        <w:right w:val="none" w:sz="0" w:space="0" w:color="auto"/>
      </w:divBdr>
    </w:div>
    <w:div w:id="710152883">
      <w:bodyDiv w:val="1"/>
      <w:marLeft w:val="0"/>
      <w:marRight w:val="0"/>
      <w:marTop w:val="0"/>
      <w:marBottom w:val="0"/>
      <w:divBdr>
        <w:top w:val="none" w:sz="0" w:space="0" w:color="auto"/>
        <w:left w:val="none" w:sz="0" w:space="0" w:color="auto"/>
        <w:bottom w:val="none" w:sz="0" w:space="0" w:color="auto"/>
        <w:right w:val="none" w:sz="0" w:space="0" w:color="auto"/>
      </w:divBdr>
    </w:div>
    <w:div w:id="722827594">
      <w:bodyDiv w:val="1"/>
      <w:marLeft w:val="0"/>
      <w:marRight w:val="0"/>
      <w:marTop w:val="0"/>
      <w:marBottom w:val="0"/>
      <w:divBdr>
        <w:top w:val="none" w:sz="0" w:space="0" w:color="auto"/>
        <w:left w:val="none" w:sz="0" w:space="0" w:color="auto"/>
        <w:bottom w:val="none" w:sz="0" w:space="0" w:color="auto"/>
        <w:right w:val="none" w:sz="0" w:space="0" w:color="auto"/>
      </w:divBdr>
    </w:div>
    <w:div w:id="754516422">
      <w:bodyDiv w:val="1"/>
      <w:marLeft w:val="0"/>
      <w:marRight w:val="0"/>
      <w:marTop w:val="0"/>
      <w:marBottom w:val="0"/>
      <w:divBdr>
        <w:top w:val="none" w:sz="0" w:space="0" w:color="auto"/>
        <w:left w:val="none" w:sz="0" w:space="0" w:color="auto"/>
        <w:bottom w:val="none" w:sz="0" w:space="0" w:color="auto"/>
        <w:right w:val="none" w:sz="0" w:space="0" w:color="auto"/>
      </w:divBdr>
    </w:div>
    <w:div w:id="769354498">
      <w:bodyDiv w:val="1"/>
      <w:marLeft w:val="0"/>
      <w:marRight w:val="0"/>
      <w:marTop w:val="0"/>
      <w:marBottom w:val="0"/>
      <w:divBdr>
        <w:top w:val="none" w:sz="0" w:space="0" w:color="auto"/>
        <w:left w:val="none" w:sz="0" w:space="0" w:color="auto"/>
        <w:bottom w:val="none" w:sz="0" w:space="0" w:color="auto"/>
        <w:right w:val="none" w:sz="0" w:space="0" w:color="auto"/>
      </w:divBdr>
    </w:div>
    <w:div w:id="770322024">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91172253">
      <w:bodyDiv w:val="1"/>
      <w:marLeft w:val="0"/>
      <w:marRight w:val="0"/>
      <w:marTop w:val="0"/>
      <w:marBottom w:val="0"/>
      <w:divBdr>
        <w:top w:val="none" w:sz="0" w:space="0" w:color="auto"/>
        <w:left w:val="none" w:sz="0" w:space="0" w:color="auto"/>
        <w:bottom w:val="none" w:sz="0" w:space="0" w:color="auto"/>
        <w:right w:val="none" w:sz="0" w:space="0" w:color="auto"/>
      </w:divBdr>
    </w:div>
    <w:div w:id="796681383">
      <w:bodyDiv w:val="1"/>
      <w:marLeft w:val="0"/>
      <w:marRight w:val="0"/>
      <w:marTop w:val="0"/>
      <w:marBottom w:val="0"/>
      <w:divBdr>
        <w:top w:val="none" w:sz="0" w:space="0" w:color="auto"/>
        <w:left w:val="none" w:sz="0" w:space="0" w:color="auto"/>
        <w:bottom w:val="none" w:sz="0" w:space="0" w:color="auto"/>
        <w:right w:val="none" w:sz="0" w:space="0" w:color="auto"/>
      </w:divBdr>
    </w:div>
    <w:div w:id="801702049">
      <w:bodyDiv w:val="1"/>
      <w:marLeft w:val="0"/>
      <w:marRight w:val="0"/>
      <w:marTop w:val="0"/>
      <w:marBottom w:val="0"/>
      <w:divBdr>
        <w:top w:val="none" w:sz="0" w:space="0" w:color="auto"/>
        <w:left w:val="none" w:sz="0" w:space="0" w:color="auto"/>
        <w:bottom w:val="none" w:sz="0" w:space="0" w:color="auto"/>
        <w:right w:val="none" w:sz="0" w:space="0" w:color="auto"/>
      </w:divBdr>
    </w:div>
    <w:div w:id="806624961">
      <w:bodyDiv w:val="1"/>
      <w:marLeft w:val="0"/>
      <w:marRight w:val="0"/>
      <w:marTop w:val="0"/>
      <w:marBottom w:val="0"/>
      <w:divBdr>
        <w:top w:val="none" w:sz="0" w:space="0" w:color="auto"/>
        <w:left w:val="none" w:sz="0" w:space="0" w:color="auto"/>
        <w:bottom w:val="none" w:sz="0" w:space="0" w:color="auto"/>
        <w:right w:val="none" w:sz="0" w:space="0" w:color="auto"/>
      </w:divBdr>
    </w:div>
    <w:div w:id="816797769">
      <w:bodyDiv w:val="1"/>
      <w:marLeft w:val="0"/>
      <w:marRight w:val="0"/>
      <w:marTop w:val="0"/>
      <w:marBottom w:val="0"/>
      <w:divBdr>
        <w:top w:val="none" w:sz="0" w:space="0" w:color="auto"/>
        <w:left w:val="none" w:sz="0" w:space="0" w:color="auto"/>
        <w:bottom w:val="none" w:sz="0" w:space="0" w:color="auto"/>
        <w:right w:val="none" w:sz="0" w:space="0" w:color="auto"/>
      </w:divBdr>
    </w:div>
    <w:div w:id="825630929">
      <w:bodyDiv w:val="1"/>
      <w:marLeft w:val="0"/>
      <w:marRight w:val="0"/>
      <w:marTop w:val="0"/>
      <w:marBottom w:val="0"/>
      <w:divBdr>
        <w:top w:val="none" w:sz="0" w:space="0" w:color="auto"/>
        <w:left w:val="none" w:sz="0" w:space="0" w:color="auto"/>
        <w:bottom w:val="none" w:sz="0" w:space="0" w:color="auto"/>
        <w:right w:val="none" w:sz="0" w:space="0" w:color="auto"/>
      </w:divBdr>
    </w:div>
    <w:div w:id="830372229">
      <w:bodyDiv w:val="1"/>
      <w:marLeft w:val="0"/>
      <w:marRight w:val="0"/>
      <w:marTop w:val="0"/>
      <w:marBottom w:val="0"/>
      <w:divBdr>
        <w:top w:val="none" w:sz="0" w:space="0" w:color="auto"/>
        <w:left w:val="none" w:sz="0" w:space="0" w:color="auto"/>
        <w:bottom w:val="none" w:sz="0" w:space="0" w:color="auto"/>
        <w:right w:val="none" w:sz="0" w:space="0" w:color="auto"/>
      </w:divBdr>
    </w:div>
    <w:div w:id="842621750">
      <w:bodyDiv w:val="1"/>
      <w:marLeft w:val="0"/>
      <w:marRight w:val="0"/>
      <w:marTop w:val="0"/>
      <w:marBottom w:val="0"/>
      <w:divBdr>
        <w:top w:val="none" w:sz="0" w:space="0" w:color="auto"/>
        <w:left w:val="none" w:sz="0" w:space="0" w:color="auto"/>
        <w:bottom w:val="none" w:sz="0" w:space="0" w:color="auto"/>
        <w:right w:val="none" w:sz="0" w:space="0" w:color="auto"/>
      </w:divBdr>
    </w:div>
    <w:div w:id="854880498">
      <w:bodyDiv w:val="1"/>
      <w:marLeft w:val="0"/>
      <w:marRight w:val="0"/>
      <w:marTop w:val="0"/>
      <w:marBottom w:val="0"/>
      <w:divBdr>
        <w:top w:val="none" w:sz="0" w:space="0" w:color="auto"/>
        <w:left w:val="none" w:sz="0" w:space="0" w:color="auto"/>
        <w:bottom w:val="none" w:sz="0" w:space="0" w:color="auto"/>
        <w:right w:val="none" w:sz="0" w:space="0" w:color="auto"/>
      </w:divBdr>
    </w:div>
    <w:div w:id="856696419">
      <w:bodyDiv w:val="1"/>
      <w:marLeft w:val="0"/>
      <w:marRight w:val="0"/>
      <w:marTop w:val="0"/>
      <w:marBottom w:val="0"/>
      <w:divBdr>
        <w:top w:val="none" w:sz="0" w:space="0" w:color="auto"/>
        <w:left w:val="none" w:sz="0" w:space="0" w:color="auto"/>
        <w:bottom w:val="none" w:sz="0" w:space="0" w:color="auto"/>
        <w:right w:val="none" w:sz="0" w:space="0" w:color="auto"/>
      </w:divBdr>
    </w:div>
    <w:div w:id="856890040">
      <w:bodyDiv w:val="1"/>
      <w:marLeft w:val="0"/>
      <w:marRight w:val="0"/>
      <w:marTop w:val="0"/>
      <w:marBottom w:val="0"/>
      <w:divBdr>
        <w:top w:val="none" w:sz="0" w:space="0" w:color="auto"/>
        <w:left w:val="none" w:sz="0" w:space="0" w:color="auto"/>
        <w:bottom w:val="none" w:sz="0" w:space="0" w:color="auto"/>
        <w:right w:val="none" w:sz="0" w:space="0" w:color="auto"/>
      </w:divBdr>
    </w:div>
    <w:div w:id="871267349">
      <w:bodyDiv w:val="1"/>
      <w:marLeft w:val="0"/>
      <w:marRight w:val="0"/>
      <w:marTop w:val="0"/>
      <w:marBottom w:val="0"/>
      <w:divBdr>
        <w:top w:val="none" w:sz="0" w:space="0" w:color="auto"/>
        <w:left w:val="none" w:sz="0" w:space="0" w:color="auto"/>
        <w:bottom w:val="none" w:sz="0" w:space="0" w:color="auto"/>
        <w:right w:val="none" w:sz="0" w:space="0" w:color="auto"/>
      </w:divBdr>
    </w:div>
    <w:div w:id="874003910">
      <w:bodyDiv w:val="1"/>
      <w:marLeft w:val="0"/>
      <w:marRight w:val="0"/>
      <w:marTop w:val="0"/>
      <w:marBottom w:val="0"/>
      <w:divBdr>
        <w:top w:val="none" w:sz="0" w:space="0" w:color="auto"/>
        <w:left w:val="none" w:sz="0" w:space="0" w:color="auto"/>
        <w:bottom w:val="none" w:sz="0" w:space="0" w:color="auto"/>
        <w:right w:val="none" w:sz="0" w:space="0" w:color="auto"/>
      </w:divBdr>
    </w:div>
    <w:div w:id="876087293">
      <w:bodyDiv w:val="1"/>
      <w:marLeft w:val="0"/>
      <w:marRight w:val="0"/>
      <w:marTop w:val="0"/>
      <w:marBottom w:val="0"/>
      <w:divBdr>
        <w:top w:val="none" w:sz="0" w:space="0" w:color="auto"/>
        <w:left w:val="none" w:sz="0" w:space="0" w:color="auto"/>
        <w:bottom w:val="none" w:sz="0" w:space="0" w:color="auto"/>
        <w:right w:val="none" w:sz="0" w:space="0" w:color="auto"/>
      </w:divBdr>
    </w:div>
    <w:div w:id="876628701">
      <w:bodyDiv w:val="1"/>
      <w:marLeft w:val="0"/>
      <w:marRight w:val="0"/>
      <w:marTop w:val="0"/>
      <w:marBottom w:val="0"/>
      <w:divBdr>
        <w:top w:val="none" w:sz="0" w:space="0" w:color="auto"/>
        <w:left w:val="none" w:sz="0" w:space="0" w:color="auto"/>
        <w:bottom w:val="none" w:sz="0" w:space="0" w:color="auto"/>
        <w:right w:val="none" w:sz="0" w:space="0" w:color="auto"/>
      </w:divBdr>
    </w:div>
    <w:div w:id="877089214">
      <w:bodyDiv w:val="1"/>
      <w:marLeft w:val="0"/>
      <w:marRight w:val="0"/>
      <w:marTop w:val="0"/>
      <w:marBottom w:val="0"/>
      <w:divBdr>
        <w:top w:val="none" w:sz="0" w:space="0" w:color="auto"/>
        <w:left w:val="none" w:sz="0" w:space="0" w:color="auto"/>
        <w:bottom w:val="none" w:sz="0" w:space="0" w:color="auto"/>
        <w:right w:val="none" w:sz="0" w:space="0" w:color="auto"/>
      </w:divBdr>
    </w:div>
    <w:div w:id="878207982">
      <w:bodyDiv w:val="1"/>
      <w:marLeft w:val="0"/>
      <w:marRight w:val="0"/>
      <w:marTop w:val="0"/>
      <w:marBottom w:val="0"/>
      <w:divBdr>
        <w:top w:val="none" w:sz="0" w:space="0" w:color="auto"/>
        <w:left w:val="none" w:sz="0" w:space="0" w:color="auto"/>
        <w:bottom w:val="none" w:sz="0" w:space="0" w:color="auto"/>
        <w:right w:val="none" w:sz="0" w:space="0" w:color="auto"/>
      </w:divBdr>
    </w:div>
    <w:div w:id="881360156">
      <w:bodyDiv w:val="1"/>
      <w:marLeft w:val="0"/>
      <w:marRight w:val="0"/>
      <w:marTop w:val="0"/>
      <w:marBottom w:val="0"/>
      <w:divBdr>
        <w:top w:val="none" w:sz="0" w:space="0" w:color="auto"/>
        <w:left w:val="none" w:sz="0" w:space="0" w:color="auto"/>
        <w:bottom w:val="none" w:sz="0" w:space="0" w:color="auto"/>
        <w:right w:val="none" w:sz="0" w:space="0" w:color="auto"/>
      </w:divBdr>
    </w:div>
    <w:div w:id="882712657">
      <w:bodyDiv w:val="1"/>
      <w:marLeft w:val="0"/>
      <w:marRight w:val="0"/>
      <w:marTop w:val="0"/>
      <w:marBottom w:val="0"/>
      <w:divBdr>
        <w:top w:val="none" w:sz="0" w:space="0" w:color="auto"/>
        <w:left w:val="none" w:sz="0" w:space="0" w:color="auto"/>
        <w:bottom w:val="none" w:sz="0" w:space="0" w:color="auto"/>
        <w:right w:val="none" w:sz="0" w:space="0" w:color="auto"/>
      </w:divBdr>
    </w:div>
    <w:div w:id="886574269">
      <w:bodyDiv w:val="1"/>
      <w:marLeft w:val="0"/>
      <w:marRight w:val="0"/>
      <w:marTop w:val="0"/>
      <w:marBottom w:val="0"/>
      <w:divBdr>
        <w:top w:val="none" w:sz="0" w:space="0" w:color="auto"/>
        <w:left w:val="none" w:sz="0" w:space="0" w:color="auto"/>
        <w:bottom w:val="none" w:sz="0" w:space="0" w:color="auto"/>
        <w:right w:val="none" w:sz="0" w:space="0" w:color="auto"/>
      </w:divBdr>
    </w:div>
    <w:div w:id="889614344">
      <w:bodyDiv w:val="1"/>
      <w:marLeft w:val="0"/>
      <w:marRight w:val="0"/>
      <w:marTop w:val="0"/>
      <w:marBottom w:val="0"/>
      <w:divBdr>
        <w:top w:val="none" w:sz="0" w:space="0" w:color="auto"/>
        <w:left w:val="none" w:sz="0" w:space="0" w:color="auto"/>
        <w:bottom w:val="none" w:sz="0" w:space="0" w:color="auto"/>
        <w:right w:val="none" w:sz="0" w:space="0" w:color="auto"/>
      </w:divBdr>
    </w:div>
    <w:div w:id="897665140">
      <w:bodyDiv w:val="1"/>
      <w:marLeft w:val="0"/>
      <w:marRight w:val="0"/>
      <w:marTop w:val="0"/>
      <w:marBottom w:val="0"/>
      <w:divBdr>
        <w:top w:val="none" w:sz="0" w:space="0" w:color="auto"/>
        <w:left w:val="none" w:sz="0" w:space="0" w:color="auto"/>
        <w:bottom w:val="none" w:sz="0" w:space="0" w:color="auto"/>
        <w:right w:val="none" w:sz="0" w:space="0" w:color="auto"/>
      </w:divBdr>
    </w:div>
    <w:div w:id="902561869">
      <w:bodyDiv w:val="1"/>
      <w:marLeft w:val="0"/>
      <w:marRight w:val="0"/>
      <w:marTop w:val="0"/>
      <w:marBottom w:val="0"/>
      <w:divBdr>
        <w:top w:val="none" w:sz="0" w:space="0" w:color="auto"/>
        <w:left w:val="none" w:sz="0" w:space="0" w:color="auto"/>
        <w:bottom w:val="none" w:sz="0" w:space="0" w:color="auto"/>
        <w:right w:val="none" w:sz="0" w:space="0" w:color="auto"/>
      </w:divBdr>
    </w:div>
    <w:div w:id="908073144">
      <w:bodyDiv w:val="1"/>
      <w:marLeft w:val="0"/>
      <w:marRight w:val="0"/>
      <w:marTop w:val="0"/>
      <w:marBottom w:val="0"/>
      <w:divBdr>
        <w:top w:val="none" w:sz="0" w:space="0" w:color="auto"/>
        <w:left w:val="none" w:sz="0" w:space="0" w:color="auto"/>
        <w:bottom w:val="none" w:sz="0" w:space="0" w:color="auto"/>
        <w:right w:val="none" w:sz="0" w:space="0" w:color="auto"/>
      </w:divBdr>
    </w:div>
    <w:div w:id="909386278">
      <w:bodyDiv w:val="1"/>
      <w:marLeft w:val="0"/>
      <w:marRight w:val="0"/>
      <w:marTop w:val="0"/>
      <w:marBottom w:val="0"/>
      <w:divBdr>
        <w:top w:val="none" w:sz="0" w:space="0" w:color="auto"/>
        <w:left w:val="none" w:sz="0" w:space="0" w:color="auto"/>
        <w:bottom w:val="none" w:sz="0" w:space="0" w:color="auto"/>
        <w:right w:val="none" w:sz="0" w:space="0" w:color="auto"/>
      </w:divBdr>
    </w:div>
    <w:div w:id="911158425">
      <w:bodyDiv w:val="1"/>
      <w:marLeft w:val="0"/>
      <w:marRight w:val="0"/>
      <w:marTop w:val="0"/>
      <w:marBottom w:val="0"/>
      <w:divBdr>
        <w:top w:val="none" w:sz="0" w:space="0" w:color="auto"/>
        <w:left w:val="none" w:sz="0" w:space="0" w:color="auto"/>
        <w:bottom w:val="none" w:sz="0" w:space="0" w:color="auto"/>
        <w:right w:val="none" w:sz="0" w:space="0" w:color="auto"/>
      </w:divBdr>
    </w:div>
    <w:div w:id="919171408">
      <w:bodyDiv w:val="1"/>
      <w:marLeft w:val="0"/>
      <w:marRight w:val="0"/>
      <w:marTop w:val="0"/>
      <w:marBottom w:val="0"/>
      <w:divBdr>
        <w:top w:val="none" w:sz="0" w:space="0" w:color="auto"/>
        <w:left w:val="none" w:sz="0" w:space="0" w:color="auto"/>
        <w:bottom w:val="none" w:sz="0" w:space="0" w:color="auto"/>
        <w:right w:val="none" w:sz="0" w:space="0" w:color="auto"/>
      </w:divBdr>
    </w:div>
    <w:div w:id="920605723">
      <w:bodyDiv w:val="1"/>
      <w:marLeft w:val="0"/>
      <w:marRight w:val="0"/>
      <w:marTop w:val="0"/>
      <w:marBottom w:val="0"/>
      <w:divBdr>
        <w:top w:val="none" w:sz="0" w:space="0" w:color="auto"/>
        <w:left w:val="none" w:sz="0" w:space="0" w:color="auto"/>
        <w:bottom w:val="none" w:sz="0" w:space="0" w:color="auto"/>
        <w:right w:val="none" w:sz="0" w:space="0" w:color="auto"/>
      </w:divBdr>
    </w:div>
    <w:div w:id="923682389">
      <w:bodyDiv w:val="1"/>
      <w:marLeft w:val="0"/>
      <w:marRight w:val="0"/>
      <w:marTop w:val="0"/>
      <w:marBottom w:val="0"/>
      <w:divBdr>
        <w:top w:val="none" w:sz="0" w:space="0" w:color="auto"/>
        <w:left w:val="none" w:sz="0" w:space="0" w:color="auto"/>
        <w:bottom w:val="none" w:sz="0" w:space="0" w:color="auto"/>
        <w:right w:val="none" w:sz="0" w:space="0" w:color="auto"/>
      </w:divBdr>
    </w:div>
    <w:div w:id="927079918">
      <w:bodyDiv w:val="1"/>
      <w:marLeft w:val="0"/>
      <w:marRight w:val="0"/>
      <w:marTop w:val="0"/>
      <w:marBottom w:val="0"/>
      <w:divBdr>
        <w:top w:val="none" w:sz="0" w:space="0" w:color="auto"/>
        <w:left w:val="none" w:sz="0" w:space="0" w:color="auto"/>
        <w:bottom w:val="none" w:sz="0" w:space="0" w:color="auto"/>
        <w:right w:val="none" w:sz="0" w:space="0" w:color="auto"/>
      </w:divBdr>
    </w:div>
    <w:div w:id="927806059">
      <w:bodyDiv w:val="1"/>
      <w:marLeft w:val="0"/>
      <w:marRight w:val="0"/>
      <w:marTop w:val="0"/>
      <w:marBottom w:val="0"/>
      <w:divBdr>
        <w:top w:val="none" w:sz="0" w:space="0" w:color="auto"/>
        <w:left w:val="none" w:sz="0" w:space="0" w:color="auto"/>
        <w:bottom w:val="none" w:sz="0" w:space="0" w:color="auto"/>
        <w:right w:val="none" w:sz="0" w:space="0" w:color="auto"/>
      </w:divBdr>
    </w:div>
    <w:div w:id="931620505">
      <w:bodyDiv w:val="1"/>
      <w:marLeft w:val="0"/>
      <w:marRight w:val="0"/>
      <w:marTop w:val="0"/>
      <w:marBottom w:val="0"/>
      <w:divBdr>
        <w:top w:val="none" w:sz="0" w:space="0" w:color="auto"/>
        <w:left w:val="none" w:sz="0" w:space="0" w:color="auto"/>
        <w:bottom w:val="none" w:sz="0" w:space="0" w:color="auto"/>
        <w:right w:val="none" w:sz="0" w:space="0" w:color="auto"/>
      </w:divBdr>
    </w:div>
    <w:div w:id="942568434">
      <w:bodyDiv w:val="1"/>
      <w:marLeft w:val="0"/>
      <w:marRight w:val="0"/>
      <w:marTop w:val="0"/>
      <w:marBottom w:val="0"/>
      <w:divBdr>
        <w:top w:val="none" w:sz="0" w:space="0" w:color="auto"/>
        <w:left w:val="none" w:sz="0" w:space="0" w:color="auto"/>
        <w:bottom w:val="none" w:sz="0" w:space="0" w:color="auto"/>
        <w:right w:val="none" w:sz="0" w:space="0" w:color="auto"/>
      </w:divBdr>
    </w:div>
    <w:div w:id="943028198">
      <w:bodyDiv w:val="1"/>
      <w:marLeft w:val="0"/>
      <w:marRight w:val="0"/>
      <w:marTop w:val="0"/>
      <w:marBottom w:val="0"/>
      <w:divBdr>
        <w:top w:val="none" w:sz="0" w:space="0" w:color="auto"/>
        <w:left w:val="none" w:sz="0" w:space="0" w:color="auto"/>
        <w:bottom w:val="none" w:sz="0" w:space="0" w:color="auto"/>
        <w:right w:val="none" w:sz="0" w:space="0" w:color="auto"/>
      </w:divBdr>
    </w:div>
    <w:div w:id="943030087">
      <w:bodyDiv w:val="1"/>
      <w:marLeft w:val="0"/>
      <w:marRight w:val="0"/>
      <w:marTop w:val="0"/>
      <w:marBottom w:val="0"/>
      <w:divBdr>
        <w:top w:val="none" w:sz="0" w:space="0" w:color="auto"/>
        <w:left w:val="none" w:sz="0" w:space="0" w:color="auto"/>
        <w:bottom w:val="none" w:sz="0" w:space="0" w:color="auto"/>
        <w:right w:val="none" w:sz="0" w:space="0" w:color="auto"/>
      </w:divBdr>
    </w:div>
    <w:div w:id="945500903">
      <w:bodyDiv w:val="1"/>
      <w:marLeft w:val="0"/>
      <w:marRight w:val="0"/>
      <w:marTop w:val="0"/>
      <w:marBottom w:val="0"/>
      <w:divBdr>
        <w:top w:val="none" w:sz="0" w:space="0" w:color="auto"/>
        <w:left w:val="none" w:sz="0" w:space="0" w:color="auto"/>
        <w:bottom w:val="none" w:sz="0" w:space="0" w:color="auto"/>
        <w:right w:val="none" w:sz="0" w:space="0" w:color="auto"/>
      </w:divBdr>
    </w:div>
    <w:div w:id="949971564">
      <w:bodyDiv w:val="1"/>
      <w:marLeft w:val="0"/>
      <w:marRight w:val="0"/>
      <w:marTop w:val="0"/>
      <w:marBottom w:val="0"/>
      <w:divBdr>
        <w:top w:val="none" w:sz="0" w:space="0" w:color="auto"/>
        <w:left w:val="none" w:sz="0" w:space="0" w:color="auto"/>
        <w:bottom w:val="none" w:sz="0" w:space="0" w:color="auto"/>
        <w:right w:val="none" w:sz="0" w:space="0" w:color="auto"/>
      </w:divBdr>
    </w:div>
    <w:div w:id="954748789">
      <w:bodyDiv w:val="1"/>
      <w:marLeft w:val="0"/>
      <w:marRight w:val="0"/>
      <w:marTop w:val="0"/>
      <w:marBottom w:val="0"/>
      <w:divBdr>
        <w:top w:val="none" w:sz="0" w:space="0" w:color="auto"/>
        <w:left w:val="none" w:sz="0" w:space="0" w:color="auto"/>
        <w:bottom w:val="none" w:sz="0" w:space="0" w:color="auto"/>
        <w:right w:val="none" w:sz="0" w:space="0" w:color="auto"/>
      </w:divBdr>
    </w:div>
    <w:div w:id="957640106">
      <w:bodyDiv w:val="1"/>
      <w:marLeft w:val="0"/>
      <w:marRight w:val="0"/>
      <w:marTop w:val="0"/>
      <w:marBottom w:val="0"/>
      <w:divBdr>
        <w:top w:val="none" w:sz="0" w:space="0" w:color="auto"/>
        <w:left w:val="none" w:sz="0" w:space="0" w:color="auto"/>
        <w:bottom w:val="none" w:sz="0" w:space="0" w:color="auto"/>
        <w:right w:val="none" w:sz="0" w:space="0" w:color="auto"/>
      </w:divBdr>
    </w:div>
    <w:div w:id="968823989">
      <w:bodyDiv w:val="1"/>
      <w:marLeft w:val="0"/>
      <w:marRight w:val="0"/>
      <w:marTop w:val="0"/>
      <w:marBottom w:val="0"/>
      <w:divBdr>
        <w:top w:val="none" w:sz="0" w:space="0" w:color="auto"/>
        <w:left w:val="none" w:sz="0" w:space="0" w:color="auto"/>
        <w:bottom w:val="none" w:sz="0" w:space="0" w:color="auto"/>
        <w:right w:val="none" w:sz="0" w:space="0" w:color="auto"/>
      </w:divBdr>
    </w:div>
    <w:div w:id="969822595">
      <w:bodyDiv w:val="1"/>
      <w:marLeft w:val="0"/>
      <w:marRight w:val="0"/>
      <w:marTop w:val="0"/>
      <w:marBottom w:val="0"/>
      <w:divBdr>
        <w:top w:val="none" w:sz="0" w:space="0" w:color="auto"/>
        <w:left w:val="none" w:sz="0" w:space="0" w:color="auto"/>
        <w:bottom w:val="none" w:sz="0" w:space="0" w:color="auto"/>
        <w:right w:val="none" w:sz="0" w:space="0" w:color="auto"/>
      </w:divBdr>
    </w:div>
    <w:div w:id="981344449">
      <w:bodyDiv w:val="1"/>
      <w:marLeft w:val="0"/>
      <w:marRight w:val="0"/>
      <w:marTop w:val="0"/>
      <w:marBottom w:val="0"/>
      <w:divBdr>
        <w:top w:val="none" w:sz="0" w:space="0" w:color="auto"/>
        <w:left w:val="none" w:sz="0" w:space="0" w:color="auto"/>
        <w:bottom w:val="none" w:sz="0" w:space="0" w:color="auto"/>
        <w:right w:val="none" w:sz="0" w:space="0" w:color="auto"/>
      </w:divBdr>
      <w:divsChild>
        <w:div w:id="758215425">
          <w:marLeft w:val="0"/>
          <w:marRight w:val="0"/>
          <w:marTop w:val="0"/>
          <w:marBottom w:val="210"/>
          <w:divBdr>
            <w:top w:val="none" w:sz="0" w:space="0" w:color="auto"/>
            <w:left w:val="none" w:sz="0" w:space="0" w:color="auto"/>
            <w:bottom w:val="none" w:sz="0" w:space="0" w:color="auto"/>
            <w:right w:val="none" w:sz="0" w:space="0" w:color="auto"/>
          </w:divBdr>
          <w:divsChild>
            <w:div w:id="2117821331">
              <w:marLeft w:val="0"/>
              <w:marRight w:val="0"/>
              <w:marTop w:val="0"/>
              <w:marBottom w:val="0"/>
              <w:divBdr>
                <w:top w:val="none" w:sz="0" w:space="0" w:color="auto"/>
                <w:left w:val="none" w:sz="0" w:space="0" w:color="auto"/>
                <w:bottom w:val="none" w:sz="0" w:space="0" w:color="auto"/>
                <w:right w:val="none" w:sz="0" w:space="0" w:color="auto"/>
              </w:divBdr>
            </w:div>
          </w:divsChild>
        </w:div>
        <w:div w:id="2000838144">
          <w:marLeft w:val="0"/>
          <w:marRight w:val="0"/>
          <w:marTop w:val="0"/>
          <w:marBottom w:val="0"/>
          <w:divBdr>
            <w:top w:val="none" w:sz="0" w:space="0" w:color="auto"/>
            <w:left w:val="none" w:sz="0" w:space="0" w:color="auto"/>
            <w:bottom w:val="none" w:sz="0" w:space="0" w:color="auto"/>
            <w:right w:val="none" w:sz="0" w:space="0" w:color="auto"/>
          </w:divBdr>
          <w:divsChild>
            <w:div w:id="5575175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02926854">
      <w:bodyDiv w:val="1"/>
      <w:marLeft w:val="0"/>
      <w:marRight w:val="0"/>
      <w:marTop w:val="0"/>
      <w:marBottom w:val="0"/>
      <w:divBdr>
        <w:top w:val="none" w:sz="0" w:space="0" w:color="auto"/>
        <w:left w:val="none" w:sz="0" w:space="0" w:color="auto"/>
        <w:bottom w:val="none" w:sz="0" w:space="0" w:color="auto"/>
        <w:right w:val="none" w:sz="0" w:space="0" w:color="auto"/>
      </w:divBdr>
    </w:div>
    <w:div w:id="1018578586">
      <w:bodyDiv w:val="1"/>
      <w:marLeft w:val="0"/>
      <w:marRight w:val="0"/>
      <w:marTop w:val="0"/>
      <w:marBottom w:val="0"/>
      <w:divBdr>
        <w:top w:val="none" w:sz="0" w:space="0" w:color="auto"/>
        <w:left w:val="none" w:sz="0" w:space="0" w:color="auto"/>
        <w:bottom w:val="none" w:sz="0" w:space="0" w:color="auto"/>
        <w:right w:val="none" w:sz="0" w:space="0" w:color="auto"/>
      </w:divBdr>
    </w:div>
    <w:div w:id="1041704849">
      <w:bodyDiv w:val="1"/>
      <w:marLeft w:val="0"/>
      <w:marRight w:val="0"/>
      <w:marTop w:val="0"/>
      <w:marBottom w:val="0"/>
      <w:divBdr>
        <w:top w:val="none" w:sz="0" w:space="0" w:color="auto"/>
        <w:left w:val="none" w:sz="0" w:space="0" w:color="auto"/>
        <w:bottom w:val="none" w:sz="0" w:space="0" w:color="auto"/>
        <w:right w:val="none" w:sz="0" w:space="0" w:color="auto"/>
      </w:divBdr>
    </w:div>
    <w:div w:id="1043599447">
      <w:bodyDiv w:val="1"/>
      <w:marLeft w:val="0"/>
      <w:marRight w:val="0"/>
      <w:marTop w:val="0"/>
      <w:marBottom w:val="0"/>
      <w:divBdr>
        <w:top w:val="none" w:sz="0" w:space="0" w:color="auto"/>
        <w:left w:val="none" w:sz="0" w:space="0" w:color="auto"/>
        <w:bottom w:val="none" w:sz="0" w:space="0" w:color="auto"/>
        <w:right w:val="none" w:sz="0" w:space="0" w:color="auto"/>
      </w:divBdr>
    </w:div>
    <w:div w:id="1047218216">
      <w:bodyDiv w:val="1"/>
      <w:marLeft w:val="0"/>
      <w:marRight w:val="0"/>
      <w:marTop w:val="0"/>
      <w:marBottom w:val="0"/>
      <w:divBdr>
        <w:top w:val="none" w:sz="0" w:space="0" w:color="auto"/>
        <w:left w:val="none" w:sz="0" w:space="0" w:color="auto"/>
        <w:bottom w:val="none" w:sz="0" w:space="0" w:color="auto"/>
        <w:right w:val="none" w:sz="0" w:space="0" w:color="auto"/>
      </w:divBdr>
    </w:div>
    <w:div w:id="1050424685">
      <w:bodyDiv w:val="1"/>
      <w:marLeft w:val="0"/>
      <w:marRight w:val="0"/>
      <w:marTop w:val="0"/>
      <w:marBottom w:val="0"/>
      <w:divBdr>
        <w:top w:val="none" w:sz="0" w:space="0" w:color="auto"/>
        <w:left w:val="none" w:sz="0" w:space="0" w:color="auto"/>
        <w:bottom w:val="none" w:sz="0" w:space="0" w:color="auto"/>
        <w:right w:val="none" w:sz="0" w:space="0" w:color="auto"/>
      </w:divBdr>
    </w:div>
    <w:div w:id="1058742787">
      <w:bodyDiv w:val="1"/>
      <w:marLeft w:val="0"/>
      <w:marRight w:val="0"/>
      <w:marTop w:val="0"/>
      <w:marBottom w:val="0"/>
      <w:divBdr>
        <w:top w:val="none" w:sz="0" w:space="0" w:color="auto"/>
        <w:left w:val="none" w:sz="0" w:space="0" w:color="auto"/>
        <w:bottom w:val="none" w:sz="0" w:space="0" w:color="auto"/>
        <w:right w:val="none" w:sz="0" w:space="0" w:color="auto"/>
      </w:divBdr>
    </w:div>
    <w:div w:id="1059012730">
      <w:bodyDiv w:val="1"/>
      <w:marLeft w:val="0"/>
      <w:marRight w:val="0"/>
      <w:marTop w:val="0"/>
      <w:marBottom w:val="0"/>
      <w:divBdr>
        <w:top w:val="none" w:sz="0" w:space="0" w:color="auto"/>
        <w:left w:val="none" w:sz="0" w:space="0" w:color="auto"/>
        <w:bottom w:val="none" w:sz="0" w:space="0" w:color="auto"/>
        <w:right w:val="none" w:sz="0" w:space="0" w:color="auto"/>
      </w:divBdr>
    </w:div>
    <w:div w:id="1062169356">
      <w:bodyDiv w:val="1"/>
      <w:marLeft w:val="0"/>
      <w:marRight w:val="0"/>
      <w:marTop w:val="0"/>
      <w:marBottom w:val="0"/>
      <w:divBdr>
        <w:top w:val="none" w:sz="0" w:space="0" w:color="auto"/>
        <w:left w:val="none" w:sz="0" w:space="0" w:color="auto"/>
        <w:bottom w:val="none" w:sz="0" w:space="0" w:color="auto"/>
        <w:right w:val="none" w:sz="0" w:space="0" w:color="auto"/>
      </w:divBdr>
    </w:div>
    <w:div w:id="1070620521">
      <w:bodyDiv w:val="1"/>
      <w:marLeft w:val="0"/>
      <w:marRight w:val="0"/>
      <w:marTop w:val="0"/>
      <w:marBottom w:val="0"/>
      <w:divBdr>
        <w:top w:val="none" w:sz="0" w:space="0" w:color="auto"/>
        <w:left w:val="none" w:sz="0" w:space="0" w:color="auto"/>
        <w:bottom w:val="none" w:sz="0" w:space="0" w:color="auto"/>
        <w:right w:val="none" w:sz="0" w:space="0" w:color="auto"/>
      </w:divBdr>
    </w:div>
    <w:div w:id="1081609477">
      <w:bodyDiv w:val="1"/>
      <w:marLeft w:val="0"/>
      <w:marRight w:val="0"/>
      <w:marTop w:val="0"/>
      <w:marBottom w:val="0"/>
      <w:divBdr>
        <w:top w:val="none" w:sz="0" w:space="0" w:color="auto"/>
        <w:left w:val="none" w:sz="0" w:space="0" w:color="auto"/>
        <w:bottom w:val="none" w:sz="0" w:space="0" w:color="auto"/>
        <w:right w:val="none" w:sz="0" w:space="0" w:color="auto"/>
      </w:divBdr>
    </w:div>
    <w:div w:id="1095517333">
      <w:bodyDiv w:val="1"/>
      <w:marLeft w:val="0"/>
      <w:marRight w:val="0"/>
      <w:marTop w:val="0"/>
      <w:marBottom w:val="0"/>
      <w:divBdr>
        <w:top w:val="none" w:sz="0" w:space="0" w:color="auto"/>
        <w:left w:val="none" w:sz="0" w:space="0" w:color="auto"/>
        <w:bottom w:val="none" w:sz="0" w:space="0" w:color="auto"/>
        <w:right w:val="none" w:sz="0" w:space="0" w:color="auto"/>
      </w:divBdr>
    </w:div>
    <w:div w:id="1112088632">
      <w:bodyDiv w:val="1"/>
      <w:marLeft w:val="0"/>
      <w:marRight w:val="0"/>
      <w:marTop w:val="0"/>
      <w:marBottom w:val="0"/>
      <w:divBdr>
        <w:top w:val="none" w:sz="0" w:space="0" w:color="auto"/>
        <w:left w:val="none" w:sz="0" w:space="0" w:color="auto"/>
        <w:bottom w:val="none" w:sz="0" w:space="0" w:color="auto"/>
        <w:right w:val="none" w:sz="0" w:space="0" w:color="auto"/>
      </w:divBdr>
    </w:div>
    <w:div w:id="1113554378">
      <w:bodyDiv w:val="1"/>
      <w:marLeft w:val="0"/>
      <w:marRight w:val="0"/>
      <w:marTop w:val="0"/>
      <w:marBottom w:val="0"/>
      <w:divBdr>
        <w:top w:val="none" w:sz="0" w:space="0" w:color="auto"/>
        <w:left w:val="none" w:sz="0" w:space="0" w:color="auto"/>
        <w:bottom w:val="none" w:sz="0" w:space="0" w:color="auto"/>
        <w:right w:val="none" w:sz="0" w:space="0" w:color="auto"/>
      </w:divBdr>
    </w:div>
    <w:div w:id="1134561355">
      <w:bodyDiv w:val="1"/>
      <w:marLeft w:val="0"/>
      <w:marRight w:val="0"/>
      <w:marTop w:val="0"/>
      <w:marBottom w:val="0"/>
      <w:divBdr>
        <w:top w:val="none" w:sz="0" w:space="0" w:color="auto"/>
        <w:left w:val="none" w:sz="0" w:space="0" w:color="auto"/>
        <w:bottom w:val="none" w:sz="0" w:space="0" w:color="auto"/>
        <w:right w:val="none" w:sz="0" w:space="0" w:color="auto"/>
      </w:divBdr>
    </w:div>
    <w:div w:id="1136098822">
      <w:bodyDiv w:val="1"/>
      <w:marLeft w:val="0"/>
      <w:marRight w:val="0"/>
      <w:marTop w:val="0"/>
      <w:marBottom w:val="0"/>
      <w:divBdr>
        <w:top w:val="none" w:sz="0" w:space="0" w:color="auto"/>
        <w:left w:val="none" w:sz="0" w:space="0" w:color="auto"/>
        <w:bottom w:val="none" w:sz="0" w:space="0" w:color="auto"/>
        <w:right w:val="none" w:sz="0" w:space="0" w:color="auto"/>
      </w:divBdr>
    </w:div>
    <w:div w:id="1147361982">
      <w:bodyDiv w:val="1"/>
      <w:marLeft w:val="0"/>
      <w:marRight w:val="0"/>
      <w:marTop w:val="0"/>
      <w:marBottom w:val="0"/>
      <w:divBdr>
        <w:top w:val="none" w:sz="0" w:space="0" w:color="auto"/>
        <w:left w:val="none" w:sz="0" w:space="0" w:color="auto"/>
        <w:bottom w:val="none" w:sz="0" w:space="0" w:color="auto"/>
        <w:right w:val="none" w:sz="0" w:space="0" w:color="auto"/>
      </w:divBdr>
    </w:div>
    <w:div w:id="1152604624">
      <w:bodyDiv w:val="1"/>
      <w:marLeft w:val="0"/>
      <w:marRight w:val="0"/>
      <w:marTop w:val="0"/>
      <w:marBottom w:val="0"/>
      <w:divBdr>
        <w:top w:val="none" w:sz="0" w:space="0" w:color="auto"/>
        <w:left w:val="none" w:sz="0" w:space="0" w:color="auto"/>
        <w:bottom w:val="none" w:sz="0" w:space="0" w:color="auto"/>
        <w:right w:val="none" w:sz="0" w:space="0" w:color="auto"/>
      </w:divBdr>
    </w:div>
    <w:div w:id="1157922309">
      <w:bodyDiv w:val="1"/>
      <w:marLeft w:val="0"/>
      <w:marRight w:val="0"/>
      <w:marTop w:val="0"/>
      <w:marBottom w:val="0"/>
      <w:divBdr>
        <w:top w:val="none" w:sz="0" w:space="0" w:color="auto"/>
        <w:left w:val="none" w:sz="0" w:space="0" w:color="auto"/>
        <w:bottom w:val="none" w:sz="0" w:space="0" w:color="auto"/>
        <w:right w:val="none" w:sz="0" w:space="0" w:color="auto"/>
      </w:divBdr>
    </w:div>
    <w:div w:id="1172570375">
      <w:bodyDiv w:val="1"/>
      <w:marLeft w:val="0"/>
      <w:marRight w:val="0"/>
      <w:marTop w:val="0"/>
      <w:marBottom w:val="0"/>
      <w:divBdr>
        <w:top w:val="none" w:sz="0" w:space="0" w:color="auto"/>
        <w:left w:val="none" w:sz="0" w:space="0" w:color="auto"/>
        <w:bottom w:val="none" w:sz="0" w:space="0" w:color="auto"/>
        <w:right w:val="none" w:sz="0" w:space="0" w:color="auto"/>
      </w:divBdr>
    </w:div>
    <w:div w:id="1174686678">
      <w:bodyDiv w:val="1"/>
      <w:marLeft w:val="0"/>
      <w:marRight w:val="0"/>
      <w:marTop w:val="0"/>
      <w:marBottom w:val="0"/>
      <w:divBdr>
        <w:top w:val="none" w:sz="0" w:space="0" w:color="auto"/>
        <w:left w:val="none" w:sz="0" w:space="0" w:color="auto"/>
        <w:bottom w:val="none" w:sz="0" w:space="0" w:color="auto"/>
        <w:right w:val="none" w:sz="0" w:space="0" w:color="auto"/>
      </w:divBdr>
    </w:div>
    <w:div w:id="1175612777">
      <w:bodyDiv w:val="1"/>
      <w:marLeft w:val="0"/>
      <w:marRight w:val="0"/>
      <w:marTop w:val="0"/>
      <w:marBottom w:val="0"/>
      <w:divBdr>
        <w:top w:val="none" w:sz="0" w:space="0" w:color="auto"/>
        <w:left w:val="none" w:sz="0" w:space="0" w:color="auto"/>
        <w:bottom w:val="none" w:sz="0" w:space="0" w:color="auto"/>
        <w:right w:val="none" w:sz="0" w:space="0" w:color="auto"/>
      </w:divBdr>
      <w:divsChild>
        <w:div w:id="902448935">
          <w:marLeft w:val="0"/>
          <w:marRight w:val="0"/>
          <w:marTop w:val="34"/>
          <w:marBottom w:val="34"/>
          <w:divBdr>
            <w:top w:val="none" w:sz="0" w:space="0" w:color="auto"/>
            <w:left w:val="none" w:sz="0" w:space="0" w:color="auto"/>
            <w:bottom w:val="none" w:sz="0" w:space="0" w:color="auto"/>
            <w:right w:val="none" w:sz="0" w:space="0" w:color="auto"/>
          </w:divBdr>
        </w:div>
      </w:divsChild>
    </w:div>
    <w:div w:id="1185680075">
      <w:bodyDiv w:val="1"/>
      <w:marLeft w:val="0"/>
      <w:marRight w:val="0"/>
      <w:marTop w:val="0"/>
      <w:marBottom w:val="0"/>
      <w:divBdr>
        <w:top w:val="none" w:sz="0" w:space="0" w:color="auto"/>
        <w:left w:val="none" w:sz="0" w:space="0" w:color="auto"/>
        <w:bottom w:val="none" w:sz="0" w:space="0" w:color="auto"/>
        <w:right w:val="none" w:sz="0" w:space="0" w:color="auto"/>
      </w:divBdr>
    </w:div>
    <w:div w:id="1186938761">
      <w:bodyDiv w:val="1"/>
      <w:marLeft w:val="0"/>
      <w:marRight w:val="0"/>
      <w:marTop w:val="0"/>
      <w:marBottom w:val="0"/>
      <w:divBdr>
        <w:top w:val="none" w:sz="0" w:space="0" w:color="auto"/>
        <w:left w:val="none" w:sz="0" w:space="0" w:color="auto"/>
        <w:bottom w:val="none" w:sz="0" w:space="0" w:color="auto"/>
        <w:right w:val="none" w:sz="0" w:space="0" w:color="auto"/>
      </w:divBdr>
    </w:div>
    <w:div w:id="1200363092">
      <w:bodyDiv w:val="1"/>
      <w:marLeft w:val="0"/>
      <w:marRight w:val="0"/>
      <w:marTop w:val="0"/>
      <w:marBottom w:val="0"/>
      <w:divBdr>
        <w:top w:val="none" w:sz="0" w:space="0" w:color="auto"/>
        <w:left w:val="none" w:sz="0" w:space="0" w:color="auto"/>
        <w:bottom w:val="none" w:sz="0" w:space="0" w:color="auto"/>
        <w:right w:val="none" w:sz="0" w:space="0" w:color="auto"/>
      </w:divBdr>
    </w:div>
    <w:div w:id="1207379222">
      <w:bodyDiv w:val="1"/>
      <w:marLeft w:val="0"/>
      <w:marRight w:val="0"/>
      <w:marTop w:val="0"/>
      <w:marBottom w:val="0"/>
      <w:divBdr>
        <w:top w:val="none" w:sz="0" w:space="0" w:color="auto"/>
        <w:left w:val="none" w:sz="0" w:space="0" w:color="auto"/>
        <w:bottom w:val="none" w:sz="0" w:space="0" w:color="auto"/>
        <w:right w:val="none" w:sz="0" w:space="0" w:color="auto"/>
      </w:divBdr>
    </w:div>
    <w:div w:id="1209296475">
      <w:bodyDiv w:val="1"/>
      <w:marLeft w:val="0"/>
      <w:marRight w:val="0"/>
      <w:marTop w:val="0"/>
      <w:marBottom w:val="0"/>
      <w:divBdr>
        <w:top w:val="none" w:sz="0" w:space="0" w:color="auto"/>
        <w:left w:val="none" w:sz="0" w:space="0" w:color="auto"/>
        <w:bottom w:val="none" w:sz="0" w:space="0" w:color="auto"/>
        <w:right w:val="none" w:sz="0" w:space="0" w:color="auto"/>
      </w:divBdr>
      <w:divsChild>
        <w:div w:id="1655525347">
          <w:marLeft w:val="0"/>
          <w:marRight w:val="0"/>
          <w:marTop w:val="34"/>
          <w:marBottom w:val="34"/>
          <w:divBdr>
            <w:top w:val="none" w:sz="0" w:space="0" w:color="auto"/>
            <w:left w:val="none" w:sz="0" w:space="0" w:color="auto"/>
            <w:bottom w:val="none" w:sz="0" w:space="0" w:color="auto"/>
            <w:right w:val="none" w:sz="0" w:space="0" w:color="auto"/>
          </w:divBdr>
        </w:div>
      </w:divsChild>
    </w:div>
    <w:div w:id="1222138599">
      <w:bodyDiv w:val="1"/>
      <w:marLeft w:val="0"/>
      <w:marRight w:val="0"/>
      <w:marTop w:val="0"/>
      <w:marBottom w:val="0"/>
      <w:divBdr>
        <w:top w:val="none" w:sz="0" w:space="0" w:color="auto"/>
        <w:left w:val="none" w:sz="0" w:space="0" w:color="auto"/>
        <w:bottom w:val="none" w:sz="0" w:space="0" w:color="auto"/>
        <w:right w:val="none" w:sz="0" w:space="0" w:color="auto"/>
      </w:divBdr>
    </w:div>
    <w:div w:id="1234050228">
      <w:bodyDiv w:val="1"/>
      <w:marLeft w:val="0"/>
      <w:marRight w:val="0"/>
      <w:marTop w:val="0"/>
      <w:marBottom w:val="0"/>
      <w:divBdr>
        <w:top w:val="none" w:sz="0" w:space="0" w:color="auto"/>
        <w:left w:val="none" w:sz="0" w:space="0" w:color="auto"/>
        <w:bottom w:val="none" w:sz="0" w:space="0" w:color="auto"/>
        <w:right w:val="none" w:sz="0" w:space="0" w:color="auto"/>
      </w:divBdr>
    </w:div>
    <w:div w:id="1237321115">
      <w:bodyDiv w:val="1"/>
      <w:marLeft w:val="0"/>
      <w:marRight w:val="0"/>
      <w:marTop w:val="0"/>
      <w:marBottom w:val="0"/>
      <w:divBdr>
        <w:top w:val="none" w:sz="0" w:space="0" w:color="auto"/>
        <w:left w:val="none" w:sz="0" w:space="0" w:color="auto"/>
        <w:bottom w:val="none" w:sz="0" w:space="0" w:color="auto"/>
        <w:right w:val="none" w:sz="0" w:space="0" w:color="auto"/>
      </w:divBdr>
    </w:div>
    <w:div w:id="1241021241">
      <w:bodyDiv w:val="1"/>
      <w:marLeft w:val="0"/>
      <w:marRight w:val="0"/>
      <w:marTop w:val="0"/>
      <w:marBottom w:val="0"/>
      <w:divBdr>
        <w:top w:val="none" w:sz="0" w:space="0" w:color="auto"/>
        <w:left w:val="none" w:sz="0" w:space="0" w:color="auto"/>
        <w:bottom w:val="none" w:sz="0" w:space="0" w:color="auto"/>
        <w:right w:val="none" w:sz="0" w:space="0" w:color="auto"/>
      </w:divBdr>
    </w:div>
    <w:div w:id="1246958620">
      <w:bodyDiv w:val="1"/>
      <w:marLeft w:val="0"/>
      <w:marRight w:val="0"/>
      <w:marTop w:val="0"/>
      <w:marBottom w:val="0"/>
      <w:divBdr>
        <w:top w:val="none" w:sz="0" w:space="0" w:color="auto"/>
        <w:left w:val="none" w:sz="0" w:space="0" w:color="auto"/>
        <w:bottom w:val="none" w:sz="0" w:space="0" w:color="auto"/>
        <w:right w:val="none" w:sz="0" w:space="0" w:color="auto"/>
      </w:divBdr>
    </w:div>
    <w:div w:id="1248080833">
      <w:bodyDiv w:val="1"/>
      <w:marLeft w:val="0"/>
      <w:marRight w:val="0"/>
      <w:marTop w:val="0"/>
      <w:marBottom w:val="0"/>
      <w:divBdr>
        <w:top w:val="none" w:sz="0" w:space="0" w:color="auto"/>
        <w:left w:val="none" w:sz="0" w:space="0" w:color="auto"/>
        <w:bottom w:val="none" w:sz="0" w:space="0" w:color="auto"/>
        <w:right w:val="none" w:sz="0" w:space="0" w:color="auto"/>
      </w:divBdr>
    </w:div>
    <w:div w:id="1256354914">
      <w:bodyDiv w:val="1"/>
      <w:marLeft w:val="0"/>
      <w:marRight w:val="0"/>
      <w:marTop w:val="0"/>
      <w:marBottom w:val="0"/>
      <w:divBdr>
        <w:top w:val="none" w:sz="0" w:space="0" w:color="auto"/>
        <w:left w:val="none" w:sz="0" w:space="0" w:color="auto"/>
        <w:bottom w:val="none" w:sz="0" w:space="0" w:color="auto"/>
        <w:right w:val="none" w:sz="0" w:space="0" w:color="auto"/>
      </w:divBdr>
    </w:div>
    <w:div w:id="1267275679">
      <w:bodyDiv w:val="1"/>
      <w:marLeft w:val="0"/>
      <w:marRight w:val="0"/>
      <w:marTop w:val="0"/>
      <w:marBottom w:val="0"/>
      <w:divBdr>
        <w:top w:val="none" w:sz="0" w:space="0" w:color="auto"/>
        <w:left w:val="none" w:sz="0" w:space="0" w:color="auto"/>
        <w:bottom w:val="none" w:sz="0" w:space="0" w:color="auto"/>
        <w:right w:val="none" w:sz="0" w:space="0" w:color="auto"/>
      </w:divBdr>
    </w:div>
    <w:div w:id="1268077804">
      <w:bodyDiv w:val="1"/>
      <w:marLeft w:val="0"/>
      <w:marRight w:val="0"/>
      <w:marTop w:val="0"/>
      <w:marBottom w:val="0"/>
      <w:divBdr>
        <w:top w:val="none" w:sz="0" w:space="0" w:color="auto"/>
        <w:left w:val="none" w:sz="0" w:space="0" w:color="auto"/>
        <w:bottom w:val="none" w:sz="0" w:space="0" w:color="auto"/>
        <w:right w:val="none" w:sz="0" w:space="0" w:color="auto"/>
      </w:divBdr>
    </w:div>
    <w:div w:id="1284651969">
      <w:bodyDiv w:val="1"/>
      <w:marLeft w:val="0"/>
      <w:marRight w:val="0"/>
      <w:marTop w:val="0"/>
      <w:marBottom w:val="0"/>
      <w:divBdr>
        <w:top w:val="none" w:sz="0" w:space="0" w:color="auto"/>
        <w:left w:val="none" w:sz="0" w:space="0" w:color="auto"/>
        <w:bottom w:val="none" w:sz="0" w:space="0" w:color="auto"/>
        <w:right w:val="none" w:sz="0" w:space="0" w:color="auto"/>
      </w:divBdr>
      <w:divsChild>
        <w:div w:id="1844513494">
          <w:marLeft w:val="0"/>
          <w:marRight w:val="0"/>
          <w:marTop w:val="34"/>
          <w:marBottom w:val="34"/>
          <w:divBdr>
            <w:top w:val="none" w:sz="0" w:space="0" w:color="auto"/>
            <w:left w:val="none" w:sz="0" w:space="0" w:color="auto"/>
            <w:bottom w:val="none" w:sz="0" w:space="0" w:color="auto"/>
            <w:right w:val="none" w:sz="0" w:space="0" w:color="auto"/>
          </w:divBdr>
        </w:div>
      </w:divsChild>
    </w:div>
    <w:div w:id="1293057454">
      <w:bodyDiv w:val="1"/>
      <w:marLeft w:val="0"/>
      <w:marRight w:val="0"/>
      <w:marTop w:val="0"/>
      <w:marBottom w:val="0"/>
      <w:divBdr>
        <w:top w:val="none" w:sz="0" w:space="0" w:color="auto"/>
        <w:left w:val="none" w:sz="0" w:space="0" w:color="auto"/>
        <w:bottom w:val="none" w:sz="0" w:space="0" w:color="auto"/>
        <w:right w:val="none" w:sz="0" w:space="0" w:color="auto"/>
      </w:divBdr>
    </w:div>
    <w:div w:id="1297640326">
      <w:bodyDiv w:val="1"/>
      <w:marLeft w:val="0"/>
      <w:marRight w:val="0"/>
      <w:marTop w:val="0"/>
      <w:marBottom w:val="0"/>
      <w:divBdr>
        <w:top w:val="none" w:sz="0" w:space="0" w:color="auto"/>
        <w:left w:val="none" w:sz="0" w:space="0" w:color="auto"/>
        <w:bottom w:val="none" w:sz="0" w:space="0" w:color="auto"/>
        <w:right w:val="none" w:sz="0" w:space="0" w:color="auto"/>
      </w:divBdr>
    </w:div>
    <w:div w:id="1302731356">
      <w:bodyDiv w:val="1"/>
      <w:marLeft w:val="0"/>
      <w:marRight w:val="0"/>
      <w:marTop w:val="0"/>
      <w:marBottom w:val="0"/>
      <w:divBdr>
        <w:top w:val="none" w:sz="0" w:space="0" w:color="auto"/>
        <w:left w:val="none" w:sz="0" w:space="0" w:color="auto"/>
        <w:bottom w:val="none" w:sz="0" w:space="0" w:color="auto"/>
        <w:right w:val="none" w:sz="0" w:space="0" w:color="auto"/>
      </w:divBdr>
    </w:div>
    <w:div w:id="1312179354">
      <w:bodyDiv w:val="1"/>
      <w:marLeft w:val="0"/>
      <w:marRight w:val="0"/>
      <w:marTop w:val="0"/>
      <w:marBottom w:val="0"/>
      <w:divBdr>
        <w:top w:val="none" w:sz="0" w:space="0" w:color="auto"/>
        <w:left w:val="none" w:sz="0" w:space="0" w:color="auto"/>
        <w:bottom w:val="none" w:sz="0" w:space="0" w:color="auto"/>
        <w:right w:val="none" w:sz="0" w:space="0" w:color="auto"/>
      </w:divBdr>
    </w:div>
    <w:div w:id="1314985316">
      <w:bodyDiv w:val="1"/>
      <w:marLeft w:val="0"/>
      <w:marRight w:val="0"/>
      <w:marTop w:val="0"/>
      <w:marBottom w:val="0"/>
      <w:divBdr>
        <w:top w:val="none" w:sz="0" w:space="0" w:color="auto"/>
        <w:left w:val="none" w:sz="0" w:space="0" w:color="auto"/>
        <w:bottom w:val="none" w:sz="0" w:space="0" w:color="auto"/>
        <w:right w:val="none" w:sz="0" w:space="0" w:color="auto"/>
      </w:divBdr>
    </w:div>
    <w:div w:id="1316370440">
      <w:bodyDiv w:val="1"/>
      <w:marLeft w:val="0"/>
      <w:marRight w:val="0"/>
      <w:marTop w:val="0"/>
      <w:marBottom w:val="0"/>
      <w:divBdr>
        <w:top w:val="none" w:sz="0" w:space="0" w:color="auto"/>
        <w:left w:val="none" w:sz="0" w:space="0" w:color="auto"/>
        <w:bottom w:val="none" w:sz="0" w:space="0" w:color="auto"/>
        <w:right w:val="none" w:sz="0" w:space="0" w:color="auto"/>
      </w:divBdr>
    </w:div>
    <w:div w:id="1319844250">
      <w:bodyDiv w:val="1"/>
      <w:marLeft w:val="0"/>
      <w:marRight w:val="0"/>
      <w:marTop w:val="0"/>
      <w:marBottom w:val="0"/>
      <w:divBdr>
        <w:top w:val="none" w:sz="0" w:space="0" w:color="auto"/>
        <w:left w:val="none" w:sz="0" w:space="0" w:color="auto"/>
        <w:bottom w:val="none" w:sz="0" w:space="0" w:color="auto"/>
        <w:right w:val="none" w:sz="0" w:space="0" w:color="auto"/>
      </w:divBdr>
    </w:div>
    <w:div w:id="1324159729">
      <w:bodyDiv w:val="1"/>
      <w:marLeft w:val="0"/>
      <w:marRight w:val="0"/>
      <w:marTop w:val="0"/>
      <w:marBottom w:val="0"/>
      <w:divBdr>
        <w:top w:val="none" w:sz="0" w:space="0" w:color="auto"/>
        <w:left w:val="none" w:sz="0" w:space="0" w:color="auto"/>
        <w:bottom w:val="none" w:sz="0" w:space="0" w:color="auto"/>
        <w:right w:val="none" w:sz="0" w:space="0" w:color="auto"/>
      </w:divBdr>
    </w:div>
    <w:div w:id="1324238984">
      <w:bodyDiv w:val="1"/>
      <w:marLeft w:val="0"/>
      <w:marRight w:val="0"/>
      <w:marTop w:val="0"/>
      <w:marBottom w:val="0"/>
      <w:divBdr>
        <w:top w:val="none" w:sz="0" w:space="0" w:color="auto"/>
        <w:left w:val="none" w:sz="0" w:space="0" w:color="auto"/>
        <w:bottom w:val="none" w:sz="0" w:space="0" w:color="auto"/>
        <w:right w:val="none" w:sz="0" w:space="0" w:color="auto"/>
      </w:divBdr>
    </w:div>
    <w:div w:id="1324507416">
      <w:bodyDiv w:val="1"/>
      <w:marLeft w:val="0"/>
      <w:marRight w:val="0"/>
      <w:marTop w:val="0"/>
      <w:marBottom w:val="0"/>
      <w:divBdr>
        <w:top w:val="none" w:sz="0" w:space="0" w:color="auto"/>
        <w:left w:val="none" w:sz="0" w:space="0" w:color="auto"/>
        <w:bottom w:val="none" w:sz="0" w:space="0" w:color="auto"/>
        <w:right w:val="none" w:sz="0" w:space="0" w:color="auto"/>
      </w:divBdr>
    </w:div>
    <w:div w:id="1334725296">
      <w:bodyDiv w:val="1"/>
      <w:marLeft w:val="0"/>
      <w:marRight w:val="0"/>
      <w:marTop w:val="0"/>
      <w:marBottom w:val="0"/>
      <w:divBdr>
        <w:top w:val="none" w:sz="0" w:space="0" w:color="auto"/>
        <w:left w:val="none" w:sz="0" w:space="0" w:color="auto"/>
        <w:bottom w:val="none" w:sz="0" w:space="0" w:color="auto"/>
        <w:right w:val="none" w:sz="0" w:space="0" w:color="auto"/>
      </w:divBdr>
    </w:div>
    <w:div w:id="1334913051">
      <w:bodyDiv w:val="1"/>
      <w:marLeft w:val="0"/>
      <w:marRight w:val="0"/>
      <w:marTop w:val="0"/>
      <w:marBottom w:val="0"/>
      <w:divBdr>
        <w:top w:val="none" w:sz="0" w:space="0" w:color="auto"/>
        <w:left w:val="none" w:sz="0" w:space="0" w:color="auto"/>
        <w:bottom w:val="none" w:sz="0" w:space="0" w:color="auto"/>
        <w:right w:val="none" w:sz="0" w:space="0" w:color="auto"/>
      </w:divBdr>
    </w:div>
    <w:div w:id="1338726147">
      <w:bodyDiv w:val="1"/>
      <w:marLeft w:val="0"/>
      <w:marRight w:val="0"/>
      <w:marTop w:val="0"/>
      <w:marBottom w:val="0"/>
      <w:divBdr>
        <w:top w:val="none" w:sz="0" w:space="0" w:color="auto"/>
        <w:left w:val="none" w:sz="0" w:space="0" w:color="auto"/>
        <w:bottom w:val="none" w:sz="0" w:space="0" w:color="auto"/>
        <w:right w:val="none" w:sz="0" w:space="0" w:color="auto"/>
      </w:divBdr>
    </w:div>
    <w:div w:id="1339425862">
      <w:bodyDiv w:val="1"/>
      <w:marLeft w:val="0"/>
      <w:marRight w:val="0"/>
      <w:marTop w:val="0"/>
      <w:marBottom w:val="0"/>
      <w:divBdr>
        <w:top w:val="none" w:sz="0" w:space="0" w:color="auto"/>
        <w:left w:val="none" w:sz="0" w:space="0" w:color="auto"/>
        <w:bottom w:val="none" w:sz="0" w:space="0" w:color="auto"/>
        <w:right w:val="none" w:sz="0" w:space="0" w:color="auto"/>
      </w:divBdr>
    </w:div>
    <w:div w:id="1340155492">
      <w:bodyDiv w:val="1"/>
      <w:marLeft w:val="0"/>
      <w:marRight w:val="0"/>
      <w:marTop w:val="0"/>
      <w:marBottom w:val="0"/>
      <w:divBdr>
        <w:top w:val="none" w:sz="0" w:space="0" w:color="auto"/>
        <w:left w:val="none" w:sz="0" w:space="0" w:color="auto"/>
        <w:bottom w:val="none" w:sz="0" w:space="0" w:color="auto"/>
        <w:right w:val="none" w:sz="0" w:space="0" w:color="auto"/>
      </w:divBdr>
    </w:div>
    <w:div w:id="1341466293">
      <w:bodyDiv w:val="1"/>
      <w:marLeft w:val="0"/>
      <w:marRight w:val="0"/>
      <w:marTop w:val="0"/>
      <w:marBottom w:val="0"/>
      <w:divBdr>
        <w:top w:val="none" w:sz="0" w:space="0" w:color="auto"/>
        <w:left w:val="none" w:sz="0" w:space="0" w:color="auto"/>
        <w:bottom w:val="none" w:sz="0" w:space="0" w:color="auto"/>
        <w:right w:val="none" w:sz="0" w:space="0" w:color="auto"/>
      </w:divBdr>
    </w:div>
    <w:div w:id="1347901993">
      <w:bodyDiv w:val="1"/>
      <w:marLeft w:val="0"/>
      <w:marRight w:val="0"/>
      <w:marTop w:val="0"/>
      <w:marBottom w:val="0"/>
      <w:divBdr>
        <w:top w:val="none" w:sz="0" w:space="0" w:color="auto"/>
        <w:left w:val="none" w:sz="0" w:space="0" w:color="auto"/>
        <w:bottom w:val="none" w:sz="0" w:space="0" w:color="auto"/>
        <w:right w:val="none" w:sz="0" w:space="0" w:color="auto"/>
      </w:divBdr>
      <w:divsChild>
        <w:div w:id="1784839259">
          <w:marLeft w:val="0"/>
          <w:marRight w:val="0"/>
          <w:marTop w:val="34"/>
          <w:marBottom w:val="34"/>
          <w:divBdr>
            <w:top w:val="none" w:sz="0" w:space="0" w:color="auto"/>
            <w:left w:val="none" w:sz="0" w:space="0" w:color="auto"/>
            <w:bottom w:val="none" w:sz="0" w:space="0" w:color="auto"/>
            <w:right w:val="none" w:sz="0" w:space="0" w:color="auto"/>
          </w:divBdr>
        </w:div>
      </w:divsChild>
    </w:div>
    <w:div w:id="1348487766">
      <w:bodyDiv w:val="1"/>
      <w:marLeft w:val="0"/>
      <w:marRight w:val="0"/>
      <w:marTop w:val="0"/>
      <w:marBottom w:val="0"/>
      <w:divBdr>
        <w:top w:val="none" w:sz="0" w:space="0" w:color="auto"/>
        <w:left w:val="none" w:sz="0" w:space="0" w:color="auto"/>
        <w:bottom w:val="none" w:sz="0" w:space="0" w:color="auto"/>
        <w:right w:val="none" w:sz="0" w:space="0" w:color="auto"/>
      </w:divBdr>
      <w:divsChild>
        <w:div w:id="1913658585">
          <w:marLeft w:val="0"/>
          <w:marRight w:val="0"/>
          <w:marTop w:val="34"/>
          <w:marBottom w:val="34"/>
          <w:divBdr>
            <w:top w:val="none" w:sz="0" w:space="0" w:color="auto"/>
            <w:left w:val="none" w:sz="0" w:space="0" w:color="auto"/>
            <w:bottom w:val="none" w:sz="0" w:space="0" w:color="auto"/>
            <w:right w:val="none" w:sz="0" w:space="0" w:color="auto"/>
          </w:divBdr>
        </w:div>
      </w:divsChild>
    </w:div>
    <w:div w:id="1351297362">
      <w:bodyDiv w:val="1"/>
      <w:marLeft w:val="0"/>
      <w:marRight w:val="0"/>
      <w:marTop w:val="0"/>
      <w:marBottom w:val="0"/>
      <w:divBdr>
        <w:top w:val="none" w:sz="0" w:space="0" w:color="auto"/>
        <w:left w:val="none" w:sz="0" w:space="0" w:color="auto"/>
        <w:bottom w:val="none" w:sz="0" w:space="0" w:color="auto"/>
        <w:right w:val="none" w:sz="0" w:space="0" w:color="auto"/>
      </w:divBdr>
    </w:div>
    <w:div w:id="1352341115">
      <w:bodyDiv w:val="1"/>
      <w:marLeft w:val="0"/>
      <w:marRight w:val="0"/>
      <w:marTop w:val="0"/>
      <w:marBottom w:val="0"/>
      <w:divBdr>
        <w:top w:val="none" w:sz="0" w:space="0" w:color="auto"/>
        <w:left w:val="none" w:sz="0" w:space="0" w:color="auto"/>
        <w:bottom w:val="none" w:sz="0" w:space="0" w:color="auto"/>
        <w:right w:val="none" w:sz="0" w:space="0" w:color="auto"/>
      </w:divBdr>
    </w:div>
    <w:div w:id="1365324021">
      <w:bodyDiv w:val="1"/>
      <w:marLeft w:val="0"/>
      <w:marRight w:val="0"/>
      <w:marTop w:val="0"/>
      <w:marBottom w:val="0"/>
      <w:divBdr>
        <w:top w:val="none" w:sz="0" w:space="0" w:color="auto"/>
        <w:left w:val="none" w:sz="0" w:space="0" w:color="auto"/>
        <w:bottom w:val="none" w:sz="0" w:space="0" w:color="auto"/>
        <w:right w:val="none" w:sz="0" w:space="0" w:color="auto"/>
      </w:divBdr>
    </w:div>
    <w:div w:id="1365474613">
      <w:bodyDiv w:val="1"/>
      <w:marLeft w:val="0"/>
      <w:marRight w:val="0"/>
      <w:marTop w:val="0"/>
      <w:marBottom w:val="0"/>
      <w:divBdr>
        <w:top w:val="none" w:sz="0" w:space="0" w:color="auto"/>
        <w:left w:val="none" w:sz="0" w:space="0" w:color="auto"/>
        <w:bottom w:val="none" w:sz="0" w:space="0" w:color="auto"/>
        <w:right w:val="none" w:sz="0" w:space="0" w:color="auto"/>
      </w:divBdr>
    </w:div>
    <w:div w:id="1377316832">
      <w:bodyDiv w:val="1"/>
      <w:marLeft w:val="0"/>
      <w:marRight w:val="0"/>
      <w:marTop w:val="0"/>
      <w:marBottom w:val="0"/>
      <w:divBdr>
        <w:top w:val="none" w:sz="0" w:space="0" w:color="auto"/>
        <w:left w:val="none" w:sz="0" w:space="0" w:color="auto"/>
        <w:bottom w:val="none" w:sz="0" w:space="0" w:color="auto"/>
        <w:right w:val="none" w:sz="0" w:space="0" w:color="auto"/>
      </w:divBdr>
    </w:div>
    <w:div w:id="1380475724">
      <w:bodyDiv w:val="1"/>
      <w:marLeft w:val="0"/>
      <w:marRight w:val="0"/>
      <w:marTop w:val="0"/>
      <w:marBottom w:val="0"/>
      <w:divBdr>
        <w:top w:val="none" w:sz="0" w:space="0" w:color="auto"/>
        <w:left w:val="none" w:sz="0" w:space="0" w:color="auto"/>
        <w:bottom w:val="none" w:sz="0" w:space="0" w:color="auto"/>
        <w:right w:val="none" w:sz="0" w:space="0" w:color="auto"/>
      </w:divBdr>
    </w:div>
    <w:div w:id="1383872256">
      <w:bodyDiv w:val="1"/>
      <w:marLeft w:val="0"/>
      <w:marRight w:val="0"/>
      <w:marTop w:val="0"/>
      <w:marBottom w:val="0"/>
      <w:divBdr>
        <w:top w:val="none" w:sz="0" w:space="0" w:color="auto"/>
        <w:left w:val="none" w:sz="0" w:space="0" w:color="auto"/>
        <w:bottom w:val="none" w:sz="0" w:space="0" w:color="auto"/>
        <w:right w:val="none" w:sz="0" w:space="0" w:color="auto"/>
      </w:divBdr>
    </w:div>
    <w:div w:id="1396124574">
      <w:bodyDiv w:val="1"/>
      <w:marLeft w:val="0"/>
      <w:marRight w:val="0"/>
      <w:marTop w:val="0"/>
      <w:marBottom w:val="0"/>
      <w:divBdr>
        <w:top w:val="none" w:sz="0" w:space="0" w:color="auto"/>
        <w:left w:val="none" w:sz="0" w:space="0" w:color="auto"/>
        <w:bottom w:val="none" w:sz="0" w:space="0" w:color="auto"/>
        <w:right w:val="none" w:sz="0" w:space="0" w:color="auto"/>
      </w:divBdr>
    </w:div>
    <w:div w:id="1399784021">
      <w:bodyDiv w:val="1"/>
      <w:marLeft w:val="0"/>
      <w:marRight w:val="0"/>
      <w:marTop w:val="0"/>
      <w:marBottom w:val="0"/>
      <w:divBdr>
        <w:top w:val="none" w:sz="0" w:space="0" w:color="auto"/>
        <w:left w:val="none" w:sz="0" w:space="0" w:color="auto"/>
        <w:bottom w:val="none" w:sz="0" w:space="0" w:color="auto"/>
        <w:right w:val="none" w:sz="0" w:space="0" w:color="auto"/>
      </w:divBdr>
    </w:div>
    <w:div w:id="1401516301">
      <w:bodyDiv w:val="1"/>
      <w:marLeft w:val="0"/>
      <w:marRight w:val="0"/>
      <w:marTop w:val="0"/>
      <w:marBottom w:val="0"/>
      <w:divBdr>
        <w:top w:val="none" w:sz="0" w:space="0" w:color="auto"/>
        <w:left w:val="none" w:sz="0" w:space="0" w:color="auto"/>
        <w:bottom w:val="none" w:sz="0" w:space="0" w:color="auto"/>
        <w:right w:val="none" w:sz="0" w:space="0" w:color="auto"/>
      </w:divBdr>
    </w:div>
    <w:div w:id="1405373444">
      <w:bodyDiv w:val="1"/>
      <w:marLeft w:val="0"/>
      <w:marRight w:val="0"/>
      <w:marTop w:val="0"/>
      <w:marBottom w:val="0"/>
      <w:divBdr>
        <w:top w:val="none" w:sz="0" w:space="0" w:color="auto"/>
        <w:left w:val="none" w:sz="0" w:space="0" w:color="auto"/>
        <w:bottom w:val="none" w:sz="0" w:space="0" w:color="auto"/>
        <w:right w:val="none" w:sz="0" w:space="0" w:color="auto"/>
      </w:divBdr>
    </w:div>
    <w:div w:id="1413813325">
      <w:bodyDiv w:val="1"/>
      <w:marLeft w:val="0"/>
      <w:marRight w:val="0"/>
      <w:marTop w:val="0"/>
      <w:marBottom w:val="0"/>
      <w:divBdr>
        <w:top w:val="none" w:sz="0" w:space="0" w:color="auto"/>
        <w:left w:val="none" w:sz="0" w:space="0" w:color="auto"/>
        <w:bottom w:val="none" w:sz="0" w:space="0" w:color="auto"/>
        <w:right w:val="none" w:sz="0" w:space="0" w:color="auto"/>
      </w:divBdr>
    </w:div>
    <w:div w:id="1417049158">
      <w:bodyDiv w:val="1"/>
      <w:marLeft w:val="0"/>
      <w:marRight w:val="0"/>
      <w:marTop w:val="0"/>
      <w:marBottom w:val="0"/>
      <w:divBdr>
        <w:top w:val="none" w:sz="0" w:space="0" w:color="auto"/>
        <w:left w:val="none" w:sz="0" w:space="0" w:color="auto"/>
        <w:bottom w:val="none" w:sz="0" w:space="0" w:color="auto"/>
        <w:right w:val="none" w:sz="0" w:space="0" w:color="auto"/>
      </w:divBdr>
    </w:div>
    <w:div w:id="1420373507">
      <w:bodyDiv w:val="1"/>
      <w:marLeft w:val="0"/>
      <w:marRight w:val="0"/>
      <w:marTop w:val="0"/>
      <w:marBottom w:val="0"/>
      <w:divBdr>
        <w:top w:val="none" w:sz="0" w:space="0" w:color="auto"/>
        <w:left w:val="none" w:sz="0" w:space="0" w:color="auto"/>
        <w:bottom w:val="none" w:sz="0" w:space="0" w:color="auto"/>
        <w:right w:val="none" w:sz="0" w:space="0" w:color="auto"/>
      </w:divBdr>
    </w:div>
    <w:div w:id="1422917926">
      <w:bodyDiv w:val="1"/>
      <w:marLeft w:val="0"/>
      <w:marRight w:val="0"/>
      <w:marTop w:val="0"/>
      <w:marBottom w:val="0"/>
      <w:divBdr>
        <w:top w:val="none" w:sz="0" w:space="0" w:color="auto"/>
        <w:left w:val="none" w:sz="0" w:space="0" w:color="auto"/>
        <w:bottom w:val="none" w:sz="0" w:space="0" w:color="auto"/>
        <w:right w:val="none" w:sz="0" w:space="0" w:color="auto"/>
      </w:divBdr>
    </w:div>
    <w:div w:id="1434398416">
      <w:bodyDiv w:val="1"/>
      <w:marLeft w:val="0"/>
      <w:marRight w:val="0"/>
      <w:marTop w:val="0"/>
      <w:marBottom w:val="0"/>
      <w:divBdr>
        <w:top w:val="none" w:sz="0" w:space="0" w:color="auto"/>
        <w:left w:val="none" w:sz="0" w:space="0" w:color="auto"/>
        <w:bottom w:val="none" w:sz="0" w:space="0" w:color="auto"/>
        <w:right w:val="none" w:sz="0" w:space="0" w:color="auto"/>
      </w:divBdr>
    </w:div>
    <w:div w:id="1445231859">
      <w:bodyDiv w:val="1"/>
      <w:marLeft w:val="0"/>
      <w:marRight w:val="0"/>
      <w:marTop w:val="0"/>
      <w:marBottom w:val="0"/>
      <w:divBdr>
        <w:top w:val="none" w:sz="0" w:space="0" w:color="auto"/>
        <w:left w:val="none" w:sz="0" w:space="0" w:color="auto"/>
        <w:bottom w:val="none" w:sz="0" w:space="0" w:color="auto"/>
        <w:right w:val="none" w:sz="0" w:space="0" w:color="auto"/>
      </w:divBdr>
    </w:div>
    <w:div w:id="1459372408">
      <w:bodyDiv w:val="1"/>
      <w:marLeft w:val="0"/>
      <w:marRight w:val="0"/>
      <w:marTop w:val="0"/>
      <w:marBottom w:val="0"/>
      <w:divBdr>
        <w:top w:val="none" w:sz="0" w:space="0" w:color="auto"/>
        <w:left w:val="none" w:sz="0" w:space="0" w:color="auto"/>
        <w:bottom w:val="none" w:sz="0" w:space="0" w:color="auto"/>
        <w:right w:val="none" w:sz="0" w:space="0" w:color="auto"/>
      </w:divBdr>
    </w:div>
    <w:div w:id="1461649703">
      <w:bodyDiv w:val="1"/>
      <w:marLeft w:val="0"/>
      <w:marRight w:val="0"/>
      <w:marTop w:val="0"/>
      <w:marBottom w:val="0"/>
      <w:divBdr>
        <w:top w:val="none" w:sz="0" w:space="0" w:color="auto"/>
        <w:left w:val="none" w:sz="0" w:space="0" w:color="auto"/>
        <w:bottom w:val="none" w:sz="0" w:space="0" w:color="auto"/>
        <w:right w:val="none" w:sz="0" w:space="0" w:color="auto"/>
      </w:divBdr>
    </w:div>
    <w:div w:id="1468671109">
      <w:bodyDiv w:val="1"/>
      <w:marLeft w:val="0"/>
      <w:marRight w:val="0"/>
      <w:marTop w:val="0"/>
      <w:marBottom w:val="0"/>
      <w:divBdr>
        <w:top w:val="none" w:sz="0" w:space="0" w:color="auto"/>
        <w:left w:val="none" w:sz="0" w:space="0" w:color="auto"/>
        <w:bottom w:val="none" w:sz="0" w:space="0" w:color="auto"/>
        <w:right w:val="none" w:sz="0" w:space="0" w:color="auto"/>
      </w:divBdr>
    </w:div>
    <w:div w:id="1474330573">
      <w:bodyDiv w:val="1"/>
      <w:marLeft w:val="0"/>
      <w:marRight w:val="0"/>
      <w:marTop w:val="0"/>
      <w:marBottom w:val="0"/>
      <w:divBdr>
        <w:top w:val="none" w:sz="0" w:space="0" w:color="auto"/>
        <w:left w:val="none" w:sz="0" w:space="0" w:color="auto"/>
        <w:bottom w:val="none" w:sz="0" w:space="0" w:color="auto"/>
        <w:right w:val="none" w:sz="0" w:space="0" w:color="auto"/>
      </w:divBdr>
    </w:div>
    <w:div w:id="1484545489">
      <w:bodyDiv w:val="1"/>
      <w:marLeft w:val="0"/>
      <w:marRight w:val="0"/>
      <w:marTop w:val="0"/>
      <w:marBottom w:val="0"/>
      <w:divBdr>
        <w:top w:val="none" w:sz="0" w:space="0" w:color="auto"/>
        <w:left w:val="none" w:sz="0" w:space="0" w:color="auto"/>
        <w:bottom w:val="none" w:sz="0" w:space="0" w:color="auto"/>
        <w:right w:val="none" w:sz="0" w:space="0" w:color="auto"/>
      </w:divBdr>
    </w:div>
    <w:div w:id="1485393687">
      <w:bodyDiv w:val="1"/>
      <w:marLeft w:val="0"/>
      <w:marRight w:val="0"/>
      <w:marTop w:val="0"/>
      <w:marBottom w:val="0"/>
      <w:divBdr>
        <w:top w:val="none" w:sz="0" w:space="0" w:color="auto"/>
        <w:left w:val="none" w:sz="0" w:space="0" w:color="auto"/>
        <w:bottom w:val="none" w:sz="0" w:space="0" w:color="auto"/>
        <w:right w:val="none" w:sz="0" w:space="0" w:color="auto"/>
      </w:divBdr>
    </w:div>
    <w:div w:id="1485776843">
      <w:bodyDiv w:val="1"/>
      <w:marLeft w:val="0"/>
      <w:marRight w:val="0"/>
      <w:marTop w:val="0"/>
      <w:marBottom w:val="0"/>
      <w:divBdr>
        <w:top w:val="none" w:sz="0" w:space="0" w:color="auto"/>
        <w:left w:val="none" w:sz="0" w:space="0" w:color="auto"/>
        <w:bottom w:val="none" w:sz="0" w:space="0" w:color="auto"/>
        <w:right w:val="none" w:sz="0" w:space="0" w:color="auto"/>
      </w:divBdr>
    </w:div>
    <w:div w:id="1493639382">
      <w:bodyDiv w:val="1"/>
      <w:marLeft w:val="0"/>
      <w:marRight w:val="0"/>
      <w:marTop w:val="0"/>
      <w:marBottom w:val="0"/>
      <w:divBdr>
        <w:top w:val="none" w:sz="0" w:space="0" w:color="auto"/>
        <w:left w:val="none" w:sz="0" w:space="0" w:color="auto"/>
        <w:bottom w:val="none" w:sz="0" w:space="0" w:color="auto"/>
        <w:right w:val="none" w:sz="0" w:space="0" w:color="auto"/>
      </w:divBdr>
    </w:div>
    <w:div w:id="1496409753">
      <w:bodyDiv w:val="1"/>
      <w:marLeft w:val="0"/>
      <w:marRight w:val="0"/>
      <w:marTop w:val="0"/>
      <w:marBottom w:val="0"/>
      <w:divBdr>
        <w:top w:val="none" w:sz="0" w:space="0" w:color="auto"/>
        <w:left w:val="none" w:sz="0" w:space="0" w:color="auto"/>
        <w:bottom w:val="none" w:sz="0" w:space="0" w:color="auto"/>
        <w:right w:val="none" w:sz="0" w:space="0" w:color="auto"/>
      </w:divBdr>
    </w:div>
    <w:div w:id="1501117648">
      <w:bodyDiv w:val="1"/>
      <w:marLeft w:val="0"/>
      <w:marRight w:val="0"/>
      <w:marTop w:val="0"/>
      <w:marBottom w:val="0"/>
      <w:divBdr>
        <w:top w:val="none" w:sz="0" w:space="0" w:color="auto"/>
        <w:left w:val="none" w:sz="0" w:space="0" w:color="auto"/>
        <w:bottom w:val="none" w:sz="0" w:space="0" w:color="auto"/>
        <w:right w:val="none" w:sz="0" w:space="0" w:color="auto"/>
      </w:divBdr>
    </w:div>
    <w:div w:id="1519000858">
      <w:bodyDiv w:val="1"/>
      <w:marLeft w:val="0"/>
      <w:marRight w:val="0"/>
      <w:marTop w:val="0"/>
      <w:marBottom w:val="0"/>
      <w:divBdr>
        <w:top w:val="none" w:sz="0" w:space="0" w:color="auto"/>
        <w:left w:val="none" w:sz="0" w:space="0" w:color="auto"/>
        <w:bottom w:val="none" w:sz="0" w:space="0" w:color="auto"/>
        <w:right w:val="none" w:sz="0" w:space="0" w:color="auto"/>
      </w:divBdr>
    </w:div>
    <w:div w:id="1521159397">
      <w:bodyDiv w:val="1"/>
      <w:marLeft w:val="0"/>
      <w:marRight w:val="0"/>
      <w:marTop w:val="0"/>
      <w:marBottom w:val="0"/>
      <w:divBdr>
        <w:top w:val="none" w:sz="0" w:space="0" w:color="auto"/>
        <w:left w:val="none" w:sz="0" w:space="0" w:color="auto"/>
        <w:bottom w:val="none" w:sz="0" w:space="0" w:color="auto"/>
        <w:right w:val="none" w:sz="0" w:space="0" w:color="auto"/>
      </w:divBdr>
    </w:div>
    <w:div w:id="1524660981">
      <w:bodyDiv w:val="1"/>
      <w:marLeft w:val="0"/>
      <w:marRight w:val="0"/>
      <w:marTop w:val="0"/>
      <w:marBottom w:val="0"/>
      <w:divBdr>
        <w:top w:val="none" w:sz="0" w:space="0" w:color="auto"/>
        <w:left w:val="none" w:sz="0" w:space="0" w:color="auto"/>
        <w:bottom w:val="none" w:sz="0" w:space="0" w:color="auto"/>
        <w:right w:val="none" w:sz="0" w:space="0" w:color="auto"/>
      </w:divBdr>
    </w:div>
    <w:div w:id="1524904836">
      <w:bodyDiv w:val="1"/>
      <w:marLeft w:val="0"/>
      <w:marRight w:val="0"/>
      <w:marTop w:val="0"/>
      <w:marBottom w:val="0"/>
      <w:divBdr>
        <w:top w:val="none" w:sz="0" w:space="0" w:color="auto"/>
        <w:left w:val="none" w:sz="0" w:space="0" w:color="auto"/>
        <w:bottom w:val="none" w:sz="0" w:space="0" w:color="auto"/>
        <w:right w:val="none" w:sz="0" w:space="0" w:color="auto"/>
      </w:divBdr>
    </w:div>
    <w:div w:id="1530528739">
      <w:bodyDiv w:val="1"/>
      <w:marLeft w:val="0"/>
      <w:marRight w:val="0"/>
      <w:marTop w:val="0"/>
      <w:marBottom w:val="0"/>
      <w:divBdr>
        <w:top w:val="none" w:sz="0" w:space="0" w:color="auto"/>
        <w:left w:val="none" w:sz="0" w:space="0" w:color="auto"/>
        <w:bottom w:val="none" w:sz="0" w:space="0" w:color="auto"/>
        <w:right w:val="none" w:sz="0" w:space="0" w:color="auto"/>
      </w:divBdr>
    </w:div>
    <w:div w:id="1531214720">
      <w:bodyDiv w:val="1"/>
      <w:marLeft w:val="0"/>
      <w:marRight w:val="0"/>
      <w:marTop w:val="0"/>
      <w:marBottom w:val="0"/>
      <w:divBdr>
        <w:top w:val="none" w:sz="0" w:space="0" w:color="auto"/>
        <w:left w:val="none" w:sz="0" w:space="0" w:color="auto"/>
        <w:bottom w:val="none" w:sz="0" w:space="0" w:color="auto"/>
        <w:right w:val="none" w:sz="0" w:space="0" w:color="auto"/>
      </w:divBdr>
    </w:div>
    <w:div w:id="1542402401">
      <w:bodyDiv w:val="1"/>
      <w:marLeft w:val="0"/>
      <w:marRight w:val="0"/>
      <w:marTop w:val="0"/>
      <w:marBottom w:val="0"/>
      <w:divBdr>
        <w:top w:val="none" w:sz="0" w:space="0" w:color="auto"/>
        <w:left w:val="none" w:sz="0" w:space="0" w:color="auto"/>
        <w:bottom w:val="none" w:sz="0" w:space="0" w:color="auto"/>
        <w:right w:val="none" w:sz="0" w:space="0" w:color="auto"/>
      </w:divBdr>
    </w:div>
    <w:div w:id="1546066164">
      <w:bodyDiv w:val="1"/>
      <w:marLeft w:val="0"/>
      <w:marRight w:val="0"/>
      <w:marTop w:val="0"/>
      <w:marBottom w:val="0"/>
      <w:divBdr>
        <w:top w:val="none" w:sz="0" w:space="0" w:color="auto"/>
        <w:left w:val="none" w:sz="0" w:space="0" w:color="auto"/>
        <w:bottom w:val="none" w:sz="0" w:space="0" w:color="auto"/>
        <w:right w:val="none" w:sz="0" w:space="0" w:color="auto"/>
      </w:divBdr>
    </w:div>
    <w:div w:id="1549877035">
      <w:bodyDiv w:val="1"/>
      <w:marLeft w:val="0"/>
      <w:marRight w:val="0"/>
      <w:marTop w:val="0"/>
      <w:marBottom w:val="0"/>
      <w:divBdr>
        <w:top w:val="none" w:sz="0" w:space="0" w:color="auto"/>
        <w:left w:val="none" w:sz="0" w:space="0" w:color="auto"/>
        <w:bottom w:val="none" w:sz="0" w:space="0" w:color="auto"/>
        <w:right w:val="none" w:sz="0" w:space="0" w:color="auto"/>
      </w:divBdr>
      <w:divsChild>
        <w:div w:id="1176965273">
          <w:marLeft w:val="0"/>
          <w:marRight w:val="0"/>
          <w:marTop w:val="34"/>
          <w:marBottom w:val="34"/>
          <w:divBdr>
            <w:top w:val="none" w:sz="0" w:space="0" w:color="auto"/>
            <w:left w:val="none" w:sz="0" w:space="0" w:color="auto"/>
            <w:bottom w:val="none" w:sz="0" w:space="0" w:color="auto"/>
            <w:right w:val="none" w:sz="0" w:space="0" w:color="auto"/>
          </w:divBdr>
          <w:divsChild>
            <w:div w:id="1570000965">
              <w:marLeft w:val="0"/>
              <w:marRight w:val="0"/>
              <w:marTop w:val="0"/>
              <w:marBottom w:val="0"/>
              <w:divBdr>
                <w:top w:val="none" w:sz="0" w:space="0" w:color="auto"/>
                <w:left w:val="none" w:sz="0" w:space="0" w:color="auto"/>
                <w:bottom w:val="none" w:sz="0" w:space="0" w:color="auto"/>
                <w:right w:val="none" w:sz="0" w:space="0" w:color="auto"/>
              </w:divBdr>
            </w:div>
            <w:div w:id="20307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12791">
      <w:bodyDiv w:val="1"/>
      <w:marLeft w:val="0"/>
      <w:marRight w:val="0"/>
      <w:marTop w:val="0"/>
      <w:marBottom w:val="0"/>
      <w:divBdr>
        <w:top w:val="none" w:sz="0" w:space="0" w:color="auto"/>
        <w:left w:val="none" w:sz="0" w:space="0" w:color="auto"/>
        <w:bottom w:val="none" w:sz="0" w:space="0" w:color="auto"/>
        <w:right w:val="none" w:sz="0" w:space="0" w:color="auto"/>
      </w:divBdr>
    </w:div>
    <w:div w:id="1556699889">
      <w:bodyDiv w:val="1"/>
      <w:marLeft w:val="0"/>
      <w:marRight w:val="0"/>
      <w:marTop w:val="0"/>
      <w:marBottom w:val="0"/>
      <w:divBdr>
        <w:top w:val="none" w:sz="0" w:space="0" w:color="auto"/>
        <w:left w:val="none" w:sz="0" w:space="0" w:color="auto"/>
        <w:bottom w:val="none" w:sz="0" w:space="0" w:color="auto"/>
        <w:right w:val="none" w:sz="0" w:space="0" w:color="auto"/>
      </w:divBdr>
    </w:div>
    <w:div w:id="1564827139">
      <w:bodyDiv w:val="1"/>
      <w:marLeft w:val="0"/>
      <w:marRight w:val="0"/>
      <w:marTop w:val="0"/>
      <w:marBottom w:val="0"/>
      <w:divBdr>
        <w:top w:val="none" w:sz="0" w:space="0" w:color="auto"/>
        <w:left w:val="none" w:sz="0" w:space="0" w:color="auto"/>
        <w:bottom w:val="none" w:sz="0" w:space="0" w:color="auto"/>
        <w:right w:val="none" w:sz="0" w:space="0" w:color="auto"/>
      </w:divBdr>
    </w:div>
    <w:div w:id="1568761161">
      <w:bodyDiv w:val="1"/>
      <w:marLeft w:val="0"/>
      <w:marRight w:val="0"/>
      <w:marTop w:val="0"/>
      <w:marBottom w:val="0"/>
      <w:divBdr>
        <w:top w:val="none" w:sz="0" w:space="0" w:color="auto"/>
        <w:left w:val="none" w:sz="0" w:space="0" w:color="auto"/>
        <w:bottom w:val="none" w:sz="0" w:space="0" w:color="auto"/>
        <w:right w:val="none" w:sz="0" w:space="0" w:color="auto"/>
      </w:divBdr>
    </w:div>
    <w:div w:id="1571651499">
      <w:bodyDiv w:val="1"/>
      <w:marLeft w:val="0"/>
      <w:marRight w:val="0"/>
      <w:marTop w:val="0"/>
      <w:marBottom w:val="0"/>
      <w:divBdr>
        <w:top w:val="none" w:sz="0" w:space="0" w:color="auto"/>
        <w:left w:val="none" w:sz="0" w:space="0" w:color="auto"/>
        <w:bottom w:val="none" w:sz="0" w:space="0" w:color="auto"/>
        <w:right w:val="none" w:sz="0" w:space="0" w:color="auto"/>
      </w:divBdr>
    </w:div>
    <w:div w:id="1577544312">
      <w:bodyDiv w:val="1"/>
      <w:marLeft w:val="0"/>
      <w:marRight w:val="0"/>
      <w:marTop w:val="0"/>
      <w:marBottom w:val="0"/>
      <w:divBdr>
        <w:top w:val="none" w:sz="0" w:space="0" w:color="auto"/>
        <w:left w:val="none" w:sz="0" w:space="0" w:color="auto"/>
        <w:bottom w:val="none" w:sz="0" w:space="0" w:color="auto"/>
        <w:right w:val="none" w:sz="0" w:space="0" w:color="auto"/>
      </w:divBdr>
    </w:div>
    <w:div w:id="1580093220">
      <w:bodyDiv w:val="1"/>
      <w:marLeft w:val="0"/>
      <w:marRight w:val="0"/>
      <w:marTop w:val="0"/>
      <w:marBottom w:val="0"/>
      <w:divBdr>
        <w:top w:val="none" w:sz="0" w:space="0" w:color="auto"/>
        <w:left w:val="none" w:sz="0" w:space="0" w:color="auto"/>
        <w:bottom w:val="none" w:sz="0" w:space="0" w:color="auto"/>
        <w:right w:val="none" w:sz="0" w:space="0" w:color="auto"/>
      </w:divBdr>
    </w:div>
    <w:div w:id="1580095188">
      <w:bodyDiv w:val="1"/>
      <w:marLeft w:val="0"/>
      <w:marRight w:val="0"/>
      <w:marTop w:val="0"/>
      <w:marBottom w:val="0"/>
      <w:divBdr>
        <w:top w:val="none" w:sz="0" w:space="0" w:color="auto"/>
        <w:left w:val="none" w:sz="0" w:space="0" w:color="auto"/>
        <w:bottom w:val="none" w:sz="0" w:space="0" w:color="auto"/>
        <w:right w:val="none" w:sz="0" w:space="0" w:color="auto"/>
      </w:divBdr>
    </w:div>
    <w:div w:id="1581062608">
      <w:bodyDiv w:val="1"/>
      <w:marLeft w:val="0"/>
      <w:marRight w:val="0"/>
      <w:marTop w:val="0"/>
      <w:marBottom w:val="0"/>
      <w:divBdr>
        <w:top w:val="none" w:sz="0" w:space="0" w:color="auto"/>
        <w:left w:val="none" w:sz="0" w:space="0" w:color="auto"/>
        <w:bottom w:val="none" w:sz="0" w:space="0" w:color="auto"/>
        <w:right w:val="none" w:sz="0" w:space="0" w:color="auto"/>
      </w:divBdr>
    </w:div>
    <w:div w:id="1591967596">
      <w:bodyDiv w:val="1"/>
      <w:marLeft w:val="0"/>
      <w:marRight w:val="0"/>
      <w:marTop w:val="0"/>
      <w:marBottom w:val="0"/>
      <w:divBdr>
        <w:top w:val="none" w:sz="0" w:space="0" w:color="auto"/>
        <w:left w:val="none" w:sz="0" w:space="0" w:color="auto"/>
        <w:bottom w:val="none" w:sz="0" w:space="0" w:color="auto"/>
        <w:right w:val="none" w:sz="0" w:space="0" w:color="auto"/>
      </w:divBdr>
    </w:div>
    <w:div w:id="1593515932">
      <w:bodyDiv w:val="1"/>
      <w:marLeft w:val="0"/>
      <w:marRight w:val="0"/>
      <w:marTop w:val="0"/>
      <w:marBottom w:val="0"/>
      <w:divBdr>
        <w:top w:val="none" w:sz="0" w:space="0" w:color="auto"/>
        <w:left w:val="none" w:sz="0" w:space="0" w:color="auto"/>
        <w:bottom w:val="none" w:sz="0" w:space="0" w:color="auto"/>
        <w:right w:val="none" w:sz="0" w:space="0" w:color="auto"/>
      </w:divBdr>
    </w:div>
    <w:div w:id="1594317604">
      <w:bodyDiv w:val="1"/>
      <w:marLeft w:val="0"/>
      <w:marRight w:val="0"/>
      <w:marTop w:val="0"/>
      <w:marBottom w:val="0"/>
      <w:divBdr>
        <w:top w:val="none" w:sz="0" w:space="0" w:color="auto"/>
        <w:left w:val="none" w:sz="0" w:space="0" w:color="auto"/>
        <w:bottom w:val="none" w:sz="0" w:space="0" w:color="auto"/>
        <w:right w:val="none" w:sz="0" w:space="0" w:color="auto"/>
      </w:divBdr>
    </w:div>
    <w:div w:id="1594969061">
      <w:bodyDiv w:val="1"/>
      <w:marLeft w:val="0"/>
      <w:marRight w:val="0"/>
      <w:marTop w:val="0"/>
      <w:marBottom w:val="0"/>
      <w:divBdr>
        <w:top w:val="none" w:sz="0" w:space="0" w:color="auto"/>
        <w:left w:val="none" w:sz="0" w:space="0" w:color="auto"/>
        <w:bottom w:val="none" w:sz="0" w:space="0" w:color="auto"/>
        <w:right w:val="none" w:sz="0" w:space="0" w:color="auto"/>
      </w:divBdr>
    </w:div>
    <w:div w:id="1597447631">
      <w:bodyDiv w:val="1"/>
      <w:marLeft w:val="0"/>
      <w:marRight w:val="0"/>
      <w:marTop w:val="0"/>
      <w:marBottom w:val="0"/>
      <w:divBdr>
        <w:top w:val="none" w:sz="0" w:space="0" w:color="auto"/>
        <w:left w:val="none" w:sz="0" w:space="0" w:color="auto"/>
        <w:bottom w:val="none" w:sz="0" w:space="0" w:color="auto"/>
        <w:right w:val="none" w:sz="0" w:space="0" w:color="auto"/>
      </w:divBdr>
    </w:div>
    <w:div w:id="1599603045">
      <w:bodyDiv w:val="1"/>
      <w:marLeft w:val="0"/>
      <w:marRight w:val="0"/>
      <w:marTop w:val="0"/>
      <w:marBottom w:val="0"/>
      <w:divBdr>
        <w:top w:val="none" w:sz="0" w:space="0" w:color="auto"/>
        <w:left w:val="none" w:sz="0" w:space="0" w:color="auto"/>
        <w:bottom w:val="none" w:sz="0" w:space="0" w:color="auto"/>
        <w:right w:val="none" w:sz="0" w:space="0" w:color="auto"/>
      </w:divBdr>
    </w:div>
    <w:div w:id="1602302158">
      <w:bodyDiv w:val="1"/>
      <w:marLeft w:val="0"/>
      <w:marRight w:val="0"/>
      <w:marTop w:val="0"/>
      <w:marBottom w:val="0"/>
      <w:divBdr>
        <w:top w:val="none" w:sz="0" w:space="0" w:color="auto"/>
        <w:left w:val="none" w:sz="0" w:space="0" w:color="auto"/>
        <w:bottom w:val="none" w:sz="0" w:space="0" w:color="auto"/>
        <w:right w:val="none" w:sz="0" w:space="0" w:color="auto"/>
      </w:divBdr>
    </w:div>
    <w:div w:id="1603755465">
      <w:bodyDiv w:val="1"/>
      <w:marLeft w:val="0"/>
      <w:marRight w:val="0"/>
      <w:marTop w:val="0"/>
      <w:marBottom w:val="0"/>
      <w:divBdr>
        <w:top w:val="none" w:sz="0" w:space="0" w:color="auto"/>
        <w:left w:val="none" w:sz="0" w:space="0" w:color="auto"/>
        <w:bottom w:val="none" w:sz="0" w:space="0" w:color="auto"/>
        <w:right w:val="none" w:sz="0" w:space="0" w:color="auto"/>
      </w:divBdr>
    </w:div>
    <w:div w:id="1614051625">
      <w:bodyDiv w:val="1"/>
      <w:marLeft w:val="0"/>
      <w:marRight w:val="0"/>
      <w:marTop w:val="0"/>
      <w:marBottom w:val="0"/>
      <w:divBdr>
        <w:top w:val="none" w:sz="0" w:space="0" w:color="auto"/>
        <w:left w:val="none" w:sz="0" w:space="0" w:color="auto"/>
        <w:bottom w:val="none" w:sz="0" w:space="0" w:color="auto"/>
        <w:right w:val="none" w:sz="0" w:space="0" w:color="auto"/>
      </w:divBdr>
    </w:div>
    <w:div w:id="1617059896">
      <w:bodyDiv w:val="1"/>
      <w:marLeft w:val="0"/>
      <w:marRight w:val="0"/>
      <w:marTop w:val="0"/>
      <w:marBottom w:val="0"/>
      <w:divBdr>
        <w:top w:val="none" w:sz="0" w:space="0" w:color="auto"/>
        <w:left w:val="none" w:sz="0" w:space="0" w:color="auto"/>
        <w:bottom w:val="none" w:sz="0" w:space="0" w:color="auto"/>
        <w:right w:val="none" w:sz="0" w:space="0" w:color="auto"/>
      </w:divBdr>
    </w:div>
    <w:div w:id="1624842803">
      <w:bodyDiv w:val="1"/>
      <w:marLeft w:val="0"/>
      <w:marRight w:val="0"/>
      <w:marTop w:val="0"/>
      <w:marBottom w:val="0"/>
      <w:divBdr>
        <w:top w:val="none" w:sz="0" w:space="0" w:color="auto"/>
        <w:left w:val="none" w:sz="0" w:space="0" w:color="auto"/>
        <w:bottom w:val="none" w:sz="0" w:space="0" w:color="auto"/>
        <w:right w:val="none" w:sz="0" w:space="0" w:color="auto"/>
      </w:divBdr>
    </w:div>
    <w:div w:id="1624925279">
      <w:bodyDiv w:val="1"/>
      <w:marLeft w:val="0"/>
      <w:marRight w:val="0"/>
      <w:marTop w:val="0"/>
      <w:marBottom w:val="0"/>
      <w:divBdr>
        <w:top w:val="none" w:sz="0" w:space="0" w:color="auto"/>
        <w:left w:val="none" w:sz="0" w:space="0" w:color="auto"/>
        <w:bottom w:val="none" w:sz="0" w:space="0" w:color="auto"/>
        <w:right w:val="none" w:sz="0" w:space="0" w:color="auto"/>
      </w:divBdr>
    </w:div>
    <w:div w:id="1631127948">
      <w:bodyDiv w:val="1"/>
      <w:marLeft w:val="0"/>
      <w:marRight w:val="0"/>
      <w:marTop w:val="0"/>
      <w:marBottom w:val="0"/>
      <w:divBdr>
        <w:top w:val="none" w:sz="0" w:space="0" w:color="auto"/>
        <w:left w:val="none" w:sz="0" w:space="0" w:color="auto"/>
        <w:bottom w:val="none" w:sz="0" w:space="0" w:color="auto"/>
        <w:right w:val="none" w:sz="0" w:space="0" w:color="auto"/>
      </w:divBdr>
    </w:div>
    <w:div w:id="1635990073">
      <w:bodyDiv w:val="1"/>
      <w:marLeft w:val="0"/>
      <w:marRight w:val="0"/>
      <w:marTop w:val="0"/>
      <w:marBottom w:val="0"/>
      <w:divBdr>
        <w:top w:val="none" w:sz="0" w:space="0" w:color="auto"/>
        <w:left w:val="none" w:sz="0" w:space="0" w:color="auto"/>
        <w:bottom w:val="none" w:sz="0" w:space="0" w:color="auto"/>
        <w:right w:val="none" w:sz="0" w:space="0" w:color="auto"/>
      </w:divBdr>
    </w:div>
    <w:div w:id="1642885590">
      <w:bodyDiv w:val="1"/>
      <w:marLeft w:val="0"/>
      <w:marRight w:val="0"/>
      <w:marTop w:val="0"/>
      <w:marBottom w:val="0"/>
      <w:divBdr>
        <w:top w:val="none" w:sz="0" w:space="0" w:color="auto"/>
        <w:left w:val="none" w:sz="0" w:space="0" w:color="auto"/>
        <w:bottom w:val="none" w:sz="0" w:space="0" w:color="auto"/>
        <w:right w:val="none" w:sz="0" w:space="0" w:color="auto"/>
      </w:divBdr>
    </w:div>
    <w:div w:id="1646398035">
      <w:bodyDiv w:val="1"/>
      <w:marLeft w:val="0"/>
      <w:marRight w:val="0"/>
      <w:marTop w:val="0"/>
      <w:marBottom w:val="0"/>
      <w:divBdr>
        <w:top w:val="none" w:sz="0" w:space="0" w:color="auto"/>
        <w:left w:val="none" w:sz="0" w:space="0" w:color="auto"/>
        <w:bottom w:val="none" w:sz="0" w:space="0" w:color="auto"/>
        <w:right w:val="none" w:sz="0" w:space="0" w:color="auto"/>
      </w:divBdr>
    </w:div>
    <w:div w:id="1646468475">
      <w:bodyDiv w:val="1"/>
      <w:marLeft w:val="0"/>
      <w:marRight w:val="0"/>
      <w:marTop w:val="0"/>
      <w:marBottom w:val="0"/>
      <w:divBdr>
        <w:top w:val="none" w:sz="0" w:space="0" w:color="auto"/>
        <w:left w:val="none" w:sz="0" w:space="0" w:color="auto"/>
        <w:bottom w:val="none" w:sz="0" w:space="0" w:color="auto"/>
        <w:right w:val="none" w:sz="0" w:space="0" w:color="auto"/>
      </w:divBdr>
    </w:div>
    <w:div w:id="1652556230">
      <w:bodyDiv w:val="1"/>
      <w:marLeft w:val="0"/>
      <w:marRight w:val="0"/>
      <w:marTop w:val="0"/>
      <w:marBottom w:val="0"/>
      <w:divBdr>
        <w:top w:val="none" w:sz="0" w:space="0" w:color="auto"/>
        <w:left w:val="none" w:sz="0" w:space="0" w:color="auto"/>
        <w:bottom w:val="none" w:sz="0" w:space="0" w:color="auto"/>
        <w:right w:val="none" w:sz="0" w:space="0" w:color="auto"/>
      </w:divBdr>
    </w:div>
    <w:div w:id="1680160666">
      <w:bodyDiv w:val="1"/>
      <w:marLeft w:val="0"/>
      <w:marRight w:val="0"/>
      <w:marTop w:val="0"/>
      <w:marBottom w:val="0"/>
      <w:divBdr>
        <w:top w:val="none" w:sz="0" w:space="0" w:color="auto"/>
        <w:left w:val="none" w:sz="0" w:space="0" w:color="auto"/>
        <w:bottom w:val="none" w:sz="0" w:space="0" w:color="auto"/>
        <w:right w:val="none" w:sz="0" w:space="0" w:color="auto"/>
      </w:divBdr>
    </w:div>
    <w:div w:id="1680229506">
      <w:bodyDiv w:val="1"/>
      <w:marLeft w:val="0"/>
      <w:marRight w:val="0"/>
      <w:marTop w:val="0"/>
      <w:marBottom w:val="0"/>
      <w:divBdr>
        <w:top w:val="none" w:sz="0" w:space="0" w:color="auto"/>
        <w:left w:val="none" w:sz="0" w:space="0" w:color="auto"/>
        <w:bottom w:val="none" w:sz="0" w:space="0" w:color="auto"/>
        <w:right w:val="none" w:sz="0" w:space="0" w:color="auto"/>
      </w:divBdr>
    </w:div>
    <w:div w:id="1681931808">
      <w:bodyDiv w:val="1"/>
      <w:marLeft w:val="0"/>
      <w:marRight w:val="0"/>
      <w:marTop w:val="0"/>
      <w:marBottom w:val="0"/>
      <w:divBdr>
        <w:top w:val="none" w:sz="0" w:space="0" w:color="auto"/>
        <w:left w:val="none" w:sz="0" w:space="0" w:color="auto"/>
        <w:bottom w:val="none" w:sz="0" w:space="0" w:color="auto"/>
        <w:right w:val="none" w:sz="0" w:space="0" w:color="auto"/>
      </w:divBdr>
    </w:div>
    <w:div w:id="1684815758">
      <w:bodyDiv w:val="1"/>
      <w:marLeft w:val="0"/>
      <w:marRight w:val="0"/>
      <w:marTop w:val="0"/>
      <w:marBottom w:val="0"/>
      <w:divBdr>
        <w:top w:val="none" w:sz="0" w:space="0" w:color="auto"/>
        <w:left w:val="none" w:sz="0" w:space="0" w:color="auto"/>
        <w:bottom w:val="none" w:sz="0" w:space="0" w:color="auto"/>
        <w:right w:val="none" w:sz="0" w:space="0" w:color="auto"/>
      </w:divBdr>
    </w:div>
    <w:div w:id="1701855122">
      <w:bodyDiv w:val="1"/>
      <w:marLeft w:val="0"/>
      <w:marRight w:val="0"/>
      <w:marTop w:val="0"/>
      <w:marBottom w:val="0"/>
      <w:divBdr>
        <w:top w:val="none" w:sz="0" w:space="0" w:color="auto"/>
        <w:left w:val="none" w:sz="0" w:space="0" w:color="auto"/>
        <w:bottom w:val="none" w:sz="0" w:space="0" w:color="auto"/>
        <w:right w:val="none" w:sz="0" w:space="0" w:color="auto"/>
      </w:divBdr>
    </w:div>
    <w:div w:id="1702778279">
      <w:bodyDiv w:val="1"/>
      <w:marLeft w:val="0"/>
      <w:marRight w:val="0"/>
      <w:marTop w:val="0"/>
      <w:marBottom w:val="0"/>
      <w:divBdr>
        <w:top w:val="none" w:sz="0" w:space="0" w:color="auto"/>
        <w:left w:val="none" w:sz="0" w:space="0" w:color="auto"/>
        <w:bottom w:val="none" w:sz="0" w:space="0" w:color="auto"/>
        <w:right w:val="none" w:sz="0" w:space="0" w:color="auto"/>
      </w:divBdr>
    </w:div>
    <w:div w:id="1703438047">
      <w:bodyDiv w:val="1"/>
      <w:marLeft w:val="0"/>
      <w:marRight w:val="0"/>
      <w:marTop w:val="0"/>
      <w:marBottom w:val="0"/>
      <w:divBdr>
        <w:top w:val="none" w:sz="0" w:space="0" w:color="auto"/>
        <w:left w:val="none" w:sz="0" w:space="0" w:color="auto"/>
        <w:bottom w:val="none" w:sz="0" w:space="0" w:color="auto"/>
        <w:right w:val="none" w:sz="0" w:space="0" w:color="auto"/>
      </w:divBdr>
    </w:div>
    <w:div w:id="1704210698">
      <w:bodyDiv w:val="1"/>
      <w:marLeft w:val="0"/>
      <w:marRight w:val="0"/>
      <w:marTop w:val="0"/>
      <w:marBottom w:val="0"/>
      <w:divBdr>
        <w:top w:val="none" w:sz="0" w:space="0" w:color="auto"/>
        <w:left w:val="none" w:sz="0" w:space="0" w:color="auto"/>
        <w:bottom w:val="none" w:sz="0" w:space="0" w:color="auto"/>
        <w:right w:val="none" w:sz="0" w:space="0" w:color="auto"/>
      </w:divBdr>
      <w:divsChild>
        <w:div w:id="1630353131">
          <w:marLeft w:val="0"/>
          <w:marRight w:val="0"/>
          <w:marTop w:val="34"/>
          <w:marBottom w:val="34"/>
          <w:divBdr>
            <w:top w:val="none" w:sz="0" w:space="0" w:color="auto"/>
            <w:left w:val="none" w:sz="0" w:space="0" w:color="auto"/>
            <w:bottom w:val="none" w:sz="0" w:space="0" w:color="auto"/>
            <w:right w:val="none" w:sz="0" w:space="0" w:color="auto"/>
          </w:divBdr>
        </w:div>
      </w:divsChild>
    </w:div>
    <w:div w:id="1722708336">
      <w:bodyDiv w:val="1"/>
      <w:marLeft w:val="0"/>
      <w:marRight w:val="0"/>
      <w:marTop w:val="0"/>
      <w:marBottom w:val="0"/>
      <w:divBdr>
        <w:top w:val="none" w:sz="0" w:space="0" w:color="auto"/>
        <w:left w:val="none" w:sz="0" w:space="0" w:color="auto"/>
        <w:bottom w:val="none" w:sz="0" w:space="0" w:color="auto"/>
        <w:right w:val="none" w:sz="0" w:space="0" w:color="auto"/>
      </w:divBdr>
    </w:div>
    <w:div w:id="1722947391">
      <w:bodyDiv w:val="1"/>
      <w:marLeft w:val="0"/>
      <w:marRight w:val="0"/>
      <w:marTop w:val="0"/>
      <w:marBottom w:val="0"/>
      <w:divBdr>
        <w:top w:val="none" w:sz="0" w:space="0" w:color="auto"/>
        <w:left w:val="none" w:sz="0" w:space="0" w:color="auto"/>
        <w:bottom w:val="none" w:sz="0" w:space="0" w:color="auto"/>
        <w:right w:val="none" w:sz="0" w:space="0" w:color="auto"/>
      </w:divBdr>
    </w:div>
    <w:div w:id="1726444629">
      <w:bodyDiv w:val="1"/>
      <w:marLeft w:val="0"/>
      <w:marRight w:val="0"/>
      <w:marTop w:val="0"/>
      <w:marBottom w:val="0"/>
      <w:divBdr>
        <w:top w:val="none" w:sz="0" w:space="0" w:color="auto"/>
        <w:left w:val="none" w:sz="0" w:space="0" w:color="auto"/>
        <w:bottom w:val="none" w:sz="0" w:space="0" w:color="auto"/>
        <w:right w:val="none" w:sz="0" w:space="0" w:color="auto"/>
      </w:divBdr>
    </w:div>
    <w:div w:id="1726955141">
      <w:bodyDiv w:val="1"/>
      <w:marLeft w:val="0"/>
      <w:marRight w:val="0"/>
      <w:marTop w:val="0"/>
      <w:marBottom w:val="0"/>
      <w:divBdr>
        <w:top w:val="none" w:sz="0" w:space="0" w:color="auto"/>
        <w:left w:val="none" w:sz="0" w:space="0" w:color="auto"/>
        <w:bottom w:val="none" w:sz="0" w:space="0" w:color="auto"/>
        <w:right w:val="none" w:sz="0" w:space="0" w:color="auto"/>
      </w:divBdr>
    </w:div>
    <w:div w:id="1728187825">
      <w:bodyDiv w:val="1"/>
      <w:marLeft w:val="0"/>
      <w:marRight w:val="0"/>
      <w:marTop w:val="0"/>
      <w:marBottom w:val="0"/>
      <w:divBdr>
        <w:top w:val="none" w:sz="0" w:space="0" w:color="auto"/>
        <w:left w:val="none" w:sz="0" w:space="0" w:color="auto"/>
        <w:bottom w:val="none" w:sz="0" w:space="0" w:color="auto"/>
        <w:right w:val="none" w:sz="0" w:space="0" w:color="auto"/>
      </w:divBdr>
      <w:divsChild>
        <w:div w:id="1358508135">
          <w:marLeft w:val="0"/>
          <w:marRight w:val="0"/>
          <w:marTop w:val="34"/>
          <w:marBottom w:val="34"/>
          <w:divBdr>
            <w:top w:val="none" w:sz="0" w:space="0" w:color="auto"/>
            <w:left w:val="none" w:sz="0" w:space="0" w:color="auto"/>
            <w:bottom w:val="none" w:sz="0" w:space="0" w:color="auto"/>
            <w:right w:val="none" w:sz="0" w:space="0" w:color="auto"/>
          </w:divBdr>
        </w:div>
      </w:divsChild>
    </w:div>
    <w:div w:id="1735930419">
      <w:bodyDiv w:val="1"/>
      <w:marLeft w:val="0"/>
      <w:marRight w:val="0"/>
      <w:marTop w:val="0"/>
      <w:marBottom w:val="0"/>
      <w:divBdr>
        <w:top w:val="none" w:sz="0" w:space="0" w:color="auto"/>
        <w:left w:val="none" w:sz="0" w:space="0" w:color="auto"/>
        <w:bottom w:val="none" w:sz="0" w:space="0" w:color="auto"/>
        <w:right w:val="none" w:sz="0" w:space="0" w:color="auto"/>
      </w:divBdr>
    </w:div>
    <w:div w:id="1743020043">
      <w:bodyDiv w:val="1"/>
      <w:marLeft w:val="0"/>
      <w:marRight w:val="0"/>
      <w:marTop w:val="0"/>
      <w:marBottom w:val="0"/>
      <w:divBdr>
        <w:top w:val="none" w:sz="0" w:space="0" w:color="auto"/>
        <w:left w:val="none" w:sz="0" w:space="0" w:color="auto"/>
        <w:bottom w:val="none" w:sz="0" w:space="0" w:color="auto"/>
        <w:right w:val="none" w:sz="0" w:space="0" w:color="auto"/>
      </w:divBdr>
    </w:div>
    <w:div w:id="1750615226">
      <w:bodyDiv w:val="1"/>
      <w:marLeft w:val="0"/>
      <w:marRight w:val="0"/>
      <w:marTop w:val="0"/>
      <w:marBottom w:val="0"/>
      <w:divBdr>
        <w:top w:val="none" w:sz="0" w:space="0" w:color="auto"/>
        <w:left w:val="none" w:sz="0" w:space="0" w:color="auto"/>
        <w:bottom w:val="none" w:sz="0" w:space="0" w:color="auto"/>
        <w:right w:val="none" w:sz="0" w:space="0" w:color="auto"/>
      </w:divBdr>
    </w:div>
    <w:div w:id="1751468466">
      <w:bodyDiv w:val="1"/>
      <w:marLeft w:val="0"/>
      <w:marRight w:val="0"/>
      <w:marTop w:val="0"/>
      <w:marBottom w:val="0"/>
      <w:divBdr>
        <w:top w:val="none" w:sz="0" w:space="0" w:color="auto"/>
        <w:left w:val="none" w:sz="0" w:space="0" w:color="auto"/>
        <w:bottom w:val="none" w:sz="0" w:space="0" w:color="auto"/>
        <w:right w:val="none" w:sz="0" w:space="0" w:color="auto"/>
      </w:divBdr>
    </w:div>
    <w:div w:id="1753307046">
      <w:bodyDiv w:val="1"/>
      <w:marLeft w:val="0"/>
      <w:marRight w:val="0"/>
      <w:marTop w:val="0"/>
      <w:marBottom w:val="0"/>
      <w:divBdr>
        <w:top w:val="none" w:sz="0" w:space="0" w:color="auto"/>
        <w:left w:val="none" w:sz="0" w:space="0" w:color="auto"/>
        <w:bottom w:val="none" w:sz="0" w:space="0" w:color="auto"/>
        <w:right w:val="none" w:sz="0" w:space="0" w:color="auto"/>
      </w:divBdr>
    </w:div>
    <w:div w:id="1757246689">
      <w:bodyDiv w:val="1"/>
      <w:marLeft w:val="0"/>
      <w:marRight w:val="0"/>
      <w:marTop w:val="0"/>
      <w:marBottom w:val="0"/>
      <w:divBdr>
        <w:top w:val="none" w:sz="0" w:space="0" w:color="auto"/>
        <w:left w:val="none" w:sz="0" w:space="0" w:color="auto"/>
        <w:bottom w:val="none" w:sz="0" w:space="0" w:color="auto"/>
        <w:right w:val="none" w:sz="0" w:space="0" w:color="auto"/>
      </w:divBdr>
    </w:div>
    <w:div w:id="1759328223">
      <w:bodyDiv w:val="1"/>
      <w:marLeft w:val="0"/>
      <w:marRight w:val="0"/>
      <w:marTop w:val="0"/>
      <w:marBottom w:val="0"/>
      <w:divBdr>
        <w:top w:val="none" w:sz="0" w:space="0" w:color="auto"/>
        <w:left w:val="none" w:sz="0" w:space="0" w:color="auto"/>
        <w:bottom w:val="none" w:sz="0" w:space="0" w:color="auto"/>
        <w:right w:val="none" w:sz="0" w:space="0" w:color="auto"/>
      </w:divBdr>
    </w:div>
    <w:div w:id="1763212525">
      <w:bodyDiv w:val="1"/>
      <w:marLeft w:val="0"/>
      <w:marRight w:val="0"/>
      <w:marTop w:val="0"/>
      <w:marBottom w:val="0"/>
      <w:divBdr>
        <w:top w:val="none" w:sz="0" w:space="0" w:color="auto"/>
        <w:left w:val="none" w:sz="0" w:space="0" w:color="auto"/>
        <w:bottom w:val="none" w:sz="0" w:space="0" w:color="auto"/>
        <w:right w:val="none" w:sz="0" w:space="0" w:color="auto"/>
      </w:divBdr>
    </w:div>
    <w:div w:id="1774015375">
      <w:bodyDiv w:val="1"/>
      <w:marLeft w:val="0"/>
      <w:marRight w:val="0"/>
      <w:marTop w:val="0"/>
      <w:marBottom w:val="0"/>
      <w:divBdr>
        <w:top w:val="none" w:sz="0" w:space="0" w:color="auto"/>
        <w:left w:val="none" w:sz="0" w:space="0" w:color="auto"/>
        <w:bottom w:val="none" w:sz="0" w:space="0" w:color="auto"/>
        <w:right w:val="none" w:sz="0" w:space="0" w:color="auto"/>
      </w:divBdr>
    </w:div>
    <w:div w:id="1774588274">
      <w:bodyDiv w:val="1"/>
      <w:marLeft w:val="0"/>
      <w:marRight w:val="0"/>
      <w:marTop w:val="0"/>
      <w:marBottom w:val="0"/>
      <w:divBdr>
        <w:top w:val="none" w:sz="0" w:space="0" w:color="auto"/>
        <w:left w:val="none" w:sz="0" w:space="0" w:color="auto"/>
        <w:bottom w:val="none" w:sz="0" w:space="0" w:color="auto"/>
        <w:right w:val="none" w:sz="0" w:space="0" w:color="auto"/>
      </w:divBdr>
    </w:div>
    <w:div w:id="1775242321">
      <w:bodyDiv w:val="1"/>
      <w:marLeft w:val="0"/>
      <w:marRight w:val="0"/>
      <w:marTop w:val="0"/>
      <w:marBottom w:val="0"/>
      <w:divBdr>
        <w:top w:val="none" w:sz="0" w:space="0" w:color="auto"/>
        <w:left w:val="none" w:sz="0" w:space="0" w:color="auto"/>
        <w:bottom w:val="none" w:sz="0" w:space="0" w:color="auto"/>
        <w:right w:val="none" w:sz="0" w:space="0" w:color="auto"/>
      </w:divBdr>
    </w:div>
    <w:div w:id="1786848566">
      <w:bodyDiv w:val="1"/>
      <w:marLeft w:val="0"/>
      <w:marRight w:val="0"/>
      <w:marTop w:val="0"/>
      <w:marBottom w:val="0"/>
      <w:divBdr>
        <w:top w:val="none" w:sz="0" w:space="0" w:color="auto"/>
        <w:left w:val="none" w:sz="0" w:space="0" w:color="auto"/>
        <w:bottom w:val="none" w:sz="0" w:space="0" w:color="auto"/>
        <w:right w:val="none" w:sz="0" w:space="0" w:color="auto"/>
      </w:divBdr>
    </w:div>
    <w:div w:id="1788885403">
      <w:bodyDiv w:val="1"/>
      <w:marLeft w:val="0"/>
      <w:marRight w:val="0"/>
      <w:marTop w:val="0"/>
      <w:marBottom w:val="0"/>
      <w:divBdr>
        <w:top w:val="none" w:sz="0" w:space="0" w:color="auto"/>
        <w:left w:val="none" w:sz="0" w:space="0" w:color="auto"/>
        <w:bottom w:val="none" w:sz="0" w:space="0" w:color="auto"/>
        <w:right w:val="none" w:sz="0" w:space="0" w:color="auto"/>
      </w:divBdr>
    </w:div>
    <w:div w:id="1795370528">
      <w:bodyDiv w:val="1"/>
      <w:marLeft w:val="0"/>
      <w:marRight w:val="0"/>
      <w:marTop w:val="0"/>
      <w:marBottom w:val="0"/>
      <w:divBdr>
        <w:top w:val="none" w:sz="0" w:space="0" w:color="auto"/>
        <w:left w:val="none" w:sz="0" w:space="0" w:color="auto"/>
        <w:bottom w:val="none" w:sz="0" w:space="0" w:color="auto"/>
        <w:right w:val="none" w:sz="0" w:space="0" w:color="auto"/>
      </w:divBdr>
    </w:div>
    <w:div w:id="1798835085">
      <w:bodyDiv w:val="1"/>
      <w:marLeft w:val="0"/>
      <w:marRight w:val="0"/>
      <w:marTop w:val="0"/>
      <w:marBottom w:val="0"/>
      <w:divBdr>
        <w:top w:val="none" w:sz="0" w:space="0" w:color="auto"/>
        <w:left w:val="none" w:sz="0" w:space="0" w:color="auto"/>
        <w:bottom w:val="none" w:sz="0" w:space="0" w:color="auto"/>
        <w:right w:val="none" w:sz="0" w:space="0" w:color="auto"/>
      </w:divBdr>
    </w:div>
    <w:div w:id="1802263261">
      <w:bodyDiv w:val="1"/>
      <w:marLeft w:val="0"/>
      <w:marRight w:val="0"/>
      <w:marTop w:val="0"/>
      <w:marBottom w:val="0"/>
      <w:divBdr>
        <w:top w:val="none" w:sz="0" w:space="0" w:color="auto"/>
        <w:left w:val="none" w:sz="0" w:space="0" w:color="auto"/>
        <w:bottom w:val="none" w:sz="0" w:space="0" w:color="auto"/>
        <w:right w:val="none" w:sz="0" w:space="0" w:color="auto"/>
      </w:divBdr>
    </w:div>
    <w:div w:id="1804538898">
      <w:bodyDiv w:val="1"/>
      <w:marLeft w:val="0"/>
      <w:marRight w:val="0"/>
      <w:marTop w:val="0"/>
      <w:marBottom w:val="0"/>
      <w:divBdr>
        <w:top w:val="none" w:sz="0" w:space="0" w:color="auto"/>
        <w:left w:val="none" w:sz="0" w:space="0" w:color="auto"/>
        <w:bottom w:val="none" w:sz="0" w:space="0" w:color="auto"/>
        <w:right w:val="none" w:sz="0" w:space="0" w:color="auto"/>
      </w:divBdr>
    </w:div>
    <w:div w:id="1809587270">
      <w:bodyDiv w:val="1"/>
      <w:marLeft w:val="0"/>
      <w:marRight w:val="0"/>
      <w:marTop w:val="0"/>
      <w:marBottom w:val="0"/>
      <w:divBdr>
        <w:top w:val="none" w:sz="0" w:space="0" w:color="auto"/>
        <w:left w:val="none" w:sz="0" w:space="0" w:color="auto"/>
        <w:bottom w:val="none" w:sz="0" w:space="0" w:color="auto"/>
        <w:right w:val="none" w:sz="0" w:space="0" w:color="auto"/>
      </w:divBdr>
    </w:div>
    <w:div w:id="1831821797">
      <w:bodyDiv w:val="1"/>
      <w:marLeft w:val="0"/>
      <w:marRight w:val="0"/>
      <w:marTop w:val="0"/>
      <w:marBottom w:val="0"/>
      <w:divBdr>
        <w:top w:val="none" w:sz="0" w:space="0" w:color="auto"/>
        <w:left w:val="none" w:sz="0" w:space="0" w:color="auto"/>
        <w:bottom w:val="none" w:sz="0" w:space="0" w:color="auto"/>
        <w:right w:val="none" w:sz="0" w:space="0" w:color="auto"/>
      </w:divBdr>
    </w:div>
    <w:div w:id="1835993194">
      <w:bodyDiv w:val="1"/>
      <w:marLeft w:val="0"/>
      <w:marRight w:val="0"/>
      <w:marTop w:val="0"/>
      <w:marBottom w:val="0"/>
      <w:divBdr>
        <w:top w:val="none" w:sz="0" w:space="0" w:color="auto"/>
        <w:left w:val="none" w:sz="0" w:space="0" w:color="auto"/>
        <w:bottom w:val="none" w:sz="0" w:space="0" w:color="auto"/>
        <w:right w:val="none" w:sz="0" w:space="0" w:color="auto"/>
      </w:divBdr>
      <w:divsChild>
        <w:div w:id="66660017">
          <w:marLeft w:val="0"/>
          <w:marRight w:val="0"/>
          <w:marTop w:val="34"/>
          <w:marBottom w:val="34"/>
          <w:divBdr>
            <w:top w:val="none" w:sz="0" w:space="0" w:color="auto"/>
            <w:left w:val="none" w:sz="0" w:space="0" w:color="auto"/>
            <w:bottom w:val="none" w:sz="0" w:space="0" w:color="auto"/>
            <w:right w:val="none" w:sz="0" w:space="0" w:color="auto"/>
          </w:divBdr>
          <w:divsChild>
            <w:div w:id="410081283">
              <w:marLeft w:val="0"/>
              <w:marRight w:val="0"/>
              <w:marTop w:val="0"/>
              <w:marBottom w:val="0"/>
              <w:divBdr>
                <w:top w:val="none" w:sz="0" w:space="0" w:color="auto"/>
                <w:left w:val="none" w:sz="0" w:space="0" w:color="auto"/>
                <w:bottom w:val="none" w:sz="0" w:space="0" w:color="auto"/>
                <w:right w:val="none" w:sz="0" w:space="0" w:color="auto"/>
              </w:divBdr>
            </w:div>
            <w:div w:id="1850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57328">
      <w:bodyDiv w:val="1"/>
      <w:marLeft w:val="0"/>
      <w:marRight w:val="0"/>
      <w:marTop w:val="0"/>
      <w:marBottom w:val="0"/>
      <w:divBdr>
        <w:top w:val="none" w:sz="0" w:space="0" w:color="auto"/>
        <w:left w:val="none" w:sz="0" w:space="0" w:color="auto"/>
        <w:bottom w:val="none" w:sz="0" w:space="0" w:color="auto"/>
        <w:right w:val="none" w:sz="0" w:space="0" w:color="auto"/>
      </w:divBdr>
      <w:divsChild>
        <w:div w:id="2131166118">
          <w:marLeft w:val="0"/>
          <w:marRight w:val="0"/>
          <w:marTop w:val="34"/>
          <w:marBottom w:val="34"/>
          <w:divBdr>
            <w:top w:val="none" w:sz="0" w:space="0" w:color="auto"/>
            <w:left w:val="none" w:sz="0" w:space="0" w:color="auto"/>
            <w:bottom w:val="none" w:sz="0" w:space="0" w:color="auto"/>
            <w:right w:val="none" w:sz="0" w:space="0" w:color="auto"/>
          </w:divBdr>
        </w:div>
      </w:divsChild>
    </w:div>
    <w:div w:id="1845708566">
      <w:bodyDiv w:val="1"/>
      <w:marLeft w:val="0"/>
      <w:marRight w:val="0"/>
      <w:marTop w:val="0"/>
      <w:marBottom w:val="0"/>
      <w:divBdr>
        <w:top w:val="none" w:sz="0" w:space="0" w:color="auto"/>
        <w:left w:val="none" w:sz="0" w:space="0" w:color="auto"/>
        <w:bottom w:val="none" w:sz="0" w:space="0" w:color="auto"/>
        <w:right w:val="none" w:sz="0" w:space="0" w:color="auto"/>
      </w:divBdr>
    </w:div>
    <w:div w:id="1850293534">
      <w:bodyDiv w:val="1"/>
      <w:marLeft w:val="0"/>
      <w:marRight w:val="0"/>
      <w:marTop w:val="0"/>
      <w:marBottom w:val="0"/>
      <w:divBdr>
        <w:top w:val="none" w:sz="0" w:space="0" w:color="auto"/>
        <w:left w:val="none" w:sz="0" w:space="0" w:color="auto"/>
        <w:bottom w:val="none" w:sz="0" w:space="0" w:color="auto"/>
        <w:right w:val="none" w:sz="0" w:space="0" w:color="auto"/>
      </w:divBdr>
    </w:div>
    <w:div w:id="1851721315">
      <w:bodyDiv w:val="1"/>
      <w:marLeft w:val="0"/>
      <w:marRight w:val="0"/>
      <w:marTop w:val="0"/>
      <w:marBottom w:val="0"/>
      <w:divBdr>
        <w:top w:val="none" w:sz="0" w:space="0" w:color="auto"/>
        <w:left w:val="none" w:sz="0" w:space="0" w:color="auto"/>
        <w:bottom w:val="none" w:sz="0" w:space="0" w:color="auto"/>
        <w:right w:val="none" w:sz="0" w:space="0" w:color="auto"/>
      </w:divBdr>
    </w:div>
    <w:div w:id="1852914443">
      <w:bodyDiv w:val="1"/>
      <w:marLeft w:val="0"/>
      <w:marRight w:val="0"/>
      <w:marTop w:val="0"/>
      <w:marBottom w:val="0"/>
      <w:divBdr>
        <w:top w:val="none" w:sz="0" w:space="0" w:color="auto"/>
        <w:left w:val="none" w:sz="0" w:space="0" w:color="auto"/>
        <w:bottom w:val="none" w:sz="0" w:space="0" w:color="auto"/>
        <w:right w:val="none" w:sz="0" w:space="0" w:color="auto"/>
      </w:divBdr>
    </w:div>
    <w:div w:id="1855803743">
      <w:bodyDiv w:val="1"/>
      <w:marLeft w:val="0"/>
      <w:marRight w:val="0"/>
      <w:marTop w:val="0"/>
      <w:marBottom w:val="0"/>
      <w:divBdr>
        <w:top w:val="none" w:sz="0" w:space="0" w:color="auto"/>
        <w:left w:val="none" w:sz="0" w:space="0" w:color="auto"/>
        <w:bottom w:val="none" w:sz="0" w:space="0" w:color="auto"/>
        <w:right w:val="none" w:sz="0" w:space="0" w:color="auto"/>
      </w:divBdr>
    </w:div>
    <w:div w:id="1857376984">
      <w:bodyDiv w:val="1"/>
      <w:marLeft w:val="0"/>
      <w:marRight w:val="0"/>
      <w:marTop w:val="0"/>
      <w:marBottom w:val="0"/>
      <w:divBdr>
        <w:top w:val="none" w:sz="0" w:space="0" w:color="auto"/>
        <w:left w:val="none" w:sz="0" w:space="0" w:color="auto"/>
        <w:bottom w:val="none" w:sz="0" w:space="0" w:color="auto"/>
        <w:right w:val="none" w:sz="0" w:space="0" w:color="auto"/>
      </w:divBdr>
    </w:div>
    <w:div w:id="1863279313">
      <w:bodyDiv w:val="1"/>
      <w:marLeft w:val="0"/>
      <w:marRight w:val="0"/>
      <w:marTop w:val="0"/>
      <w:marBottom w:val="0"/>
      <w:divBdr>
        <w:top w:val="none" w:sz="0" w:space="0" w:color="auto"/>
        <w:left w:val="none" w:sz="0" w:space="0" w:color="auto"/>
        <w:bottom w:val="none" w:sz="0" w:space="0" w:color="auto"/>
        <w:right w:val="none" w:sz="0" w:space="0" w:color="auto"/>
      </w:divBdr>
    </w:div>
    <w:div w:id="1866794887">
      <w:bodyDiv w:val="1"/>
      <w:marLeft w:val="0"/>
      <w:marRight w:val="0"/>
      <w:marTop w:val="0"/>
      <w:marBottom w:val="0"/>
      <w:divBdr>
        <w:top w:val="none" w:sz="0" w:space="0" w:color="auto"/>
        <w:left w:val="none" w:sz="0" w:space="0" w:color="auto"/>
        <w:bottom w:val="none" w:sz="0" w:space="0" w:color="auto"/>
        <w:right w:val="none" w:sz="0" w:space="0" w:color="auto"/>
      </w:divBdr>
    </w:div>
    <w:div w:id="1885755543">
      <w:bodyDiv w:val="1"/>
      <w:marLeft w:val="0"/>
      <w:marRight w:val="0"/>
      <w:marTop w:val="0"/>
      <w:marBottom w:val="0"/>
      <w:divBdr>
        <w:top w:val="none" w:sz="0" w:space="0" w:color="auto"/>
        <w:left w:val="none" w:sz="0" w:space="0" w:color="auto"/>
        <w:bottom w:val="none" w:sz="0" w:space="0" w:color="auto"/>
        <w:right w:val="none" w:sz="0" w:space="0" w:color="auto"/>
      </w:divBdr>
    </w:div>
    <w:div w:id="1890871572">
      <w:bodyDiv w:val="1"/>
      <w:marLeft w:val="0"/>
      <w:marRight w:val="0"/>
      <w:marTop w:val="0"/>
      <w:marBottom w:val="0"/>
      <w:divBdr>
        <w:top w:val="none" w:sz="0" w:space="0" w:color="auto"/>
        <w:left w:val="none" w:sz="0" w:space="0" w:color="auto"/>
        <w:bottom w:val="none" w:sz="0" w:space="0" w:color="auto"/>
        <w:right w:val="none" w:sz="0" w:space="0" w:color="auto"/>
      </w:divBdr>
      <w:divsChild>
        <w:div w:id="2018144924">
          <w:marLeft w:val="0"/>
          <w:marRight w:val="0"/>
          <w:marTop w:val="34"/>
          <w:marBottom w:val="34"/>
          <w:divBdr>
            <w:top w:val="none" w:sz="0" w:space="0" w:color="auto"/>
            <w:left w:val="none" w:sz="0" w:space="0" w:color="auto"/>
            <w:bottom w:val="none" w:sz="0" w:space="0" w:color="auto"/>
            <w:right w:val="none" w:sz="0" w:space="0" w:color="auto"/>
          </w:divBdr>
        </w:div>
      </w:divsChild>
    </w:div>
    <w:div w:id="1896307843">
      <w:bodyDiv w:val="1"/>
      <w:marLeft w:val="0"/>
      <w:marRight w:val="0"/>
      <w:marTop w:val="0"/>
      <w:marBottom w:val="0"/>
      <w:divBdr>
        <w:top w:val="none" w:sz="0" w:space="0" w:color="auto"/>
        <w:left w:val="none" w:sz="0" w:space="0" w:color="auto"/>
        <w:bottom w:val="none" w:sz="0" w:space="0" w:color="auto"/>
        <w:right w:val="none" w:sz="0" w:space="0" w:color="auto"/>
      </w:divBdr>
    </w:div>
    <w:div w:id="1897669245">
      <w:bodyDiv w:val="1"/>
      <w:marLeft w:val="0"/>
      <w:marRight w:val="0"/>
      <w:marTop w:val="0"/>
      <w:marBottom w:val="0"/>
      <w:divBdr>
        <w:top w:val="none" w:sz="0" w:space="0" w:color="auto"/>
        <w:left w:val="none" w:sz="0" w:space="0" w:color="auto"/>
        <w:bottom w:val="none" w:sz="0" w:space="0" w:color="auto"/>
        <w:right w:val="none" w:sz="0" w:space="0" w:color="auto"/>
      </w:divBdr>
    </w:div>
    <w:div w:id="1916089068">
      <w:bodyDiv w:val="1"/>
      <w:marLeft w:val="0"/>
      <w:marRight w:val="0"/>
      <w:marTop w:val="0"/>
      <w:marBottom w:val="0"/>
      <w:divBdr>
        <w:top w:val="none" w:sz="0" w:space="0" w:color="auto"/>
        <w:left w:val="none" w:sz="0" w:space="0" w:color="auto"/>
        <w:bottom w:val="none" w:sz="0" w:space="0" w:color="auto"/>
        <w:right w:val="none" w:sz="0" w:space="0" w:color="auto"/>
      </w:divBdr>
    </w:div>
    <w:div w:id="1918439663">
      <w:bodyDiv w:val="1"/>
      <w:marLeft w:val="0"/>
      <w:marRight w:val="0"/>
      <w:marTop w:val="0"/>
      <w:marBottom w:val="0"/>
      <w:divBdr>
        <w:top w:val="none" w:sz="0" w:space="0" w:color="auto"/>
        <w:left w:val="none" w:sz="0" w:space="0" w:color="auto"/>
        <w:bottom w:val="none" w:sz="0" w:space="0" w:color="auto"/>
        <w:right w:val="none" w:sz="0" w:space="0" w:color="auto"/>
      </w:divBdr>
    </w:div>
    <w:div w:id="1926449582">
      <w:bodyDiv w:val="1"/>
      <w:marLeft w:val="0"/>
      <w:marRight w:val="0"/>
      <w:marTop w:val="0"/>
      <w:marBottom w:val="0"/>
      <w:divBdr>
        <w:top w:val="none" w:sz="0" w:space="0" w:color="auto"/>
        <w:left w:val="none" w:sz="0" w:space="0" w:color="auto"/>
        <w:bottom w:val="none" w:sz="0" w:space="0" w:color="auto"/>
        <w:right w:val="none" w:sz="0" w:space="0" w:color="auto"/>
      </w:divBdr>
    </w:div>
    <w:div w:id="1927156192">
      <w:bodyDiv w:val="1"/>
      <w:marLeft w:val="0"/>
      <w:marRight w:val="0"/>
      <w:marTop w:val="0"/>
      <w:marBottom w:val="0"/>
      <w:divBdr>
        <w:top w:val="none" w:sz="0" w:space="0" w:color="auto"/>
        <w:left w:val="none" w:sz="0" w:space="0" w:color="auto"/>
        <w:bottom w:val="none" w:sz="0" w:space="0" w:color="auto"/>
        <w:right w:val="none" w:sz="0" w:space="0" w:color="auto"/>
      </w:divBdr>
    </w:div>
    <w:div w:id="1936790637">
      <w:bodyDiv w:val="1"/>
      <w:marLeft w:val="0"/>
      <w:marRight w:val="0"/>
      <w:marTop w:val="0"/>
      <w:marBottom w:val="0"/>
      <w:divBdr>
        <w:top w:val="none" w:sz="0" w:space="0" w:color="auto"/>
        <w:left w:val="none" w:sz="0" w:space="0" w:color="auto"/>
        <w:bottom w:val="none" w:sz="0" w:space="0" w:color="auto"/>
        <w:right w:val="none" w:sz="0" w:space="0" w:color="auto"/>
      </w:divBdr>
    </w:div>
    <w:div w:id="1940870326">
      <w:bodyDiv w:val="1"/>
      <w:marLeft w:val="0"/>
      <w:marRight w:val="0"/>
      <w:marTop w:val="0"/>
      <w:marBottom w:val="0"/>
      <w:divBdr>
        <w:top w:val="none" w:sz="0" w:space="0" w:color="auto"/>
        <w:left w:val="none" w:sz="0" w:space="0" w:color="auto"/>
        <w:bottom w:val="none" w:sz="0" w:space="0" w:color="auto"/>
        <w:right w:val="none" w:sz="0" w:space="0" w:color="auto"/>
      </w:divBdr>
    </w:div>
    <w:div w:id="1962569088">
      <w:bodyDiv w:val="1"/>
      <w:marLeft w:val="0"/>
      <w:marRight w:val="0"/>
      <w:marTop w:val="0"/>
      <w:marBottom w:val="0"/>
      <w:divBdr>
        <w:top w:val="none" w:sz="0" w:space="0" w:color="auto"/>
        <w:left w:val="none" w:sz="0" w:space="0" w:color="auto"/>
        <w:bottom w:val="none" w:sz="0" w:space="0" w:color="auto"/>
        <w:right w:val="none" w:sz="0" w:space="0" w:color="auto"/>
      </w:divBdr>
    </w:div>
    <w:div w:id="1977222989">
      <w:bodyDiv w:val="1"/>
      <w:marLeft w:val="0"/>
      <w:marRight w:val="0"/>
      <w:marTop w:val="0"/>
      <w:marBottom w:val="0"/>
      <w:divBdr>
        <w:top w:val="none" w:sz="0" w:space="0" w:color="auto"/>
        <w:left w:val="none" w:sz="0" w:space="0" w:color="auto"/>
        <w:bottom w:val="none" w:sz="0" w:space="0" w:color="auto"/>
        <w:right w:val="none" w:sz="0" w:space="0" w:color="auto"/>
      </w:divBdr>
    </w:div>
    <w:div w:id="1981885666">
      <w:bodyDiv w:val="1"/>
      <w:marLeft w:val="0"/>
      <w:marRight w:val="0"/>
      <w:marTop w:val="0"/>
      <w:marBottom w:val="0"/>
      <w:divBdr>
        <w:top w:val="none" w:sz="0" w:space="0" w:color="auto"/>
        <w:left w:val="none" w:sz="0" w:space="0" w:color="auto"/>
        <w:bottom w:val="none" w:sz="0" w:space="0" w:color="auto"/>
        <w:right w:val="none" w:sz="0" w:space="0" w:color="auto"/>
      </w:divBdr>
    </w:div>
    <w:div w:id="1981958525">
      <w:bodyDiv w:val="1"/>
      <w:marLeft w:val="0"/>
      <w:marRight w:val="0"/>
      <w:marTop w:val="0"/>
      <w:marBottom w:val="0"/>
      <w:divBdr>
        <w:top w:val="none" w:sz="0" w:space="0" w:color="auto"/>
        <w:left w:val="none" w:sz="0" w:space="0" w:color="auto"/>
        <w:bottom w:val="none" w:sz="0" w:space="0" w:color="auto"/>
        <w:right w:val="none" w:sz="0" w:space="0" w:color="auto"/>
      </w:divBdr>
    </w:div>
    <w:div w:id="1985426785">
      <w:bodyDiv w:val="1"/>
      <w:marLeft w:val="0"/>
      <w:marRight w:val="0"/>
      <w:marTop w:val="0"/>
      <w:marBottom w:val="0"/>
      <w:divBdr>
        <w:top w:val="none" w:sz="0" w:space="0" w:color="auto"/>
        <w:left w:val="none" w:sz="0" w:space="0" w:color="auto"/>
        <w:bottom w:val="none" w:sz="0" w:space="0" w:color="auto"/>
        <w:right w:val="none" w:sz="0" w:space="0" w:color="auto"/>
      </w:divBdr>
    </w:div>
    <w:div w:id="1989087237">
      <w:bodyDiv w:val="1"/>
      <w:marLeft w:val="0"/>
      <w:marRight w:val="0"/>
      <w:marTop w:val="0"/>
      <w:marBottom w:val="0"/>
      <w:divBdr>
        <w:top w:val="none" w:sz="0" w:space="0" w:color="auto"/>
        <w:left w:val="none" w:sz="0" w:space="0" w:color="auto"/>
        <w:bottom w:val="none" w:sz="0" w:space="0" w:color="auto"/>
        <w:right w:val="none" w:sz="0" w:space="0" w:color="auto"/>
      </w:divBdr>
    </w:div>
    <w:div w:id="1998730139">
      <w:bodyDiv w:val="1"/>
      <w:marLeft w:val="0"/>
      <w:marRight w:val="0"/>
      <w:marTop w:val="0"/>
      <w:marBottom w:val="0"/>
      <w:divBdr>
        <w:top w:val="none" w:sz="0" w:space="0" w:color="auto"/>
        <w:left w:val="none" w:sz="0" w:space="0" w:color="auto"/>
        <w:bottom w:val="none" w:sz="0" w:space="0" w:color="auto"/>
        <w:right w:val="none" w:sz="0" w:space="0" w:color="auto"/>
      </w:divBdr>
    </w:div>
    <w:div w:id="2009016573">
      <w:bodyDiv w:val="1"/>
      <w:marLeft w:val="0"/>
      <w:marRight w:val="0"/>
      <w:marTop w:val="0"/>
      <w:marBottom w:val="0"/>
      <w:divBdr>
        <w:top w:val="none" w:sz="0" w:space="0" w:color="auto"/>
        <w:left w:val="none" w:sz="0" w:space="0" w:color="auto"/>
        <w:bottom w:val="none" w:sz="0" w:space="0" w:color="auto"/>
        <w:right w:val="none" w:sz="0" w:space="0" w:color="auto"/>
      </w:divBdr>
    </w:div>
    <w:div w:id="2014143304">
      <w:bodyDiv w:val="1"/>
      <w:marLeft w:val="0"/>
      <w:marRight w:val="0"/>
      <w:marTop w:val="0"/>
      <w:marBottom w:val="0"/>
      <w:divBdr>
        <w:top w:val="none" w:sz="0" w:space="0" w:color="auto"/>
        <w:left w:val="none" w:sz="0" w:space="0" w:color="auto"/>
        <w:bottom w:val="none" w:sz="0" w:space="0" w:color="auto"/>
        <w:right w:val="none" w:sz="0" w:space="0" w:color="auto"/>
      </w:divBdr>
    </w:div>
    <w:div w:id="2014917910">
      <w:bodyDiv w:val="1"/>
      <w:marLeft w:val="0"/>
      <w:marRight w:val="0"/>
      <w:marTop w:val="0"/>
      <w:marBottom w:val="0"/>
      <w:divBdr>
        <w:top w:val="none" w:sz="0" w:space="0" w:color="auto"/>
        <w:left w:val="none" w:sz="0" w:space="0" w:color="auto"/>
        <w:bottom w:val="none" w:sz="0" w:space="0" w:color="auto"/>
        <w:right w:val="none" w:sz="0" w:space="0" w:color="auto"/>
      </w:divBdr>
    </w:div>
    <w:div w:id="2033139874">
      <w:bodyDiv w:val="1"/>
      <w:marLeft w:val="0"/>
      <w:marRight w:val="0"/>
      <w:marTop w:val="0"/>
      <w:marBottom w:val="0"/>
      <w:divBdr>
        <w:top w:val="none" w:sz="0" w:space="0" w:color="auto"/>
        <w:left w:val="none" w:sz="0" w:space="0" w:color="auto"/>
        <w:bottom w:val="none" w:sz="0" w:space="0" w:color="auto"/>
        <w:right w:val="none" w:sz="0" w:space="0" w:color="auto"/>
      </w:divBdr>
    </w:div>
    <w:div w:id="2036038108">
      <w:bodyDiv w:val="1"/>
      <w:marLeft w:val="0"/>
      <w:marRight w:val="0"/>
      <w:marTop w:val="0"/>
      <w:marBottom w:val="0"/>
      <w:divBdr>
        <w:top w:val="none" w:sz="0" w:space="0" w:color="auto"/>
        <w:left w:val="none" w:sz="0" w:space="0" w:color="auto"/>
        <w:bottom w:val="none" w:sz="0" w:space="0" w:color="auto"/>
        <w:right w:val="none" w:sz="0" w:space="0" w:color="auto"/>
      </w:divBdr>
    </w:div>
    <w:div w:id="2037848449">
      <w:bodyDiv w:val="1"/>
      <w:marLeft w:val="0"/>
      <w:marRight w:val="0"/>
      <w:marTop w:val="0"/>
      <w:marBottom w:val="0"/>
      <w:divBdr>
        <w:top w:val="none" w:sz="0" w:space="0" w:color="auto"/>
        <w:left w:val="none" w:sz="0" w:space="0" w:color="auto"/>
        <w:bottom w:val="none" w:sz="0" w:space="0" w:color="auto"/>
        <w:right w:val="none" w:sz="0" w:space="0" w:color="auto"/>
      </w:divBdr>
    </w:div>
    <w:div w:id="2048527743">
      <w:bodyDiv w:val="1"/>
      <w:marLeft w:val="0"/>
      <w:marRight w:val="0"/>
      <w:marTop w:val="0"/>
      <w:marBottom w:val="0"/>
      <w:divBdr>
        <w:top w:val="none" w:sz="0" w:space="0" w:color="auto"/>
        <w:left w:val="none" w:sz="0" w:space="0" w:color="auto"/>
        <w:bottom w:val="none" w:sz="0" w:space="0" w:color="auto"/>
        <w:right w:val="none" w:sz="0" w:space="0" w:color="auto"/>
      </w:divBdr>
    </w:div>
    <w:div w:id="2048528492">
      <w:bodyDiv w:val="1"/>
      <w:marLeft w:val="0"/>
      <w:marRight w:val="0"/>
      <w:marTop w:val="0"/>
      <w:marBottom w:val="0"/>
      <w:divBdr>
        <w:top w:val="none" w:sz="0" w:space="0" w:color="auto"/>
        <w:left w:val="none" w:sz="0" w:space="0" w:color="auto"/>
        <w:bottom w:val="none" w:sz="0" w:space="0" w:color="auto"/>
        <w:right w:val="none" w:sz="0" w:space="0" w:color="auto"/>
      </w:divBdr>
    </w:div>
    <w:div w:id="2050106955">
      <w:bodyDiv w:val="1"/>
      <w:marLeft w:val="0"/>
      <w:marRight w:val="0"/>
      <w:marTop w:val="0"/>
      <w:marBottom w:val="0"/>
      <w:divBdr>
        <w:top w:val="none" w:sz="0" w:space="0" w:color="auto"/>
        <w:left w:val="none" w:sz="0" w:space="0" w:color="auto"/>
        <w:bottom w:val="none" w:sz="0" w:space="0" w:color="auto"/>
        <w:right w:val="none" w:sz="0" w:space="0" w:color="auto"/>
      </w:divBdr>
    </w:div>
    <w:div w:id="2055806001">
      <w:bodyDiv w:val="1"/>
      <w:marLeft w:val="0"/>
      <w:marRight w:val="0"/>
      <w:marTop w:val="0"/>
      <w:marBottom w:val="0"/>
      <w:divBdr>
        <w:top w:val="none" w:sz="0" w:space="0" w:color="auto"/>
        <w:left w:val="none" w:sz="0" w:space="0" w:color="auto"/>
        <w:bottom w:val="none" w:sz="0" w:space="0" w:color="auto"/>
        <w:right w:val="none" w:sz="0" w:space="0" w:color="auto"/>
      </w:divBdr>
    </w:div>
    <w:div w:id="2067945546">
      <w:bodyDiv w:val="1"/>
      <w:marLeft w:val="0"/>
      <w:marRight w:val="0"/>
      <w:marTop w:val="0"/>
      <w:marBottom w:val="0"/>
      <w:divBdr>
        <w:top w:val="none" w:sz="0" w:space="0" w:color="auto"/>
        <w:left w:val="none" w:sz="0" w:space="0" w:color="auto"/>
        <w:bottom w:val="none" w:sz="0" w:space="0" w:color="auto"/>
        <w:right w:val="none" w:sz="0" w:space="0" w:color="auto"/>
      </w:divBdr>
    </w:div>
    <w:div w:id="2084066535">
      <w:bodyDiv w:val="1"/>
      <w:marLeft w:val="0"/>
      <w:marRight w:val="0"/>
      <w:marTop w:val="0"/>
      <w:marBottom w:val="0"/>
      <w:divBdr>
        <w:top w:val="none" w:sz="0" w:space="0" w:color="auto"/>
        <w:left w:val="none" w:sz="0" w:space="0" w:color="auto"/>
        <w:bottom w:val="none" w:sz="0" w:space="0" w:color="auto"/>
        <w:right w:val="none" w:sz="0" w:space="0" w:color="auto"/>
      </w:divBdr>
    </w:div>
    <w:div w:id="2089494166">
      <w:bodyDiv w:val="1"/>
      <w:marLeft w:val="0"/>
      <w:marRight w:val="0"/>
      <w:marTop w:val="0"/>
      <w:marBottom w:val="0"/>
      <w:divBdr>
        <w:top w:val="none" w:sz="0" w:space="0" w:color="auto"/>
        <w:left w:val="none" w:sz="0" w:space="0" w:color="auto"/>
        <w:bottom w:val="none" w:sz="0" w:space="0" w:color="auto"/>
        <w:right w:val="none" w:sz="0" w:space="0" w:color="auto"/>
      </w:divBdr>
    </w:div>
    <w:div w:id="2095348211">
      <w:bodyDiv w:val="1"/>
      <w:marLeft w:val="0"/>
      <w:marRight w:val="0"/>
      <w:marTop w:val="0"/>
      <w:marBottom w:val="0"/>
      <w:divBdr>
        <w:top w:val="none" w:sz="0" w:space="0" w:color="auto"/>
        <w:left w:val="none" w:sz="0" w:space="0" w:color="auto"/>
        <w:bottom w:val="none" w:sz="0" w:space="0" w:color="auto"/>
        <w:right w:val="none" w:sz="0" w:space="0" w:color="auto"/>
      </w:divBdr>
    </w:div>
    <w:div w:id="2097290030">
      <w:bodyDiv w:val="1"/>
      <w:marLeft w:val="0"/>
      <w:marRight w:val="0"/>
      <w:marTop w:val="0"/>
      <w:marBottom w:val="0"/>
      <w:divBdr>
        <w:top w:val="none" w:sz="0" w:space="0" w:color="auto"/>
        <w:left w:val="none" w:sz="0" w:space="0" w:color="auto"/>
        <w:bottom w:val="none" w:sz="0" w:space="0" w:color="auto"/>
        <w:right w:val="none" w:sz="0" w:space="0" w:color="auto"/>
      </w:divBdr>
    </w:div>
    <w:div w:id="2115972776">
      <w:bodyDiv w:val="1"/>
      <w:marLeft w:val="0"/>
      <w:marRight w:val="0"/>
      <w:marTop w:val="0"/>
      <w:marBottom w:val="0"/>
      <w:divBdr>
        <w:top w:val="none" w:sz="0" w:space="0" w:color="auto"/>
        <w:left w:val="none" w:sz="0" w:space="0" w:color="auto"/>
        <w:bottom w:val="none" w:sz="0" w:space="0" w:color="auto"/>
        <w:right w:val="none" w:sz="0" w:space="0" w:color="auto"/>
      </w:divBdr>
    </w:div>
    <w:div w:id="2123958487">
      <w:bodyDiv w:val="1"/>
      <w:marLeft w:val="0"/>
      <w:marRight w:val="0"/>
      <w:marTop w:val="0"/>
      <w:marBottom w:val="0"/>
      <w:divBdr>
        <w:top w:val="none" w:sz="0" w:space="0" w:color="auto"/>
        <w:left w:val="none" w:sz="0" w:space="0" w:color="auto"/>
        <w:bottom w:val="none" w:sz="0" w:space="0" w:color="auto"/>
        <w:right w:val="none" w:sz="0" w:space="0" w:color="auto"/>
      </w:divBdr>
    </w:div>
    <w:div w:id="2130778129">
      <w:bodyDiv w:val="1"/>
      <w:marLeft w:val="0"/>
      <w:marRight w:val="0"/>
      <w:marTop w:val="0"/>
      <w:marBottom w:val="0"/>
      <w:divBdr>
        <w:top w:val="none" w:sz="0" w:space="0" w:color="auto"/>
        <w:left w:val="none" w:sz="0" w:space="0" w:color="auto"/>
        <w:bottom w:val="none" w:sz="0" w:space="0" w:color="auto"/>
        <w:right w:val="none" w:sz="0" w:space="0" w:color="auto"/>
      </w:divBdr>
    </w:div>
    <w:div w:id="2131318506">
      <w:bodyDiv w:val="1"/>
      <w:marLeft w:val="0"/>
      <w:marRight w:val="0"/>
      <w:marTop w:val="0"/>
      <w:marBottom w:val="0"/>
      <w:divBdr>
        <w:top w:val="none" w:sz="0" w:space="0" w:color="auto"/>
        <w:left w:val="none" w:sz="0" w:space="0" w:color="auto"/>
        <w:bottom w:val="none" w:sz="0" w:space="0" w:color="auto"/>
        <w:right w:val="none" w:sz="0" w:space="0" w:color="auto"/>
      </w:divBdr>
    </w:div>
    <w:div w:id="2136751398">
      <w:bodyDiv w:val="1"/>
      <w:marLeft w:val="0"/>
      <w:marRight w:val="0"/>
      <w:marTop w:val="0"/>
      <w:marBottom w:val="0"/>
      <w:divBdr>
        <w:top w:val="none" w:sz="0" w:space="0" w:color="auto"/>
        <w:left w:val="none" w:sz="0" w:space="0" w:color="auto"/>
        <w:bottom w:val="none" w:sz="0" w:space="0" w:color="auto"/>
        <w:right w:val="none" w:sz="0" w:space="0" w:color="auto"/>
      </w:divBdr>
    </w:div>
    <w:div w:id="2139495091">
      <w:bodyDiv w:val="1"/>
      <w:marLeft w:val="0"/>
      <w:marRight w:val="0"/>
      <w:marTop w:val="0"/>
      <w:marBottom w:val="0"/>
      <w:divBdr>
        <w:top w:val="none" w:sz="0" w:space="0" w:color="auto"/>
        <w:left w:val="none" w:sz="0" w:space="0" w:color="auto"/>
        <w:bottom w:val="none" w:sz="0" w:space="0" w:color="auto"/>
        <w:right w:val="none" w:sz="0" w:space="0" w:color="auto"/>
      </w:divBdr>
    </w:div>
    <w:div w:id="214395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yperlink" Target="http://www.ncbi.nlm.nih.gov/pubmed/?term=Oliveros%20E%5BAuthor%5D&amp;cauthor=true&amp;cauthor_uid=244387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ncbi.nlm.nih.gov/pubmed/?term=Toro-Ramos%20T%5BAuthor%5D&amp;cauthor=true&amp;cauthor_uid=25384375"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2B1DD4-91C6-4F1A-BE80-7E1D2F871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20454</Words>
  <Characters>116593</Characters>
  <Application>Microsoft Office Word</Application>
  <DocSecurity>0</DocSecurity>
  <Lines>971</Lines>
  <Paragraphs>273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LS Ma</cp:lastModifiedBy>
  <cp:revision>2</cp:revision>
  <dcterms:created xsi:type="dcterms:W3CDTF">2015-11-30T02:58:00Z</dcterms:created>
  <dcterms:modified xsi:type="dcterms:W3CDTF">2015-11-30T02:58:00Z</dcterms:modified>
</cp:coreProperties>
</file>