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D189F" w14:textId="77777777" w:rsidR="00C23C99" w:rsidRPr="00C63E3F" w:rsidRDefault="00C23C99" w:rsidP="009A3E1D">
      <w:pPr>
        <w:spacing w:after="0" w:line="360" w:lineRule="auto"/>
        <w:jc w:val="both"/>
        <w:rPr>
          <w:rFonts w:ascii="Book Antiqua" w:hAnsi="Book Antiqua"/>
          <w:b/>
          <w:sz w:val="24"/>
          <w:szCs w:val="24"/>
          <w:lang w:val="en-US" w:eastAsia="zh-CN"/>
        </w:rPr>
      </w:pPr>
      <w:r w:rsidRPr="00C63E3F">
        <w:rPr>
          <w:rFonts w:ascii="Book Antiqua" w:hAnsi="Book Antiqua"/>
          <w:b/>
          <w:sz w:val="24"/>
          <w:szCs w:val="24"/>
          <w:lang w:val="en-US" w:eastAsia="zh-CN"/>
        </w:rPr>
        <w:t xml:space="preserve">Name of </w:t>
      </w:r>
      <w:r w:rsidR="00B04373" w:rsidRPr="00C63E3F">
        <w:rPr>
          <w:rFonts w:ascii="Book Antiqua" w:hAnsi="Book Antiqua"/>
          <w:b/>
          <w:sz w:val="24"/>
          <w:szCs w:val="24"/>
          <w:lang w:val="en-US" w:eastAsia="zh-CN"/>
        </w:rPr>
        <w:t>Journal</w:t>
      </w:r>
      <w:r w:rsidRPr="00C63E3F">
        <w:rPr>
          <w:rFonts w:ascii="Book Antiqua" w:hAnsi="Book Antiqua"/>
          <w:b/>
          <w:sz w:val="24"/>
          <w:szCs w:val="24"/>
          <w:lang w:val="en-US" w:eastAsia="zh-CN"/>
        </w:rPr>
        <w:t xml:space="preserve">: </w:t>
      </w:r>
      <w:r w:rsidRPr="00C63E3F">
        <w:rPr>
          <w:rFonts w:ascii="Book Antiqua" w:hAnsi="Book Antiqua"/>
          <w:b/>
          <w:i/>
          <w:sz w:val="24"/>
          <w:szCs w:val="24"/>
          <w:lang w:val="en-US" w:eastAsia="zh-CN"/>
        </w:rPr>
        <w:t xml:space="preserve">World Journal of </w:t>
      </w:r>
      <w:r w:rsidRPr="00C63E3F">
        <w:rPr>
          <w:rFonts w:ascii="Book Antiqua" w:hAnsi="Book Antiqua"/>
          <w:b/>
          <w:i/>
          <w:iCs/>
          <w:sz w:val="24"/>
          <w:szCs w:val="24"/>
          <w:lang w:val="en-US"/>
        </w:rPr>
        <w:t>Hepatology</w:t>
      </w:r>
    </w:p>
    <w:p w14:paraId="0B964503" w14:textId="77777777" w:rsidR="00C23C99" w:rsidRPr="00C63E3F" w:rsidRDefault="00C23C99" w:rsidP="009A3E1D">
      <w:pPr>
        <w:spacing w:after="0" w:line="360" w:lineRule="auto"/>
        <w:jc w:val="both"/>
        <w:rPr>
          <w:rFonts w:ascii="Book Antiqua" w:hAnsi="Book Antiqua"/>
          <w:b/>
          <w:sz w:val="24"/>
          <w:szCs w:val="24"/>
          <w:lang w:val="en-US" w:eastAsia="zh-CN"/>
        </w:rPr>
      </w:pPr>
      <w:r w:rsidRPr="00C63E3F">
        <w:rPr>
          <w:rFonts w:ascii="Book Antiqua" w:hAnsi="Book Antiqua"/>
          <w:b/>
          <w:sz w:val="24"/>
          <w:szCs w:val="24"/>
          <w:lang w:val="en-US" w:eastAsia="zh-CN"/>
        </w:rPr>
        <w:t>ESPS Manuscript NO: 20166</w:t>
      </w:r>
    </w:p>
    <w:p w14:paraId="1EE22EE1" w14:textId="77777777" w:rsidR="00682CA3" w:rsidRPr="00C63E3F" w:rsidRDefault="0056438F" w:rsidP="009A3E1D">
      <w:pPr>
        <w:spacing w:after="0" w:line="360" w:lineRule="auto"/>
        <w:jc w:val="both"/>
        <w:rPr>
          <w:rFonts w:ascii="Book Antiqua" w:hAnsi="Book Antiqua"/>
          <w:b/>
          <w:sz w:val="24"/>
          <w:szCs w:val="24"/>
          <w:lang w:val="en-US" w:eastAsia="zh-CN"/>
        </w:rPr>
      </w:pPr>
      <w:r w:rsidRPr="00C63E3F">
        <w:rPr>
          <w:rFonts w:ascii="Book Antiqua" w:hAnsi="Book Antiqua"/>
          <w:b/>
          <w:sz w:val="24"/>
          <w:szCs w:val="24"/>
          <w:lang w:val="en-US" w:eastAsia="zh-CN"/>
        </w:rPr>
        <w:t>Manuscript</w:t>
      </w:r>
      <w:r w:rsidR="00B04373" w:rsidRPr="00C63E3F">
        <w:rPr>
          <w:rFonts w:ascii="Book Antiqua" w:hAnsi="Book Antiqua"/>
          <w:b/>
          <w:sz w:val="24"/>
          <w:szCs w:val="24"/>
          <w:lang w:val="en-US" w:eastAsia="zh-CN"/>
        </w:rPr>
        <w:t xml:space="preserve"> Type</w:t>
      </w:r>
      <w:r w:rsidR="00C23C99" w:rsidRPr="00C63E3F">
        <w:rPr>
          <w:rFonts w:ascii="Book Antiqua" w:hAnsi="Book Antiqua"/>
          <w:b/>
          <w:sz w:val="24"/>
          <w:szCs w:val="24"/>
          <w:lang w:val="en-US" w:eastAsia="zh-CN"/>
        </w:rPr>
        <w:t xml:space="preserve">: </w:t>
      </w:r>
      <w:r w:rsidR="00A83310" w:rsidRPr="00C63E3F">
        <w:rPr>
          <w:rFonts w:ascii="Book Antiqua" w:hAnsi="Book Antiqua"/>
          <w:b/>
          <w:sz w:val="24"/>
          <w:szCs w:val="24"/>
          <w:lang w:val="en-US" w:eastAsia="zh-CN"/>
        </w:rPr>
        <w:t>ORIGINAL ARTICLE</w:t>
      </w:r>
    </w:p>
    <w:p w14:paraId="662D21D9" w14:textId="77777777" w:rsidR="00682CA3" w:rsidRPr="00C63E3F" w:rsidRDefault="00682CA3" w:rsidP="009A3E1D">
      <w:pPr>
        <w:spacing w:after="0" w:line="360" w:lineRule="auto"/>
        <w:jc w:val="both"/>
        <w:rPr>
          <w:rFonts w:ascii="Book Antiqua" w:hAnsi="Book Antiqua"/>
          <w:b/>
          <w:i/>
          <w:sz w:val="24"/>
          <w:szCs w:val="24"/>
          <w:lang w:val="en-US" w:eastAsia="zh-CN"/>
        </w:rPr>
      </w:pPr>
    </w:p>
    <w:p w14:paraId="6C787B8D" w14:textId="77777777" w:rsidR="0056438F" w:rsidRPr="00C63E3F" w:rsidRDefault="00EF433D" w:rsidP="009A3E1D">
      <w:pPr>
        <w:spacing w:after="0" w:line="360" w:lineRule="auto"/>
        <w:jc w:val="both"/>
        <w:rPr>
          <w:rFonts w:ascii="Book Antiqua" w:hAnsi="Book Antiqua"/>
          <w:b/>
          <w:i/>
          <w:sz w:val="24"/>
          <w:szCs w:val="24"/>
          <w:lang w:val="en-US" w:eastAsia="zh-CN"/>
        </w:rPr>
      </w:pPr>
      <w:r w:rsidRPr="00C63E3F">
        <w:rPr>
          <w:rFonts w:ascii="Book Antiqua" w:hAnsi="Book Antiqua"/>
          <w:b/>
          <w:i/>
          <w:sz w:val="24"/>
          <w:szCs w:val="24"/>
          <w:lang w:val="en-US"/>
        </w:rPr>
        <w:t>Retrospective Study</w:t>
      </w:r>
    </w:p>
    <w:p w14:paraId="6528C02A" w14:textId="77777777" w:rsidR="0056438F" w:rsidRPr="00C63E3F" w:rsidRDefault="0056438F" w:rsidP="009A3E1D">
      <w:pPr>
        <w:spacing w:after="0" w:line="360" w:lineRule="auto"/>
        <w:jc w:val="both"/>
        <w:rPr>
          <w:rFonts w:ascii="Book Antiqua" w:hAnsi="Book Antiqua"/>
          <w:b/>
          <w:sz w:val="24"/>
          <w:szCs w:val="24"/>
          <w:lang w:val="en-US" w:eastAsia="zh-CN"/>
        </w:rPr>
      </w:pPr>
      <w:r w:rsidRPr="00C63E3F">
        <w:rPr>
          <w:rFonts w:ascii="Book Antiqua" w:hAnsi="Book Antiqua"/>
          <w:b/>
          <w:sz w:val="24"/>
          <w:szCs w:val="24"/>
          <w:lang w:val="en-US" w:eastAsia="zh-CN"/>
        </w:rPr>
        <w:t>PAI-1 4G-4G and MTHFR 677TT in non</w:t>
      </w:r>
      <w:r w:rsidR="007F0D83" w:rsidRPr="00C63E3F">
        <w:rPr>
          <w:rFonts w:ascii="Book Antiqua" w:hAnsi="Book Antiqua"/>
          <w:b/>
          <w:sz w:val="24"/>
          <w:szCs w:val="24"/>
          <w:lang w:val="en-US" w:eastAsia="zh-CN"/>
        </w:rPr>
        <w:t>-</w:t>
      </w:r>
      <w:r w:rsidR="00682CA3" w:rsidRPr="00C63E3F">
        <w:rPr>
          <w:rFonts w:ascii="Book Antiqua" w:hAnsi="Book Antiqua"/>
          <w:b/>
          <w:sz w:val="24"/>
          <w:szCs w:val="24"/>
          <w:lang w:val="en-US" w:eastAsia="zh-CN"/>
        </w:rPr>
        <w:t xml:space="preserve">hepatitis C virus </w:t>
      </w:r>
      <w:r w:rsidRPr="00C63E3F">
        <w:rPr>
          <w:rFonts w:ascii="Book Antiqua" w:hAnsi="Book Antiqua"/>
          <w:b/>
          <w:sz w:val="24"/>
          <w:szCs w:val="24"/>
          <w:lang w:val="en-US" w:eastAsia="zh-CN"/>
        </w:rPr>
        <w:t>/</w:t>
      </w:r>
      <w:r w:rsidR="00682CA3" w:rsidRPr="00C63E3F">
        <w:rPr>
          <w:rFonts w:ascii="Book Antiqua" w:hAnsi="Book Antiqua"/>
          <w:sz w:val="24"/>
          <w:szCs w:val="24"/>
        </w:rPr>
        <w:t xml:space="preserve"> </w:t>
      </w:r>
      <w:r w:rsidR="00682CA3" w:rsidRPr="00C63E3F">
        <w:rPr>
          <w:rFonts w:ascii="Book Antiqua" w:hAnsi="Book Antiqua"/>
          <w:b/>
          <w:sz w:val="24"/>
          <w:szCs w:val="24"/>
          <w:lang w:val="en-US" w:eastAsia="zh-CN"/>
        </w:rPr>
        <w:t xml:space="preserve">hepatitis B virus </w:t>
      </w:r>
      <w:r w:rsidRPr="00C63E3F">
        <w:rPr>
          <w:rFonts w:ascii="Book Antiqua" w:hAnsi="Book Antiqua"/>
          <w:b/>
          <w:sz w:val="24"/>
          <w:szCs w:val="24"/>
          <w:lang w:val="en-US" w:eastAsia="zh-CN"/>
        </w:rPr>
        <w:t>related liver cirrhosis</w:t>
      </w:r>
    </w:p>
    <w:p w14:paraId="6760F37B" w14:textId="77777777" w:rsidR="00B04373" w:rsidRPr="00C63E3F" w:rsidRDefault="00B04373" w:rsidP="009A3E1D">
      <w:pPr>
        <w:spacing w:after="0" w:line="360" w:lineRule="auto"/>
        <w:jc w:val="both"/>
        <w:rPr>
          <w:rFonts w:ascii="Book Antiqua" w:hAnsi="Book Antiqua"/>
          <w:sz w:val="24"/>
          <w:szCs w:val="24"/>
          <w:lang w:val="en-US" w:eastAsia="zh-CN"/>
        </w:rPr>
      </w:pPr>
    </w:p>
    <w:p w14:paraId="0D69A8ED" w14:textId="77777777" w:rsidR="0056438F" w:rsidRPr="00C63E3F" w:rsidRDefault="00B04373" w:rsidP="009A3E1D">
      <w:pPr>
        <w:spacing w:after="0" w:line="360" w:lineRule="auto"/>
        <w:jc w:val="both"/>
        <w:rPr>
          <w:rFonts w:ascii="Book Antiqua" w:hAnsi="Book Antiqua"/>
          <w:sz w:val="24"/>
          <w:szCs w:val="24"/>
          <w:lang w:eastAsia="zh-CN"/>
        </w:rPr>
      </w:pPr>
      <w:r w:rsidRPr="00C63E3F">
        <w:rPr>
          <w:rFonts w:ascii="Book Antiqua" w:hAnsi="Book Antiqua"/>
          <w:sz w:val="24"/>
          <w:szCs w:val="24"/>
          <w:lang w:eastAsia="zh-CN"/>
        </w:rPr>
        <w:t xml:space="preserve">Pasta L </w:t>
      </w:r>
      <w:r w:rsidRPr="00C63E3F">
        <w:rPr>
          <w:rFonts w:ascii="Book Antiqua" w:hAnsi="Book Antiqua"/>
          <w:i/>
          <w:sz w:val="24"/>
          <w:szCs w:val="24"/>
          <w:lang w:eastAsia="zh-CN"/>
        </w:rPr>
        <w:t>et al</w:t>
      </w:r>
      <w:r w:rsidRPr="00C63E3F">
        <w:rPr>
          <w:rFonts w:ascii="Book Antiqua" w:hAnsi="Book Antiqua"/>
          <w:sz w:val="24"/>
          <w:szCs w:val="24"/>
          <w:lang w:eastAsia="zh-CN"/>
        </w:rPr>
        <w:t xml:space="preserve">. </w:t>
      </w:r>
      <w:r w:rsidR="0056438F" w:rsidRPr="00C63E3F">
        <w:rPr>
          <w:rFonts w:ascii="Book Antiqua" w:hAnsi="Book Antiqua"/>
          <w:sz w:val="24"/>
          <w:szCs w:val="24"/>
          <w:lang w:eastAsia="zh-CN"/>
        </w:rPr>
        <w:t xml:space="preserve">Genetic thrombophilia for </w:t>
      </w:r>
      <w:r w:rsidRPr="00C63E3F">
        <w:rPr>
          <w:rFonts w:ascii="Book Antiqua" w:hAnsi="Book Antiqua"/>
          <w:sz w:val="24"/>
          <w:szCs w:val="24"/>
          <w:lang w:eastAsia="zh-CN"/>
        </w:rPr>
        <w:t>anti-fibrosis liver therapy</w:t>
      </w:r>
    </w:p>
    <w:p w14:paraId="29824D83" w14:textId="77777777" w:rsidR="00B04373" w:rsidRPr="00C63E3F" w:rsidRDefault="00B04373" w:rsidP="009A3E1D">
      <w:pPr>
        <w:spacing w:after="0" w:line="360" w:lineRule="auto"/>
        <w:jc w:val="both"/>
        <w:rPr>
          <w:rFonts w:ascii="Book Antiqua" w:hAnsi="Book Antiqua"/>
          <w:sz w:val="24"/>
          <w:szCs w:val="24"/>
          <w:lang w:eastAsia="zh-CN"/>
        </w:rPr>
      </w:pPr>
    </w:p>
    <w:p w14:paraId="06E46406" w14:textId="77777777" w:rsidR="0056438F" w:rsidRPr="00C63E3F" w:rsidRDefault="00B04373" w:rsidP="009A3E1D">
      <w:pPr>
        <w:spacing w:after="0" w:line="360" w:lineRule="auto"/>
        <w:jc w:val="both"/>
        <w:rPr>
          <w:rFonts w:ascii="Book Antiqua" w:hAnsi="Book Antiqua"/>
          <w:b/>
          <w:sz w:val="24"/>
          <w:szCs w:val="24"/>
          <w:lang w:eastAsia="zh-CN"/>
        </w:rPr>
      </w:pPr>
      <w:r w:rsidRPr="00C63E3F">
        <w:rPr>
          <w:rFonts w:ascii="Book Antiqua" w:hAnsi="Book Antiqua"/>
          <w:b/>
          <w:sz w:val="24"/>
          <w:szCs w:val="24"/>
          <w:lang w:eastAsia="zh-CN"/>
        </w:rPr>
        <w:t>Linda Pasta, Francesca Pasta</w:t>
      </w:r>
    </w:p>
    <w:p w14:paraId="02DDEDF6" w14:textId="77777777" w:rsidR="00D81B28" w:rsidRPr="00C63E3F" w:rsidRDefault="00D81B28" w:rsidP="009A3E1D">
      <w:pPr>
        <w:spacing w:after="0" w:line="360" w:lineRule="auto"/>
        <w:jc w:val="both"/>
        <w:rPr>
          <w:rFonts w:ascii="Book Antiqua" w:hAnsi="Book Antiqua"/>
          <w:sz w:val="24"/>
          <w:szCs w:val="24"/>
          <w:lang w:eastAsia="zh-CN"/>
        </w:rPr>
      </w:pPr>
    </w:p>
    <w:p w14:paraId="16FE9730" w14:textId="77777777" w:rsidR="0056438F" w:rsidRPr="00C63E3F" w:rsidRDefault="0056438F"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eastAsia="zh-CN"/>
        </w:rPr>
        <w:t>Linda Pasta, Francesca Pasta,</w:t>
      </w:r>
      <w:r w:rsidRPr="00C63E3F">
        <w:rPr>
          <w:rFonts w:ascii="Book Antiqua" w:hAnsi="Book Antiqua"/>
          <w:sz w:val="24"/>
          <w:szCs w:val="24"/>
          <w:lang w:eastAsia="zh-CN"/>
        </w:rPr>
        <w:t xml:space="preserve"> </w:t>
      </w:r>
      <w:r w:rsidR="00C05912" w:rsidRPr="00C63E3F">
        <w:rPr>
          <w:rFonts w:ascii="Book Antiqua" w:hAnsi="Book Antiqua"/>
          <w:sz w:val="24"/>
          <w:szCs w:val="24"/>
          <w:lang w:eastAsia="zh-CN"/>
        </w:rPr>
        <w:t>Department of Medicine</w:t>
      </w:r>
      <w:r w:rsidRPr="00C63E3F">
        <w:rPr>
          <w:rFonts w:ascii="Book Antiqua" w:hAnsi="Book Antiqua"/>
          <w:sz w:val="24"/>
          <w:szCs w:val="24"/>
          <w:lang w:eastAsia="zh-CN"/>
        </w:rPr>
        <w:t xml:space="preserve">, Clinica Candela, </w:t>
      </w:r>
      <w:r w:rsidR="002D5BF9" w:rsidRPr="00C63E3F">
        <w:rPr>
          <w:rFonts w:ascii="Book Antiqua" w:hAnsi="Book Antiqua"/>
          <w:sz w:val="24"/>
          <w:szCs w:val="24"/>
          <w:lang w:eastAsia="zh-CN"/>
        </w:rPr>
        <w:t>90141 Palermo, Italy</w:t>
      </w:r>
    </w:p>
    <w:p w14:paraId="3FFAD558" w14:textId="77777777" w:rsidR="00783289" w:rsidRPr="00C63E3F" w:rsidRDefault="00783289" w:rsidP="009A3E1D">
      <w:pPr>
        <w:spacing w:after="0" w:line="360" w:lineRule="auto"/>
        <w:jc w:val="both"/>
        <w:rPr>
          <w:rFonts w:ascii="Book Antiqua" w:hAnsi="Book Antiqua"/>
          <w:b/>
          <w:sz w:val="24"/>
          <w:szCs w:val="24"/>
          <w:lang w:val="en-US" w:eastAsia="zh-CN"/>
        </w:rPr>
      </w:pPr>
    </w:p>
    <w:p w14:paraId="14D777B3" w14:textId="77777777" w:rsidR="0056438F" w:rsidRPr="00C63E3F" w:rsidRDefault="0056438F"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Author contributions:</w:t>
      </w:r>
      <w:r w:rsidRPr="00C63E3F">
        <w:rPr>
          <w:rFonts w:ascii="Book Antiqua" w:hAnsi="Book Antiqua"/>
          <w:sz w:val="24"/>
          <w:szCs w:val="24"/>
          <w:lang w:val="en-US" w:eastAsia="zh-CN"/>
        </w:rPr>
        <w:t xml:space="preserve"> Pasta</w:t>
      </w:r>
      <w:r w:rsidR="00930D31" w:rsidRPr="00C63E3F">
        <w:rPr>
          <w:rFonts w:ascii="Book Antiqua" w:hAnsi="Book Antiqua"/>
          <w:sz w:val="24"/>
          <w:szCs w:val="24"/>
          <w:lang w:val="en-US" w:eastAsia="zh-CN"/>
        </w:rPr>
        <w:t xml:space="preserve"> L</w:t>
      </w:r>
      <w:r w:rsidRPr="00C63E3F">
        <w:rPr>
          <w:rFonts w:ascii="Book Antiqua" w:hAnsi="Book Antiqua"/>
          <w:sz w:val="24"/>
          <w:szCs w:val="24"/>
          <w:lang w:val="en-US" w:eastAsia="zh-CN"/>
        </w:rPr>
        <w:t xml:space="preserve"> designed research, performed research, </w:t>
      </w:r>
      <w:r w:rsidR="00930D31" w:rsidRPr="00C63E3F">
        <w:rPr>
          <w:rFonts w:ascii="Book Antiqua" w:hAnsi="Book Antiqua"/>
          <w:sz w:val="24"/>
          <w:szCs w:val="24"/>
          <w:lang w:val="en-US" w:eastAsia="zh-CN"/>
        </w:rPr>
        <w:t xml:space="preserve">analyzed data and </w:t>
      </w:r>
      <w:r w:rsidR="00B04373" w:rsidRPr="00C63E3F">
        <w:rPr>
          <w:rFonts w:ascii="Book Antiqua" w:hAnsi="Book Antiqua"/>
          <w:sz w:val="24"/>
          <w:szCs w:val="24"/>
          <w:lang w:val="en-US" w:eastAsia="zh-CN"/>
        </w:rPr>
        <w:t xml:space="preserve">wrote the paper; </w:t>
      </w:r>
      <w:r w:rsidR="00091A1A" w:rsidRPr="00C63E3F">
        <w:rPr>
          <w:rFonts w:ascii="Book Antiqua" w:hAnsi="Book Antiqua"/>
          <w:sz w:val="24"/>
          <w:szCs w:val="24"/>
          <w:lang w:val="en-US" w:eastAsia="zh-CN"/>
        </w:rPr>
        <w:t>Pasta</w:t>
      </w:r>
      <w:r w:rsidR="00EA3C84" w:rsidRPr="00C63E3F">
        <w:rPr>
          <w:rFonts w:ascii="Book Antiqua" w:hAnsi="Book Antiqua"/>
          <w:sz w:val="24"/>
          <w:szCs w:val="24"/>
          <w:lang w:val="en-US" w:eastAsia="zh-CN"/>
        </w:rPr>
        <w:t xml:space="preserve"> F</w:t>
      </w:r>
      <w:r w:rsidRPr="00C63E3F">
        <w:rPr>
          <w:rFonts w:ascii="Book Antiqua" w:hAnsi="Book Antiqua"/>
          <w:sz w:val="24"/>
          <w:szCs w:val="24"/>
          <w:lang w:val="en-US" w:eastAsia="zh-CN"/>
        </w:rPr>
        <w:t xml:space="preserve"> performed research, analyzed data and wrote the paper</w:t>
      </w:r>
      <w:r w:rsidR="00EA3C84" w:rsidRPr="00C63E3F">
        <w:rPr>
          <w:rFonts w:ascii="Book Antiqua" w:hAnsi="Book Antiqua"/>
          <w:sz w:val="24"/>
          <w:szCs w:val="24"/>
          <w:lang w:val="en-US" w:eastAsia="zh-CN"/>
        </w:rPr>
        <w:t>;</w:t>
      </w:r>
      <w:r w:rsidR="00783289" w:rsidRPr="00C63E3F">
        <w:rPr>
          <w:rFonts w:ascii="Book Antiqua" w:hAnsi="Book Antiqua"/>
          <w:sz w:val="24"/>
          <w:szCs w:val="24"/>
          <w:lang w:val="en-US"/>
        </w:rPr>
        <w:t xml:space="preserve"> </w:t>
      </w:r>
      <w:r w:rsidR="00783289" w:rsidRPr="00C63E3F">
        <w:rPr>
          <w:rFonts w:ascii="Book Antiqua" w:hAnsi="Book Antiqua"/>
          <w:sz w:val="24"/>
          <w:szCs w:val="24"/>
          <w:lang w:val="en-US" w:eastAsia="zh-CN"/>
        </w:rPr>
        <w:t xml:space="preserve">Amico </w:t>
      </w:r>
      <w:r w:rsidR="00EA3C84" w:rsidRPr="00C63E3F">
        <w:rPr>
          <w:rFonts w:ascii="Book Antiqua" w:hAnsi="Book Antiqua"/>
          <w:sz w:val="24"/>
          <w:szCs w:val="24"/>
          <w:lang w:val="en-US" w:eastAsia="zh-CN"/>
        </w:rPr>
        <w:t xml:space="preserve">MD </w:t>
      </w:r>
      <w:r w:rsidR="00783289" w:rsidRPr="00C63E3F">
        <w:rPr>
          <w:rFonts w:ascii="Book Antiqua" w:hAnsi="Book Antiqua"/>
          <w:sz w:val="24"/>
          <w:szCs w:val="24"/>
          <w:lang w:val="en-US" w:eastAsia="zh-CN"/>
        </w:rPr>
        <w:t>designed research, performed research, analyzed data and wrote the paper.</w:t>
      </w:r>
    </w:p>
    <w:p w14:paraId="2917C2A1" w14:textId="77777777" w:rsidR="00B04373" w:rsidRPr="00C63E3F" w:rsidRDefault="00B04373" w:rsidP="009A3E1D">
      <w:pPr>
        <w:spacing w:after="0" w:line="360" w:lineRule="auto"/>
        <w:jc w:val="both"/>
        <w:rPr>
          <w:rFonts w:ascii="Book Antiqua" w:hAnsi="Book Antiqua"/>
          <w:sz w:val="24"/>
          <w:szCs w:val="24"/>
          <w:lang w:val="en-US" w:eastAsia="zh-CN"/>
        </w:rPr>
      </w:pPr>
    </w:p>
    <w:p w14:paraId="0F926199" w14:textId="77777777" w:rsidR="000E708F" w:rsidRPr="00C63E3F" w:rsidRDefault="00B04373" w:rsidP="009A3E1D">
      <w:pPr>
        <w:spacing w:after="0" w:line="360" w:lineRule="auto"/>
        <w:jc w:val="both"/>
        <w:rPr>
          <w:rFonts w:ascii="Book Antiqua" w:hAnsi="Book Antiqua"/>
          <w:sz w:val="24"/>
          <w:szCs w:val="24"/>
          <w:lang w:val="en-US"/>
        </w:rPr>
      </w:pPr>
      <w:r w:rsidRPr="00C63E3F">
        <w:rPr>
          <w:rFonts w:ascii="Book Antiqua" w:hAnsi="Book Antiqua" w:cs="Times New Roman"/>
          <w:b/>
          <w:sz w:val="24"/>
          <w:szCs w:val="24"/>
          <w:lang w:val="en-US" w:eastAsia="zh-CN"/>
        </w:rPr>
        <w:t xml:space="preserve">Institutional review board statement: </w:t>
      </w:r>
      <w:r w:rsidR="008A65C9" w:rsidRPr="00C63E3F">
        <w:rPr>
          <w:rFonts w:ascii="Book Antiqua" w:hAnsi="Book Antiqua"/>
          <w:sz w:val="24"/>
          <w:szCs w:val="24"/>
          <w:lang w:val="en-US"/>
        </w:rPr>
        <w:t>T</w:t>
      </w:r>
      <w:r w:rsidR="00091A1A" w:rsidRPr="00C63E3F">
        <w:rPr>
          <w:rFonts w:ascii="Book Antiqua" w:hAnsi="Book Antiqua"/>
          <w:sz w:val="24"/>
          <w:szCs w:val="24"/>
          <w:lang w:val="en-US"/>
        </w:rPr>
        <w:t xml:space="preserve">he local human research committee of </w:t>
      </w:r>
      <w:r w:rsidR="00C05912" w:rsidRPr="00C63E3F">
        <w:rPr>
          <w:rFonts w:ascii="Book Antiqua" w:hAnsi="Book Antiqua"/>
          <w:sz w:val="24"/>
          <w:szCs w:val="24"/>
          <w:lang w:val="en-US"/>
        </w:rPr>
        <w:t>AOOR o</w:t>
      </w:r>
      <w:r w:rsidR="00091A1A" w:rsidRPr="00C63E3F">
        <w:rPr>
          <w:rFonts w:ascii="Book Antiqua" w:hAnsi="Book Antiqua"/>
          <w:sz w:val="24"/>
          <w:szCs w:val="24"/>
          <w:lang w:val="en-US"/>
        </w:rPr>
        <w:t>f Palermo approved t</w:t>
      </w:r>
      <w:r w:rsidR="000E708F" w:rsidRPr="00C63E3F">
        <w:rPr>
          <w:rFonts w:ascii="Book Antiqua" w:hAnsi="Book Antiqua"/>
          <w:sz w:val="24"/>
          <w:szCs w:val="24"/>
          <w:lang w:val="en-US"/>
        </w:rPr>
        <w:t>his Retrospective study</w:t>
      </w:r>
      <w:r w:rsidR="00091A1A" w:rsidRPr="00C63E3F">
        <w:rPr>
          <w:rFonts w:ascii="Book Antiqua" w:hAnsi="Book Antiqua"/>
          <w:sz w:val="24"/>
          <w:szCs w:val="24"/>
          <w:lang w:val="en-US"/>
        </w:rPr>
        <w:t>.</w:t>
      </w:r>
      <w:r w:rsidR="000E708F" w:rsidRPr="00C63E3F">
        <w:rPr>
          <w:rFonts w:ascii="Book Antiqua" w:hAnsi="Book Antiqua"/>
          <w:sz w:val="24"/>
          <w:szCs w:val="24"/>
          <w:lang w:val="en-US"/>
        </w:rPr>
        <w:t xml:space="preserve"> </w:t>
      </w:r>
    </w:p>
    <w:p w14:paraId="7DB6EC84" w14:textId="77777777" w:rsidR="00B04373" w:rsidRPr="00C63E3F" w:rsidRDefault="00B04373" w:rsidP="009A3E1D">
      <w:pPr>
        <w:spacing w:after="0" w:line="360" w:lineRule="auto"/>
        <w:jc w:val="both"/>
        <w:rPr>
          <w:rFonts w:ascii="Book Antiqua" w:hAnsi="Book Antiqua" w:cs="Times New Roman"/>
          <w:b/>
          <w:sz w:val="24"/>
          <w:szCs w:val="24"/>
          <w:lang w:val="en-US" w:eastAsia="zh-CN"/>
        </w:rPr>
      </w:pPr>
    </w:p>
    <w:p w14:paraId="6D9C7E29" w14:textId="77777777" w:rsidR="008942E3" w:rsidRPr="00C63E3F" w:rsidRDefault="00B04373" w:rsidP="009A3E1D">
      <w:pPr>
        <w:spacing w:after="0" w:line="360" w:lineRule="auto"/>
        <w:jc w:val="both"/>
        <w:rPr>
          <w:rFonts w:ascii="Book Antiqua" w:hAnsi="Book Antiqua"/>
          <w:sz w:val="24"/>
          <w:szCs w:val="24"/>
          <w:lang w:val="en-US"/>
        </w:rPr>
      </w:pPr>
      <w:r w:rsidRPr="00C63E3F">
        <w:rPr>
          <w:rFonts w:ascii="Book Antiqua" w:hAnsi="Book Antiqua" w:cs="Times New Roman"/>
          <w:b/>
          <w:sz w:val="24"/>
          <w:szCs w:val="24"/>
          <w:lang w:val="en-US" w:eastAsia="zh-CN"/>
        </w:rPr>
        <w:t xml:space="preserve">Informed consent statement: </w:t>
      </w:r>
      <w:r w:rsidR="008942E3" w:rsidRPr="00C63E3F">
        <w:rPr>
          <w:rFonts w:ascii="Book Antiqua" w:hAnsi="Book Antiqua"/>
          <w:sz w:val="24"/>
          <w:szCs w:val="24"/>
          <w:lang w:val="en-US"/>
        </w:rPr>
        <w:t>All persons gave their informed consent prior to their inclusion in the study, according to the Code of Ethics of the World Medical Association (Declaration of Helsinki, 1964, as revised in 2004).</w:t>
      </w:r>
    </w:p>
    <w:p w14:paraId="27A0CEA0" w14:textId="77777777" w:rsidR="000E708F" w:rsidRPr="00C63E3F" w:rsidRDefault="000E708F" w:rsidP="009A3E1D">
      <w:pPr>
        <w:spacing w:after="0" w:line="360" w:lineRule="auto"/>
        <w:jc w:val="both"/>
        <w:rPr>
          <w:rFonts w:ascii="Book Antiqua" w:hAnsi="Book Antiqua" w:cs="Times New Roman"/>
          <w:b/>
          <w:sz w:val="24"/>
          <w:szCs w:val="24"/>
          <w:lang w:val="en-US" w:eastAsia="zh-CN"/>
        </w:rPr>
      </w:pPr>
    </w:p>
    <w:p w14:paraId="5F23A0F9" w14:textId="77777777" w:rsidR="00B04373" w:rsidRPr="00C63E3F" w:rsidRDefault="00B04373" w:rsidP="009A3E1D">
      <w:pPr>
        <w:spacing w:after="0" w:line="360" w:lineRule="auto"/>
        <w:jc w:val="both"/>
        <w:rPr>
          <w:rFonts w:ascii="Book Antiqua" w:hAnsi="Book Antiqua"/>
          <w:sz w:val="24"/>
          <w:szCs w:val="24"/>
          <w:lang w:val="en-US" w:eastAsia="zh-CN"/>
        </w:rPr>
      </w:pPr>
      <w:r w:rsidRPr="00C63E3F">
        <w:rPr>
          <w:rFonts w:ascii="Book Antiqua" w:hAnsi="Book Antiqua" w:cs="Times New Roman"/>
          <w:b/>
          <w:sz w:val="24"/>
          <w:szCs w:val="24"/>
          <w:lang w:val="en-US" w:eastAsia="zh-CN"/>
        </w:rPr>
        <w:t>Conflict-of-interest statement:</w:t>
      </w:r>
      <w:r w:rsidRPr="00C63E3F">
        <w:rPr>
          <w:rFonts w:ascii="Book Antiqua" w:hAnsi="Book Antiqua"/>
          <w:sz w:val="24"/>
          <w:szCs w:val="24"/>
          <w:lang w:val="en-US" w:eastAsia="zh-CN"/>
        </w:rPr>
        <w:t xml:space="preserve"> All the authors declare that they have no competing interests.</w:t>
      </w:r>
    </w:p>
    <w:p w14:paraId="74E349EB" w14:textId="77777777" w:rsidR="00B04373" w:rsidRPr="00C63E3F" w:rsidRDefault="00B04373" w:rsidP="009A3E1D">
      <w:pPr>
        <w:spacing w:after="0" w:line="360" w:lineRule="auto"/>
        <w:jc w:val="both"/>
        <w:rPr>
          <w:rFonts w:ascii="Book Antiqua" w:hAnsi="Book Antiqua" w:cs="Times New Roman"/>
          <w:b/>
          <w:sz w:val="24"/>
          <w:szCs w:val="24"/>
          <w:lang w:val="en-US" w:eastAsia="zh-CN"/>
        </w:rPr>
      </w:pPr>
    </w:p>
    <w:p w14:paraId="4E97B7ED" w14:textId="77777777" w:rsidR="00B04373" w:rsidRPr="00C63E3F" w:rsidRDefault="00B04373" w:rsidP="009A3E1D">
      <w:pPr>
        <w:spacing w:after="0" w:line="360" w:lineRule="auto"/>
        <w:jc w:val="both"/>
        <w:rPr>
          <w:rFonts w:ascii="Book Antiqua" w:hAnsi="Book Antiqua"/>
          <w:sz w:val="24"/>
          <w:szCs w:val="24"/>
          <w:lang w:val="en-US" w:eastAsia="zh-CN"/>
        </w:rPr>
      </w:pPr>
      <w:r w:rsidRPr="00C63E3F">
        <w:rPr>
          <w:rFonts w:ascii="Book Antiqua" w:hAnsi="Book Antiqua" w:cs="Times New Roman"/>
          <w:b/>
          <w:sz w:val="24"/>
          <w:szCs w:val="24"/>
          <w:lang w:val="en-US" w:eastAsia="zh-CN"/>
        </w:rPr>
        <w:t xml:space="preserve">Data sharing statement: </w:t>
      </w:r>
      <w:r w:rsidRPr="00C63E3F">
        <w:rPr>
          <w:rFonts w:ascii="Book Antiqua" w:hAnsi="Book Antiqua"/>
          <w:sz w:val="24"/>
          <w:szCs w:val="24"/>
          <w:lang w:val="en-US" w:eastAsia="zh-CN"/>
        </w:rPr>
        <w:t xml:space="preserve">The technical appendix, statistical code, and dataset are available from the corresponding author at: </w:t>
      </w:r>
      <w:hyperlink r:id="rId9" w:history="1">
        <w:r w:rsidR="00EB0AB2" w:rsidRPr="00C63E3F">
          <w:rPr>
            <w:rStyle w:val="Hyperlink"/>
            <w:rFonts w:ascii="Book Antiqua" w:hAnsi="Book Antiqua"/>
            <w:color w:val="auto"/>
            <w:sz w:val="24"/>
            <w:szCs w:val="24"/>
            <w:u w:val="none"/>
            <w:lang w:val="en-US" w:eastAsia="zh-CN"/>
          </w:rPr>
          <w:t>lindpas@yahoo.it</w:t>
        </w:r>
      </w:hyperlink>
      <w:r w:rsidRPr="00C63E3F">
        <w:rPr>
          <w:rFonts w:ascii="Book Antiqua" w:hAnsi="Book Antiqua"/>
          <w:sz w:val="24"/>
          <w:szCs w:val="24"/>
          <w:lang w:val="en-US" w:eastAsia="zh-CN"/>
        </w:rPr>
        <w:t>.</w:t>
      </w:r>
    </w:p>
    <w:p w14:paraId="2D77ED2B" w14:textId="77777777" w:rsidR="00EB0AB2" w:rsidRPr="00C63E3F" w:rsidRDefault="00EB0AB2" w:rsidP="009A3E1D">
      <w:pPr>
        <w:spacing w:after="0" w:line="360" w:lineRule="auto"/>
        <w:jc w:val="both"/>
        <w:rPr>
          <w:rFonts w:ascii="Book Antiqua" w:hAnsi="Book Antiqua"/>
          <w:sz w:val="24"/>
          <w:szCs w:val="24"/>
          <w:lang w:val="en-US" w:eastAsia="zh-CN"/>
        </w:rPr>
      </w:pPr>
    </w:p>
    <w:p w14:paraId="6CD25DF0" w14:textId="77777777" w:rsidR="00EB0AB2" w:rsidRPr="00C63E3F" w:rsidRDefault="00EB0AB2" w:rsidP="009A3E1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63E3F">
        <w:rPr>
          <w:rFonts w:ascii="Book Antiqua" w:hAnsi="Book Antiqua"/>
          <w:b/>
          <w:sz w:val="24"/>
          <w:szCs w:val="24"/>
        </w:rPr>
        <w:lastRenderedPageBreak/>
        <w:t xml:space="preserve">Open-Access: </w:t>
      </w:r>
      <w:r w:rsidRPr="00C63E3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C63E3F">
          <w:rPr>
            <w:rStyle w:val="Hyperlink"/>
            <w:rFonts w:ascii="Book Antiqua" w:hAnsi="Book Antiqua"/>
            <w:color w:val="auto"/>
            <w:sz w:val="24"/>
            <w:szCs w:val="24"/>
            <w:u w:val="none"/>
          </w:rPr>
          <w:t>http://creativecommons.org/licenses/by-nc/4.0/</w:t>
        </w:r>
      </w:hyperlink>
      <w:bookmarkEnd w:id="0"/>
      <w:bookmarkEnd w:id="1"/>
      <w:bookmarkEnd w:id="2"/>
      <w:bookmarkEnd w:id="3"/>
    </w:p>
    <w:p w14:paraId="5D6ABFCA" w14:textId="77777777" w:rsidR="0056438F" w:rsidRPr="00C63E3F" w:rsidRDefault="0056438F" w:rsidP="009A3E1D">
      <w:pPr>
        <w:spacing w:after="0" w:line="360" w:lineRule="auto"/>
        <w:jc w:val="both"/>
        <w:rPr>
          <w:rFonts w:ascii="Book Antiqua" w:hAnsi="Book Antiqua"/>
          <w:sz w:val="24"/>
          <w:szCs w:val="24"/>
          <w:lang w:val="en-US" w:eastAsia="zh-CN"/>
        </w:rPr>
      </w:pPr>
    </w:p>
    <w:p w14:paraId="634C8F1C" w14:textId="77777777" w:rsidR="0056438F" w:rsidRPr="00C63E3F" w:rsidRDefault="00AD2C7F"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rPr>
        <w:t>Correspondence to:</w:t>
      </w:r>
      <w:r w:rsidR="0056438F" w:rsidRPr="00C63E3F">
        <w:rPr>
          <w:rFonts w:ascii="Book Antiqua" w:hAnsi="Book Antiqua"/>
          <w:sz w:val="24"/>
          <w:szCs w:val="24"/>
          <w:lang w:val="en-US" w:eastAsia="zh-CN"/>
        </w:rPr>
        <w:t xml:space="preserve"> </w:t>
      </w:r>
      <w:r w:rsidR="0056438F" w:rsidRPr="00C63E3F">
        <w:rPr>
          <w:rFonts w:ascii="Book Antiqua" w:hAnsi="Book Antiqua"/>
          <w:b/>
          <w:sz w:val="24"/>
          <w:szCs w:val="24"/>
          <w:lang w:val="en-US" w:eastAsia="zh-CN"/>
        </w:rPr>
        <w:t xml:space="preserve">Linda </w:t>
      </w:r>
      <w:bookmarkStart w:id="4" w:name="OLE_LINK16"/>
      <w:bookmarkStart w:id="5" w:name="OLE_LINK17"/>
      <w:r w:rsidR="0056438F" w:rsidRPr="00C63E3F">
        <w:rPr>
          <w:rFonts w:ascii="Book Antiqua" w:hAnsi="Book Antiqua"/>
          <w:b/>
          <w:sz w:val="24"/>
          <w:szCs w:val="24"/>
          <w:lang w:val="en-US" w:eastAsia="zh-CN"/>
        </w:rPr>
        <w:t>Pasta</w:t>
      </w:r>
      <w:bookmarkEnd w:id="4"/>
      <w:bookmarkEnd w:id="5"/>
      <w:r w:rsidR="002237AC" w:rsidRPr="00C63E3F">
        <w:rPr>
          <w:rFonts w:ascii="Book Antiqua" w:hAnsi="Book Antiqua"/>
          <w:b/>
          <w:sz w:val="24"/>
          <w:szCs w:val="24"/>
          <w:lang w:val="en-US" w:eastAsia="zh-CN"/>
        </w:rPr>
        <w:t>, MD,</w:t>
      </w:r>
      <w:r w:rsidR="002237AC" w:rsidRPr="00C63E3F">
        <w:rPr>
          <w:rFonts w:ascii="Book Antiqua" w:hAnsi="Book Antiqua"/>
          <w:sz w:val="24"/>
          <w:szCs w:val="24"/>
          <w:lang w:val="en-US" w:eastAsia="zh-CN"/>
        </w:rPr>
        <w:t xml:space="preserve"> Department of Medicine, </w:t>
      </w:r>
      <w:r w:rsidR="007012FA" w:rsidRPr="00C63E3F">
        <w:rPr>
          <w:rFonts w:ascii="Book Antiqua" w:hAnsi="Book Antiqua"/>
          <w:sz w:val="24"/>
          <w:szCs w:val="24"/>
          <w:lang w:val="en-US" w:eastAsia="zh-CN"/>
        </w:rPr>
        <w:t>Clinica Candela, Via Villareale</w:t>
      </w:r>
      <w:r w:rsidR="002237AC" w:rsidRPr="00C63E3F">
        <w:rPr>
          <w:rFonts w:ascii="Book Antiqua" w:hAnsi="Book Antiqua"/>
          <w:sz w:val="24"/>
          <w:szCs w:val="24"/>
          <w:lang w:val="en-US" w:eastAsia="zh-CN"/>
        </w:rPr>
        <w:t xml:space="preserve"> 54, 90141 Palermo, Italy. </w:t>
      </w:r>
      <w:r w:rsidR="00130B40" w:rsidRPr="00C63E3F">
        <w:rPr>
          <w:rFonts w:ascii="Book Antiqua" w:hAnsi="Book Antiqua"/>
          <w:sz w:val="24"/>
          <w:szCs w:val="24"/>
          <w:lang w:val="en-US" w:eastAsia="zh-CN"/>
        </w:rPr>
        <w:t>lindpas@yahoo.it</w:t>
      </w:r>
    </w:p>
    <w:p w14:paraId="0B1B0023" w14:textId="77777777" w:rsidR="0056438F" w:rsidRPr="00C63E3F" w:rsidRDefault="0056438F"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Telephone:</w:t>
      </w:r>
      <w:r w:rsidRPr="00C63E3F">
        <w:rPr>
          <w:rFonts w:ascii="Book Antiqua" w:hAnsi="Book Antiqua"/>
          <w:sz w:val="24"/>
          <w:szCs w:val="24"/>
          <w:lang w:val="en-US" w:eastAsia="zh-CN"/>
        </w:rPr>
        <w:t xml:space="preserve"> +39</w:t>
      </w:r>
      <w:r w:rsidR="00B80BE1"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w:t>
      </w:r>
      <w:r w:rsidR="00B80BE1" w:rsidRPr="00C63E3F">
        <w:rPr>
          <w:rFonts w:ascii="Book Antiqua" w:hAnsi="Book Antiqua"/>
          <w:sz w:val="24"/>
          <w:szCs w:val="24"/>
          <w:lang w:val="en-US" w:eastAsia="zh-CN"/>
        </w:rPr>
        <w:t>091-587122</w:t>
      </w:r>
    </w:p>
    <w:p w14:paraId="25E105D3" w14:textId="77777777" w:rsidR="0056438F" w:rsidRPr="00C63E3F" w:rsidRDefault="0056438F"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Fax:</w:t>
      </w:r>
      <w:r w:rsidRPr="00C63E3F">
        <w:rPr>
          <w:rFonts w:ascii="Book Antiqua" w:hAnsi="Book Antiqua"/>
          <w:sz w:val="24"/>
          <w:szCs w:val="24"/>
          <w:lang w:val="en-US" w:eastAsia="zh-CN"/>
        </w:rPr>
        <w:t xml:space="preserve"> +39</w:t>
      </w:r>
      <w:r w:rsidR="00B80BE1"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091</w:t>
      </w:r>
      <w:r w:rsidR="00B80BE1" w:rsidRPr="00C63E3F">
        <w:rPr>
          <w:rFonts w:ascii="Book Antiqua" w:hAnsi="Book Antiqua"/>
          <w:sz w:val="24"/>
          <w:szCs w:val="24"/>
          <w:lang w:val="en-US" w:eastAsia="zh-CN"/>
        </w:rPr>
        <w:t>-</w:t>
      </w:r>
      <w:r w:rsidRPr="00C63E3F">
        <w:rPr>
          <w:rFonts w:ascii="Book Antiqua" w:hAnsi="Book Antiqua"/>
          <w:sz w:val="24"/>
          <w:szCs w:val="24"/>
          <w:lang w:val="en-US" w:eastAsia="zh-CN"/>
        </w:rPr>
        <w:t>589544</w:t>
      </w:r>
    </w:p>
    <w:p w14:paraId="44A93197" w14:textId="77777777" w:rsidR="002632D2" w:rsidRPr="00C63E3F" w:rsidRDefault="002632D2" w:rsidP="009A3E1D">
      <w:pPr>
        <w:spacing w:after="0" w:line="360" w:lineRule="auto"/>
        <w:jc w:val="both"/>
        <w:rPr>
          <w:rFonts w:ascii="Book Antiqua" w:hAnsi="Book Antiqua"/>
          <w:sz w:val="24"/>
          <w:szCs w:val="24"/>
          <w:lang w:val="en-US" w:eastAsia="zh-CN"/>
        </w:rPr>
      </w:pPr>
    </w:p>
    <w:p w14:paraId="29E041B4"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 xml:space="preserve">Received: </w:t>
      </w:r>
      <w:bookmarkStart w:id="6" w:name="OLE_LINK106"/>
      <w:bookmarkStart w:id="7" w:name="OLE_LINK107"/>
      <w:r w:rsidRPr="00C63E3F">
        <w:rPr>
          <w:rFonts w:ascii="Book Antiqua" w:eastAsia="宋体" w:hAnsi="Book Antiqua" w:cs="Times New Roman"/>
          <w:kern w:val="2"/>
          <w:sz w:val="24"/>
          <w:szCs w:val="24"/>
          <w:lang w:val="en-US" w:eastAsia="zh-CN"/>
        </w:rPr>
        <w:t>May 2</w:t>
      </w:r>
      <w:r w:rsidR="006552FC" w:rsidRPr="00C63E3F">
        <w:rPr>
          <w:rFonts w:ascii="Book Antiqua" w:eastAsia="宋体" w:hAnsi="Book Antiqua" w:cs="Times New Roman"/>
          <w:kern w:val="2"/>
          <w:sz w:val="24"/>
          <w:szCs w:val="24"/>
          <w:lang w:val="en-US" w:eastAsia="zh-CN"/>
        </w:rPr>
        <w:t>9</w:t>
      </w:r>
      <w:r w:rsidRPr="00C63E3F">
        <w:rPr>
          <w:rFonts w:ascii="Book Antiqua" w:eastAsia="宋体" w:hAnsi="Book Antiqua" w:cs="Times New Roman"/>
          <w:kern w:val="2"/>
          <w:sz w:val="24"/>
          <w:szCs w:val="24"/>
          <w:lang w:val="en-US" w:eastAsia="zh-CN"/>
        </w:rPr>
        <w:t>, 2015</w:t>
      </w:r>
      <w:bookmarkEnd w:id="6"/>
      <w:bookmarkEnd w:id="7"/>
    </w:p>
    <w:p w14:paraId="1B4553AF"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 xml:space="preserve">Peer-review started: </w:t>
      </w:r>
      <w:r w:rsidR="006552FC" w:rsidRPr="00C63E3F">
        <w:rPr>
          <w:rFonts w:ascii="Book Antiqua" w:eastAsia="宋体" w:hAnsi="Book Antiqua" w:cs="Times New Roman"/>
          <w:kern w:val="2"/>
          <w:sz w:val="24"/>
          <w:szCs w:val="24"/>
          <w:lang w:val="en-US" w:eastAsia="zh-CN"/>
        </w:rPr>
        <w:t>June</w:t>
      </w:r>
      <w:r w:rsidRPr="00C63E3F">
        <w:rPr>
          <w:rFonts w:ascii="Book Antiqua" w:eastAsia="宋体" w:hAnsi="Book Antiqua" w:cs="Times New Roman"/>
          <w:kern w:val="2"/>
          <w:sz w:val="24"/>
          <w:szCs w:val="24"/>
          <w:lang w:val="en-US" w:eastAsia="zh-CN"/>
        </w:rPr>
        <w:t xml:space="preserve"> </w:t>
      </w:r>
      <w:r w:rsidR="006552FC" w:rsidRPr="00C63E3F">
        <w:rPr>
          <w:rFonts w:ascii="Book Antiqua" w:eastAsia="宋体" w:hAnsi="Book Antiqua" w:cs="Times New Roman"/>
          <w:kern w:val="2"/>
          <w:sz w:val="24"/>
          <w:szCs w:val="24"/>
          <w:lang w:val="en-US" w:eastAsia="zh-CN"/>
        </w:rPr>
        <w:t>2</w:t>
      </w:r>
      <w:r w:rsidRPr="00C63E3F">
        <w:rPr>
          <w:rFonts w:ascii="Book Antiqua" w:eastAsia="宋体" w:hAnsi="Book Antiqua" w:cs="Times New Roman"/>
          <w:kern w:val="2"/>
          <w:sz w:val="24"/>
          <w:szCs w:val="24"/>
          <w:lang w:val="en-US" w:eastAsia="zh-CN"/>
        </w:rPr>
        <w:t>, 2015</w:t>
      </w:r>
    </w:p>
    <w:p w14:paraId="4DA82A61"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 xml:space="preserve">First decision: </w:t>
      </w:r>
      <w:r w:rsidR="006552FC" w:rsidRPr="00C63E3F">
        <w:rPr>
          <w:rFonts w:ascii="Book Antiqua" w:eastAsia="宋体" w:hAnsi="Book Antiqua" w:cs="Times New Roman"/>
          <w:kern w:val="2"/>
          <w:sz w:val="24"/>
          <w:szCs w:val="24"/>
          <w:lang w:val="en-US" w:eastAsia="zh-CN"/>
        </w:rPr>
        <w:t>August</w:t>
      </w:r>
      <w:r w:rsidRPr="00C63E3F">
        <w:rPr>
          <w:rFonts w:ascii="Book Antiqua" w:eastAsia="宋体" w:hAnsi="Book Antiqua" w:cs="Times New Roman"/>
          <w:kern w:val="2"/>
          <w:sz w:val="24"/>
          <w:szCs w:val="24"/>
          <w:lang w:val="en-US" w:eastAsia="zh-CN"/>
        </w:rPr>
        <w:t xml:space="preserve"> </w:t>
      </w:r>
      <w:r w:rsidR="00742FAD" w:rsidRPr="00C63E3F">
        <w:rPr>
          <w:rFonts w:ascii="Book Antiqua" w:eastAsia="宋体" w:hAnsi="Book Antiqua" w:cs="Times New Roman"/>
          <w:kern w:val="2"/>
          <w:sz w:val="24"/>
          <w:szCs w:val="24"/>
          <w:lang w:val="en-US" w:eastAsia="zh-CN"/>
        </w:rPr>
        <w:t>22</w:t>
      </w:r>
      <w:r w:rsidRPr="00C63E3F">
        <w:rPr>
          <w:rFonts w:ascii="Book Antiqua" w:eastAsia="宋体" w:hAnsi="Book Antiqua" w:cs="Times New Roman"/>
          <w:kern w:val="2"/>
          <w:sz w:val="24"/>
          <w:szCs w:val="24"/>
          <w:lang w:val="en-US" w:eastAsia="zh-CN"/>
        </w:rPr>
        <w:t>, 2015</w:t>
      </w:r>
    </w:p>
    <w:p w14:paraId="476EA1DB"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 xml:space="preserve">Revised: </w:t>
      </w:r>
      <w:r w:rsidR="006552FC" w:rsidRPr="00C63E3F">
        <w:rPr>
          <w:rFonts w:ascii="Book Antiqua" w:eastAsia="宋体" w:hAnsi="Book Antiqua" w:cs="Times New Roman"/>
          <w:kern w:val="2"/>
          <w:sz w:val="24"/>
          <w:szCs w:val="24"/>
          <w:lang w:val="en-US" w:eastAsia="zh-CN"/>
        </w:rPr>
        <w:t>September</w:t>
      </w:r>
      <w:r w:rsidRPr="00C63E3F">
        <w:rPr>
          <w:rFonts w:ascii="Book Antiqua" w:eastAsia="宋体" w:hAnsi="Book Antiqua" w:cs="Times New Roman"/>
          <w:kern w:val="2"/>
          <w:sz w:val="24"/>
          <w:szCs w:val="24"/>
          <w:lang w:val="en-US" w:eastAsia="zh-CN"/>
        </w:rPr>
        <w:t xml:space="preserve"> </w:t>
      </w:r>
      <w:r w:rsidR="006552FC" w:rsidRPr="00C63E3F">
        <w:rPr>
          <w:rFonts w:ascii="Book Antiqua" w:eastAsia="宋体" w:hAnsi="Book Antiqua" w:cs="Times New Roman"/>
          <w:kern w:val="2"/>
          <w:sz w:val="24"/>
          <w:szCs w:val="24"/>
          <w:lang w:val="en-US" w:eastAsia="zh-CN"/>
        </w:rPr>
        <w:t>4</w:t>
      </w:r>
      <w:r w:rsidRPr="00C63E3F">
        <w:rPr>
          <w:rFonts w:ascii="Book Antiqua" w:eastAsia="宋体" w:hAnsi="Book Antiqua" w:cs="Times New Roman"/>
          <w:kern w:val="2"/>
          <w:sz w:val="24"/>
          <w:szCs w:val="24"/>
          <w:lang w:val="en-US" w:eastAsia="zh-CN"/>
        </w:rPr>
        <w:t>, 2015</w:t>
      </w:r>
    </w:p>
    <w:p w14:paraId="7A44277F"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 xml:space="preserve">Accepted: </w:t>
      </w:r>
      <w:bookmarkStart w:id="8" w:name="_GoBack"/>
      <w:r w:rsidR="000E2C9C" w:rsidRPr="000E2C9C">
        <w:rPr>
          <w:rFonts w:ascii="Book Antiqua" w:eastAsia="宋体" w:hAnsi="Book Antiqua" w:cs="Times New Roman"/>
          <w:kern w:val="2"/>
          <w:sz w:val="24"/>
          <w:szCs w:val="24"/>
          <w:lang w:val="en-US" w:eastAsia="zh-CN"/>
        </w:rPr>
        <w:t>November 23, 2015</w:t>
      </w:r>
      <w:bookmarkEnd w:id="8"/>
    </w:p>
    <w:p w14:paraId="23AC2448" w14:textId="77777777" w:rsidR="002632D2" w:rsidRPr="00C63E3F" w:rsidRDefault="002632D2" w:rsidP="009A3E1D">
      <w:pPr>
        <w:widowControl w:val="0"/>
        <w:spacing w:after="0" w:line="360" w:lineRule="auto"/>
        <w:jc w:val="both"/>
        <w:rPr>
          <w:rFonts w:ascii="Book Antiqua" w:eastAsia="宋体" w:hAnsi="Book Antiqua" w:cs="Times New Roman"/>
          <w:b/>
          <w:kern w:val="2"/>
          <w:sz w:val="24"/>
          <w:szCs w:val="24"/>
          <w:lang w:val="en-US" w:eastAsia="zh-CN"/>
        </w:rPr>
      </w:pPr>
      <w:r w:rsidRPr="00C63E3F">
        <w:rPr>
          <w:rFonts w:ascii="Book Antiqua" w:eastAsia="宋体" w:hAnsi="Book Antiqua" w:cs="Times New Roman"/>
          <w:b/>
          <w:kern w:val="2"/>
          <w:sz w:val="24"/>
          <w:szCs w:val="24"/>
          <w:lang w:val="en-US" w:eastAsia="zh-CN"/>
        </w:rPr>
        <w:t>Article in press:</w:t>
      </w:r>
      <w:r w:rsidRPr="00C63E3F">
        <w:rPr>
          <w:rFonts w:ascii="Book Antiqua" w:eastAsia="宋体" w:hAnsi="Book Antiqua" w:cs="Times New Roman"/>
          <w:kern w:val="2"/>
          <w:sz w:val="24"/>
          <w:szCs w:val="24"/>
          <w:lang w:val="en-US" w:eastAsia="zh-CN"/>
        </w:rPr>
        <w:t xml:space="preserve"> </w:t>
      </w:r>
    </w:p>
    <w:p w14:paraId="1DF89C6D" w14:textId="77777777" w:rsidR="002632D2" w:rsidRPr="00C63E3F" w:rsidRDefault="002632D2" w:rsidP="009A3E1D">
      <w:pPr>
        <w:spacing w:after="0" w:line="360" w:lineRule="auto"/>
        <w:jc w:val="both"/>
        <w:rPr>
          <w:rFonts w:ascii="Book Antiqua" w:hAnsi="Book Antiqua"/>
          <w:sz w:val="24"/>
          <w:szCs w:val="24"/>
          <w:lang w:val="en-US" w:eastAsia="zh-CN"/>
        </w:rPr>
      </w:pPr>
      <w:r w:rsidRPr="00C63E3F">
        <w:rPr>
          <w:rFonts w:ascii="Book Antiqua" w:eastAsia="宋体" w:hAnsi="Book Antiqua" w:cs="Times New Roman"/>
          <w:b/>
          <w:kern w:val="2"/>
          <w:sz w:val="24"/>
          <w:szCs w:val="24"/>
          <w:lang w:val="en-US" w:eastAsia="zh-CN"/>
        </w:rPr>
        <w:t>Published online:</w:t>
      </w:r>
    </w:p>
    <w:p w14:paraId="6595B2E6" w14:textId="77777777" w:rsidR="00B04373" w:rsidRPr="00C63E3F" w:rsidRDefault="00B04373"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eastAsia="zh-CN"/>
        </w:rPr>
        <w:br w:type="page"/>
      </w:r>
    </w:p>
    <w:p w14:paraId="3AFD0F53" w14:textId="77777777" w:rsidR="00322531" w:rsidRPr="00C63E3F" w:rsidRDefault="00D81B28" w:rsidP="009A3E1D">
      <w:pPr>
        <w:spacing w:after="0" w:line="360" w:lineRule="auto"/>
        <w:jc w:val="both"/>
        <w:rPr>
          <w:rFonts w:ascii="Book Antiqua" w:hAnsi="Book Antiqua"/>
          <w:b/>
          <w:sz w:val="24"/>
          <w:szCs w:val="24"/>
          <w:lang w:val="en-US" w:eastAsia="zh-CN"/>
        </w:rPr>
      </w:pPr>
      <w:r w:rsidRPr="00C63E3F">
        <w:rPr>
          <w:rFonts w:ascii="Book Antiqua" w:hAnsi="Book Antiqua"/>
          <w:b/>
          <w:sz w:val="24"/>
          <w:szCs w:val="24"/>
          <w:lang w:val="en-US" w:eastAsia="zh-CN"/>
        </w:rPr>
        <w:lastRenderedPageBreak/>
        <w:t>Abstract</w:t>
      </w:r>
      <w:r w:rsidR="00322531" w:rsidRPr="00C63E3F">
        <w:rPr>
          <w:rFonts w:ascii="Book Antiqua" w:hAnsi="Book Antiqua"/>
          <w:b/>
          <w:sz w:val="24"/>
          <w:szCs w:val="24"/>
          <w:lang w:val="en-US"/>
        </w:rPr>
        <w:t xml:space="preserve"> </w:t>
      </w:r>
    </w:p>
    <w:p w14:paraId="1941C0F7" w14:textId="77777777" w:rsidR="00322531" w:rsidRPr="00C63E3F" w:rsidRDefault="00322531"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AIM</w:t>
      </w:r>
      <w:r w:rsidR="00CF3998" w:rsidRPr="00C63E3F">
        <w:rPr>
          <w:rFonts w:ascii="Book Antiqua" w:hAnsi="Book Antiqua"/>
          <w:b/>
          <w:sz w:val="24"/>
          <w:szCs w:val="24"/>
          <w:lang w:val="en-US" w:eastAsia="zh-CN"/>
        </w:rPr>
        <w:t>:</w:t>
      </w:r>
      <w:r w:rsidRPr="00C63E3F">
        <w:rPr>
          <w:rFonts w:ascii="Book Antiqua" w:hAnsi="Book Antiqua"/>
          <w:b/>
          <w:sz w:val="24"/>
          <w:szCs w:val="24"/>
          <w:lang w:val="en-US" w:eastAsia="zh-CN"/>
        </w:rPr>
        <w:t xml:space="preserve"> </w:t>
      </w:r>
      <w:r w:rsidR="00CF3998" w:rsidRPr="00C63E3F">
        <w:rPr>
          <w:rFonts w:ascii="Book Antiqua" w:hAnsi="Book Antiqua"/>
          <w:sz w:val="24"/>
          <w:szCs w:val="24"/>
          <w:lang w:val="en-US" w:eastAsia="zh-CN"/>
        </w:rPr>
        <w:t>To evaluate the different role of thrombophilia, in patients with and without viral etiology, t</w:t>
      </w:r>
      <w:r w:rsidRPr="00C63E3F">
        <w:rPr>
          <w:rFonts w:ascii="Book Antiqua" w:hAnsi="Book Antiqua"/>
          <w:sz w:val="24"/>
          <w:szCs w:val="24"/>
          <w:lang w:val="en-US" w:eastAsia="zh-CN"/>
        </w:rPr>
        <w:t>he thrombophilic genetic factors (THRGFs), PAI-1 4G-4G, MTHFR677TT, V Leiden 506Q and Prothrombin</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20210A</w:t>
      </w:r>
      <w:r w:rsidR="001770F8"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have been studied as risk factors in </w:t>
      </w:r>
      <w:r w:rsidR="001770F8" w:rsidRPr="00C63E3F">
        <w:rPr>
          <w:rFonts w:ascii="Book Antiqua" w:hAnsi="Book Antiqua"/>
          <w:sz w:val="24"/>
          <w:szCs w:val="24"/>
          <w:lang w:val="en-US" w:eastAsia="zh-CN"/>
        </w:rPr>
        <w:t xml:space="preserve">1089 </w:t>
      </w:r>
      <w:r w:rsidRPr="00C63E3F">
        <w:rPr>
          <w:rFonts w:ascii="Book Antiqua" w:hAnsi="Book Antiqua"/>
          <w:sz w:val="24"/>
          <w:szCs w:val="24"/>
          <w:lang w:val="en-US" w:eastAsia="zh-CN"/>
        </w:rPr>
        <w:t xml:space="preserve">patients with liver cirrhosis (LC), enrolled from January 2000 to January 2014. </w:t>
      </w:r>
    </w:p>
    <w:p w14:paraId="0A948718" w14:textId="77777777" w:rsidR="00B04373" w:rsidRPr="00C63E3F" w:rsidRDefault="00B04373" w:rsidP="009A3E1D">
      <w:pPr>
        <w:spacing w:after="0" w:line="360" w:lineRule="auto"/>
        <w:jc w:val="both"/>
        <w:rPr>
          <w:rFonts w:ascii="Book Antiqua" w:hAnsi="Book Antiqua"/>
          <w:sz w:val="24"/>
          <w:szCs w:val="24"/>
          <w:lang w:val="en-US" w:eastAsia="zh-CN"/>
        </w:rPr>
      </w:pPr>
    </w:p>
    <w:p w14:paraId="7F0F6281" w14:textId="77777777" w:rsidR="000B544A" w:rsidRPr="00C63E3F" w:rsidRDefault="00322531"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METHODS</w:t>
      </w:r>
      <w:r w:rsidR="00CF3998" w:rsidRPr="00C63E3F">
        <w:rPr>
          <w:rFonts w:ascii="Book Antiqua" w:hAnsi="Book Antiqua"/>
          <w:b/>
          <w:sz w:val="24"/>
          <w:szCs w:val="24"/>
          <w:lang w:val="en-US" w:eastAsia="zh-CN"/>
        </w:rPr>
        <w:t>:</w:t>
      </w:r>
      <w:r w:rsidR="00B0711C" w:rsidRPr="00C63E3F">
        <w:rPr>
          <w:rFonts w:ascii="Book Antiqua" w:hAnsi="Book Antiqua"/>
          <w:b/>
          <w:sz w:val="24"/>
          <w:szCs w:val="24"/>
          <w:lang w:val="en-US" w:eastAsia="zh-CN"/>
        </w:rPr>
        <w:t xml:space="preserve"> </w:t>
      </w:r>
      <w:r w:rsidR="00CF3998" w:rsidRPr="00C63E3F">
        <w:rPr>
          <w:rFonts w:ascii="Book Antiqua" w:hAnsi="Book Antiqua"/>
          <w:sz w:val="24"/>
          <w:szCs w:val="24"/>
          <w:lang w:val="en-US" w:eastAsia="zh-CN"/>
        </w:rPr>
        <w:t>A</w:t>
      </w:r>
      <w:r w:rsidRPr="00C63E3F">
        <w:rPr>
          <w:rFonts w:ascii="Book Antiqua" w:hAnsi="Book Antiqua"/>
          <w:sz w:val="24"/>
          <w:szCs w:val="24"/>
          <w:lang w:val="en-US" w:eastAsia="zh-CN"/>
        </w:rPr>
        <w:t xml:space="preserve">ll Caucasian </w:t>
      </w:r>
      <w:r w:rsidR="00255EA7" w:rsidRPr="00C63E3F">
        <w:rPr>
          <w:rFonts w:ascii="Book Antiqua" w:hAnsi="Book Antiqua"/>
          <w:sz w:val="24"/>
          <w:szCs w:val="24"/>
          <w:lang w:val="en-US" w:eastAsia="zh-CN"/>
        </w:rPr>
        <w:t xml:space="preserve">LC </w:t>
      </w:r>
      <w:r w:rsidRPr="00C63E3F">
        <w:rPr>
          <w:rFonts w:ascii="Book Antiqua" w:hAnsi="Book Antiqua"/>
          <w:sz w:val="24"/>
          <w:szCs w:val="24"/>
          <w:lang w:val="en-US" w:eastAsia="zh-CN"/>
        </w:rPr>
        <w:t xml:space="preserve">patients, consecutively observed </w:t>
      </w:r>
      <w:r w:rsidR="00B0711C" w:rsidRPr="00C63E3F">
        <w:rPr>
          <w:rFonts w:ascii="Book Antiqua" w:hAnsi="Book Antiqua"/>
          <w:sz w:val="24"/>
          <w:szCs w:val="24"/>
          <w:lang w:val="en-US" w:eastAsia="zh-CN"/>
        </w:rPr>
        <w:t xml:space="preserve">in a </w:t>
      </w:r>
      <w:r w:rsidR="001329D5" w:rsidRPr="00C63E3F">
        <w:rPr>
          <w:rFonts w:ascii="Book Antiqua" w:hAnsi="Book Antiqua"/>
          <w:sz w:val="24"/>
          <w:szCs w:val="24"/>
          <w:lang w:val="en-US" w:eastAsia="zh-CN"/>
        </w:rPr>
        <w:t>seven-year</w:t>
      </w:r>
      <w:r w:rsidR="00B0711C" w:rsidRPr="00C63E3F">
        <w:rPr>
          <w:rFonts w:ascii="Book Antiqua" w:hAnsi="Book Antiqua"/>
          <w:sz w:val="24"/>
          <w:szCs w:val="24"/>
          <w:lang w:val="en-US" w:eastAsia="zh-CN"/>
        </w:rPr>
        <w:t xml:space="preserve"> period, </w:t>
      </w:r>
      <w:r w:rsidR="00CF3998" w:rsidRPr="00C63E3F">
        <w:rPr>
          <w:rFonts w:ascii="Book Antiqua" w:hAnsi="Book Antiqua"/>
          <w:sz w:val="24"/>
          <w:szCs w:val="24"/>
          <w:lang w:val="en-US" w:eastAsia="zh-CN"/>
        </w:rPr>
        <w:t>were included</w:t>
      </w:r>
      <w:r w:rsidR="001770F8"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w:t>
      </w:r>
      <w:r w:rsidR="008A604D" w:rsidRPr="00C63E3F">
        <w:rPr>
          <w:rFonts w:ascii="Book Antiqua" w:hAnsi="Book Antiqua"/>
          <w:sz w:val="24"/>
          <w:szCs w:val="24"/>
          <w:lang w:val="en-US" w:eastAsia="zh-CN"/>
        </w:rPr>
        <w:t xml:space="preserve">the </w:t>
      </w:r>
      <w:r w:rsidRPr="00C63E3F">
        <w:rPr>
          <w:rFonts w:ascii="Book Antiqua" w:hAnsi="Book Antiqua"/>
          <w:sz w:val="24"/>
          <w:szCs w:val="24"/>
          <w:lang w:val="en-US" w:eastAsia="zh-CN"/>
        </w:rPr>
        <w:t xml:space="preserve">presence of </w:t>
      </w:r>
      <w:r w:rsidR="001770F8" w:rsidRPr="00C63E3F">
        <w:rPr>
          <w:rFonts w:ascii="Book Antiqua" w:hAnsi="Book Antiqua"/>
          <w:sz w:val="24"/>
          <w:szCs w:val="24"/>
          <w:lang w:val="en-US" w:eastAsia="zh-CN"/>
        </w:rPr>
        <w:t>portal vein thrombosis (</w:t>
      </w:r>
      <w:r w:rsidRPr="00C63E3F">
        <w:rPr>
          <w:rFonts w:ascii="Book Antiqua" w:hAnsi="Book Antiqua"/>
          <w:sz w:val="24"/>
          <w:szCs w:val="24"/>
          <w:lang w:val="en-US" w:eastAsia="zh-CN"/>
        </w:rPr>
        <w:t>PVT</w:t>
      </w:r>
      <w:r w:rsidR="001770F8"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w:t>
      </w:r>
      <w:r w:rsidR="008A604D" w:rsidRPr="00C63E3F">
        <w:rPr>
          <w:rFonts w:ascii="Book Antiqua" w:hAnsi="Book Antiqua"/>
          <w:sz w:val="24"/>
          <w:szCs w:val="24"/>
          <w:lang w:val="en-US" w:eastAsia="zh-CN"/>
        </w:rPr>
        <w:t xml:space="preserve">and Budd Chiari Syndrome (BCS) </w:t>
      </w:r>
      <w:r w:rsidRPr="00C63E3F">
        <w:rPr>
          <w:rFonts w:ascii="Book Antiqua" w:hAnsi="Book Antiqua"/>
          <w:sz w:val="24"/>
          <w:szCs w:val="24"/>
          <w:lang w:val="en-US" w:eastAsia="zh-CN"/>
        </w:rPr>
        <w:t>was registered</w:t>
      </w:r>
      <w:r w:rsidR="00B0711C" w:rsidRPr="00C63E3F">
        <w:rPr>
          <w:rFonts w:ascii="Book Antiqua" w:hAnsi="Book Antiqua"/>
          <w:sz w:val="24"/>
          <w:szCs w:val="24"/>
          <w:lang w:val="en-US" w:eastAsia="zh-CN"/>
        </w:rPr>
        <w:t>. T</w:t>
      </w:r>
      <w:r w:rsidRPr="00C63E3F">
        <w:rPr>
          <w:rFonts w:ascii="Book Antiqua" w:hAnsi="Book Antiqua"/>
          <w:sz w:val="24"/>
          <w:szCs w:val="24"/>
          <w:lang w:val="en-US" w:eastAsia="zh-CN"/>
        </w:rPr>
        <w:t xml:space="preserve">he differences between the proportions of each THRGF, in relation to presence or absence of viral etiology, </w:t>
      </w:r>
      <w:r w:rsidR="00CF3998" w:rsidRPr="00C63E3F">
        <w:rPr>
          <w:rFonts w:ascii="Book Antiqua" w:hAnsi="Book Antiqua"/>
          <w:sz w:val="24"/>
          <w:szCs w:val="24"/>
          <w:lang w:val="en-US" w:eastAsia="zh-CN"/>
        </w:rPr>
        <w:t xml:space="preserve">and </w:t>
      </w:r>
      <w:r w:rsidRPr="00C63E3F">
        <w:rPr>
          <w:rFonts w:ascii="Book Antiqua" w:hAnsi="Book Antiqua"/>
          <w:sz w:val="24"/>
          <w:szCs w:val="24"/>
          <w:lang w:val="en-US" w:eastAsia="zh-CN"/>
        </w:rPr>
        <w:t>the frequencies of the THRGF genotypes with those predicted in a population by Hardy-Weinberg equilibrium</w:t>
      </w:r>
      <w:r w:rsidR="008A604D" w:rsidRPr="00C63E3F">
        <w:rPr>
          <w:rFonts w:ascii="Book Antiqua" w:hAnsi="Book Antiqua"/>
          <w:sz w:val="24"/>
          <w:szCs w:val="24"/>
          <w:lang w:val="en-US" w:eastAsia="zh-CN"/>
        </w:rPr>
        <w:t>,</w:t>
      </w:r>
      <w:r w:rsidR="006732FA" w:rsidRPr="00C63E3F">
        <w:rPr>
          <w:rFonts w:ascii="Book Antiqua" w:hAnsi="Book Antiqua"/>
          <w:sz w:val="24"/>
          <w:szCs w:val="24"/>
          <w:lang w:val="en-US" w:eastAsia="zh-CN"/>
        </w:rPr>
        <w:t xml:space="preserve"> were registered</w:t>
      </w:r>
      <w:r w:rsidR="000B544A" w:rsidRPr="00C63E3F">
        <w:rPr>
          <w:rFonts w:ascii="Book Antiqua" w:hAnsi="Book Antiqua"/>
          <w:sz w:val="24"/>
          <w:szCs w:val="24"/>
          <w:lang w:val="en-US" w:eastAsia="zh-CN"/>
        </w:rPr>
        <w:t>.</w:t>
      </w:r>
    </w:p>
    <w:p w14:paraId="0C42F750" w14:textId="77777777" w:rsidR="00B04373" w:rsidRPr="00C63E3F" w:rsidRDefault="00B04373" w:rsidP="009A3E1D">
      <w:pPr>
        <w:spacing w:after="0" w:line="360" w:lineRule="auto"/>
        <w:jc w:val="both"/>
        <w:rPr>
          <w:rFonts w:ascii="Book Antiqua" w:hAnsi="Book Antiqua"/>
          <w:sz w:val="24"/>
          <w:szCs w:val="24"/>
          <w:lang w:val="en-US" w:eastAsia="zh-CN"/>
        </w:rPr>
      </w:pPr>
    </w:p>
    <w:p w14:paraId="001662B3" w14:textId="77777777" w:rsidR="00322531" w:rsidRPr="00C63E3F" w:rsidRDefault="00322531"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RESULTS</w:t>
      </w:r>
      <w:r w:rsidR="000B544A" w:rsidRPr="00C63E3F">
        <w:rPr>
          <w:rFonts w:ascii="Book Antiqua" w:hAnsi="Book Antiqua"/>
          <w:b/>
          <w:sz w:val="24"/>
          <w:szCs w:val="24"/>
          <w:lang w:val="en-US" w:eastAsia="zh-CN"/>
        </w:rPr>
        <w:t>:</w:t>
      </w:r>
      <w:r w:rsidR="00255EA7" w:rsidRPr="00C63E3F">
        <w:rPr>
          <w:rFonts w:ascii="Book Antiqua" w:hAnsi="Book Antiqua"/>
          <w:b/>
          <w:sz w:val="24"/>
          <w:szCs w:val="24"/>
          <w:lang w:val="en-US" w:eastAsia="zh-CN"/>
        </w:rPr>
        <w:t xml:space="preserve"> </w:t>
      </w:r>
      <w:r w:rsidR="00255EA7" w:rsidRPr="00C63E3F">
        <w:rPr>
          <w:rFonts w:ascii="Book Antiqua" w:hAnsi="Book Antiqua"/>
          <w:sz w:val="24"/>
          <w:szCs w:val="24"/>
          <w:lang w:val="en-US" w:eastAsia="zh-CN"/>
        </w:rPr>
        <w:t>417/1079 patients (38.6%) showed thrombophilia: 217 PAI-1 4G-4G, 176 MTHFR C677TT, 71 V Leiden Factor, 41 Prothrombin G20210 A, 84 more than 1 THRGF</w:t>
      </w:r>
      <w:r w:rsidR="006732FA" w:rsidRPr="00C63E3F">
        <w:rPr>
          <w:rFonts w:ascii="Book Antiqua" w:hAnsi="Book Antiqua"/>
          <w:sz w:val="24"/>
          <w:szCs w:val="24"/>
          <w:lang w:val="en-US" w:eastAsia="zh-CN"/>
        </w:rPr>
        <w:t>;</w:t>
      </w:r>
      <w:r w:rsidR="00255EA7" w:rsidRPr="00C63E3F">
        <w:rPr>
          <w:rFonts w:ascii="Book Antiqua" w:hAnsi="Book Antiqua"/>
          <w:sz w:val="24"/>
          <w:szCs w:val="24"/>
          <w:lang w:val="en-US" w:eastAsia="zh-CN"/>
        </w:rPr>
        <w:t xml:space="preserve"> 350 presente</w:t>
      </w:r>
      <w:r w:rsidR="00FD43BF" w:rsidRPr="00C63E3F">
        <w:rPr>
          <w:rFonts w:ascii="Book Antiqua" w:hAnsi="Book Antiqua"/>
          <w:sz w:val="24"/>
          <w:szCs w:val="24"/>
          <w:lang w:val="en-US" w:eastAsia="zh-CN"/>
        </w:rPr>
        <w:t>d</w:t>
      </w:r>
      <w:r w:rsidR="00255EA7" w:rsidRPr="00C63E3F">
        <w:rPr>
          <w:rFonts w:ascii="Book Antiqua" w:hAnsi="Book Antiqua"/>
          <w:sz w:val="24"/>
          <w:szCs w:val="24"/>
          <w:lang w:val="en-US" w:eastAsia="zh-CN"/>
        </w:rPr>
        <w:t xml:space="preserve"> </w:t>
      </w:r>
      <w:r w:rsidR="00FD43BF" w:rsidRPr="00C63E3F">
        <w:rPr>
          <w:rFonts w:ascii="Book Antiqua" w:hAnsi="Book Antiqua"/>
          <w:sz w:val="24"/>
          <w:szCs w:val="24"/>
          <w:lang w:val="en-US" w:eastAsia="zh-CN"/>
        </w:rPr>
        <w:t>no viral liver cirrhosis (NVLC), and</w:t>
      </w:r>
      <w:r w:rsidR="00255EA7" w:rsidRPr="00C63E3F">
        <w:rPr>
          <w:rFonts w:ascii="Book Antiqua" w:hAnsi="Book Antiqua"/>
          <w:sz w:val="24"/>
          <w:szCs w:val="24"/>
          <w:lang w:val="en-US" w:eastAsia="zh-CN"/>
        </w:rPr>
        <w:t xml:space="preserve"> </w:t>
      </w:r>
      <w:r w:rsidR="000B544A" w:rsidRPr="00C63E3F">
        <w:rPr>
          <w:rFonts w:ascii="Book Antiqua" w:hAnsi="Book Antiqua"/>
          <w:sz w:val="24"/>
          <w:szCs w:val="24"/>
          <w:lang w:val="en-US" w:eastAsia="zh-CN"/>
        </w:rPr>
        <w:t xml:space="preserve">739 </w:t>
      </w:r>
      <w:r w:rsidR="00FD43BF" w:rsidRPr="00C63E3F">
        <w:rPr>
          <w:rFonts w:ascii="Book Antiqua" w:hAnsi="Book Antiqua"/>
          <w:sz w:val="24"/>
          <w:szCs w:val="24"/>
          <w:lang w:val="en-US" w:eastAsia="zh-CN"/>
        </w:rPr>
        <w:t>did,</w:t>
      </w:r>
      <w:r w:rsidR="000B544A" w:rsidRPr="00C63E3F">
        <w:rPr>
          <w:rFonts w:ascii="Book Antiqua" w:hAnsi="Book Antiqua"/>
          <w:sz w:val="24"/>
          <w:szCs w:val="24"/>
          <w:lang w:val="en-US" w:eastAsia="zh-CN"/>
        </w:rPr>
        <w:t xml:space="preserve"> called viral</w:t>
      </w:r>
      <w:r w:rsidR="00CB1424" w:rsidRPr="00C63E3F">
        <w:rPr>
          <w:rFonts w:ascii="Book Antiqua" w:hAnsi="Book Antiqua"/>
          <w:sz w:val="24"/>
          <w:szCs w:val="24"/>
          <w:lang w:val="en-US" w:eastAsia="zh-CN"/>
        </w:rPr>
        <w:t xml:space="preserve"> liver</w:t>
      </w:r>
      <w:r w:rsidR="000B544A" w:rsidRPr="00C63E3F">
        <w:rPr>
          <w:rFonts w:ascii="Book Antiqua" w:hAnsi="Book Antiqua"/>
          <w:sz w:val="24"/>
          <w:szCs w:val="24"/>
          <w:lang w:val="en-US" w:eastAsia="zh-CN"/>
        </w:rPr>
        <w:t xml:space="preserve"> cirrhosis (VLC), of whom 56 patients HCV</w:t>
      </w:r>
      <w:r w:rsidR="000B544A" w:rsidRPr="00C63E3F">
        <w:rPr>
          <w:rFonts w:ascii="Book Antiqua" w:hAnsi="Book Antiqua"/>
          <w:sz w:val="24"/>
          <w:szCs w:val="24"/>
          <w:vertAlign w:val="superscript"/>
          <w:lang w:val="en-US" w:eastAsia="zh-CN"/>
        </w:rPr>
        <w:t>+</w:t>
      </w:r>
      <w:r w:rsidR="000B544A" w:rsidRPr="00C63E3F">
        <w:rPr>
          <w:rFonts w:ascii="Book Antiqua" w:hAnsi="Book Antiqua"/>
          <w:sz w:val="24"/>
          <w:szCs w:val="24"/>
          <w:lang w:val="en-US" w:eastAsia="zh-CN"/>
        </w:rPr>
        <w:t xml:space="preserve"> HBV</w:t>
      </w:r>
      <w:r w:rsidR="006732FA"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PAI-1 4G-4G, MTHFRC677TT, presence of </w:t>
      </w:r>
      <w:r w:rsidR="00CB1424" w:rsidRPr="00C63E3F">
        <w:rPr>
          <w:rFonts w:ascii="Book Antiqua" w:hAnsi="Book Antiqua"/>
          <w:sz w:val="24"/>
          <w:szCs w:val="24"/>
          <w:lang w:val="en-US" w:eastAsia="zh-CN"/>
        </w:rPr>
        <w:t xml:space="preserve">at least one TRHGF and </w:t>
      </w:r>
      <w:r w:rsidR="003A6D1C" w:rsidRPr="00C63E3F">
        <w:rPr>
          <w:rFonts w:ascii="Book Antiqua" w:hAnsi="Book Antiqua"/>
          <w:sz w:val="24"/>
          <w:szCs w:val="24"/>
          <w:lang w:val="en-US" w:eastAsia="zh-CN"/>
        </w:rPr>
        <w:t>presence of &gt; 1 THRGF</w:t>
      </w:r>
      <w:r w:rsidR="008A604D"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 xml:space="preserve">were statistically more frequent in patients with NVLC </w:t>
      </w:r>
      <w:r w:rsidRPr="00C63E3F">
        <w:rPr>
          <w:rFonts w:ascii="Book Antiqua" w:hAnsi="Book Antiqua"/>
          <w:i/>
          <w:sz w:val="24"/>
          <w:szCs w:val="24"/>
          <w:lang w:val="en-US" w:eastAsia="zh-CN"/>
        </w:rPr>
        <w:t>vs</w:t>
      </w:r>
      <w:r w:rsidRPr="00C63E3F">
        <w:rPr>
          <w:rFonts w:ascii="Book Antiqua" w:hAnsi="Book Antiqua"/>
          <w:sz w:val="24"/>
          <w:szCs w:val="24"/>
          <w:lang w:val="en-US" w:eastAsia="zh-CN"/>
        </w:rPr>
        <w:t xml:space="preserve"> patients with VLC: all </w:t>
      </w:r>
      <w:r w:rsidR="00B04373" w:rsidRPr="00C63E3F">
        <w:rPr>
          <w:rFonts w:ascii="Book Antiqua" w:hAnsi="Book Antiqua"/>
          <w:i/>
          <w:sz w:val="24"/>
          <w:szCs w:val="24"/>
        </w:rPr>
        <w:sym w:font="Symbol" w:char="F063"/>
      </w:r>
      <w:r w:rsidR="00B04373" w:rsidRPr="00C63E3F">
        <w:rPr>
          <w:rFonts w:ascii="Book Antiqua" w:hAnsi="Book Antiqua"/>
          <w:sz w:val="24"/>
          <w:szCs w:val="24"/>
          <w:vertAlign w:val="superscript"/>
          <w:lang w:val="en-US" w:eastAsia="zh-CN"/>
        </w:rPr>
        <w:t>2</w:t>
      </w:r>
      <w:r w:rsidRPr="00C63E3F">
        <w:rPr>
          <w:rFonts w:ascii="Book Antiqua" w:hAnsi="Book Antiqua"/>
          <w:sz w:val="24"/>
          <w:szCs w:val="24"/>
          <w:lang w:val="en-US" w:eastAsia="zh-CN"/>
        </w:rPr>
        <w:t xml:space="preserve"> &gt; 3.85 and </w:t>
      </w:r>
      <w:r w:rsidR="00B04373" w:rsidRPr="00C63E3F">
        <w:rPr>
          <w:rFonts w:ascii="Book Antiqua" w:hAnsi="Book Antiqua"/>
          <w:i/>
          <w:sz w:val="24"/>
          <w:szCs w:val="24"/>
          <w:lang w:val="en-US" w:eastAsia="zh-CN"/>
        </w:rPr>
        <w:t>P</w:t>
      </w:r>
      <w:r w:rsidRPr="00C63E3F">
        <w:rPr>
          <w:rFonts w:ascii="Book Antiqua" w:hAnsi="Book Antiqua"/>
          <w:sz w:val="24"/>
          <w:szCs w:val="24"/>
          <w:lang w:val="en-US" w:eastAsia="zh-CN"/>
        </w:rPr>
        <w:t xml:space="preserve"> &lt; 0.05. </w:t>
      </w:r>
      <w:r w:rsidR="006732FA" w:rsidRPr="00C63E3F">
        <w:rPr>
          <w:rFonts w:ascii="Book Antiqua" w:hAnsi="Book Antiqua"/>
          <w:sz w:val="24"/>
          <w:szCs w:val="24"/>
          <w:lang w:val="en-US" w:eastAsia="zh-CN"/>
        </w:rPr>
        <w:t>Patients with PVT</w:t>
      </w:r>
      <w:r w:rsidR="008A604D" w:rsidRPr="00C63E3F">
        <w:rPr>
          <w:rFonts w:ascii="Book Antiqua" w:hAnsi="Book Antiqua"/>
          <w:sz w:val="24"/>
          <w:szCs w:val="24"/>
          <w:lang w:val="en-US" w:eastAsia="zh-CN"/>
        </w:rPr>
        <w:t xml:space="preserve"> </w:t>
      </w:r>
      <w:r w:rsidR="006732FA" w:rsidRPr="00C63E3F">
        <w:rPr>
          <w:rFonts w:ascii="Book Antiqua" w:hAnsi="Book Antiqua"/>
          <w:sz w:val="24"/>
          <w:szCs w:val="24"/>
          <w:lang w:val="en-US" w:eastAsia="zh-CN"/>
        </w:rPr>
        <w:t xml:space="preserve">and/or BCS </w:t>
      </w:r>
      <w:r w:rsidR="008A604D" w:rsidRPr="00C63E3F">
        <w:rPr>
          <w:rFonts w:ascii="Book Antiqua" w:hAnsi="Book Antiqua"/>
          <w:sz w:val="24"/>
          <w:szCs w:val="24"/>
          <w:lang w:val="en-US" w:eastAsia="zh-CN"/>
        </w:rPr>
        <w:t xml:space="preserve">with </w:t>
      </w:r>
      <w:r w:rsidR="006732FA" w:rsidRPr="00C63E3F">
        <w:rPr>
          <w:rFonts w:ascii="Book Antiqua" w:hAnsi="Book Antiqua"/>
          <w:sz w:val="24"/>
          <w:szCs w:val="24"/>
          <w:lang w:val="en-US" w:eastAsia="zh-CN"/>
        </w:rPr>
        <w:t>at least one TRHGF were 189/352</w:t>
      </w:r>
      <w:r w:rsidR="00CB1424" w:rsidRPr="00C63E3F">
        <w:rPr>
          <w:rFonts w:ascii="Book Antiqua" w:hAnsi="Book Antiqua"/>
          <w:sz w:val="24"/>
          <w:szCs w:val="24"/>
          <w:lang w:val="en-US" w:eastAsia="zh-CN"/>
        </w:rPr>
        <w:t xml:space="preserve"> (53.7%)</w:t>
      </w:r>
      <w:r w:rsidR="006732FA" w:rsidRPr="00C63E3F">
        <w:rPr>
          <w:rFonts w:ascii="Book Antiqua" w:hAnsi="Book Antiqua"/>
          <w:sz w:val="24"/>
          <w:szCs w:val="24"/>
          <w:lang w:val="en-US" w:eastAsia="zh-CN"/>
        </w:rPr>
        <w:t>.</w:t>
      </w:r>
      <w:r w:rsidR="005C199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Hardy-Weinberg of PAI-1 and MTHFR 677 genotypes deviated from that expected from a population in equilibrium</w:t>
      </w:r>
      <w:r w:rsidR="00CB1424" w:rsidRPr="00C63E3F">
        <w:rPr>
          <w:rFonts w:ascii="Book Antiqua" w:hAnsi="Book Antiqua"/>
          <w:sz w:val="24"/>
          <w:szCs w:val="24"/>
          <w:lang w:val="en-US" w:eastAsia="zh-CN"/>
        </w:rPr>
        <w:t>,</w:t>
      </w:r>
      <w:r w:rsidRPr="00C63E3F">
        <w:rPr>
          <w:rFonts w:ascii="Book Antiqua" w:hAnsi="Book Antiqua"/>
          <w:sz w:val="24"/>
          <w:szCs w:val="24"/>
          <w:lang w:val="en-US" w:eastAsia="zh-CN"/>
        </w:rPr>
        <w:t xml:space="preserve"> in patients with NVLC (respectively </w:t>
      </w:r>
      <w:r w:rsidR="00B04373" w:rsidRPr="00C63E3F">
        <w:rPr>
          <w:rFonts w:ascii="Book Antiqua" w:hAnsi="Book Antiqua"/>
          <w:i/>
          <w:sz w:val="24"/>
          <w:szCs w:val="24"/>
        </w:rPr>
        <w:sym w:font="Symbol" w:char="F063"/>
      </w:r>
      <w:r w:rsidR="00B04373" w:rsidRPr="00C63E3F">
        <w:rPr>
          <w:rFonts w:ascii="Book Antiqua" w:hAnsi="Book Antiqua"/>
          <w:sz w:val="24"/>
          <w:szCs w:val="24"/>
          <w:vertAlign w:val="superscript"/>
          <w:lang w:val="en-US" w:eastAsia="zh-CN"/>
        </w:rPr>
        <w:t>2</w:t>
      </w:r>
      <w:r w:rsidR="00B0437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 xml:space="preserve"> 39.3; </w:t>
      </w:r>
      <w:r w:rsidR="00B04373" w:rsidRPr="00C63E3F">
        <w:rPr>
          <w:rFonts w:ascii="Book Antiqua" w:hAnsi="Book Antiqua"/>
          <w:i/>
          <w:sz w:val="24"/>
          <w:szCs w:val="24"/>
          <w:lang w:val="en-US" w:eastAsia="zh-CN"/>
        </w:rPr>
        <w:t>P</w:t>
      </w:r>
      <w:r w:rsidR="00B0437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&lt;</w:t>
      </w:r>
      <w:r w:rsidR="00B0437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 xml:space="preserve">0.000 and </w:t>
      </w:r>
      <w:r w:rsidR="00B04373" w:rsidRPr="00C63E3F">
        <w:rPr>
          <w:rFonts w:ascii="Book Antiqua" w:hAnsi="Book Antiqua"/>
          <w:i/>
          <w:sz w:val="24"/>
          <w:szCs w:val="24"/>
        </w:rPr>
        <w:sym w:font="Symbol" w:char="F063"/>
      </w:r>
      <w:r w:rsidR="00B04373" w:rsidRPr="00C63E3F">
        <w:rPr>
          <w:rFonts w:ascii="Book Antiqua" w:hAnsi="Book Antiqua"/>
          <w:sz w:val="24"/>
          <w:szCs w:val="24"/>
          <w:vertAlign w:val="superscript"/>
          <w:lang w:val="en-US" w:eastAsia="zh-CN"/>
        </w:rPr>
        <w:t>2</w:t>
      </w:r>
      <w:r w:rsidR="00B04373" w:rsidRPr="00C63E3F">
        <w:rPr>
          <w:rFonts w:ascii="Book Antiqua" w:hAnsi="Book Antiqua"/>
          <w:sz w:val="24"/>
          <w:szCs w:val="24"/>
          <w:lang w:val="en-US" w:eastAsia="zh-CN"/>
        </w:rPr>
        <w:t xml:space="preserve"> = </w:t>
      </w:r>
      <w:r w:rsidRPr="00C63E3F">
        <w:rPr>
          <w:rFonts w:ascii="Book Antiqua" w:hAnsi="Book Antiqua"/>
          <w:sz w:val="24"/>
          <w:szCs w:val="24"/>
          <w:lang w:val="en-US" w:eastAsia="zh-CN"/>
        </w:rPr>
        <w:t xml:space="preserve">27.94; </w:t>
      </w:r>
      <w:r w:rsidR="00B04373" w:rsidRPr="00C63E3F">
        <w:rPr>
          <w:rFonts w:ascii="Book Antiqua" w:hAnsi="Book Antiqua"/>
          <w:i/>
          <w:sz w:val="24"/>
          <w:szCs w:val="24"/>
          <w:lang w:val="en-US" w:eastAsia="zh-CN"/>
        </w:rPr>
        <w:t>P</w:t>
      </w:r>
      <w:r w:rsidR="00B0437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&lt;</w:t>
      </w:r>
      <w:r w:rsidR="00B04373" w:rsidRPr="00C63E3F">
        <w:rPr>
          <w:rFonts w:ascii="Book Antiqua" w:hAnsi="Book Antiqua"/>
          <w:sz w:val="24"/>
          <w:szCs w:val="24"/>
          <w:lang w:val="en-US" w:eastAsia="zh-CN"/>
        </w:rPr>
        <w:t xml:space="preserve"> </w:t>
      </w:r>
      <w:r w:rsidRPr="00C63E3F">
        <w:rPr>
          <w:rFonts w:ascii="Book Antiqua" w:hAnsi="Book Antiqua"/>
          <w:sz w:val="24"/>
          <w:szCs w:val="24"/>
          <w:lang w:val="en-US" w:eastAsia="zh-CN"/>
        </w:rPr>
        <w:t xml:space="preserve">0.05), whereas the equilibrium was respected in VLC. </w:t>
      </w:r>
    </w:p>
    <w:p w14:paraId="75D52E10" w14:textId="77777777" w:rsidR="00B04373" w:rsidRPr="00C63E3F" w:rsidRDefault="00B04373" w:rsidP="009A3E1D">
      <w:pPr>
        <w:spacing w:after="0" w:line="360" w:lineRule="auto"/>
        <w:jc w:val="both"/>
        <w:rPr>
          <w:rFonts w:ascii="Book Antiqua" w:hAnsi="Book Antiqua"/>
          <w:sz w:val="24"/>
          <w:szCs w:val="24"/>
          <w:lang w:val="en-US" w:eastAsia="zh-CN"/>
        </w:rPr>
      </w:pPr>
    </w:p>
    <w:p w14:paraId="0E550F22" w14:textId="77777777" w:rsidR="00322531" w:rsidRPr="00C63E3F" w:rsidRDefault="00B04373"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CONCLUSION</w:t>
      </w:r>
      <w:r w:rsidR="00FD6734" w:rsidRPr="00C63E3F">
        <w:rPr>
          <w:rFonts w:ascii="Book Antiqua" w:hAnsi="Book Antiqua"/>
          <w:b/>
          <w:sz w:val="24"/>
          <w:szCs w:val="24"/>
          <w:lang w:val="en-US" w:eastAsia="zh-CN"/>
        </w:rPr>
        <w:t>:</w:t>
      </w:r>
      <w:r w:rsidR="00FD6734" w:rsidRPr="00C63E3F">
        <w:rPr>
          <w:rFonts w:ascii="Book Antiqua" w:hAnsi="Book Antiqua"/>
          <w:sz w:val="24"/>
          <w:szCs w:val="24"/>
          <w:lang w:val="en-US" w:eastAsia="zh-CN"/>
        </w:rPr>
        <w:t xml:space="preserve"> </w:t>
      </w:r>
      <w:r w:rsidR="00322531" w:rsidRPr="00C63E3F">
        <w:rPr>
          <w:rFonts w:ascii="Book Antiqua" w:hAnsi="Book Antiqua"/>
          <w:sz w:val="24"/>
          <w:szCs w:val="24"/>
          <w:lang w:val="en-US" w:eastAsia="zh-CN"/>
        </w:rPr>
        <w:t xml:space="preserve">MTHFR 677TT is near twofold and PAI-1 4G-4G more than threefold more frequent in NVLC </w:t>
      </w:r>
      <w:r w:rsidR="00E12445" w:rsidRPr="00C63E3F">
        <w:rPr>
          <w:rFonts w:ascii="Book Antiqua" w:hAnsi="Book Antiqua"/>
          <w:bCs/>
          <w:i/>
          <w:sz w:val="24"/>
          <w:szCs w:val="24"/>
          <w:lang w:val="en-US"/>
        </w:rPr>
        <w:t>vs</w:t>
      </w:r>
      <w:r w:rsidR="00322531" w:rsidRPr="00C63E3F">
        <w:rPr>
          <w:rFonts w:ascii="Book Antiqua" w:hAnsi="Book Antiqua"/>
          <w:i/>
          <w:sz w:val="24"/>
          <w:szCs w:val="24"/>
          <w:lang w:val="en-US" w:eastAsia="zh-CN"/>
        </w:rPr>
        <w:t xml:space="preserve"> </w:t>
      </w:r>
      <w:r w:rsidR="00322531" w:rsidRPr="00C63E3F">
        <w:rPr>
          <w:rFonts w:ascii="Book Antiqua" w:hAnsi="Book Antiqua"/>
          <w:sz w:val="24"/>
          <w:szCs w:val="24"/>
          <w:lang w:val="en-US" w:eastAsia="zh-CN"/>
        </w:rPr>
        <w:t>patients with VLC</w:t>
      </w:r>
      <w:r w:rsidR="00FD6734"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Hardy-Weinberg equilibrium of these two polymorphis</w:t>
      </w:r>
      <w:r w:rsidR="00255EA7" w:rsidRPr="00C63E3F">
        <w:rPr>
          <w:rFonts w:ascii="Book Antiqua" w:hAnsi="Book Antiqua"/>
          <w:sz w:val="24"/>
          <w:szCs w:val="24"/>
          <w:lang w:val="en-US" w:eastAsia="zh-CN"/>
        </w:rPr>
        <w:t xml:space="preserve">ms, confirms this data in NVLC. </w:t>
      </w:r>
      <w:r w:rsidR="00322531" w:rsidRPr="00C63E3F">
        <w:rPr>
          <w:rFonts w:ascii="Book Antiqua" w:hAnsi="Book Antiqua"/>
          <w:sz w:val="24"/>
          <w:szCs w:val="24"/>
          <w:lang w:val="en-US" w:eastAsia="zh-CN"/>
        </w:rPr>
        <w:t xml:space="preserve">We suppose that PAI-1 4G-4G and MTHFR 677TT </w:t>
      </w:r>
      <w:r w:rsidR="00255EA7" w:rsidRPr="00C63E3F">
        <w:rPr>
          <w:rFonts w:ascii="Book Antiqua" w:hAnsi="Book Antiqua"/>
          <w:sz w:val="24"/>
          <w:szCs w:val="24"/>
          <w:lang w:val="en-US" w:eastAsia="zh-CN"/>
        </w:rPr>
        <w:t xml:space="preserve">could be considered as factors of </w:t>
      </w:r>
      <w:r w:rsidR="002176E3" w:rsidRPr="00C63E3F">
        <w:rPr>
          <w:rFonts w:ascii="Book Antiqua" w:hAnsi="Book Antiqua"/>
          <w:sz w:val="24"/>
          <w:szCs w:val="24"/>
          <w:lang w:val="en-US" w:eastAsia="zh-CN"/>
        </w:rPr>
        <w:t xml:space="preserve">fibrosis and </w:t>
      </w:r>
      <w:r w:rsidR="00255EA7" w:rsidRPr="00C63E3F">
        <w:rPr>
          <w:rFonts w:ascii="Book Antiqua" w:hAnsi="Book Antiqua"/>
          <w:sz w:val="24"/>
          <w:szCs w:val="24"/>
          <w:lang w:val="en-US" w:eastAsia="zh-CN"/>
        </w:rPr>
        <w:t>thrombosis mechanisms</w:t>
      </w:r>
      <w:r w:rsidR="002176E3" w:rsidRPr="00C63E3F">
        <w:rPr>
          <w:rFonts w:ascii="Book Antiqua" w:hAnsi="Book Antiqua"/>
          <w:sz w:val="24"/>
          <w:szCs w:val="24"/>
          <w:lang w:val="en-US" w:eastAsia="zh-CN"/>
        </w:rPr>
        <w:t>,</w:t>
      </w:r>
      <w:r w:rsidR="00255EA7" w:rsidRPr="00C63E3F">
        <w:rPr>
          <w:rFonts w:ascii="Book Antiqua" w:hAnsi="Book Antiqua"/>
          <w:sz w:val="24"/>
          <w:szCs w:val="24"/>
          <w:lang w:val="en-US" w:eastAsia="zh-CN"/>
        </w:rPr>
        <w:t xml:space="preserve"> and </w:t>
      </w:r>
      <w:r w:rsidR="00322531" w:rsidRPr="00C63E3F">
        <w:rPr>
          <w:rFonts w:ascii="Book Antiqua" w:hAnsi="Book Antiqua"/>
          <w:sz w:val="24"/>
          <w:szCs w:val="24"/>
          <w:lang w:val="en-US" w:eastAsia="zh-CN"/>
        </w:rPr>
        <w:t>increas</w:t>
      </w:r>
      <w:r w:rsidR="002176E3" w:rsidRPr="00C63E3F">
        <w:rPr>
          <w:rFonts w:ascii="Book Antiqua" w:hAnsi="Book Antiqua"/>
          <w:sz w:val="24"/>
          <w:szCs w:val="24"/>
          <w:lang w:val="en-US" w:eastAsia="zh-CN"/>
        </w:rPr>
        <w:t>ing</w:t>
      </w:r>
      <w:r w:rsidR="00322531" w:rsidRPr="00C63E3F">
        <w:rPr>
          <w:rFonts w:ascii="Book Antiqua" w:hAnsi="Book Antiqua"/>
          <w:sz w:val="24"/>
          <w:szCs w:val="24"/>
          <w:lang w:val="en-US" w:eastAsia="zh-CN"/>
        </w:rPr>
        <w:t xml:space="preserve"> the inflammation response, caus</w:t>
      </w:r>
      <w:r w:rsidR="002176E3" w:rsidRPr="00C63E3F">
        <w:rPr>
          <w:rFonts w:ascii="Book Antiqua" w:hAnsi="Book Antiqua"/>
          <w:sz w:val="24"/>
          <w:szCs w:val="24"/>
          <w:lang w:val="en-US" w:eastAsia="zh-CN"/>
        </w:rPr>
        <w:t>e</w:t>
      </w:r>
      <w:r w:rsidR="00322531" w:rsidRPr="00C63E3F">
        <w:rPr>
          <w:rFonts w:ascii="Book Antiqua" w:hAnsi="Book Antiqua"/>
          <w:sz w:val="24"/>
          <w:szCs w:val="24"/>
          <w:lang w:val="en-US" w:eastAsia="zh-CN"/>
        </w:rPr>
        <w:t xml:space="preserve"> </w:t>
      </w:r>
      <w:r w:rsidR="002176E3" w:rsidRPr="00C63E3F">
        <w:rPr>
          <w:rFonts w:ascii="Book Antiqua" w:hAnsi="Book Antiqua"/>
          <w:sz w:val="24"/>
          <w:szCs w:val="24"/>
          <w:lang w:val="en-US" w:eastAsia="zh-CN"/>
        </w:rPr>
        <w:t xml:space="preserve">the </w:t>
      </w:r>
      <w:r w:rsidR="00322531" w:rsidRPr="00C63E3F">
        <w:rPr>
          <w:rFonts w:ascii="Book Antiqua" w:hAnsi="Book Antiqua"/>
          <w:sz w:val="24"/>
          <w:szCs w:val="24"/>
          <w:lang w:val="en-US" w:eastAsia="zh-CN"/>
        </w:rPr>
        <w:t xml:space="preserve">hepatic fibrosis and augmented intrahepatic vascular resistance </w:t>
      </w:r>
      <w:r w:rsidR="00CB1424" w:rsidRPr="00C63E3F">
        <w:rPr>
          <w:rFonts w:ascii="Book Antiqua" w:hAnsi="Book Antiqua"/>
          <w:sz w:val="24"/>
          <w:szCs w:val="24"/>
          <w:lang w:val="en-US" w:eastAsia="zh-CN"/>
        </w:rPr>
        <w:t>typical of</w:t>
      </w:r>
      <w:r w:rsidR="00322531" w:rsidRPr="00C63E3F">
        <w:rPr>
          <w:rFonts w:ascii="Book Antiqua" w:hAnsi="Book Antiqua"/>
          <w:sz w:val="24"/>
          <w:szCs w:val="24"/>
          <w:lang w:val="en-US" w:eastAsia="zh-CN"/>
        </w:rPr>
        <w:t xml:space="preserve"> </w:t>
      </w:r>
      <w:r w:rsidR="002176E3" w:rsidRPr="00C63E3F">
        <w:rPr>
          <w:rFonts w:ascii="Book Antiqua" w:hAnsi="Book Antiqua"/>
          <w:sz w:val="24"/>
          <w:szCs w:val="24"/>
          <w:lang w:val="en-US" w:eastAsia="zh-CN"/>
        </w:rPr>
        <w:t>LC</w:t>
      </w:r>
      <w:r w:rsidR="00255EA7"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PAI-1 4G-4G and MTHFR 677TT screening of </w:t>
      </w:r>
      <w:r w:rsidR="002176E3" w:rsidRPr="00C63E3F">
        <w:rPr>
          <w:rFonts w:ascii="Book Antiqua" w:hAnsi="Book Antiqua"/>
          <w:sz w:val="24"/>
          <w:szCs w:val="24"/>
          <w:lang w:val="en-US" w:eastAsia="zh-CN"/>
        </w:rPr>
        <w:t xml:space="preserve">LC </w:t>
      </w:r>
      <w:r w:rsidR="00322531" w:rsidRPr="00C63E3F">
        <w:rPr>
          <w:rFonts w:ascii="Book Antiqua" w:hAnsi="Book Antiqua"/>
          <w:sz w:val="24"/>
          <w:szCs w:val="24"/>
          <w:lang w:val="en-US" w:eastAsia="zh-CN"/>
        </w:rPr>
        <w:t xml:space="preserve">patients could be useful, mainly in those with </w:t>
      </w:r>
      <w:r w:rsidR="002176E3" w:rsidRPr="00C63E3F">
        <w:rPr>
          <w:rFonts w:ascii="Book Antiqua" w:hAnsi="Book Antiqua"/>
          <w:sz w:val="24"/>
          <w:szCs w:val="24"/>
          <w:lang w:val="en-US" w:eastAsia="zh-CN"/>
        </w:rPr>
        <w:t>NVLC</w:t>
      </w:r>
      <w:r w:rsidR="00322531" w:rsidRPr="00C63E3F">
        <w:rPr>
          <w:rFonts w:ascii="Book Antiqua" w:hAnsi="Book Antiqua"/>
          <w:sz w:val="24"/>
          <w:szCs w:val="24"/>
          <w:lang w:val="en-US" w:eastAsia="zh-CN"/>
        </w:rPr>
        <w:t>, to identify patients in which new drug therapies, based on the attenuation of the HSC activation, or other mechanisms</w:t>
      </w:r>
      <w:r w:rsidR="002176E3"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could be easier evaluated. </w:t>
      </w:r>
    </w:p>
    <w:p w14:paraId="70323B14" w14:textId="77777777" w:rsidR="00FD43BF" w:rsidRPr="00C63E3F" w:rsidRDefault="00FD43BF" w:rsidP="009A3E1D">
      <w:pPr>
        <w:spacing w:after="0" w:line="360" w:lineRule="auto"/>
        <w:jc w:val="both"/>
        <w:rPr>
          <w:rFonts w:ascii="Book Antiqua" w:hAnsi="Book Antiqua"/>
          <w:sz w:val="24"/>
          <w:szCs w:val="24"/>
          <w:lang w:val="en-US" w:eastAsia="zh-CN"/>
        </w:rPr>
      </w:pPr>
    </w:p>
    <w:p w14:paraId="52116327" w14:textId="77777777" w:rsidR="00C23C99" w:rsidRPr="00C63E3F" w:rsidRDefault="00C23C99"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lastRenderedPageBreak/>
        <w:t xml:space="preserve">Key words: </w:t>
      </w:r>
      <w:r w:rsidR="00322531" w:rsidRPr="00C63E3F">
        <w:rPr>
          <w:rFonts w:ascii="Book Antiqua" w:hAnsi="Book Antiqua"/>
          <w:sz w:val="24"/>
          <w:szCs w:val="24"/>
          <w:lang w:val="en-US" w:eastAsia="zh-CN"/>
        </w:rPr>
        <w:t>PAI-1 4G-4G</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MTHFR677TT</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V Leiden 506Q</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w:t>
      </w:r>
      <w:r w:rsidR="00132F68" w:rsidRPr="00C63E3F">
        <w:rPr>
          <w:rFonts w:ascii="Book Antiqua" w:hAnsi="Book Antiqua"/>
          <w:sz w:val="24"/>
          <w:szCs w:val="24"/>
          <w:lang w:val="en-US" w:eastAsia="zh-CN"/>
        </w:rPr>
        <w:t>P</w:t>
      </w:r>
      <w:r w:rsidR="00322531" w:rsidRPr="00C63E3F">
        <w:rPr>
          <w:rFonts w:ascii="Book Antiqua" w:hAnsi="Book Antiqua"/>
          <w:sz w:val="24"/>
          <w:szCs w:val="24"/>
          <w:lang w:val="en-US" w:eastAsia="zh-CN"/>
        </w:rPr>
        <w:t>rothrombin 20210A</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w:t>
      </w:r>
      <w:r w:rsidR="00132F68" w:rsidRPr="00C63E3F">
        <w:rPr>
          <w:rFonts w:ascii="Book Antiqua" w:hAnsi="Book Antiqua"/>
          <w:sz w:val="24"/>
          <w:szCs w:val="24"/>
          <w:lang w:val="en-US" w:eastAsia="zh-CN"/>
        </w:rPr>
        <w:t>L</w:t>
      </w:r>
      <w:r w:rsidR="00322531" w:rsidRPr="00C63E3F">
        <w:rPr>
          <w:rFonts w:ascii="Book Antiqua" w:hAnsi="Book Antiqua"/>
          <w:sz w:val="24"/>
          <w:szCs w:val="24"/>
          <w:lang w:val="en-US" w:eastAsia="zh-CN"/>
        </w:rPr>
        <w:t>iver cirrhosis</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w:t>
      </w:r>
      <w:r w:rsidR="00132F68" w:rsidRPr="00C63E3F">
        <w:rPr>
          <w:rFonts w:ascii="Book Antiqua" w:hAnsi="Book Antiqua"/>
          <w:sz w:val="24"/>
          <w:szCs w:val="24"/>
          <w:lang w:val="en-US" w:eastAsia="zh-CN"/>
        </w:rPr>
        <w:t>P</w:t>
      </w:r>
      <w:r w:rsidR="00322531" w:rsidRPr="00C63E3F">
        <w:rPr>
          <w:rFonts w:ascii="Book Antiqua" w:hAnsi="Book Antiqua"/>
          <w:sz w:val="24"/>
          <w:szCs w:val="24"/>
          <w:lang w:val="en-US" w:eastAsia="zh-CN"/>
        </w:rPr>
        <w:t>ortal vein thrombosis</w:t>
      </w:r>
      <w:r w:rsidR="00132F68" w:rsidRPr="00C63E3F">
        <w:rPr>
          <w:rFonts w:ascii="Book Antiqua" w:hAnsi="Book Antiqua"/>
          <w:sz w:val="24"/>
          <w:szCs w:val="24"/>
          <w:lang w:val="en-US" w:eastAsia="zh-CN"/>
        </w:rPr>
        <w:t>;</w:t>
      </w:r>
      <w:r w:rsidR="00322531" w:rsidRPr="00C63E3F">
        <w:rPr>
          <w:rFonts w:ascii="Book Antiqua" w:hAnsi="Book Antiqua"/>
          <w:sz w:val="24"/>
          <w:szCs w:val="24"/>
          <w:lang w:val="en-US" w:eastAsia="zh-CN"/>
        </w:rPr>
        <w:t xml:space="preserve"> Budd </w:t>
      </w:r>
      <w:r w:rsidR="00567ED4" w:rsidRPr="00C63E3F">
        <w:rPr>
          <w:rFonts w:ascii="Book Antiqua" w:hAnsi="Book Antiqua"/>
          <w:sz w:val="24"/>
          <w:szCs w:val="24"/>
          <w:lang w:val="en-US" w:eastAsia="zh-CN"/>
        </w:rPr>
        <w:t>chiari s</w:t>
      </w:r>
      <w:r w:rsidR="00322531" w:rsidRPr="00C63E3F">
        <w:rPr>
          <w:rFonts w:ascii="Book Antiqua" w:hAnsi="Book Antiqua"/>
          <w:sz w:val="24"/>
          <w:szCs w:val="24"/>
          <w:lang w:val="en-US" w:eastAsia="zh-CN"/>
        </w:rPr>
        <w:t>yndrome</w:t>
      </w:r>
      <w:r w:rsidR="00132F68" w:rsidRPr="00C63E3F">
        <w:rPr>
          <w:rFonts w:ascii="Book Antiqua" w:hAnsi="Book Antiqua"/>
          <w:sz w:val="24"/>
          <w:szCs w:val="24"/>
          <w:lang w:val="en-US" w:eastAsia="zh-CN"/>
        </w:rPr>
        <w:t>;</w:t>
      </w:r>
      <w:r w:rsidR="00255EA7" w:rsidRPr="00C63E3F">
        <w:rPr>
          <w:rFonts w:ascii="Book Antiqua" w:hAnsi="Book Antiqua"/>
          <w:sz w:val="24"/>
          <w:szCs w:val="24"/>
          <w:lang w:val="en-US" w:eastAsia="zh-CN"/>
        </w:rPr>
        <w:t xml:space="preserve"> </w:t>
      </w:r>
      <w:r w:rsidR="00132F68" w:rsidRPr="00C63E3F">
        <w:rPr>
          <w:rFonts w:ascii="Book Antiqua" w:hAnsi="Book Antiqua"/>
          <w:sz w:val="24"/>
          <w:szCs w:val="24"/>
          <w:lang w:val="en-US" w:eastAsia="zh-CN"/>
        </w:rPr>
        <w:t>F</w:t>
      </w:r>
      <w:r w:rsidR="00255EA7" w:rsidRPr="00C63E3F">
        <w:rPr>
          <w:rFonts w:ascii="Book Antiqua" w:hAnsi="Book Antiqua"/>
          <w:sz w:val="24"/>
          <w:szCs w:val="24"/>
          <w:lang w:val="en-US" w:eastAsia="zh-CN"/>
        </w:rPr>
        <w:t>ibrogenesis</w:t>
      </w:r>
    </w:p>
    <w:p w14:paraId="0015B6CC" w14:textId="77777777" w:rsidR="00132F68" w:rsidRPr="00C63E3F" w:rsidRDefault="00132F68" w:rsidP="009A3E1D">
      <w:pPr>
        <w:spacing w:after="0" w:line="360" w:lineRule="auto"/>
        <w:jc w:val="both"/>
        <w:rPr>
          <w:rFonts w:ascii="Book Antiqua" w:hAnsi="Book Antiqua"/>
          <w:sz w:val="24"/>
          <w:szCs w:val="24"/>
          <w:lang w:val="en-US" w:eastAsia="zh-CN"/>
        </w:rPr>
      </w:pPr>
    </w:p>
    <w:p w14:paraId="5C126B9A" w14:textId="77777777" w:rsidR="00132F68" w:rsidRPr="00C63E3F" w:rsidRDefault="00132F68" w:rsidP="009A3E1D">
      <w:pPr>
        <w:spacing w:after="0" w:line="360" w:lineRule="auto"/>
        <w:rPr>
          <w:rFonts w:ascii="Book Antiqua" w:hAnsi="Book Antiqua" w:cs="Arial"/>
          <w:sz w:val="24"/>
          <w:szCs w:val="24"/>
          <w:lang w:eastAsia="zh-CN"/>
        </w:rPr>
      </w:pPr>
      <w:r w:rsidRPr="00C63E3F">
        <w:rPr>
          <w:rFonts w:ascii="Book Antiqua" w:hAnsi="Book Antiqua"/>
          <w:b/>
          <w:sz w:val="24"/>
          <w:szCs w:val="24"/>
        </w:rPr>
        <w:t xml:space="preserve">© </w:t>
      </w:r>
      <w:r w:rsidRPr="00C63E3F">
        <w:rPr>
          <w:rFonts w:ascii="Book Antiqua" w:hAnsi="Book Antiqua" w:cs="Arial"/>
          <w:b/>
          <w:sz w:val="24"/>
          <w:szCs w:val="24"/>
        </w:rPr>
        <w:t>The Author(s) 2015.</w:t>
      </w:r>
      <w:r w:rsidRPr="00C63E3F">
        <w:rPr>
          <w:rFonts w:ascii="Book Antiqua" w:hAnsi="Book Antiqua" w:cs="Arial"/>
          <w:sz w:val="24"/>
          <w:szCs w:val="24"/>
        </w:rPr>
        <w:t xml:space="preserve"> Published by Baishideng Publishing Group Inc. All rights reserved.</w:t>
      </w:r>
    </w:p>
    <w:p w14:paraId="49B6D554" w14:textId="77777777" w:rsidR="00B04373" w:rsidRPr="00C63E3F" w:rsidRDefault="00B04373" w:rsidP="009A3E1D">
      <w:pPr>
        <w:spacing w:after="0" w:line="360" w:lineRule="auto"/>
        <w:jc w:val="both"/>
        <w:rPr>
          <w:rFonts w:ascii="Book Antiqua" w:hAnsi="Book Antiqua"/>
          <w:sz w:val="24"/>
          <w:szCs w:val="24"/>
          <w:lang w:val="en-US" w:eastAsia="zh-CN"/>
        </w:rPr>
      </w:pPr>
    </w:p>
    <w:p w14:paraId="0622CB97" w14:textId="77777777" w:rsidR="00D76D40" w:rsidRPr="00C63E3F" w:rsidRDefault="00C23C99" w:rsidP="009A3E1D">
      <w:pPr>
        <w:spacing w:after="0" w:line="360" w:lineRule="auto"/>
        <w:jc w:val="both"/>
        <w:rPr>
          <w:rFonts w:ascii="Book Antiqua" w:hAnsi="Book Antiqua"/>
          <w:sz w:val="24"/>
          <w:szCs w:val="24"/>
          <w:lang w:val="en-US" w:eastAsia="zh-CN"/>
        </w:rPr>
      </w:pPr>
      <w:r w:rsidRPr="00C63E3F">
        <w:rPr>
          <w:rFonts w:ascii="Book Antiqua" w:hAnsi="Book Antiqua"/>
          <w:b/>
          <w:sz w:val="24"/>
          <w:szCs w:val="24"/>
          <w:lang w:val="en-US" w:eastAsia="zh-CN"/>
        </w:rPr>
        <w:t>Core tip:</w:t>
      </w:r>
      <w:r w:rsidR="00322531" w:rsidRPr="00C63E3F">
        <w:rPr>
          <w:rFonts w:ascii="Book Antiqua" w:hAnsi="Book Antiqua"/>
          <w:sz w:val="24"/>
          <w:szCs w:val="24"/>
          <w:lang w:val="en-US"/>
        </w:rPr>
        <w:t xml:space="preserve"> </w:t>
      </w:r>
      <w:r w:rsidR="00C2098D" w:rsidRPr="00C63E3F">
        <w:rPr>
          <w:rFonts w:ascii="Book Antiqua" w:hAnsi="Book Antiqua"/>
          <w:sz w:val="24"/>
          <w:szCs w:val="24"/>
          <w:lang w:val="en-US"/>
        </w:rPr>
        <w:t>This study on thrombophilia in 10</w:t>
      </w:r>
      <w:r w:rsidR="00125135" w:rsidRPr="00C63E3F">
        <w:rPr>
          <w:rFonts w:ascii="Book Antiqua" w:hAnsi="Book Antiqua"/>
          <w:sz w:val="24"/>
          <w:szCs w:val="24"/>
          <w:lang w:val="en-US"/>
        </w:rPr>
        <w:t>7</w:t>
      </w:r>
      <w:r w:rsidR="00C2098D" w:rsidRPr="00C63E3F">
        <w:rPr>
          <w:rFonts w:ascii="Book Antiqua" w:hAnsi="Book Antiqua"/>
          <w:sz w:val="24"/>
          <w:szCs w:val="24"/>
          <w:lang w:val="en-US"/>
        </w:rPr>
        <w:t>9 patients with liver cirrhosis, showed that PAI-1 4G-4G and MTHFR C677TT, are statistically more frequent in 359 patient</w:t>
      </w:r>
      <w:r w:rsidR="00946DCD" w:rsidRPr="00C63E3F">
        <w:rPr>
          <w:rFonts w:ascii="Book Antiqua" w:hAnsi="Book Antiqua"/>
          <w:sz w:val="24"/>
          <w:szCs w:val="24"/>
          <w:lang w:val="en-US"/>
        </w:rPr>
        <w:t>s with no viral liver cirrhosis</w:t>
      </w:r>
      <w:r w:rsidR="00C2098D" w:rsidRPr="00C63E3F">
        <w:rPr>
          <w:rFonts w:ascii="Book Antiqua" w:hAnsi="Book Antiqua"/>
          <w:sz w:val="24"/>
          <w:szCs w:val="24"/>
          <w:lang w:val="en-US"/>
        </w:rPr>
        <w:t xml:space="preserve"> </w:t>
      </w:r>
      <w:r w:rsidR="00E12445" w:rsidRPr="00C63E3F">
        <w:rPr>
          <w:rFonts w:ascii="Book Antiqua" w:hAnsi="Book Antiqua"/>
          <w:bCs/>
          <w:i/>
          <w:sz w:val="24"/>
          <w:szCs w:val="24"/>
          <w:lang w:val="en-US"/>
        </w:rPr>
        <w:t>vs</w:t>
      </w:r>
      <w:r w:rsidR="00E12445" w:rsidRPr="00C63E3F">
        <w:rPr>
          <w:rFonts w:ascii="Book Antiqua" w:hAnsi="Book Antiqua"/>
          <w:i/>
          <w:sz w:val="24"/>
          <w:szCs w:val="24"/>
          <w:lang w:val="en-US" w:eastAsia="zh-CN"/>
        </w:rPr>
        <w:t xml:space="preserve"> </w:t>
      </w:r>
      <w:r w:rsidR="00C2098D" w:rsidRPr="00C63E3F">
        <w:rPr>
          <w:rFonts w:ascii="Book Antiqua" w:hAnsi="Book Antiqua"/>
          <w:sz w:val="24"/>
          <w:szCs w:val="24"/>
          <w:lang w:val="en-US"/>
        </w:rPr>
        <w:t>739 patients with viral liver cirrhosis. In the same patients, PAI-1 and MTHFR 677 genotypes deviated from that expected from a population in Hardy-Weinberg equilibrium. PAI-1 4G-4G and MTHFR 677TT could be considered as factors increasing the response inflammation mechanisms, causing fibrogenesis and augmented intrahepatic vascular resistan</w:t>
      </w:r>
      <w:r w:rsidR="00B035D4" w:rsidRPr="00C63E3F">
        <w:rPr>
          <w:rFonts w:ascii="Book Antiqua" w:hAnsi="Book Antiqua"/>
          <w:sz w:val="24"/>
          <w:szCs w:val="24"/>
          <w:lang w:val="en-US"/>
        </w:rPr>
        <w:t xml:space="preserve">ce, typical of liver cirrhosis. </w:t>
      </w:r>
      <w:r w:rsidR="00C2098D" w:rsidRPr="00C63E3F">
        <w:rPr>
          <w:rFonts w:ascii="Book Antiqua" w:hAnsi="Book Antiqua"/>
          <w:sz w:val="24"/>
          <w:szCs w:val="24"/>
          <w:lang w:val="en-US"/>
        </w:rPr>
        <w:t>New drug therapies, based on the attenuation of these mechanisms, could be very easily evaluated in these patients.</w:t>
      </w:r>
    </w:p>
    <w:p w14:paraId="7FE90BAF" w14:textId="77777777" w:rsidR="00A23E8E" w:rsidRPr="00C63E3F" w:rsidRDefault="00A23E8E" w:rsidP="009A3E1D">
      <w:pPr>
        <w:spacing w:after="0" w:line="360" w:lineRule="auto"/>
        <w:jc w:val="both"/>
        <w:rPr>
          <w:rFonts w:ascii="Book Antiqua" w:hAnsi="Book Antiqua"/>
          <w:sz w:val="24"/>
          <w:szCs w:val="24"/>
          <w:lang w:val="en-US" w:eastAsia="zh-CN"/>
        </w:rPr>
      </w:pPr>
    </w:p>
    <w:p w14:paraId="2A7242BE" w14:textId="77777777" w:rsidR="00A23E8E" w:rsidRPr="00C63E3F" w:rsidRDefault="00A23E8E"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eastAsia="zh-CN"/>
        </w:rPr>
        <w:t>Pasta L</w:t>
      </w:r>
      <w:r w:rsidRPr="00C63E3F">
        <w:rPr>
          <w:rFonts w:ascii="Book Antiqua" w:hAnsi="Book Antiqua"/>
          <w:sz w:val="24"/>
          <w:szCs w:val="24"/>
          <w:lang w:eastAsia="zh-CN"/>
        </w:rPr>
        <w:t xml:space="preserve">, </w:t>
      </w:r>
      <w:r w:rsidRPr="00C63E3F">
        <w:rPr>
          <w:rFonts w:ascii="Book Antiqua" w:hAnsi="Book Antiqua"/>
          <w:sz w:val="24"/>
          <w:szCs w:val="24"/>
          <w:lang w:val="en-US" w:eastAsia="zh-CN"/>
        </w:rPr>
        <w:t>Pasta F</w:t>
      </w:r>
      <w:r w:rsidRPr="00C63E3F">
        <w:rPr>
          <w:rFonts w:ascii="Book Antiqua" w:hAnsi="Book Antiqua"/>
          <w:sz w:val="24"/>
          <w:szCs w:val="24"/>
          <w:lang w:eastAsia="zh-CN"/>
        </w:rPr>
        <w:t xml:space="preserve">, </w:t>
      </w:r>
      <w:r w:rsidRPr="00C63E3F">
        <w:rPr>
          <w:rFonts w:ascii="Book Antiqua" w:hAnsi="Book Antiqua"/>
          <w:sz w:val="24"/>
          <w:szCs w:val="24"/>
          <w:lang w:val="en-US" w:eastAsia="zh-CN"/>
        </w:rPr>
        <w:t>Amico MD. PAI-1 4G-4G and MTHFR</w:t>
      </w:r>
      <w:r w:rsidR="00324576">
        <w:rPr>
          <w:rFonts w:ascii="Book Antiqua" w:hAnsi="Book Antiqua"/>
          <w:sz w:val="24"/>
          <w:szCs w:val="24"/>
          <w:lang w:val="en-US" w:eastAsia="zh-CN"/>
        </w:rPr>
        <w:t xml:space="preserve"> 677TT in non-hepatitis C virus</w:t>
      </w:r>
      <w:r w:rsidRPr="00C63E3F">
        <w:rPr>
          <w:rFonts w:ascii="Book Antiqua" w:hAnsi="Book Antiqua"/>
          <w:sz w:val="24"/>
          <w:szCs w:val="24"/>
          <w:lang w:val="en-US" w:eastAsia="zh-CN"/>
        </w:rPr>
        <w:t>/hepatitis B virus related liver cirrhosis.</w:t>
      </w:r>
      <w:bookmarkStart w:id="9" w:name="OLE_LINK130"/>
      <w:r w:rsidRPr="00C63E3F">
        <w:rPr>
          <w:rFonts w:ascii="Book Antiqua" w:hAnsi="Book Antiqua"/>
          <w:i/>
          <w:iCs/>
          <w:sz w:val="24"/>
          <w:szCs w:val="24"/>
        </w:rPr>
        <w:t xml:space="preserve"> World J Hepatol</w:t>
      </w:r>
      <w:bookmarkEnd w:id="9"/>
      <w:r w:rsidRPr="00C63E3F">
        <w:rPr>
          <w:rFonts w:ascii="Book Antiqua" w:hAnsi="Book Antiqua"/>
          <w:i/>
          <w:iCs/>
          <w:sz w:val="24"/>
          <w:szCs w:val="24"/>
        </w:rPr>
        <w:t xml:space="preserve"> </w:t>
      </w:r>
      <w:r w:rsidRPr="00C63E3F">
        <w:rPr>
          <w:rFonts w:ascii="Book Antiqua" w:hAnsi="Book Antiqua"/>
          <w:iCs/>
          <w:sz w:val="24"/>
          <w:szCs w:val="24"/>
        </w:rPr>
        <w:t>2015; In press</w:t>
      </w:r>
    </w:p>
    <w:p w14:paraId="7C774AC3" w14:textId="77777777" w:rsidR="00A23E8E" w:rsidRPr="00C63E3F" w:rsidRDefault="00A23E8E" w:rsidP="009A3E1D">
      <w:pPr>
        <w:spacing w:after="0" w:line="360" w:lineRule="auto"/>
        <w:rPr>
          <w:rFonts w:ascii="Book Antiqua" w:hAnsi="Book Antiqua"/>
          <w:b/>
          <w:sz w:val="24"/>
          <w:szCs w:val="24"/>
        </w:rPr>
      </w:pPr>
    </w:p>
    <w:p w14:paraId="077C0F95" w14:textId="77777777" w:rsidR="00A23E8E" w:rsidRPr="00C63E3F" w:rsidRDefault="00A23E8E" w:rsidP="009A3E1D">
      <w:pPr>
        <w:spacing w:after="0" w:line="360" w:lineRule="auto"/>
        <w:jc w:val="both"/>
        <w:rPr>
          <w:rFonts w:ascii="Book Antiqua" w:hAnsi="Book Antiqua"/>
          <w:sz w:val="24"/>
          <w:szCs w:val="24"/>
          <w:lang w:eastAsia="zh-CN"/>
        </w:rPr>
      </w:pPr>
    </w:p>
    <w:p w14:paraId="3D6E7A9B" w14:textId="77777777" w:rsidR="00C23C99" w:rsidRPr="00C63E3F" w:rsidRDefault="00C23C99" w:rsidP="009A3E1D">
      <w:pPr>
        <w:spacing w:after="0" w:line="360" w:lineRule="auto"/>
        <w:jc w:val="both"/>
        <w:rPr>
          <w:rFonts w:ascii="Book Antiqua" w:hAnsi="Book Antiqua"/>
          <w:sz w:val="24"/>
          <w:szCs w:val="24"/>
          <w:lang w:val="en-US" w:eastAsia="zh-CN"/>
        </w:rPr>
      </w:pPr>
    </w:p>
    <w:p w14:paraId="52625DFB" w14:textId="77777777" w:rsidR="00B04373" w:rsidRPr="00C63E3F" w:rsidRDefault="00B04373"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br w:type="page"/>
      </w:r>
    </w:p>
    <w:p w14:paraId="22BC3F93" w14:textId="77777777" w:rsidR="009C444A" w:rsidRPr="00C63E3F" w:rsidRDefault="009C444A"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lastRenderedPageBreak/>
        <w:t>INTRODUCTION</w:t>
      </w:r>
    </w:p>
    <w:p w14:paraId="2ADFB8A1" w14:textId="77777777" w:rsidR="005F36D3" w:rsidRPr="00092C22" w:rsidRDefault="005F36D3" w:rsidP="005F36D3">
      <w:pPr>
        <w:spacing w:after="0" w:line="360" w:lineRule="auto"/>
        <w:jc w:val="both"/>
        <w:rPr>
          <w:rFonts w:ascii="Book Antiqua" w:hAnsi="Book Antiqua"/>
          <w:color w:val="000000" w:themeColor="text1"/>
          <w:sz w:val="24"/>
          <w:szCs w:val="24"/>
          <w:lang w:val="en-US"/>
        </w:rPr>
      </w:pPr>
      <w:r w:rsidRPr="00092C22">
        <w:rPr>
          <w:rFonts w:ascii="Book Antiqua" w:hAnsi="Book Antiqua"/>
          <w:color w:val="000000" w:themeColor="text1"/>
          <w:sz w:val="24"/>
          <w:szCs w:val="24"/>
          <w:lang w:val="en-US"/>
        </w:rPr>
        <w:t>We studied the thrombophilic genetic factors (THRGFs), PAI-1 4G-4G, MTHFR677TT, V Leiden 506Q and Prothrombin</w:t>
      </w:r>
      <w:r w:rsidRPr="00092C22">
        <w:rPr>
          <w:rFonts w:ascii="Book Antiqua" w:hAnsi="Book Antiqua"/>
          <w:color w:val="000000" w:themeColor="text1"/>
          <w:sz w:val="24"/>
          <w:szCs w:val="24"/>
          <w:lang w:val="en-US" w:eastAsia="zh-CN"/>
        </w:rPr>
        <w:t xml:space="preserve"> </w:t>
      </w:r>
      <w:r w:rsidRPr="00092C22">
        <w:rPr>
          <w:rFonts w:ascii="Book Antiqua" w:hAnsi="Book Antiqua"/>
          <w:color w:val="000000" w:themeColor="text1"/>
          <w:sz w:val="24"/>
          <w:szCs w:val="24"/>
          <w:lang w:val="en-US"/>
        </w:rPr>
        <w:t>20210A, as risk factors in patients with liver cirrhosis (LC). We have published two studies on the prevalence of these THRGFs in LC. The first study included 214 patients with LC, enrolled from January 2000 to December 2007</w:t>
      </w:r>
      <w:r w:rsidRPr="00092C22">
        <w:rPr>
          <w:rFonts w:ascii="Book Antiqua" w:hAnsi="Book Antiqua"/>
          <w:color w:val="000000" w:themeColor="text1"/>
          <w:sz w:val="24"/>
          <w:szCs w:val="24"/>
          <w:vertAlign w:val="superscript"/>
          <w:lang w:val="en-US" w:eastAsia="zh-CN"/>
        </w:rPr>
        <w:t>[1]</w:t>
      </w:r>
      <w:r w:rsidRPr="00092C22">
        <w:rPr>
          <w:rFonts w:ascii="Book Antiqua" w:hAnsi="Book Antiqua"/>
          <w:color w:val="000000" w:themeColor="text1"/>
          <w:sz w:val="24"/>
          <w:szCs w:val="24"/>
          <w:lang w:val="en-US"/>
        </w:rPr>
        <w:t xml:space="preserve">. In this study we demonstrated the significant role of PAI-1 4G-4G, </w:t>
      </w:r>
      <w:r w:rsidRPr="00092C22">
        <w:rPr>
          <w:rFonts w:ascii="Book Antiqua" w:hAnsi="Book Antiqua" w:cs="Arial"/>
          <w:color w:val="000000" w:themeColor="text1"/>
          <w:sz w:val="24"/>
          <w:szCs w:val="24"/>
          <w:lang w:val="en-US"/>
        </w:rPr>
        <w:t xml:space="preserve">MTHFR C677TT and Prothrombin G20210A in patients with hepatocellular carcinoma (HCC) </w:t>
      </w:r>
      <w:r w:rsidRPr="00092C22">
        <w:rPr>
          <w:rFonts w:ascii="Book Antiqua" w:hAnsi="Book Antiqua" w:cs="Arial"/>
          <w:i/>
          <w:color w:val="000000" w:themeColor="text1"/>
          <w:sz w:val="24"/>
          <w:szCs w:val="24"/>
          <w:lang w:val="en-US"/>
        </w:rPr>
        <w:t>vs</w:t>
      </w:r>
      <w:r w:rsidRPr="00092C22">
        <w:rPr>
          <w:rFonts w:ascii="Book Antiqua" w:hAnsi="Book Antiqua" w:cs="Arial"/>
          <w:color w:val="000000" w:themeColor="text1"/>
          <w:sz w:val="24"/>
          <w:szCs w:val="24"/>
          <w:lang w:val="en-US"/>
        </w:rPr>
        <w:t xml:space="preserve"> healthy controls, but we did not analyze the role of THRGF in patients with LC. T</w:t>
      </w:r>
      <w:r w:rsidRPr="00092C22">
        <w:rPr>
          <w:rFonts w:ascii="Book Antiqua" w:hAnsi="Book Antiqua"/>
          <w:color w:val="000000" w:themeColor="text1"/>
          <w:sz w:val="24"/>
          <w:szCs w:val="24"/>
          <w:lang w:val="en-US"/>
        </w:rPr>
        <w:t>he second study included 865 patients from June 2008 to January 2014</w:t>
      </w:r>
      <w:r w:rsidRPr="00092C22">
        <w:rPr>
          <w:rFonts w:ascii="Book Antiqua" w:hAnsi="Book Antiqua"/>
          <w:color w:val="000000" w:themeColor="text1"/>
          <w:sz w:val="24"/>
          <w:szCs w:val="24"/>
          <w:vertAlign w:val="superscript"/>
          <w:lang w:val="en-US"/>
        </w:rPr>
        <w:t>[2]</w:t>
      </w:r>
      <w:r w:rsidRPr="00092C22">
        <w:rPr>
          <w:rFonts w:ascii="Book Antiqua" w:hAnsi="Book Antiqua"/>
          <w:color w:val="000000" w:themeColor="text1"/>
          <w:sz w:val="24"/>
          <w:szCs w:val="24"/>
          <w:lang w:val="en-US"/>
        </w:rPr>
        <w:t xml:space="preserve">. In this we demonstrated the pivotal role of PAI-1 4G-4G and MTHFR 677TT in patients with alcohol and cryptogenic LC, and provided the hypothesis that thrombo-fibrogenetic mechanisms of PAI-1 4G-4G and MTHFR 677TT could have a role in the development of LC, mainly in patients without HCV and HBV etiology. </w:t>
      </w:r>
    </w:p>
    <w:p w14:paraId="63BAC43D" w14:textId="77777777" w:rsidR="005F36D3" w:rsidRPr="00092C22" w:rsidRDefault="005F36D3" w:rsidP="005F36D3">
      <w:pPr>
        <w:spacing w:after="0" w:line="360" w:lineRule="auto"/>
        <w:ind w:firstLineChars="100" w:firstLine="240"/>
        <w:jc w:val="both"/>
        <w:rPr>
          <w:rFonts w:ascii="Book Antiqua" w:hAnsi="Book Antiqua"/>
          <w:color w:val="000000" w:themeColor="text1"/>
          <w:sz w:val="24"/>
          <w:szCs w:val="24"/>
          <w:lang w:val="en-US"/>
        </w:rPr>
      </w:pPr>
      <w:r w:rsidRPr="00092C22">
        <w:rPr>
          <w:rFonts w:ascii="Book Antiqua" w:hAnsi="Book Antiqua"/>
          <w:color w:val="000000" w:themeColor="text1"/>
          <w:sz w:val="24"/>
          <w:szCs w:val="24"/>
          <w:lang w:val="en-US"/>
        </w:rPr>
        <w:t>To evaluate the different role of thrombophilia, in patients with and without viral etiology, we analyzed the total number of patients with LC recruited by our group, by asking the question if these THRGFs could be potential markers of liver fibrogenesis, mainly in patients without virus etiology.</w:t>
      </w:r>
    </w:p>
    <w:p w14:paraId="0F074A81" w14:textId="77777777" w:rsidR="005F36D3" w:rsidRPr="00092C22" w:rsidRDefault="005F36D3" w:rsidP="005F36D3">
      <w:pPr>
        <w:spacing w:after="0" w:line="360" w:lineRule="auto"/>
        <w:ind w:firstLineChars="100" w:firstLine="240"/>
        <w:jc w:val="both"/>
        <w:rPr>
          <w:rFonts w:ascii="Book Antiqua" w:hAnsi="Book Antiqua"/>
          <w:color w:val="000000" w:themeColor="text1"/>
          <w:sz w:val="24"/>
          <w:szCs w:val="24"/>
          <w:lang w:val="en-US" w:eastAsia="zh-CN"/>
        </w:rPr>
      </w:pPr>
      <w:r w:rsidRPr="00092C22">
        <w:rPr>
          <w:rFonts w:ascii="Book Antiqua" w:hAnsi="Book Antiqua"/>
          <w:color w:val="000000" w:themeColor="text1"/>
          <w:sz w:val="24"/>
          <w:szCs w:val="24"/>
          <w:lang w:val="en-US"/>
        </w:rPr>
        <w:t>We built a file with data of the individual patients with LC, resulting from the two studies above described from 2000 to 2014</w:t>
      </w:r>
      <w:r w:rsidRPr="00092C22">
        <w:rPr>
          <w:rFonts w:ascii="Book Antiqua" w:hAnsi="Book Antiqua"/>
          <w:color w:val="000000" w:themeColor="text1"/>
          <w:sz w:val="24"/>
          <w:szCs w:val="24"/>
          <w:vertAlign w:val="superscript"/>
          <w:lang w:val="en-US"/>
        </w:rPr>
        <w:t>[1,</w:t>
      </w:r>
      <w:r>
        <w:rPr>
          <w:rFonts w:ascii="Book Antiqua" w:hAnsi="Book Antiqua"/>
          <w:color w:val="000000" w:themeColor="text1"/>
          <w:sz w:val="24"/>
          <w:szCs w:val="24"/>
          <w:vertAlign w:val="superscript"/>
          <w:lang w:val="en-US"/>
        </w:rPr>
        <w:t>2</w:t>
      </w:r>
      <w:r w:rsidRPr="00092C22">
        <w:rPr>
          <w:rFonts w:ascii="Book Antiqua" w:hAnsi="Book Antiqua"/>
          <w:color w:val="000000" w:themeColor="text1"/>
          <w:sz w:val="24"/>
          <w:szCs w:val="24"/>
          <w:vertAlign w:val="superscript"/>
          <w:lang w:val="en-US"/>
        </w:rPr>
        <w:t>]</w:t>
      </w:r>
      <w:r w:rsidRPr="00092C22">
        <w:rPr>
          <w:rFonts w:ascii="Book Antiqua" w:hAnsi="Book Antiqua"/>
          <w:b/>
          <w:color w:val="000000" w:themeColor="text1"/>
          <w:sz w:val="24"/>
          <w:szCs w:val="24"/>
          <w:lang w:val="en-US"/>
        </w:rPr>
        <w:t>,</w:t>
      </w:r>
      <w:r w:rsidRPr="00092C22">
        <w:rPr>
          <w:rFonts w:ascii="Book Antiqua" w:hAnsi="Book Antiqua"/>
          <w:color w:val="000000" w:themeColor="text1"/>
          <w:sz w:val="24"/>
          <w:szCs w:val="24"/>
          <w:lang w:val="en-US"/>
        </w:rPr>
        <w:t xml:space="preserve"> and we compared the results of the analysis, with those from the literature, that can support the hypothesis</w:t>
      </w:r>
      <w:r w:rsidR="006E4C49">
        <w:rPr>
          <w:rFonts w:ascii="Book Antiqua" w:hAnsi="Book Antiqua"/>
          <w:color w:val="000000" w:themeColor="text1"/>
          <w:sz w:val="24"/>
          <w:szCs w:val="24"/>
          <w:lang w:val="en-US"/>
        </w:rPr>
        <w:t xml:space="preserve"> of a pathogenetic</w:t>
      </w:r>
      <w:r w:rsidRPr="00092C22">
        <w:rPr>
          <w:rFonts w:ascii="Book Antiqua" w:hAnsi="Book Antiqua"/>
          <w:color w:val="000000" w:themeColor="text1"/>
          <w:sz w:val="24"/>
          <w:szCs w:val="24"/>
          <w:lang w:val="en-US"/>
        </w:rPr>
        <w:t xml:space="preserve"> role of thrombophilia in liver fibrogenesis.</w:t>
      </w:r>
    </w:p>
    <w:p w14:paraId="25C1F162" w14:textId="77777777" w:rsidR="00022C11" w:rsidRPr="005F36D3" w:rsidRDefault="00022C11" w:rsidP="009A3E1D">
      <w:pPr>
        <w:spacing w:after="0" w:line="360" w:lineRule="auto"/>
        <w:jc w:val="both"/>
        <w:rPr>
          <w:rFonts w:ascii="Book Antiqua" w:hAnsi="Book Antiqua"/>
          <w:sz w:val="24"/>
          <w:szCs w:val="24"/>
          <w:lang w:val="en-US" w:eastAsia="zh-CN"/>
        </w:rPr>
      </w:pPr>
    </w:p>
    <w:p w14:paraId="1C561120" w14:textId="77777777" w:rsidR="009C444A" w:rsidRPr="00C63E3F" w:rsidRDefault="009C444A"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t>MATERIAL AND METHODS</w:t>
      </w:r>
    </w:p>
    <w:p w14:paraId="2CDBA7E8" w14:textId="77777777" w:rsidR="009C444A" w:rsidRPr="00C63E3F" w:rsidRDefault="009C444A" w:rsidP="009A3E1D">
      <w:pPr>
        <w:spacing w:after="0" w:line="360" w:lineRule="auto"/>
        <w:jc w:val="both"/>
        <w:rPr>
          <w:rFonts w:ascii="Book Antiqua" w:hAnsi="Book Antiqua"/>
          <w:b/>
          <w:i/>
          <w:sz w:val="24"/>
          <w:szCs w:val="24"/>
          <w:lang w:val="en-US"/>
        </w:rPr>
      </w:pPr>
      <w:r w:rsidRPr="00C63E3F">
        <w:rPr>
          <w:rFonts w:ascii="Book Antiqua" w:hAnsi="Book Antiqua"/>
          <w:b/>
          <w:i/>
          <w:sz w:val="24"/>
          <w:szCs w:val="24"/>
          <w:lang w:val="en-US"/>
        </w:rPr>
        <w:t>Patients</w:t>
      </w:r>
    </w:p>
    <w:p w14:paraId="01C53A5D" w14:textId="77777777" w:rsidR="009C444A" w:rsidRPr="00C63E3F" w:rsidRDefault="009C444A"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rPr>
        <w:t>The first study included 214 patients with LC, enrolled fro</w:t>
      </w:r>
      <w:r w:rsidR="00BA2CE0" w:rsidRPr="00C63E3F">
        <w:rPr>
          <w:rFonts w:ascii="Book Antiqua" w:hAnsi="Book Antiqua"/>
          <w:sz w:val="24"/>
          <w:szCs w:val="24"/>
          <w:lang w:val="en-US"/>
        </w:rPr>
        <w:t>m January 2000 to December 2007</w:t>
      </w:r>
      <w:r w:rsidR="00EC603A" w:rsidRPr="00C63E3F">
        <w:rPr>
          <w:rFonts w:ascii="Book Antiqua" w:hAnsi="Book Antiqua"/>
          <w:sz w:val="24"/>
          <w:szCs w:val="24"/>
          <w:vertAlign w:val="superscript"/>
          <w:lang w:val="en-US"/>
        </w:rPr>
        <w:t>[1]</w:t>
      </w:r>
      <w:r w:rsidR="00EC603A" w:rsidRPr="00C63E3F">
        <w:rPr>
          <w:rFonts w:ascii="Book Antiqua" w:hAnsi="Book Antiqua"/>
          <w:sz w:val="24"/>
          <w:szCs w:val="24"/>
          <w:lang w:val="en-US"/>
        </w:rPr>
        <w:t xml:space="preserve">, </w:t>
      </w:r>
      <w:r w:rsidRPr="00C63E3F">
        <w:rPr>
          <w:rFonts w:ascii="Book Antiqua" w:hAnsi="Book Antiqua"/>
          <w:sz w:val="24"/>
          <w:szCs w:val="24"/>
          <w:lang w:val="en-US"/>
        </w:rPr>
        <w:t>and the second, 865 patients</w:t>
      </w:r>
      <w:r w:rsidR="0026466D" w:rsidRPr="00C63E3F">
        <w:rPr>
          <w:rFonts w:ascii="Book Antiqua" w:hAnsi="Book Antiqua"/>
          <w:sz w:val="24"/>
          <w:szCs w:val="24"/>
          <w:lang w:val="en-US"/>
        </w:rPr>
        <w:t xml:space="preserve"> from June 2008 to January 2014</w:t>
      </w:r>
      <w:r w:rsidR="00A42D88" w:rsidRPr="00C63E3F">
        <w:rPr>
          <w:rFonts w:ascii="Book Antiqua" w:hAnsi="Book Antiqua"/>
          <w:sz w:val="24"/>
          <w:szCs w:val="24"/>
          <w:vertAlign w:val="superscript"/>
          <w:lang w:val="en-US"/>
        </w:rPr>
        <w:t>[2]</w:t>
      </w:r>
      <w:r w:rsidR="00A42D88" w:rsidRPr="00C63E3F">
        <w:rPr>
          <w:rFonts w:ascii="Book Antiqua" w:hAnsi="Book Antiqua"/>
          <w:sz w:val="24"/>
          <w:szCs w:val="24"/>
          <w:lang w:val="en-US"/>
        </w:rPr>
        <w:t>.</w:t>
      </w:r>
    </w:p>
    <w:p w14:paraId="065CB56A" w14:textId="77777777" w:rsidR="0026466D" w:rsidRPr="00C63E3F" w:rsidRDefault="0026466D" w:rsidP="009A3E1D">
      <w:pPr>
        <w:spacing w:after="0" w:line="360" w:lineRule="auto"/>
        <w:jc w:val="both"/>
        <w:rPr>
          <w:rFonts w:ascii="Book Antiqua" w:hAnsi="Book Antiqua"/>
          <w:sz w:val="24"/>
          <w:szCs w:val="24"/>
          <w:lang w:val="en-US" w:eastAsia="zh-CN"/>
        </w:rPr>
      </w:pPr>
    </w:p>
    <w:p w14:paraId="2DA85CC2" w14:textId="77777777" w:rsidR="009C444A" w:rsidRPr="00C63E3F" w:rsidRDefault="009C444A" w:rsidP="009A3E1D">
      <w:pPr>
        <w:spacing w:after="0" w:line="360" w:lineRule="auto"/>
        <w:jc w:val="both"/>
        <w:rPr>
          <w:rFonts w:ascii="Book Antiqua" w:hAnsi="Book Antiqua"/>
          <w:sz w:val="24"/>
          <w:szCs w:val="24"/>
          <w:lang w:val="en-US"/>
        </w:rPr>
      </w:pPr>
      <w:r w:rsidRPr="00C63E3F">
        <w:rPr>
          <w:rFonts w:ascii="Book Antiqua" w:hAnsi="Book Antiqua"/>
          <w:b/>
          <w:sz w:val="24"/>
          <w:szCs w:val="24"/>
          <w:lang w:val="en-US"/>
        </w:rPr>
        <w:t xml:space="preserve">Inclusion criteria: </w:t>
      </w:r>
      <w:r w:rsidRPr="00C63E3F">
        <w:rPr>
          <w:rFonts w:ascii="Book Antiqua" w:hAnsi="Book Antiqua"/>
          <w:sz w:val="24"/>
          <w:szCs w:val="24"/>
          <w:lang w:val="en-US"/>
        </w:rPr>
        <w:t xml:space="preserve">all Caucasian patients with diagnosis of LC, consecutively observed in the Medicine and Liver Department of an Emergency Hospital of Palermo, were included. Exclusion criteria: </w:t>
      </w:r>
      <w:r w:rsidR="00E30EB0" w:rsidRPr="00C63E3F">
        <w:rPr>
          <w:rFonts w:ascii="Book Antiqua" w:hAnsi="Book Antiqua"/>
          <w:sz w:val="24"/>
          <w:szCs w:val="24"/>
          <w:lang w:val="en-US"/>
        </w:rPr>
        <w:t>N</w:t>
      </w:r>
      <w:r w:rsidRPr="00C63E3F">
        <w:rPr>
          <w:rFonts w:ascii="Book Antiqua" w:hAnsi="Book Antiqua"/>
          <w:sz w:val="24"/>
          <w:szCs w:val="24"/>
          <w:lang w:val="en-US"/>
        </w:rPr>
        <w:t>on-Caucasian patients, or with biliary cirrhosis, autoimmune cirrhosis, celiac disease, HCC, and other neoplasm were excluded. The presence of PVT and the extension of the thrombosis to mesenteric or splenic vein w</w:t>
      </w:r>
      <w:r w:rsidR="00100356" w:rsidRPr="00C63E3F">
        <w:rPr>
          <w:rFonts w:ascii="Book Antiqua" w:hAnsi="Book Antiqua"/>
          <w:sz w:val="24"/>
          <w:szCs w:val="24"/>
          <w:lang w:val="en-US"/>
        </w:rPr>
        <w:t>as</w:t>
      </w:r>
      <w:r w:rsidRPr="00C63E3F">
        <w:rPr>
          <w:rFonts w:ascii="Book Antiqua" w:hAnsi="Book Antiqua"/>
          <w:sz w:val="24"/>
          <w:szCs w:val="24"/>
          <w:lang w:val="en-US"/>
        </w:rPr>
        <w:t xml:space="preserve"> registered, and accepted when unambiguous diagnostic evidence was detected by proper imaging </w:t>
      </w:r>
      <w:r w:rsidRPr="00C63E3F">
        <w:rPr>
          <w:rFonts w:ascii="Book Antiqua" w:hAnsi="Book Antiqua"/>
          <w:sz w:val="24"/>
          <w:szCs w:val="24"/>
          <w:lang w:val="en-US"/>
        </w:rPr>
        <w:lastRenderedPageBreak/>
        <w:t>techniques. All patients underwent endoscopy and the size of esophageal varices was</w:t>
      </w:r>
      <w:r w:rsidR="005C1DAB" w:rsidRPr="00C63E3F">
        <w:rPr>
          <w:rFonts w:ascii="Book Antiqua" w:hAnsi="Book Antiqua"/>
          <w:sz w:val="24"/>
          <w:szCs w:val="24"/>
          <w:lang w:val="en-US"/>
        </w:rPr>
        <w:t xml:space="preserve"> </w:t>
      </w:r>
      <w:r w:rsidRPr="00C63E3F">
        <w:rPr>
          <w:rFonts w:ascii="Book Antiqua" w:hAnsi="Book Antiqua"/>
          <w:sz w:val="24"/>
          <w:szCs w:val="24"/>
          <w:lang w:val="en-US"/>
        </w:rPr>
        <w:t>recorded as large–medium/small-absent. All patients were asked if they had had episodes of gastrointestinal bleeding in their history. The local human research committee has approved this study protocol.</w:t>
      </w:r>
    </w:p>
    <w:p w14:paraId="2EFB4041"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We analyzed data of patients in relation to the various etiology; the patients were also analyzed separately in two subgroups: the first with virus C, and or B, and the second </w:t>
      </w:r>
      <w:r w:rsidR="00C16114" w:rsidRPr="00C63E3F">
        <w:rPr>
          <w:rFonts w:ascii="Book Antiqua" w:hAnsi="Book Antiqua"/>
          <w:sz w:val="24"/>
          <w:szCs w:val="24"/>
          <w:lang w:val="en-US"/>
        </w:rPr>
        <w:t xml:space="preserve">one </w:t>
      </w:r>
      <w:r w:rsidRPr="00C63E3F">
        <w:rPr>
          <w:rFonts w:ascii="Book Antiqua" w:hAnsi="Book Antiqua"/>
          <w:sz w:val="24"/>
          <w:szCs w:val="24"/>
          <w:lang w:val="en-US"/>
        </w:rPr>
        <w:t>with alcohol and cryptogenic cirrhosis, as our second study showed that only these last patients showed significant frequency of THRGFs.</w:t>
      </w:r>
    </w:p>
    <w:p w14:paraId="77DCDAA2" w14:textId="77777777" w:rsidR="00F965A9" w:rsidRPr="00C63E3F" w:rsidRDefault="00F965A9" w:rsidP="009A3E1D">
      <w:pPr>
        <w:spacing w:after="0" w:line="360" w:lineRule="auto"/>
        <w:jc w:val="both"/>
        <w:rPr>
          <w:rFonts w:ascii="Book Antiqua" w:hAnsi="Book Antiqua"/>
          <w:b/>
          <w:i/>
          <w:sz w:val="24"/>
          <w:szCs w:val="24"/>
          <w:lang w:val="en-US"/>
        </w:rPr>
      </w:pPr>
    </w:p>
    <w:p w14:paraId="6EBC7950" w14:textId="77777777" w:rsidR="009C444A" w:rsidRPr="00C63E3F" w:rsidRDefault="009C444A" w:rsidP="009A3E1D">
      <w:pPr>
        <w:spacing w:after="0" w:line="360" w:lineRule="auto"/>
        <w:jc w:val="both"/>
        <w:rPr>
          <w:rFonts w:ascii="Book Antiqua" w:hAnsi="Book Antiqua"/>
          <w:b/>
          <w:i/>
          <w:sz w:val="24"/>
          <w:szCs w:val="24"/>
          <w:lang w:val="en-US"/>
        </w:rPr>
      </w:pPr>
      <w:r w:rsidRPr="00C63E3F">
        <w:rPr>
          <w:rFonts w:ascii="Book Antiqua" w:hAnsi="Book Antiqua"/>
          <w:b/>
          <w:i/>
          <w:sz w:val="24"/>
          <w:szCs w:val="24"/>
          <w:lang w:val="en-US"/>
        </w:rPr>
        <w:t>Thrombophili</w:t>
      </w:r>
      <w:r w:rsidR="0026466D" w:rsidRPr="00C63E3F">
        <w:rPr>
          <w:rFonts w:ascii="Book Antiqua" w:hAnsi="Book Antiqua"/>
          <w:b/>
          <w:i/>
          <w:sz w:val="24"/>
          <w:szCs w:val="24"/>
          <w:lang w:val="en-US"/>
        </w:rPr>
        <w:t>c genetic f</w:t>
      </w:r>
      <w:r w:rsidRPr="00C63E3F">
        <w:rPr>
          <w:rFonts w:ascii="Book Antiqua" w:hAnsi="Book Antiqua"/>
          <w:b/>
          <w:i/>
          <w:sz w:val="24"/>
          <w:szCs w:val="24"/>
          <w:lang w:val="en-US"/>
        </w:rPr>
        <w:t>actors and definition of thrombophilia</w:t>
      </w:r>
    </w:p>
    <w:p w14:paraId="4F86EF6B" w14:textId="77777777" w:rsidR="009C444A" w:rsidRPr="00C63E3F" w:rsidRDefault="009C444A" w:rsidP="009A3E1D">
      <w:pPr>
        <w:spacing w:after="0" w:line="360" w:lineRule="auto"/>
        <w:jc w:val="both"/>
        <w:rPr>
          <w:rFonts w:ascii="Book Antiqua" w:hAnsi="Book Antiqua"/>
          <w:sz w:val="24"/>
          <w:szCs w:val="24"/>
          <w:lang w:val="en-US"/>
        </w:rPr>
      </w:pPr>
      <w:r w:rsidRPr="00C63E3F">
        <w:rPr>
          <w:rFonts w:ascii="Book Antiqua" w:hAnsi="Book Antiqua"/>
          <w:sz w:val="24"/>
          <w:szCs w:val="24"/>
          <w:lang w:val="en-US"/>
        </w:rPr>
        <w:t xml:space="preserve">To evaluate the role of PAI-1, MTHFR677, V Leiden 506Q and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20210A mutations, genotyping of these polymorphisms was performed by PCR-RFL</w:t>
      </w:r>
      <w:r w:rsidR="00B7362E" w:rsidRPr="00C63E3F">
        <w:rPr>
          <w:rFonts w:ascii="Book Antiqua" w:hAnsi="Book Antiqua"/>
          <w:sz w:val="24"/>
          <w:szCs w:val="24"/>
          <w:lang w:val="en-US"/>
        </w:rPr>
        <w:t xml:space="preserve">P according with Patnaik </w:t>
      </w:r>
      <w:r w:rsidR="00B7362E" w:rsidRPr="00C63E3F">
        <w:rPr>
          <w:rFonts w:ascii="Book Antiqua" w:hAnsi="Book Antiqua"/>
          <w:i/>
          <w:sz w:val="24"/>
          <w:szCs w:val="24"/>
          <w:lang w:val="en-US"/>
        </w:rPr>
        <w:t>et al</w:t>
      </w:r>
      <w:r w:rsidR="00EC603A" w:rsidRPr="00C63E3F">
        <w:rPr>
          <w:rFonts w:ascii="Book Antiqua" w:hAnsi="Book Antiqua"/>
          <w:sz w:val="24"/>
          <w:szCs w:val="24"/>
          <w:vertAlign w:val="superscript"/>
          <w:lang w:val="en-US"/>
        </w:rPr>
        <w:t>[3]</w:t>
      </w:r>
      <w:r w:rsidRPr="00C63E3F">
        <w:rPr>
          <w:rFonts w:ascii="Book Antiqua" w:hAnsi="Book Antiqua"/>
          <w:sz w:val="24"/>
          <w:szCs w:val="24"/>
          <w:lang w:val="en-US"/>
        </w:rPr>
        <w:t xml:space="preserve">, in heterozygous and homozygous status. We have defined genetic thrombophilia the presence of at least one of the following THRGFs: PAI-1 4G-4G, MTHFR677TT, V Leiden Q506,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202</w:t>
      </w:r>
      <w:r w:rsidR="00BA2CE0" w:rsidRPr="00C63E3F">
        <w:rPr>
          <w:rFonts w:ascii="Book Antiqua" w:hAnsi="Book Antiqua"/>
          <w:sz w:val="24"/>
          <w:szCs w:val="24"/>
          <w:lang w:val="en-US"/>
        </w:rPr>
        <w:t>10A, as in our previous studies</w:t>
      </w:r>
      <w:r w:rsidR="00BA2CE0" w:rsidRPr="00C63E3F">
        <w:rPr>
          <w:rFonts w:ascii="Book Antiqua" w:hAnsi="Book Antiqua"/>
          <w:sz w:val="24"/>
          <w:szCs w:val="24"/>
          <w:vertAlign w:val="superscript"/>
          <w:lang w:val="en-US"/>
        </w:rPr>
        <w:t>[1,</w:t>
      </w:r>
      <w:r w:rsidR="007C7951" w:rsidRPr="00C63E3F">
        <w:rPr>
          <w:rFonts w:ascii="Book Antiqua" w:hAnsi="Book Antiqua"/>
          <w:sz w:val="24"/>
          <w:szCs w:val="24"/>
          <w:vertAlign w:val="superscript"/>
          <w:lang w:val="en-US"/>
        </w:rPr>
        <w:t>2]</w:t>
      </w:r>
      <w:r w:rsidRPr="00C63E3F">
        <w:rPr>
          <w:rFonts w:ascii="Book Antiqua" w:hAnsi="Book Antiqua"/>
          <w:sz w:val="24"/>
          <w:szCs w:val="24"/>
          <w:lang w:val="en-US"/>
        </w:rPr>
        <w:t>. All patients signed an informed consent and the study was conform to the ethical guidelines of the 1975 Helsinki Declaration</w:t>
      </w:r>
    </w:p>
    <w:p w14:paraId="069BB15E" w14:textId="77777777" w:rsidR="00F965A9" w:rsidRPr="00C63E3F" w:rsidRDefault="00F965A9" w:rsidP="009A3E1D">
      <w:pPr>
        <w:spacing w:after="0" w:line="360" w:lineRule="auto"/>
        <w:jc w:val="both"/>
        <w:rPr>
          <w:rFonts w:ascii="Book Antiqua" w:hAnsi="Book Antiqua"/>
          <w:b/>
          <w:i/>
          <w:sz w:val="24"/>
          <w:szCs w:val="24"/>
          <w:lang w:val="en-US"/>
        </w:rPr>
      </w:pPr>
    </w:p>
    <w:p w14:paraId="1DF0204B" w14:textId="77777777" w:rsidR="009C444A" w:rsidRPr="00C63E3F" w:rsidRDefault="009C444A" w:rsidP="009A3E1D">
      <w:pPr>
        <w:spacing w:after="0" w:line="360" w:lineRule="auto"/>
        <w:jc w:val="both"/>
        <w:rPr>
          <w:rFonts w:ascii="Book Antiqua" w:hAnsi="Book Antiqua"/>
          <w:b/>
          <w:i/>
          <w:sz w:val="24"/>
          <w:szCs w:val="24"/>
          <w:lang w:val="en-US"/>
        </w:rPr>
      </w:pPr>
      <w:r w:rsidRPr="00C63E3F">
        <w:rPr>
          <w:rFonts w:ascii="Book Antiqua" w:hAnsi="Book Antiqua"/>
          <w:b/>
          <w:i/>
          <w:sz w:val="24"/>
          <w:szCs w:val="24"/>
          <w:lang w:val="en-US"/>
        </w:rPr>
        <w:t>Statistical analysis</w:t>
      </w:r>
    </w:p>
    <w:p w14:paraId="2013991E" w14:textId="77777777" w:rsidR="009C444A" w:rsidRPr="00C63E3F" w:rsidRDefault="009C444A" w:rsidP="009A3E1D">
      <w:pPr>
        <w:spacing w:after="0" w:line="360" w:lineRule="auto"/>
        <w:jc w:val="both"/>
        <w:rPr>
          <w:rFonts w:ascii="Book Antiqua" w:hAnsi="Book Antiqua"/>
          <w:sz w:val="24"/>
          <w:szCs w:val="24"/>
          <w:lang w:val="en-US"/>
        </w:rPr>
      </w:pPr>
      <w:r w:rsidRPr="00C63E3F">
        <w:rPr>
          <w:rFonts w:ascii="Book Antiqua" w:hAnsi="Book Antiqua"/>
          <w:sz w:val="24"/>
          <w:szCs w:val="24"/>
          <w:lang w:val="en-US"/>
        </w:rPr>
        <w:t xml:space="preserve">We looked at the differences between the proportions of each THRGF, </w:t>
      </w:r>
      <w:r w:rsidR="00252CF3" w:rsidRPr="00C63E3F">
        <w:rPr>
          <w:rFonts w:ascii="Book Antiqua" w:hAnsi="Book Antiqua"/>
          <w:sz w:val="24"/>
          <w:szCs w:val="24"/>
          <w:lang w:val="en-US"/>
        </w:rPr>
        <w:t>in relation to presence or absence of viral etiology</w:t>
      </w:r>
      <w:r w:rsidRPr="00C63E3F">
        <w:rPr>
          <w:rFonts w:ascii="Book Antiqua" w:hAnsi="Book Antiqua"/>
          <w:sz w:val="24"/>
          <w:szCs w:val="24"/>
          <w:lang w:val="en-US"/>
        </w:rPr>
        <w:t xml:space="preserve">, using </w:t>
      </w:r>
      <w:r w:rsidR="0054094C" w:rsidRPr="00C63E3F">
        <w:rPr>
          <w:rFonts w:ascii="Book Antiqua" w:hAnsi="Book Antiqua"/>
          <w:sz w:val="24"/>
          <w:szCs w:val="24"/>
          <w:lang w:val="en-US"/>
        </w:rPr>
        <w:t>the</w:t>
      </w:r>
      <w:r w:rsidRPr="00C63E3F">
        <w:rPr>
          <w:rFonts w:ascii="Book Antiqua" w:hAnsi="Book Antiqua"/>
          <w:sz w:val="24"/>
          <w:szCs w:val="24"/>
          <w:lang w:val="en-US"/>
        </w:rPr>
        <w:t xml:space="preserve"> contingency table</w:t>
      </w:r>
      <w:r w:rsidR="0054094C" w:rsidRPr="00C63E3F">
        <w:rPr>
          <w:rFonts w:ascii="Book Antiqua" w:hAnsi="Book Antiqua"/>
          <w:sz w:val="24"/>
          <w:szCs w:val="24"/>
          <w:lang w:val="en-US"/>
        </w:rPr>
        <w:t>s</w:t>
      </w:r>
      <w:r w:rsidR="00EC603A" w:rsidRPr="00C63E3F">
        <w:rPr>
          <w:rFonts w:ascii="Book Antiqua" w:hAnsi="Book Antiqua"/>
          <w:sz w:val="24"/>
          <w:szCs w:val="24"/>
          <w:vertAlign w:val="superscript"/>
          <w:lang w:val="en-US"/>
        </w:rPr>
        <w:t>[4]</w:t>
      </w:r>
      <w:r w:rsidRPr="00C63E3F">
        <w:rPr>
          <w:rFonts w:ascii="Book Antiqua" w:hAnsi="Book Antiqua"/>
          <w:sz w:val="24"/>
          <w:szCs w:val="24"/>
          <w:lang w:val="en-US"/>
        </w:rPr>
        <w:t xml:space="preserve">. We considered only statistically significant differences, if the </w:t>
      </w:r>
      <w:r w:rsidR="00022C11" w:rsidRPr="00C63E3F">
        <w:rPr>
          <w:rFonts w:ascii="Book Antiqua" w:hAnsi="Book Antiqua"/>
          <w:i/>
          <w:sz w:val="24"/>
          <w:szCs w:val="24"/>
        </w:rPr>
        <w:sym w:font="Symbol" w:char="F063"/>
      </w:r>
      <w:r w:rsidR="00022C11" w:rsidRPr="00C63E3F">
        <w:rPr>
          <w:rFonts w:ascii="Book Antiqua" w:hAnsi="Book Antiqua"/>
          <w:sz w:val="24"/>
          <w:szCs w:val="24"/>
          <w:vertAlign w:val="superscript"/>
          <w:lang w:val="en-US" w:eastAsia="zh-CN"/>
        </w:rPr>
        <w:t>2</w:t>
      </w:r>
      <w:r w:rsidR="00E01337" w:rsidRPr="00C63E3F">
        <w:rPr>
          <w:rFonts w:ascii="Book Antiqua" w:hAnsi="Book Antiqua" w:cs="AdvTT5235d5a9"/>
          <w:sz w:val="24"/>
          <w:szCs w:val="24"/>
          <w:lang w:val="en-US"/>
        </w:rPr>
        <w:t xml:space="preserve"> </w:t>
      </w:r>
      <w:r w:rsidR="0026466D" w:rsidRPr="00C63E3F">
        <w:rPr>
          <w:rFonts w:ascii="Book Antiqua" w:hAnsi="Book Antiqua"/>
          <w:sz w:val="24"/>
          <w:szCs w:val="24"/>
          <w:lang w:val="en-US"/>
        </w:rPr>
        <w:t>&gt; 3.84</w:t>
      </w:r>
      <w:r w:rsidR="0026466D"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and </w:t>
      </w:r>
      <w:r w:rsidR="00022C11" w:rsidRPr="00C63E3F">
        <w:rPr>
          <w:rFonts w:ascii="Book Antiqua" w:hAnsi="Book Antiqua"/>
          <w:i/>
          <w:sz w:val="24"/>
          <w:szCs w:val="24"/>
          <w:lang w:val="en-US" w:eastAsia="zh-CN"/>
        </w:rPr>
        <w:t>P</w:t>
      </w:r>
      <w:r w:rsidRPr="00C63E3F">
        <w:rPr>
          <w:rFonts w:ascii="Book Antiqua" w:hAnsi="Book Antiqua"/>
          <w:sz w:val="24"/>
          <w:szCs w:val="24"/>
          <w:lang w:val="en-US"/>
        </w:rPr>
        <w:t xml:space="preserve"> value &lt;</w:t>
      </w:r>
      <w:r w:rsidR="0026466D"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0.05. </w:t>
      </w:r>
    </w:p>
    <w:p w14:paraId="2AE5CC65" w14:textId="77777777" w:rsidR="009C444A" w:rsidRPr="00C63E3F" w:rsidRDefault="009C444A"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rPr>
        <w:t>Moreover, we compared the observed frequencies of the THRGF genotypes, with those predicted in a population by Hardy-Weinberg equilibrium, using a we</w:t>
      </w:r>
      <w:r w:rsidR="00BA2CE0" w:rsidRPr="00C63E3F">
        <w:rPr>
          <w:rFonts w:ascii="Book Antiqua" w:hAnsi="Book Antiqua"/>
          <w:sz w:val="24"/>
          <w:szCs w:val="24"/>
          <w:lang w:val="en-US"/>
        </w:rPr>
        <w:t>b interactive calculator</w:t>
      </w:r>
      <w:r w:rsidR="00EC603A" w:rsidRPr="00C63E3F">
        <w:rPr>
          <w:rFonts w:ascii="Book Antiqua" w:hAnsi="Book Antiqua"/>
          <w:sz w:val="24"/>
          <w:szCs w:val="24"/>
          <w:vertAlign w:val="superscript"/>
          <w:lang w:val="en-US"/>
        </w:rPr>
        <w:t>[5]</w:t>
      </w:r>
      <w:r w:rsidRPr="00C63E3F">
        <w:rPr>
          <w:rFonts w:ascii="Book Antiqua" w:hAnsi="Book Antiqua"/>
          <w:sz w:val="24"/>
          <w:szCs w:val="24"/>
          <w:lang w:val="en-US"/>
        </w:rPr>
        <w:t>.</w:t>
      </w:r>
    </w:p>
    <w:p w14:paraId="4CDF16E2" w14:textId="77777777" w:rsidR="00022C11" w:rsidRPr="00C63E3F" w:rsidRDefault="00022C11" w:rsidP="009A3E1D">
      <w:pPr>
        <w:spacing w:after="0" w:line="360" w:lineRule="auto"/>
        <w:jc w:val="both"/>
        <w:rPr>
          <w:rFonts w:ascii="Book Antiqua" w:hAnsi="Book Antiqua"/>
          <w:b/>
          <w:sz w:val="24"/>
          <w:szCs w:val="24"/>
          <w:lang w:val="en-US" w:eastAsia="zh-CN"/>
        </w:rPr>
      </w:pPr>
    </w:p>
    <w:p w14:paraId="257DADED" w14:textId="77777777" w:rsidR="009C444A" w:rsidRPr="00C63E3F" w:rsidRDefault="009C444A"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t xml:space="preserve">RESULTS </w:t>
      </w:r>
    </w:p>
    <w:p w14:paraId="61861E0F" w14:textId="77777777" w:rsidR="009C444A" w:rsidRPr="00C63E3F" w:rsidRDefault="009C444A" w:rsidP="009A3E1D">
      <w:pPr>
        <w:spacing w:after="0" w:line="360" w:lineRule="auto"/>
        <w:jc w:val="both"/>
        <w:rPr>
          <w:rFonts w:ascii="Book Antiqua" w:hAnsi="Book Antiqua"/>
          <w:sz w:val="24"/>
          <w:szCs w:val="24"/>
          <w:lang w:val="en-US"/>
        </w:rPr>
      </w:pPr>
      <w:r w:rsidRPr="00C63E3F">
        <w:rPr>
          <w:rFonts w:ascii="Book Antiqua" w:hAnsi="Book Antiqua"/>
          <w:sz w:val="24"/>
          <w:szCs w:val="24"/>
          <w:lang w:val="en-US"/>
        </w:rPr>
        <w:t>The whole group consisted of 107</w:t>
      </w:r>
      <w:r w:rsidR="00815786" w:rsidRPr="00C63E3F">
        <w:rPr>
          <w:rFonts w:ascii="Book Antiqua" w:hAnsi="Book Antiqua"/>
          <w:sz w:val="24"/>
          <w:szCs w:val="24"/>
          <w:lang w:val="en-US"/>
        </w:rPr>
        <w:t>9</w:t>
      </w:r>
      <w:r w:rsidRPr="00C63E3F">
        <w:rPr>
          <w:rFonts w:ascii="Book Antiqua" w:hAnsi="Book Antiqua"/>
          <w:sz w:val="24"/>
          <w:szCs w:val="24"/>
          <w:lang w:val="en-US"/>
        </w:rPr>
        <w:t xml:space="preserve"> patients: 336 patients showed PVT and 16 Budd Chiari </w:t>
      </w:r>
      <w:r w:rsidR="00E2010B" w:rsidRPr="00C63E3F">
        <w:rPr>
          <w:rFonts w:ascii="Book Antiqua" w:hAnsi="Book Antiqua"/>
          <w:sz w:val="24"/>
          <w:szCs w:val="24"/>
          <w:lang w:val="en-US"/>
        </w:rPr>
        <w:t>s</w:t>
      </w:r>
      <w:r w:rsidRPr="00C63E3F">
        <w:rPr>
          <w:rFonts w:ascii="Book Antiqua" w:hAnsi="Book Antiqua"/>
          <w:sz w:val="24"/>
          <w:szCs w:val="24"/>
          <w:lang w:val="en-US"/>
        </w:rPr>
        <w:t xml:space="preserve">yndrome; </w:t>
      </w:r>
      <w:r w:rsidR="00573A26" w:rsidRPr="00C63E3F">
        <w:rPr>
          <w:rFonts w:ascii="Book Antiqua" w:hAnsi="Book Antiqua"/>
          <w:sz w:val="24"/>
          <w:szCs w:val="24"/>
          <w:lang w:val="en-US"/>
        </w:rPr>
        <w:t xml:space="preserve">53 patients showed </w:t>
      </w:r>
      <w:r w:rsidRPr="00C63E3F">
        <w:rPr>
          <w:rFonts w:ascii="Book Antiqua" w:hAnsi="Book Antiqua"/>
          <w:sz w:val="24"/>
          <w:szCs w:val="24"/>
          <w:lang w:val="en-US"/>
        </w:rPr>
        <w:t>mesenteric and or splenic vein thrombosis associated with PVT; large-medium esophageal varices were present in 445 patients</w:t>
      </w:r>
      <w:r w:rsidR="00B76717" w:rsidRPr="00C63E3F">
        <w:rPr>
          <w:rFonts w:ascii="Book Antiqua" w:hAnsi="Book Antiqua"/>
          <w:sz w:val="24"/>
          <w:szCs w:val="24"/>
          <w:lang w:val="en-US"/>
        </w:rPr>
        <w:t>,</w:t>
      </w:r>
      <w:r w:rsidRPr="00C63E3F">
        <w:rPr>
          <w:rFonts w:ascii="Book Antiqua" w:hAnsi="Book Antiqua"/>
          <w:sz w:val="24"/>
          <w:szCs w:val="24"/>
          <w:lang w:val="en-US"/>
        </w:rPr>
        <w:t xml:space="preserve"> and 360 patients </w:t>
      </w:r>
      <w:r w:rsidR="00B76717" w:rsidRPr="00C63E3F">
        <w:rPr>
          <w:rFonts w:ascii="Book Antiqua" w:hAnsi="Book Antiqua"/>
          <w:sz w:val="24"/>
          <w:szCs w:val="24"/>
          <w:lang w:val="en-US"/>
        </w:rPr>
        <w:t xml:space="preserve">had had </w:t>
      </w:r>
      <w:r w:rsidRPr="00C63E3F">
        <w:rPr>
          <w:rFonts w:ascii="Book Antiqua" w:hAnsi="Book Antiqua"/>
          <w:sz w:val="24"/>
          <w:szCs w:val="24"/>
          <w:lang w:val="en-US"/>
        </w:rPr>
        <w:t xml:space="preserve">at least one </w:t>
      </w:r>
      <w:r w:rsidR="005B7059" w:rsidRPr="00C63E3F">
        <w:rPr>
          <w:rFonts w:ascii="Book Antiqua" w:hAnsi="Book Antiqua"/>
          <w:sz w:val="24"/>
          <w:szCs w:val="24"/>
          <w:lang w:val="en-US"/>
        </w:rPr>
        <w:t xml:space="preserve">gastrointestinal </w:t>
      </w:r>
      <w:r w:rsidRPr="00C63E3F">
        <w:rPr>
          <w:rFonts w:ascii="Book Antiqua" w:hAnsi="Book Antiqua"/>
          <w:sz w:val="24"/>
          <w:szCs w:val="24"/>
          <w:lang w:val="en-US"/>
        </w:rPr>
        <w:t>bleeding episode.</w:t>
      </w:r>
    </w:p>
    <w:p w14:paraId="713C11CB" w14:textId="77777777" w:rsidR="00F31DBE" w:rsidRPr="00C63E3F" w:rsidRDefault="009C444A" w:rsidP="009A3E1D">
      <w:pPr>
        <w:spacing w:after="0" w:line="360" w:lineRule="auto"/>
        <w:ind w:firstLineChars="100" w:firstLine="240"/>
        <w:jc w:val="both"/>
        <w:rPr>
          <w:rFonts w:ascii="Book Antiqua" w:hAnsi="Book Antiqua" w:cs="Arial"/>
          <w:sz w:val="24"/>
          <w:szCs w:val="24"/>
          <w:lang w:val="en-US"/>
        </w:rPr>
      </w:pPr>
      <w:r w:rsidRPr="00C63E3F">
        <w:rPr>
          <w:rFonts w:ascii="Book Antiqua" w:hAnsi="Book Antiqua"/>
          <w:sz w:val="24"/>
          <w:szCs w:val="24"/>
          <w:lang w:val="en-US"/>
        </w:rPr>
        <w:t>The main demographic and clinical characteristics of patients, declared i</w:t>
      </w:r>
      <w:r w:rsidR="00636310" w:rsidRPr="00C63E3F">
        <w:rPr>
          <w:rFonts w:ascii="Book Antiqua" w:hAnsi="Book Antiqua"/>
          <w:sz w:val="24"/>
          <w:szCs w:val="24"/>
          <w:lang w:val="en-US"/>
        </w:rPr>
        <w:t>n the previous original studies</w:t>
      </w:r>
      <w:r w:rsidR="00636310" w:rsidRPr="00C63E3F">
        <w:rPr>
          <w:rFonts w:ascii="Book Antiqua" w:hAnsi="Book Antiqua"/>
          <w:sz w:val="24"/>
          <w:szCs w:val="24"/>
          <w:vertAlign w:val="superscript"/>
          <w:lang w:val="en-US"/>
        </w:rPr>
        <w:t>[1,</w:t>
      </w:r>
      <w:r w:rsidR="00EC603A" w:rsidRPr="00C63E3F">
        <w:rPr>
          <w:rFonts w:ascii="Book Antiqua" w:hAnsi="Book Antiqua"/>
          <w:sz w:val="24"/>
          <w:szCs w:val="24"/>
          <w:vertAlign w:val="superscript"/>
          <w:lang w:val="en-US"/>
        </w:rPr>
        <w:t>2]</w:t>
      </w:r>
      <w:r w:rsidR="00FF2C84" w:rsidRPr="00C63E3F">
        <w:rPr>
          <w:rFonts w:ascii="Book Antiqua" w:hAnsi="Book Antiqua"/>
          <w:sz w:val="24"/>
          <w:szCs w:val="24"/>
          <w:lang w:val="en-US"/>
        </w:rPr>
        <w:t>,</w:t>
      </w:r>
      <w:r w:rsidR="00EC603A" w:rsidRPr="00C63E3F">
        <w:rPr>
          <w:rFonts w:ascii="Book Antiqua" w:hAnsi="Book Antiqua"/>
          <w:sz w:val="24"/>
          <w:szCs w:val="24"/>
          <w:lang w:val="en-US"/>
        </w:rPr>
        <w:t xml:space="preserve"> </w:t>
      </w:r>
      <w:r w:rsidRPr="00C63E3F">
        <w:rPr>
          <w:rFonts w:ascii="Book Antiqua" w:hAnsi="Book Antiqua"/>
          <w:sz w:val="24"/>
          <w:szCs w:val="24"/>
          <w:lang w:val="en-US"/>
        </w:rPr>
        <w:t xml:space="preserve">are synthesized in </w:t>
      </w:r>
      <w:r w:rsidR="00636310" w:rsidRPr="00C63E3F">
        <w:rPr>
          <w:rFonts w:ascii="Book Antiqua" w:hAnsi="Book Antiqua"/>
          <w:sz w:val="24"/>
          <w:szCs w:val="24"/>
          <w:lang w:val="en-US"/>
        </w:rPr>
        <w:t>T</w:t>
      </w:r>
      <w:r w:rsidRPr="00C63E3F">
        <w:rPr>
          <w:rFonts w:ascii="Book Antiqua" w:hAnsi="Book Antiqua"/>
          <w:sz w:val="24"/>
          <w:szCs w:val="24"/>
          <w:lang w:val="en-US"/>
        </w:rPr>
        <w:t xml:space="preserve">able 1. The patients were separated in two </w:t>
      </w:r>
      <w:r w:rsidRPr="00C63E3F">
        <w:rPr>
          <w:rFonts w:ascii="Book Antiqua" w:hAnsi="Book Antiqua"/>
          <w:sz w:val="24"/>
          <w:szCs w:val="24"/>
          <w:lang w:val="en-US"/>
        </w:rPr>
        <w:lastRenderedPageBreak/>
        <w:t xml:space="preserve">subgroups: </w:t>
      </w:r>
      <w:r w:rsidR="00636310" w:rsidRPr="00C63E3F">
        <w:rPr>
          <w:rFonts w:ascii="Book Antiqua" w:hAnsi="Book Antiqua"/>
          <w:sz w:val="24"/>
          <w:szCs w:val="24"/>
          <w:lang w:val="en-US"/>
        </w:rPr>
        <w:t>T</w:t>
      </w:r>
      <w:r w:rsidRPr="00C63E3F">
        <w:rPr>
          <w:rFonts w:ascii="Book Antiqua" w:hAnsi="Book Antiqua"/>
          <w:sz w:val="24"/>
          <w:szCs w:val="24"/>
          <w:lang w:val="en-US"/>
        </w:rPr>
        <w:t xml:space="preserve">he first </w:t>
      </w:r>
      <w:r w:rsidR="003068B5" w:rsidRPr="00C63E3F">
        <w:rPr>
          <w:rFonts w:ascii="Book Antiqua" w:hAnsi="Book Antiqua"/>
          <w:sz w:val="24"/>
          <w:szCs w:val="24"/>
          <w:lang w:val="en-US"/>
        </w:rPr>
        <w:t xml:space="preserve">with alcohol and cryptogenic cirrhosis, i.e. without viral etiology, (350 patients), called no viral cirrhosis (NVLC), and the second </w:t>
      </w:r>
      <w:r w:rsidRPr="00C63E3F">
        <w:rPr>
          <w:rFonts w:ascii="Book Antiqua" w:hAnsi="Book Antiqua"/>
          <w:sz w:val="24"/>
          <w:szCs w:val="24"/>
          <w:lang w:val="en-US"/>
        </w:rPr>
        <w:t xml:space="preserve">with virus B and or C (739 of whom 56 patients HCV+ HBV), called viral </w:t>
      </w:r>
      <w:r w:rsidR="003068B5" w:rsidRPr="00C63E3F">
        <w:rPr>
          <w:rFonts w:ascii="Book Antiqua" w:hAnsi="Book Antiqua"/>
          <w:sz w:val="24"/>
          <w:szCs w:val="24"/>
          <w:lang w:val="en-US"/>
        </w:rPr>
        <w:t xml:space="preserve">liver </w:t>
      </w:r>
      <w:r w:rsidRPr="00C63E3F">
        <w:rPr>
          <w:rFonts w:ascii="Book Antiqua" w:hAnsi="Book Antiqua"/>
          <w:sz w:val="24"/>
          <w:szCs w:val="24"/>
          <w:lang w:val="en-US"/>
        </w:rPr>
        <w:t>cirrhosis</w:t>
      </w:r>
      <w:r w:rsidR="003068B5" w:rsidRPr="00C63E3F">
        <w:rPr>
          <w:rFonts w:ascii="Book Antiqua" w:hAnsi="Book Antiqua"/>
          <w:sz w:val="24"/>
          <w:szCs w:val="24"/>
          <w:lang w:val="en-US"/>
        </w:rPr>
        <w:t xml:space="preserve"> (</w:t>
      </w:r>
      <w:r w:rsidRPr="00C63E3F">
        <w:rPr>
          <w:rFonts w:ascii="Book Antiqua" w:hAnsi="Book Antiqua"/>
          <w:sz w:val="24"/>
          <w:szCs w:val="24"/>
          <w:lang w:val="en-US"/>
        </w:rPr>
        <w:t>VLC</w:t>
      </w:r>
      <w:r w:rsidR="003068B5" w:rsidRPr="00C63E3F">
        <w:rPr>
          <w:rFonts w:ascii="Book Antiqua" w:hAnsi="Book Antiqua"/>
          <w:sz w:val="24"/>
          <w:szCs w:val="24"/>
          <w:lang w:val="en-US"/>
        </w:rPr>
        <w:t xml:space="preserve">). </w:t>
      </w:r>
      <w:r w:rsidR="00F31DBE" w:rsidRPr="00C63E3F">
        <w:rPr>
          <w:rStyle w:val="Strong"/>
          <w:rFonts w:ascii="Book Antiqua" w:hAnsi="Book Antiqua" w:cs="Arial"/>
          <w:b w:val="0"/>
          <w:sz w:val="24"/>
          <w:szCs w:val="24"/>
          <w:lang w:val="en-US"/>
        </w:rPr>
        <w:t xml:space="preserve">No statistical differences were found between NVLC </w:t>
      </w:r>
      <w:r w:rsidR="001A625B" w:rsidRPr="00C63E3F">
        <w:rPr>
          <w:rFonts w:ascii="Book Antiqua" w:hAnsi="Book Antiqua"/>
          <w:i/>
          <w:sz w:val="24"/>
          <w:szCs w:val="24"/>
          <w:lang w:val="en-US" w:eastAsia="zh-CN"/>
        </w:rPr>
        <w:t>vs</w:t>
      </w:r>
      <w:r w:rsidR="00F31DBE" w:rsidRPr="00C63E3F">
        <w:rPr>
          <w:rStyle w:val="Strong"/>
          <w:rFonts w:ascii="Book Antiqua" w:hAnsi="Book Antiqua" w:cs="Arial"/>
          <w:b w:val="0"/>
          <w:sz w:val="24"/>
          <w:szCs w:val="24"/>
          <w:lang w:val="en-US"/>
        </w:rPr>
        <w:t xml:space="preserve"> VLC </w:t>
      </w:r>
      <w:r w:rsidR="00485B65" w:rsidRPr="00C63E3F">
        <w:rPr>
          <w:rStyle w:val="Strong"/>
          <w:rFonts w:ascii="Book Antiqua" w:hAnsi="Book Antiqua" w:cs="Arial"/>
          <w:b w:val="0"/>
          <w:sz w:val="24"/>
          <w:szCs w:val="24"/>
          <w:lang w:val="en-US"/>
        </w:rPr>
        <w:t>demographic and clinical characteristics</w:t>
      </w:r>
      <w:r w:rsidR="00F31DBE" w:rsidRPr="00C63E3F">
        <w:rPr>
          <w:rStyle w:val="Strong"/>
          <w:rFonts w:ascii="Book Antiqua" w:hAnsi="Book Antiqua" w:cs="Arial"/>
          <w:b w:val="0"/>
          <w:sz w:val="24"/>
          <w:szCs w:val="24"/>
          <w:lang w:val="en-US"/>
        </w:rPr>
        <w:t>:</w:t>
      </w:r>
      <w:r w:rsidR="00F31DBE" w:rsidRPr="00C63E3F">
        <w:rPr>
          <w:rFonts w:ascii="Book Antiqua" w:hAnsi="Book Antiqua"/>
          <w:sz w:val="24"/>
          <w:szCs w:val="24"/>
          <w:lang w:val="en-US" w:eastAsia="zh-CN"/>
        </w:rPr>
        <w:t xml:space="preserve"> all </w:t>
      </w:r>
      <w:r w:rsidR="00F31DBE" w:rsidRPr="00C63E3F">
        <w:rPr>
          <w:rFonts w:ascii="Book Antiqua" w:hAnsi="Book Antiqua"/>
          <w:i/>
          <w:sz w:val="24"/>
          <w:szCs w:val="24"/>
        </w:rPr>
        <w:sym w:font="Symbol" w:char="F063"/>
      </w:r>
      <w:r w:rsidR="00F31DBE" w:rsidRPr="00C63E3F">
        <w:rPr>
          <w:rFonts w:ascii="Book Antiqua" w:hAnsi="Book Antiqua"/>
          <w:sz w:val="24"/>
          <w:szCs w:val="24"/>
          <w:vertAlign w:val="superscript"/>
          <w:lang w:val="en-US" w:eastAsia="zh-CN"/>
        </w:rPr>
        <w:t>2</w:t>
      </w:r>
      <w:r w:rsidR="00F31DBE" w:rsidRPr="00C63E3F">
        <w:rPr>
          <w:rFonts w:ascii="Book Antiqua" w:hAnsi="Book Antiqua"/>
          <w:sz w:val="24"/>
          <w:szCs w:val="24"/>
          <w:lang w:val="en-US" w:eastAsia="zh-CN"/>
        </w:rPr>
        <w:t xml:space="preserve"> &gt; 3.85 and </w:t>
      </w:r>
      <w:r w:rsidR="00F31DBE" w:rsidRPr="00C63E3F">
        <w:rPr>
          <w:rFonts w:ascii="Book Antiqua" w:hAnsi="Book Antiqua"/>
          <w:i/>
          <w:sz w:val="24"/>
          <w:szCs w:val="24"/>
          <w:lang w:val="en-US" w:eastAsia="zh-CN"/>
        </w:rPr>
        <w:t>P</w:t>
      </w:r>
      <w:r w:rsidR="00F31DBE" w:rsidRPr="00C63E3F">
        <w:rPr>
          <w:rFonts w:ascii="Book Antiqua" w:hAnsi="Book Antiqua"/>
          <w:sz w:val="24"/>
          <w:szCs w:val="24"/>
          <w:lang w:val="en-US" w:eastAsia="zh-CN"/>
        </w:rPr>
        <w:t xml:space="preserve"> &lt; 0.05.</w:t>
      </w:r>
    </w:p>
    <w:p w14:paraId="28838B9D"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A total of 189/352 patients with PVT and or BCS showed at least one TRHGF; </w:t>
      </w:r>
      <w:r w:rsidR="00F82552" w:rsidRPr="00C63E3F">
        <w:rPr>
          <w:rFonts w:ascii="Book Antiqua" w:hAnsi="Book Antiqua"/>
          <w:sz w:val="24"/>
          <w:szCs w:val="24"/>
          <w:lang w:val="en-US"/>
        </w:rPr>
        <w:t xml:space="preserve">in </w:t>
      </w:r>
      <w:r w:rsidRPr="00C63E3F">
        <w:rPr>
          <w:rFonts w:ascii="Book Antiqua" w:hAnsi="Book Antiqua"/>
          <w:sz w:val="24"/>
          <w:szCs w:val="24"/>
          <w:lang w:val="en-US"/>
        </w:rPr>
        <w:t>177 PAI-1 4G-4G and or MTHFR 677TT</w:t>
      </w:r>
      <w:r w:rsidR="00F82552" w:rsidRPr="00C63E3F">
        <w:rPr>
          <w:rFonts w:ascii="Book Antiqua" w:hAnsi="Book Antiqua"/>
          <w:sz w:val="24"/>
          <w:szCs w:val="24"/>
          <w:lang w:val="en-US"/>
        </w:rPr>
        <w:t xml:space="preserve"> were present.</w:t>
      </w:r>
    </w:p>
    <w:p w14:paraId="598FCB0B"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Table 2 shows the frequencies of the studied THRGFs in the 1079 patients with cirrhosis of various etiology, and in relation to the presence of virus. A total of 417/1079 patients (38.6%) showed thrombophilia: 217 PAI-1 4G-4G, 176 MTHFR C677TT, 71 V Leiden Factor, 41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G20210 A, 84 with more than 1 THRGF: (82 patients</w:t>
      </w:r>
      <w:r w:rsidR="00CF6D89" w:rsidRPr="00C63E3F">
        <w:rPr>
          <w:rFonts w:ascii="Book Antiqua" w:hAnsi="Book Antiqua"/>
          <w:sz w:val="24"/>
          <w:szCs w:val="24"/>
          <w:lang w:val="en-US"/>
        </w:rPr>
        <w:t xml:space="preserve"> with</w:t>
      </w:r>
      <w:r w:rsidRPr="00C63E3F">
        <w:rPr>
          <w:rFonts w:ascii="Book Antiqua" w:hAnsi="Book Antiqua"/>
          <w:sz w:val="24"/>
          <w:szCs w:val="24"/>
          <w:lang w:val="en-US"/>
        </w:rPr>
        <w:t xml:space="preserve"> 2 THRGFs; 2 patients, 3). </w:t>
      </w:r>
    </w:p>
    <w:p w14:paraId="7C6D49FF"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No one V with Leiden 506Q or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20210A homozygous was present. The proportion of PAI-1 polymorphisms 4G-5G and 5G-5G was respectively 123 and 121 in NVLC</w:t>
      </w:r>
      <w:r w:rsidR="00152F45" w:rsidRPr="00C63E3F">
        <w:rPr>
          <w:rFonts w:ascii="Book Antiqua" w:hAnsi="Book Antiqua"/>
          <w:sz w:val="24"/>
          <w:szCs w:val="24"/>
          <w:lang w:val="en-US"/>
        </w:rPr>
        <w:t>,</w:t>
      </w:r>
      <w:r w:rsidRPr="00C63E3F">
        <w:rPr>
          <w:rFonts w:ascii="Book Antiqua" w:hAnsi="Book Antiqua"/>
          <w:sz w:val="24"/>
          <w:szCs w:val="24"/>
          <w:lang w:val="en-US"/>
        </w:rPr>
        <w:t xml:space="preserve"> and 354 and 280 in VLC; the proportion of MTHFR polymorphisms C677T and CC677 was, respectively, 161 and 112 in NVLC</w:t>
      </w:r>
      <w:r w:rsidR="00152F45" w:rsidRPr="00C63E3F">
        <w:rPr>
          <w:rFonts w:ascii="Book Antiqua" w:hAnsi="Book Antiqua"/>
          <w:sz w:val="24"/>
          <w:szCs w:val="24"/>
          <w:lang w:val="en-US"/>
        </w:rPr>
        <w:t>,</w:t>
      </w:r>
      <w:r w:rsidRPr="00C63E3F">
        <w:rPr>
          <w:rFonts w:ascii="Book Antiqua" w:hAnsi="Book Antiqua"/>
          <w:sz w:val="24"/>
          <w:szCs w:val="24"/>
          <w:lang w:val="en-US"/>
        </w:rPr>
        <w:t xml:space="preserve"> and 364 and 266 in VLC.</w:t>
      </w:r>
    </w:p>
    <w:p w14:paraId="07BCB626" w14:textId="77777777" w:rsidR="00152F45" w:rsidRPr="00C63E3F" w:rsidRDefault="00BC0976"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NVLC and VLC </w:t>
      </w:r>
      <w:r w:rsidR="009C444A" w:rsidRPr="00C63E3F">
        <w:rPr>
          <w:rFonts w:ascii="Book Antiqua" w:hAnsi="Book Antiqua"/>
          <w:sz w:val="24"/>
          <w:szCs w:val="24"/>
          <w:lang w:val="en-US"/>
        </w:rPr>
        <w:t xml:space="preserve">showed </w:t>
      </w:r>
      <w:r w:rsidRPr="00C63E3F">
        <w:rPr>
          <w:rFonts w:ascii="Book Antiqua" w:hAnsi="Book Antiqua"/>
          <w:sz w:val="24"/>
          <w:szCs w:val="24"/>
          <w:lang w:val="en-US"/>
        </w:rPr>
        <w:t xml:space="preserve">at least one THRGF in 198/350 and </w:t>
      </w:r>
      <w:r w:rsidR="009C444A" w:rsidRPr="00C63E3F">
        <w:rPr>
          <w:rFonts w:ascii="Book Antiqua" w:hAnsi="Book Antiqua"/>
          <w:sz w:val="24"/>
          <w:szCs w:val="24"/>
          <w:lang w:val="en-US"/>
        </w:rPr>
        <w:t xml:space="preserve">199/729 </w:t>
      </w:r>
      <w:r w:rsidRPr="00C63E3F">
        <w:rPr>
          <w:rFonts w:ascii="Book Antiqua" w:hAnsi="Book Antiqua"/>
          <w:sz w:val="24"/>
          <w:szCs w:val="24"/>
          <w:lang w:val="en-US"/>
        </w:rPr>
        <w:t>patients respectively.</w:t>
      </w:r>
      <w:r w:rsidR="009C444A" w:rsidRPr="00C63E3F">
        <w:rPr>
          <w:rFonts w:ascii="Book Antiqua" w:hAnsi="Book Antiqua"/>
          <w:sz w:val="24"/>
          <w:szCs w:val="24"/>
          <w:lang w:val="en-US"/>
        </w:rPr>
        <w:t xml:space="preserve"> </w:t>
      </w:r>
    </w:p>
    <w:p w14:paraId="6DA482AE" w14:textId="77777777" w:rsidR="00CB779C"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We tested statistical differences of the single THRGF between patients with </w:t>
      </w:r>
      <w:r w:rsidR="00D664A5" w:rsidRPr="00C63E3F">
        <w:rPr>
          <w:rFonts w:ascii="Book Antiqua" w:hAnsi="Book Antiqua"/>
          <w:sz w:val="24"/>
          <w:szCs w:val="24"/>
          <w:lang w:val="en-US"/>
        </w:rPr>
        <w:t>N</w:t>
      </w:r>
      <w:r w:rsidRPr="00C63E3F">
        <w:rPr>
          <w:rFonts w:ascii="Book Antiqua" w:hAnsi="Book Antiqua"/>
          <w:sz w:val="24"/>
          <w:szCs w:val="24"/>
          <w:lang w:val="en-US"/>
        </w:rPr>
        <w:t>VLC and VLC</w:t>
      </w:r>
      <w:r w:rsidR="004A0CF5" w:rsidRPr="00C63E3F">
        <w:rPr>
          <w:rFonts w:ascii="Book Antiqua" w:hAnsi="Book Antiqua"/>
          <w:sz w:val="24"/>
          <w:szCs w:val="24"/>
          <w:lang w:val="en-US"/>
        </w:rPr>
        <w:t>,</w:t>
      </w:r>
      <w:r w:rsidRPr="00C63E3F">
        <w:rPr>
          <w:rFonts w:ascii="Book Antiqua" w:hAnsi="Book Antiqua"/>
          <w:sz w:val="24"/>
          <w:szCs w:val="24"/>
          <w:lang w:val="en-US"/>
        </w:rPr>
        <w:t xml:space="preserve"> with 2-way contingency table analysis. Table 2 shows the corresponding </w:t>
      </w:r>
      <w:r w:rsidR="00F965A9" w:rsidRPr="00C63E3F">
        <w:rPr>
          <w:rFonts w:ascii="Book Antiqua" w:hAnsi="Book Antiqua"/>
          <w:i/>
          <w:sz w:val="24"/>
          <w:szCs w:val="24"/>
        </w:rPr>
        <w:sym w:font="Symbol" w:char="F063"/>
      </w:r>
      <w:r w:rsidR="00F965A9" w:rsidRPr="00C63E3F">
        <w:rPr>
          <w:rFonts w:ascii="Book Antiqua" w:hAnsi="Book Antiqua"/>
          <w:sz w:val="24"/>
          <w:szCs w:val="24"/>
          <w:vertAlign w:val="superscript"/>
          <w:lang w:val="en-US" w:eastAsia="zh-CN"/>
        </w:rPr>
        <w:t>2</w:t>
      </w:r>
      <w:r w:rsidR="00F965A9" w:rsidRPr="00C63E3F">
        <w:rPr>
          <w:rFonts w:ascii="Book Antiqua" w:hAnsi="Book Antiqua" w:cs="AdvTT5235d5a9"/>
          <w:sz w:val="24"/>
          <w:szCs w:val="24"/>
          <w:lang w:val="en-US"/>
        </w:rPr>
        <w:t xml:space="preserve"> </w:t>
      </w:r>
      <w:r w:rsidR="00E01337" w:rsidRPr="00C63E3F">
        <w:rPr>
          <w:rFonts w:ascii="Book Antiqua" w:hAnsi="Book Antiqua" w:cs="AdvTT5235d5a9"/>
          <w:sz w:val="24"/>
          <w:szCs w:val="24"/>
          <w:lang w:val="en-US"/>
        </w:rPr>
        <w:t xml:space="preserve">, </w:t>
      </w:r>
      <w:r w:rsidR="00F965A9" w:rsidRPr="00C63E3F">
        <w:rPr>
          <w:rFonts w:ascii="Book Antiqua" w:hAnsi="Book Antiqua" w:cs="AdvTT5235d5a9"/>
          <w:sz w:val="24"/>
          <w:szCs w:val="24"/>
          <w:lang w:val="en-US"/>
        </w:rPr>
        <w:t>P</w:t>
      </w:r>
      <w:r w:rsidR="00E01337" w:rsidRPr="00C63E3F">
        <w:rPr>
          <w:rFonts w:ascii="Book Antiqua" w:hAnsi="Book Antiqua" w:cs="AdvTT5235d5a9"/>
          <w:sz w:val="24"/>
          <w:szCs w:val="24"/>
          <w:lang w:val="en-US"/>
        </w:rPr>
        <w:t xml:space="preserve"> values </w:t>
      </w:r>
      <w:r w:rsidRPr="00C63E3F">
        <w:rPr>
          <w:rFonts w:ascii="Book Antiqua" w:hAnsi="Book Antiqua"/>
          <w:sz w:val="24"/>
          <w:szCs w:val="24"/>
          <w:lang w:val="en-US"/>
        </w:rPr>
        <w:t xml:space="preserve">and odd ratios with 95% with confidence intervals (OR, with 95% CI). V Leiden Factor and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G20210 did not show statistical differences. </w:t>
      </w:r>
      <w:r w:rsidR="00CB779C" w:rsidRPr="00C63E3F">
        <w:rPr>
          <w:rFonts w:ascii="Book Antiqua" w:hAnsi="Book Antiqua"/>
          <w:sz w:val="24"/>
          <w:szCs w:val="24"/>
          <w:lang w:val="en-US"/>
        </w:rPr>
        <w:t xml:space="preserve">PAI-1 4G-4G, MTHFRC677TT, presence of thrombophilia and presence of &gt; 1 THRGF were statistically more frequent in patients with NVLC </w:t>
      </w:r>
      <w:r w:rsidR="001A625B" w:rsidRPr="00C63E3F">
        <w:rPr>
          <w:rFonts w:ascii="Book Antiqua" w:hAnsi="Book Antiqua"/>
          <w:i/>
          <w:sz w:val="24"/>
          <w:szCs w:val="24"/>
          <w:lang w:val="en-US" w:eastAsia="zh-CN"/>
        </w:rPr>
        <w:t>vs</w:t>
      </w:r>
      <w:r w:rsidR="00CB779C" w:rsidRPr="00C63E3F">
        <w:rPr>
          <w:rFonts w:ascii="Book Antiqua" w:hAnsi="Book Antiqua"/>
          <w:sz w:val="24"/>
          <w:szCs w:val="24"/>
          <w:lang w:val="en-US"/>
        </w:rPr>
        <w:t xml:space="preserve"> patients with VLC: all </w:t>
      </w:r>
      <w:r w:rsidR="00F965A9" w:rsidRPr="00C63E3F">
        <w:rPr>
          <w:rFonts w:ascii="Book Antiqua" w:hAnsi="Book Antiqua"/>
          <w:i/>
          <w:sz w:val="24"/>
          <w:szCs w:val="24"/>
        </w:rPr>
        <w:sym w:font="Symbol" w:char="F063"/>
      </w:r>
      <w:r w:rsidR="00F965A9" w:rsidRPr="00C63E3F">
        <w:rPr>
          <w:rFonts w:ascii="Book Antiqua" w:hAnsi="Book Antiqua"/>
          <w:sz w:val="24"/>
          <w:szCs w:val="24"/>
          <w:vertAlign w:val="superscript"/>
          <w:lang w:val="en-US" w:eastAsia="zh-CN"/>
        </w:rPr>
        <w:t>2</w:t>
      </w:r>
      <w:r w:rsidR="00283253" w:rsidRPr="00C63E3F">
        <w:rPr>
          <w:rFonts w:ascii="Book Antiqua" w:hAnsi="Book Antiqua" w:cs="AdvTT5235d5a9"/>
          <w:sz w:val="24"/>
          <w:szCs w:val="24"/>
          <w:lang w:val="en-US" w:eastAsia="zh-CN"/>
        </w:rPr>
        <w:t xml:space="preserve"> </w:t>
      </w:r>
      <w:r w:rsidR="00CB779C" w:rsidRPr="00C63E3F">
        <w:rPr>
          <w:rFonts w:ascii="Book Antiqua" w:hAnsi="Book Antiqua"/>
          <w:sz w:val="24"/>
          <w:szCs w:val="24"/>
          <w:lang w:val="en-US"/>
        </w:rPr>
        <w:t xml:space="preserve">&gt; 3.85 and </w:t>
      </w:r>
      <w:r w:rsidR="00F965A9" w:rsidRPr="00C63E3F">
        <w:rPr>
          <w:rFonts w:ascii="Book Antiqua" w:hAnsi="Book Antiqua"/>
          <w:sz w:val="24"/>
          <w:szCs w:val="24"/>
          <w:lang w:val="en-US"/>
        </w:rPr>
        <w:t>P</w:t>
      </w:r>
      <w:r w:rsidR="00CB779C" w:rsidRPr="00C63E3F">
        <w:rPr>
          <w:rFonts w:ascii="Book Antiqua" w:hAnsi="Book Antiqua"/>
          <w:sz w:val="24"/>
          <w:szCs w:val="24"/>
          <w:lang w:val="en-US"/>
        </w:rPr>
        <w:t xml:space="preserve">&lt; 0.05. A total of 178/350, (50.8%) NVLC </w:t>
      </w:r>
      <w:r w:rsidR="001A625B" w:rsidRPr="00C63E3F">
        <w:rPr>
          <w:rFonts w:ascii="Book Antiqua" w:hAnsi="Book Antiqua"/>
          <w:i/>
          <w:sz w:val="24"/>
          <w:szCs w:val="24"/>
          <w:lang w:val="en-US" w:eastAsia="zh-CN"/>
        </w:rPr>
        <w:t>vs</w:t>
      </w:r>
      <w:r w:rsidR="00CB779C" w:rsidRPr="00C63E3F">
        <w:rPr>
          <w:rFonts w:ascii="Book Antiqua" w:hAnsi="Book Antiqua"/>
          <w:sz w:val="24"/>
          <w:szCs w:val="24"/>
          <w:lang w:val="en-US"/>
        </w:rPr>
        <w:t xml:space="preserve"> 179/729 (24.5%) VLC showed a significant proportion of PAI-1 4G-4G and or MTHFRC677TT: </w:t>
      </w:r>
      <w:r w:rsidR="00F965A9" w:rsidRPr="00C63E3F">
        <w:rPr>
          <w:rFonts w:ascii="Book Antiqua" w:hAnsi="Book Antiqua"/>
          <w:i/>
          <w:sz w:val="24"/>
          <w:szCs w:val="24"/>
        </w:rPr>
        <w:sym w:font="Symbol" w:char="F063"/>
      </w:r>
      <w:r w:rsidR="00F965A9" w:rsidRPr="00C63E3F">
        <w:rPr>
          <w:rFonts w:ascii="Book Antiqua" w:hAnsi="Book Antiqua"/>
          <w:sz w:val="24"/>
          <w:szCs w:val="24"/>
          <w:vertAlign w:val="superscript"/>
          <w:lang w:val="en-US" w:eastAsia="zh-CN"/>
        </w:rPr>
        <w:t>2</w:t>
      </w:r>
      <w:r w:rsidR="00C14E92" w:rsidRPr="00C63E3F">
        <w:rPr>
          <w:rFonts w:ascii="Book Antiqua" w:hAnsi="Book Antiqua" w:cs="AdvTT5235d5a9"/>
          <w:sz w:val="24"/>
          <w:szCs w:val="24"/>
          <w:lang w:val="en-US"/>
        </w:rPr>
        <w:t xml:space="preserve"> </w:t>
      </w:r>
      <w:r w:rsidR="00D52087" w:rsidRPr="00C63E3F">
        <w:rPr>
          <w:rFonts w:ascii="Book Antiqua" w:hAnsi="Book Antiqua" w:cs="AdvTT5235d5a9"/>
          <w:sz w:val="24"/>
          <w:szCs w:val="24"/>
          <w:lang w:val="en-US" w:eastAsia="zh-CN"/>
        </w:rPr>
        <w:t xml:space="preserve">= </w:t>
      </w:r>
      <w:r w:rsidR="00CB779C" w:rsidRPr="00C63E3F">
        <w:rPr>
          <w:rFonts w:ascii="Book Antiqua" w:hAnsi="Book Antiqua"/>
          <w:sz w:val="24"/>
          <w:szCs w:val="24"/>
          <w:lang w:val="en-US"/>
        </w:rPr>
        <w:t xml:space="preserve">73.8, </w:t>
      </w:r>
      <w:r w:rsidR="00F965A9" w:rsidRPr="00C63E3F">
        <w:rPr>
          <w:rFonts w:ascii="Book Antiqua" w:hAnsi="Book Antiqua"/>
          <w:i/>
          <w:sz w:val="24"/>
          <w:szCs w:val="24"/>
          <w:lang w:val="en-US"/>
        </w:rPr>
        <w:t>P</w:t>
      </w:r>
      <w:r w:rsidR="00CB779C" w:rsidRPr="00C63E3F">
        <w:rPr>
          <w:rFonts w:ascii="Book Antiqua" w:hAnsi="Book Antiqua"/>
          <w:sz w:val="24"/>
          <w:szCs w:val="24"/>
          <w:lang w:val="en-US"/>
        </w:rPr>
        <w:t xml:space="preserve"> value</w:t>
      </w:r>
      <w:r w:rsidR="00C14E92" w:rsidRPr="00C63E3F">
        <w:rPr>
          <w:rFonts w:ascii="Book Antiqua" w:hAnsi="Book Antiqua"/>
          <w:sz w:val="24"/>
          <w:szCs w:val="24"/>
          <w:lang w:val="en-US" w:eastAsia="zh-CN"/>
        </w:rPr>
        <w:t xml:space="preserve"> </w:t>
      </w:r>
      <w:r w:rsidR="00CB779C" w:rsidRPr="00C63E3F">
        <w:rPr>
          <w:rFonts w:ascii="Book Antiqua" w:hAnsi="Book Antiqua"/>
          <w:sz w:val="24"/>
          <w:szCs w:val="24"/>
          <w:lang w:val="en-US"/>
        </w:rPr>
        <w:t>&lt;</w:t>
      </w:r>
      <w:r w:rsidR="00C14E92" w:rsidRPr="00C63E3F">
        <w:rPr>
          <w:rFonts w:ascii="Book Antiqua" w:hAnsi="Book Antiqua"/>
          <w:sz w:val="24"/>
          <w:szCs w:val="24"/>
          <w:lang w:val="en-US" w:eastAsia="zh-CN"/>
        </w:rPr>
        <w:t xml:space="preserve"> </w:t>
      </w:r>
      <w:r w:rsidR="00CB779C" w:rsidRPr="00C63E3F">
        <w:rPr>
          <w:rFonts w:ascii="Book Antiqua" w:hAnsi="Book Antiqua"/>
          <w:sz w:val="24"/>
          <w:szCs w:val="24"/>
          <w:lang w:val="en-US"/>
        </w:rPr>
        <w:t>0.000, 95%CI: 3.2 (2.4 - 4.2).</w:t>
      </w:r>
    </w:p>
    <w:p w14:paraId="5B3633DD" w14:textId="77777777" w:rsidR="00183154" w:rsidRPr="00C63E3F" w:rsidRDefault="009C444A" w:rsidP="009A3E1D">
      <w:pPr>
        <w:spacing w:after="0" w:line="360" w:lineRule="auto"/>
        <w:ind w:firstLineChars="100" w:firstLine="240"/>
        <w:jc w:val="both"/>
        <w:rPr>
          <w:rFonts w:ascii="Book Antiqua" w:hAnsi="Book Antiqua"/>
          <w:sz w:val="24"/>
          <w:szCs w:val="24"/>
          <w:lang w:val="en-US" w:eastAsia="zh-CN"/>
        </w:rPr>
      </w:pPr>
      <w:r w:rsidRPr="00C63E3F">
        <w:rPr>
          <w:rFonts w:ascii="Book Antiqua" w:hAnsi="Book Antiqua"/>
          <w:sz w:val="24"/>
          <w:szCs w:val="24"/>
          <w:lang w:val="en-US"/>
        </w:rPr>
        <w:t xml:space="preserve">Hardy-Weinberg of PAI-1 and MTHFR 677 genotypes deviated from that expected from a population in equilibrium, in patients with NVLC (respectively </w:t>
      </w:r>
      <w:r w:rsidR="00F965A9" w:rsidRPr="00C63E3F">
        <w:rPr>
          <w:rFonts w:ascii="Book Antiqua" w:hAnsi="Book Antiqua"/>
          <w:i/>
          <w:sz w:val="24"/>
          <w:szCs w:val="24"/>
        </w:rPr>
        <w:sym w:font="Symbol" w:char="F063"/>
      </w:r>
      <w:r w:rsidR="00F965A9" w:rsidRPr="00C63E3F">
        <w:rPr>
          <w:rFonts w:ascii="Book Antiqua" w:hAnsi="Book Antiqua"/>
          <w:sz w:val="24"/>
          <w:szCs w:val="24"/>
          <w:vertAlign w:val="superscript"/>
          <w:lang w:val="en-US" w:eastAsia="zh-CN"/>
        </w:rPr>
        <w:t>2</w:t>
      </w:r>
      <w:r w:rsidR="00F965A9" w:rsidRPr="00C63E3F">
        <w:rPr>
          <w:rFonts w:ascii="Book Antiqua" w:hAnsi="Book Antiqua" w:cs="AdvTT5235d5a9"/>
          <w:sz w:val="24"/>
          <w:szCs w:val="24"/>
          <w:lang w:val="en-US"/>
        </w:rPr>
        <w:t xml:space="preserve"> </w:t>
      </w:r>
      <w:r w:rsidR="00C13E8B" w:rsidRPr="00C63E3F">
        <w:rPr>
          <w:rFonts w:ascii="Book Antiqua" w:hAnsi="Book Antiqua" w:cs="AdvTT5235d5a9"/>
          <w:sz w:val="24"/>
          <w:szCs w:val="24"/>
          <w:lang w:val="en-US" w:eastAsia="zh-CN"/>
        </w:rPr>
        <w:t xml:space="preserve">= </w:t>
      </w:r>
      <w:r w:rsidRPr="00C63E3F">
        <w:rPr>
          <w:rFonts w:ascii="Book Antiqua" w:hAnsi="Book Antiqua"/>
          <w:sz w:val="24"/>
          <w:szCs w:val="24"/>
          <w:lang w:val="en-US"/>
        </w:rPr>
        <w:t xml:space="preserve">39.3; </w:t>
      </w:r>
      <w:r w:rsidR="00F965A9" w:rsidRPr="00C63E3F">
        <w:rPr>
          <w:rFonts w:ascii="Book Antiqua" w:hAnsi="Book Antiqua"/>
          <w:i/>
          <w:sz w:val="24"/>
          <w:szCs w:val="24"/>
          <w:lang w:val="en-US"/>
        </w:rPr>
        <w:t>P</w:t>
      </w:r>
      <w:r w:rsidR="00C13E8B" w:rsidRPr="00C63E3F">
        <w:rPr>
          <w:rFonts w:ascii="Book Antiqua" w:hAnsi="Book Antiqua"/>
          <w:i/>
          <w:sz w:val="24"/>
          <w:szCs w:val="24"/>
          <w:lang w:val="en-US" w:eastAsia="zh-CN"/>
        </w:rPr>
        <w:t xml:space="preserve"> </w:t>
      </w:r>
      <w:r w:rsidRPr="00C63E3F">
        <w:rPr>
          <w:rFonts w:ascii="Book Antiqua" w:hAnsi="Book Antiqua"/>
          <w:sz w:val="24"/>
          <w:szCs w:val="24"/>
          <w:lang w:val="en-US"/>
        </w:rPr>
        <w:t>&lt;</w:t>
      </w:r>
      <w:r w:rsidR="00C13E8B"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0.000 and </w:t>
      </w:r>
      <w:r w:rsidR="00F965A9" w:rsidRPr="00C63E3F">
        <w:rPr>
          <w:rFonts w:ascii="Book Antiqua" w:hAnsi="Book Antiqua"/>
          <w:i/>
          <w:sz w:val="24"/>
          <w:szCs w:val="24"/>
        </w:rPr>
        <w:sym w:font="Symbol" w:char="F063"/>
      </w:r>
      <w:r w:rsidR="00F965A9" w:rsidRPr="00C63E3F">
        <w:rPr>
          <w:rFonts w:ascii="Book Antiqua" w:hAnsi="Book Antiqua"/>
          <w:sz w:val="24"/>
          <w:szCs w:val="24"/>
          <w:vertAlign w:val="superscript"/>
          <w:lang w:val="en-US" w:eastAsia="zh-CN"/>
        </w:rPr>
        <w:t>2</w:t>
      </w:r>
      <w:r w:rsidR="00F965A9" w:rsidRPr="00C63E3F">
        <w:rPr>
          <w:rFonts w:ascii="Book Antiqua" w:hAnsi="Book Antiqua" w:cs="AdvTT5235d5a9"/>
          <w:sz w:val="24"/>
          <w:szCs w:val="24"/>
          <w:lang w:val="en-US"/>
        </w:rPr>
        <w:t xml:space="preserve"> </w:t>
      </w:r>
      <w:r w:rsidR="0002762C" w:rsidRPr="00C63E3F">
        <w:rPr>
          <w:rFonts w:ascii="Book Antiqua" w:hAnsi="Book Antiqua" w:cs="AdvTT5235d5a9"/>
          <w:sz w:val="24"/>
          <w:szCs w:val="24"/>
          <w:lang w:val="en-US" w:eastAsia="zh-CN"/>
        </w:rPr>
        <w:t xml:space="preserve">= </w:t>
      </w:r>
      <w:r w:rsidRPr="00C63E3F">
        <w:rPr>
          <w:rFonts w:ascii="Book Antiqua" w:hAnsi="Book Antiqua"/>
          <w:sz w:val="24"/>
          <w:szCs w:val="24"/>
          <w:lang w:val="en-US"/>
        </w:rPr>
        <w:t xml:space="preserve">27.94; </w:t>
      </w:r>
      <w:r w:rsidR="00F965A9" w:rsidRPr="00C63E3F">
        <w:rPr>
          <w:rFonts w:ascii="Book Antiqua" w:hAnsi="Book Antiqua"/>
          <w:i/>
          <w:sz w:val="24"/>
          <w:szCs w:val="24"/>
          <w:lang w:val="en-US"/>
        </w:rPr>
        <w:t>P</w:t>
      </w:r>
      <w:r w:rsidR="0002762C" w:rsidRPr="00C63E3F">
        <w:rPr>
          <w:rFonts w:ascii="Book Antiqua" w:hAnsi="Book Antiqua"/>
          <w:sz w:val="24"/>
          <w:szCs w:val="24"/>
          <w:lang w:val="en-US" w:eastAsia="zh-CN"/>
        </w:rPr>
        <w:t xml:space="preserve"> </w:t>
      </w:r>
      <w:r w:rsidRPr="00C63E3F">
        <w:rPr>
          <w:rFonts w:ascii="Book Antiqua" w:hAnsi="Book Antiqua"/>
          <w:sz w:val="24"/>
          <w:szCs w:val="24"/>
          <w:lang w:val="en-US"/>
        </w:rPr>
        <w:t>&lt;</w:t>
      </w:r>
      <w:r w:rsidR="0002762C" w:rsidRPr="00C63E3F">
        <w:rPr>
          <w:rFonts w:ascii="Book Antiqua" w:hAnsi="Book Antiqua"/>
          <w:sz w:val="24"/>
          <w:szCs w:val="24"/>
          <w:lang w:val="en-US" w:eastAsia="zh-CN"/>
        </w:rPr>
        <w:t xml:space="preserve"> </w:t>
      </w:r>
      <w:r w:rsidRPr="00C63E3F">
        <w:rPr>
          <w:rFonts w:ascii="Book Antiqua" w:hAnsi="Book Antiqua"/>
          <w:sz w:val="24"/>
          <w:szCs w:val="24"/>
          <w:lang w:val="en-US"/>
        </w:rPr>
        <w:t>0.05 respectively)</w:t>
      </w:r>
      <w:r w:rsidR="00361162" w:rsidRPr="00C63E3F">
        <w:rPr>
          <w:rFonts w:ascii="Book Antiqua" w:hAnsi="Book Antiqua"/>
          <w:sz w:val="24"/>
          <w:szCs w:val="24"/>
          <w:lang w:val="en-US"/>
        </w:rPr>
        <w:t xml:space="preserve">, </w:t>
      </w:r>
      <w:r w:rsidR="00183154" w:rsidRPr="00C63E3F">
        <w:rPr>
          <w:rFonts w:ascii="Book Antiqua" w:hAnsi="Book Antiqua"/>
          <w:sz w:val="24"/>
          <w:szCs w:val="24"/>
          <w:lang w:val="en-US"/>
        </w:rPr>
        <w:t xml:space="preserve">whereas </w:t>
      </w:r>
      <w:r w:rsidR="00DF095E" w:rsidRPr="00C63E3F">
        <w:rPr>
          <w:rFonts w:ascii="Book Antiqua" w:hAnsi="Book Antiqua"/>
          <w:sz w:val="24"/>
          <w:szCs w:val="24"/>
          <w:lang w:val="en-US"/>
        </w:rPr>
        <w:t xml:space="preserve">the equilibrium </w:t>
      </w:r>
      <w:r w:rsidR="00183154" w:rsidRPr="00C63E3F">
        <w:rPr>
          <w:rFonts w:ascii="Book Antiqua" w:hAnsi="Book Antiqua"/>
          <w:sz w:val="24"/>
          <w:szCs w:val="24"/>
          <w:lang w:val="en-US"/>
        </w:rPr>
        <w:t xml:space="preserve">was respected in VLC. Leiden Q506 and </w:t>
      </w:r>
      <w:r w:rsidR="002B08B8" w:rsidRPr="00C63E3F">
        <w:rPr>
          <w:rFonts w:ascii="Book Antiqua" w:hAnsi="Book Antiqua"/>
          <w:sz w:val="24"/>
          <w:szCs w:val="24"/>
          <w:lang w:val="en-US"/>
        </w:rPr>
        <w:t>Prothrombin</w:t>
      </w:r>
      <w:r w:rsidR="00183154" w:rsidRPr="00C63E3F">
        <w:rPr>
          <w:rFonts w:ascii="Book Antiqua" w:hAnsi="Book Antiqua"/>
          <w:sz w:val="24"/>
          <w:szCs w:val="24"/>
          <w:lang w:val="en-US"/>
        </w:rPr>
        <w:t xml:space="preserve"> 20210A Hardy-Weinberg equilibrium was respected in the two groups of patients. </w:t>
      </w:r>
    </w:p>
    <w:p w14:paraId="4970796E" w14:textId="77777777" w:rsidR="00C13E8B" w:rsidRPr="00C63E3F" w:rsidRDefault="00C13E8B" w:rsidP="009A3E1D">
      <w:pPr>
        <w:spacing w:after="0" w:line="360" w:lineRule="auto"/>
        <w:ind w:firstLineChars="100" w:firstLine="240"/>
        <w:jc w:val="both"/>
        <w:rPr>
          <w:rFonts w:ascii="Book Antiqua" w:hAnsi="Book Antiqua"/>
          <w:sz w:val="24"/>
          <w:szCs w:val="24"/>
          <w:lang w:val="en-US" w:eastAsia="zh-CN"/>
        </w:rPr>
      </w:pPr>
    </w:p>
    <w:p w14:paraId="7AEF4A1F" w14:textId="77777777" w:rsidR="009C444A" w:rsidRPr="00C63E3F" w:rsidRDefault="009C444A"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t>DISCUSSION</w:t>
      </w:r>
    </w:p>
    <w:p w14:paraId="48FB8D4F" w14:textId="77777777" w:rsidR="009C444A" w:rsidRPr="00C63E3F" w:rsidRDefault="009C444A" w:rsidP="009A3E1D">
      <w:pPr>
        <w:spacing w:after="0" w:line="360" w:lineRule="auto"/>
        <w:jc w:val="both"/>
        <w:rPr>
          <w:rFonts w:ascii="Book Antiqua" w:hAnsi="Book Antiqua"/>
          <w:sz w:val="24"/>
          <w:szCs w:val="24"/>
          <w:lang w:val="en-US"/>
        </w:rPr>
      </w:pPr>
      <w:r w:rsidRPr="00C63E3F">
        <w:rPr>
          <w:rFonts w:ascii="Book Antiqua" w:hAnsi="Book Antiqua"/>
          <w:sz w:val="24"/>
          <w:szCs w:val="24"/>
          <w:lang w:val="en-US"/>
        </w:rPr>
        <w:t>This study was planned to evaluate the</w:t>
      </w:r>
      <w:r w:rsidR="00152F45" w:rsidRPr="00C63E3F">
        <w:rPr>
          <w:rFonts w:ascii="Book Antiqua" w:hAnsi="Book Antiqua"/>
          <w:sz w:val="24"/>
          <w:szCs w:val="24"/>
          <w:lang w:val="en-US"/>
        </w:rPr>
        <w:t xml:space="preserve"> </w:t>
      </w:r>
      <w:r w:rsidRPr="00C63E3F">
        <w:rPr>
          <w:rFonts w:ascii="Book Antiqua" w:hAnsi="Book Antiqua"/>
          <w:sz w:val="24"/>
          <w:szCs w:val="24"/>
          <w:lang w:val="en-US"/>
        </w:rPr>
        <w:t>proportions of</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THRGFs, PAI-1 4G-4G, MTHFR677TT, V Leiden 506Q and </w:t>
      </w:r>
      <w:r w:rsidR="002B08B8" w:rsidRPr="00C63E3F">
        <w:rPr>
          <w:rFonts w:ascii="Book Antiqua" w:hAnsi="Book Antiqua"/>
          <w:sz w:val="24"/>
          <w:szCs w:val="24"/>
          <w:lang w:val="en-US"/>
        </w:rPr>
        <w:t>Prothrombin</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20210A, in a very numerous sample of patients with LC</w:t>
      </w:r>
      <w:r w:rsidR="002B08B8" w:rsidRPr="00C63E3F">
        <w:rPr>
          <w:rFonts w:ascii="Book Antiqua" w:hAnsi="Book Antiqua"/>
          <w:sz w:val="24"/>
          <w:szCs w:val="24"/>
          <w:lang w:val="en-US"/>
        </w:rPr>
        <w:t>,</w:t>
      </w:r>
      <w:r w:rsidRPr="00C63E3F">
        <w:rPr>
          <w:rFonts w:ascii="Book Antiqua" w:hAnsi="Book Antiqua"/>
          <w:sz w:val="24"/>
          <w:szCs w:val="24"/>
          <w:lang w:val="en-US"/>
        </w:rPr>
        <w:t xml:space="preserve"> recru</w:t>
      </w:r>
      <w:r w:rsidR="00283253" w:rsidRPr="00C63E3F">
        <w:rPr>
          <w:rFonts w:ascii="Book Antiqua" w:hAnsi="Book Antiqua"/>
          <w:sz w:val="24"/>
          <w:szCs w:val="24"/>
          <w:lang w:val="en-US"/>
        </w:rPr>
        <w:t>ited in two prospective studies</w:t>
      </w:r>
      <w:r w:rsidR="00283253" w:rsidRPr="00C63E3F">
        <w:rPr>
          <w:rFonts w:ascii="Book Antiqua" w:hAnsi="Book Antiqua"/>
          <w:sz w:val="24"/>
          <w:szCs w:val="24"/>
          <w:vertAlign w:val="superscript"/>
          <w:lang w:val="en-US"/>
        </w:rPr>
        <w:t>[1,</w:t>
      </w:r>
      <w:r w:rsidR="0054094C" w:rsidRPr="00C63E3F">
        <w:rPr>
          <w:rFonts w:ascii="Book Antiqua" w:hAnsi="Book Antiqua"/>
          <w:sz w:val="24"/>
          <w:szCs w:val="24"/>
          <w:vertAlign w:val="superscript"/>
          <w:lang w:val="en-US"/>
        </w:rPr>
        <w:t>2]</w:t>
      </w:r>
      <w:r w:rsidRPr="00C63E3F">
        <w:rPr>
          <w:rFonts w:ascii="Book Antiqua" w:hAnsi="Book Antiqua"/>
          <w:sz w:val="24"/>
          <w:szCs w:val="24"/>
          <w:lang w:val="en-US"/>
        </w:rPr>
        <w:t>. In the second of these studies, we found that thrombo- and fibrogenetic mechanisms of PAI-1 4G-4G and MTHFR 677TT, could have a role in the development of LC, mainly in patients without HCV and HBV.</w:t>
      </w:r>
    </w:p>
    <w:p w14:paraId="7568E7E3" w14:textId="77777777" w:rsidR="002B08B8"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Many authors are studying for many years the intrinsic mechanisms of fibrogenesis in liver diseases with and without virus associated. In our study 417/1079, (38.6%) patients with LC showed thrombophilia. We did not found any correlation with Factor V Leiden and </w:t>
      </w:r>
      <w:r w:rsidR="002B08B8" w:rsidRPr="00C63E3F">
        <w:rPr>
          <w:rFonts w:ascii="Book Antiqua" w:hAnsi="Book Antiqua"/>
          <w:sz w:val="24"/>
          <w:szCs w:val="24"/>
          <w:lang w:val="en-US"/>
        </w:rPr>
        <w:t>Prothrombin</w:t>
      </w:r>
      <w:r w:rsidRPr="00C63E3F">
        <w:rPr>
          <w:rFonts w:ascii="Book Antiqua" w:hAnsi="Book Antiqua"/>
          <w:sz w:val="24"/>
          <w:szCs w:val="24"/>
          <w:lang w:val="en-US"/>
        </w:rPr>
        <w:t xml:space="preserve"> 20210A, even if many authors found them correlated to hepatic </w:t>
      </w:r>
      <w:r w:rsidR="001A625B" w:rsidRPr="00C63E3F">
        <w:rPr>
          <w:rFonts w:ascii="Book Antiqua" w:hAnsi="Book Antiqua"/>
          <w:sz w:val="24"/>
          <w:szCs w:val="24"/>
          <w:lang w:val="en-US"/>
        </w:rPr>
        <w:t>fibrogenesis</w:t>
      </w:r>
      <w:r w:rsidR="001A625B" w:rsidRPr="00C63E3F">
        <w:rPr>
          <w:rFonts w:ascii="Book Antiqua" w:hAnsi="Book Antiqua"/>
          <w:sz w:val="24"/>
          <w:szCs w:val="24"/>
          <w:vertAlign w:val="superscript"/>
          <w:lang w:val="en-US"/>
        </w:rPr>
        <w:t>[6,</w:t>
      </w:r>
      <w:r w:rsidR="00FF2C84" w:rsidRPr="00C63E3F">
        <w:rPr>
          <w:rFonts w:ascii="Book Antiqua" w:hAnsi="Book Antiqua"/>
          <w:sz w:val="24"/>
          <w:szCs w:val="24"/>
          <w:vertAlign w:val="superscript"/>
          <w:lang w:val="en-US"/>
        </w:rPr>
        <w:t>7]</w:t>
      </w:r>
      <w:r w:rsidRPr="00C63E3F">
        <w:rPr>
          <w:rFonts w:ascii="Book Antiqua" w:hAnsi="Book Antiqua"/>
          <w:sz w:val="24"/>
          <w:szCs w:val="24"/>
          <w:lang w:val="en-US"/>
        </w:rPr>
        <w:t xml:space="preserve">. We mainly focused our attention on the role of PAI-1 4G-4G and MTHFR677TT. The prevalence of PAI-1 4G-4G in patients with LC is more frequent than </w:t>
      </w:r>
      <w:r w:rsidR="00505ECB" w:rsidRPr="00C63E3F">
        <w:rPr>
          <w:rFonts w:ascii="Book Antiqua" w:hAnsi="Book Antiqua"/>
          <w:sz w:val="24"/>
          <w:szCs w:val="24"/>
          <w:lang w:val="en-US"/>
        </w:rPr>
        <w:t xml:space="preserve">that of </w:t>
      </w:r>
      <w:r w:rsidR="003F0421" w:rsidRPr="00C63E3F">
        <w:rPr>
          <w:rFonts w:ascii="Book Antiqua" w:hAnsi="Book Antiqua"/>
          <w:sz w:val="24"/>
          <w:szCs w:val="24"/>
          <w:lang w:val="en-US"/>
        </w:rPr>
        <w:t xml:space="preserve">MTHFR 677TT </w:t>
      </w:r>
      <w:r w:rsidRPr="00C63E3F">
        <w:rPr>
          <w:rFonts w:ascii="Book Antiqua" w:hAnsi="Book Antiqua"/>
          <w:sz w:val="24"/>
          <w:szCs w:val="24"/>
          <w:lang w:val="en-US"/>
        </w:rPr>
        <w:t xml:space="preserve">in our study: 217 and 176. A total of 357/1079 (33.1%) showed </w:t>
      </w:r>
      <w:r w:rsidR="00C375EF" w:rsidRPr="00C63E3F">
        <w:rPr>
          <w:rFonts w:ascii="Book Antiqua" w:hAnsi="Book Antiqua"/>
          <w:sz w:val="24"/>
          <w:szCs w:val="24"/>
          <w:lang w:val="en-US"/>
        </w:rPr>
        <w:t xml:space="preserve">the </w:t>
      </w:r>
      <w:r w:rsidRPr="00C63E3F">
        <w:rPr>
          <w:rFonts w:ascii="Book Antiqua" w:hAnsi="Book Antiqua"/>
          <w:sz w:val="24"/>
          <w:szCs w:val="24"/>
          <w:lang w:val="en-US"/>
        </w:rPr>
        <w:t xml:space="preserve">presence of PAI-1 4G-4G and or MTHFR677TT, with a significant difference between patients with NVLC </w:t>
      </w:r>
      <w:r w:rsidR="001A625B" w:rsidRPr="00C63E3F">
        <w:rPr>
          <w:rFonts w:ascii="Book Antiqua" w:hAnsi="Book Antiqua"/>
          <w:i/>
          <w:sz w:val="24"/>
          <w:szCs w:val="24"/>
          <w:lang w:val="en-US" w:eastAsia="zh-CN"/>
        </w:rPr>
        <w:t>vs</w:t>
      </w:r>
      <w:r w:rsidRPr="00C63E3F">
        <w:rPr>
          <w:rFonts w:ascii="Book Antiqua" w:hAnsi="Book Antiqua"/>
          <w:sz w:val="24"/>
          <w:szCs w:val="24"/>
          <w:lang w:val="en-US"/>
        </w:rPr>
        <w:t xml:space="preserve"> VLC: 178/350 (50.8%) and 179/729 (24.5%). </w:t>
      </w:r>
    </w:p>
    <w:p w14:paraId="5494E7A6"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MTHFR 677TT is near twofold and PAI-1 4G-4G more than threefold more frequent in NVLC </w:t>
      </w:r>
      <w:r w:rsidR="00E12445" w:rsidRPr="00C63E3F">
        <w:rPr>
          <w:rFonts w:ascii="Book Antiqua" w:hAnsi="Book Antiqua"/>
          <w:bCs/>
          <w:i/>
          <w:sz w:val="24"/>
          <w:szCs w:val="24"/>
          <w:lang w:val="en-US"/>
        </w:rPr>
        <w:t>vs</w:t>
      </w:r>
      <w:r w:rsidR="00E12445" w:rsidRPr="00C63E3F">
        <w:rPr>
          <w:rFonts w:ascii="Book Antiqua" w:hAnsi="Book Antiqua"/>
          <w:i/>
          <w:sz w:val="24"/>
          <w:szCs w:val="24"/>
          <w:lang w:val="en-US" w:eastAsia="zh-CN"/>
        </w:rPr>
        <w:t xml:space="preserve"> </w:t>
      </w:r>
      <w:r w:rsidRPr="00C63E3F">
        <w:rPr>
          <w:rFonts w:ascii="Book Antiqua" w:hAnsi="Book Antiqua"/>
          <w:sz w:val="24"/>
          <w:szCs w:val="24"/>
          <w:lang w:val="en-US"/>
        </w:rPr>
        <w:t>patients with VLC, as shown in table 2. Moreover, Hardy-Weinberg equilibrium of these two polymorphisms, confirms th</w:t>
      </w:r>
      <w:r w:rsidR="00481AEB" w:rsidRPr="00C63E3F">
        <w:rPr>
          <w:rFonts w:ascii="Book Antiqua" w:hAnsi="Book Antiqua"/>
          <w:sz w:val="24"/>
          <w:szCs w:val="24"/>
          <w:lang w:val="en-US"/>
        </w:rPr>
        <w:t>ese</w:t>
      </w:r>
      <w:r w:rsidRPr="00C63E3F">
        <w:rPr>
          <w:rFonts w:ascii="Book Antiqua" w:hAnsi="Book Antiqua"/>
          <w:sz w:val="24"/>
          <w:szCs w:val="24"/>
          <w:lang w:val="en-US"/>
        </w:rPr>
        <w:t xml:space="preserve"> data</w:t>
      </w:r>
      <w:r w:rsidR="004E348F" w:rsidRPr="00C63E3F">
        <w:rPr>
          <w:rFonts w:ascii="Book Antiqua" w:hAnsi="Book Antiqua"/>
          <w:sz w:val="24"/>
          <w:szCs w:val="24"/>
          <w:lang w:val="en-US"/>
        </w:rPr>
        <w:t xml:space="preserve"> in NVLC</w:t>
      </w:r>
      <w:r w:rsidRPr="00C63E3F">
        <w:rPr>
          <w:rFonts w:ascii="Book Antiqua" w:hAnsi="Book Antiqua"/>
          <w:sz w:val="24"/>
          <w:szCs w:val="24"/>
          <w:lang w:val="en-US"/>
        </w:rPr>
        <w:t>.</w:t>
      </w:r>
    </w:p>
    <w:p w14:paraId="6F87B2A1"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A limitation of this study is the inability to compare our data, since there are no comparable data published, mainly for PAI-1 4G-4G. The study was a single centre one, and the patients belong exclusively to the single Caucasian Race, coming almost exclusively from Sicily; this could lead to a high genetic frequency of these two genes, on the base of </w:t>
      </w:r>
      <w:r w:rsidR="00481AEB" w:rsidRPr="00C63E3F">
        <w:rPr>
          <w:rFonts w:ascii="Book Antiqua" w:hAnsi="Book Antiqua"/>
          <w:sz w:val="24"/>
          <w:szCs w:val="24"/>
          <w:lang w:val="en-US"/>
        </w:rPr>
        <w:t xml:space="preserve">the </w:t>
      </w:r>
      <w:r w:rsidRPr="00C63E3F">
        <w:rPr>
          <w:rFonts w:ascii="Book Antiqua" w:hAnsi="Book Antiqua"/>
          <w:sz w:val="24"/>
          <w:szCs w:val="24"/>
          <w:lang w:val="en-US"/>
        </w:rPr>
        <w:t xml:space="preserve">geographical belonging, typical of populations of the islands, as in the case </w:t>
      </w:r>
      <w:r w:rsidR="00BA2CE0" w:rsidRPr="00C63E3F">
        <w:rPr>
          <w:rFonts w:ascii="Book Antiqua" w:hAnsi="Book Antiqua"/>
          <w:sz w:val="24"/>
          <w:szCs w:val="24"/>
          <w:lang w:val="en-US"/>
        </w:rPr>
        <w:t>of Wilson's disease in Sardinia</w:t>
      </w:r>
      <w:r w:rsidR="00C375EF" w:rsidRPr="00C63E3F">
        <w:rPr>
          <w:rFonts w:ascii="Book Antiqua" w:hAnsi="Book Antiqua"/>
          <w:sz w:val="24"/>
          <w:szCs w:val="24"/>
          <w:vertAlign w:val="superscript"/>
          <w:lang w:val="en-US"/>
        </w:rPr>
        <w:t>[8]</w:t>
      </w:r>
      <w:r w:rsidRPr="00C63E3F">
        <w:rPr>
          <w:rFonts w:ascii="Book Antiqua" w:hAnsi="Book Antiqua"/>
          <w:sz w:val="24"/>
          <w:szCs w:val="24"/>
          <w:lang w:val="en-US"/>
        </w:rPr>
        <w:t xml:space="preserve">. </w:t>
      </w:r>
    </w:p>
    <w:p w14:paraId="43DCB6D6" w14:textId="77777777" w:rsidR="00EB3D08" w:rsidRPr="00C63E3F" w:rsidRDefault="00FA507E"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We did not estimate the correlation between the degree of liver fibrosis and presence of thrombophilia markers; this correlation must be evaluated in the future studies, including </w:t>
      </w:r>
      <w:r w:rsidR="00EB3D08" w:rsidRPr="00C63E3F">
        <w:rPr>
          <w:rFonts w:ascii="Book Antiqua" w:hAnsi="Book Antiqua"/>
          <w:sz w:val="24"/>
          <w:szCs w:val="24"/>
          <w:lang w:val="en-US"/>
        </w:rPr>
        <w:t xml:space="preserve">other factors as </w:t>
      </w:r>
      <w:r w:rsidRPr="00C63E3F">
        <w:rPr>
          <w:rFonts w:ascii="Book Antiqua" w:hAnsi="Book Antiqua"/>
          <w:sz w:val="24"/>
          <w:szCs w:val="24"/>
          <w:lang w:val="en-US"/>
        </w:rPr>
        <w:t xml:space="preserve">deficiency of protein C, S, antithrombin </w:t>
      </w:r>
      <w:r w:rsidR="00EB3D08" w:rsidRPr="00C63E3F">
        <w:rPr>
          <w:rFonts w:ascii="Book Antiqua" w:hAnsi="Book Antiqua"/>
          <w:sz w:val="24"/>
          <w:szCs w:val="24"/>
          <w:lang w:val="en-US"/>
        </w:rPr>
        <w:t>III, increased serum level of factor VIII, resistance to thrombomodulin</w:t>
      </w:r>
      <w:r w:rsidR="00283253" w:rsidRPr="00C63E3F">
        <w:rPr>
          <w:rFonts w:ascii="Book Antiqua" w:hAnsi="Book Antiqua"/>
          <w:sz w:val="24"/>
          <w:szCs w:val="24"/>
          <w:lang w:val="en-US" w:eastAsia="zh-CN"/>
        </w:rPr>
        <w:t xml:space="preserve"> </w:t>
      </w:r>
      <w:r w:rsidR="00EB3D08" w:rsidRPr="00C63E3F">
        <w:rPr>
          <w:rFonts w:ascii="Book Antiqua" w:hAnsi="Book Antiqua"/>
          <w:sz w:val="24"/>
          <w:szCs w:val="24"/>
          <w:lang w:val="en-US"/>
        </w:rPr>
        <w:t xml:space="preserve">action, etc. </w:t>
      </w:r>
      <w:r w:rsidR="005E03FA" w:rsidRPr="00C63E3F">
        <w:rPr>
          <w:rFonts w:ascii="Book Antiqua" w:hAnsi="Book Antiqua"/>
          <w:sz w:val="24"/>
          <w:szCs w:val="24"/>
          <w:lang w:val="en-US"/>
        </w:rPr>
        <w:t>I</w:t>
      </w:r>
      <w:r w:rsidR="00EB3D08" w:rsidRPr="00C63E3F">
        <w:rPr>
          <w:rFonts w:ascii="Book Antiqua" w:hAnsi="Book Antiqua"/>
          <w:sz w:val="24"/>
          <w:szCs w:val="24"/>
          <w:lang w:val="en-US"/>
        </w:rPr>
        <w:t>n these future studies, suitable systems to measure the speed of the portal flow, another risk factor for thrombosis development, should also be developed</w:t>
      </w:r>
      <w:r w:rsidR="005E03FA" w:rsidRPr="00C63E3F">
        <w:rPr>
          <w:rFonts w:ascii="Book Antiqua" w:hAnsi="Book Antiqua"/>
          <w:sz w:val="24"/>
          <w:szCs w:val="24"/>
          <w:lang w:val="en-US"/>
        </w:rPr>
        <w:t>. Finally, the relationship between the flow velocity and the presence of thrombophilia should be studied</w:t>
      </w:r>
      <w:r w:rsidR="00C11CCB" w:rsidRPr="00C63E3F">
        <w:rPr>
          <w:rFonts w:ascii="Book Antiqua" w:hAnsi="Book Antiqua"/>
          <w:sz w:val="24"/>
          <w:szCs w:val="24"/>
          <w:lang w:val="en-US"/>
        </w:rPr>
        <w:t>.</w:t>
      </w:r>
    </w:p>
    <w:p w14:paraId="055EFC66"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In relation to PAI-1 4G-4G, there are many studies demonstrating the role of this THRGF, associated with t</w:t>
      </w:r>
      <w:r w:rsidR="00BA2CE0" w:rsidRPr="00C63E3F">
        <w:rPr>
          <w:rFonts w:ascii="Book Antiqua" w:hAnsi="Book Antiqua"/>
          <w:sz w:val="24"/>
          <w:szCs w:val="24"/>
          <w:lang w:val="en-US"/>
        </w:rPr>
        <w:t>he highest serum PAI-1 activity</w:t>
      </w:r>
      <w:r w:rsidR="00C375EF" w:rsidRPr="00C63E3F">
        <w:rPr>
          <w:rFonts w:ascii="Book Antiqua" w:hAnsi="Book Antiqua"/>
          <w:sz w:val="24"/>
          <w:szCs w:val="24"/>
          <w:vertAlign w:val="superscript"/>
          <w:lang w:val="en-US"/>
        </w:rPr>
        <w:t>[9]</w:t>
      </w:r>
      <w:r w:rsidRPr="00C63E3F">
        <w:rPr>
          <w:rFonts w:ascii="Book Antiqua" w:hAnsi="Book Antiqua"/>
          <w:sz w:val="24"/>
          <w:szCs w:val="24"/>
          <w:lang w:val="en-US"/>
        </w:rPr>
        <w:t>, in liver fibrosis process. PAI-1 has an active</w:t>
      </w:r>
      <w:r w:rsidR="00BA2CE0" w:rsidRPr="00C63E3F">
        <w:rPr>
          <w:rFonts w:ascii="Book Antiqua" w:hAnsi="Book Antiqua"/>
          <w:sz w:val="24"/>
          <w:szCs w:val="24"/>
          <w:lang w:val="en-US"/>
        </w:rPr>
        <w:t xml:space="preserve"> role in liver fibrosis in rats</w:t>
      </w:r>
      <w:r w:rsidR="00C375EF" w:rsidRPr="00C63E3F">
        <w:rPr>
          <w:rFonts w:ascii="Book Antiqua" w:hAnsi="Book Antiqua"/>
          <w:sz w:val="24"/>
          <w:szCs w:val="24"/>
          <w:vertAlign w:val="superscript"/>
          <w:lang w:val="en-US"/>
        </w:rPr>
        <w:t>[10]</w:t>
      </w:r>
      <w:r w:rsidRPr="00C63E3F">
        <w:rPr>
          <w:rFonts w:ascii="Book Antiqua" w:hAnsi="Book Antiqua"/>
          <w:sz w:val="24"/>
          <w:szCs w:val="24"/>
          <w:lang w:val="en-US"/>
        </w:rPr>
        <w:t>, through a pathogenic mechanism leading to the hepatic</w:t>
      </w:r>
      <w:r w:rsidR="00BA2CE0" w:rsidRPr="00C63E3F">
        <w:rPr>
          <w:rFonts w:ascii="Book Antiqua" w:hAnsi="Book Antiqua"/>
          <w:sz w:val="24"/>
          <w:szCs w:val="24"/>
          <w:lang w:val="en-US"/>
        </w:rPr>
        <w:t xml:space="preserve"> stellate cell (HSC) activation</w:t>
      </w:r>
      <w:r w:rsidR="00C375EF" w:rsidRPr="00C63E3F">
        <w:rPr>
          <w:rFonts w:ascii="Book Antiqua" w:hAnsi="Book Antiqua"/>
          <w:sz w:val="24"/>
          <w:szCs w:val="24"/>
          <w:vertAlign w:val="superscript"/>
          <w:lang w:val="en-US"/>
        </w:rPr>
        <w:t>[11]</w:t>
      </w:r>
      <w:r w:rsidRPr="00C63E3F">
        <w:rPr>
          <w:rFonts w:ascii="Book Antiqua" w:hAnsi="Book Antiqua"/>
          <w:sz w:val="24"/>
          <w:szCs w:val="24"/>
          <w:lang w:val="en-US"/>
        </w:rPr>
        <w:t>. The relation between ethanol, liver and PAI 1 in alcoholic liver diseases was v</w:t>
      </w:r>
      <w:r w:rsidR="00BA2CE0" w:rsidRPr="00C63E3F">
        <w:rPr>
          <w:rFonts w:ascii="Book Antiqua" w:hAnsi="Book Antiqua"/>
          <w:sz w:val="24"/>
          <w:szCs w:val="24"/>
          <w:lang w:val="en-US"/>
        </w:rPr>
        <w:t>ery recently reviewed by Liu</w:t>
      </w:r>
      <w:r w:rsidR="00C375EF" w:rsidRPr="00C63E3F">
        <w:rPr>
          <w:rFonts w:ascii="Book Antiqua" w:hAnsi="Book Antiqua"/>
          <w:sz w:val="24"/>
          <w:szCs w:val="24"/>
          <w:vertAlign w:val="superscript"/>
          <w:lang w:val="en-US"/>
        </w:rPr>
        <w:t>[12]</w:t>
      </w:r>
      <w:r w:rsidRPr="00C63E3F">
        <w:rPr>
          <w:rFonts w:ascii="Book Antiqua" w:hAnsi="Book Antiqua"/>
          <w:sz w:val="24"/>
          <w:szCs w:val="24"/>
          <w:lang w:val="en-US"/>
        </w:rPr>
        <w:t xml:space="preserve">; alcohol up-regulates PAI-1 and its level can be used as an index for the severity of the disease. Patients with nonalcoholic steato-hepatitis </w:t>
      </w:r>
      <w:r w:rsidR="004C04EA" w:rsidRPr="00C63E3F">
        <w:rPr>
          <w:rFonts w:ascii="Book Antiqua" w:hAnsi="Book Antiqua"/>
          <w:sz w:val="24"/>
          <w:szCs w:val="24"/>
          <w:lang w:val="en-US"/>
        </w:rPr>
        <w:t>showed</w:t>
      </w:r>
      <w:r w:rsidRPr="00C63E3F">
        <w:rPr>
          <w:rFonts w:ascii="Book Antiqua" w:hAnsi="Book Antiqua"/>
          <w:sz w:val="24"/>
          <w:szCs w:val="24"/>
          <w:lang w:val="en-US"/>
        </w:rPr>
        <w:t xml:space="preserve"> significantly higher PAI-1 values than those with normal liver as found </w:t>
      </w:r>
      <w:r w:rsidR="00B9177A" w:rsidRPr="00C63E3F">
        <w:rPr>
          <w:rFonts w:ascii="Book Antiqua" w:hAnsi="Book Antiqua"/>
          <w:sz w:val="24"/>
          <w:szCs w:val="24"/>
          <w:lang w:val="en-US"/>
        </w:rPr>
        <w:t xml:space="preserve">by Verrijken </w:t>
      </w:r>
      <w:r w:rsidR="00B9177A" w:rsidRPr="00C63E3F">
        <w:rPr>
          <w:rFonts w:ascii="Book Antiqua" w:hAnsi="Book Antiqua"/>
          <w:i/>
          <w:sz w:val="24"/>
          <w:szCs w:val="24"/>
          <w:lang w:val="en-US"/>
        </w:rPr>
        <w:t>et al</w:t>
      </w:r>
      <w:r w:rsidR="00C375EF" w:rsidRPr="00C63E3F">
        <w:rPr>
          <w:rFonts w:ascii="Book Antiqua" w:hAnsi="Book Antiqua"/>
          <w:sz w:val="24"/>
          <w:szCs w:val="24"/>
          <w:vertAlign w:val="superscript"/>
          <w:lang w:val="en-US"/>
        </w:rPr>
        <w:t>[13]</w:t>
      </w:r>
      <w:r w:rsidRPr="00C63E3F">
        <w:rPr>
          <w:rFonts w:ascii="Book Antiqua" w:hAnsi="Book Antiqua"/>
          <w:sz w:val="24"/>
          <w:szCs w:val="24"/>
          <w:lang w:val="en-US"/>
        </w:rPr>
        <w:t xml:space="preserve">. These observations seem sufficient to explain why patients with PAI-1 4G-4G have an increased risk of fibrosis </w:t>
      </w:r>
      <w:r w:rsidR="00CA1483" w:rsidRPr="00C63E3F">
        <w:rPr>
          <w:rFonts w:ascii="Book Antiqua" w:hAnsi="Book Antiqua"/>
          <w:sz w:val="24"/>
          <w:szCs w:val="24"/>
          <w:lang w:val="en-US"/>
        </w:rPr>
        <w:t xml:space="preserve">progression </w:t>
      </w:r>
      <w:r w:rsidRPr="00C63E3F">
        <w:rPr>
          <w:rFonts w:ascii="Book Antiqua" w:hAnsi="Book Antiqua"/>
          <w:sz w:val="24"/>
          <w:szCs w:val="24"/>
          <w:lang w:val="en-US"/>
        </w:rPr>
        <w:t>until</w:t>
      </w:r>
      <w:r w:rsidR="003060E0" w:rsidRPr="00C63E3F">
        <w:rPr>
          <w:rFonts w:ascii="Book Antiqua" w:hAnsi="Book Antiqua"/>
          <w:sz w:val="24"/>
          <w:szCs w:val="24"/>
          <w:lang w:val="en-US"/>
        </w:rPr>
        <w:t xml:space="preserve"> to</w:t>
      </w:r>
      <w:r w:rsidRPr="00C63E3F">
        <w:rPr>
          <w:rFonts w:ascii="Book Antiqua" w:hAnsi="Book Antiqua"/>
          <w:sz w:val="24"/>
          <w:szCs w:val="24"/>
          <w:lang w:val="en-US"/>
        </w:rPr>
        <w:t xml:space="preserve"> LC</w:t>
      </w:r>
      <w:r w:rsidR="003060E0" w:rsidRPr="00C63E3F">
        <w:rPr>
          <w:rFonts w:ascii="Book Antiqua" w:hAnsi="Book Antiqua"/>
          <w:sz w:val="24"/>
          <w:szCs w:val="24"/>
          <w:lang w:val="en-US"/>
        </w:rPr>
        <w:t xml:space="preserve"> development</w:t>
      </w:r>
      <w:r w:rsidRPr="00C63E3F">
        <w:rPr>
          <w:rFonts w:ascii="Book Antiqua" w:hAnsi="Book Antiqua"/>
          <w:sz w:val="24"/>
          <w:szCs w:val="24"/>
          <w:lang w:val="en-US"/>
        </w:rPr>
        <w:t>, in patients without HCV or HBV.</w:t>
      </w:r>
    </w:p>
    <w:p w14:paraId="28058190"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There are many drugs active on </w:t>
      </w:r>
      <w:r w:rsidR="003F0478" w:rsidRPr="00C63E3F">
        <w:rPr>
          <w:rFonts w:ascii="Book Antiqua" w:hAnsi="Book Antiqua"/>
          <w:sz w:val="24"/>
          <w:szCs w:val="24"/>
          <w:lang w:val="en-US"/>
        </w:rPr>
        <w:t>fibrolysis</w:t>
      </w:r>
      <w:r w:rsidRPr="00C63E3F">
        <w:rPr>
          <w:rFonts w:ascii="Book Antiqua" w:hAnsi="Book Antiqua"/>
          <w:sz w:val="24"/>
          <w:szCs w:val="24"/>
          <w:lang w:val="en-US"/>
        </w:rPr>
        <w:t xml:space="preserve">, with the goal of lowering the PAI-1 synthesis. </w:t>
      </w:r>
      <w:r w:rsidR="00B9177A" w:rsidRPr="00C63E3F">
        <w:rPr>
          <w:rFonts w:ascii="Book Antiqua" w:hAnsi="Book Antiqua"/>
          <w:sz w:val="24"/>
          <w:szCs w:val="24"/>
          <w:lang w:val="en-US"/>
        </w:rPr>
        <w:t xml:space="preserve">Some models of the action of </w:t>
      </w:r>
      <w:r w:rsidR="009B7D19" w:rsidRPr="00C63E3F">
        <w:rPr>
          <w:rFonts w:ascii="Book Antiqua" w:hAnsi="Book Antiqua"/>
          <w:sz w:val="24"/>
          <w:szCs w:val="24"/>
          <w:lang w:val="en-US"/>
        </w:rPr>
        <w:t>these drugs on PAI 1 activity are below reported; the final objective of these drugs is the reduction of the activation of HSC caused by</w:t>
      </w:r>
      <w:r w:rsidR="00283253" w:rsidRPr="00C63E3F">
        <w:rPr>
          <w:rFonts w:ascii="Book Antiqua" w:hAnsi="Book Antiqua"/>
          <w:sz w:val="24"/>
          <w:szCs w:val="24"/>
          <w:lang w:val="en-US" w:eastAsia="zh-CN"/>
        </w:rPr>
        <w:t xml:space="preserve"> </w:t>
      </w:r>
      <w:r w:rsidR="009B7D19" w:rsidRPr="00C63E3F">
        <w:rPr>
          <w:rFonts w:ascii="Book Antiqua" w:hAnsi="Book Antiqua"/>
          <w:sz w:val="24"/>
          <w:szCs w:val="24"/>
          <w:lang w:val="en-US"/>
        </w:rPr>
        <w:t xml:space="preserve">PAI 1. </w:t>
      </w:r>
      <w:r w:rsidRPr="00C63E3F">
        <w:rPr>
          <w:rFonts w:ascii="Book Antiqua" w:hAnsi="Book Antiqua"/>
          <w:sz w:val="24"/>
          <w:szCs w:val="24"/>
          <w:lang w:val="en-US"/>
        </w:rPr>
        <w:t>Sauchinone blocks the TGF-β1-induced phosphorylation of Smad 2/3, the transcript levels of plasminogen activator inhibitor-1, and matrix metalloproteinas</w:t>
      </w:r>
      <w:r w:rsidR="00BA2CE0" w:rsidRPr="00C63E3F">
        <w:rPr>
          <w:rFonts w:ascii="Book Antiqua" w:hAnsi="Book Antiqua"/>
          <w:sz w:val="24"/>
          <w:szCs w:val="24"/>
          <w:lang w:val="en-US"/>
        </w:rPr>
        <w:t>e-2 as well as autophagy in HSC</w:t>
      </w:r>
      <w:r w:rsidR="00CE79E0" w:rsidRPr="00C63E3F">
        <w:rPr>
          <w:rFonts w:ascii="Book Antiqua" w:hAnsi="Book Antiqua"/>
          <w:sz w:val="24"/>
          <w:szCs w:val="24"/>
          <w:vertAlign w:val="superscript"/>
          <w:lang w:val="en-US"/>
        </w:rPr>
        <w:t>[14]</w:t>
      </w:r>
      <w:r w:rsidRPr="00C63E3F">
        <w:rPr>
          <w:rFonts w:ascii="Book Antiqua" w:hAnsi="Book Antiqua"/>
          <w:sz w:val="24"/>
          <w:szCs w:val="24"/>
          <w:lang w:val="en-US"/>
        </w:rPr>
        <w:t xml:space="preserve">. </w:t>
      </w:r>
    </w:p>
    <w:p w14:paraId="7648471A"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Spironolactone partially reverse</w:t>
      </w:r>
      <w:r w:rsidR="00F705AE" w:rsidRPr="00C63E3F">
        <w:rPr>
          <w:rFonts w:ascii="Book Antiqua" w:hAnsi="Book Antiqua"/>
          <w:sz w:val="24"/>
          <w:szCs w:val="24"/>
          <w:lang w:val="en-US"/>
        </w:rPr>
        <w:t>s</w:t>
      </w:r>
      <w:r w:rsidRPr="00C63E3F">
        <w:rPr>
          <w:rFonts w:ascii="Book Antiqua" w:hAnsi="Book Antiqua"/>
          <w:sz w:val="24"/>
          <w:szCs w:val="24"/>
          <w:lang w:val="en-US"/>
        </w:rPr>
        <w:t xml:space="preserve"> the effects of aldosterone that promotes HSC activation and the expression of TGF-β1, PAI-1, and collagen in hepatic fibrosis progression partially mediated by TGF-β1</w:t>
      </w:r>
      <w:r w:rsidR="00250662" w:rsidRPr="00C63E3F">
        <w:rPr>
          <w:rFonts w:ascii="Book Antiqua" w:hAnsi="Book Antiqua"/>
          <w:sz w:val="24"/>
          <w:szCs w:val="24"/>
          <w:lang w:val="en-US"/>
        </w:rPr>
        <w:t>,</w:t>
      </w:r>
      <w:r w:rsidRPr="00C63E3F">
        <w:rPr>
          <w:rFonts w:ascii="Book Antiqua" w:hAnsi="Book Antiqua"/>
          <w:sz w:val="24"/>
          <w:szCs w:val="24"/>
          <w:lang w:val="en-US"/>
        </w:rPr>
        <w:t xml:space="preserve"> as studied by Shenglan </w:t>
      </w:r>
      <w:r w:rsidR="00B9177A" w:rsidRPr="00C63E3F">
        <w:rPr>
          <w:rFonts w:ascii="Book Antiqua" w:hAnsi="Book Antiqua"/>
          <w:i/>
          <w:sz w:val="24"/>
          <w:szCs w:val="24"/>
          <w:lang w:val="en-US" w:eastAsia="zh-CN"/>
        </w:rPr>
        <w:t>et al</w:t>
      </w:r>
      <w:r w:rsidR="00CE79E0" w:rsidRPr="00C63E3F">
        <w:rPr>
          <w:rFonts w:ascii="Book Antiqua" w:hAnsi="Book Antiqua"/>
          <w:sz w:val="24"/>
          <w:szCs w:val="24"/>
          <w:vertAlign w:val="superscript"/>
          <w:lang w:val="en-US"/>
        </w:rPr>
        <w:t>[15]</w:t>
      </w:r>
      <w:r w:rsidRPr="00C63E3F">
        <w:rPr>
          <w:rFonts w:ascii="Book Antiqua" w:hAnsi="Book Antiqua"/>
          <w:sz w:val="24"/>
          <w:szCs w:val="24"/>
          <w:lang w:val="en-US"/>
        </w:rPr>
        <w:t xml:space="preserve">. </w:t>
      </w:r>
    </w:p>
    <w:p w14:paraId="4DDCAFD3" w14:textId="77777777" w:rsidR="009C444A" w:rsidRPr="00C63E3F" w:rsidRDefault="00A6338D"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Statins lead to a profound amelioration in HSC phenotype activated by the oxidant and inflammatory pathways, and counteract the stimulatory effect of TNF-α on secretion and expression PAI-1.</w:t>
      </w:r>
      <w:r w:rsidR="009C444A" w:rsidRPr="00C63E3F">
        <w:rPr>
          <w:rFonts w:ascii="Book Antiqua" w:hAnsi="Book Antiqua"/>
          <w:sz w:val="24"/>
          <w:szCs w:val="24"/>
          <w:lang w:val="en-US"/>
        </w:rPr>
        <w:t xml:space="preserve"> Other treatments are under evaluation for the treatment of liver fibrosis as reported by Gracia-Sancho </w:t>
      </w:r>
      <w:r w:rsidR="00B7362E" w:rsidRPr="00C63E3F">
        <w:rPr>
          <w:rFonts w:ascii="Book Antiqua" w:hAnsi="Book Antiqua"/>
          <w:i/>
          <w:sz w:val="24"/>
          <w:szCs w:val="24"/>
          <w:lang w:val="en-US"/>
        </w:rPr>
        <w:t>et al</w:t>
      </w:r>
      <w:r w:rsidR="006B28E1" w:rsidRPr="00C63E3F">
        <w:rPr>
          <w:rFonts w:ascii="Book Antiqua" w:hAnsi="Book Antiqua"/>
          <w:sz w:val="24"/>
          <w:szCs w:val="24"/>
          <w:vertAlign w:val="superscript"/>
          <w:lang w:val="en-US"/>
        </w:rPr>
        <w:t>[16]</w:t>
      </w:r>
      <w:r w:rsidR="009C444A" w:rsidRPr="00C63E3F">
        <w:rPr>
          <w:rFonts w:ascii="Book Antiqua" w:hAnsi="Book Antiqua"/>
          <w:sz w:val="24"/>
          <w:szCs w:val="24"/>
          <w:lang w:val="en-US"/>
        </w:rPr>
        <w:t xml:space="preserve">; the last futuristic treatment is the use of nanoparticles to transport and deliver nitric oxide (NO) into </w:t>
      </w:r>
      <w:r w:rsidRPr="00C63E3F">
        <w:rPr>
          <w:rFonts w:ascii="Book Antiqua" w:hAnsi="Book Antiqua"/>
          <w:sz w:val="24"/>
          <w:szCs w:val="24"/>
          <w:lang w:val="en-US"/>
        </w:rPr>
        <w:t xml:space="preserve">the </w:t>
      </w:r>
      <w:r w:rsidR="00BA2CE0" w:rsidRPr="00C63E3F">
        <w:rPr>
          <w:rFonts w:ascii="Book Antiqua" w:hAnsi="Book Antiqua"/>
          <w:sz w:val="24"/>
          <w:szCs w:val="24"/>
          <w:lang w:val="en-US"/>
        </w:rPr>
        <w:t>HSC</w:t>
      </w:r>
      <w:r w:rsidR="006B28E1" w:rsidRPr="00C63E3F">
        <w:rPr>
          <w:rFonts w:ascii="Book Antiqua" w:hAnsi="Book Antiqua"/>
          <w:sz w:val="24"/>
          <w:szCs w:val="24"/>
          <w:vertAlign w:val="superscript"/>
          <w:lang w:val="en-US"/>
        </w:rPr>
        <w:t>[17]</w:t>
      </w:r>
      <w:r w:rsidR="009C444A" w:rsidRPr="00C63E3F">
        <w:rPr>
          <w:rFonts w:ascii="Book Antiqua" w:hAnsi="Book Antiqua"/>
          <w:sz w:val="24"/>
          <w:szCs w:val="24"/>
          <w:lang w:val="en-US"/>
        </w:rPr>
        <w:t xml:space="preserve">. </w:t>
      </w:r>
    </w:p>
    <w:p w14:paraId="26520367"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In relation to MTHFR 677TT and fibrogenesis, there are many evidences that MTHFR 677TT has a role on the progression of liver diseases. Patients with MTHFR 677TT ha</w:t>
      </w:r>
      <w:r w:rsidR="006C708B" w:rsidRPr="00C63E3F">
        <w:rPr>
          <w:rFonts w:ascii="Book Antiqua" w:hAnsi="Book Antiqua"/>
          <w:sz w:val="24"/>
          <w:szCs w:val="24"/>
          <w:lang w:val="en-US"/>
        </w:rPr>
        <w:t>ve</w:t>
      </w:r>
      <w:r w:rsidRPr="00C63E3F">
        <w:rPr>
          <w:rFonts w:ascii="Book Antiqua" w:hAnsi="Book Antiqua"/>
          <w:sz w:val="24"/>
          <w:szCs w:val="24"/>
          <w:lang w:val="en-US"/>
        </w:rPr>
        <w:t xml:space="preserve"> higher serum total homocystei</w:t>
      </w:r>
      <w:r w:rsidR="00D62ADC" w:rsidRPr="00C63E3F">
        <w:rPr>
          <w:rFonts w:ascii="Book Antiqua" w:hAnsi="Book Antiqua"/>
          <w:sz w:val="24"/>
          <w:szCs w:val="24"/>
          <w:lang w:val="en-US"/>
        </w:rPr>
        <w:t xml:space="preserve">ne as reported by Devlin </w:t>
      </w:r>
      <w:r w:rsidR="00D62ADC" w:rsidRPr="00C63E3F">
        <w:rPr>
          <w:rFonts w:ascii="Book Antiqua" w:hAnsi="Book Antiqua"/>
          <w:i/>
          <w:sz w:val="24"/>
          <w:szCs w:val="24"/>
          <w:lang w:val="en-US"/>
        </w:rPr>
        <w:t>et al</w:t>
      </w:r>
      <w:r w:rsidR="006B28E1" w:rsidRPr="00C63E3F">
        <w:rPr>
          <w:rFonts w:ascii="Book Antiqua" w:hAnsi="Book Antiqua"/>
          <w:sz w:val="24"/>
          <w:szCs w:val="24"/>
          <w:vertAlign w:val="superscript"/>
          <w:lang w:val="en-US"/>
        </w:rPr>
        <w:t>[18]</w:t>
      </w:r>
      <w:r w:rsidRPr="00C63E3F">
        <w:rPr>
          <w:rFonts w:ascii="Book Antiqua" w:hAnsi="Book Antiqua"/>
          <w:sz w:val="24"/>
          <w:szCs w:val="24"/>
          <w:lang w:val="en-US"/>
        </w:rPr>
        <w:t>. MTHFR 677TT polymorphism promotes liver fibrosis progression in pati</w:t>
      </w:r>
      <w:r w:rsidR="00D62ADC" w:rsidRPr="00C63E3F">
        <w:rPr>
          <w:rFonts w:ascii="Book Antiqua" w:hAnsi="Book Antiqua"/>
          <w:sz w:val="24"/>
          <w:szCs w:val="24"/>
          <w:lang w:val="en-US"/>
        </w:rPr>
        <w:t>ents with recurrent hepatitis C</w:t>
      </w:r>
      <w:r w:rsidR="006B28E1" w:rsidRPr="00C63E3F">
        <w:rPr>
          <w:rFonts w:ascii="Book Antiqua" w:hAnsi="Book Antiqua"/>
          <w:sz w:val="24"/>
          <w:szCs w:val="24"/>
          <w:vertAlign w:val="superscript"/>
          <w:lang w:val="en-US"/>
        </w:rPr>
        <w:t>[19]</w:t>
      </w:r>
      <w:r w:rsidRPr="00C63E3F">
        <w:rPr>
          <w:rFonts w:ascii="Book Antiqua" w:hAnsi="Book Antiqua"/>
          <w:sz w:val="24"/>
          <w:szCs w:val="24"/>
          <w:lang w:val="en-US"/>
        </w:rPr>
        <w:t>, and steatosis and fibrosis in pa</w:t>
      </w:r>
      <w:r w:rsidR="00D62ADC" w:rsidRPr="00C63E3F">
        <w:rPr>
          <w:rFonts w:ascii="Book Antiqua" w:hAnsi="Book Antiqua"/>
          <w:sz w:val="24"/>
          <w:szCs w:val="24"/>
          <w:lang w:val="en-US"/>
        </w:rPr>
        <w:t>tients with chronic hepatitis C</w:t>
      </w:r>
      <w:r w:rsidR="006B28E1" w:rsidRPr="00C63E3F">
        <w:rPr>
          <w:rFonts w:ascii="Book Antiqua" w:hAnsi="Book Antiqua"/>
          <w:sz w:val="24"/>
          <w:szCs w:val="24"/>
          <w:vertAlign w:val="superscript"/>
          <w:lang w:val="en-US"/>
        </w:rPr>
        <w:t>[20]</w:t>
      </w:r>
      <w:r w:rsidRPr="00C63E3F">
        <w:rPr>
          <w:rFonts w:ascii="Book Antiqua" w:hAnsi="Book Antiqua"/>
          <w:sz w:val="24"/>
          <w:szCs w:val="24"/>
          <w:lang w:val="en-US"/>
        </w:rPr>
        <w:t xml:space="preserve">. </w:t>
      </w:r>
    </w:p>
    <w:p w14:paraId="3359406A"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Hyperhomocysteinemia </w:t>
      </w:r>
      <w:r w:rsidR="009C4360" w:rsidRPr="00C63E3F">
        <w:rPr>
          <w:rFonts w:ascii="Book Antiqua" w:hAnsi="Book Antiqua"/>
          <w:sz w:val="24"/>
          <w:szCs w:val="24"/>
          <w:lang w:val="en-US"/>
        </w:rPr>
        <w:t>determines a damage on endothelial cells</w:t>
      </w:r>
      <w:r w:rsidRPr="00C63E3F">
        <w:rPr>
          <w:rFonts w:ascii="Book Antiqua" w:hAnsi="Book Antiqua"/>
          <w:sz w:val="24"/>
          <w:szCs w:val="24"/>
          <w:lang w:val="en-US"/>
        </w:rPr>
        <w:t xml:space="preserve">, reduces the flexibility of vessels, and adversely affects the process of hemostasis. In addition, hyperhomocysteinemia enhances the adverse effects of risk factors such as hypertension, smoking, and impaired glucose, lipid and lipoprotein metabolism, as well as promoting the development of inflammation as found by Baszczuk </w:t>
      </w:r>
      <w:r w:rsidR="00B7362E" w:rsidRPr="00C63E3F">
        <w:rPr>
          <w:rFonts w:ascii="Book Antiqua" w:hAnsi="Book Antiqua"/>
          <w:i/>
          <w:sz w:val="24"/>
          <w:szCs w:val="24"/>
          <w:lang w:val="en-US"/>
        </w:rPr>
        <w:t>et al</w:t>
      </w:r>
      <w:r w:rsidR="006B28E1" w:rsidRPr="00C63E3F">
        <w:rPr>
          <w:rFonts w:ascii="Book Antiqua" w:hAnsi="Book Antiqua"/>
          <w:sz w:val="24"/>
          <w:szCs w:val="24"/>
          <w:vertAlign w:val="superscript"/>
          <w:lang w:val="en-US"/>
        </w:rPr>
        <w:t>[21]</w:t>
      </w:r>
      <w:r w:rsidRPr="00C63E3F">
        <w:rPr>
          <w:rFonts w:ascii="Book Antiqua" w:hAnsi="Book Antiqua"/>
          <w:sz w:val="24"/>
          <w:szCs w:val="24"/>
          <w:lang w:val="en-US"/>
        </w:rPr>
        <w:t>. Hyperhomocysteinaemia is highly prevalent in LC</w:t>
      </w:r>
      <w:r w:rsidR="00652C94" w:rsidRPr="00C63E3F">
        <w:rPr>
          <w:rFonts w:ascii="Book Antiqua" w:hAnsi="Book Antiqua"/>
          <w:sz w:val="24"/>
          <w:szCs w:val="24"/>
          <w:lang w:val="en-US"/>
        </w:rPr>
        <w:t>,</w:t>
      </w:r>
      <w:r w:rsidRPr="00C63E3F">
        <w:rPr>
          <w:rFonts w:ascii="Book Antiqua" w:hAnsi="Book Antiqua"/>
          <w:sz w:val="24"/>
          <w:szCs w:val="24"/>
          <w:lang w:val="en-US"/>
        </w:rPr>
        <w:t xml:space="preserve"> but not in other chronic liver diseases, mainly in patients with MTHFR 677TT; it may contribute to fibrogenesis and vascular complication of LC as reported by Ventura </w:t>
      </w:r>
      <w:r w:rsidR="00B7362E" w:rsidRPr="00C63E3F">
        <w:rPr>
          <w:rFonts w:ascii="Book Antiqua" w:hAnsi="Book Antiqua"/>
          <w:i/>
          <w:sz w:val="24"/>
          <w:szCs w:val="24"/>
          <w:lang w:val="en-US"/>
        </w:rPr>
        <w:t>et al</w:t>
      </w:r>
      <w:r w:rsidR="006B28E1" w:rsidRPr="00C63E3F">
        <w:rPr>
          <w:rFonts w:ascii="Book Antiqua" w:hAnsi="Book Antiqua"/>
          <w:sz w:val="24"/>
          <w:szCs w:val="24"/>
          <w:vertAlign w:val="superscript"/>
          <w:lang w:val="en-US"/>
        </w:rPr>
        <w:t>[22]</w:t>
      </w:r>
      <w:r w:rsidRPr="00C63E3F">
        <w:rPr>
          <w:rFonts w:ascii="Book Antiqua" w:hAnsi="Book Antiqua"/>
          <w:sz w:val="24"/>
          <w:szCs w:val="24"/>
          <w:lang w:val="en-US"/>
        </w:rPr>
        <w:t xml:space="preserve">. The hyperhomocysteinemia causes endothelial dysfunction as studied by Cheng </w:t>
      </w:r>
      <w:r w:rsidR="00B7362E" w:rsidRPr="00C63E3F">
        <w:rPr>
          <w:rFonts w:ascii="Book Antiqua" w:hAnsi="Book Antiqua"/>
          <w:i/>
          <w:sz w:val="24"/>
          <w:szCs w:val="24"/>
          <w:lang w:val="en-US"/>
        </w:rPr>
        <w:t>et al</w:t>
      </w:r>
      <w:r w:rsidR="006B28E1" w:rsidRPr="00C63E3F">
        <w:rPr>
          <w:rFonts w:ascii="Book Antiqua" w:hAnsi="Book Antiqua"/>
          <w:sz w:val="24"/>
          <w:szCs w:val="24"/>
          <w:vertAlign w:val="superscript"/>
          <w:lang w:val="en-US"/>
        </w:rPr>
        <w:t>[23]</w:t>
      </w:r>
      <w:r w:rsidRPr="00C63E3F">
        <w:rPr>
          <w:rFonts w:ascii="Book Antiqua" w:hAnsi="Book Antiqua"/>
          <w:sz w:val="24"/>
          <w:szCs w:val="24"/>
          <w:lang w:val="en-US"/>
        </w:rPr>
        <w:t>. According with this last study, hyperhomocysteinemia causing</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oxidative stress, determines loss of the normal phenotype of liver sinusoidal endothelial cells (LSEC); the consequent cross-talk between LSEC and HSC induces activation of the latter</w:t>
      </w:r>
      <w:r w:rsidR="00652C94" w:rsidRPr="00C63E3F">
        <w:rPr>
          <w:rFonts w:ascii="Book Antiqua" w:hAnsi="Book Antiqua"/>
          <w:sz w:val="24"/>
          <w:szCs w:val="24"/>
          <w:lang w:val="en-US"/>
        </w:rPr>
        <w:t xml:space="preserve"> ones</w:t>
      </w:r>
      <w:r w:rsidRPr="00C63E3F">
        <w:rPr>
          <w:rFonts w:ascii="Book Antiqua" w:hAnsi="Book Antiqua"/>
          <w:sz w:val="24"/>
          <w:szCs w:val="24"/>
          <w:lang w:val="en-US"/>
        </w:rPr>
        <w:t xml:space="preserve">, which in turn proliferate, migrate and increase collagen deposition around the sinusoids, contributing to fibrogenesis, architectural disruption and angiogenesis, as reported by Gracia-Sancho </w:t>
      </w:r>
      <w:r w:rsidRPr="00C63E3F">
        <w:rPr>
          <w:rFonts w:ascii="Book Antiqua" w:hAnsi="Book Antiqua"/>
          <w:i/>
          <w:sz w:val="24"/>
          <w:szCs w:val="24"/>
          <w:lang w:val="en-US"/>
        </w:rPr>
        <w:t>et al</w:t>
      </w:r>
      <w:r w:rsidR="005B47B0" w:rsidRPr="00C63E3F">
        <w:rPr>
          <w:rFonts w:ascii="Book Antiqua" w:hAnsi="Book Antiqua"/>
          <w:sz w:val="24"/>
          <w:szCs w:val="24"/>
          <w:vertAlign w:val="superscript"/>
          <w:lang w:val="en-US"/>
        </w:rPr>
        <w:t>[16]</w:t>
      </w:r>
      <w:r w:rsidRPr="00C63E3F">
        <w:rPr>
          <w:rFonts w:ascii="Book Antiqua" w:hAnsi="Book Antiqua"/>
          <w:sz w:val="24"/>
          <w:szCs w:val="24"/>
          <w:lang w:val="en-US"/>
        </w:rPr>
        <w:t xml:space="preserve">. </w:t>
      </w:r>
    </w:p>
    <w:p w14:paraId="0208EC9E" w14:textId="77777777" w:rsidR="009C444A" w:rsidRPr="00C63E3F" w:rsidRDefault="00652C94"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In relation to the therapy of MTHFR 677TT polymorphism and the consequent increase of serum homocysteine, there are not drugs tested for patients with this polymorphism, but the folic acid therapy. The therapy for obtain a decrease in the concentration of homocysteine in serum is the administration of</w:t>
      </w:r>
      <w:r w:rsidR="00283253" w:rsidRPr="00C63E3F">
        <w:rPr>
          <w:rFonts w:ascii="Book Antiqua" w:hAnsi="Book Antiqua"/>
          <w:sz w:val="24"/>
          <w:szCs w:val="24"/>
          <w:lang w:val="en-US"/>
        </w:rPr>
        <w:t xml:space="preserve"> folic acid in a dose of 15 mg/d</w:t>
      </w:r>
      <w:r w:rsidRPr="00C63E3F">
        <w:rPr>
          <w:rFonts w:ascii="Book Antiqua" w:hAnsi="Book Antiqua"/>
          <w:sz w:val="24"/>
          <w:szCs w:val="24"/>
          <w:lang w:val="en-US"/>
        </w:rPr>
        <w:t>, asrecently demonstrated in patients</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with primary arterial hypertension by Baszczuk</w:t>
      </w:r>
      <w:r w:rsidR="00283253" w:rsidRPr="00C63E3F">
        <w:rPr>
          <w:rFonts w:ascii="Book Antiqua" w:hAnsi="Book Antiqua"/>
          <w:sz w:val="24"/>
          <w:szCs w:val="24"/>
          <w:lang w:val="en-US" w:eastAsia="zh-CN"/>
        </w:rPr>
        <w:t xml:space="preserve"> </w:t>
      </w:r>
      <w:r w:rsidR="00D62ADC" w:rsidRPr="00C63E3F">
        <w:rPr>
          <w:rFonts w:ascii="Book Antiqua" w:hAnsi="Book Antiqua"/>
          <w:i/>
          <w:sz w:val="24"/>
          <w:szCs w:val="24"/>
          <w:lang w:val="en-US"/>
        </w:rPr>
        <w:t>et al</w:t>
      </w:r>
      <w:r w:rsidR="002A266D" w:rsidRPr="00C63E3F">
        <w:rPr>
          <w:rFonts w:ascii="Book Antiqua" w:hAnsi="Book Antiqua"/>
          <w:sz w:val="24"/>
          <w:szCs w:val="24"/>
          <w:vertAlign w:val="superscript"/>
          <w:lang w:val="en-US"/>
        </w:rPr>
        <w:t>[24]</w:t>
      </w:r>
      <w:r w:rsidR="009C444A" w:rsidRPr="00C63E3F">
        <w:rPr>
          <w:rFonts w:ascii="Book Antiqua" w:hAnsi="Book Antiqua"/>
          <w:sz w:val="24"/>
          <w:szCs w:val="24"/>
          <w:lang w:val="en-US"/>
        </w:rPr>
        <w:t>.</w:t>
      </w:r>
    </w:p>
    <w:p w14:paraId="2B6A0F2A"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At the end of the game, in conclusion both PAI-1 4G-4G and MTHFR 677TT cause HSC activation</w:t>
      </w:r>
      <w:r w:rsidR="00652C94" w:rsidRPr="00C63E3F">
        <w:rPr>
          <w:rFonts w:ascii="Book Antiqua" w:hAnsi="Book Antiqua"/>
          <w:sz w:val="24"/>
          <w:szCs w:val="24"/>
          <w:lang w:val="en-US"/>
        </w:rPr>
        <w:t>,</w:t>
      </w:r>
      <w:r w:rsidRPr="00C63E3F">
        <w:rPr>
          <w:rFonts w:ascii="Book Antiqua" w:hAnsi="Book Antiqua"/>
          <w:sz w:val="24"/>
          <w:szCs w:val="24"/>
          <w:lang w:val="en-US"/>
        </w:rPr>
        <w:t xml:space="preserve"> now recognized as the origin of liver fibrogenesis. This imbalance of the PAI-1 4G-4G and </w:t>
      </w:r>
      <w:r w:rsidR="003F0421" w:rsidRPr="00C63E3F">
        <w:rPr>
          <w:rFonts w:ascii="Book Antiqua" w:hAnsi="Book Antiqua"/>
          <w:sz w:val="24"/>
          <w:szCs w:val="24"/>
          <w:lang w:val="en-US"/>
        </w:rPr>
        <w:t xml:space="preserve">MTHFR 677TT </w:t>
      </w:r>
      <w:r w:rsidRPr="00C63E3F">
        <w:rPr>
          <w:rFonts w:ascii="Book Antiqua" w:hAnsi="Book Antiqua"/>
          <w:sz w:val="24"/>
          <w:szCs w:val="24"/>
          <w:lang w:val="en-US"/>
        </w:rPr>
        <w:t>allele frequency, is a possible evidence of the role of these two polymorphisms in pathogenesis of LC, through</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SHC activation, today considered the key of the liver fibrogenesis.</w:t>
      </w:r>
    </w:p>
    <w:p w14:paraId="1ED486B8"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As reported very recently, by Trautwein </w:t>
      </w:r>
      <w:r w:rsidR="00AB1757" w:rsidRPr="00C63E3F">
        <w:rPr>
          <w:rFonts w:ascii="Book Antiqua" w:hAnsi="Book Antiqua"/>
          <w:i/>
          <w:sz w:val="24"/>
          <w:szCs w:val="24"/>
          <w:lang w:val="en-US"/>
        </w:rPr>
        <w:t>et al</w:t>
      </w:r>
      <w:r w:rsidR="002A266D" w:rsidRPr="00C63E3F">
        <w:rPr>
          <w:rFonts w:ascii="Book Antiqua" w:hAnsi="Book Antiqua"/>
          <w:sz w:val="24"/>
          <w:szCs w:val="24"/>
          <w:vertAlign w:val="superscript"/>
          <w:lang w:val="en-US"/>
        </w:rPr>
        <w:t>[25]</w:t>
      </w:r>
      <w:r w:rsidRPr="00C63E3F">
        <w:rPr>
          <w:rFonts w:ascii="Book Antiqua" w:hAnsi="Book Antiqua"/>
          <w:sz w:val="24"/>
          <w:szCs w:val="24"/>
          <w:lang w:val="en-US"/>
        </w:rPr>
        <w:t>, there is necessity for accelerating progress in understanding mechanisms of hepatic fibrosis and defining therapeutic targets</w:t>
      </w:r>
      <w:r w:rsidR="00652C94" w:rsidRPr="00C63E3F">
        <w:rPr>
          <w:rFonts w:ascii="Book Antiqua" w:hAnsi="Book Antiqua"/>
          <w:sz w:val="24"/>
          <w:szCs w:val="24"/>
          <w:lang w:val="en-US"/>
        </w:rPr>
        <w:t>,</w:t>
      </w:r>
      <w:r w:rsidRPr="00C63E3F">
        <w:rPr>
          <w:rFonts w:ascii="Book Antiqua" w:hAnsi="Book Antiqua"/>
          <w:sz w:val="24"/>
          <w:szCs w:val="24"/>
          <w:lang w:val="en-US"/>
        </w:rPr>
        <w:t xml:space="preserve"> to establish clinical trial designs that can accurately assess efficacy of antifibrotic drugs. </w:t>
      </w:r>
    </w:p>
    <w:p w14:paraId="5A40FDC2" w14:textId="77777777" w:rsidR="00F965A9"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For these reasons, we think important to find patients at the greatest risk for disease progression, also to ensure that these risk factors can be balanced between placebo and control groups, in randomized controlled trials. In our stud</w:t>
      </w:r>
      <w:r w:rsidR="002A266D" w:rsidRPr="00C63E3F">
        <w:rPr>
          <w:rFonts w:ascii="Book Antiqua" w:hAnsi="Book Antiqua"/>
          <w:sz w:val="24"/>
          <w:szCs w:val="24"/>
          <w:lang w:val="en-US"/>
        </w:rPr>
        <w:t>y,</w:t>
      </w:r>
      <w:r w:rsidRPr="00C63E3F">
        <w:rPr>
          <w:rFonts w:ascii="Book Antiqua" w:hAnsi="Book Antiqua"/>
          <w:sz w:val="24"/>
          <w:szCs w:val="24"/>
          <w:lang w:val="en-US"/>
        </w:rPr>
        <w:t xml:space="preserve"> PAI-1 4G-4G and </w:t>
      </w:r>
      <w:r w:rsidR="003F0421" w:rsidRPr="00C63E3F">
        <w:rPr>
          <w:rFonts w:ascii="Book Antiqua" w:hAnsi="Book Antiqua"/>
          <w:sz w:val="24"/>
          <w:szCs w:val="24"/>
          <w:lang w:val="en-US"/>
        </w:rPr>
        <w:t xml:space="preserve">MTHFR 677TT </w:t>
      </w:r>
      <w:r w:rsidRPr="00C63E3F">
        <w:rPr>
          <w:rFonts w:ascii="Book Antiqua" w:hAnsi="Book Antiqua"/>
          <w:sz w:val="24"/>
          <w:szCs w:val="24"/>
          <w:lang w:val="en-US"/>
        </w:rPr>
        <w:t>were present up to 50% of the patients with NVLC</w:t>
      </w:r>
      <w:r w:rsidR="002A266D" w:rsidRPr="00C63E3F">
        <w:rPr>
          <w:rFonts w:ascii="Book Antiqua" w:hAnsi="Book Antiqua"/>
          <w:sz w:val="24"/>
          <w:szCs w:val="24"/>
          <w:lang w:val="en-US"/>
        </w:rPr>
        <w:t>;</w:t>
      </w:r>
      <w:r w:rsidRPr="00C63E3F">
        <w:rPr>
          <w:rFonts w:ascii="Book Antiqua" w:hAnsi="Book Antiqua"/>
          <w:sz w:val="24"/>
          <w:szCs w:val="24"/>
          <w:lang w:val="en-US"/>
        </w:rPr>
        <w:t xml:space="preserve"> we think that these genetic factors could be reliably used to stratify risk in clinical trials on new drugs, </w:t>
      </w:r>
      <w:r w:rsidR="000B728D" w:rsidRPr="00C63E3F">
        <w:rPr>
          <w:rFonts w:ascii="Book Antiqua" w:hAnsi="Book Antiqua"/>
          <w:sz w:val="24"/>
          <w:szCs w:val="24"/>
          <w:lang w:val="en-US"/>
        </w:rPr>
        <w:t>aimed at</w:t>
      </w:r>
      <w:r w:rsidRPr="00C63E3F">
        <w:rPr>
          <w:rFonts w:ascii="Book Antiqua" w:hAnsi="Book Antiqua"/>
          <w:sz w:val="24"/>
          <w:szCs w:val="24"/>
          <w:lang w:val="en-US"/>
        </w:rPr>
        <w:t xml:space="preserve"> obtain</w:t>
      </w:r>
      <w:r w:rsidR="000B728D" w:rsidRPr="00C63E3F">
        <w:rPr>
          <w:rFonts w:ascii="Book Antiqua" w:hAnsi="Book Antiqua"/>
          <w:sz w:val="24"/>
          <w:szCs w:val="24"/>
          <w:lang w:val="en-US"/>
        </w:rPr>
        <w:t>ing</w:t>
      </w:r>
      <w:r w:rsidRPr="00C63E3F">
        <w:rPr>
          <w:rFonts w:ascii="Book Antiqua" w:hAnsi="Book Antiqua"/>
          <w:sz w:val="24"/>
          <w:szCs w:val="24"/>
          <w:lang w:val="en-US"/>
        </w:rPr>
        <w:t xml:space="preserve"> reduction of fibrosis or increase of </w:t>
      </w:r>
      <w:r w:rsidR="003F0478" w:rsidRPr="00C63E3F">
        <w:rPr>
          <w:rFonts w:ascii="Book Antiqua" w:hAnsi="Book Antiqua"/>
          <w:sz w:val="24"/>
          <w:szCs w:val="24"/>
          <w:lang w:val="en-US"/>
        </w:rPr>
        <w:t>fibrolysis</w:t>
      </w:r>
      <w:r w:rsidRPr="00C63E3F">
        <w:rPr>
          <w:rFonts w:ascii="Book Antiqua" w:hAnsi="Book Antiqua"/>
          <w:sz w:val="24"/>
          <w:szCs w:val="24"/>
          <w:lang w:val="en-US"/>
        </w:rPr>
        <w:t xml:space="preserve">, to be evaluated also in patients with HBV and or HCV infection. </w:t>
      </w:r>
    </w:p>
    <w:p w14:paraId="0A53EF2B" w14:textId="77777777" w:rsidR="009C444A" w:rsidRPr="00C63E3F" w:rsidRDefault="00B97E9C"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We think that the drugs causing the lowering of HSC activation, could be better</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tested in patients with genetic markers</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asPAI-1 4G-4G e MTHFR 677TT. These patients could be representative of the tip of the iceberg of a population that produces fibrosis in the liver but also in other organs (heart, lung, kidney, and skin), as reported by Ghosh </w:t>
      </w:r>
      <w:r w:rsidR="00B7362E" w:rsidRPr="00C63E3F">
        <w:rPr>
          <w:rFonts w:ascii="Book Antiqua" w:hAnsi="Book Antiqua"/>
          <w:i/>
          <w:sz w:val="24"/>
          <w:szCs w:val="24"/>
          <w:lang w:val="en-US"/>
        </w:rPr>
        <w:t>et al</w:t>
      </w:r>
      <w:r w:rsidR="00B7362E" w:rsidRPr="00C63E3F">
        <w:rPr>
          <w:rFonts w:ascii="Book Antiqua" w:hAnsi="Book Antiqua"/>
          <w:sz w:val="24"/>
          <w:szCs w:val="24"/>
          <w:vertAlign w:val="superscript"/>
          <w:lang w:val="en-US"/>
        </w:rPr>
        <w:t>[26]</w:t>
      </w:r>
      <w:r w:rsidR="00F20B23" w:rsidRPr="00C63E3F">
        <w:rPr>
          <w:rFonts w:ascii="Book Antiqua" w:hAnsi="Book Antiqua"/>
          <w:sz w:val="24"/>
          <w:szCs w:val="24"/>
          <w:lang w:val="en-US"/>
        </w:rPr>
        <w:t>,</w:t>
      </w:r>
      <w:r w:rsidR="009C444A" w:rsidRPr="00C63E3F">
        <w:rPr>
          <w:rFonts w:ascii="Book Antiqua" w:hAnsi="Book Antiqua"/>
          <w:sz w:val="24"/>
          <w:szCs w:val="24"/>
          <w:lang w:val="en-US"/>
        </w:rPr>
        <w:t xml:space="preserve"> in relation to PAI-1</w:t>
      </w:r>
      <w:r w:rsidR="00283253" w:rsidRPr="00C63E3F">
        <w:rPr>
          <w:rFonts w:ascii="Book Antiqua" w:hAnsi="Book Antiqua"/>
          <w:sz w:val="24"/>
          <w:szCs w:val="24"/>
          <w:lang w:val="en-US" w:eastAsia="zh-CN"/>
        </w:rPr>
        <w:t xml:space="preserve"> </w:t>
      </w:r>
      <w:r w:rsidR="009C444A" w:rsidRPr="00C63E3F">
        <w:rPr>
          <w:rFonts w:ascii="Book Antiqua" w:hAnsi="Book Antiqua"/>
          <w:sz w:val="24"/>
          <w:szCs w:val="24"/>
          <w:lang w:val="en-US"/>
        </w:rPr>
        <w:t xml:space="preserve">and by Reilly </w:t>
      </w:r>
      <w:r w:rsidR="009E0531" w:rsidRPr="00C63E3F">
        <w:rPr>
          <w:rFonts w:ascii="Book Antiqua" w:hAnsi="Book Antiqua"/>
          <w:i/>
          <w:sz w:val="24"/>
          <w:szCs w:val="24"/>
          <w:lang w:val="en-US"/>
        </w:rPr>
        <w:t>et al</w:t>
      </w:r>
      <w:r w:rsidR="002A266D" w:rsidRPr="00C63E3F">
        <w:rPr>
          <w:rFonts w:ascii="Book Antiqua" w:hAnsi="Book Antiqua"/>
          <w:sz w:val="24"/>
          <w:szCs w:val="24"/>
          <w:vertAlign w:val="superscript"/>
          <w:lang w:val="en-US"/>
        </w:rPr>
        <w:t>[27]</w:t>
      </w:r>
      <w:r w:rsidR="007136CE" w:rsidRPr="00C63E3F">
        <w:rPr>
          <w:rFonts w:ascii="Book Antiqua" w:hAnsi="Book Antiqua"/>
          <w:sz w:val="24"/>
          <w:szCs w:val="24"/>
          <w:lang w:val="en-US"/>
        </w:rPr>
        <w:t xml:space="preserve"> </w:t>
      </w:r>
      <w:r w:rsidR="009C444A" w:rsidRPr="00C63E3F">
        <w:rPr>
          <w:rFonts w:ascii="Book Antiqua" w:hAnsi="Book Antiqua"/>
          <w:sz w:val="24"/>
          <w:szCs w:val="24"/>
          <w:lang w:val="en-US"/>
        </w:rPr>
        <w:t xml:space="preserve">in relation to MTHFR 677TT. </w:t>
      </w:r>
    </w:p>
    <w:p w14:paraId="510B097B"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We suppose that PAI-1 4G-4G and MTHFR</w:t>
      </w:r>
      <w:r w:rsidR="003F0421" w:rsidRPr="00C63E3F">
        <w:rPr>
          <w:rFonts w:ascii="Book Antiqua" w:hAnsi="Book Antiqua"/>
          <w:sz w:val="24"/>
          <w:szCs w:val="24"/>
          <w:lang w:val="en-US"/>
        </w:rPr>
        <w:t xml:space="preserve"> </w:t>
      </w:r>
      <w:r w:rsidRPr="00C63E3F">
        <w:rPr>
          <w:rFonts w:ascii="Book Antiqua" w:hAnsi="Book Antiqua"/>
          <w:sz w:val="24"/>
          <w:szCs w:val="24"/>
          <w:lang w:val="en-US"/>
        </w:rPr>
        <w:t xml:space="preserve">677TT may increase the inflammation response, participating to the activation of </w:t>
      </w:r>
      <w:r w:rsidR="005D66E7" w:rsidRPr="00C63E3F">
        <w:rPr>
          <w:rFonts w:ascii="Book Antiqua" w:hAnsi="Book Antiqua"/>
          <w:sz w:val="24"/>
          <w:szCs w:val="24"/>
          <w:lang w:val="en-US"/>
        </w:rPr>
        <w:t>HSC</w:t>
      </w:r>
      <w:r w:rsidRPr="00C63E3F">
        <w:rPr>
          <w:rFonts w:ascii="Book Antiqua" w:hAnsi="Book Antiqua"/>
          <w:sz w:val="24"/>
          <w:szCs w:val="24"/>
          <w:lang w:val="en-US"/>
        </w:rPr>
        <w:t>, causing hepatic fibrosis and augmented intrahepatic vascular resistance in cirrhosis, as suggested by F</w:t>
      </w:r>
      <w:r w:rsidR="00BA2CE0" w:rsidRPr="00C63E3F">
        <w:rPr>
          <w:rFonts w:ascii="Book Antiqua" w:hAnsi="Book Antiqua"/>
          <w:sz w:val="24"/>
          <w:szCs w:val="24"/>
          <w:lang w:val="en-US"/>
        </w:rPr>
        <w:t>ernandez</w:t>
      </w:r>
      <w:r w:rsidR="002A266D" w:rsidRPr="00C63E3F">
        <w:rPr>
          <w:rFonts w:ascii="Book Antiqua" w:hAnsi="Book Antiqua"/>
          <w:sz w:val="24"/>
          <w:szCs w:val="24"/>
          <w:vertAlign w:val="superscript"/>
          <w:lang w:val="en-US"/>
        </w:rPr>
        <w:t>[28]</w:t>
      </w:r>
      <w:r w:rsidRPr="00C63E3F">
        <w:rPr>
          <w:rFonts w:ascii="Book Antiqua" w:hAnsi="Book Antiqua"/>
          <w:sz w:val="24"/>
          <w:szCs w:val="24"/>
          <w:lang w:val="en-US"/>
        </w:rPr>
        <w:t xml:space="preserve">. These two genetic markers share the ultimate goal of increase the activation of HSC, directly or by the action of LSEC on HSC. </w:t>
      </w:r>
    </w:p>
    <w:p w14:paraId="2F778AC0"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We hope that all the studies on this argument can suggest new perspectives for developing strategies more effective in lowering fibrosis progression. The common project could be the attenuation of the HSC activation and consequently of liver fibrosis. </w:t>
      </w:r>
    </w:p>
    <w:p w14:paraId="1812C424" w14:textId="77777777" w:rsidR="009C444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In conclusion PAI-1 4G-4G and </w:t>
      </w:r>
      <w:r w:rsidR="003F0421" w:rsidRPr="00C63E3F">
        <w:rPr>
          <w:rFonts w:ascii="Book Antiqua" w:hAnsi="Book Antiqua"/>
          <w:sz w:val="24"/>
          <w:szCs w:val="24"/>
          <w:lang w:val="en-US"/>
        </w:rPr>
        <w:t xml:space="preserve">MTHFR 677TT </w:t>
      </w:r>
      <w:r w:rsidRPr="00C63E3F">
        <w:rPr>
          <w:rFonts w:ascii="Book Antiqua" w:hAnsi="Book Antiqua"/>
          <w:sz w:val="24"/>
          <w:szCs w:val="24"/>
          <w:lang w:val="en-US"/>
        </w:rPr>
        <w:t xml:space="preserve">could be considered as factors of thrombosis and fibrosis mechanisms, that lead to the development of the cirrhosis and augmented intrahepatic vascular resistance. </w:t>
      </w:r>
    </w:p>
    <w:p w14:paraId="22FB4B22" w14:textId="77777777" w:rsidR="009C444A" w:rsidRPr="00C63E3F" w:rsidRDefault="00F112A7"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 xml:space="preserve">PAI-1 4G-4G and MTHFR 677TT screening of patients could be useful, mainly in those with alcoholic or cryptogenic cirrhosis, to identify patients in which new drug therapies, based on the attenuation of the HSC activation, or other mechanisms could be more easily evaluated. </w:t>
      </w:r>
    </w:p>
    <w:p w14:paraId="1D7E17B8" w14:textId="77777777" w:rsidR="001C1364"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The</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recent articles of Lee </w:t>
      </w:r>
      <w:r w:rsidR="009E0531" w:rsidRPr="00C63E3F">
        <w:rPr>
          <w:rFonts w:ascii="Book Antiqua" w:hAnsi="Book Antiqua"/>
          <w:i/>
          <w:sz w:val="24"/>
          <w:szCs w:val="24"/>
          <w:lang w:val="en-US"/>
        </w:rPr>
        <w:t>et al</w:t>
      </w:r>
      <w:r w:rsidR="002A266D" w:rsidRPr="00C63E3F">
        <w:rPr>
          <w:rFonts w:ascii="Book Antiqua" w:hAnsi="Book Antiqua"/>
          <w:sz w:val="24"/>
          <w:szCs w:val="24"/>
          <w:vertAlign w:val="superscript"/>
          <w:lang w:val="en-US"/>
        </w:rPr>
        <w:t>[29]</w:t>
      </w:r>
      <w:r w:rsidR="002A266D" w:rsidRPr="00C63E3F">
        <w:rPr>
          <w:rFonts w:ascii="Book Antiqua" w:hAnsi="Book Antiqua"/>
          <w:sz w:val="24"/>
          <w:szCs w:val="24"/>
          <w:lang w:val="en-US"/>
        </w:rPr>
        <w:t xml:space="preserve"> </w:t>
      </w:r>
      <w:r w:rsidRPr="00C63E3F">
        <w:rPr>
          <w:rFonts w:ascii="Book Antiqua" w:hAnsi="Book Antiqua"/>
          <w:sz w:val="24"/>
          <w:szCs w:val="24"/>
          <w:lang w:val="en-US"/>
        </w:rPr>
        <w:t xml:space="preserve">and Gracia-Sancho </w:t>
      </w:r>
      <w:r w:rsidR="0081028D" w:rsidRPr="00C63E3F">
        <w:rPr>
          <w:rFonts w:ascii="Book Antiqua" w:hAnsi="Book Antiqua"/>
          <w:i/>
          <w:sz w:val="24"/>
          <w:szCs w:val="24"/>
          <w:lang w:val="en-US"/>
        </w:rPr>
        <w:t>et al</w:t>
      </w:r>
      <w:r w:rsidR="006C00D2" w:rsidRPr="00C63E3F">
        <w:rPr>
          <w:rFonts w:ascii="Book Antiqua" w:hAnsi="Book Antiqua"/>
          <w:sz w:val="24"/>
          <w:szCs w:val="24"/>
          <w:vertAlign w:val="superscript"/>
          <w:lang w:val="en-US"/>
        </w:rPr>
        <w:t>[16]</w:t>
      </w:r>
      <w:r w:rsidR="006C00D2" w:rsidRPr="00C63E3F">
        <w:rPr>
          <w:rFonts w:ascii="Book Antiqua" w:hAnsi="Book Antiqua"/>
          <w:sz w:val="24"/>
          <w:szCs w:val="24"/>
          <w:lang w:val="en-US"/>
        </w:rPr>
        <w:t xml:space="preserve"> </w:t>
      </w:r>
      <w:r w:rsidR="001C1364" w:rsidRPr="00C63E3F">
        <w:rPr>
          <w:rFonts w:ascii="Book Antiqua" w:hAnsi="Book Antiqua"/>
          <w:sz w:val="24"/>
          <w:szCs w:val="24"/>
          <w:lang w:val="en-US"/>
        </w:rPr>
        <w:t>deal with the new drugs, in the attempt to develop new strategies of combined therapies directed towards multi-target different pathophysiological mechanisms (i.e. microvascular dysfunction ? angiogenesis, or fibrosis ? microvascular dysfunction); the goal of new therapies includes efforts to inhibit fibrogenesis and promote resolution of fibrosis. The evaluation of genetic profile of thrombophilia (obviously as complete as possible), of patients with chronic liver diseases, could be considered a noninvasive method to assess the dynamics of fibrogenesis and fibrolysis on genetic base.</w:t>
      </w:r>
    </w:p>
    <w:p w14:paraId="0960A272" w14:textId="77777777" w:rsidR="005E03FA" w:rsidRPr="00C63E3F" w:rsidRDefault="009C444A" w:rsidP="009A3E1D">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As an immediate clinical application of the results of our study, according to the principle</w:t>
      </w:r>
      <w:r w:rsidR="00BA2CE0" w:rsidRPr="00C63E3F">
        <w:rPr>
          <w:rFonts w:ascii="Book Antiqua" w:hAnsi="Book Antiqua"/>
          <w:sz w:val="24"/>
          <w:szCs w:val="24"/>
          <w:lang w:val="en-US"/>
        </w:rPr>
        <w:t>s of the translational medicine</w:t>
      </w:r>
      <w:r w:rsidR="002A266D" w:rsidRPr="00C63E3F">
        <w:rPr>
          <w:rFonts w:ascii="Book Antiqua" w:hAnsi="Book Antiqua"/>
          <w:sz w:val="24"/>
          <w:szCs w:val="24"/>
          <w:vertAlign w:val="superscript"/>
          <w:lang w:val="en-US"/>
        </w:rPr>
        <w:t>[29]</w:t>
      </w:r>
      <w:r w:rsidR="002A266D" w:rsidRPr="00C63E3F">
        <w:rPr>
          <w:rFonts w:ascii="Book Antiqua" w:hAnsi="Book Antiqua"/>
          <w:sz w:val="24"/>
          <w:szCs w:val="24"/>
          <w:lang w:val="en-US"/>
        </w:rPr>
        <w:t xml:space="preserve">, </w:t>
      </w:r>
      <w:r w:rsidRPr="00C63E3F">
        <w:rPr>
          <w:rFonts w:ascii="Book Antiqua" w:hAnsi="Book Antiqua"/>
          <w:sz w:val="24"/>
          <w:szCs w:val="24"/>
          <w:lang w:val="en-US"/>
        </w:rPr>
        <w:t>we think advisable to screen patients with chronic liver disease for genetic predisposition to liver fibrogenesis, also in patients with hepatic virus diseases</w:t>
      </w:r>
      <w:r w:rsidR="005E03FA" w:rsidRPr="00C63E3F">
        <w:rPr>
          <w:rFonts w:ascii="Book Antiqua" w:hAnsi="Book Antiqua"/>
          <w:sz w:val="24"/>
          <w:szCs w:val="24"/>
          <w:lang w:val="en-US"/>
        </w:rPr>
        <w:t>,</w:t>
      </w:r>
      <w:r w:rsidR="007F1C8E" w:rsidRPr="00C63E3F">
        <w:rPr>
          <w:rFonts w:ascii="Book Antiqua" w:hAnsi="Book Antiqua"/>
          <w:sz w:val="24"/>
          <w:szCs w:val="24"/>
          <w:lang w:val="en-US"/>
        </w:rPr>
        <w:t xml:space="preserve"> where these genetic markers can lead to</w:t>
      </w:r>
      <w:r w:rsidR="001C1364" w:rsidRPr="00C63E3F">
        <w:rPr>
          <w:rFonts w:ascii="Book Antiqua" w:hAnsi="Book Antiqua"/>
          <w:sz w:val="24"/>
          <w:szCs w:val="24"/>
          <w:lang w:val="en-US"/>
        </w:rPr>
        <w:t xml:space="preserve"> a</w:t>
      </w:r>
      <w:r w:rsidR="007F1C8E" w:rsidRPr="00C63E3F">
        <w:rPr>
          <w:rFonts w:ascii="Book Antiqua" w:hAnsi="Book Antiqua"/>
          <w:sz w:val="24"/>
          <w:szCs w:val="24"/>
          <w:lang w:val="en-US"/>
        </w:rPr>
        <w:t xml:space="preserve"> lower</w:t>
      </w:r>
      <w:r w:rsidR="00283253" w:rsidRPr="00C63E3F">
        <w:rPr>
          <w:rFonts w:ascii="Book Antiqua" w:hAnsi="Book Antiqua"/>
          <w:sz w:val="24"/>
          <w:szCs w:val="24"/>
          <w:lang w:val="en-US" w:eastAsia="zh-CN"/>
        </w:rPr>
        <w:t xml:space="preserve"> </w:t>
      </w:r>
      <w:r w:rsidR="007F1C8E" w:rsidRPr="00C63E3F">
        <w:rPr>
          <w:rFonts w:ascii="Book Antiqua" w:hAnsi="Book Antiqua"/>
          <w:sz w:val="24"/>
          <w:szCs w:val="24"/>
          <w:lang w:val="en-US"/>
        </w:rPr>
        <w:t>response to the antiviral drugs</w:t>
      </w:r>
      <w:r w:rsidR="005E03FA" w:rsidRPr="00C63E3F">
        <w:rPr>
          <w:rFonts w:ascii="Book Antiqua" w:hAnsi="Book Antiqua"/>
          <w:sz w:val="24"/>
          <w:szCs w:val="24"/>
          <w:lang w:val="en-US"/>
        </w:rPr>
        <w:t xml:space="preserve">. </w:t>
      </w:r>
    </w:p>
    <w:p w14:paraId="5B44B685" w14:textId="77777777" w:rsidR="00C11CCB" w:rsidRPr="00C63E3F" w:rsidRDefault="00C11CCB" w:rsidP="009A3E1D">
      <w:pPr>
        <w:spacing w:after="0" w:line="360" w:lineRule="auto"/>
        <w:ind w:firstLineChars="100" w:firstLine="240"/>
        <w:jc w:val="both"/>
        <w:rPr>
          <w:rFonts w:ascii="Book Antiqua" w:hAnsi="Book Antiqua"/>
          <w:sz w:val="24"/>
          <w:szCs w:val="24"/>
          <w:lang w:val="en-US" w:eastAsia="zh-CN"/>
        </w:rPr>
      </w:pPr>
      <w:r w:rsidRPr="00C63E3F">
        <w:rPr>
          <w:rFonts w:ascii="Book Antiqua" w:hAnsi="Book Antiqua"/>
          <w:sz w:val="24"/>
          <w:szCs w:val="24"/>
          <w:lang w:val="en-US"/>
        </w:rPr>
        <w:t xml:space="preserve">In conclusion, it could be recommended that a complete analysis of the risk of progression of liver fibrosis should include all thrombophilia factors. </w:t>
      </w:r>
    </w:p>
    <w:p w14:paraId="761AF49D" w14:textId="77777777" w:rsidR="005A0FF1" w:rsidRPr="00C63E3F" w:rsidRDefault="009C444A" w:rsidP="008D58EC">
      <w:pPr>
        <w:spacing w:after="0" w:line="360" w:lineRule="auto"/>
        <w:ind w:firstLineChars="100" w:firstLine="240"/>
        <w:jc w:val="both"/>
        <w:rPr>
          <w:rFonts w:ascii="Book Antiqua" w:hAnsi="Book Antiqua"/>
          <w:sz w:val="24"/>
          <w:szCs w:val="24"/>
          <w:lang w:val="en-US"/>
        </w:rPr>
      </w:pPr>
      <w:r w:rsidRPr="00C63E3F">
        <w:rPr>
          <w:rFonts w:ascii="Book Antiqua" w:hAnsi="Book Antiqua"/>
          <w:sz w:val="24"/>
          <w:szCs w:val="24"/>
          <w:lang w:val="en-US"/>
        </w:rPr>
        <w:t>In patients with MTHFR 677TT, folic acid supplementation should be prescribed. Patients with PAI-1 4G-4G and perhaps MTHFR 677TT, represent</w:t>
      </w:r>
      <w:r w:rsidR="00283253" w:rsidRPr="00C63E3F">
        <w:rPr>
          <w:rFonts w:ascii="Book Antiqua" w:hAnsi="Book Antiqua"/>
          <w:sz w:val="24"/>
          <w:szCs w:val="24"/>
          <w:lang w:val="en-US" w:eastAsia="zh-CN"/>
        </w:rPr>
        <w:t xml:space="preserve"> </w:t>
      </w:r>
      <w:r w:rsidRPr="00C63E3F">
        <w:rPr>
          <w:rFonts w:ascii="Book Antiqua" w:hAnsi="Book Antiqua"/>
          <w:sz w:val="24"/>
          <w:szCs w:val="24"/>
          <w:lang w:val="en-US"/>
        </w:rPr>
        <w:t xml:space="preserve">a subset of patients in which trials on statins, anti aldosteron, antioxidants and other drugs should be tested to obtain more rapid results, although none </w:t>
      </w:r>
      <w:r w:rsidR="003F0421" w:rsidRPr="00C63E3F">
        <w:rPr>
          <w:rFonts w:ascii="Book Antiqua" w:hAnsi="Book Antiqua"/>
          <w:sz w:val="24"/>
          <w:szCs w:val="24"/>
          <w:lang w:val="en-US"/>
        </w:rPr>
        <w:t xml:space="preserve">of these drugs </w:t>
      </w:r>
      <w:r w:rsidRPr="00C63E3F">
        <w:rPr>
          <w:rFonts w:ascii="Book Antiqua" w:hAnsi="Book Antiqua"/>
          <w:sz w:val="24"/>
          <w:szCs w:val="24"/>
          <w:lang w:val="en-US"/>
        </w:rPr>
        <w:t xml:space="preserve">are approved yet. The combination therapies should include their association with antiviral treatment and non-selective beta-blockers. In patients with portal vein thrombosis or severe portal hypertension or deep vein thrombosis, thrombo-prophylaxis with low molecular weight heparins should be recommended, according to Rodriguez-Castro </w:t>
      </w:r>
      <w:r w:rsidR="009E0531" w:rsidRPr="00C63E3F">
        <w:rPr>
          <w:rFonts w:ascii="Book Antiqua" w:hAnsi="Book Antiqua"/>
          <w:i/>
          <w:sz w:val="24"/>
          <w:szCs w:val="24"/>
          <w:lang w:val="en-US"/>
        </w:rPr>
        <w:t>et al</w:t>
      </w:r>
      <w:r w:rsidR="002A266D" w:rsidRPr="00C63E3F">
        <w:rPr>
          <w:rFonts w:ascii="Book Antiqua" w:hAnsi="Book Antiqua"/>
          <w:sz w:val="24"/>
          <w:szCs w:val="24"/>
          <w:vertAlign w:val="superscript"/>
          <w:lang w:val="en-US"/>
        </w:rPr>
        <w:t>[30]</w:t>
      </w:r>
      <w:r w:rsidRPr="00C63E3F">
        <w:rPr>
          <w:rFonts w:ascii="Book Antiqua" w:hAnsi="Book Antiqua"/>
          <w:sz w:val="24"/>
          <w:szCs w:val="24"/>
          <w:lang w:val="en-US"/>
        </w:rPr>
        <w:t xml:space="preserve">. </w:t>
      </w:r>
    </w:p>
    <w:p w14:paraId="0327253F" w14:textId="77777777" w:rsidR="009E0531" w:rsidRPr="00C63E3F" w:rsidRDefault="009E0531" w:rsidP="009A3E1D">
      <w:pPr>
        <w:spacing w:after="0" w:line="360" w:lineRule="auto"/>
        <w:rPr>
          <w:rFonts w:ascii="Book Antiqua" w:hAnsi="Book Antiqua"/>
          <w:b/>
          <w:bCs/>
          <w:sz w:val="24"/>
          <w:szCs w:val="24"/>
          <w:lang w:val="en-US" w:eastAsia="zh-CN"/>
        </w:rPr>
      </w:pPr>
      <w:bookmarkStart w:id="10" w:name="OLE_LINK84"/>
      <w:bookmarkStart w:id="11" w:name="OLE_LINK85"/>
    </w:p>
    <w:p w14:paraId="0FCC9F42" w14:textId="77777777" w:rsidR="00022C11" w:rsidRPr="00C63E3F" w:rsidRDefault="00022C11" w:rsidP="009A3E1D">
      <w:pPr>
        <w:spacing w:after="0" w:line="360" w:lineRule="auto"/>
        <w:jc w:val="both"/>
        <w:rPr>
          <w:rFonts w:ascii="Book Antiqua" w:hAnsi="Book Antiqua"/>
          <w:b/>
          <w:bCs/>
          <w:sz w:val="24"/>
          <w:szCs w:val="24"/>
          <w:lang w:val="en-US"/>
        </w:rPr>
      </w:pPr>
      <w:r w:rsidRPr="00C63E3F">
        <w:rPr>
          <w:rFonts w:ascii="Book Antiqua" w:hAnsi="Book Antiqua"/>
          <w:b/>
          <w:bCs/>
          <w:sz w:val="24"/>
          <w:szCs w:val="24"/>
          <w:lang w:val="en-US"/>
        </w:rPr>
        <w:t>COMMENTS</w:t>
      </w:r>
    </w:p>
    <w:p w14:paraId="38065164" w14:textId="77777777" w:rsidR="00091A1A" w:rsidRPr="00C63E3F" w:rsidRDefault="00091A1A" w:rsidP="009A3E1D">
      <w:pPr>
        <w:spacing w:after="0" w:line="360" w:lineRule="auto"/>
        <w:jc w:val="both"/>
        <w:rPr>
          <w:rFonts w:ascii="Book Antiqua" w:hAnsi="Book Antiqua"/>
          <w:b/>
          <w:bCs/>
          <w:i/>
          <w:sz w:val="24"/>
          <w:szCs w:val="24"/>
          <w:lang w:val="en-US"/>
        </w:rPr>
      </w:pPr>
      <w:r w:rsidRPr="00C63E3F">
        <w:rPr>
          <w:rFonts w:ascii="Book Antiqua" w:hAnsi="Book Antiqua"/>
          <w:b/>
          <w:bCs/>
          <w:i/>
          <w:sz w:val="24"/>
          <w:szCs w:val="24"/>
          <w:lang w:val="en-US"/>
        </w:rPr>
        <w:t>Background</w:t>
      </w:r>
    </w:p>
    <w:p w14:paraId="656D2C76" w14:textId="77777777" w:rsidR="00091A1A" w:rsidRPr="00C63E3F" w:rsidRDefault="00091A1A" w:rsidP="009A3E1D">
      <w:pPr>
        <w:spacing w:after="0" w:line="360" w:lineRule="auto"/>
        <w:jc w:val="both"/>
        <w:rPr>
          <w:rFonts w:ascii="Book Antiqua" w:hAnsi="Book Antiqua"/>
          <w:bCs/>
          <w:sz w:val="24"/>
          <w:szCs w:val="24"/>
          <w:lang w:val="en-US" w:eastAsia="zh-CN"/>
        </w:rPr>
      </w:pPr>
      <w:r w:rsidRPr="00C63E3F">
        <w:rPr>
          <w:rFonts w:ascii="Book Antiqua" w:hAnsi="Book Antiqua"/>
          <w:bCs/>
          <w:sz w:val="24"/>
          <w:szCs w:val="24"/>
          <w:lang w:val="en-US"/>
        </w:rPr>
        <w:t xml:space="preserve">In </w:t>
      </w:r>
      <w:r w:rsidR="005C3887" w:rsidRPr="00C63E3F">
        <w:rPr>
          <w:rFonts w:ascii="Book Antiqua" w:hAnsi="Book Antiqua"/>
          <w:bCs/>
          <w:sz w:val="24"/>
          <w:szCs w:val="24"/>
          <w:lang w:val="en-US" w:eastAsia="zh-CN"/>
        </w:rPr>
        <w:t>the authors’</w:t>
      </w:r>
      <w:r w:rsidRPr="00C63E3F">
        <w:rPr>
          <w:rFonts w:ascii="Book Antiqua" w:hAnsi="Book Antiqua"/>
          <w:bCs/>
          <w:sz w:val="24"/>
          <w:szCs w:val="24"/>
          <w:lang w:val="en-US"/>
        </w:rPr>
        <w:t xml:space="preserve"> study 417/1079, (38.6%) patients with </w:t>
      </w:r>
      <w:r w:rsidR="00C05912" w:rsidRPr="00C63E3F">
        <w:rPr>
          <w:rFonts w:ascii="Book Antiqua" w:hAnsi="Book Antiqua"/>
          <w:bCs/>
          <w:sz w:val="24"/>
          <w:szCs w:val="24"/>
          <w:lang w:val="en-US"/>
        </w:rPr>
        <w:t>liver cirrhosis</w:t>
      </w:r>
      <w:r w:rsidRPr="00C63E3F">
        <w:rPr>
          <w:rFonts w:ascii="Book Antiqua" w:hAnsi="Book Antiqua"/>
          <w:bCs/>
          <w:sz w:val="24"/>
          <w:szCs w:val="24"/>
          <w:lang w:val="en-US"/>
        </w:rPr>
        <w:t xml:space="preserve"> showed thrombophilia and PAI-1 4G-4G and MTHFR C677TT are statistically more frequent in 359 patients with no viral liver cirrhosis, </w:t>
      </w:r>
      <w:r w:rsidR="009E0F84" w:rsidRPr="00C63E3F">
        <w:rPr>
          <w:rFonts w:ascii="Book Antiqua" w:hAnsi="Book Antiqua"/>
          <w:bCs/>
          <w:i/>
          <w:sz w:val="24"/>
          <w:szCs w:val="24"/>
          <w:lang w:val="en-US" w:eastAsia="zh-CN"/>
        </w:rPr>
        <w:t xml:space="preserve">vs </w:t>
      </w:r>
      <w:r w:rsidRPr="00C63E3F">
        <w:rPr>
          <w:rFonts w:ascii="Book Antiqua" w:hAnsi="Book Antiqua"/>
          <w:bCs/>
          <w:sz w:val="24"/>
          <w:szCs w:val="24"/>
          <w:lang w:val="en-US"/>
        </w:rPr>
        <w:t xml:space="preserve">739 patients with viral liver cirrhosis. In the same patients, PAI-1 and MTHFR 677 genotypes deviated from that expected from a population in Hardy-Weinberg equilibrium. </w:t>
      </w:r>
    </w:p>
    <w:p w14:paraId="284FA17B" w14:textId="77777777" w:rsidR="005C3887" w:rsidRPr="00C63E3F" w:rsidRDefault="005C3887" w:rsidP="009A3E1D">
      <w:pPr>
        <w:spacing w:after="0" w:line="360" w:lineRule="auto"/>
        <w:jc w:val="both"/>
        <w:rPr>
          <w:rFonts w:ascii="Book Antiqua" w:hAnsi="Book Antiqua"/>
          <w:bCs/>
          <w:sz w:val="24"/>
          <w:szCs w:val="24"/>
          <w:lang w:val="en-US" w:eastAsia="zh-CN"/>
        </w:rPr>
      </w:pPr>
    </w:p>
    <w:p w14:paraId="11F2B3C5" w14:textId="77777777" w:rsidR="00022C11" w:rsidRPr="00C63E3F" w:rsidRDefault="00022C11" w:rsidP="009A3E1D">
      <w:pPr>
        <w:spacing w:after="0" w:line="360" w:lineRule="auto"/>
        <w:jc w:val="both"/>
        <w:rPr>
          <w:rFonts w:ascii="Book Antiqua" w:hAnsi="Book Antiqua"/>
          <w:b/>
          <w:bCs/>
          <w:i/>
          <w:sz w:val="24"/>
          <w:szCs w:val="24"/>
          <w:lang w:val="en-US"/>
        </w:rPr>
      </w:pPr>
      <w:r w:rsidRPr="00C63E3F">
        <w:rPr>
          <w:rFonts w:ascii="Book Antiqua" w:hAnsi="Book Antiqua"/>
          <w:b/>
          <w:bCs/>
          <w:i/>
          <w:sz w:val="24"/>
          <w:szCs w:val="24"/>
          <w:lang w:val="en-US"/>
        </w:rPr>
        <w:t>Research frontiers</w:t>
      </w:r>
    </w:p>
    <w:p w14:paraId="26E73601" w14:textId="77777777" w:rsidR="00091A1A" w:rsidRPr="00C63E3F" w:rsidRDefault="00C05912"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eastAsia="zh-CN"/>
        </w:rPr>
        <w:t xml:space="preserve">Many authors are studying for many years the intrinsic mechanisms of fibrogenesis in liver diseases with and without virus associated. </w:t>
      </w:r>
      <w:r w:rsidR="00091A1A" w:rsidRPr="00C63E3F">
        <w:rPr>
          <w:rFonts w:ascii="Book Antiqua" w:hAnsi="Book Antiqua"/>
          <w:sz w:val="24"/>
          <w:szCs w:val="24"/>
          <w:lang w:val="en-US" w:eastAsia="zh-CN"/>
        </w:rPr>
        <w:t xml:space="preserve">We suppose that PAI-1 4G-4G and MTHFR 677TT could be considered as factors of fibrosis and thrombosis mechanisms, and increasing the inflammation response, cause the hepatic fibrosis and augmented intrahepatic vascular resistance typical of LC. </w:t>
      </w:r>
    </w:p>
    <w:p w14:paraId="0F0F8900" w14:textId="77777777" w:rsidR="00022C11" w:rsidRDefault="00022C11"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rPr>
        <w:t>To introduce briefly the current hotspots or important areas in the research field as related to your study.</w:t>
      </w:r>
    </w:p>
    <w:p w14:paraId="62078729" w14:textId="77777777" w:rsidR="00207DA0" w:rsidRPr="00C63E3F" w:rsidRDefault="00207DA0" w:rsidP="009A3E1D">
      <w:pPr>
        <w:spacing w:after="0" w:line="360" w:lineRule="auto"/>
        <w:jc w:val="both"/>
        <w:rPr>
          <w:rFonts w:ascii="Book Antiqua" w:hAnsi="Book Antiqua"/>
          <w:sz w:val="24"/>
          <w:szCs w:val="24"/>
          <w:lang w:val="en-US" w:eastAsia="zh-CN"/>
        </w:rPr>
      </w:pPr>
    </w:p>
    <w:p w14:paraId="55D918A5" w14:textId="77777777" w:rsidR="00022C11" w:rsidRPr="00C63E3F" w:rsidRDefault="00022C11" w:rsidP="009A3E1D">
      <w:pPr>
        <w:spacing w:after="0" w:line="360" w:lineRule="auto"/>
        <w:jc w:val="both"/>
        <w:rPr>
          <w:rFonts w:ascii="Book Antiqua" w:hAnsi="Book Antiqua"/>
          <w:b/>
          <w:bCs/>
          <w:i/>
          <w:sz w:val="24"/>
          <w:szCs w:val="24"/>
          <w:lang w:val="en-US"/>
        </w:rPr>
      </w:pPr>
      <w:r w:rsidRPr="00C63E3F">
        <w:rPr>
          <w:rFonts w:ascii="Book Antiqua" w:hAnsi="Book Antiqua"/>
          <w:b/>
          <w:bCs/>
          <w:i/>
          <w:sz w:val="24"/>
          <w:szCs w:val="24"/>
          <w:lang w:val="en-US"/>
        </w:rPr>
        <w:t>Innovations and breakthroughs</w:t>
      </w:r>
    </w:p>
    <w:p w14:paraId="0493493D" w14:textId="77777777" w:rsidR="00091A1A" w:rsidRDefault="00091A1A"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rPr>
        <w:t xml:space="preserve">PAI-1 4G-4G and MTHFR 677TT could be considered as factors increasing the response inflammation mechanisms, causing fibrogenesis and augmented intrahepatic vascular resistance, typical of liver cirrhosis. </w:t>
      </w:r>
    </w:p>
    <w:p w14:paraId="216D4DBA" w14:textId="77777777" w:rsidR="00207DA0" w:rsidRPr="00C63E3F" w:rsidRDefault="00207DA0" w:rsidP="009A3E1D">
      <w:pPr>
        <w:spacing w:after="0" w:line="360" w:lineRule="auto"/>
        <w:jc w:val="both"/>
        <w:rPr>
          <w:rFonts w:ascii="Book Antiqua" w:hAnsi="Book Antiqua"/>
          <w:sz w:val="24"/>
          <w:szCs w:val="24"/>
          <w:lang w:val="en-US" w:eastAsia="zh-CN"/>
        </w:rPr>
      </w:pPr>
    </w:p>
    <w:p w14:paraId="794BA49F" w14:textId="77777777" w:rsidR="00022C11" w:rsidRPr="00C63E3F" w:rsidRDefault="00022C11" w:rsidP="009A3E1D">
      <w:pPr>
        <w:spacing w:after="0" w:line="360" w:lineRule="auto"/>
        <w:jc w:val="both"/>
        <w:rPr>
          <w:rFonts w:ascii="Book Antiqua" w:hAnsi="Book Antiqua"/>
          <w:b/>
          <w:bCs/>
          <w:i/>
          <w:sz w:val="24"/>
          <w:szCs w:val="24"/>
          <w:lang w:val="en-US"/>
        </w:rPr>
      </w:pPr>
      <w:r w:rsidRPr="00C63E3F">
        <w:rPr>
          <w:rFonts w:ascii="Book Antiqua" w:hAnsi="Book Antiqua"/>
          <w:b/>
          <w:bCs/>
          <w:i/>
          <w:sz w:val="24"/>
          <w:szCs w:val="24"/>
          <w:lang w:val="en-US"/>
        </w:rPr>
        <w:t>Applications</w:t>
      </w:r>
    </w:p>
    <w:p w14:paraId="65F74F9C" w14:textId="77777777" w:rsidR="00091A1A" w:rsidRDefault="00091A1A" w:rsidP="009A3E1D">
      <w:pPr>
        <w:spacing w:after="0" w:line="360" w:lineRule="auto"/>
        <w:jc w:val="both"/>
        <w:rPr>
          <w:rFonts w:ascii="Book Antiqua" w:hAnsi="Book Antiqua"/>
          <w:sz w:val="24"/>
          <w:szCs w:val="24"/>
          <w:lang w:val="en-US" w:eastAsia="zh-CN"/>
        </w:rPr>
      </w:pPr>
      <w:r w:rsidRPr="00C63E3F">
        <w:rPr>
          <w:rFonts w:ascii="Book Antiqua" w:hAnsi="Book Antiqua"/>
          <w:sz w:val="24"/>
          <w:szCs w:val="24"/>
          <w:lang w:val="en-US"/>
        </w:rPr>
        <w:t>PAI-1 4G-4G and MTHFR 677TT screening of hepatic chronic liver diseases patients could be useful, mainly in those with no virus related diseases , to identify patients in which new drug therapies, based on the attenuation of the HSC activation, or other mechanisms, could be easier evaluated.</w:t>
      </w:r>
    </w:p>
    <w:p w14:paraId="5BB60A95" w14:textId="77777777" w:rsidR="00207DA0" w:rsidRPr="00C63E3F" w:rsidRDefault="00207DA0" w:rsidP="009A3E1D">
      <w:pPr>
        <w:spacing w:after="0" w:line="360" w:lineRule="auto"/>
        <w:jc w:val="both"/>
        <w:rPr>
          <w:rFonts w:ascii="Book Antiqua" w:hAnsi="Book Antiqua"/>
          <w:sz w:val="24"/>
          <w:szCs w:val="24"/>
          <w:lang w:val="en-US" w:eastAsia="zh-CN"/>
        </w:rPr>
      </w:pPr>
    </w:p>
    <w:p w14:paraId="71C0DA15" w14:textId="77777777" w:rsidR="00022C11" w:rsidRPr="00C63E3F" w:rsidRDefault="00022C11" w:rsidP="009A3E1D">
      <w:pPr>
        <w:spacing w:after="0" w:line="360" w:lineRule="auto"/>
        <w:jc w:val="both"/>
        <w:rPr>
          <w:rFonts w:ascii="Book Antiqua" w:hAnsi="Book Antiqua" w:cs="Arial"/>
          <w:b/>
          <w:bCs/>
          <w:i/>
          <w:sz w:val="24"/>
          <w:szCs w:val="24"/>
          <w:lang w:val="en-US"/>
        </w:rPr>
      </w:pPr>
      <w:r w:rsidRPr="00C63E3F">
        <w:rPr>
          <w:rFonts w:ascii="Book Antiqua" w:hAnsi="Book Antiqua" w:cs="Arial"/>
          <w:b/>
          <w:bCs/>
          <w:i/>
          <w:sz w:val="24"/>
          <w:szCs w:val="24"/>
          <w:lang w:val="en-US"/>
        </w:rPr>
        <w:t>Terminology</w:t>
      </w:r>
    </w:p>
    <w:p w14:paraId="0E7B3D4F" w14:textId="77777777" w:rsidR="00091A1A" w:rsidRDefault="001278B7" w:rsidP="009A3E1D">
      <w:pPr>
        <w:spacing w:after="0" w:line="360" w:lineRule="auto"/>
        <w:jc w:val="both"/>
        <w:rPr>
          <w:rFonts w:ascii="Book Antiqua" w:hAnsi="Book Antiqua"/>
          <w:sz w:val="24"/>
          <w:szCs w:val="24"/>
          <w:lang w:val="en-US" w:eastAsia="zh-CN"/>
        </w:rPr>
      </w:pPr>
      <w:r w:rsidRPr="00C63E3F">
        <w:rPr>
          <w:rFonts w:ascii="Book Antiqua" w:hAnsi="Book Antiqua" w:cs="Arial"/>
          <w:bCs/>
          <w:sz w:val="24"/>
          <w:szCs w:val="24"/>
          <w:lang w:val="en-US"/>
        </w:rPr>
        <w:t>Genetic thrombophilia is involved in fibrosis and thrombosis mechanisms and</w:t>
      </w:r>
      <w:r w:rsidR="00C05912" w:rsidRPr="00C63E3F">
        <w:rPr>
          <w:rFonts w:ascii="Book Antiqua" w:hAnsi="Book Antiqua" w:cs="Arial"/>
          <w:bCs/>
          <w:sz w:val="24"/>
          <w:szCs w:val="24"/>
          <w:lang w:val="en-US"/>
        </w:rPr>
        <w:t>,</w:t>
      </w:r>
      <w:r w:rsidRPr="00C63E3F">
        <w:rPr>
          <w:rFonts w:ascii="Book Antiqua" w:hAnsi="Book Antiqua" w:cs="Arial"/>
          <w:bCs/>
          <w:sz w:val="24"/>
          <w:szCs w:val="24"/>
          <w:lang w:val="en-US"/>
        </w:rPr>
        <w:t xml:space="preserve"> increasing the inflammation response, cause the hepatic fibrosis and augmented intrahepatic vascular resistance typical of chronic liver diseases. </w:t>
      </w:r>
      <w:r w:rsidR="00091A1A" w:rsidRPr="00C63E3F">
        <w:rPr>
          <w:rFonts w:ascii="Book Antiqua" w:hAnsi="Book Antiqua" w:cs="Arial"/>
          <w:bCs/>
          <w:sz w:val="24"/>
          <w:szCs w:val="24"/>
          <w:lang w:val="en-US"/>
        </w:rPr>
        <w:t xml:space="preserve">In this </w:t>
      </w:r>
      <w:r w:rsidR="0062501A" w:rsidRPr="00C63E3F">
        <w:rPr>
          <w:rFonts w:ascii="Book Antiqua" w:hAnsi="Book Antiqua" w:cs="Arial"/>
          <w:bCs/>
          <w:sz w:val="24"/>
          <w:szCs w:val="24"/>
          <w:lang w:val="en-US"/>
        </w:rPr>
        <w:t>study,</w:t>
      </w:r>
      <w:r w:rsidR="00091A1A" w:rsidRPr="00C63E3F">
        <w:rPr>
          <w:rFonts w:ascii="Book Antiqua" w:hAnsi="Book Antiqua" w:cs="Arial"/>
          <w:bCs/>
          <w:sz w:val="24"/>
          <w:szCs w:val="24"/>
          <w:lang w:val="en-US"/>
        </w:rPr>
        <w:t xml:space="preserve"> we have defined genetic thrombophilia the presence of at least one of the following THRGFs: PAI-1 4G-4G, MTHFR677TT, V Leiden Q506, Prothrombin 20210A</w:t>
      </w:r>
      <w:r w:rsidR="0062501A" w:rsidRPr="00C63E3F">
        <w:rPr>
          <w:rFonts w:ascii="Book Antiqua" w:hAnsi="Book Antiqua" w:cs="Arial"/>
          <w:bCs/>
          <w:sz w:val="24"/>
          <w:szCs w:val="24"/>
          <w:lang w:val="en-US"/>
        </w:rPr>
        <w:t>.</w:t>
      </w:r>
      <w:r w:rsidR="00091A1A" w:rsidRPr="00C63E3F">
        <w:rPr>
          <w:rFonts w:ascii="Book Antiqua" w:hAnsi="Book Antiqua"/>
          <w:sz w:val="24"/>
          <w:szCs w:val="24"/>
          <w:lang w:val="en-US"/>
        </w:rPr>
        <w:t xml:space="preserve"> </w:t>
      </w:r>
    </w:p>
    <w:p w14:paraId="28EBC5E9" w14:textId="77777777" w:rsidR="00207DA0" w:rsidRPr="00C63E3F" w:rsidRDefault="00207DA0" w:rsidP="009A3E1D">
      <w:pPr>
        <w:spacing w:after="0" w:line="360" w:lineRule="auto"/>
        <w:jc w:val="both"/>
        <w:rPr>
          <w:rFonts w:ascii="Book Antiqua" w:hAnsi="Book Antiqua" w:cs="Arial"/>
          <w:bCs/>
          <w:sz w:val="24"/>
          <w:szCs w:val="24"/>
          <w:lang w:val="en-US" w:eastAsia="zh-CN"/>
        </w:rPr>
      </w:pPr>
    </w:p>
    <w:p w14:paraId="781436AF" w14:textId="77777777" w:rsidR="00022C11" w:rsidRPr="00C63E3F" w:rsidRDefault="00022C11" w:rsidP="009A3E1D">
      <w:pPr>
        <w:spacing w:after="0" w:line="360" w:lineRule="auto"/>
        <w:jc w:val="both"/>
        <w:rPr>
          <w:rFonts w:ascii="Book Antiqua" w:hAnsi="Book Antiqua"/>
          <w:b/>
          <w:bCs/>
          <w:i/>
          <w:sz w:val="24"/>
          <w:szCs w:val="24"/>
          <w:lang w:val="en-US"/>
        </w:rPr>
      </w:pPr>
      <w:r w:rsidRPr="00C63E3F">
        <w:rPr>
          <w:rFonts w:ascii="Book Antiqua" w:hAnsi="Book Antiqua"/>
          <w:b/>
          <w:bCs/>
          <w:i/>
          <w:sz w:val="24"/>
          <w:szCs w:val="24"/>
          <w:lang w:val="en-US"/>
        </w:rPr>
        <w:t>Peer-review</w:t>
      </w:r>
    </w:p>
    <w:p w14:paraId="3A82DCDF" w14:textId="77777777" w:rsidR="001278B7" w:rsidRPr="00C63E3F" w:rsidRDefault="001278B7" w:rsidP="009A3E1D">
      <w:pPr>
        <w:spacing w:after="0" w:line="360" w:lineRule="auto"/>
        <w:jc w:val="both"/>
        <w:rPr>
          <w:rFonts w:ascii="Book Antiqua" w:hAnsi="Book Antiqua"/>
          <w:sz w:val="24"/>
          <w:szCs w:val="24"/>
          <w:lang w:val="en-US"/>
        </w:rPr>
      </w:pPr>
      <w:r w:rsidRPr="00C63E3F">
        <w:rPr>
          <w:rFonts w:ascii="Book Antiqua" w:hAnsi="Book Antiqua"/>
          <w:sz w:val="24"/>
          <w:szCs w:val="24"/>
          <w:lang w:val="en-US"/>
        </w:rPr>
        <w:t>In relation to PAI-1 4G-4G, there are many studies demonstrating the role of this THRGF, associated with the highest serum PAI-1 activity, in liver fibrosis process</w:t>
      </w:r>
      <w:r w:rsidR="00C05912" w:rsidRPr="00C63E3F">
        <w:rPr>
          <w:rFonts w:ascii="Book Antiqua" w:hAnsi="Book Antiqua"/>
          <w:sz w:val="24"/>
          <w:szCs w:val="24"/>
          <w:lang w:val="en-US"/>
        </w:rPr>
        <w:t>. I</w:t>
      </w:r>
      <w:r w:rsidRPr="00C63E3F">
        <w:rPr>
          <w:rFonts w:ascii="Book Antiqua" w:hAnsi="Book Antiqua"/>
          <w:sz w:val="24"/>
          <w:szCs w:val="24"/>
          <w:lang w:val="en-US"/>
        </w:rPr>
        <w:t>n relation to MTHFR 677TT and fibrogenesis, patients with MTHFR 677TT had higher serum total homocysteine</w:t>
      </w:r>
      <w:r w:rsidR="00783289" w:rsidRPr="00C63E3F">
        <w:rPr>
          <w:rFonts w:ascii="Book Antiqua" w:hAnsi="Book Antiqua"/>
          <w:sz w:val="24"/>
          <w:szCs w:val="24"/>
          <w:lang w:val="en-US"/>
        </w:rPr>
        <w:t>,</w:t>
      </w:r>
      <w:r w:rsidRPr="00C63E3F">
        <w:rPr>
          <w:rFonts w:ascii="Book Antiqua" w:hAnsi="Book Antiqua"/>
          <w:sz w:val="24"/>
          <w:szCs w:val="24"/>
          <w:lang w:val="en-US"/>
        </w:rPr>
        <w:t xml:space="preserve"> and there are many evidences that MTHFR 677TT has a role on the progression of </w:t>
      </w:r>
      <w:r w:rsidR="00783289" w:rsidRPr="00C63E3F">
        <w:rPr>
          <w:rFonts w:ascii="Book Antiqua" w:hAnsi="Book Antiqua"/>
          <w:sz w:val="24"/>
          <w:szCs w:val="24"/>
          <w:lang w:val="en-US"/>
        </w:rPr>
        <w:t xml:space="preserve">fibrosis in </w:t>
      </w:r>
      <w:r w:rsidRPr="00C63E3F">
        <w:rPr>
          <w:rFonts w:ascii="Book Antiqua" w:hAnsi="Book Antiqua"/>
          <w:sz w:val="24"/>
          <w:szCs w:val="24"/>
          <w:lang w:val="en-US"/>
        </w:rPr>
        <w:t xml:space="preserve">liver diseases. </w:t>
      </w:r>
    </w:p>
    <w:bookmarkEnd w:id="10"/>
    <w:bookmarkEnd w:id="11"/>
    <w:p w14:paraId="4960363F" w14:textId="77777777" w:rsidR="00393061" w:rsidRPr="00C63E3F" w:rsidRDefault="00393061" w:rsidP="009A3E1D">
      <w:pPr>
        <w:spacing w:after="0" w:line="360" w:lineRule="auto"/>
        <w:rPr>
          <w:rFonts w:ascii="Book Antiqua" w:hAnsi="Book Antiqua"/>
          <w:b/>
          <w:sz w:val="24"/>
          <w:szCs w:val="24"/>
          <w:lang w:val="en-US"/>
        </w:rPr>
      </w:pPr>
      <w:r w:rsidRPr="00C63E3F">
        <w:rPr>
          <w:rFonts w:ascii="Book Antiqua" w:hAnsi="Book Antiqua"/>
          <w:b/>
          <w:sz w:val="24"/>
          <w:szCs w:val="24"/>
          <w:lang w:val="en-US"/>
        </w:rPr>
        <w:br w:type="page"/>
      </w:r>
    </w:p>
    <w:p w14:paraId="0B0DE38F" w14:textId="77777777" w:rsidR="004E2B13" w:rsidRPr="00C63E3F" w:rsidRDefault="004E2B13" w:rsidP="009A3E1D">
      <w:pPr>
        <w:spacing w:after="0" w:line="360" w:lineRule="auto"/>
        <w:jc w:val="both"/>
        <w:rPr>
          <w:rFonts w:ascii="Book Antiqua" w:hAnsi="Book Antiqua"/>
          <w:b/>
          <w:sz w:val="24"/>
          <w:szCs w:val="24"/>
          <w:lang w:val="en-US"/>
        </w:rPr>
      </w:pPr>
      <w:r w:rsidRPr="00C63E3F">
        <w:rPr>
          <w:rFonts w:ascii="Book Antiqua" w:hAnsi="Book Antiqua"/>
          <w:b/>
          <w:sz w:val="24"/>
          <w:szCs w:val="24"/>
          <w:lang w:val="en-US"/>
        </w:rPr>
        <w:t>REFERENCES</w:t>
      </w:r>
    </w:p>
    <w:p w14:paraId="2EDFA22B" w14:textId="77777777" w:rsidR="00C63E3F" w:rsidRPr="00C63E3F" w:rsidRDefault="00C63E3F" w:rsidP="009A3E1D">
      <w:pPr>
        <w:spacing w:after="0" w:line="360" w:lineRule="auto"/>
        <w:jc w:val="both"/>
        <w:rPr>
          <w:rFonts w:ascii="Book Antiqua" w:hAnsi="Book Antiqua" w:cs="Arial"/>
          <w:color w:val="000000" w:themeColor="text1"/>
          <w:sz w:val="24"/>
          <w:szCs w:val="24"/>
          <w:lang w:val="en-US" w:eastAsia="zh-CN"/>
        </w:rPr>
      </w:pPr>
      <w:r w:rsidRPr="00C63E3F">
        <w:rPr>
          <w:rFonts w:ascii="Book Antiqua" w:eastAsia="宋体" w:hAnsi="Book Antiqua" w:cs="宋体"/>
          <w:color w:val="000000" w:themeColor="text1"/>
          <w:sz w:val="24"/>
          <w:szCs w:val="24"/>
          <w:lang w:val="en-US" w:eastAsia="zh-CN"/>
        </w:rPr>
        <w:t xml:space="preserve">1 </w:t>
      </w:r>
      <w:r w:rsidRPr="00C63E3F">
        <w:rPr>
          <w:rStyle w:val="authorname"/>
          <w:rFonts w:ascii="Book Antiqua" w:hAnsi="Book Antiqua" w:cs="Arial"/>
          <w:b/>
          <w:color w:val="000000" w:themeColor="text1"/>
          <w:sz w:val="24"/>
          <w:szCs w:val="24"/>
          <w:bdr w:val="none" w:sz="0" w:space="0" w:color="auto" w:frame="1"/>
          <w:lang w:val="en-US"/>
        </w:rPr>
        <w:t>D’Amico M</w:t>
      </w:r>
      <w:r w:rsidRPr="00C63E3F">
        <w:rPr>
          <w:rStyle w:val="authorname"/>
          <w:rFonts w:ascii="Book Antiqua" w:hAnsi="Book Antiqua" w:cs="Arial"/>
          <w:color w:val="000000" w:themeColor="text1"/>
          <w:sz w:val="24"/>
          <w:szCs w:val="24"/>
          <w:bdr w:val="none" w:sz="0" w:space="0" w:color="auto" w:frame="1"/>
          <w:lang w:val="en-US"/>
        </w:rPr>
        <w:t>, Pasta L, Sammarco P.</w:t>
      </w:r>
      <w:r w:rsidRPr="00C63E3F">
        <w:rPr>
          <w:rFonts w:ascii="Book Antiqua" w:hAnsi="Book Antiqua"/>
          <w:bCs/>
          <w:color w:val="000000" w:themeColor="text1"/>
          <w:spacing w:val="5"/>
          <w:sz w:val="24"/>
          <w:szCs w:val="24"/>
          <w:lang w:val="en-US"/>
        </w:rPr>
        <w:t xml:space="preserve"> MTHFR C677TT, PAI1 4G-4G, V Leiden Q506, and Prothrombin G20210A in hepatocellular carcinoma with and without portal vein thrombosis. </w:t>
      </w:r>
      <w:r w:rsidRPr="00C63E3F">
        <w:rPr>
          <w:rFonts w:ascii="Book Antiqua" w:hAnsi="Book Antiqua"/>
          <w:i/>
          <w:color w:val="000000" w:themeColor="text1"/>
          <w:sz w:val="24"/>
          <w:szCs w:val="24"/>
        </w:rPr>
        <w:t>J Thromb Thrombolysis</w:t>
      </w:r>
      <w:r w:rsidRPr="00C63E3F">
        <w:rPr>
          <w:rStyle w:val="articlecitationyear"/>
          <w:rFonts w:ascii="Book Antiqua" w:hAnsi="Book Antiqua"/>
          <w:color w:val="000000" w:themeColor="text1"/>
          <w:sz w:val="24"/>
          <w:szCs w:val="24"/>
          <w:bdr w:val="none" w:sz="0" w:space="0" w:color="auto" w:frame="1"/>
          <w:lang w:val="en-US"/>
        </w:rPr>
        <w:t xml:space="preserve"> 2009,</w:t>
      </w:r>
      <w:r w:rsidRPr="00C63E3F">
        <w:rPr>
          <w:rStyle w:val="articlecitationvolume"/>
          <w:rFonts w:ascii="Book Antiqua" w:hAnsi="Book Antiqua"/>
          <w:color w:val="000000" w:themeColor="text1"/>
          <w:sz w:val="24"/>
          <w:szCs w:val="24"/>
          <w:bdr w:val="none" w:sz="0" w:space="0" w:color="auto" w:frame="1"/>
          <w:lang w:val="en-US"/>
        </w:rPr>
        <w:t xml:space="preserve"> </w:t>
      </w:r>
      <w:r w:rsidRPr="00C63E3F">
        <w:rPr>
          <w:rStyle w:val="articlecitationvolume"/>
          <w:rFonts w:ascii="Book Antiqua" w:hAnsi="Book Antiqua"/>
          <w:b/>
          <w:color w:val="000000" w:themeColor="text1"/>
          <w:sz w:val="24"/>
          <w:szCs w:val="24"/>
          <w:bdr w:val="none" w:sz="0" w:space="0" w:color="auto" w:frame="1"/>
          <w:lang w:val="en-US"/>
        </w:rPr>
        <w:t>28</w:t>
      </w:r>
      <w:r w:rsidRPr="00C63E3F">
        <w:rPr>
          <w:rStyle w:val="articlecitationvolume"/>
          <w:rFonts w:ascii="Book Antiqua" w:hAnsi="Book Antiqua"/>
          <w:color w:val="000000" w:themeColor="text1"/>
          <w:sz w:val="24"/>
          <w:szCs w:val="24"/>
          <w:bdr w:val="none" w:sz="0" w:space="0" w:color="auto" w:frame="1"/>
          <w:lang w:val="en-US"/>
        </w:rPr>
        <w:t>:</w:t>
      </w:r>
      <w:r w:rsidRPr="00C63E3F">
        <w:rPr>
          <w:rStyle w:val="articlecitationpages"/>
          <w:rFonts w:ascii="Book Antiqua" w:hAnsi="Book Antiqua"/>
          <w:color w:val="000000" w:themeColor="text1"/>
          <w:sz w:val="24"/>
          <w:szCs w:val="24"/>
          <w:bdr w:val="none" w:sz="0" w:space="0" w:color="auto" w:frame="1"/>
          <w:lang w:val="en-US"/>
        </w:rPr>
        <w:t xml:space="preserve"> 70-73</w:t>
      </w:r>
      <w:r w:rsidRPr="00C63E3F">
        <w:rPr>
          <w:rFonts w:ascii="Book Antiqua" w:hAnsi="Book Antiqua" w:cs="Arial"/>
          <w:color w:val="000000" w:themeColor="text1"/>
          <w:sz w:val="24"/>
          <w:szCs w:val="24"/>
          <w:lang w:val="en-US"/>
        </w:rPr>
        <w:t xml:space="preserve"> </w:t>
      </w:r>
      <w:r w:rsidRPr="00C63E3F">
        <w:rPr>
          <w:rFonts w:ascii="Book Antiqua" w:eastAsia="宋体" w:hAnsi="Book Antiqua" w:cs="宋体"/>
          <w:color w:val="000000" w:themeColor="text1"/>
          <w:sz w:val="24"/>
          <w:szCs w:val="24"/>
          <w:lang w:val="en-US" w:eastAsia="zh-CN"/>
        </w:rPr>
        <w:t>[PMID:</w:t>
      </w:r>
      <w:r w:rsidRPr="00C63E3F">
        <w:rPr>
          <w:rFonts w:ascii="Book Antiqua" w:eastAsia="Times New Roman" w:hAnsi="Book Antiqua" w:cs="Arial"/>
          <w:color w:val="000000" w:themeColor="text1"/>
          <w:sz w:val="24"/>
          <w:szCs w:val="24"/>
          <w:lang w:val="en-US" w:eastAsia="it-IT"/>
        </w:rPr>
        <w:t xml:space="preserve"> 18618228 DOI: 10.1007/s11239-008-0246-6]</w:t>
      </w:r>
    </w:p>
    <w:p w14:paraId="545D0E75"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2 </w:t>
      </w:r>
      <w:r w:rsidRPr="00C63E3F">
        <w:rPr>
          <w:rFonts w:ascii="Book Antiqua" w:eastAsia="宋体" w:hAnsi="Book Antiqua" w:cs="宋体"/>
          <w:b/>
          <w:bCs/>
          <w:sz w:val="24"/>
          <w:szCs w:val="24"/>
          <w:lang w:val="en-US" w:eastAsia="zh-CN"/>
        </w:rPr>
        <w:t>D'Amico M</w:t>
      </w:r>
      <w:r w:rsidRPr="00C63E3F">
        <w:rPr>
          <w:rFonts w:ascii="Book Antiqua" w:eastAsia="宋体" w:hAnsi="Book Antiqua" w:cs="宋体"/>
          <w:sz w:val="24"/>
          <w:szCs w:val="24"/>
          <w:lang w:val="en-US" w:eastAsia="zh-CN"/>
        </w:rPr>
        <w:t>, Pasta F, Pasta L. Thrombophilic genetic factors PAI-1 4G-4G and MTHFR 677TT as risk factors of alcohol, cryptogenic liver cirrhosis and portal vein thrombosis, in a Caucasian population. </w:t>
      </w:r>
      <w:r w:rsidRPr="00C63E3F">
        <w:rPr>
          <w:rFonts w:ascii="Book Antiqua" w:eastAsia="宋体" w:hAnsi="Book Antiqua" w:cs="宋体"/>
          <w:i/>
          <w:iCs/>
          <w:sz w:val="24"/>
          <w:szCs w:val="24"/>
          <w:lang w:val="en-US" w:eastAsia="zh-CN"/>
        </w:rPr>
        <w:t>Gene</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568</w:t>
      </w:r>
      <w:r w:rsidRPr="00C63E3F">
        <w:rPr>
          <w:rFonts w:ascii="Book Antiqua" w:eastAsia="宋体" w:hAnsi="Book Antiqua" w:cs="宋体"/>
          <w:sz w:val="24"/>
          <w:szCs w:val="24"/>
          <w:lang w:val="en-US" w:eastAsia="zh-CN"/>
        </w:rPr>
        <w:t>: 85-88 [PMID: 25987440 DOI: 10.1016/j.gene.2015.05.034]</w:t>
      </w:r>
    </w:p>
    <w:p w14:paraId="1100793F"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3 </w:t>
      </w:r>
      <w:r w:rsidRPr="00C63E3F">
        <w:rPr>
          <w:rFonts w:ascii="Book Antiqua" w:eastAsia="宋体" w:hAnsi="Book Antiqua" w:cs="宋体"/>
          <w:b/>
          <w:bCs/>
          <w:sz w:val="24"/>
          <w:szCs w:val="24"/>
          <w:lang w:val="en-US" w:eastAsia="zh-CN"/>
        </w:rPr>
        <w:t>Patnaik M</w:t>
      </w:r>
      <w:r w:rsidRPr="00C63E3F">
        <w:rPr>
          <w:rFonts w:ascii="Book Antiqua" w:eastAsia="宋体" w:hAnsi="Book Antiqua" w:cs="宋体"/>
          <w:sz w:val="24"/>
          <w:szCs w:val="24"/>
          <w:lang w:val="en-US" w:eastAsia="zh-CN"/>
        </w:rPr>
        <w:t>, Dlott JS, Fontaine RN, Subbiah MT, Hessner MJ, Joyner KA, Ledford MR, Lau EC, Moehlenkamp C, Amos J, Zhang B, Williams TM. Detection of genomic polymorphisms associated with venous thrombosis using the invader biplex assay. </w:t>
      </w:r>
      <w:r w:rsidRPr="00C63E3F">
        <w:rPr>
          <w:rFonts w:ascii="Book Antiqua" w:eastAsia="宋体" w:hAnsi="Book Antiqua" w:cs="宋体"/>
          <w:i/>
          <w:iCs/>
          <w:sz w:val="24"/>
          <w:szCs w:val="24"/>
          <w:lang w:val="en-US" w:eastAsia="zh-CN"/>
        </w:rPr>
        <w:t>J Mol Diagn</w:t>
      </w:r>
      <w:r w:rsidRPr="00C63E3F">
        <w:rPr>
          <w:rFonts w:ascii="Book Antiqua" w:eastAsia="宋体" w:hAnsi="Book Antiqua" w:cs="宋体"/>
          <w:sz w:val="24"/>
          <w:szCs w:val="24"/>
          <w:lang w:val="en-US" w:eastAsia="zh-CN"/>
        </w:rPr>
        <w:t> 2004; </w:t>
      </w:r>
      <w:r w:rsidRPr="00C63E3F">
        <w:rPr>
          <w:rFonts w:ascii="Book Antiqua" w:eastAsia="宋体" w:hAnsi="Book Antiqua" w:cs="宋体"/>
          <w:b/>
          <w:bCs/>
          <w:sz w:val="24"/>
          <w:szCs w:val="24"/>
          <w:lang w:val="en-US" w:eastAsia="zh-CN"/>
        </w:rPr>
        <w:t>6</w:t>
      </w:r>
      <w:r w:rsidRPr="00C63E3F">
        <w:rPr>
          <w:rFonts w:ascii="Book Antiqua" w:eastAsia="宋体" w:hAnsi="Book Antiqua" w:cs="宋体"/>
          <w:sz w:val="24"/>
          <w:szCs w:val="24"/>
          <w:lang w:val="en-US" w:eastAsia="zh-CN"/>
        </w:rPr>
        <w:t>: 137-144 [PMID: 15096570 DOI: 10.1016/s1525-1578(10)60502-8]</w:t>
      </w:r>
    </w:p>
    <w:p w14:paraId="5A381816"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 xml:space="preserve">4 </w:t>
      </w:r>
      <w:r w:rsidRPr="00C63E3F">
        <w:rPr>
          <w:rFonts w:ascii="Book Antiqua" w:eastAsia="宋体" w:hAnsi="Book Antiqua" w:cs="宋体"/>
          <w:b/>
          <w:sz w:val="24"/>
          <w:szCs w:val="24"/>
          <w:lang w:val="en-US" w:eastAsia="zh-CN"/>
        </w:rPr>
        <w:t>Rosner B</w:t>
      </w:r>
      <w:r w:rsidRPr="00C63E3F">
        <w:rPr>
          <w:rFonts w:ascii="Book Antiqua" w:eastAsia="宋体" w:hAnsi="Book Antiqua" w:cs="宋体"/>
          <w:sz w:val="24"/>
          <w:szCs w:val="24"/>
          <w:lang w:val="en-US" w:eastAsia="zh-CN"/>
        </w:rPr>
        <w:t>. Hypothesis testing: categorical data. Fundamentals of Biostatistics. 6th ed. Belmont, CA: Duxbury/Thomson Brooks/Cole, 2006: 385-447</w:t>
      </w:r>
    </w:p>
    <w:p w14:paraId="3500F8A8"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5 </w:t>
      </w:r>
      <w:r w:rsidRPr="00C63E3F">
        <w:rPr>
          <w:rFonts w:ascii="Book Antiqua" w:eastAsia="宋体" w:hAnsi="Book Antiqua" w:cs="宋体"/>
          <w:b/>
          <w:bCs/>
          <w:sz w:val="24"/>
          <w:szCs w:val="24"/>
          <w:lang w:val="en-US" w:eastAsia="zh-CN"/>
        </w:rPr>
        <w:t>Rodriguez S</w:t>
      </w:r>
      <w:r w:rsidRPr="00C63E3F">
        <w:rPr>
          <w:rFonts w:ascii="Book Antiqua" w:eastAsia="宋体" w:hAnsi="Book Antiqua" w:cs="宋体"/>
          <w:sz w:val="24"/>
          <w:szCs w:val="24"/>
          <w:lang w:val="en-US" w:eastAsia="zh-CN"/>
        </w:rPr>
        <w:t>, Gaunt TR, Day IN. Hardy-Weinberg equilibrium testing of biological ascertainment for Mendelian randomization studies. </w:t>
      </w:r>
      <w:r w:rsidRPr="00C63E3F">
        <w:rPr>
          <w:rFonts w:ascii="Book Antiqua" w:eastAsia="宋体" w:hAnsi="Book Antiqua" w:cs="宋体"/>
          <w:i/>
          <w:iCs/>
          <w:sz w:val="24"/>
          <w:szCs w:val="24"/>
          <w:lang w:val="en-US" w:eastAsia="zh-CN"/>
        </w:rPr>
        <w:t>Am J Epidemiol</w:t>
      </w:r>
      <w:r w:rsidRPr="00C63E3F">
        <w:rPr>
          <w:rFonts w:ascii="Book Antiqua" w:eastAsia="宋体" w:hAnsi="Book Antiqua" w:cs="宋体"/>
          <w:sz w:val="24"/>
          <w:szCs w:val="24"/>
          <w:lang w:val="en-US" w:eastAsia="zh-CN"/>
        </w:rPr>
        <w:t> 2009; </w:t>
      </w:r>
      <w:r w:rsidRPr="00C63E3F">
        <w:rPr>
          <w:rFonts w:ascii="Book Antiqua" w:eastAsia="宋体" w:hAnsi="Book Antiqua" w:cs="宋体"/>
          <w:b/>
          <w:bCs/>
          <w:sz w:val="24"/>
          <w:szCs w:val="24"/>
          <w:lang w:val="en-US" w:eastAsia="zh-CN"/>
        </w:rPr>
        <w:t>169</w:t>
      </w:r>
      <w:r w:rsidRPr="00C63E3F">
        <w:rPr>
          <w:rFonts w:ascii="Book Antiqua" w:eastAsia="宋体" w:hAnsi="Book Antiqua" w:cs="宋体"/>
          <w:sz w:val="24"/>
          <w:szCs w:val="24"/>
          <w:lang w:val="en-US" w:eastAsia="zh-CN"/>
        </w:rPr>
        <w:t>: 505-514 [PMID: 19126586 DOI: 10.1093/aje/kwn359]</w:t>
      </w:r>
    </w:p>
    <w:p w14:paraId="015017C2"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6 </w:t>
      </w:r>
      <w:r w:rsidRPr="00C63E3F">
        <w:rPr>
          <w:rFonts w:ascii="Book Antiqua" w:eastAsia="宋体" w:hAnsi="Book Antiqua" w:cs="宋体"/>
          <w:b/>
          <w:bCs/>
          <w:sz w:val="24"/>
          <w:szCs w:val="24"/>
          <w:lang w:val="en-US" w:eastAsia="zh-CN"/>
        </w:rPr>
        <w:t>Perez-Pujol S</w:t>
      </w:r>
      <w:r w:rsidRPr="00C63E3F">
        <w:rPr>
          <w:rFonts w:ascii="Book Antiqua" w:eastAsia="宋体" w:hAnsi="Book Antiqua" w:cs="宋体"/>
          <w:sz w:val="24"/>
          <w:szCs w:val="24"/>
          <w:lang w:val="en-US" w:eastAsia="zh-CN"/>
        </w:rPr>
        <w:t>, Aras O, Escolar G. Factor v leiden and inflammation. </w:t>
      </w:r>
      <w:r w:rsidRPr="00C63E3F">
        <w:rPr>
          <w:rFonts w:ascii="Book Antiqua" w:eastAsia="宋体" w:hAnsi="Book Antiqua" w:cs="宋体"/>
          <w:i/>
          <w:iCs/>
          <w:sz w:val="24"/>
          <w:szCs w:val="24"/>
          <w:lang w:val="en-US" w:eastAsia="zh-CN"/>
        </w:rPr>
        <w:t>Thrombosis</w:t>
      </w:r>
      <w:r w:rsidRPr="00C63E3F">
        <w:rPr>
          <w:rFonts w:ascii="Book Antiqua" w:eastAsia="宋体" w:hAnsi="Book Antiqua" w:cs="宋体"/>
          <w:sz w:val="24"/>
          <w:szCs w:val="24"/>
          <w:lang w:val="en-US" w:eastAsia="zh-CN"/>
        </w:rPr>
        <w:t> 2012; </w:t>
      </w:r>
      <w:r w:rsidRPr="00C63E3F">
        <w:rPr>
          <w:rFonts w:ascii="Book Antiqua" w:eastAsia="宋体" w:hAnsi="Book Antiqua" w:cs="宋体"/>
          <w:b/>
          <w:bCs/>
          <w:sz w:val="24"/>
          <w:szCs w:val="24"/>
          <w:lang w:val="en-US" w:eastAsia="zh-CN"/>
        </w:rPr>
        <w:t>2012</w:t>
      </w:r>
      <w:r w:rsidRPr="00C63E3F">
        <w:rPr>
          <w:rFonts w:ascii="Book Antiqua" w:eastAsia="宋体" w:hAnsi="Book Antiqua" w:cs="宋体"/>
          <w:sz w:val="24"/>
          <w:szCs w:val="24"/>
          <w:lang w:val="en-US" w:eastAsia="zh-CN"/>
        </w:rPr>
        <w:t>: 594986 [PMID: 22666576 DOI: 10.1155/2012/594986]</w:t>
      </w:r>
    </w:p>
    <w:p w14:paraId="78AC0EF7"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7 </w:t>
      </w:r>
      <w:r w:rsidRPr="00C63E3F">
        <w:rPr>
          <w:rFonts w:ascii="Book Antiqua" w:eastAsia="宋体" w:hAnsi="Book Antiqua" w:cs="宋体"/>
          <w:b/>
          <w:bCs/>
          <w:sz w:val="24"/>
          <w:szCs w:val="24"/>
          <w:lang w:val="en-US" w:eastAsia="zh-CN"/>
        </w:rPr>
        <w:t>Maharshak N</w:t>
      </w:r>
      <w:r w:rsidRPr="00C63E3F">
        <w:rPr>
          <w:rFonts w:ascii="Book Antiqua" w:eastAsia="宋体" w:hAnsi="Book Antiqua" w:cs="宋体"/>
          <w:sz w:val="24"/>
          <w:szCs w:val="24"/>
          <w:lang w:val="en-US" w:eastAsia="zh-CN"/>
        </w:rPr>
        <w:t>, Halfon P, Deutsch V, Peretz H, Berliner S, Fishman S, Zelber-Sagi S, Rozovski U, Leshno M, Oren R. Increased fibrosis progression rates in hepatitis C patients carrying the prothrombin G20210A mutation. </w:t>
      </w:r>
      <w:r w:rsidRPr="00C63E3F">
        <w:rPr>
          <w:rFonts w:ascii="Book Antiqua" w:eastAsia="宋体" w:hAnsi="Book Antiqua" w:cs="宋体"/>
          <w:i/>
          <w:iCs/>
          <w:sz w:val="24"/>
          <w:szCs w:val="24"/>
          <w:lang w:val="en-US" w:eastAsia="zh-CN"/>
        </w:rPr>
        <w:t>World J Gastroenterol</w:t>
      </w:r>
      <w:r w:rsidRPr="00C63E3F">
        <w:rPr>
          <w:rFonts w:ascii="Book Antiqua" w:eastAsia="宋体" w:hAnsi="Book Antiqua" w:cs="宋体"/>
          <w:sz w:val="24"/>
          <w:szCs w:val="24"/>
          <w:lang w:val="en-US" w:eastAsia="zh-CN"/>
        </w:rPr>
        <w:t> 2011; </w:t>
      </w:r>
      <w:r w:rsidRPr="00C63E3F">
        <w:rPr>
          <w:rFonts w:ascii="Book Antiqua" w:eastAsia="宋体" w:hAnsi="Book Antiqua" w:cs="宋体"/>
          <w:b/>
          <w:bCs/>
          <w:sz w:val="24"/>
          <w:szCs w:val="24"/>
          <w:lang w:val="en-US" w:eastAsia="zh-CN"/>
        </w:rPr>
        <w:t>17</w:t>
      </w:r>
      <w:r w:rsidRPr="00C63E3F">
        <w:rPr>
          <w:rFonts w:ascii="Book Antiqua" w:eastAsia="宋体" w:hAnsi="Book Antiqua" w:cs="宋体"/>
          <w:sz w:val="24"/>
          <w:szCs w:val="24"/>
          <w:lang w:val="en-US" w:eastAsia="zh-CN"/>
        </w:rPr>
        <w:t>: 5007-5013 [PMID: 22174551 DOI: 10.3748/wjg.v17.i45.5007]</w:t>
      </w:r>
    </w:p>
    <w:p w14:paraId="7BC72159"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8 </w:t>
      </w:r>
      <w:r w:rsidRPr="00C63E3F">
        <w:rPr>
          <w:rFonts w:ascii="Book Antiqua" w:eastAsia="宋体" w:hAnsi="Book Antiqua" w:cs="宋体"/>
          <w:b/>
          <w:bCs/>
          <w:sz w:val="24"/>
          <w:szCs w:val="24"/>
          <w:lang w:val="en-US" w:eastAsia="zh-CN"/>
        </w:rPr>
        <w:t>Gialluisi A</w:t>
      </w:r>
      <w:r w:rsidRPr="00C63E3F">
        <w:rPr>
          <w:rFonts w:ascii="Book Antiqua" w:eastAsia="宋体" w:hAnsi="Book Antiqua" w:cs="宋体"/>
          <w:sz w:val="24"/>
          <w:szCs w:val="24"/>
          <w:lang w:val="en-US" w:eastAsia="zh-CN"/>
        </w:rPr>
        <w:t>, Incollu S, Pippucci T, Lepori MB, Zappu A, Loudianos G, Romeo G. The homozygosity index (HI) approach reveals high allele frequency for Wilson disease in the Sardinian population. </w:t>
      </w:r>
      <w:r w:rsidRPr="00C63E3F">
        <w:rPr>
          <w:rFonts w:ascii="Book Antiqua" w:eastAsia="宋体" w:hAnsi="Book Antiqua" w:cs="宋体"/>
          <w:i/>
          <w:iCs/>
          <w:sz w:val="24"/>
          <w:szCs w:val="24"/>
          <w:lang w:val="en-US" w:eastAsia="zh-CN"/>
        </w:rPr>
        <w:t>Eur J Hum Genet</w:t>
      </w:r>
      <w:r w:rsidRPr="00C63E3F">
        <w:rPr>
          <w:rFonts w:ascii="Book Antiqua" w:eastAsia="宋体" w:hAnsi="Book Antiqua" w:cs="宋体"/>
          <w:sz w:val="24"/>
          <w:szCs w:val="24"/>
          <w:lang w:val="en-US" w:eastAsia="zh-CN"/>
        </w:rPr>
        <w:t> 2013; </w:t>
      </w:r>
      <w:r w:rsidRPr="00C63E3F">
        <w:rPr>
          <w:rFonts w:ascii="Book Antiqua" w:eastAsia="宋体" w:hAnsi="Book Antiqua" w:cs="宋体"/>
          <w:b/>
          <w:bCs/>
          <w:sz w:val="24"/>
          <w:szCs w:val="24"/>
          <w:lang w:val="en-US" w:eastAsia="zh-CN"/>
        </w:rPr>
        <w:t>21</w:t>
      </w:r>
      <w:r w:rsidRPr="00C63E3F">
        <w:rPr>
          <w:rFonts w:ascii="Book Antiqua" w:eastAsia="宋体" w:hAnsi="Book Antiqua" w:cs="宋体"/>
          <w:sz w:val="24"/>
          <w:szCs w:val="24"/>
          <w:lang w:val="en-US" w:eastAsia="zh-CN"/>
        </w:rPr>
        <w:t>: 1308-1311 [PMID: 23486543 DOI: 10.1038/ejhg.2013.43]</w:t>
      </w:r>
    </w:p>
    <w:p w14:paraId="2157563C"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9 </w:t>
      </w:r>
      <w:r w:rsidRPr="00C63E3F">
        <w:rPr>
          <w:rFonts w:ascii="Book Antiqua" w:eastAsia="宋体" w:hAnsi="Book Antiqua" w:cs="宋体"/>
          <w:b/>
          <w:bCs/>
          <w:sz w:val="24"/>
          <w:szCs w:val="24"/>
          <w:lang w:val="en-US" w:eastAsia="zh-CN"/>
        </w:rPr>
        <w:t>Wong TY</w:t>
      </w:r>
      <w:r w:rsidRPr="00C63E3F">
        <w:rPr>
          <w:rFonts w:ascii="Book Antiqua" w:eastAsia="宋体" w:hAnsi="Book Antiqua" w:cs="宋体"/>
          <w:sz w:val="24"/>
          <w:szCs w:val="24"/>
          <w:lang w:val="en-US" w:eastAsia="zh-CN"/>
        </w:rPr>
        <w:t>, Poon P, Szeto CC, Chan JC, Li PK. Association of plasminogen activator inhibitor-1 4G/4G genotype and type 2 diabetic nephropathy in Chinese patients. </w:t>
      </w:r>
      <w:r w:rsidRPr="00C63E3F">
        <w:rPr>
          <w:rFonts w:ascii="Book Antiqua" w:eastAsia="宋体" w:hAnsi="Book Antiqua" w:cs="宋体"/>
          <w:i/>
          <w:iCs/>
          <w:sz w:val="24"/>
          <w:szCs w:val="24"/>
          <w:lang w:val="en-US" w:eastAsia="zh-CN"/>
        </w:rPr>
        <w:t>Kidney Int</w:t>
      </w:r>
      <w:r w:rsidRPr="00C63E3F">
        <w:rPr>
          <w:rFonts w:ascii="Book Antiqua" w:eastAsia="宋体" w:hAnsi="Book Antiqua" w:cs="宋体"/>
          <w:sz w:val="24"/>
          <w:szCs w:val="24"/>
          <w:lang w:val="en-US" w:eastAsia="zh-CN"/>
        </w:rPr>
        <w:t> 2000; </w:t>
      </w:r>
      <w:r w:rsidRPr="00C63E3F">
        <w:rPr>
          <w:rFonts w:ascii="Book Antiqua" w:eastAsia="宋体" w:hAnsi="Book Antiqua" w:cs="宋体"/>
          <w:b/>
          <w:bCs/>
          <w:sz w:val="24"/>
          <w:szCs w:val="24"/>
          <w:lang w:val="en-US" w:eastAsia="zh-CN"/>
        </w:rPr>
        <w:t>57</w:t>
      </w:r>
      <w:r w:rsidRPr="00C63E3F">
        <w:rPr>
          <w:rFonts w:ascii="Book Antiqua" w:eastAsia="宋体" w:hAnsi="Book Antiqua" w:cs="宋体"/>
          <w:sz w:val="24"/>
          <w:szCs w:val="24"/>
          <w:lang w:val="en-US" w:eastAsia="zh-CN"/>
        </w:rPr>
        <w:t>: 632-638 [PMID: 10652041 DOI: 10.1046/j.1523-1755.2000.t01-1-00884.x]</w:t>
      </w:r>
    </w:p>
    <w:p w14:paraId="2E93FBDD"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10 </w:t>
      </w:r>
      <w:r w:rsidRPr="00C63E3F">
        <w:rPr>
          <w:rFonts w:ascii="Book Antiqua" w:eastAsia="宋体" w:hAnsi="Book Antiqua" w:cs="宋体"/>
          <w:b/>
          <w:bCs/>
          <w:sz w:val="24"/>
          <w:szCs w:val="24"/>
          <w:lang w:val="en-US" w:eastAsia="zh-CN"/>
        </w:rPr>
        <w:t>Zhang LP</w:t>
      </w:r>
      <w:r w:rsidRPr="00C63E3F">
        <w:rPr>
          <w:rFonts w:ascii="Book Antiqua" w:eastAsia="宋体" w:hAnsi="Book Antiqua" w:cs="宋体"/>
          <w:sz w:val="24"/>
          <w:szCs w:val="24"/>
          <w:lang w:val="en-US" w:eastAsia="zh-CN"/>
        </w:rPr>
        <w:t>, Takahara T, Yata Y, Furui K, Jin B, Kawada N, Watanabe A. Increased expression of plasminogen activator and plasminogen activator inhibitor during liver fibrogenesis of rats: role of stellate cells. </w:t>
      </w:r>
      <w:r w:rsidRPr="00C63E3F">
        <w:rPr>
          <w:rFonts w:ascii="Book Antiqua" w:eastAsia="宋体" w:hAnsi="Book Antiqua" w:cs="宋体"/>
          <w:i/>
          <w:iCs/>
          <w:sz w:val="24"/>
          <w:szCs w:val="24"/>
          <w:lang w:val="en-US" w:eastAsia="zh-CN"/>
        </w:rPr>
        <w:t>J Hepatol</w:t>
      </w:r>
      <w:r w:rsidRPr="00C63E3F">
        <w:rPr>
          <w:rFonts w:ascii="Book Antiqua" w:eastAsia="宋体" w:hAnsi="Book Antiqua" w:cs="宋体"/>
          <w:sz w:val="24"/>
          <w:szCs w:val="24"/>
          <w:lang w:val="en-US" w:eastAsia="zh-CN"/>
        </w:rPr>
        <w:t> 1999; </w:t>
      </w:r>
      <w:r w:rsidRPr="00C63E3F">
        <w:rPr>
          <w:rFonts w:ascii="Book Antiqua" w:eastAsia="宋体" w:hAnsi="Book Antiqua" w:cs="宋体"/>
          <w:b/>
          <w:bCs/>
          <w:sz w:val="24"/>
          <w:szCs w:val="24"/>
          <w:lang w:val="en-US" w:eastAsia="zh-CN"/>
        </w:rPr>
        <w:t>31</w:t>
      </w:r>
      <w:r w:rsidRPr="00C63E3F">
        <w:rPr>
          <w:rFonts w:ascii="Book Antiqua" w:eastAsia="宋体" w:hAnsi="Book Antiqua" w:cs="宋体"/>
          <w:sz w:val="24"/>
          <w:szCs w:val="24"/>
          <w:lang w:val="en-US" w:eastAsia="zh-CN"/>
        </w:rPr>
        <w:t>: 703-711 [PMID: 10551395 DOI: 10.1016/s0168-8278(99)80351-1]</w:t>
      </w:r>
    </w:p>
    <w:p w14:paraId="7E320C5F"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11 </w:t>
      </w:r>
      <w:r w:rsidRPr="00C63E3F">
        <w:rPr>
          <w:rFonts w:ascii="Book Antiqua" w:eastAsia="宋体" w:hAnsi="Book Antiqua" w:cs="宋体"/>
          <w:b/>
          <w:bCs/>
          <w:sz w:val="24"/>
          <w:szCs w:val="24"/>
          <w:lang w:val="en-US" w:eastAsia="zh-CN"/>
        </w:rPr>
        <w:t>AbdulHameed MD</w:t>
      </w:r>
      <w:r w:rsidRPr="00C63E3F">
        <w:rPr>
          <w:rFonts w:ascii="Book Antiqua" w:eastAsia="宋体" w:hAnsi="Book Antiqua" w:cs="宋体"/>
          <w:sz w:val="24"/>
          <w:szCs w:val="24"/>
          <w:lang w:val="en-US" w:eastAsia="zh-CN"/>
        </w:rPr>
        <w:t>, Tawa GJ, Kumar K, Ippolito DL, Lewis JA, Stallings JD, Wallqvist A. Systems level analysis and identification of pathways and networks associated with liver fibrosis. </w:t>
      </w:r>
      <w:r w:rsidRPr="00C63E3F">
        <w:rPr>
          <w:rFonts w:ascii="Book Antiqua" w:eastAsia="宋体" w:hAnsi="Book Antiqua" w:cs="宋体"/>
          <w:i/>
          <w:iCs/>
          <w:sz w:val="24"/>
          <w:szCs w:val="24"/>
          <w:lang w:val="en-US" w:eastAsia="zh-CN"/>
        </w:rPr>
        <w:t>PLoS One</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9</w:t>
      </w:r>
      <w:r w:rsidRPr="00C63E3F">
        <w:rPr>
          <w:rFonts w:ascii="Book Antiqua" w:eastAsia="宋体" w:hAnsi="Book Antiqua" w:cs="宋体"/>
          <w:sz w:val="24"/>
          <w:szCs w:val="24"/>
          <w:lang w:val="en-US" w:eastAsia="zh-CN"/>
        </w:rPr>
        <w:t>: e112193 [PMID: 25380136 DOI: 10.1371/journal.pone.0112193]</w:t>
      </w:r>
    </w:p>
    <w:p w14:paraId="61119677"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12 </w:t>
      </w:r>
      <w:r w:rsidRPr="00C63E3F">
        <w:rPr>
          <w:rFonts w:ascii="Book Antiqua" w:eastAsia="宋体" w:hAnsi="Book Antiqua" w:cs="宋体"/>
          <w:b/>
          <w:bCs/>
          <w:sz w:val="24"/>
          <w:szCs w:val="24"/>
          <w:lang w:val="en-US" w:eastAsia="zh-CN"/>
        </w:rPr>
        <w:t>Liu J</w:t>
      </w:r>
      <w:r w:rsidRPr="00C63E3F">
        <w:rPr>
          <w:rFonts w:ascii="Book Antiqua" w:eastAsia="宋体" w:hAnsi="Book Antiqua" w:cs="宋体"/>
          <w:sz w:val="24"/>
          <w:szCs w:val="24"/>
          <w:lang w:val="en-US" w:eastAsia="zh-CN"/>
        </w:rPr>
        <w:t>. Ethanol and liver: recent insights into the mechanisms of ethanol-induced fatty liver. </w:t>
      </w:r>
      <w:r w:rsidRPr="00C63E3F">
        <w:rPr>
          <w:rFonts w:ascii="Book Antiqua" w:eastAsia="宋体" w:hAnsi="Book Antiqua" w:cs="宋体"/>
          <w:i/>
          <w:iCs/>
          <w:sz w:val="24"/>
          <w:szCs w:val="24"/>
          <w:lang w:val="en-US" w:eastAsia="zh-CN"/>
        </w:rPr>
        <w:t>World J Gastroenterol</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20</w:t>
      </w:r>
      <w:r w:rsidRPr="00C63E3F">
        <w:rPr>
          <w:rFonts w:ascii="Book Antiqua" w:eastAsia="宋体" w:hAnsi="Book Antiqua" w:cs="宋体"/>
          <w:sz w:val="24"/>
          <w:szCs w:val="24"/>
          <w:lang w:val="en-US" w:eastAsia="zh-CN"/>
        </w:rPr>
        <w:t>: 14672-14685 [PMID: 25356030 DOI: 10.3748/wjg.v20.i40.14672]</w:t>
      </w:r>
    </w:p>
    <w:p w14:paraId="7AC63A1B"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13 </w:t>
      </w:r>
      <w:r w:rsidRPr="00C63E3F">
        <w:rPr>
          <w:rFonts w:ascii="Book Antiqua" w:eastAsia="宋体" w:hAnsi="Book Antiqua" w:cs="宋体"/>
          <w:b/>
          <w:bCs/>
          <w:sz w:val="24"/>
          <w:szCs w:val="24"/>
          <w:lang w:val="en-US" w:eastAsia="zh-CN"/>
        </w:rPr>
        <w:t>Verrijken A</w:t>
      </w:r>
      <w:r w:rsidRPr="00C63E3F">
        <w:rPr>
          <w:rFonts w:ascii="Book Antiqua" w:eastAsia="宋体" w:hAnsi="Book Antiqua" w:cs="宋体"/>
          <w:sz w:val="24"/>
          <w:szCs w:val="24"/>
          <w:lang w:val="en-US" w:eastAsia="zh-CN"/>
        </w:rPr>
        <w:t>, Francque S, Mertens I, Prawitt J, Caron S, Hubens G, Van Marck E, Staels B, Michielsen P, Van Gaal L. Prothrombotic factors in histologically proven nonalcoholic fatty liver disease and nonalcoholic steatohepatitis. </w:t>
      </w:r>
      <w:r w:rsidRPr="00C63E3F">
        <w:rPr>
          <w:rFonts w:ascii="Book Antiqua" w:eastAsia="宋体" w:hAnsi="Book Antiqua" w:cs="宋体"/>
          <w:i/>
          <w:iCs/>
          <w:sz w:val="24"/>
          <w:szCs w:val="24"/>
          <w:lang w:val="en-US" w:eastAsia="zh-CN"/>
        </w:rPr>
        <w:t>Hepatology</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59</w:t>
      </w:r>
      <w:r w:rsidRPr="00C63E3F">
        <w:rPr>
          <w:rFonts w:ascii="Book Antiqua" w:eastAsia="宋体" w:hAnsi="Book Antiqua" w:cs="宋体"/>
          <w:sz w:val="24"/>
          <w:szCs w:val="24"/>
          <w:lang w:val="en-US" w:eastAsia="zh-CN"/>
        </w:rPr>
        <w:t>: 121-129 [PMID: 24375485 DOI: 10.1002/hep.26510]</w:t>
      </w:r>
    </w:p>
    <w:p w14:paraId="21B006B6"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 xml:space="preserve">14 </w:t>
      </w:r>
      <w:r w:rsidRPr="00C63E3F">
        <w:rPr>
          <w:rFonts w:ascii="Book Antiqua" w:eastAsia="宋体" w:hAnsi="Book Antiqua" w:cs="Times New Roman"/>
          <w:b/>
          <w:sz w:val="24"/>
          <w:szCs w:val="24"/>
          <w:lang w:val="en-US" w:eastAsia="fr-FR"/>
        </w:rPr>
        <w:t>Lee JH</w:t>
      </w:r>
      <w:r w:rsidRPr="00C63E3F">
        <w:rPr>
          <w:rFonts w:ascii="Book Antiqua" w:eastAsia="宋体" w:hAnsi="Book Antiqua" w:cs="Times New Roman"/>
          <w:sz w:val="24"/>
          <w:szCs w:val="24"/>
          <w:lang w:val="en-US" w:eastAsia="fr-FR"/>
        </w:rPr>
        <w:t>, Jang EJ, Seo HL, Ku SK, Lee JR, Shin SS, Park SD, Kim SC, Kim YW.</w:t>
      </w:r>
      <w:r w:rsidRPr="00C63E3F">
        <w:rPr>
          <w:rFonts w:ascii="Book Antiqua" w:eastAsia="宋体" w:hAnsi="Book Antiqua" w:cs="宋体"/>
          <w:sz w:val="24"/>
          <w:szCs w:val="24"/>
          <w:lang w:val="en-US" w:eastAsia="zh-CN"/>
        </w:rPr>
        <w:t xml:space="preserve"> Sauchinone attenuates liver fibrosis and hepatic stellate cell activation through TGF-β/Smad signaling pathway. </w:t>
      </w:r>
      <w:r w:rsidRPr="00C63E3F">
        <w:rPr>
          <w:rFonts w:ascii="Book Antiqua" w:eastAsia="宋体" w:hAnsi="Book Antiqua" w:cs="宋体"/>
          <w:i/>
          <w:iCs/>
          <w:sz w:val="24"/>
          <w:szCs w:val="24"/>
          <w:lang w:val="en-US" w:eastAsia="zh-CN"/>
        </w:rPr>
        <w:t>Chem Biol Interact</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224C</w:t>
      </w:r>
      <w:r w:rsidRPr="00C63E3F">
        <w:rPr>
          <w:rFonts w:ascii="Book Antiqua" w:eastAsia="宋体" w:hAnsi="Book Antiqua" w:cs="宋体"/>
          <w:sz w:val="24"/>
          <w:szCs w:val="24"/>
          <w:lang w:val="en-US" w:eastAsia="zh-CN"/>
        </w:rPr>
        <w:t>: 58-67 [PMID: 25451574 DOI: 10.1016/j.cbi.2014.10.005]</w:t>
      </w:r>
    </w:p>
    <w:p w14:paraId="78FE32FB"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15 </w:t>
      </w:r>
      <w:r w:rsidRPr="00C63E3F">
        <w:rPr>
          <w:rFonts w:ascii="Book Antiqua" w:eastAsia="宋体" w:hAnsi="Book Antiqua" w:cs="宋体"/>
          <w:b/>
          <w:bCs/>
          <w:sz w:val="24"/>
          <w:szCs w:val="24"/>
          <w:lang w:val="en-US" w:eastAsia="zh-CN"/>
        </w:rPr>
        <w:t>Wang S</w:t>
      </w:r>
      <w:r w:rsidRPr="00C63E3F">
        <w:rPr>
          <w:rFonts w:ascii="Book Antiqua" w:eastAsia="宋体" w:hAnsi="Book Antiqua" w:cs="宋体"/>
          <w:sz w:val="24"/>
          <w:szCs w:val="24"/>
          <w:lang w:val="en-US" w:eastAsia="zh-CN"/>
        </w:rPr>
        <w:t>, Zhang Z, Zhu X, Wu H, Gao H, Yang C. Effect of aldosterone and its antagonist on the expression of PAI-1 and TGF-β1 in rat hepatic stellate cells. </w:t>
      </w:r>
      <w:r w:rsidRPr="00C63E3F">
        <w:rPr>
          <w:rFonts w:ascii="Book Antiqua" w:eastAsia="宋体" w:hAnsi="Book Antiqua" w:cs="宋体"/>
          <w:i/>
          <w:iCs/>
          <w:sz w:val="24"/>
          <w:szCs w:val="24"/>
          <w:lang w:val="en-US" w:eastAsia="zh-CN"/>
        </w:rPr>
        <w:t>Int J Clin Exp Med</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7</w:t>
      </w:r>
      <w:r w:rsidRPr="00C63E3F">
        <w:rPr>
          <w:rFonts w:ascii="Book Antiqua" w:eastAsia="宋体" w:hAnsi="Book Antiqua" w:cs="宋体"/>
          <w:sz w:val="24"/>
          <w:szCs w:val="24"/>
          <w:lang w:val="en-US" w:eastAsia="zh-CN"/>
        </w:rPr>
        <w:t>: 4677-4685 [PMID: 25663965]</w:t>
      </w:r>
    </w:p>
    <w:p w14:paraId="4AF6B03C"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16 </w:t>
      </w:r>
      <w:r w:rsidRPr="00C63E3F">
        <w:rPr>
          <w:rFonts w:ascii="Book Antiqua" w:eastAsia="宋体" w:hAnsi="Book Antiqua" w:cs="宋体"/>
          <w:b/>
          <w:bCs/>
          <w:sz w:val="24"/>
          <w:szCs w:val="24"/>
          <w:lang w:val="en-US" w:eastAsia="zh-CN"/>
        </w:rPr>
        <w:t>Gracia-Sancho J</w:t>
      </w:r>
      <w:r w:rsidRPr="00C63E3F">
        <w:rPr>
          <w:rFonts w:ascii="Book Antiqua" w:eastAsia="宋体" w:hAnsi="Book Antiqua" w:cs="宋体"/>
          <w:sz w:val="24"/>
          <w:szCs w:val="24"/>
          <w:lang w:val="en-US" w:eastAsia="zh-CN"/>
        </w:rPr>
        <w:t>, Maeso-Díaz R, Fernández-Iglesias A, Navarro-Zornoza M, Bosch J. New cellular and molecular targets for the treatment of portal hypertension. </w:t>
      </w:r>
      <w:r w:rsidRPr="00C63E3F">
        <w:rPr>
          <w:rFonts w:ascii="Book Antiqua" w:eastAsia="宋体" w:hAnsi="Book Antiqua" w:cs="宋体"/>
          <w:i/>
          <w:iCs/>
          <w:sz w:val="24"/>
          <w:szCs w:val="24"/>
          <w:lang w:val="en-US" w:eastAsia="zh-CN"/>
        </w:rPr>
        <w:t>Hepatol Int</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9</w:t>
      </w:r>
      <w:r w:rsidRPr="00C63E3F">
        <w:rPr>
          <w:rFonts w:ascii="Book Antiqua" w:eastAsia="宋体" w:hAnsi="Book Antiqua" w:cs="宋体"/>
          <w:sz w:val="24"/>
          <w:szCs w:val="24"/>
          <w:lang w:val="en-US" w:eastAsia="zh-CN"/>
        </w:rPr>
        <w:t>: 183-191 [PMID: 25788198 DOI: 10.1007/s12072-015-9613-5]</w:t>
      </w:r>
    </w:p>
    <w:p w14:paraId="74D3BABF"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17 </w:t>
      </w:r>
      <w:r w:rsidRPr="00C63E3F">
        <w:rPr>
          <w:rFonts w:ascii="Book Antiqua" w:eastAsia="宋体" w:hAnsi="Book Antiqua" w:cs="宋体"/>
          <w:b/>
          <w:bCs/>
          <w:sz w:val="24"/>
          <w:szCs w:val="24"/>
          <w:lang w:val="en-US" w:eastAsia="zh-CN"/>
        </w:rPr>
        <w:t>Duong HT</w:t>
      </w:r>
      <w:r w:rsidRPr="00C63E3F">
        <w:rPr>
          <w:rFonts w:ascii="Book Antiqua" w:eastAsia="宋体" w:hAnsi="Book Antiqua" w:cs="宋体"/>
          <w:sz w:val="24"/>
          <w:szCs w:val="24"/>
          <w:lang w:val="en-US" w:eastAsia="zh-CN"/>
        </w:rPr>
        <w:t>, Dong Z, Su L, Boyer C, George J, Davis TP, Wang J. The use of nanoparticles to deliver nitric oxide to hepatic stellate cells for treating liver fibrosis and portal hypertension. </w:t>
      </w:r>
      <w:r w:rsidRPr="00C63E3F">
        <w:rPr>
          <w:rFonts w:ascii="Book Antiqua" w:eastAsia="宋体" w:hAnsi="Book Antiqua" w:cs="宋体"/>
          <w:i/>
          <w:iCs/>
          <w:sz w:val="24"/>
          <w:szCs w:val="24"/>
          <w:lang w:val="en-US" w:eastAsia="zh-CN"/>
        </w:rPr>
        <w:t>Small</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11</w:t>
      </w:r>
      <w:r w:rsidRPr="00C63E3F">
        <w:rPr>
          <w:rFonts w:ascii="Book Antiqua" w:eastAsia="宋体" w:hAnsi="Book Antiqua" w:cs="宋体"/>
          <w:sz w:val="24"/>
          <w:szCs w:val="24"/>
          <w:lang w:val="en-US" w:eastAsia="zh-CN"/>
        </w:rPr>
        <w:t>: 2291-2304 [PMID: 25641921 DOI: 10.1002/smll.201402870]</w:t>
      </w:r>
    </w:p>
    <w:p w14:paraId="79B02021"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18 </w:t>
      </w:r>
      <w:r w:rsidRPr="00C63E3F">
        <w:rPr>
          <w:rFonts w:ascii="Book Antiqua" w:eastAsia="宋体" w:hAnsi="Book Antiqua" w:cs="宋体"/>
          <w:b/>
          <w:bCs/>
          <w:sz w:val="24"/>
          <w:szCs w:val="24"/>
          <w:lang w:val="en-US" w:eastAsia="zh-CN"/>
        </w:rPr>
        <w:t>Devlin AM</w:t>
      </w:r>
      <w:r w:rsidRPr="00C63E3F">
        <w:rPr>
          <w:rFonts w:ascii="Book Antiqua" w:eastAsia="宋体" w:hAnsi="Book Antiqua" w:cs="宋体"/>
          <w:sz w:val="24"/>
          <w:szCs w:val="24"/>
          <w:lang w:val="en-US" w:eastAsia="zh-CN"/>
        </w:rPr>
        <w:t>, Clarke R, Birks J, Evans JG, Halsted CH. Interactions among polymorphisms in folate-metabolizing genes and serum total homocysteine concentrations in a healthy elderly population. </w:t>
      </w:r>
      <w:r w:rsidRPr="00C63E3F">
        <w:rPr>
          <w:rFonts w:ascii="Book Antiqua" w:eastAsia="宋体" w:hAnsi="Book Antiqua" w:cs="宋体"/>
          <w:i/>
          <w:iCs/>
          <w:sz w:val="24"/>
          <w:szCs w:val="24"/>
          <w:lang w:val="en-US" w:eastAsia="zh-CN"/>
        </w:rPr>
        <w:t>Am J Clin Nutr</w:t>
      </w:r>
      <w:r w:rsidRPr="00C63E3F">
        <w:rPr>
          <w:rFonts w:ascii="Book Antiqua" w:eastAsia="宋体" w:hAnsi="Book Antiqua" w:cs="宋体"/>
          <w:sz w:val="24"/>
          <w:szCs w:val="24"/>
          <w:lang w:val="en-US" w:eastAsia="zh-CN"/>
        </w:rPr>
        <w:t> 2006; </w:t>
      </w:r>
      <w:r w:rsidRPr="00C63E3F">
        <w:rPr>
          <w:rFonts w:ascii="Book Antiqua" w:eastAsia="宋体" w:hAnsi="Book Antiqua" w:cs="宋体"/>
          <w:b/>
          <w:bCs/>
          <w:sz w:val="24"/>
          <w:szCs w:val="24"/>
          <w:lang w:val="en-US" w:eastAsia="zh-CN"/>
        </w:rPr>
        <w:t>83</w:t>
      </w:r>
      <w:r w:rsidRPr="00C63E3F">
        <w:rPr>
          <w:rFonts w:ascii="Book Antiqua" w:eastAsia="宋体" w:hAnsi="Book Antiqua" w:cs="宋体"/>
          <w:sz w:val="24"/>
          <w:szCs w:val="24"/>
          <w:lang w:val="en-US" w:eastAsia="zh-CN"/>
        </w:rPr>
        <w:t>: 708-713 [PMID: 16522921]</w:t>
      </w:r>
    </w:p>
    <w:p w14:paraId="74CD7DCF"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19 </w:t>
      </w:r>
      <w:r w:rsidRPr="00C63E3F">
        <w:rPr>
          <w:rFonts w:ascii="Book Antiqua" w:eastAsia="宋体" w:hAnsi="Book Antiqua" w:cs="宋体"/>
          <w:b/>
          <w:bCs/>
          <w:sz w:val="24"/>
          <w:szCs w:val="24"/>
          <w:lang w:val="en-US" w:eastAsia="zh-CN"/>
        </w:rPr>
        <w:t>Adinolfi LE</w:t>
      </w:r>
      <w:r w:rsidRPr="00C63E3F">
        <w:rPr>
          <w:rFonts w:ascii="Book Antiqua" w:eastAsia="宋体" w:hAnsi="Book Antiqua" w:cs="宋体"/>
          <w:sz w:val="24"/>
          <w:szCs w:val="24"/>
          <w:lang w:val="en-US" w:eastAsia="zh-CN"/>
        </w:rPr>
        <w:t>, Ingrosso D, Cesaro G, Cimmino A, D'Antò M, Capasso R, Zappia V, Ruggiero G. Hyperhomocysteinemia and the MTHFR C677T polymorphism promote steatosis and fibrosis in chronic hepatitis C patients. </w:t>
      </w:r>
      <w:r w:rsidRPr="00C63E3F">
        <w:rPr>
          <w:rFonts w:ascii="Book Antiqua" w:eastAsia="宋体" w:hAnsi="Book Antiqua" w:cs="宋体"/>
          <w:i/>
          <w:iCs/>
          <w:sz w:val="24"/>
          <w:szCs w:val="24"/>
          <w:lang w:val="en-US" w:eastAsia="zh-CN"/>
        </w:rPr>
        <w:t>Hepatology</w:t>
      </w:r>
      <w:r w:rsidRPr="00C63E3F">
        <w:rPr>
          <w:rFonts w:ascii="Book Antiqua" w:eastAsia="宋体" w:hAnsi="Book Antiqua" w:cs="宋体"/>
          <w:sz w:val="24"/>
          <w:szCs w:val="24"/>
          <w:lang w:val="en-US" w:eastAsia="zh-CN"/>
        </w:rPr>
        <w:t> 2005; </w:t>
      </w:r>
      <w:r w:rsidRPr="00C63E3F">
        <w:rPr>
          <w:rFonts w:ascii="Book Antiqua" w:eastAsia="宋体" w:hAnsi="Book Antiqua" w:cs="宋体"/>
          <w:b/>
          <w:bCs/>
          <w:sz w:val="24"/>
          <w:szCs w:val="24"/>
          <w:lang w:val="en-US" w:eastAsia="zh-CN"/>
        </w:rPr>
        <w:t>41</w:t>
      </w:r>
      <w:r w:rsidRPr="00C63E3F">
        <w:rPr>
          <w:rFonts w:ascii="Book Antiqua" w:eastAsia="宋体" w:hAnsi="Book Antiqua" w:cs="宋体"/>
          <w:sz w:val="24"/>
          <w:szCs w:val="24"/>
          <w:lang w:val="en-US" w:eastAsia="zh-CN"/>
        </w:rPr>
        <w:t>: 995-1003 [PMID: 15834927]</w:t>
      </w:r>
    </w:p>
    <w:p w14:paraId="0A6056BA"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20 </w:t>
      </w:r>
      <w:r w:rsidRPr="00C63E3F">
        <w:rPr>
          <w:rFonts w:ascii="Book Antiqua" w:eastAsia="宋体" w:hAnsi="Book Antiqua" w:cs="宋体"/>
          <w:b/>
          <w:bCs/>
          <w:sz w:val="24"/>
          <w:szCs w:val="24"/>
          <w:lang w:val="en-US" w:eastAsia="zh-CN"/>
        </w:rPr>
        <w:t>Ertl T</w:t>
      </w:r>
      <w:r w:rsidRPr="00C63E3F">
        <w:rPr>
          <w:rFonts w:ascii="Book Antiqua" w:eastAsia="宋体" w:hAnsi="Book Antiqua" w:cs="宋体"/>
          <w:sz w:val="24"/>
          <w:szCs w:val="24"/>
          <w:lang w:val="en-US" w:eastAsia="zh-CN"/>
        </w:rPr>
        <w:t>, Sulyok E, Ezer E, Sárkány I, Thurzó V, Csaba IF. The influence of metoclopramide on the composition of human breast milk. </w:t>
      </w:r>
      <w:r w:rsidRPr="00C63E3F">
        <w:rPr>
          <w:rFonts w:ascii="Book Antiqua" w:eastAsia="宋体" w:hAnsi="Book Antiqua" w:cs="宋体"/>
          <w:i/>
          <w:iCs/>
          <w:sz w:val="24"/>
          <w:szCs w:val="24"/>
          <w:lang w:val="en-US" w:eastAsia="zh-CN"/>
        </w:rPr>
        <w:t>Acta Paediatr Hung</w:t>
      </w:r>
      <w:r w:rsidRPr="00C63E3F">
        <w:rPr>
          <w:rFonts w:ascii="Book Antiqua" w:eastAsia="宋体" w:hAnsi="Book Antiqua" w:cs="宋体"/>
          <w:sz w:val="24"/>
          <w:szCs w:val="24"/>
          <w:lang w:val="en-US" w:eastAsia="zh-CN"/>
        </w:rPr>
        <w:t> 1991; </w:t>
      </w:r>
      <w:r w:rsidRPr="00C63E3F">
        <w:rPr>
          <w:rFonts w:ascii="Book Antiqua" w:eastAsia="宋体" w:hAnsi="Book Antiqua" w:cs="宋体"/>
          <w:b/>
          <w:bCs/>
          <w:sz w:val="24"/>
          <w:szCs w:val="24"/>
          <w:lang w:val="en-US" w:eastAsia="zh-CN"/>
        </w:rPr>
        <w:t>31</w:t>
      </w:r>
      <w:r w:rsidRPr="00C63E3F">
        <w:rPr>
          <w:rFonts w:ascii="Book Antiqua" w:eastAsia="宋体" w:hAnsi="Book Antiqua" w:cs="宋体"/>
          <w:sz w:val="24"/>
          <w:szCs w:val="24"/>
          <w:lang w:val="en-US" w:eastAsia="zh-CN"/>
        </w:rPr>
        <w:t>: 415-422 [PMID: 1790024]</w:t>
      </w:r>
    </w:p>
    <w:p w14:paraId="2CEBE008"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21 </w:t>
      </w:r>
      <w:r w:rsidRPr="00C63E3F">
        <w:rPr>
          <w:rFonts w:ascii="Book Antiqua" w:eastAsia="宋体" w:hAnsi="Book Antiqua" w:cs="宋体"/>
          <w:b/>
          <w:bCs/>
          <w:sz w:val="24"/>
          <w:szCs w:val="24"/>
          <w:lang w:val="en-US" w:eastAsia="zh-CN"/>
        </w:rPr>
        <w:t>Baszczuk A</w:t>
      </w:r>
      <w:r w:rsidRPr="00C63E3F">
        <w:rPr>
          <w:rFonts w:ascii="Book Antiqua" w:eastAsia="宋体" w:hAnsi="Book Antiqua" w:cs="宋体"/>
          <w:sz w:val="24"/>
          <w:szCs w:val="24"/>
          <w:lang w:val="en-US" w:eastAsia="zh-CN"/>
        </w:rPr>
        <w:t>, Kopczyński Z. [Hyperhomocysteinemia in patients with cardiovascular disease]. </w:t>
      </w:r>
      <w:r w:rsidRPr="00C63E3F">
        <w:rPr>
          <w:rFonts w:ascii="Book Antiqua" w:eastAsia="宋体" w:hAnsi="Book Antiqua" w:cs="宋体"/>
          <w:i/>
          <w:iCs/>
          <w:sz w:val="24"/>
          <w:szCs w:val="24"/>
          <w:lang w:val="en-US" w:eastAsia="zh-CN"/>
        </w:rPr>
        <w:t xml:space="preserve">Postepy Hig Med Dosw </w:t>
      </w:r>
      <w:r w:rsidRPr="00C63E3F">
        <w:rPr>
          <w:rFonts w:ascii="Book Antiqua" w:eastAsia="宋体" w:hAnsi="Book Antiqua" w:cs="宋体"/>
          <w:iCs/>
          <w:sz w:val="24"/>
          <w:szCs w:val="24"/>
          <w:lang w:val="en-US" w:eastAsia="zh-CN"/>
        </w:rPr>
        <w:t>(Online)</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68</w:t>
      </w:r>
      <w:r w:rsidRPr="00C63E3F">
        <w:rPr>
          <w:rFonts w:ascii="Book Antiqua" w:eastAsia="宋体" w:hAnsi="Book Antiqua" w:cs="宋体"/>
          <w:sz w:val="24"/>
          <w:szCs w:val="24"/>
          <w:lang w:val="en-US" w:eastAsia="zh-CN"/>
        </w:rPr>
        <w:t>: 579-589 [PMID: 24864108 DOI: 10.5604/17322693.1102340]</w:t>
      </w:r>
    </w:p>
    <w:p w14:paraId="6FFE712A"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22 </w:t>
      </w:r>
      <w:r w:rsidRPr="00C63E3F">
        <w:rPr>
          <w:rFonts w:ascii="Book Antiqua" w:eastAsia="宋体" w:hAnsi="Book Antiqua" w:cs="宋体"/>
          <w:b/>
          <w:bCs/>
          <w:sz w:val="24"/>
          <w:szCs w:val="24"/>
          <w:lang w:val="en-US" w:eastAsia="zh-CN"/>
        </w:rPr>
        <w:t>Ventura P</w:t>
      </w:r>
      <w:r w:rsidRPr="00C63E3F">
        <w:rPr>
          <w:rFonts w:ascii="Book Antiqua" w:eastAsia="宋体" w:hAnsi="Book Antiqua" w:cs="宋体"/>
          <w:sz w:val="24"/>
          <w:szCs w:val="24"/>
          <w:lang w:val="en-US" w:eastAsia="zh-CN"/>
        </w:rPr>
        <w:t>, Rosa MC, Abbati G, Marchini S, Grandone E, Vergura P, Tremosini S, Zeneroli ML. Hyperhomocysteinaemia in chronic liver diseases: role of disease stage, vitamin status and methylenetetrahydrofolate reductase genetics. </w:t>
      </w:r>
      <w:r w:rsidRPr="00C63E3F">
        <w:rPr>
          <w:rFonts w:ascii="Book Antiqua" w:eastAsia="宋体" w:hAnsi="Book Antiqua" w:cs="宋体"/>
          <w:i/>
          <w:iCs/>
          <w:sz w:val="24"/>
          <w:szCs w:val="24"/>
          <w:lang w:val="en-US" w:eastAsia="zh-CN"/>
        </w:rPr>
        <w:t>Liver Int</w:t>
      </w:r>
      <w:r w:rsidRPr="00C63E3F">
        <w:rPr>
          <w:rFonts w:ascii="Book Antiqua" w:eastAsia="宋体" w:hAnsi="Book Antiqua" w:cs="宋体"/>
          <w:sz w:val="24"/>
          <w:szCs w:val="24"/>
          <w:lang w:val="en-US" w:eastAsia="zh-CN"/>
        </w:rPr>
        <w:t> 2005; </w:t>
      </w:r>
      <w:r w:rsidRPr="00C63E3F">
        <w:rPr>
          <w:rFonts w:ascii="Book Antiqua" w:eastAsia="宋体" w:hAnsi="Book Antiqua" w:cs="宋体"/>
          <w:b/>
          <w:bCs/>
          <w:sz w:val="24"/>
          <w:szCs w:val="24"/>
          <w:lang w:val="en-US" w:eastAsia="zh-CN"/>
        </w:rPr>
        <w:t>25</w:t>
      </w:r>
      <w:r w:rsidRPr="00C63E3F">
        <w:rPr>
          <w:rFonts w:ascii="Book Antiqua" w:eastAsia="宋体" w:hAnsi="Book Antiqua" w:cs="宋体"/>
          <w:sz w:val="24"/>
          <w:szCs w:val="24"/>
          <w:lang w:val="en-US" w:eastAsia="zh-CN"/>
        </w:rPr>
        <w:t>: 49-56 [PMID: 15698398 DOI: 10.1111/j.1478-3231.2005.01042.x]</w:t>
      </w:r>
    </w:p>
    <w:p w14:paraId="0F48456E"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23 </w:t>
      </w:r>
      <w:r w:rsidRPr="00C63E3F">
        <w:rPr>
          <w:rFonts w:ascii="Book Antiqua" w:eastAsia="宋体" w:hAnsi="Book Antiqua" w:cs="宋体"/>
          <w:b/>
          <w:bCs/>
          <w:sz w:val="24"/>
          <w:szCs w:val="24"/>
          <w:lang w:val="en-US" w:eastAsia="zh-CN"/>
        </w:rPr>
        <w:t>Cheng Z</w:t>
      </w:r>
      <w:r w:rsidRPr="00C63E3F">
        <w:rPr>
          <w:rFonts w:ascii="Book Antiqua" w:eastAsia="宋体" w:hAnsi="Book Antiqua" w:cs="宋体"/>
          <w:sz w:val="24"/>
          <w:szCs w:val="24"/>
          <w:lang w:val="en-US" w:eastAsia="zh-CN"/>
        </w:rPr>
        <w:t>, Jiang X, Pansuria M, Fang P, Mai J, Mallilankaraman K, Gandhirajan RK, Eguchi S, Scalia R, Madesh M, Yang X, Wang H. Hyperhomocysteinemia and hyperglycemia induce and potentiate endothelial dysfunction via μ-calpain activation. </w:t>
      </w:r>
      <w:r w:rsidRPr="00C63E3F">
        <w:rPr>
          <w:rFonts w:ascii="Book Antiqua" w:eastAsia="宋体" w:hAnsi="Book Antiqua" w:cs="宋体"/>
          <w:i/>
          <w:iCs/>
          <w:sz w:val="24"/>
          <w:szCs w:val="24"/>
          <w:lang w:val="en-US" w:eastAsia="zh-CN"/>
        </w:rPr>
        <w:t>Diabetes</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64</w:t>
      </w:r>
      <w:r w:rsidRPr="00C63E3F">
        <w:rPr>
          <w:rFonts w:ascii="Book Antiqua" w:eastAsia="宋体" w:hAnsi="Book Antiqua" w:cs="宋体"/>
          <w:sz w:val="24"/>
          <w:szCs w:val="24"/>
          <w:lang w:val="en-US" w:eastAsia="zh-CN"/>
        </w:rPr>
        <w:t>: 947-959 [PMID: 25352635 DOI: 10.2337/db14-0784]</w:t>
      </w:r>
    </w:p>
    <w:p w14:paraId="629C5976"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24 </w:t>
      </w:r>
      <w:r w:rsidRPr="00C63E3F">
        <w:rPr>
          <w:rFonts w:ascii="Book Antiqua" w:eastAsia="宋体" w:hAnsi="Book Antiqua" w:cs="宋体"/>
          <w:b/>
          <w:bCs/>
          <w:sz w:val="24"/>
          <w:szCs w:val="24"/>
          <w:lang w:val="en-US" w:eastAsia="zh-CN"/>
        </w:rPr>
        <w:t>Baszczuk A</w:t>
      </w:r>
      <w:r w:rsidRPr="00C63E3F">
        <w:rPr>
          <w:rFonts w:ascii="Book Antiqua" w:eastAsia="宋体" w:hAnsi="Book Antiqua" w:cs="宋体"/>
          <w:sz w:val="24"/>
          <w:szCs w:val="24"/>
          <w:lang w:val="en-US" w:eastAsia="zh-CN"/>
        </w:rPr>
        <w:t>, Kopczyński Z, Kopczyński J, Cymerys M, Thielemann A, Bielawska L, Banaszewska A. Impact of administration of folic acid on selected indicators of inflammation in patients with primary arterial hypertension. </w:t>
      </w:r>
      <w:r w:rsidRPr="00C63E3F">
        <w:rPr>
          <w:rFonts w:ascii="Book Antiqua" w:eastAsia="宋体" w:hAnsi="Book Antiqua" w:cs="宋体"/>
          <w:i/>
          <w:iCs/>
          <w:sz w:val="24"/>
          <w:szCs w:val="24"/>
          <w:lang w:val="en-US" w:eastAsia="zh-CN"/>
        </w:rPr>
        <w:t xml:space="preserve">Postepy Hig Med Dosw </w:t>
      </w:r>
      <w:r w:rsidRPr="00C63E3F">
        <w:rPr>
          <w:rFonts w:ascii="Book Antiqua" w:eastAsia="宋体" w:hAnsi="Book Antiqua" w:cs="宋体"/>
          <w:iCs/>
          <w:sz w:val="24"/>
          <w:szCs w:val="24"/>
          <w:lang w:val="en-US" w:eastAsia="zh-CN"/>
        </w:rPr>
        <w:t>(Online)</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69</w:t>
      </w:r>
      <w:r w:rsidRPr="00C63E3F">
        <w:rPr>
          <w:rFonts w:ascii="Book Antiqua" w:eastAsia="宋体" w:hAnsi="Book Antiqua" w:cs="宋体"/>
          <w:sz w:val="24"/>
          <w:szCs w:val="24"/>
          <w:lang w:val="en-US" w:eastAsia="zh-CN"/>
        </w:rPr>
        <w:t>: 429-435 [PMID: 25897102 DOI: 10.5604/17322693.1148336]</w:t>
      </w:r>
    </w:p>
    <w:p w14:paraId="2320EF2B"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25 </w:t>
      </w:r>
      <w:r w:rsidRPr="00C63E3F">
        <w:rPr>
          <w:rFonts w:ascii="Book Antiqua" w:eastAsia="宋体" w:hAnsi="Book Antiqua" w:cs="宋体"/>
          <w:b/>
          <w:bCs/>
          <w:sz w:val="24"/>
          <w:szCs w:val="24"/>
          <w:lang w:val="en-US" w:eastAsia="zh-CN"/>
        </w:rPr>
        <w:t>Trautwein C</w:t>
      </w:r>
      <w:r w:rsidRPr="00C63E3F">
        <w:rPr>
          <w:rFonts w:ascii="Book Antiqua" w:eastAsia="宋体" w:hAnsi="Book Antiqua" w:cs="宋体"/>
          <w:sz w:val="24"/>
          <w:szCs w:val="24"/>
          <w:lang w:val="en-US" w:eastAsia="zh-CN"/>
        </w:rPr>
        <w:t>, Friedman SL, Schuppan D, Pinzani M. Hepatic fibrosis: Concept to treatment. </w:t>
      </w:r>
      <w:r w:rsidRPr="00C63E3F">
        <w:rPr>
          <w:rFonts w:ascii="Book Antiqua" w:eastAsia="宋体" w:hAnsi="Book Antiqua" w:cs="宋体"/>
          <w:i/>
          <w:iCs/>
          <w:sz w:val="24"/>
          <w:szCs w:val="24"/>
          <w:lang w:val="en-US" w:eastAsia="zh-CN"/>
        </w:rPr>
        <w:t>J Hepatol</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62</w:t>
      </w:r>
      <w:r w:rsidRPr="00C63E3F">
        <w:rPr>
          <w:rFonts w:ascii="Book Antiqua" w:eastAsia="宋体" w:hAnsi="Book Antiqua" w:cs="宋体"/>
          <w:sz w:val="24"/>
          <w:szCs w:val="24"/>
          <w:lang w:val="en-US" w:eastAsia="zh-CN"/>
        </w:rPr>
        <w:t>: S15-S24 [PMID: 25920084 DOI: 10.1016/j.jhep.2015.02.039]</w:t>
      </w:r>
    </w:p>
    <w:p w14:paraId="4183FC4B"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26 </w:t>
      </w:r>
      <w:r w:rsidRPr="00C63E3F">
        <w:rPr>
          <w:rFonts w:ascii="Book Antiqua" w:eastAsia="宋体" w:hAnsi="Book Antiqua" w:cs="宋体"/>
          <w:b/>
          <w:bCs/>
          <w:sz w:val="24"/>
          <w:szCs w:val="24"/>
          <w:lang w:val="en-US" w:eastAsia="zh-CN"/>
        </w:rPr>
        <w:t>Ghosh AK</w:t>
      </w:r>
      <w:r w:rsidRPr="00C63E3F">
        <w:rPr>
          <w:rFonts w:ascii="Book Antiqua" w:eastAsia="宋体" w:hAnsi="Book Antiqua" w:cs="宋体"/>
          <w:sz w:val="24"/>
          <w:szCs w:val="24"/>
          <w:lang w:val="en-US" w:eastAsia="zh-CN"/>
        </w:rPr>
        <w:t>, Vaughan DE. PAI-1 in tissue fibrosis. </w:t>
      </w:r>
      <w:r w:rsidRPr="00C63E3F">
        <w:rPr>
          <w:rFonts w:ascii="Book Antiqua" w:eastAsia="宋体" w:hAnsi="Book Antiqua" w:cs="宋体"/>
          <w:i/>
          <w:iCs/>
          <w:sz w:val="24"/>
          <w:szCs w:val="24"/>
          <w:lang w:val="en-US" w:eastAsia="zh-CN"/>
        </w:rPr>
        <w:t>J Cell Physiol</w:t>
      </w:r>
      <w:r w:rsidRPr="00C63E3F">
        <w:rPr>
          <w:rFonts w:ascii="Book Antiqua" w:eastAsia="宋体" w:hAnsi="Book Antiqua" w:cs="宋体"/>
          <w:sz w:val="24"/>
          <w:szCs w:val="24"/>
          <w:lang w:val="en-US" w:eastAsia="zh-CN"/>
        </w:rPr>
        <w:t> 2012; </w:t>
      </w:r>
      <w:r w:rsidRPr="00C63E3F">
        <w:rPr>
          <w:rFonts w:ascii="Book Antiqua" w:eastAsia="宋体" w:hAnsi="Book Antiqua" w:cs="宋体"/>
          <w:b/>
          <w:bCs/>
          <w:sz w:val="24"/>
          <w:szCs w:val="24"/>
          <w:lang w:val="en-US" w:eastAsia="zh-CN"/>
        </w:rPr>
        <w:t>227</w:t>
      </w:r>
      <w:r w:rsidRPr="00C63E3F">
        <w:rPr>
          <w:rFonts w:ascii="Book Antiqua" w:eastAsia="宋体" w:hAnsi="Book Antiqua" w:cs="宋体"/>
          <w:sz w:val="24"/>
          <w:szCs w:val="24"/>
          <w:lang w:val="en-US" w:eastAsia="zh-CN"/>
        </w:rPr>
        <w:t>: 493-507 [PMID: 21465481 DOI: 10.1002/jcp.22783]</w:t>
      </w:r>
    </w:p>
    <w:p w14:paraId="7F72A182"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27 </w:t>
      </w:r>
      <w:r w:rsidRPr="00C63E3F">
        <w:rPr>
          <w:rFonts w:ascii="Book Antiqua" w:eastAsia="宋体" w:hAnsi="Book Antiqua" w:cs="宋体"/>
          <w:b/>
          <w:bCs/>
          <w:sz w:val="24"/>
          <w:szCs w:val="24"/>
          <w:lang w:val="en-US" w:eastAsia="zh-CN"/>
        </w:rPr>
        <w:t>Reilly R</w:t>
      </w:r>
      <w:r w:rsidRPr="00C63E3F">
        <w:rPr>
          <w:rFonts w:ascii="Book Antiqua" w:eastAsia="宋体" w:hAnsi="Book Antiqua" w:cs="宋体"/>
          <w:sz w:val="24"/>
          <w:szCs w:val="24"/>
          <w:lang w:val="en-US" w:eastAsia="zh-CN"/>
        </w:rPr>
        <w:t>, McNulty H, Pentieva K, Strain JJ, Ward M. MTHFR 677TT genotype and disease risk: is there a modulating role for B-vitamins? </w:t>
      </w:r>
      <w:r w:rsidRPr="00C63E3F">
        <w:rPr>
          <w:rFonts w:ascii="Book Antiqua" w:eastAsia="宋体" w:hAnsi="Book Antiqua" w:cs="宋体"/>
          <w:i/>
          <w:iCs/>
          <w:sz w:val="24"/>
          <w:szCs w:val="24"/>
          <w:lang w:val="en-US" w:eastAsia="zh-CN"/>
        </w:rPr>
        <w:t>Proc Nutr Soc</w:t>
      </w:r>
      <w:r w:rsidRPr="00C63E3F">
        <w:rPr>
          <w:rFonts w:ascii="Book Antiqua" w:eastAsia="宋体" w:hAnsi="Book Antiqua" w:cs="宋体"/>
          <w:sz w:val="24"/>
          <w:szCs w:val="24"/>
          <w:lang w:val="en-US" w:eastAsia="zh-CN"/>
        </w:rPr>
        <w:t> 2014; </w:t>
      </w:r>
      <w:r w:rsidRPr="00C63E3F">
        <w:rPr>
          <w:rFonts w:ascii="Book Antiqua" w:eastAsia="宋体" w:hAnsi="Book Antiqua" w:cs="宋体"/>
          <w:b/>
          <w:bCs/>
          <w:sz w:val="24"/>
          <w:szCs w:val="24"/>
          <w:lang w:val="en-US" w:eastAsia="zh-CN"/>
        </w:rPr>
        <w:t>73</w:t>
      </w:r>
      <w:r w:rsidRPr="00C63E3F">
        <w:rPr>
          <w:rFonts w:ascii="Book Antiqua" w:eastAsia="宋体" w:hAnsi="Book Antiqua" w:cs="宋体"/>
          <w:sz w:val="24"/>
          <w:szCs w:val="24"/>
          <w:lang w:val="en-US" w:eastAsia="zh-CN"/>
        </w:rPr>
        <w:t>: 47-56 [PMID: 24131523 DOI: 10.1017/S0029665113003613.]</w:t>
      </w:r>
    </w:p>
    <w:p w14:paraId="6BAAF761"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28 </w:t>
      </w:r>
      <w:r w:rsidRPr="00C63E3F">
        <w:rPr>
          <w:rFonts w:ascii="Book Antiqua" w:eastAsia="宋体" w:hAnsi="Book Antiqua" w:cs="宋体"/>
          <w:b/>
          <w:bCs/>
          <w:sz w:val="24"/>
          <w:szCs w:val="24"/>
          <w:lang w:val="en-US" w:eastAsia="zh-CN"/>
        </w:rPr>
        <w:t>Fernandez M</w:t>
      </w:r>
      <w:r w:rsidRPr="00C63E3F">
        <w:rPr>
          <w:rFonts w:ascii="Book Antiqua" w:eastAsia="宋体" w:hAnsi="Book Antiqua" w:cs="宋体"/>
          <w:sz w:val="24"/>
          <w:szCs w:val="24"/>
          <w:lang w:val="en-US" w:eastAsia="zh-CN"/>
        </w:rPr>
        <w:t>. Molecular pathophysiology of portal hypertension. </w:t>
      </w:r>
      <w:r w:rsidRPr="00C63E3F">
        <w:rPr>
          <w:rFonts w:ascii="Book Antiqua" w:eastAsia="宋体" w:hAnsi="Book Antiqua" w:cs="宋体"/>
          <w:i/>
          <w:iCs/>
          <w:sz w:val="24"/>
          <w:szCs w:val="24"/>
          <w:lang w:val="en-US" w:eastAsia="zh-CN"/>
        </w:rPr>
        <w:t>Hepatology</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61</w:t>
      </w:r>
      <w:r w:rsidRPr="00C63E3F">
        <w:rPr>
          <w:rFonts w:ascii="Book Antiqua" w:eastAsia="宋体" w:hAnsi="Book Antiqua" w:cs="宋体"/>
          <w:sz w:val="24"/>
          <w:szCs w:val="24"/>
          <w:lang w:val="en-US" w:eastAsia="zh-CN"/>
        </w:rPr>
        <w:t>: 1406-1415 [PMID: 25092403 DOI: 10.1002/hep.27343]</w:t>
      </w:r>
    </w:p>
    <w:p w14:paraId="18E12785"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29 </w:t>
      </w:r>
      <w:r w:rsidRPr="00C63E3F">
        <w:rPr>
          <w:rFonts w:ascii="Book Antiqua" w:eastAsia="宋体" w:hAnsi="Book Antiqua" w:cs="宋体"/>
          <w:b/>
          <w:bCs/>
          <w:sz w:val="24"/>
          <w:szCs w:val="24"/>
          <w:lang w:val="en-US" w:eastAsia="zh-CN"/>
        </w:rPr>
        <w:t>Lee YA</w:t>
      </w:r>
      <w:r w:rsidRPr="00C63E3F">
        <w:rPr>
          <w:rFonts w:ascii="Book Antiqua" w:eastAsia="宋体" w:hAnsi="Book Antiqua" w:cs="宋体"/>
          <w:sz w:val="24"/>
          <w:szCs w:val="24"/>
          <w:lang w:val="en-US" w:eastAsia="zh-CN"/>
        </w:rPr>
        <w:t>, Wallace MC, Friedman SL. Pathobiology of liver fibrosis: a translational success story. </w:t>
      </w:r>
      <w:r w:rsidRPr="00C63E3F">
        <w:rPr>
          <w:rFonts w:ascii="Book Antiqua" w:eastAsia="宋体" w:hAnsi="Book Antiqua" w:cs="宋体"/>
          <w:i/>
          <w:iCs/>
          <w:sz w:val="24"/>
          <w:szCs w:val="24"/>
          <w:lang w:val="en-US" w:eastAsia="zh-CN"/>
        </w:rPr>
        <w:t>Gut</w:t>
      </w:r>
      <w:r w:rsidRPr="00C63E3F">
        <w:rPr>
          <w:rFonts w:ascii="Book Antiqua" w:eastAsia="宋体" w:hAnsi="Book Antiqua" w:cs="宋体"/>
          <w:sz w:val="24"/>
          <w:szCs w:val="24"/>
          <w:lang w:val="en-US" w:eastAsia="zh-CN"/>
        </w:rPr>
        <w:t> 2015; </w:t>
      </w:r>
      <w:r w:rsidRPr="00C63E3F">
        <w:rPr>
          <w:rFonts w:ascii="Book Antiqua" w:eastAsia="宋体" w:hAnsi="Book Antiqua" w:cs="宋体"/>
          <w:b/>
          <w:bCs/>
          <w:sz w:val="24"/>
          <w:szCs w:val="24"/>
          <w:lang w:val="en-US" w:eastAsia="zh-CN"/>
        </w:rPr>
        <w:t>64</w:t>
      </w:r>
      <w:r w:rsidRPr="00C63E3F">
        <w:rPr>
          <w:rFonts w:ascii="Book Antiqua" w:eastAsia="宋体" w:hAnsi="Book Antiqua" w:cs="宋体"/>
          <w:sz w:val="24"/>
          <w:szCs w:val="24"/>
          <w:lang w:val="en-US" w:eastAsia="zh-CN"/>
        </w:rPr>
        <w:t>: 830-841 [PMID: 25681399 DOI: 10.1136/gutjnl-2014-306842]</w:t>
      </w:r>
    </w:p>
    <w:p w14:paraId="10B5E6B8"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r w:rsidRPr="00C63E3F">
        <w:rPr>
          <w:rFonts w:ascii="Book Antiqua" w:eastAsia="宋体" w:hAnsi="Book Antiqua" w:cs="宋体"/>
          <w:sz w:val="24"/>
          <w:szCs w:val="24"/>
          <w:lang w:val="en-US" w:eastAsia="zh-CN"/>
        </w:rPr>
        <w:t>30 </w:t>
      </w:r>
      <w:r w:rsidRPr="00C63E3F">
        <w:rPr>
          <w:rFonts w:ascii="Book Antiqua" w:eastAsia="宋体" w:hAnsi="Book Antiqua" w:cs="宋体"/>
          <w:b/>
          <w:bCs/>
          <w:sz w:val="24"/>
          <w:szCs w:val="24"/>
          <w:lang w:val="en-US" w:eastAsia="zh-CN"/>
        </w:rPr>
        <w:t>Rodriguez-Castro KI</w:t>
      </w:r>
      <w:r w:rsidRPr="00C63E3F">
        <w:rPr>
          <w:rFonts w:ascii="Book Antiqua" w:eastAsia="宋体" w:hAnsi="Book Antiqua" w:cs="宋体"/>
          <w:sz w:val="24"/>
          <w:szCs w:val="24"/>
          <w:lang w:val="en-US" w:eastAsia="zh-CN"/>
        </w:rPr>
        <w:t>, Simioni P, Burra P, Senzolo M. Anticoagulation for the treatment of thrombotic complications in patients with cirrhosis. </w:t>
      </w:r>
      <w:r w:rsidRPr="00C63E3F">
        <w:rPr>
          <w:rFonts w:ascii="Book Antiqua" w:eastAsia="宋体" w:hAnsi="Book Antiqua" w:cs="宋体"/>
          <w:i/>
          <w:iCs/>
          <w:sz w:val="24"/>
          <w:szCs w:val="24"/>
          <w:lang w:val="en-US" w:eastAsia="zh-CN"/>
        </w:rPr>
        <w:t>Liver Int</w:t>
      </w:r>
      <w:r w:rsidRPr="00C63E3F">
        <w:rPr>
          <w:rFonts w:ascii="Book Antiqua" w:eastAsia="宋体" w:hAnsi="Book Antiqua" w:cs="宋体"/>
          <w:sz w:val="24"/>
          <w:szCs w:val="24"/>
          <w:lang w:val="en-US" w:eastAsia="zh-CN"/>
        </w:rPr>
        <w:t> 2012; </w:t>
      </w:r>
      <w:r w:rsidRPr="00C63E3F">
        <w:rPr>
          <w:rFonts w:ascii="Book Antiqua" w:eastAsia="宋体" w:hAnsi="Book Antiqua" w:cs="宋体"/>
          <w:b/>
          <w:bCs/>
          <w:sz w:val="24"/>
          <w:szCs w:val="24"/>
          <w:lang w:val="en-US" w:eastAsia="zh-CN"/>
        </w:rPr>
        <w:t>32</w:t>
      </w:r>
      <w:r w:rsidRPr="00C63E3F">
        <w:rPr>
          <w:rFonts w:ascii="Book Antiqua" w:eastAsia="宋体" w:hAnsi="Book Antiqua" w:cs="宋体"/>
          <w:sz w:val="24"/>
          <w:szCs w:val="24"/>
          <w:lang w:val="en-US" w:eastAsia="zh-CN"/>
        </w:rPr>
        <w:t>: 1465-1476 [PMID: 22734713 DOI: 10.1111/j.1478-3231.2012.02839.x]</w:t>
      </w:r>
    </w:p>
    <w:p w14:paraId="2D60ECAC"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p>
    <w:p w14:paraId="7A64556D" w14:textId="77777777" w:rsidR="00401A23" w:rsidRPr="00C63E3F" w:rsidRDefault="00401A23" w:rsidP="009A3E1D">
      <w:pPr>
        <w:widowControl w:val="0"/>
        <w:spacing w:after="0" w:line="360" w:lineRule="auto"/>
        <w:jc w:val="right"/>
        <w:rPr>
          <w:rFonts w:ascii="Book Antiqua" w:eastAsia="宋体" w:hAnsi="Book Antiqua" w:cs="Courier New"/>
          <w:b/>
          <w:kern w:val="2"/>
          <w:sz w:val="24"/>
          <w:szCs w:val="24"/>
          <w:lang w:val="en-US" w:eastAsia="zh-CN"/>
        </w:rPr>
      </w:pPr>
      <w:bookmarkStart w:id="12" w:name="OLE_LINK176"/>
      <w:bookmarkStart w:id="13" w:name="OLE_LINK187"/>
      <w:bookmarkStart w:id="14" w:name="OLE_LINK188"/>
      <w:r w:rsidRPr="00C63E3F">
        <w:rPr>
          <w:rFonts w:ascii="Book Antiqua" w:eastAsia="宋体" w:hAnsi="Book Antiqua" w:cs="Courier New"/>
          <w:b/>
          <w:kern w:val="2"/>
          <w:sz w:val="24"/>
          <w:szCs w:val="24"/>
          <w:lang w:val="en-US" w:eastAsia="zh-CN"/>
        </w:rPr>
        <w:t xml:space="preserve">P-Reviewer: </w:t>
      </w:r>
      <w:r w:rsidRPr="00C63E3F">
        <w:rPr>
          <w:rFonts w:ascii="Book Antiqua" w:eastAsia="宋体" w:hAnsi="Book Antiqua" w:cs="Courier New"/>
          <w:kern w:val="2"/>
          <w:sz w:val="24"/>
          <w:szCs w:val="24"/>
          <w:lang w:val="en-US" w:eastAsia="zh-CN"/>
        </w:rPr>
        <w:t>Mihaila RG</w:t>
      </w:r>
      <w:r w:rsidRPr="00C63E3F">
        <w:rPr>
          <w:rFonts w:ascii="Book Antiqua" w:eastAsia="宋体" w:hAnsi="Book Antiqua" w:cs="Courier New"/>
          <w:b/>
          <w:kern w:val="2"/>
          <w:sz w:val="24"/>
          <w:szCs w:val="24"/>
          <w:lang w:val="fr-FR" w:eastAsia="zh-CN"/>
        </w:rPr>
        <w:t xml:space="preserve"> </w:t>
      </w:r>
      <w:r w:rsidRPr="00C63E3F">
        <w:rPr>
          <w:rFonts w:ascii="Book Antiqua" w:eastAsia="宋体" w:hAnsi="Book Antiqua" w:cs="Courier New"/>
          <w:b/>
          <w:kern w:val="2"/>
          <w:sz w:val="24"/>
          <w:szCs w:val="24"/>
          <w:lang w:val="en-US" w:eastAsia="zh-CN"/>
        </w:rPr>
        <w:t xml:space="preserve">S-Editor: </w:t>
      </w:r>
      <w:r w:rsidRPr="00C63E3F">
        <w:rPr>
          <w:rFonts w:ascii="Book Antiqua" w:eastAsia="宋体" w:hAnsi="Book Antiqua" w:cs="Courier New"/>
          <w:kern w:val="2"/>
          <w:sz w:val="24"/>
          <w:szCs w:val="24"/>
          <w:lang w:val="en-US" w:eastAsia="zh-CN"/>
        </w:rPr>
        <w:t>Qiu S</w:t>
      </w:r>
      <w:r w:rsidRPr="00C63E3F">
        <w:rPr>
          <w:rFonts w:ascii="Book Antiqua" w:eastAsia="宋体" w:hAnsi="Book Antiqua" w:cs="Courier New"/>
          <w:b/>
          <w:kern w:val="2"/>
          <w:sz w:val="24"/>
          <w:szCs w:val="24"/>
          <w:lang w:val="en-US" w:eastAsia="zh-CN"/>
        </w:rPr>
        <w:t xml:space="preserve"> L-Editor: E-Editor:</w:t>
      </w:r>
      <w:bookmarkEnd w:id="12"/>
    </w:p>
    <w:bookmarkEnd w:id="13"/>
    <w:bookmarkEnd w:id="14"/>
    <w:p w14:paraId="762E39B8" w14:textId="77777777" w:rsidR="00401A23" w:rsidRPr="00C63E3F" w:rsidRDefault="00401A23" w:rsidP="009A3E1D">
      <w:pPr>
        <w:spacing w:after="0" w:line="360" w:lineRule="auto"/>
        <w:jc w:val="both"/>
        <w:rPr>
          <w:rFonts w:ascii="Book Antiqua" w:eastAsia="宋体" w:hAnsi="Book Antiqua" w:cs="宋体"/>
          <w:sz w:val="24"/>
          <w:szCs w:val="24"/>
          <w:lang w:val="en-US" w:eastAsia="zh-CN"/>
        </w:rPr>
      </w:pPr>
    </w:p>
    <w:p w14:paraId="66694340" w14:textId="77777777" w:rsidR="00240029" w:rsidRPr="00C63E3F" w:rsidRDefault="00240029" w:rsidP="009A3E1D">
      <w:pPr>
        <w:spacing w:after="0" w:line="360" w:lineRule="auto"/>
        <w:jc w:val="both"/>
        <w:rPr>
          <w:rFonts w:ascii="Book Antiqua" w:hAnsi="Book Antiqua"/>
          <w:sz w:val="24"/>
          <w:szCs w:val="24"/>
          <w:lang w:val="en-US"/>
        </w:rPr>
      </w:pPr>
    </w:p>
    <w:p w14:paraId="6F45CE61" w14:textId="77777777" w:rsidR="00240029" w:rsidRPr="00C63E3F" w:rsidRDefault="00240029" w:rsidP="009A3E1D">
      <w:pPr>
        <w:spacing w:after="0" w:line="360" w:lineRule="auto"/>
        <w:jc w:val="both"/>
        <w:rPr>
          <w:rFonts w:ascii="Book Antiqua" w:hAnsi="Book Antiqua"/>
          <w:sz w:val="24"/>
          <w:szCs w:val="24"/>
          <w:lang w:val="en-US"/>
        </w:rPr>
      </w:pPr>
    </w:p>
    <w:p w14:paraId="640B6129" w14:textId="77777777" w:rsidR="00240029" w:rsidRPr="00C63E3F" w:rsidRDefault="00240029" w:rsidP="009A3E1D">
      <w:pPr>
        <w:spacing w:after="0" w:line="360" w:lineRule="auto"/>
        <w:jc w:val="both"/>
        <w:rPr>
          <w:rFonts w:ascii="Book Antiqua" w:hAnsi="Book Antiqua"/>
          <w:sz w:val="24"/>
          <w:szCs w:val="24"/>
          <w:lang w:val="en-US"/>
        </w:rPr>
      </w:pPr>
    </w:p>
    <w:p w14:paraId="239B60E6" w14:textId="77777777" w:rsidR="00393061" w:rsidRPr="00C63E3F" w:rsidRDefault="00393061" w:rsidP="009A3E1D">
      <w:pPr>
        <w:spacing w:after="0" w:line="360" w:lineRule="auto"/>
        <w:rPr>
          <w:rFonts w:ascii="Book Antiqua" w:hAnsi="Book Antiqua" w:cs="Arial"/>
          <w:sz w:val="24"/>
          <w:szCs w:val="24"/>
          <w:lang w:val="en-GB"/>
        </w:rPr>
      </w:pPr>
      <w:r w:rsidRPr="00C63E3F">
        <w:rPr>
          <w:rFonts w:ascii="Book Antiqua" w:hAnsi="Book Antiqua" w:cs="Arial"/>
          <w:sz w:val="24"/>
          <w:szCs w:val="24"/>
          <w:lang w:val="en-GB"/>
        </w:rPr>
        <w:br w:type="page"/>
      </w:r>
    </w:p>
    <w:p w14:paraId="1AE12CD3" w14:textId="77777777" w:rsidR="007669D6" w:rsidRPr="00C63E3F" w:rsidRDefault="00393061" w:rsidP="009A3E1D">
      <w:pPr>
        <w:spacing w:after="0" w:line="360" w:lineRule="auto"/>
        <w:jc w:val="both"/>
        <w:rPr>
          <w:rFonts w:ascii="Book Antiqua" w:hAnsi="Book Antiqua" w:cs="Arial"/>
          <w:b/>
          <w:sz w:val="24"/>
          <w:szCs w:val="24"/>
          <w:lang w:val="en-US" w:eastAsia="zh-CN"/>
        </w:rPr>
      </w:pPr>
      <w:r w:rsidRPr="00C63E3F">
        <w:rPr>
          <w:rFonts w:ascii="Book Antiqua" w:hAnsi="Book Antiqua" w:cs="Arial"/>
          <w:b/>
          <w:sz w:val="24"/>
          <w:szCs w:val="24"/>
          <w:lang w:val="en-GB"/>
        </w:rPr>
        <w:t>Table 1</w:t>
      </w:r>
      <w:r w:rsidRPr="00C63E3F">
        <w:rPr>
          <w:rFonts w:ascii="Book Antiqua" w:hAnsi="Book Antiqua" w:cs="Arial"/>
          <w:b/>
          <w:sz w:val="24"/>
          <w:szCs w:val="24"/>
          <w:lang w:val="en-GB" w:eastAsia="zh-CN"/>
        </w:rPr>
        <w:t xml:space="preserve"> </w:t>
      </w:r>
      <w:r w:rsidR="002E4FBD" w:rsidRPr="00C63E3F">
        <w:rPr>
          <w:rFonts w:ascii="Book Antiqua" w:hAnsi="Book Antiqua" w:cs="Arial"/>
          <w:b/>
          <w:sz w:val="24"/>
          <w:szCs w:val="24"/>
          <w:lang w:val="en-GB"/>
        </w:rPr>
        <w:t>Main demographic and clinical characteristics of patients with</w:t>
      </w:r>
      <w:r w:rsidR="002E4FBD" w:rsidRPr="00C63E3F">
        <w:rPr>
          <w:rFonts w:ascii="Book Antiqua" w:eastAsia="Times New Roman" w:hAnsi="Book Antiqua" w:cs="Arial"/>
          <w:b/>
          <w:sz w:val="24"/>
          <w:szCs w:val="24"/>
          <w:lang w:val="en-GB" w:eastAsia="it-IT"/>
        </w:rPr>
        <w:t xml:space="preserve"> </w:t>
      </w:r>
      <w:r w:rsidR="00455208" w:rsidRPr="00C63E3F">
        <w:rPr>
          <w:rFonts w:ascii="Book Antiqua" w:eastAsia="Times New Roman" w:hAnsi="Book Antiqua" w:cs="Arial"/>
          <w:b/>
          <w:sz w:val="24"/>
          <w:szCs w:val="24"/>
          <w:lang w:eastAsia="it-IT"/>
        </w:rPr>
        <w:t>hepatitis C virus</w:t>
      </w:r>
      <w:r w:rsidR="002E4FBD" w:rsidRPr="00C63E3F">
        <w:rPr>
          <w:rFonts w:ascii="Book Antiqua" w:eastAsia="Times New Roman" w:hAnsi="Book Antiqua" w:cs="Arial"/>
          <w:b/>
          <w:sz w:val="24"/>
          <w:szCs w:val="24"/>
          <w:lang w:val="en-GB" w:eastAsia="it-IT"/>
        </w:rPr>
        <w:t>/</w:t>
      </w:r>
      <w:r w:rsidR="00455208" w:rsidRPr="00C63E3F">
        <w:rPr>
          <w:rFonts w:ascii="Book Antiqua" w:eastAsia="Times New Roman" w:hAnsi="Book Antiqua" w:cs="Arial"/>
          <w:b/>
          <w:sz w:val="24"/>
          <w:szCs w:val="24"/>
          <w:lang w:eastAsia="it-IT"/>
        </w:rPr>
        <w:t xml:space="preserve">hepatitis </w:t>
      </w:r>
      <w:r w:rsidR="00455208" w:rsidRPr="00C63E3F">
        <w:rPr>
          <w:rFonts w:ascii="Book Antiqua" w:hAnsi="Book Antiqua" w:cs="Arial"/>
          <w:b/>
          <w:sz w:val="24"/>
          <w:szCs w:val="24"/>
          <w:lang w:eastAsia="zh-CN"/>
        </w:rPr>
        <w:t>B</w:t>
      </w:r>
      <w:r w:rsidR="00455208" w:rsidRPr="00C63E3F">
        <w:rPr>
          <w:rFonts w:ascii="Book Antiqua" w:eastAsia="Times New Roman" w:hAnsi="Book Antiqua" w:cs="Arial"/>
          <w:b/>
          <w:sz w:val="24"/>
          <w:szCs w:val="24"/>
          <w:lang w:eastAsia="it-IT"/>
        </w:rPr>
        <w:t xml:space="preserve"> virus</w:t>
      </w:r>
      <w:r w:rsidR="002E4FBD" w:rsidRPr="00C63E3F">
        <w:rPr>
          <w:rFonts w:ascii="Book Antiqua" w:eastAsia="Times New Roman" w:hAnsi="Book Antiqua" w:cs="Arial"/>
          <w:b/>
          <w:sz w:val="24"/>
          <w:szCs w:val="24"/>
          <w:lang w:val="en-GB" w:eastAsia="it-IT"/>
        </w:rPr>
        <w:t xml:space="preserve"> liver cirrhosis, </w:t>
      </w:r>
      <w:r w:rsidR="007A0BA1" w:rsidRPr="00C63E3F">
        <w:rPr>
          <w:rFonts w:ascii="Book Antiqua" w:eastAsia="Times New Roman" w:hAnsi="Book Antiqua" w:cs="Arial"/>
          <w:b/>
          <w:sz w:val="24"/>
          <w:szCs w:val="24"/>
          <w:lang w:val="en-GB" w:eastAsia="it-IT"/>
        </w:rPr>
        <w:t xml:space="preserve">defined </w:t>
      </w:r>
      <w:r w:rsidR="0055670E" w:rsidRPr="00C63E3F">
        <w:rPr>
          <w:rFonts w:ascii="Book Antiqua" w:eastAsia="Times New Roman" w:hAnsi="Book Antiqua" w:cs="Arial"/>
          <w:b/>
          <w:sz w:val="24"/>
          <w:szCs w:val="24"/>
          <w:lang w:val="en-GB" w:eastAsia="it-IT"/>
        </w:rPr>
        <w:t>virus liver cirrhosis</w:t>
      </w:r>
      <w:r w:rsidR="002E4FBD" w:rsidRPr="00C63E3F">
        <w:rPr>
          <w:rFonts w:ascii="Book Antiqua" w:eastAsia="Times New Roman" w:hAnsi="Book Antiqua" w:cs="Arial"/>
          <w:b/>
          <w:sz w:val="24"/>
          <w:szCs w:val="24"/>
          <w:lang w:val="en-GB" w:eastAsia="it-IT"/>
        </w:rPr>
        <w:t xml:space="preserve"> and </w:t>
      </w:r>
      <w:r w:rsidR="0095193D" w:rsidRPr="00C63E3F">
        <w:rPr>
          <w:rFonts w:ascii="Book Antiqua" w:eastAsia="Times New Roman" w:hAnsi="Book Antiqua" w:cs="Arial"/>
          <w:b/>
          <w:sz w:val="24"/>
          <w:szCs w:val="24"/>
          <w:lang w:val="en-GB" w:eastAsia="it-IT"/>
        </w:rPr>
        <w:t xml:space="preserve">alcohol and cryptogenic, aggregated as </w:t>
      </w:r>
      <w:r w:rsidR="0055670E" w:rsidRPr="00C63E3F">
        <w:rPr>
          <w:rFonts w:ascii="Book Antiqua" w:eastAsia="Times New Roman" w:hAnsi="Book Antiqua" w:cs="Arial"/>
          <w:b/>
          <w:sz w:val="24"/>
          <w:szCs w:val="24"/>
          <w:lang w:val="en-GB" w:eastAsia="it-IT"/>
        </w:rPr>
        <w:t>non-virus cirrhosis</w:t>
      </w:r>
    </w:p>
    <w:tbl>
      <w:tblPr>
        <w:tblStyle w:val="TableGrid"/>
        <w:tblW w:w="10206"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1984"/>
        <w:gridCol w:w="1843"/>
        <w:gridCol w:w="1417"/>
        <w:gridCol w:w="1701"/>
      </w:tblGrid>
      <w:tr w:rsidR="00EB0AB2" w:rsidRPr="00C63E3F" w14:paraId="65FAE508" w14:textId="77777777" w:rsidTr="005E415A">
        <w:trPr>
          <w:trHeight w:val="340"/>
        </w:trPr>
        <w:tc>
          <w:tcPr>
            <w:tcW w:w="1276" w:type="dxa"/>
            <w:tcBorders>
              <w:bottom w:val="single" w:sz="4" w:space="0" w:color="auto"/>
            </w:tcBorders>
          </w:tcPr>
          <w:p w14:paraId="4B816940" w14:textId="77777777" w:rsidR="002E4FBD" w:rsidRPr="00C63E3F" w:rsidRDefault="002E4FBD" w:rsidP="009A3E1D">
            <w:pPr>
              <w:spacing w:line="360" w:lineRule="auto"/>
              <w:jc w:val="both"/>
              <w:rPr>
                <w:rFonts w:ascii="Book Antiqua" w:eastAsia="Arial Unicode MS" w:hAnsi="Book Antiqua" w:cs="Arial"/>
                <w:sz w:val="24"/>
                <w:szCs w:val="24"/>
                <w:lang w:val="en-US"/>
              </w:rPr>
            </w:pPr>
          </w:p>
        </w:tc>
        <w:tc>
          <w:tcPr>
            <w:tcW w:w="1985" w:type="dxa"/>
            <w:tcBorders>
              <w:bottom w:val="single" w:sz="4" w:space="0" w:color="auto"/>
            </w:tcBorders>
          </w:tcPr>
          <w:p w14:paraId="3EAFAAD8" w14:textId="77777777" w:rsidR="002E4FBD" w:rsidRPr="00C63E3F" w:rsidRDefault="002E4FBD" w:rsidP="009A3E1D">
            <w:pPr>
              <w:spacing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Total (%)</w:t>
            </w:r>
          </w:p>
        </w:tc>
        <w:tc>
          <w:tcPr>
            <w:tcW w:w="1984" w:type="dxa"/>
            <w:tcBorders>
              <w:bottom w:val="single" w:sz="4" w:space="0" w:color="auto"/>
            </w:tcBorders>
          </w:tcPr>
          <w:p w14:paraId="7439FE34" w14:textId="77777777" w:rsidR="002E4FBD" w:rsidRPr="00C63E3F" w:rsidRDefault="007A0BA1" w:rsidP="009A3E1D">
            <w:pPr>
              <w:spacing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GB" w:eastAsia="it-IT"/>
              </w:rPr>
              <w:t>V</w:t>
            </w:r>
            <w:r w:rsidR="002E4FBD" w:rsidRPr="00C63E3F">
              <w:rPr>
                <w:rFonts w:ascii="Book Antiqua" w:eastAsia="Times New Roman" w:hAnsi="Book Antiqua" w:cs="Arial"/>
                <w:sz w:val="24"/>
                <w:szCs w:val="24"/>
                <w:lang w:val="en-GB" w:eastAsia="it-IT"/>
              </w:rPr>
              <w:t>LC (%)</w:t>
            </w:r>
          </w:p>
        </w:tc>
        <w:tc>
          <w:tcPr>
            <w:tcW w:w="1843" w:type="dxa"/>
            <w:tcBorders>
              <w:bottom w:val="single" w:sz="4" w:space="0" w:color="auto"/>
            </w:tcBorders>
          </w:tcPr>
          <w:p w14:paraId="6FD9F3A5" w14:textId="77777777" w:rsidR="002E4FBD" w:rsidRPr="00C63E3F" w:rsidRDefault="002E4FBD" w:rsidP="009A3E1D">
            <w:pPr>
              <w:spacing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Alcohol (%)</w:t>
            </w:r>
          </w:p>
        </w:tc>
        <w:tc>
          <w:tcPr>
            <w:tcW w:w="1417" w:type="dxa"/>
            <w:tcBorders>
              <w:bottom w:val="single" w:sz="4" w:space="0" w:color="auto"/>
            </w:tcBorders>
          </w:tcPr>
          <w:p w14:paraId="1764EA5E" w14:textId="77777777" w:rsidR="002E4FBD" w:rsidRPr="00C63E3F" w:rsidRDefault="002E4FBD" w:rsidP="009A3E1D">
            <w:pPr>
              <w:spacing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Crypto (%)</w:t>
            </w:r>
          </w:p>
        </w:tc>
        <w:tc>
          <w:tcPr>
            <w:tcW w:w="1701" w:type="dxa"/>
            <w:tcBorders>
              <w:bottom w:val="single" w:sz="4" w:space="0" w:color="auto"/>
            </w:tcBorders>
          </w:tcPr>
          <w:p w14:paraId="157FE182" w14:textId="77777777" w:rsidR="002E4FBD" w:rsidRPr="00C63E3F" w:rsidRDefault="002E4FBD" w:rsidP="009A3E1D">
            <w:pPr>
              <w:spacing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NVLC (%)</w:t>
            </w:r>
          </w:p>
        </w:tc>
      </w:tr>
      <w:tr w:rsidR="00EB0AB2" w:rsidRPr="00C63E3F" w14:paraId="185BC4CD" w14:textId="77777777" w:rsidTr="005E415A">
        <w:tc>
          <w:tcPr>
            <w:tcW w:w="1276" w:type="dxa"/>
          </w:tcPr>
          <w:p w14:paraId="65315592" w14:textId="77777777" w:rsidR="002E4FBD" w:rsidRPr="00C63E3F" w:rsidRDefault="00240029"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P</w:t>
            </w:r>
            <w:r w:rsidR="002E4FBD" w:rsidRPr="00C63E3F">
              <w:rPr>
                <w:rFonts w:ascii="Book Antiqua" w:hAnsi="Book Antiqua" w:cs="Arial"/>
                <w:sz w:val="24"/>
                <w:szCs w:val="24"/>
                <w:lang w:val="en-GB"/>
              </w:rPr>
              <w:t>atients</w:t>
            </w:r>
          </w:p>
        </w:tc>
        <w:tc>
          <w:tcPr>
            <w:tcW w:w="1985" w:type="dxa"/>
          </w:tcPr>
          <w:p w14:paraId="30ACB0EF" w14:textId="77777777" w:rsidR="002E4FBD" w:rsidRPr="00C63E3F" w:rsidRDefault="002E4FBD" w:rsidP="009A3E1D">
            <w:pPr>
              <w:spacing w:line="360" w:lineRule="auto"/>
              <w:jc w:val="both"/>
              <w:rPr>
                <w:rFonts w:ascii="Book Antiqua" w:eastAsia="Arial Unicode MS" w:hAnsi="Book Antiqua" w:cs="Arial"/>
                <w:sz w:val="24"/>
                <w:szCs w:val="24"/>
                <w:lang w:val="de-DE"/>
              </w:rPr>
            </w:pPr>
            <w:r w:rsidRPr="00C63E3F">
              <w:rPr>
                <w:rFonts w:ascii="Book Antiqua" w:eastAsia="Arial Unicode MS" w:hAnsi="Book Antiqua" w:cs="Arial"/>
                <w:sz w:val="24"/>
                <w:szCs w:val="24"/>
                <w:lang w:val="de-DE"/>
              </w:rPr>
              <w:t>1079 (100)</w:t>
            </w:r>
          </w:p>
        </w:tc>
        <w:tc>
          <w:tcPr>
            <w:tcW w:w="1984" w:type="dxa"/>
          </w:tcPr>
          <w:p w14:paraId="6C0C9411" w14:textId="77777777" w:rsidR="002E4FBD" w:rsidRPr="00C63E3F" w:rsidRDefault="002E4FBD" w:rsidP="009A3E1D">
            <w:pPr>
              <w:spacing w:line="360" w:lineRule="auto"/>
              <w:jc w:val="both"/>
              <w:rPr>
                <w:rFonts w:ascii="Book Antiqua" w:eastAsia="Arial Unicode MS" w:hAnsi="Book Antiqua" w:cs="Arial"/>
                <w:sz w:val="24"/>
                <w:szCs w:val="24"/>
                <w:lang w:val="de-DE"/>
              </w:rPr>
            </w:pPr>
            <w:r w:rsidRPr="00C63E3F">
              <w:rPr>
                <w:rFonts w:ascii="Book Antiqua" w:eastAsia="Arial Unicode MS" w:hAnsi="Book Antiqua" w:cs="Arial"/>
                <w:sz w:val="24"/>
                <w:szCs w:val="24"/>
                <w:lang w:val="de-DE"/>
              </w:rPr>
              <w:t>729 (100)</w:t>
            </w:r>
          </w:p>
        </w:tc>
        <w:tc>
          <w:tcPr>
            <w:tcW w:w="1843" w:type="dxa"/>
          </w:tcPr>
          <w:p w14:paraId="399948D0" w14:textId="77777777" w:rsidR="002E4FBD" w:rsidRPr="00C63E3F" w:rsidRDefault="002E4FBD" w:rsidP="009A3E1D">
            <w:pPr>
              <w:spacing w:line="360" w:lineRule="auto"/>
              <w:ind w:right="-262"/>
              <w:jc w:val="both"/>
              <w:rPr>
                <w:rFonts w:ascii="Book Antiqua" w:eastAsia="Arial Unicode MS" w:hAnsi="Book Antiqua" w:cs="Arial"/>
                <w:sz w:val="24"/>
                <w:szCs w:val="24"/>
                <w:lang w:val="de-DE"/>
              </w:rPr>
            </w:pPr>
            <w:r w:rsidRPr="00C63E3F">
              <w:rPr>
                <w:rFonts w:ascii="Book Antiqua" w:eastAsia="Arial Unicode MS" w:hAnsi="Book Antiqua" w:cs="Arial"/>
                <w:sz w:val="24"/>
                <w:szCs w:val="24"/>
                <w:lang w:val="de-DE"/>
              </w:rPr>
              <w:t>102 (100)</w:t>
            </w:r>
          </w:p>
        </w:tc>
        <w:tc>
          <w:tcPr>
            <w:tcW w:w="1417" w:type="dxa"/>
          </w:tcPr>
          <w:p w14:paraId="488B181F"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 xml:space="preserve">248 </w:t>
            </w:r>
            <w:r w:rsidRPr="00C63E3F">
              <w:rPr>
                <w:rFonts w:ascii="Book Antiqua" w:eastAsia="Arial Unicode MS" w:hAnsi="Book Antiqua" w:cs="Arial"/>
                <w:sz w:val="24"/>
                <w:szCs w:val="24"/>
                <w:lang w:val="de-DE"/>
              </w:rPr>
              <w:t>(100)</w:t>
            </w:r>
          </w:p>
        </w:tc>
        <w:tc>
          <w:tcPr>
            <w:tcW w:w="1701" w:type="dxa"/>
          </w:tcPr>
          <w:p w14:paraId="1B293ED2" w14:textId="77777777" w:rsidR="002E4FBD" w:rsidRPr="00C63E3F" w:rsidRDefault="002E4FBD" w:rsidP="009A3E1D">
            <w:pPr>
              <w:spacing w:line="360" w:lineRule="auto"/>
              <w:jc w:val="both"/>
              <w:rPr>
                <w:rFonts w:ascii="Book Antiqua" w:eastAsia="ArialUnicodeMS" w:hAnsi="Book Antiqua" w:cs="Arial"/>
                <w:sz w:val="24"/>
                <w:szCs w:val="24"/>
                <w:lang w:val="en-US"/>
              </w:rPr>
            </w:pPr>
            <w:r w:rsidRPr="00C63E3F">
              <w:rPr>
                <w:rFonts w:ascii="Book Antiqua" w:eastAsia="ArialUnicodeMS" w:hAnsi="Book Antiqua" w:cs="Arial"/>
                <w:sz w:val="24"/>
                <w:szCs w:val="24"/>
                <w:lang w:val="en-US"/>
              </w:rPr>
              <w:t xml:space="preserve">350 </w:t>
            </w:r>
            <w:r w:rsidRPr="00C63E3F">
              <w:rPr>
                <w:rFonts w:ascii="Book Antiqua" w:eastAsia="Arial Unicode MS" w:hAnsi="Book Antiqua" w:cs="Arial"/>
                <w:sz w:val="24"/>
                <w:szCs w:val="24"/>
                <w:lang w:val="de-DE"/>
              </w:rPr>
              <w:t>(100)</w:t>
            </w:r>
          </w:p>
        </w:tc>
      </w:tr>
      <w:tr w:rsidR="00EB0AB2" w:rsidRPr="00C63E3F" w14:paraId="53281AB6" w14:textId="77777777" w:rsidTr="005E415A">
        <w:tc>
          <w:tcPr>
            <w:tcW w:w="1276" w:type="dxa"/>
          </w:tcPr>
          <w:p w14:paraId="13999D07"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Age (range)</w:t>
            </w:r>
          </w:p>
        </w:tc>
        <w:tc>
          <w:tcPr>
            <w:tcW w:w="1985" w:type="dxa"/>
          </w:tcPr>
          <w:p w14:paraId="0729E3FF" w14:textId="77777777" w:rsidR="002E4FBD" w:rsidRPr="00C63E3F" w:rsidRDefault="002E4FBD" w:rsidP="009A3E1D">
            <w:pPr>
              <w:spacing w:line="360" w:lineRule="auto"/>
              <w:ind w:right="-262"/>
              <w:jc w:val="both"/>
              <w:rPr>
                <w:rFonts w:ascii="Book Antiqua" w:eastAsia="Arial Unicode MS" w:hAnsi="Book Antiqua" w:cs="Arial"/>
                <w:sz w:val="24"/>
                <w:szCs w:val="24"/>
                <w:lang w:val="en-US"/>
              </w:rPr>
            </w:pPr>
            <w:r w:rsidRPr="00C63E3F">
              <w:rPr>
                <w:rFonts w:ascii="Book Antiqua" w:eastAsia="Arial Unicode MS" w:hAnsi="Book Antiqua" w:cs="Arial"/>
                <w:sz w:val="24"/>
                <w:szCs w:val="24"/>
                <w:lang w:val="en-US"/>
              </w:rPr>
              <w:t>57 (19-83)</w:t>
            </w:r>
          </w:p>
        </w:tc>
        <w:tc>
          <w:tcPr>
            <w:tcW w:w="1984" w:type="dxa"/>
          </w:tcPr>
          <w:p w14:paraId="6D1C67EE" w14:textId="77777777" w:rsidR="002E4FBD" w:rsidRPr="00C63E3F" w:rsidRDefault="002E4FBD" w:rsidP="009A3E1D">
            <w:pPr>
              <w:spacing w:line="360" w:lineRule="auto"/>
              <w:ind w:right="-262"/>
              <w:jc w:val="both"/>
              <w:rPr>
                <w:rFonts w:ascii="Book Antiqua" w:eastAsia="Arial Unicode MS" w:hAnsi="Book Antiqua" w:cs="Arial"/>
                <w:sz w:val="24"/>
                <w:szCs w:val="24"/>
                <w:lang w:val="en-US"/>
              </w:rPr>
            </w:pPr>
            <w:r w:rsidRPr="00C63E3F">
              <w:rPr>
                <w:rFonts w:ascii="Book Antiqua" w:eastAsia="Arial Unicode MS" w:hAnsi="Book Antiqua" w:cs="Arial"/>
                <w:sz w:val="24"/>
                <w:szCs w:val="24"/>
                <w:lang w:val="en-US"/>
              </w:rPr>
              <w:t>60 (24-83)</w:t>
            </w:r>
          </w:p>
        </w:tc>
        <w:tc>
          <w:tcPr>
            <w:tcW w:w="1843" w:type="dxa"/>
          </w:tcPr>
          <w:p w14:paraId="75CBFB6F"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55 (19-80)</w:t>
            </w:r>
          </w:p>
        </w:tc>
        <w:tc>
          <w:tcPr>
            <w:tcW w:w="1417" w:type="dxa"/>
          </w:tcPr>
          <w:p w14:paraId="2D79D9C5"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49 (19-83)</w:t>
            </w:r>
          </w:p>
        </w:tc>
        <w:tc>
          <w:tcPr>
            <w:tcW w:w="1701" w:type="dxa"/>
          </w:tcPr>
          <w:p w14:paraId="36A42B91"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51 (19-83)</w:t>
            </w:r>
          </w:p>
        </w:tc>
      </w:tr>
      <w:tr w:rsidR="00EB0AB2" w:rsidRPr="00C63E3F" w14:paraId="6CDD8DAF" w14:textId="77777777" w:rsidTr="005E415A">
        <w:tc>
          <w:tcPr>
            <w:tcW w:w="1276" w:type="dxa"/>
          </w:tcPr>
          <w:p w14:paraId="4495AB6F"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Male sex</w:t>
            </w:r>
          </w:p>
        </w:tc>
        <w:tc>
          <w:tcPr>
            <w:tcW w:w="1985" w:type="dxa"/>
          </w:tcPr>
          <w:p w14:paraId="3CDE89B5"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620 (57.5)</w:t>
            </w:r>
          </w:p>
        </w:tc>
        <w:tc>
          <w:tcPr>
            <w:tcW w:w="1984" w:type="dxa"/>
          </w:tcPr>
          <w:p w14:paraId="4055AA10"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384 (52.7)</w:t>
            </w:r>
          </w:p>
        </w:tc>
        <w:tc>
          <w:tcPr>
            <w:tcW w:w="1843" w:type="dxa"/>
          </w:tcPr>
          <w:p w14:paraId="316A0254"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81 (79.4)</w:t>
            </w:r>
          </w:p>
        </w:tc>
        <w:tc>
          <w:tcPr>
            <w:tcW w:w="1417" w:type="dxa"/>
          </w:tcPr>
          <w:p w14:paraId="4AE8142D"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155 (62.5)</w:t>
            </w:r>
          </w:p>
        </w:tc>
        <w:tc>
          <w:tcPr>
            <w:tcW w:w="1701" w:type="dxa"/>
          </w:tcPr>
          <w:p w14:paraId="445ADD03"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236 (67.4)</w:t>
            </w:r>
          </w:p>
        </w:tc>
      </w:tr>
      <w:tr w:rsidR="00EB0AB2" w:rsidRPr="00C63E3F" w14:paraId="7DA59E62" w14:textId="77777777" w:rsidTr="005E415A">
        <w:tc>
          <w:tcPr>
            <w:tcW w:w="1276" w:type="dxa"/>
          </w:tcPr>
          <w:p w14:paraId="0A916B5D"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PVT</w:t>
            </w:r>
            <w:r w:rsidR="00240029" w:rsidRPr="00C63E3F">
              <w:rPr>
                <w:rFonts w:ascii="Book Antiqua" w:hAnsi="Book Antiqua" w:cs="Arial"/>
                <w:sz w:val="24"/>
                <w:szCs w:val="24"/>
                <w:lang w:val="en-GB"/>
              </w:rPr>
              <w:t>/</w:t>
            </w:r>
            <w:r w:rsidRPr="00C63E3F">
              <w:rPr>
                <w:rFonts w:ascii="Book Antiqua" w:hAnsi="Book Antiqua" w:cs="Arial"/>
                <w:sz w:val="24"/>
                <w:szCs w:val="24"/>
                <w:lang w:val="en-GB"/>
              </w:rPr>
              <w:t>BCS</w:t>
            </w:r>
          </w:p>
        </w:tc>
        <w:tc>
          <w:tcPr>
            <w:tcW w:w="1985" w:type="dxa"/>
          </w:tcPr>
          <w:p w14:paraId="07D07AC6"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352 (32.6)</w:t>
            </w:r>
          </w:p>
        </w:tc>
        <w:tc>
          <w:tcPr>
            <w:tcW w:w="1984" w:type="dxa"/>
          </w:tcPr>
          <w:p w14:paraId="6402A2F1"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230 (31.5)</w:t>
            </w:r>
          </w:p>
        </w:tc>
        <w:tc>
          <w:tcPr>
            <w:tcW w:w="1843" w:type="dxa"/>
          </w:tcPr>
          <w:p w14:paraId="5431ED69"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45 (44.1)</w:t>
            </w:r>
          </w:p>
        </w:tc>
        <w:tc>
          <w:tcPr>
            <w:tcW w:w="1417" w:type="dxa"/>
          </w:tcPr>
          <w:p w14:paraId="1A6DCAA2"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77 (31.0)</w:t>
            </w:r>
          </w:p>
        </w:tc>
        <w:tc>
          <w:tcPr>
            <w:tcW w:w="1701" w:type="dxa"/>
          </w:tcPr>
          <w:p w14:paraId="01037B80"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122 (34.8)</w:t>
            </w:r>
          </w:p>
        </w:tc>
      </w:tr>
      <w:tr w:rsidR="00EB0AB2" w:rsidRPr="00C63E3F" w14:paraId="1922A3A6" w14:textId="77777777" w:rsidTr="005E415A">
        <w:tc>
          <w:tcPr>
            <w:tcW w:w="1276" w:type="dxa"/>
          </w:tcPr>
          <w:p w14:paraId="55BA2158"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MVT/ SVT</w:t>
            </w:r>
          </w:p>
        </w:tc>
        <w:tc>
          <w:tcPr>
            <w:tcW w:w="1985" w:type="dxa"/>
          </w:tcPr>
          <w:p w14:paraId="609E0934"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53 (4.9)</w:t>
            </w:r>
          </w:p>
        </w:tc>
        <w:tc>
          <w:tcPr>
            <w:tcW w:w="1984" w:type="dxa"/>
          </w:tcPr>
          <w:p w14:paraId="29D400BC"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33 (4.5)</w:t>
            </w:r>
          </w:p>
        </w:tc>
        <w:tc>
          <w:tcPr>
            <w:tcW w:w="1843" w:type="dxa"/>
          </w:tcPr>
          <w:p w14:paraId="452CF4E7"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6 (5.8)</w:t>
            </w:r>
          </w:p>
        </w:tc>
        <w:tc>
          <w:tcPr>
            <w:tcW w:w="1417" w:type="dxa"/>
          </w:tcPr>
          <w:p w14:paraId="68BC1C21"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14 (5.6)</w:t>
            </w:r>
          </w:p>
        </w:tc>
        <w:tc>
          <w:tcPr>
            <w:tcW w:w="1701" w:type="dxa"/>
          </w:tcPr>
          <w:p w14:paraId="13901281"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20 (5.7)</w:t>
            </w:r>
          </w:p>
        </w:tc>
      </w:tr>
      <w:tr w:rsidR="00EB0AB2" w:rsidRPr="00C63E3F" w14:paraId="7152D947" w14:textId="77777777" w:rsidTr="005E415A">
        <w:tc>
          <w:tcPr>
            <w:tcW w:w="1276" w:type="dxa"/>
          </w:tcPr>
          <w:p w14:paraId="60ECE767"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L-M varices</w:t>
            </w:r>
          </w:p>
        </w:tc>
        <w:tc>
          <w:tcPr>
            <w:tcW w:w="1985" w:type="dxa"/>
          </w:tcPr>
          <w:p w14:paraId="7B763AEC"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445 (41.2)</w:t>
            </w:r>
          </w:p>
        </w:tc>
        <w:tc>
          <w:tcPr>
            <w:tcW w:w="1984" w:type="dxa"/>
          </w:tcPr>
          <w:p w14:paraId="01BF6E24"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574 (78.7)</w:t>
            </w:r>
          </w:p>
        </w:tc>
        <w:tc>
          <w:tcPr>
            <w:tcW w:w="1843" w:type="dxa"/>
          </w:tcPr>
          <w:p w14:paraId="27F11F0A"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48 (47.0)</w:t>
            </w:r>
          </w:p>
        </w:tc>
        <w:tc>
          <w:tcPr>
            <w:tcW w:w="1417" w:type="dxa"/>
          </w:tcPr>
          <w:p w14:paraId="684092CE"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150 (60.4)</w:t>
            </w:r>
          </w:p>
        </w:tc>
        <w:tc>
          <w:tcPr>
            <w:tcW w:w="1701" w:type="dxa"/>
          </w:tcPr>
          <w:p w14:paraId="104CE751"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245 (70.0)</w:t>
            </w:r>
          </w:p>
        </w:tc>
      </w:tr>
      <w:tr w:rsidR="00EB0AB2" w:rsidRPr="00C63E3F" w14:paraId="34904495" w14:textId="77777777" w:rsidTr="005E415A">
        <w:tc>
          <w:tcPr>
            <w:tcW w:w="1276" w:type="dxa"/>
          </w:tcPr>
          <w:p w14:paraId="1266643E" w14:textId="77777777" w:rsidR="002E4FBD" w:rsidRPr="00C63E3F" w:rsidRDefault="002E4FBD" w:rsidP="009A3E1D">
            <w:pPr>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 xml:space="preserve">N° Bleeding </w:t>
            </w:r>
          </w:p>
        </w:tc>
        <w:tc>
          <w:tcPr>
            <w:tcW w:w="1985" w:type="dxa"/>
          </w:tcPr>
          <w:p w14:paraId="7D206447"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360 (33.3)</w:t>
            </w:r>
          </w:p>
        </w:tc>
        <w:tc>
          <w:tcPr>
            <w:tcW w:w="1984" w:type="dxa"/>
          </w:tcPr>
          <w:p w14:paraId="5EB3FC1D"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265 (36.3)</w:t>
            </w:r>
          </w:p>
        </w:tc>
        <w:tc>
          <w:tcPr>
            <w:tcW w:w="1843" w:type="dxa"/>
          </w:tcPr>
          <w:p w14:paraId="39DBDC59"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41 (40.1)</w:t>
            </w:r>
          </w:p>
        </w:tc>
        <w:tc>
          <w:tcPr>
            <w:tcW w:w="1417" w:type="dxa"/>
          </w:tcPr>
          <w:p w14:paraId="42A106D1"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54 (21.7)</w:t>
            </w:r>
          </w:p>
        </w:tc>
        <w:tc>
          <w:tcPr>
            <w:tcW w:w="1701" w:type="dxa"/>
          </w:tcPr>
          <w:p w14:paraId="368F5A84"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95 (27.1)</w:t>
            </w:r>
          </w:p>
        </w:tc>
      </w:tr>
      <w:tr w:rsidR="00EB0AB2" w:rsidRPr="00C63E3F" w14:paraId="3A41815B" w14:textId="77777777" w:rsidTr="005E415A">
        <w:tc>
          <w:tcPr>
            <w:tcW w:w="1276" w:type="dxa"/>
          </w:tcPr>
          <w:p w14:paraId="1DA3DEAC" w14:textId="77777777" w:rsidR="003F0478" w:rsidRPr="00C63E3F" w:rsidRDefault="00240029" w:rsidP="009A3E1D">
            <w:pPr>
              <w:spacing w:line="360" w:lineRule="auto"/>
              <w:jc w:val="both"/>
              <w:rPr>
                <w:rFonts w:ascii="Book Antiqua" w:hAnsi="Book Antiqua" w:cs="Arial"/>
                <w:sz w:val="24"/>
                <w:szCs w:val="24"/>
                <w:lang w:val="en-US"/>
              </w:rPr>
            </w:pPr>
            <w:r w:rsidRPr="00C63E3F">
              <w:rPr>
                <w:rFonts w:ascii="Book Antiqua" w:hAnsi="Book Antiqua" w:cs="Arial"/>
                <w:sz w:val="24"/>
                <w:szCs w:val="24"/>
                <w:lang w:val="en-US"/>
              </w:rPr>
              <w:t xml:space="preserve">Child </w:t>
            </w:r>
            <w:r w:rsidR="002E4FBD" w:rsidRPr="00C63E3F">
              <w:rPr>
                <w:rFonts w:ascii="Book Antiqua" w:hAnsi="Book Antiqua" w:cs="Arial"/>
                <w:sz w:val="24"/>
                <w:szCs w:val="24"/>
                <w:lang w:val="en-US"/>
              </w:rPr>
              <w:t>A/B</w:t>
            </w:r>
          </w:p>
          <w:p w14:paraId="32A23E75" w14:textId="77777777" w:rsidR="002E4FBD" w:rsidRPr="00C63E3F" w:rsidRDefault="002E4FBD" w:rsidP="009A3E1D">
            <w:pPr>
              <w:spacing w:line="360" w:lineRule="auto"/>
              <w:jc w:val="both"/>
              <w:rPr>
                <w:rFonts w:ascii="Book Antiqua" w:hAnsi="Book Antiqua" w:cs="Arial"/>
                <w:sz w:val="24"/>
                <w:szCs w:val="24"/>
                <w:lang w:val="en-US"/>
              </w:rPr>
            </w:pPr>
            <w:r w:rsidRPr="00C63E3F">
              <w:rPr>
                <w:rFonts w:ascii="Book Antiqua" w:hAnsi="Book Antiqua" w:cs="Arial"/>
                <w:sz w:val="24"/>
                <w:szCs w:val="24"/>
                <w:lang w:val="en-US"/>
              </w:rPr>
              <w:t xml:space="preserve">/C </w:t>
            </w:r>
          </w:p>
        </w:tc>
        <w:tc>
          <w:tcPr>
            <w:tcW w:w="1985" w:type="dxa"/>
          </w:tcPr>
          <w:p w14:paraId="1542DD68" w14:textId="77777777" w:rsidR="00240029"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416/242/430</w:t>
            </w:r>
          </w:p>
          <w:p w14:paraId="41349C86" w14:textId="77777777" w:rsidR="003F0478"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(38.5/22.4</w:t>
            </w:r>
          </w:p>
          <w:p w14:paraId="1A658DEF"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/39.8)</w:t>
            </w:r>
          </w:p>
        </w:tc>
        <w:tc>
          <w:tcPr>
            <w:tcW w:w="1984" w:type="dxa"/>
          </w:tcPr>
          <w:p w14:paraId="4502C7B7" w14:textId="77777777" w:rsidR="003F0478"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241/194/294 (33.0/26.6</w:t>
            </w:r>
          </w:p>
          <w:p w14:paraId="16B492AC" w14:textId="77777777" w:rsidR="002E4FBD"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/40.3)</w:t>
            </w:r>
          </w:p>
        </w:tc>
        <w:tc>
          <w:tcPr>
            <w:tcW w:w="1843" w:type="dxa"/>
          </w:tcPr>
          <w:p w14:paraId="286B8623" w14:textId="77777777" w:rsidR="003F0478" w:rsidRPr="00C63E3F" w:rsidRDefault="00283253"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31/53/17</w:t>
            </w:r>
            <w:r w:rsidR="00782848" w:rsidRPr="00C63E3F">
              <w:rPr>
                <w:rFonts w:ascii="Book Antiqua" w:eastAsia="Arial Unicode MS" w:hAnsi="Book Antiqua" w:cs="Arial"/>
                <w:sz w:val="24"/>
                <w:szCs w:val="24"/>
                <w:lang w:val="en-GB"/>
              </w:rPr>
              <w:t xml:space="preserve"> </w:t>
            </w:r>
            <w:r w:rsidR="002E4FBD" w:rsidRPr="00C63E3F">
              <w:rPr>
                <w:rFonts w:ascii="Book Antiqua" w:eastAsia="Arial Unicode MS" w:hAnsi="Book Antiqua" w:cs="Arial"/>
                <w:sz w:val="24"/>
                <w:szCs w:val="24"/>
                <w:lang w:val="en-GB"/>
              </w:rPr>
              <w:t>(30.3/51.9</w:t>
            </w:r>
          </w:p>
          <w:p w14:paraId="4005A24A" w14:textId="77777777" w:rsidR="002E4FBD" w:rsidRPr="00C63E3F" w:rsidRDefault="003F0478"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w:t>
            </w:r>
            <w:r w:rsidR="002E4FBD" w:rsidRPr="00C63E3F">
              <w:rPr>
                <w:rFonts w:ascii="Book Antiqua" w:eastAsia="Arial Unicode MS" w:hAnsi="Book Antiqua" w:cs="Arial"/>
                <w:sz w:val="24"/>
                <w:szCs w:val="24"/>
                <w:lang w:val="en-GB"/>
              </w:rPr>
              <w:t>16.6)</w:t>
            </w:r>
          </w:p>
        </w:tc>
        <w:tc>
          <w:tcPr>
            <w:tcW w:w="1417" w:type="dxa"/>
          </w:tcPr>
          <w:p w14:paraId="332FC5DA" w14:textId="77777777" w:rsidR="00AC46F7" w:rsidRPr="00C63E3F" w:rsidRDefault="002E4FBD" w:rsidP="009A3E1D">
            <w:pPr>
              <w:spacing w:line="360" w:lineRule="auto"/>
              <w:ind w:right="-262"/>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129/31/83</w:t>
            </w:r>
          </w:p>
          <w:p w14:paraId="4AC61549" w14:textId="77777777" w:rsidR="003F0478" w:rsidRPr="00C63E3F" w:rsidRDefault="002E4FBD" w:rsidP="009A3E1D">
            <w:pPr>
              <w:spacing w:line="360" w:lineRule="auto"/>
              <w:ind w:left="-75" w:right="-262" w:firstLine="75"/>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(52.0/12.5</w:t>
            </w:r>
          </w:p>
          <w:p w14:paraId="2C2B6A3C" w14:textId="77777777" w:rsidR="002E4FBD" w:rsidRPr="00C63E3F" w:rsidRDefault="002E4FBD" w:rsidP="009A3E1D">
            <w:pPr>
              <w:spacing w:line="360" w:lineRule="auto"/>
              <w:ind w:left="-75" w:right="-262" w:firstLine="75"/>
              <w:jc w:val="both"/>
              <w:rPr>
                <w:rFonts w:ascii="Book Antiqua" w:eastAsia="Arial Unicode MS" w:hAnsi="Book Antiqua" w:cs="Arial"/>
                <w:sz w:val="24"/>
                <w:szCs w:val="24"/>
                <w:lang w:val="en-GB"/>
              </w:rPr>
            </w:pPr>
            <w:r w:rsidRPr="00C63E3F">
              <w:rPr>
                <w:rFonts w:ascii="Book Antiqua" w:eastAsia="Arial Unicode MS" w:hAnsi="Book Antiqua" w:cs="Arial"/>
                <w:sz w:val="24"/>
                <w:szCs w:val="24"/>
                <w:lang w:val="en-GB"/>
              </w:rPr>
              <w:t>/33.4)</w:t>
            </w:r>
          </w:p>
        </w:tc>
        <w:tc>
          <w:tcPr>
            <w:tcW w:w="1701" w:type="dxa"/>
          </w:tcPr>
          <w:p w14:paraId="18975C09" w14:textId="77777777" w:rsidR="003F0478" w:rsidRPr="00C63E3F" w:rsidRDefault="00BA23A6"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165/48/1</w:t>
            </w:r>
            <w:r w:rsidR="002E4FBD" w:rsidRPr="00C63E3F">
              <w:rPr>
                <w:rFonts w:ascii="Book Antiqua" w:hAnsi="Book Antiqua" w:cs="Arial"/>
                <w:sz w:val="24"/>
                <w:szCs w:val="24"/>
                <w:lang w:val="en-GB"/>
              </w:rPr>
              <w:t>7 (47.1/13.7</w:t>
            </w:r>
          </w:p>
          <w:p w14:paraId="01B28FC1" w14:textId="77777777" w:rsidR="002E4FBD" w:rsidRPr="00C63E3F" w:rsidRDefault="002E4FBD" w:rsidP="009A3E1D">
            <w:pPr>
              <w:autoSpaceDE w:val="0"/>
              <w:autoSpaceDN w:val="0"/>
              <w:adjustRightInd w:val="0"/>
              <w:spacing w:line="360" w:lineRule="auto"/>
              <w:jc w:val="both"/>
              <w:rPr>
                <w:rFonts w:ascii="Book Antiqua" w:hAnsi="Book Antiqua" w:cs="Arial"/>
                <w:sz w:val="24"/>
                <w:szCs w:val="24"/>
                <w:lang w:val="en-GB"/>
              </w:rPr>
            </w:pPr>
            <w:r w:rsidRPr="00C63E3F">
              <w:rPr>
                <w:rFonts w:ascii="Book Antiqua" w:hAnsi="Book Antiqua" w:cs="Arial"/>
                <w:sz w:val="24"/>
                <w:szCs w:val="24"/>
                <w:lang w:val="en-GB"/>
              </w:rPr>
              <w:t>/39.1)</w:t>
            </w:r>
          </w:p>
        </w:tc>
      </w:tr>
    </w:tbl>
    <w:p w14:paraId="7E0C5A45" w14:textId="77777777" w:rsidR="002E4FBD" w:rsidRPr="00C63E3F" w:rsidRDefault="002E4FBD" w:rsidP="009A3E1D">
      <w:pPr>
        <w:spacing w:after="0" w:line="360" w:lineRule="auto"/>
        <w:jc w:val="both"/>
        <w:rPr>
          <w:rFonts w:ascii="Book Antiqua" w:hAnsi="Book Antiqua" w:cs="Arial"/>
          <w:sz w:val="24"/>
          <w:szCs w:val="24"/>
          <w:lang w:val="en-US"/>
        </w:rPr>
      </w:pPr>
    </w:p>
    <w:p w14:paraId="3AF01495" w14:textId="77777777" w:rsidR="0055670E" w:rsidRPr="00C63E3F" w:rsidRDefault="00017F63" w:rsidP="009A3E1D">
      <w:pPr>
        <w:spacing w:after="0" w:line="360" w:lineRule="auto"/>
        <w:jc w:val="both"/>
        <w:rPr>
          <w:rFonts w:ascii="Book Antiqua" w:hAnsi="Book Antiqua"/>
          <w:sz w:val="24"/>
          <w:szCs w:val="24"/>
          <w:lang w:eastAsia="zh-CN"/>
        </w:rPr>
      </w:pPr>
      <w:r w:rsidRPr="00C63E3F">
        <w:rPr>
          <w:rStyle w:val="Strong"/>
          <w:rFonts w:ascii="Book Antiqua" w:hAnsi="Book Antiqua" w:cs="Arial"/>
          <w:b w:val="0"/>
          <w:sz w:val="24"/>
          <w:szCs w:val="24"/>
          <w:lang w:val="en-US"/>
        </w:rPr>
        <w:t xml:space="preserve">No statistical differences between </w:t>
      </w:r>
      <w:r w:rsidR="005B152C" w:rsidRPr="00C63E3F">
        <w:rPr>
          <w:rStyle w:val="Strong"/>
          <w:rFonts w:ascii="Book Antiqua" w:hAnsi="Book Antiqua" w:cs="Arial"/>
          <w:b w:val="0"/>
          <w:sz w:val="24"/>
          <w:szCs w:val="24"/>
          <w:lang w:val="en-US"/>
        </w:rPr>
        <w:t xml:space="preserve">VLC </w:t>
      </w:r>
      <w:r w:rsidR="001A625B" w:rsidRPr="00C63E3F">
        <w:rPr>
          <w:rFonts w:ascii="Book Antiqua" w:hAnsi="Book Antiqua"/>
          <w:i/>
          <w:sz w:val="24"/>
          <w:szCs w:val="24"/>
          <w:lang w:val="en-US" w:eastAsia="zh-CN"/>
        </w:rPr>
        <w:t>vs</w:t>
      </w:r>
      <w:r w:rsidRPr="00C63E3F">
        <w:rPr>
          <w:rStyle w:val="Strong"/>
          <w:rFonts w:ascii="Book Antiqua" w:hAnsi="Book Antiqua" w:cs="Arial"/>
          <w:b w:val="0"/>
          <w:sz w:val="24"/>
          <w:szCs w:val="24"/>
          <w:lang w:val="en-US"/>
        </w:rPr>
        <w:t xml:space="preserve"> </w:t>
      </w:r>
      <w:r w:rsidR="005B152C" w:rsidRPr="00C63E3F">
        <w:rPr>
          <w:rStyle w:val="Strong"/>
          <w:rFonts w:ascii="Book Antiqua" w:hAnsi="Book Antiqua" w:cs="Arial"/>
          <w:b w:val="0"/>
          <w:sz w:val="24"/>
          <w:szCs w:val="24"/>
          <w:lang w:val="en-US"/>
        </w:rPr>
        <w:t xml:space="preserve">NVLC </w:t>
      </w:r>
      <w:r w:rsidR="00F31DBE" w:rsidRPr="00C63E3F">
        <w:rPr>
          <w:rStyle w:val="Strong"/>
          <w:rFonts w:ascii="Book Antiqua" w:hAnsi="Book Antiqua" w:cs="Arial"/>
          <w:b w:val="0"/>
          <w:sz w:val="24"/>
          <w:szCs w:val="24"/>
          <w:lang w:val="en-US"/>
        </w:rPr>
        <w:t>group</w:t>
      </w:r>
      <w:r w:rsidRPr="00C63E3F">
        <w:rPr>
          <w:rStyle w:val="Strong"/>
          <w:rFonts w:ascii="Book Antiqua" w:hAnsi="Book Antiqua" w:cs="Arial"/>
          <w:b w:val="0"/>
          <w:sz w:val="24"/>
          <w:szCs w:val="24"/>
          <w:lang w:val="en-US"/>
        </w:rPr>
        <w:t>:</w:t>
      </w:r>
      <w:r w:rsidRPr="00C63E3F">
        <w:rPr>
          <w:rFonts w:ascii="Book Antiqua" w:hAnsi="Book Antiqua"/>
          <w:sz w:val="24"/>
          <w:szCs w:val="24"/>
          <w:lang w:val="en-US" w:eastAsia="zh-CN"/>
        </w:rPr>
        <w:t xml:space="preserve"> </w:t>
      </w:r>
      <w:r w:rsidR="00C44A62" w:rsidRPr="00C63E3F">
        <w:rPr>
          <w:rFonts w:ascii="Book Antiqua" w:hAnsi="Book Antiqua"/>
          <w:sz w:val="24"/>
          <w:szCs w:val="24"/>
          <w:lang w:val="en-US" w:eastAsia="zh-CN"/>
        </w:rPr>
        <w:t>A</w:t>
      </w:r>
      <w:r w:rsidRPr="00C63E3F">
        <w:rPr>
          <w:rFonts w:ascii="Book Antiqua" w:hAnsi="Book Antiqua"/>
          <w:sz w:val="24"/>
          <w:szCs w:val="24"/>
          <w:lang w:val="en-US" w:eastAsia="zh-CN"/>
        </w:rPr>
        <w:t xml:space="preserve">ll </w:t>
      </w:r>
      <w:r w:rsidRPr="00C63E3F">
        <w:rPr>
          <w:rFonts w:ascii="Book Antiqua" w:hAnsi="Book Antiqua"/>
          <w:i/>
          <w:sz w:val="24"/>
          <w:szCs w:val="24"/>
        </w:rPr>
        <w:sym w:font="Symbol" w:char="F063"/>
      </w:r>
      <w:r w:rsidRPr="00C63E3F">
        <w:rPr>
          <w:rFonts w:ascii="Book Antiqua" w:hAnsi="Book Antiqua"/>
          <w:sz w:val="24"/>
          <w:szCs w:val="24"/>
          <w:vertAlign w:val="superscript"/>
          <w:lang w:val="en-US" w:eastAsia="zh-CN"/>
        </w:rPr>
        <w:t>2</w:t>
      </w:r>
      <w:r w:rsidRPr="00C63E3F">
        <w:rPr>
          <w:rFonts w:ascii="Book Antiqua" w:hAnsi="Book Antiqua"/>
          <w:sz w:val="24"/>
          <w:szCs w:val="24"/>
          <w:lang w:val="en-US" w:eastAsia="zh-CN"/>
        </w:rPr>
        <w:t xml:space="preserve"> &gt; 3.85 and </w:t>
      </w:r>
      <w:r w:rsidRPr="00C63E3F">
        <w:rPr>
          <w:rFonts w:ascii="Book Antiqua" w:hAnsi="Book Antiqua"/>
          <w:i/>
          <w:sz w:val="24"/>
          <w:szCs w:val="24"/>
          <w:lang w:val="en-US" w:eastAsia="zh-CN"/>
        </w:rPr>
        <w:t>P</w:t>
      </w:r>
      <w:r w:rsidRPr="00C63E3F">
        <w:rPr>
          <w:rFonts w:ascii="Book Antiqua" w:hAnsi="Book Antiqua"/>
          <w:sz w:val="24"/>
          <w:szCs w:val="24"/>
          <w:lang w:val="en-US" w:eastAsia="zh-CN"/>
        </w:rPr>
        <w:t xml:space="preserve"> &lt; 0.05.</w:t>
      </w:r>
      <w:r w:rsidR="0055670E" w:rsidRPr="00C63E3F">
        <w:rPr>
          <w:rFonts w:ascii="Book Antiqua" w:eastAsia="Times New Roman" w:hAnsi="Book Antiqua" w:cs="Arial"/>
          <w:sz w:val="24"/>
          <w:szCs w:val="24"/>
          <w:lang w:val="en-GB" w:eastAsia="it-IT"/>
        </w:rPr>
        <w:t xml:space="preserve"> </w:t>
      </w:r>
      <w:r w:rsidR="006C2D92" w:rsidRPr="00C63E3F">
        <w:rPr>
          <w:rFonts w:ascii="Book Antiqua" w:eastAsia="Times New Roman" w:hAnsi="Book Antiqua" w:cs="Arial"/>
          <w:sz w:val="24"/>
          <w:szCs w:val="24"/>
          <w:lang w:val="en-GB" w:eastAsia="it-IT"/>
        </w:rPr>
        <w:t>VLC</w:t>
      </w:r>
      <w:r w:rsidR="006C2D92" w:rsidRPr="00C63E3F">
        <w:rPr>
          <w:rFonts w:ascii="Book Antiqua" w:hAnsi="Book Antiqua" w:cs="Arial"/>
          <w:sz w:val="24"/>
          <w:szCs w:val="24"/>
          <w:lang w:val="en-GB" w:eastAsia="zh-CN"/>
        </w:rPr>
        <w:t xml:space="preserve">: </w:t>
      </w:r>
      <w:r w:rsidR="006C2D92" w:rsidRPr="00C63E3F">
        <w:rPr>
          <w:rFonts w:ascii="Book Antiqua" w:eastAsia="Times New Roman" w:hAnsi="Book Antiqua" w:cs="Arial"/>
          <w:sz w:val="24"/>
          <w:szCs w:val="24"/>
          <w:lang w:val="en-GB" w:eastAsia="it-IT"/>
        </w:rPr>
        <w:t>Virus liver cirrhosis</w:t>
      </w:r>
      <w:r w:rsidR="006C2D92" w:rsidRPr="00C63E3F">
        <w:rPr>
          <w:rFonts w:ascii="Book Antiqua" w:hAnsi="Book Antiqua" w:cs="Arial"/>
          <w:sz w:val="24"/>
          <w:szCs w:val="24"/>
          <w:lang w:val="en-GB" w:eastAsia="zh-CN"/>
        </w:rPr>
        <w:t xml:space="preserve">; </w:t>
      </w:r>
      <w:r w:rsidR="006C2D92" w:rsidRPr="00C63E3F">
        <w:rPr>
          <w:rFonts w:ascii="Book Antiqua" w:eastAsia="Times New Roman" w:hAnsi="Book Antiqua" w:cs="Arial"/>
          <w:sz w:val="24"/>
          <w:szCs w:val="24"/>
          <w:lang w:val="en-GB" w:eastAsia="it-IT"/>
        </w:rPr>
        <w:t>NVLC</w:t>
      </w:r>
      <w:r w:rsidR="006C2D92" w:rsidRPr="00C63E3F">
        <w:rPr>
          <w:rFonts w:ascii="Book Antiqua" w:hAnsi="Book Antiqua" w:cs="Arial"/>
          <w:sz w:val="24"/>
          <w:szCs w:val="24"/>
          <w:lang w:val="en-GB" w:eastAsia="zh-CN"/>
        </w:rPr>
        <w:t>:</w:t>
      </w:r>
      <w:r w:rsidR="006C2D92" w:rsidRPr="00C63E3F">
        <w:rPr>
          <w:rFonts w:ascii="Book Antiqua" w:eastAsia="Times New Roman" w:hAnsi="Book Antiqua" w:cs="Arial"/>
          <w:sz w:val="24"/>
          <w:szCs w:val="24"/>
          <w:lang w:val="en-GB" w:eastAsia="it-IT"/>
        </w:rPr>
        <w:t xml:space="preserve"> N</w:t>
      </w:r>
      <w:r w:rsidR="0055670E" w:rsidRPr="00C63E3F">
        <w:rPr>
          <w:rFonts w:ascii="Book Antiqua" w:eastAsia="Times New Roman" w:hAnsi="Book Antiqua" w:cs="Arial"/>
          <w:sz w:val="24"/>
          <w:szCs w:val="24"/>
          <w:lang w:val="en-GB" w:eastAsia="it-IT"/>
        </w:rPr>
        <w:t>on-virus cirrhosis</w:t>
      </w:r>
      <w:r w:rsidR="006C2D92" w:rsidRPr="00C63E3F">
        <w:rPr>
          <w:rFonts w:ascii="Book Antiqua" w:hAnsi="Book Antiqua" w:cs="Arial"/>
          <w:sz w:val="24"/>
          <w:szCs w:val="24"/>
          <w:lang w:val="en-GB" w:eastAsia="zh-CN"/>
        </w:rPr>
        <w:t>;</w:t>
      </w:r>
      <w:r w:rsidR="006C2D92" w:rsidRPr="00C63E3F">
        <w:rPr>
          <w:rFonts w:ascii="Book Antiqua" w:hAnsi="Book Antiqua"/>
          <w:sz w:val="24"/>
          <w:szCs w:val="24"/>
          <w:lang w:val="en-US" w:eastAsia="zh-CN"/>
        </w:rPr>
        <w:t xml:space="preserve"> PVT: Portal vein thrombosis; BCS: Budd chiari syndrome</w:t>
      </w:r>
      <w:r w:rsidR="00455208" w:rsidRPr="00C63E3F">
        <w:rPr>
          <w:rFonts w:ascii="Book Antiqua" w:hAnsi="Book Antiqua"/>
          <w:sz w:val="24"/>
          <w:szCs w:val="24"/>
          <w:lang w:val="en-US" w:eastAsia="zh-CN"/>
        </w:rPr>
        <w:t>.</w:t>
      </w:r>
    </w:p>
    <w:p w14:paraId="27527A5D" w14:textId="77777777" w:rsidR="004324C3" w:rsidRPr="00C63E3F" w:rsidRDefault="004324C3" w:rsidP="009A3E1D">
      <w:pPr>
        <w:spacing w:after="0" w:line="360" w:lineRule="auto"/>
        <w:jc w:val="both"/>
        <w:rPr>
          <w:rFonts w:ascii="Book Antiqua" w:hAnsi="Book Antiqua" w:cs="Arial"/>
          <w:sz w:val="24"/>
          <w:szCs w:val="24"/>
          <w:lang w:val="en-US"/>
        </w:rPr>
      </w:pPr>
    </w:p>
    <w:p w14:paraId="222CFA49" w14:textId="77777777" w:rsidR="004324C3" w:rsidRPr="00C63E3F" w:rsidRDefault="004324C3" w:rsidP="009A3E1D">
      <w:pPr>
        <w:spacing w:after="0" w:line="360" w:lineRule="auto"/>
        <w:jc w:val="both"/>
        <w:rPr>
          <w:rFonts w:ascii="Book Antiqua" w:hAnsi="Book Antiqua" w:cs="Arial"/>
          <w:sz w:val="24"/>
          <w:szCs w:val="24"/>
          <w:lang w:val="en-US"/>
        </w:rPr>
      </w:pPr>
    </w:p>
    <w:p w14:paraId="328A7459" w14:textId="77777777" w:rsidR="004324C3" w:rsidRPr="00C63E3F" w:rsidRDefault="004324C3" w:rsidP="009A3E1D">
      <w:pPr>
        <w:spacing w:after="0" w:line="360" w:lineRule="auto"/>
        <w:jc w:val="both"/>
        <w:rPr>
          <w:rFonts w:ascii="Book Antiqua" w:hAnsi="Book Antiqua" w:cs="Arial"/>
          <w:sz w:val="24"/>
          <w:szCs w:val="24"/>
          <w:lang w:val="en-US"/>
        </w:rPr>
      </w:pPr>
    </w:p>
    <w:p w14:paraId="049E4C28" w14:textId="77777777" w:rsidR="004324C3" w:rsidRPr="00C63E3F" w:rsidRDefault="004324C3" w:rsidP="009A3E1D">
      <w:pPr>
        <w:spacing w:after="0" w:line="360" w:lineRule="auto"/>
        <w:jc w:val="both"/>
        <w:rPr>
          <w:rFonts w:ascii="Book Antiqua" w:hAnsi="Book Antiqua" w:cs="Arial"/>
          <w:sz w:val="24"/>
          <w:szCs w:val="24"/>
          <w:lang w:val="en-US"/>
        </w:rPr>
      </w:pPr>
    </w:p>
    <w:p w14:paraId="47DC5B7E" w14:textId="77777777" w:rsidR="00F023D5" w:rsidRPr="00C63E3F" w:rsidRDefault="00F023D5" w:rsidP="009A3E1D">
      <w:pPr>
        <w:spacing w:after="0" w:line="360" w:lineRule="auto"/>
        <w:jc w:val="both"/>
        <w:rPr>
          <w:rFonts w:ascii="Book Antiqua" w:hAnsi="Book Antiqua" w:cs="Arial"/>
          <w:sz w:val="24"/>
          <w:szCs w:val="24"/>
          <w:lang w:val="en-US"/>
        </w:rPr>
      </w:pPr>
    </w:p>
    <w:p w14:paraId="6BAEDD1E" w14:textId="77777777" w:rsidR="004324C3" w:rsidRPr="00C63E3F" w:rsidRDefault="004324C3" w:rsidP="009A3E1D">
      <w:pPr>
        <w:spacing w:after="0" w:line="360" w:lineRule="auto"/>
        <w:jc w:val="both"/>
        <w:rPr>
          <w:rFonts w:ascii="Book Antiqua" w:hAnsi="Book Antiqua" w:cs="Arial"/>
          <w:sz w:val="24"/>
          <w:szCs w:val="24"/>
          <w:lang w:val="en-US"/>
        </w:rPr>
      </w:pPr>
    </w:p>
    <w:p w14:paraId="2E65BAC4" w14:textId="77777777" w:rsidR="004324C3" w:rsidRPr="00C63E3F" w:rsidRDefault="004324C3" w:rsidP="009A3E1D">
      <w:pPr>
        <w:spacing w:after="0" w:line="360" w:lineRule="auto"/>
        <w:jc w:val="both"/>
        <w:rPr>
          <w:rFonts w:ascii="Book Antiqua" w:hAnsi="Book Antiqua" w:cs="Arial"/>
          <w:sz w:val="24"/>
          <w:szCs w:val="24"/>
          <w:lang w:val="en-US"/>
        </w:rPr>
      </w:pPr>
    </w:p>
    <w:p w14:paraId="0FBAB637" w14:textId="77777777" w:rsidR="006C2D92" w:rsidRPr="00C63E3F" w:rsidRDefault="006C2D92" w:rsidP="009A3E1D">
      <w:pPr>
        <w:spacing w:after="0" w:line="360" w:lineRule="auto"/>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US" w:eastAsia="it-IT"/>
        </w:rPr>
        <w:br w:type="page"/>
      </w:r>
    </w:p>
    <w:p w14:paraId="08ED1AA0" w14:textId="77777777" w:rsidR="007669D6" w:rsidRPr="00C63E3F" w:rsidRDefault="00E023CD" w:rsidP="009A3E1D">
      <w:pPr>
        <w:spacing w:after="0" w:line="360" w:lineRule="auto"/>
        <w:jc w:val="both"/>
        <w:rPr>
          <w:rFonts w:ascii="Book Antiqua" w:hAnsi="Book Antiqua" w:cs="Arial"/>
          <w:b/>
          <w:sz w:val="24"/>
          <w:szCs w:val="24"/>
          <w:lang w:val="en-US" w:eastAsia="zh-CN"/>
        </w:rPr>
      </w:pPr>
      <w:r w:rsidRPr="00C63E3F">
        <w:rPr>
          <w:rFonts w:ascii="Book Antiqua" w:eastAsia="Times New Roman" w:hAnsi="Book Antiqua" w:cs="Arial"/>
          <w:b/>
          <w:sz w:val="24"/>
          <w:szCs w:val="24"/>
          <w:lang w:val="en-US" w:eastAsia="it-IT"/>
        </w:rPr>
        <w:t>Table 2</w:t>
      </w:r>
      <w:r w:rsidR="002E4FBD" w:rsidRPr="00C63E3F">
        <w:rPr>
          <w:rFonts w:ascii="Book Antiqua" w:eastAsia="Times New Roman" w:hAnsi="Book Antiqua" w:cs="Arial"/>
          <w:b/>
          <w:sz w:val="24"/>
          <w:szCs w:val="24"/>
          <w:lang w:val="en-US" w:eastAsia="it-IT"/>
        </w:rPr>
        <w:t xml:space="preserve"> Frequencies of thrombophilic</w:t>
      </w:r>
      <w:r w:rsidR="00114416" w:rsidRPr="00C63E3F">
        <w:rPr>
          <w:rFonts w:ascii="Book Antiqua" w:eastAsia="Times New Roman" w:hAnsi="Book Antiqua" w:cs="Arial"/>
          <w:b/>
          <w:sz w:val="24"/>
          <w:szCs w:val="24"/>
          <w:lang w:val="en-US" w:eastAsia="it-IT"/>
        </w:rPr>
        <w:t xml:space="preserve"> </w:t>
      </w:r>
      <w:r w:rsidR="002E4FBD" w:rsidRPr="00C63E3F">
        <w:rPr>
          <w:rFonts w:ascii="Book Antiqua" w:eastAsia="Times New Roman" w:hAnsi="Book Antiqua" w:cs="Arial"/>
          <w:b/>
          <w:sz w:val="24"/>
          <w:szCs w:val="24"/>
          <w:lang w:val="en-US" w:eastAsia="it-IT"/>
        </w:rPr>
        <w:t>genetic factors</w:t>
      </w:r>
      <w:r w:rsidR="002E4FBD" w:rsidRPr="00C63E3F">
        <w:rPr>
          <w:rFonts w:ascii="Book Antiqua" w:eastAsia="Times New Roman" w:hAnsi="Book Antiqua" w:cs="Arial"/>
          <w:b/>
          <w:sz w:val="24"/>
          <w:szCs w:val="24"/>
          <w:lang w:val="en-GB" w:eastAsia="it-IT"/>
        </w:rPr>
        <w:t xml:space="preserve">, </w:t>
      </w:r>
      <w:r w:rsidR="00114416" w:rsidRPr="00C63E3F">
        <w:rPr>
          <w:rFonts w:ascii="Book Antiqua" w:eastAsia="Times New Roman" w:hAnsi="Book Antiqua" w:cs="Arial"/>
          <w:b/>
          <w:sz w:val="24"/>
          <w:szCs w:val="24"/>
          <w:lang w:val="en-GB" w:eastAsia="it-IT"/>
        </w:rPr>
        <w:t xml:space="preserve">PAI-1 4G-4G, MTHFR 677TT </w:t>
      </w:r>
      <w:r w:rsidR="002E4FBD" w:rsidRPr="00C63E3F">
        <w:rPr>
          <w:rFonts w:ascii="Book Antiqua" w:eastAsia="Times New Roman" w:hAnsi="Book Antiqua" w:cs="Arial"/>
          <w:b/>
          <w:sz w:val="24"/>
          <w:szCs w:val="24"/>
          <w:lang w:val="de-DE" w:eastAsia="it-IT"/>
        </w:rPr>
        <w:t>V</w:t>
      </w:r>
      <w:r w:rsidR="00114416" w:rsidRPr="00C63E3F">
        <w:rPr>
          <w:rFonts w:ascii="Book Antiqua" w:eastAsia="Times New Roman" w:hAnsi="Book Antiqua" w:cs="Arial"/>
          <w:b/>
          <w:sz w:val="24"/>
          <w:szCs w:val="24"/>
          <w:lang w:val="de-DE" w:eastAsia="it-IT"/>
        </w:rPr>
        <w:t>,</w:t>
      </w:r>
      <w:r w:rsidR="002E4FBD" w:rsidRPr="00C63E3F">
        <w:rPr>
          <w:rFonts w:ascii="Book Antiqua" w:eastAsia="Times New Roman" w:hAnsi="Book Antiqua" w:cs="Arial"/>
          <w:b/>
          <w:sz w:val="24"/>
          <w:szCs w:val="24"/>
          <w:lang w:val="de-DE" w:eastAsia="it-IT"/>
        </w:rPr>
        <w:t xml:space="preserve"> Leiden 506Q</w:t>
      </w:r>
      <w:r w:rsidR="007C119E" w:rsidRPr="00C63E3F">
        <w:rPr>
          <w:rFonts w:ascii="Book Antiqua" w:eastAsia="Times New Roman" w:hAnsi="Book Antiqua" w:cs="Arial"/>
          <w:b/>
          <w:sz w:val="24"/>
          <w:szCs w:val="24"/>
          <w:lang w:val="de-DE" w:eastAsia="it-IT"/>
        </w:rPr>
        <w:t xml:space="preserve"> and</w:t>
      </w:r>
      <w:r w:rsidR="002E4FBD" w:rsidRPr="00C63E3F">
        <w:rPr>
          <w:rFonts w:ascii="Book Antiqua" w:eastAsia="Times New Roman" w:hAnsi="Book Antiqua" w:cs="Arial"/>
          <w:b/>
          <w:sz w:val="24"/>
          <w:szCs w:val="24"/>
          <w:lang w:val="de-DE" w:eastAsia="it-IT"/>
        </w:rPr>
        <w:t xml:space="preserve"> </w:t>
      </w:r>
      <w:r w:rsidR="002B08B8" w:rsidRPr="00C63E3F">
        <w:rPr>
          <w:rFonts w:ascii="Book Antiqua" w:eastAsia="Times New Roman" w:hAnsi="Book Antiqua" w:cs="Arial"/>
          <w:b/>
          <w:sz w:val="24"/>
          <w:szCs w:val="24"/>
          <w:lang w:val="en-GB" w:eastAsia="it-IT"/>
        </w:rPr>
        <w:t>Prothrombin</w:t>
      </w:r>
      <w:r w:rsidR="002E4FBD" w:rsidRPr="00C63E3F">
        <w:rPr>
          <w:rFonts w:ascii="Book Antiqua" w:eastAsia="Times New Roman" w:hAnsi="Book Antiqua" w:cs="Arial"/>
          <w:b/>
          <w:sz w:val="24"/>
          <w:szCs w:val="24"/>
          <w:lang w:val="en-GB" w:eastAsia="it-IT"/>
        </w:rPr>
        <w:t xml:space="preserve"> 20210A in </w:t>
      </w:r>
      <w:r w:rsidR="002E4FBD" w:rsidRPr="00C63E3F">
        <w:rPr>
          <w:rFonts w:ascii="Book Antiqua" w:eastAsia="Times New Roman" w:hAnsi="Book Antiqua" w:cs="Arial"/>
          <w:b/>
          <w:sz w:val="24"/>
          <w:szCs w:val="24"/>
          <w:lang w:val="en-US" w:eastAsia="it-IT"/>
        </w:rPr>
        <w:t xml:space="preserve">patients with </w:t>
      </w:r>
      <w:r w:rsidR="00F63A59" w:rsidRPr="00C63E3F">
        <w:rPr>
          <w:rFonts w:ascii="Book Antiqua" w:eastAsia="Times New Roman" w:hAnsi="Book Antiqua" w:cs="Arial"/>
          <w:b/>
          <w:sz w:val="24"/>
          <w:szCs w:val="24"/>
          <w:lang w:eastAsia="it-IT"/>
        </w:rPr>
        <w:t>hepatitis C virus</w:t>
      </w:r>
      <w:r w:rsidR="00F63A59" w:rsidRPr="00C63E3F">
        <w:rPr>
          <w:rFonts w:ascii="Book Antiqua" w:eastAsia="Times New Roman" w:hAnsi="Book Antiqua" w:cs="Arial"/>
          <w:b/>
          <w:sz w:val="24"/>
          <w:szCs w:val="24"/>
          <w:lang w:val="en-GB" w:eastAsia="it-IT"/>
        </w:rPr>
        <w:t>/</w:t>
      </w:r>
      <w:r w:rsidR="00F63A59" w:rsidRPr="00C63E3F">
        <w:rPr>
          <w:rFonts w:ascii="Book Antiqua" w:eastAsia="Times New Roman" w:hAnsi="Book Antiqua" w:cs="Arial"/>
          <w:b/>
          <w:sz w:val="24"/>
          <w:szCs w:val="24"/>
          <w:lang w:eastAsia="it-IT"/>
        </w:rPr>
        <w:t xml:space="preserve">hepatitis </w:t>
      </w:r>
      <w:r w:rsidR="00F63A59" w:rsidRPr="00C63E3F">
        <w:rPr>
          <w:rFonts w:ascii="Book Antiqua" w:hAnsi="Book Antiqua" w:cs="Arial"/>
          <w:b/>
          <w:sz w:val="24"/>
          <w:szCs w:val="24"/>
          <w:lang w:eastAsia="zh-CN"/>
        </w:rPr>
        <w:t>B</w:t>
      </w:r>
      <w:r w:rsidR="00F63A59" w:rsidRPr="00C63E3F">
        <w:rPr>
          <w:rFonts w:ascii="Book Antiqua" w:eastAsia="Times New Roman" w:hAnsi="Book Antiqua" w:cs="Arial"/>
          <w:b/>
          <w:sz w:val="24"/>
          <w:szCs w:val="24"/>
          <w:lang w:eastAsia="it-IT"/>
        </w:rPr>
        <w:t xml:space="preserve"> virus</w:t>
      </w:r>
      <w:r w:rsidR="002E4FBD" w:rsidRPr="00C63E3F">
        <w:rPr>
          <w:rFonts w:ascii="Book Antiqua" w:eastAsia="Times New Roman" w:hAnsi="Book Antiqua" w:cs="Arial"/>
          <w:b/>
          <w:sz w:val="24"/>
          <w:szCs w:val="24"/>
          <w:lang w:val="en-US" w:eastAsia="it-IT"/>
        </w:rPr>
        <w:t xml:space="preserve"> liver cirrhosis, alcohol and cryptogenic, aggregated as non-virus cirrhosis </w:t>
      </w:r>
    </w:p>
    <w:tbl>
      <w:tblPr>
        <w:tblpPr w:leftFromText="141" w:rightFromText="141" w:vertAnchor="text" w:tblpX="-895"/>
        <w:tblW w:w="10739" w:type="dxa"/>
        <w:tblLayout w:type="fixed"/>
        <w:tblCellMar>
          <w:left w:w="0" w:type="dxa"/>
          <w:right w:w="0" w:type="dxa"/>
        </w:tblCellMar>
        <w:tblLook w:val="04A0" w:firstRow="1" w:lastRow="0" w:firstColumn="1" w:lastColumn="0" w:noHBand="0" w:noVBand="1"/>
      </w:tblPr>
      <w:tblGrid>
        <w:gridCol w:w="2093"/>
        <w:gridCol w:w="1417"/>
        <w:gridCol w:w="1276"/>
        <w:gridCol w:w="1418"/>
        <w:gridCol w:w="1417"/>
        <w:gridCol w:w="3118"/>
      </w:tblGrid>
      <w:tr w:rsidR="00EB0AB2" w:rsidRPr="00C63E3F" w14:paraId="483FCE3D" w14:textId="77777777" w:rsidTr="00B23CB7">
        <w:trPr>
          <w:trHeight w:val="1635"/>
        </w:trPr>
        <w:tc>
          <w:tcPr>
            <w:tcW w:w="2093" w:type="dxa"/>
            <w:tcBorders>
              <w:top w:val="single" w:sz="4" w:space="0" w:color="auto"/>
              <w:bottom w:val="single" w:sz="4" w:space="0" w:color="auto"/>
            </w:tcBorders>
            <w:tcMar>
              <w:top w:w="0" w:type="dxa"/>
              <w:left w:w="108" w:type="dxa"/>
              <w:bottom w:w="0" w:type="dxa"/>
              <w:right w:w="108" w:type="dxa"/>
            </w:tcMar>
            <w:hideMark/>
          </w:tcPr>
          <w:p w14:paraId="0B2319E9"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GB" w:eastAsia="it-IT"/>
              </w:rPr>
              <w:t> </w:t>
            </w:r>
          </w:p>
          <w:p w14:paraId="5CA5B272"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GB" w:eastAsia="it-IT"/>
              </w:rPr>
              <w:t> </w:t>
            </w:r>
          </w:p>
        </w:tc>
        <w:tc>
          <w:tcPr>
            <w:tcW w:w="1417" w:type="dxa"/>
            <w:tcBorders>
              <w:top w:val="single" w:sz="4" w:space="0" w:color="auto"/>
              <w:bottom w:val="single" w:sz="4" w:space="0" w:color="auto"/>
            </w:tcBorders>
            <w:tcMar>
              <w:top w:w="0" w:type="dxa"/>
              <w:left w:w="108" w:type="dxa"/>
              <w:bottom w:w="0" w:type="dxa"/>
              <w:right w:w="108" w:type="dxa"/>
            </w:tcMar>
            <w:hideMark/>
          </w:tcPr>
          <w:p w14:paraId="5BBB9F19" w14:textId="77777777" w:rsidR="007C119E" w:rsidRPr="00C63E3F" w:rsidRDefault="007C119E" w:rsidP="009A3E1D">
            <w:pPr>
              <w:spacing w:after="0"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A)</w:t>
            </w:r>
            <w:r w:rsidR="002E4FBD" w:rsidRPr="00C63E3F">
              <w:rPr>
                <w:rFonts w:ascii="Book Antiqua" w:eastAsia="Times New Roman" w:hAnsi="Book Antiqua" w:cs="Arial"/>
                <w:sz w:val="24"/>
                <w:szCs w:val="24"/>
                <w:lang w:val="en-GB" w:eastAsia="it-IT"/>
              </w:rPr>
              <w:t>VLC</w:t>
            </w:r>
          </w:p>
          <w:p w14:paraId="47D35A33"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GB" w:eastAsia="it-IT"/>
              </w:rPr>
              <w:t>(%)</w:t>
            </w:r>
          </w:p>
        </w:tc>
        <w:tc>
          <w:tcPr>
            <w:tcW w:w="1276" w:type="dxa"/>
            <w:tcBorders>
              <w:top w:val="single" w:sz="4" w:space="0" w:color="auto"/>
              <w:bottom w:val="single" w:sz="4" w:space="0" w:color="auto"/>
            </w:tcBorders>
            <w:tcMar>
              <w:top w:w="0" w:type="dxa"/>
              <w:left w:w="108" w:type="dxa"/>
              <w:bottom w:w="0" w:type="dxa"/>
              <w:right w:w="108" w:type="dxa"/>
            </w:tcMar>
            <w:hideMark/>
          </w:tcPr>
          <w:p w14:paraId="12382162"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Alcohol (%)</w:t>
            </w:r>
          </w:p>
        </w:tc>
        <w:tc>
          <w:tcPr>
            <w:tcW w:w="1418" w:type="dxa"/>
            <w:tcBorders>
              <w:top w:val="single" w:sz="4" w:space="0" w:color="auto"/>
              <w:bottom w:val="single" w:sz="4" w:space="0" w:color="auto"/>
            </w:tcBorders>
            <w:tcMar>
              <w:top w:w="0" w:type="dxa"/>
              <w:left w:w="108" w:type="dxa"/>
              <w:bottom w:w="0" w:type="dxa"/>
              <w:right w:w="108" w:type="dxa"/>
            </w:tcMar>
            <w:hideMark/>
          </w:tcPr>
          <w:p w14:paraId="0E6571B0" w14:textId="77777777" w:rsidR="002E4FBD" w:rsidRPr="00C63E3F" w:rsidRDefault="002E4FBD" w:rsidP="009A3E1D">
            <w:pPr>
              <w:spacing w:after="0"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Crypto</w:t>
            </w:r>
          </w:p>
          <w:p w14:paraId="64C7328B"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w:t>
            </w:r>
          </w:p>
        </w:tc>
        <w:tc>
          <w:tcPr>
            <w:tcW w:w="1417" w:type="dxa"/>
            <w:tcBorders>
              <w:top w:val="single" w:sz="4" w:space="0" w:color="auto"/>
              <w:bottom w:val="single" w:sz="4" w:space="0" w:color="auto"/>
            </w:tcBorders>
            <w:tcMar>
              <w:top w:w="0" w:type="dxa"/>
              <w:left w:w="108" w:type="dxa"/>
              <w:bottom w:w="0" w:type="dxa"/>
              <w:right w:w="108" w:type="dxa"/>
            </w:tcMar>
            <w:hideMark/>
          </w:tcPr>
          <w:p w14:paraId="48EAF4E2" w14:textId="77777777" w:rsidR="002E4FBD" w:rsidRPr="00C63E3F" w:rsidRDefault="002E4FBD" w:rsidP="009A3E1D">
            <w:pPr>
              <w:spacing w:after="0"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B) NVLC</w:t>
            </w:r>
          </w:p>
          <w:p w14:paraId="78C15BA3" w14:textId="77777777" w:rsidR="002E4FBD" w:rsidRPr="00C63E3F" w:rsidRDefault="002E4FBD" w:rsidP="009A3E1D">
            <w:pPr>
              <w:spacing w:after="0"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w:t>
            </w:r>
          </w:p>
        </w:tc>
        <w:tc>
          <w:tcPr>
            <w:tcW w:w="3118" w:type="dxa"/>
            <w:tcBorders>
              <w:top w:val="single" w:sz="4" w:space="0" w:color="auto"/>
              <w:bottom w:val="single" w:sz="4" w:space="0" w:color="auto"/>
            </w:tcBorders>
            <w:tcMar>
              <w:top w:w="0" w:type="dxa"/>
              <w:left w:w="108" w:type="dxa"/>
              <w:bottom w:w="0" w:type="dxa"/>
              <w:right w:w="108" w:type="dxa"/>
            </w:tcMar>
            <w:hideMark/>
          </w:tcPr>
          <w:p w14:paraId="2CE57EBE"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fr-FR" w:eastAsia="it-IT"/>
              </w:rPr>
              <w:t>A)</w:t>
            </w:r>
            <w:r w:rsidR="001A625B" w:rsidRPr="00C63E3F">
              <w:rPr>
                <w:rFonts w:ascii="Book Antiqua" w:hAnsi="Book Antiqua"/>
                <w:i/>
                <w:sz w:val="24"/>
                <w:szCs w:val="24"/>
                <w:lang w:val="en-US" w:eastAsia="zh-CN"/>
              </w:rPr>
              <w:t xml:space="preserve"> vs</w:t>
            </w:r>
            <w:r w:rsidR="00766978">
              <w:rPr>
                <w:rFonts w:ascii="Book Antiqua" w:hAnsi="Book Antiqua" w:hint="eastAsia"/>
                <w:i/>
                <w:sz w:val="24"/>
                <w:szCs w:val="24"/>
                <w:lang w:val="en-US" w:eastAsia="zh-CN"/>
              </w:rPr>
              <w:t xml:space="preserve"> </w:t>
            </w:r>
            <w:r w:rsidRPr="00C63E3F">
              <w:rPr>
                <w:rFonts w:ascii="Book Antiqua" w:eastAsia="Times New Roman" w:hAnsi="Book Antiqua" w:cs="Arial"/>
                <w:sz w:val="24"/>
                <w:szCs w:val="24"/>
                <w:lang w:val="fr-FR" w:eastAsia="it-IT"/>
              </w:rPr>
              <w:t>B)</w:t>
            </w:r>
          </w:p>
          <w:p w14:paraId="7B3C02AE" w14:textId="77777777" w:rsidR="002E4FBD" w:rsidRPr="00C63E3F" w:rsidRDefault="00C71DBC" w:rsidP="009A3E1D">
            <w:pPr>
              <w:spacing w:after="0" w:line="360" w:lineRule="auto"/>
              <w:jc w:val="both"/>
              <w:rPr>
                <w:rFonts w:ascii="Book Antiqua" w:eastAsia="Times New Roman" w:hAnsi="Book Antiqua" w:cs="Arial"/>
                <w:sz w:val="24"/>
                <w:szCs w:val="24"/>
                <w:lang w:val="en-US" w:eastAsia="it-IT"/>
              </w:rPr>
            </w:pPr>
            <w:r w:rsidRPr="00C63E3F">
              <w:rPr>
                <w:rFonts w:ascii="Book Antiqua" w:hAnsi="Book Antiqua"/>
                <w:i/>
                <w:sz w:val="24"/>
                <w:szCs w:val="24"/>
              </w:rPr>
              <w:sym w:font="Symbol" w:char="F063"/>
            </w:r>
            <w:r w:rsidRPr="00C63E3F">
              <w:rPr>
                <w:rFonts w:ascii="Book Antiqua" w:hAnsi="Book Antiqua"/>
                <w:sz w:val="24"/>
                <w:szCs w:val="24"/>
                <w:vertAlign w:val="superscript"/>
                <w:lang w:val="en-US" w:eastAsia="zh-CN"/>
              </w:rPr>
              <w:t>2</w:t>
            </w:r>
            <w:r w:rsidR="002E4FBD" w:rsidRPr="00C63E3F">
              <w:rPr>
                <w:rFonts w:ascii="Book Antiqua" w:eastAsia="Times New Roman" w:hAnsi="Book Antiqua" w:cs="Arial"/>
                <w:sz w:val="24"/>
                <w:szCs w:val="24"/>
                <w:lang w:val="en-US" w:eastAsia="it-IT"/>
              </w:rPr>
              <w:t xml:space="preserve">: </w:t>
            </w:r>
            <w:r w:rsidRPr="00C63E3F">
              <w:rPr>
                <w:rFonts w:ascii="Book Antiqua" w:eastAsia="Times New Roman" w:hAnsi="Book Antiqua" w:cs="Arial"/>
                <w:i/>
                <w:sz w:val="24"/>
                <w:szCs w:val="24"/>
                <w:lang w:val="en-US" w:eastAsia="it-IT"/>
              </w:rPr>
              <w:t>P</w:t>
            </w:r>
            <w:r w:rsidR="002E4FBD" w:rsidRPr="00C63E3F">
              <w:rPr>
                <w:rFonts w:ascii="Book Antiqua" w:eastAsia="Times New Roman" w:hAnsi="Book Antiqua" w:cs="Arial"/>
                <w:sz w:val="24"/>
                <w:szCs w:val="24"/>
                <w:lang w:val="en-US" w:eastAsia="it-IT"/>
              </w:rPr>
              <w:t xml:space="preserve"> value; OR</w:t>
            </w:r>
            <w:r w:rsidR="00937D02" w:rsidRPr="00C63E3F">
              <w:rPr>
                <w:rFonts w:ascii="Book Antiqua" w:eastAsia="Times New Roman" w:hAnsi="Book Antiqua" w:cs="Arial"/>
                <w:sz w:val="24"/>
                <w:szCs w:val="24"/>
                <w:lang w:val="en-US" w:eastAsia="it-IT"/>
              </w:rPr>
              <w:t xml:space="preserve"> (95%</w:t>
            </w:r>
            <w:r w:rsidR="002E4FBD" w:rsidRPr="00C63E3F">
              <w:rPr>
                <w:rFonts w:ascii="Book Antiqua" w:eastAsia="Times New Roman" w:hAnsi="Book Antiqua" w:cs="Arial"/>
                <w:sz w:val="24"/>
                <w:szCs w:val="24"/>
                <w:lang w:val="en-US" w:eastAsia="it-IT"/>
              </w:rPr>
              <w:t>CI)</w:t>
            </w:r>
          </w:p>
        </w:tc>
      </w:tr>
      <w:tr w:rsidR="00EB0AB2" w:rsidRPr="00C63E3F" w14:paraId="5665AB90" w14:textId="77777777" w:rsidTr="00B23CB7">
        <w:trPr>
          <w:trHeight w:val="135"/>
        </w:trPr>
        <w:tc>
          <w:tcPr>
            <w:tcW w:w="2093" w:type="dxa"/>
            <w:tcBorders>
              <w:top w:val="single" w:sz="4" w:space="0" w:color="auto"/>
            </w:tcBorders>
            <w:tcMar>
              <w:top w:w="0" w:type="dxa"/>
              <w:left w:w="108" w:type="dxa"/>
              <w:bottom w:w="0" w:type="dxa"/>
              <w:right w:w="108" w:type="dxa"/>
            </w:tcMar>
            <w:hideMark/>
          </w:tcPr>
          <w:p w14:paraId="52D7CBE8" w14:textId="77777777" w:rsidR="00206CF9" w:rsidRPr="00C63E3F" w:rsidRDefault="00206CF9" w:rsidP="009A3E1D">
            <w:pPr>
              <w:spacing w:after="0" w:line="360" w:lineRule="auto"/>
              <w:jc w:val="both"/>
              <w:rPr>
                <w:rFonts w:ascii="Book Antiqua" w:eastAsia="Times New Roman" w:hAnsi="Book Antiqua" w:cs="Arial"/>
                <w:sz w:val="24"/>
                <w:szCs w:val="24"/>
                <w:lang w:val="en-GB" w:eastAsia="it-IT"/>
              </w:rPr>
            </w:pPr>
          </w:p>
        </w:tc>
        <w:tc>
          <w:tcPr>
            <w:tcW w:w="1417" w:type="dxa"/>
            <w:tcBorders>
              <w:top w:val="single" w:sz="4" w:space="0" w:color="auto"/>
            </w:tcBorders>
            <w:tcMar>
              <w:top w:w="0" w:type="dxa"/>
              <w:left w:w="108" w:type="dxa"/>
              <w:bottom w:w="0" w:type="dxa"/>
              <w:right w:w="108" w:type="dxa"/>
            </w:tcMar>
            <w:hideMark/>
          </w:tcPr>
          <w:p w14:paraId="3BB663A4" w14:textId="77777777" w:rsidR="00206CF9" w:rsidRPr="00C63E3F" w:rsidRDefault="00206CF9" w:rsidP="009A3E1D">
            <w:pPr>
              <w:spacing w:after="0" w:line="360" w:lineRule="auto"/>
              <w:jc w:val="both"/>
              <w:rPr>
                <w:rFonts w:ascii="Book Antiqua" w:eastAsia="Times New Roman" w:hAnsi="Book Antiqua" w:cs="Arial"/>
                <w:sz w:val="24"/>
                <w:szCs w:val="24"/>
                <w:lang w:val="en-GB" w:eastAsia="it-IT"/>
              </w:rPr>
            </w:pPr>
          </w:p>
        </w:tc>
        <w:tc>
          <w:tcPr>
            <w:tcW w:w="1276" w:type="dxa"/>
            <w:tcBorders>
              <w:top w:val="single" w:sz="4" w:space="0" w:color="auto"/>
            </w:tcBorders>
            <w:tcMar>
              <w:top w:w="0" w:type="dxa"/>
              <w:left w:w="108" w:type="dxa"/>
              <w:bottom w:w="0" w:type="dxa"/>
              <w:right w:w="108" w:type="dxa"/>
            </w:tcMar>
            <w:hideMark/>
          </w:tcPr>
          <w:p w14:paraId="5F1954AE" w14:textId="77777777" w:rsidR="00206CF9" w:rsidRPr="00C63E3F" w:rsidRDefault="00206CF9" w:rsidP="009A3E1D">
            <w:pPr>
              <w:spacing w:after="0" w:line="360" w:lineRule="auto"/>
              <w:jc w:val="both"/>
              <w:rPr>
                <w:rFonts w:ascii="Book Antiqua" w:eastAsia="Times New Roman" w:hAnsi="Book Antiqua" w:cs="Arial"/>
                <w:sz w:val="24"/>
                <w:szCs w:val="24"/>
                <w:lang w:val="en-GB" w:eastAsia="it-IT"/>
              </w:rPr>
            </w:pPr>
          </w:p>
        </w:tc>
        <w:tc>
          <w:tcPr>
            <w:tcW w:w="1418" w:type="dxa"/>
            <w:tcBorders>
              <w:top w:val="single" w:sz="4" w:space="0" w:color="auto"/>
            </w:tcBorders>
            <w:tcMar>
              <w:top w:w="0" w:type="dxa"/>
              <w:left w:w="108" w:type="dxa"/>
              <w:bottom w:w="0" w:type="dxa"/>
              <w:right w:w="108" w:type="dxa"/>
            </w:tcMar>
            <w:hideMark/>
          </w:tcPr>
          <w:p w14:paraId="69D289B3" w14:textId="77777777" w:rsidR="00206CF9" w:rsidRPr="00C63E3F" w:rsidRDefault="00206CF9" w:rsidP="009A3E1D">
            <w:pPr>
              <w:spacing w:after="0" w:line="360" w:lineRule="auto"/>
              <w:jc w:val="both"/>
              <w:rPr>
                <w:rFonts w:ascii="Book Antiqua" w:eastAsia="Times New Roman" w:hAnsi="Book Antiqua" w:cs="Arial"/>
                <w:sz w:val="24"/>
                <w:szCs w:val="24"/>
                <w:lang w:val="en-GB" w:eastAsia="it-IT"/>
              </w:rPr>
            </w:pPr>
          </w:p>
        </w:tc>
        <w:tc>
          <w:tcPr>
            <w:tcW w:w="1417" w:type="dxa"/>
            <w:tcBorders>
              <w:top w:val="single" w:sz="4" w:space="0" w:color="auto"/>
            </w:tcBorders>
            <w:tcMar>
              <w:top w:w="0" w:type="dxa"/>
              <w:left w:w="108" w:type="dxa"/>
              <w:bottom w:w="0" w:type="dxa"/>
              <w:right w:w="108" w:type="dxa"/>
            </w:tcMar>
            <w:hideMark/>
          </w:tcPr>
          <w:p w14:paraId="4CF986D9" w14:textId="77777777" w:rsidR="00206CF9" w:rsidRPr="00C63E3F" w:rsidRDefault="00206CF9" w:rsidP="009A3E1D">
            <w:pPr>
              <w:spacing w:after="0" w:line="360" w:lineRule="auto"/>
              <w:jc w:val="both"/>
              <w:rPr>
                <w:rFonts w:ascii="Book Antiqua" w:eastAsia="Times New Roman" w:hAnsi="Book Antiqua" w:cs="Arial"/>
                <w:sz w:val="24"/>
                <w:szCs w:val="24"/>
                <w:lang w:val="en-GB" w:eastAsia="it-IT"/>
              </w:rPr>
            </w:pPr>
          </w:p>
        </w:tc>
        <w:tc>
          <w:tcPr>
            <w:tcW w:w="3118" w:type="dxa"/>
            <w:tcBorders>
              <w:top w:val="single" w:sz="4" w:space="0" w:color="auto"/>
            </w:tcBorders>
            <w:tcMar>
              <w:top w:w="0" w:type="dxa"/>
              <w:left w:w="108" w:type="dxa"/>
              <w:bottom w:w="0" w:type="dxa"/>
              <w:right w:w="108" w:type="dxa"/>
            </w:tcMar>
            <w:hideMark/>
          </w:tcPr>
          <w:p w14:paraId="1BB6FF1D" w14:textId="77777777" w:rsidR="00206CF9" w:rsidRPr="00C63E3F" w:rsidRDefault="00206CF9" w:rsidP="009A3E1D">
            <w:pPr>
              <w:spacing w:after="0" w:line="360" w:lineRule="auto"/>
              <w:jc w:val="both"/>
              <w:rPr>
                <w:rFonts w:ascii="Book Antiqua" w:eastAsia="Times New Roman" w:hAnsi="Book Antiqua" w:cs="Arial"/>
                <w:sz w:val="24"/>
                <w:szCs w:val="24"/>
                <w:lang w:val="fr-FR" w:eastAsia="it-IT"/>
              </w:rPr>
            </w:pPr>
          </w:p>
        </w:tc>
      </w:tr>
      <w:tr w:rsidR="00EB0AB2" w:rsidRPr="00C63E3F" w14:paraId="50F86330" w14:textId="77777777" w:rsidTr="00B23CB7">
        <w:trPr>
          <w:trHeight w:val="540"/>
        </w:trPr>
        <w:tc>
          <w:tcPr>
            <w:tcW w:w="2093" w:type="dxa"/>
            <w:tcMar>
              <w:top w:w="0" w:type="dxa"/>
              <w:left w:w="108" w:type="dxa"/>
              <w:bottom w:w="0" w:type="dxa"/>
              <w:right w:w="108" w:type="dxa"/>
            </w:tcMar>
            <w:hideMark/>
          </w:tcPr>
          <w:p w14:paraId="15739DB7" w14:textId="77777777" w:rsidR="002E4FBD" w:rsidRPr="00C63E3F" w:rsidRDefault="00B23CB7"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P</w:t>
            </w:r>
            <w:r w:rsidR="002E4FBD" w:rsidRPr="00C63E3F">
              <w:rPr>
                <w:rFonts w:ascii="Book Antiqua" w:eastAsia="Times New Roman" w:hAnsi="Book Antiqua" w:cs="Arial"/>
                <w:sz w:val="24"/>
                <w:szCs w:val="24"/>
                <w:lang w:val="en-GB" w:eastAsia="it-IT"/>
              </w:rPr>
              <w:t>atients</w:t>
            </w:r>
          </w:p>
        </w:tc>
        <w:tc>
          <w:tcPr>
            <w:tcW w:w="1417" w:type="dxa"/>
            <w:tcMar>
              <w:top w:w="0" w:type="dxa"/>
              <w:left w:w="108" w:type="dxa"/>
              <w:bottom w:w="0" w:type="dxa"/>
              <w:right w:w="108" w:type="dxa"/>
            </w:tcMar>
            <w:hideMark/>
          </w:tcPr>
          <w:p w14:paraId="0F762643"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de-DE" w:eastAsia="it-IT"/>
              </w:rPr>
              <w:t>729 (100)</w:t>
            </w:r>
          </w:p>
        </w:tc>
        <w:tc>
          <w:tcPr>
            <w:tcW w:w="1276" w:type="dxa"/>
            <w:tcMar>
              <w:top w:w="0" w:type="dxa"/>
              <w:left w:w="108" w:type="dxa"/>
              <w:bottom w:w="0" w:type="dxa"/>
              <w:right w:w="108" w:type="dxa"/>
            </w:tcMar>
            <w:hideMark/>
          </w:tcPr>
          <w:p w14:paraId="42A69555"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de-DE" w:eastAsia="it-IT"/>
              </w:rPr>
              <w:t>102 (100)</w:t>
            </w:r>
          </w:p>
        </w:tc>
        <w:tc>
          <w:tcPr>
            <w:tcW w:w="1418" w:type="dxa"/>
            <w:tcMar>
              <w:top w:w="0" w:type="dxa"/>
              <w:left w:w="108" w:type="dxa"/>
              <w:bottom w:w="0" w:type="dxa"/>
              <w:right w:w="108" w:type="dxa"/>
            </w:tcMar>
            <w:hideMark/>
          </w:tcPr>
          <w:p w14:paraId="0BBBB22D"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 xml:space="preserve">248 </w:t>
            </w:r>
            <w:r w:rsidRPr="00C63E3F">
              <w:rPr>
                <w:rFonts w:ascii="Book Antiqua" w:eastAsia="Times New Roman" w:hAnsi="Book Antiqua" w:cs="Arial"/>
                <w:sz w:val="24"/>
                <w:szCs w:val="24"/>
                <w:lang w:val="de-DE" w:eastAsia="it-IT"/>
              </w:rPr>
              <w:t>(100)</w:t>
            </w:r>
          </w:p>
        </w:tc>
        <w:tc>
          <w:tcPr>
            <w:tcW w:w="1417" w:type="dxa"/>
            <w:tcMar>
              <w:top w:w="0" w:type="dxa"/>
              <w:left w:w="108" w:type="dxa"/>
              <w:bottom w:w="0" w:type="dxa"/>
              <w:right w:w="108" w:type="dxa"/>
            </w:tcMar>
            <w:hideMark/>
          </w:tcPr>
          <w:p w14:paraId="3AAF2916"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 xml:space="preserve">350 </w:t>
            </w:r>
            <w:r w:rsidRPr="00C63E3F">
              <w:rPr>
                <w:rFonts w:ascii="Book Antiqua" w:eastAsia="Times New Roman" w:hAnsi="Book Antiqua" w:cs="Arial"/>
                <w:sz w:val="24"/>
                <w:szCs w:val="24"/>
                <w:lang w:val="de-DE" w:eastAsia="it-IT"/>
              </w:rPr>
              <w:t>(100)</w:t>
            </w:r>
          </w:p>
        </w:tc>
        <w:tc>
          <w:tcPr>
            <w:tcW w:w="3118" w:type="dxa"/>
            <w:tcMar>
              <w:top w:w="0" w:type="dxa"/>
              <w:left w:w="108" w:type="dxa"/>
              <w:bottom w:w="0" w:type="dxa"/>
              <w:right w:w="108" w:type="dxa"/>
            </w:tcMar>
            <w:hideMark/>
          </w:tcPr>
          <w:p w14:paraId="6CC8086E"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eastAsia="it-IT"/>
              </w:rPr>
              <w:t>-</w:t>
            </w:r>
          </w:p>
        </w:tc>
      </w:tr>
      <w:tr w:rsidR="00EB0AB2" w:rsidRPr="00C63E3F" w14:paraId="1A97132A" w14:textId="77777777" w:rsidTr="00B23CB7">
        <w:trPr>
          <w:trHeight w:val="540"/>
        </w:trPr>
        <w:tc>
          <w:tcPr>
            <w:tcW w:w="2093" w:type="dxa"/>
            <w:tcMar>
              <w:top w:w="0" w:type="dxa"/>
              <w:left w:w="108" w:type="dxa"/>
              <w:bottom w:w="0" w:type="dxa"/>
              <w:right w:w="108" w:type="dxa"/>
            </w:tcMar>
            <w:hideMark/>
          </w:tcPr>
          <w:p w14:paraId="640212C2"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eastAsia="it-IT"/>
              </w:rPr>
              <w:t>PAI-1 4G-4G</w:t>
            </w:r>
          </w:p>
        </w:tc>
        <w:tc>
          <w:tcPr>
            <w:tcW w:w="1417" w:type="dxa"/>
            <w:tcMar>
              <w:top w:w="0" w:type="dxa"/>
              <w:left w:w="108" w:type="dxa"/>
              <w:bottom w:w="0" w:type="dxa"/>
              <w:right w:w="108" w:type="dxa"/>
            </w:tcMar>
            <w:hideMark/>
          </w:tcPr>
          <w:p w14:paraId="3E969303"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95 (13.0)</w:t>
            </w:r>
          </w:p>
        </w:tc>
        <w:tc>
          <w:tcPr>
            <w:tcW w:w="1276" w:type="dxa"/>
            <w:tcMar>
              <w:top w:w="0" w:type="dxa"/>
              <w:left w:w="108" w:type="dxa"/>
              <w:bottom w:w="0" w:type="dxa"/>
              <w:right w:w="108" w:type="dxa"/>
            </w:tcMar>
            <w:hideMark/>
          </w:tcPr>
          <w:p w14:paraId="3192C191"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33 (32.3)</w:t>
            </w:r>
          </w:p>
        </w:tc>
        <w:tc>
          <w:tcPr>
            <w:tcW w:w="1418" w:type="dxa"/>
            <w:tcMar>
              <w:top w:w="0" w:type="dxa"/>
              <w:left w:w="108" w:type="dxa"/>
              <w:bottom w:w="0" w:type="dxa"/>
              <w:right w:w="108" w:type="dxa"/>
            </w:tcMar>
            <w:hideMark/>
          </w:tcPr>
          <w:p w14:paraId="6618AB98"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89 (35.8)</w:t>
            </w:r>
          </w:p>
        </w:tc>
        <w:tc>
          <w:tcPr>
            <w:tcW w:w="1417" w:type="dxa"/>
            <w:tcMar>
              <w:top w:w="0" w:type="dxa"/>
              <w:left w:w="108" w:type="dxa"/>
              <w:bottom w:w="0" w:type="dxa"/>
              <w:right w:w="108" w:type="dxa"/>
            </w:tcMar>
            <w:hideMark/>
          </w:tcPr>
          <w:p w14:paraId="5B7BD0D7"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122 (34.8)</w:t>
            </w:r>
          </w:p>
        </w:tc>
        <w:tc>
          <w:tcPr>
            <w:tcW w:w="3118" w:type="dxa"/>
            <w:tcMar>
              <w:top w:w="0" w:type="dxa"/>
              <w:left w:w="108" w:type="dxa"/>
              <w:bottom w:w="0" w:type="dxa"/>
              <w:right w:w="108" w:type="dxa"/>
            </w:tcMar>
            <w:hideMark/>
          </w:tcPr>
          <w:p w14:paraId="3807B427"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en-US" w:eastAsia="it-IT"/>
              </w:rPr>
              <w:t>68.2: 0.000; 3.6 (2.6 - 4.9)</w:t>
            </w:r>
          </w:p>
        </w:tc>
      </w:tr>
      <w:tr w:rsidR="00EB0AB2" w:rsidRPr="00C63E3F" w14:paraId="56CBEE7E" w14:textId="77777777" w:rsidTr="00B23CB7">
        <w:trPr>
          <w:trHeight w:val="540"/>
        </w:trPr>
        <w:tc>
          <w:tcPr>
            <w:tcW w:w="2093" w:type="dxa"/>
            <w:tcMar>
              <w:top w:w="0" w:type="dxa"/>
              <w:left w:w="108" w:type="dxa"/>
              <w:bottom w:w="0" w:type="dxa"/>
              <w:right w:w="108" w:type="dxa"/>
            </w:tcMar>
            <w:hideMark/>
          </w:tcPr>
          <w:p w14:paraId="30C6E15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 xml:space="preserve">MTHFR 677TT </w:t>
            </w:r>
          </w:p>
        </w:tc>
        <w:tc>
          <w:tcPr>
            <w:tcW w:w="1417" w:type="dxa"/>
            <w:tcMar>
              <w:top w:w="0" w:type="dxa"/>
              <w:left w:w="108" w:type="dxa"/>
              <w:bottom w:w="0" w:type="dxa"/>
              <w:right w:w="108" w:type="dxa"/>
            </w:tcMar>
            <w:hideMark/>
          </w:tcPr>
          <w:p w14:paraId="58BE9699"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99 (13.5)</w:t>
            </w:r>
          </w:p>
        </w:tc>
        <w:tc>
          <w:tcPr>
            <w:tcW w:w="1276" w:type="dxa"/>
            <w:tcMar>
              <w:top w:w="0" w:type="dxa"/>
              <w:left w:w="108" w:type="dxa"/>
              <w:bottom w:w="0" w:type="dxa"/>
              <w:right w:w="108" w:type="dxa"/>
            </w:tcMar>
            <w:hideMark/>
          </w:tcPr>
          <w:p w14:paraId="22A451F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14 (13.7)</w:t>
            </w:r>
          </w:p>
        </w:tc>
        <w:tc>
          <w:tcPr>
            <w:tcW w:w="1418" w:type="dxa"/>
            <w:tcMar>
              <w:top w:w="0" w:type="dxa"/>
              <w:left w:w="108" w:type="dxa"/>
              <w:bottom w:w="0" w:type="dxa"/>
              <w:right w:w="108" w:type="dxa"/>
            </w:tcMar>
            <w:hideMark/>
          </w:tcPr>
          <w:p w14:paraId="14E81C5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63 (25.4)</w:t>
            </w:r>
          </w:p>
        </w:tc>
        <w:tc>
          <w:tcPr>
            <w:tcW w:w="1417" w:type="dxa"/>
            <w:tcMar>
              <w:top w:w="0" w:type="dxa"/>
              <w:left w:w="108" w:type="dxa"/>
              <w:bottom w:w="0" w:type="dxa"/>
              <w:right w:w="108" w:type="dxa"/>
            </w:tcMar>
            <w:hideMark/>
          </w:tcPr>
          <w:p w14:paraId="2792DE6A"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77 (22.0)</w:t>
            </w:r>
          </w:p>
        </w:tc>
        <w:tc>
          <w:tcPr>
            <w:tcW w:w="3118" w:type="dxa"/>
            <w:tcMar>
              <w:top w:w="0" w:type="dxa"/>
              <w:left w:w="108" w:type="dxa"/>
              <w:bottom w:w="0" w:type="dxa"/>
              <w:right w:w="108" w:type="dxa"/>
            </w:tcMar>
            <w:hideMark/>
          </w:tcPr>
          <w:p w14:paraId="486B4892" w14:textId="77777777" w:rsidR="002E4FBD" w:rsidRPr="00C63E3F" w:rsidRDefault="002E4FBD" w:rsidP="009A3E1D">
            <w:pPr>
              <w:spacing w:after="0" w:line="360" w:lineRule="auto"/>
              <w:jc w:val="both"/>
              <w:rPr>
                <w:rFonts w:ascii="Book Antiqua" w:eastAsia="Times New Roman" w:hAnsi="Book Antiqua" w:cs="Arial"/>
                <w:sz w:val="24"/>
                <w:szCs w:val="24"/>
                <w:lang w:val="en-GB" w:eastAsia="it-IT"/>
              </w:rPr>
            </w:pPr>
            <w:r w:rsidRPr="00C63E3F">
              <w:rPr>
                <w:rFonts w:ascii="Book Antiqua" w:eastAsia="Times New Roman" w:hAnsi="Book Antiqua" w:cs="Arial"/>
                <w:sz w:val="24"/>
                <w:szCs w:val="24"/>
                <w:lang w:val="en-GB" w:eastAsia="it-IT"/>
              </w:rPr>
              <w:t>11.7: 0.001; 1.8 (1.3 - 2.5)</w:t>
            </w:r>
          </w:p>
        </w:tc>
      </w:tr>
      <w:tr w:rsidR="00EB0AB2" w:rsidRPr="00C63E3F" w14:paraId="52FCFBE3" w14:textId="77777777" w:rsidTr="00B23CB7">
        <w:trPr>
          <w:trHeight w:val="540"/>
        </w:trPr>
        <w:tc>
          <w:tcPr>
            <w:tcW w:w="2093" w:type="dxa"/>
            <w:tcMar>
              <w:top w:w="0" w:type="dxa"/>
              <w:left w:w="108" w:type="dxa"/>
              <w:bottom w:w="0" w:type="dxa"/>
              <w:right w:w="108" w:type="dxa"/>
            </w:tcMar>
            <w:hideMark/>
          </w:tcPr>
          <w:p w14:paraId="68892F5D" w14:textId="77777777" w:rsidR="002E4FBD" w:rsidRPr="00C63E3F" w:rsidRDefault="002E4FBD" w:rsidP="009A3E1D">
            <w:pPr>
              <w:spacing w:after="0" w:line="360" w:lineRule="auto"/>
              <w:jc w:val="both"/>
              <w:rPr>
                <w:rFonts w:ascii="Book Antiqua" w:eastAsia="Times New Roman" w:hAnsi="Book Antiqua" w:cs="Arial"/>
                <w:sz w:val="24"/>
                <w:szCs w:val="24"/>
                <w:lang w:val="en-US" w:eastAsia="it-IT"/>
              </w:rPr>
            </w:pPr>
            <w:r w:rsidRPr="00C63E3F">
              <w:rPr>
                <w:rFonts w:ascii="Book Antiqua" w:eastAsia="Times New Roman" w:hAnsi="Book Antiqua" w:cs="Arial"/>
                <w:sz w:val="24"/>
                <w:szCs w:val="24"/>
                <w:lang w:val="de-DE" w:eastAsia="it-IT"/>
              </w:rPr>
              <w:t>V Leiden 506Q</w:t>
            </w:r>
          </w:p>
        </w:tc>
        <w:tc>
          <w:tcPr>
            <w:tcW w:w="1417" w:type="dxa"/>
            <w:tcMar>
              <w:top w:w="0" w:type="dxa"/>
              <w:left w:w="108" w:type="dxa"/>
              <w:bottom w:w="0" w:type="dxa"/>
              <w:right w:w="108" w:type="dxa"/>
            </w:tcMar>
            <w:hideMark/>
          </w:tcPr>
          <w:p w14:paraId="71EAE996"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41 (5.6)</w:t>
            </w:r>
          </w:p>
        </w:tc>
        <w:tc>
          <w:tcPr>
            <w:tcW w:w="1276" w:type="dxa"/>
            <w:tcMar>
              <w:top w:w="0" w:type="dxa"/>
              <w:left w:w="108" w:type="dxa"/>
              <w:bottom w:w="0" w:type="dxa"/>
              <w:right w:w="108" w:type="dxa"/>
            </w:tcMar>
            <w:hideMark/>
          </w:tcPr>
          <w:p w14:paraId="5C10016C"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9 (8.8)</w:t>
            </w:r>
          </w:p>
        </w:tc>
        <w:tc>
          <w:tcPr>
            <w:tcW w:w="1418" w:type="dxa"/>
            <w:tcMar>
              <w:top w:w="0" w:type="dxa"/>
              <w:left w:w="108" w:type="dxa"/>
              <w:bottom w:w="0" w:type="dxa"/>
              <w:right w:w="108" w:type="dxa"/>
            </w:tcMar>
            <w:hideMark/>
          </w:tcPr>
          <w:p w14:paraId="6D1375A8"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22 (8.8)</w:t>
            </w:r>
          </w:p>
        </w:tc>
        <w:tc>
          <w:tcPr>
            <w:tcW w:w="1417" w:type="dxa"/>
            <w:tcMar>
              <w:top w:w="0" w:type="dxa"/>
              <w:left w:w="108" w:type="dxa"/>
              <w:bottom w:w="0" w:type="dxa"/>
              <w:right w:w="108" w:type="dxa"/>
            </w:tcMar>
            <w:hideMark/>
          </w:tcPr>
          <w:p w14:paraId="1E959DAD"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30 (8.6)</w:t>
            </w:r>
          </w:p>
        </w:tc>
        <w:tc>
          <w:tcPr>
            <w:tcW w:w="3118" w:type="dxa"/>
            <w:tcMar>
              <w:top w:w="0" w:type="dxa"/>
              <w:left w:w="108" w:type="dxa"/>
              <w:bottom w:w="0" w:type="dxa"/>
              <w:right w:w="108" w:type="dxa"/>
            </w:tcMar>
            <w:hideMark/>
          </w:tcPr>
          <w:p w14:paraId="6CCEC232"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US" w:eastAsia="it-IT"/>
              </w:rPr>
              <w:t>3.3: 0.09; 1.5 (0.9 - 2.6)</w:t>
            </w:r>
          </w:p>
        </w:tc>
      </w:tr>
      <w:tr w:rsidR="00EB0AB2" w:rsidRPr="00C63E3F" w14:paraId="3462AEC2" w14:textId="77777777" w:rsidTr="00B23CB7">
        <w:trPr>
          <w:trHeight w:val="540"/>
        </w:trPr>
        <w:tc>
          <w:tcPr>
            <w:tcW w:w="2093" w:type="dxa"/>
            <w:tcMar>
              <w:top w:w="0" w:type="dxa"/>
              <w:left w:w="108" w:type="dxa"/>
              <w:bottom w:w="0" w:type="dxa"/>
              <w:right w:w="108" w:type="dxa"/>
            </w:tcMar>
            <w:hideMark/>
          </w:tcPr>
          <w:p w14:paraId="4E5819E4"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Prot</w:t>
            </w:r>
            <w:r w:rsidR="00114416" w:rsidRPr="00C63E3F">
              <w:rPr>
                <w:rFonts w:ascii="Book Antiqua" w:eastAsia="Times New Roman" w:hAnsi="Book Antiqua" w:cs="Arial"/>
                <w:sz w:val="24"/>
                <w:szCs w:val="24"/>
                <w:lang w:val="en-GB" w:eastAsia="it-IT"/>
              </w:rPr>
              <w:t>hr</w:t>
            </w:r>
            <w:r w:rsidR="00B23CB7" w:rsidRPr="00C63E3F">
              <w:rPr>
                <w:rFonts w:ascii="Book Antiqua" w:eastAsia="Times New Roman" w:hAnsi="Book Antiqua" w:cs="Arial"/>
                <w:sz w:val="24"/>
                <w:szCs w:val="24"/>
                <w:lang w:val="en-GB" w:eastAsia="it-IT"/>
              </w:rPr>
              <w:t>.</w:t>
            </w:r>
            <w:r w:rsidRPr="00C63E3F">
              <w:rPr>
                <w:rFonts w:ascii="Book Antiqua" w:eastAsia="Times New Roman" w:hAnsi="Book Antiqua" w:cs="Arial"/>
                <w:sz w:val="24"/>
                <w:szCs w:val="24"/>
                <w:lang w:val="en-GB" w:eastAsia="it-IT"/>
              </w:rPr>
              <w:t xml:space="preserve">20210A </w:t>
            </w:r>
          </w:p>
        </w:tc>
        <w:tc>
          <w:tcPr>
            <w:tcW w:w="1417" w:type="dxa"/>
            <w:tcMar>
              <w:top w:w="0" w:type="dxa"/>
              <w:left w:w="108" w:type="dxa"/>
              <w:bottom w:w="0" w:type="dxa"/>
              <w:right w:w="108" w:type="dxa"/>
            </w:tcMar>
            <w:hideMark/>
          </w:tcPr>
          <w:p w14:paraId="24E62548"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25 (3.4)</w:t>
            </w:r>
          </w:p>
        </w:tc>
        <w:tc>
          <w:tcPr>
            <w:tcW w:w="1276" w:type="dxa"/>
            <w:tcMar>
              <w:top w:w="0" w:type="dxa"/>
              <w:left w:w="108" w:type="dxa"/>
              <w:bottom w:w="0" w:type="dxa"/>
              <w:right w:w="108" w:type="dxa"/>
            </w:tcMar>
            <w:hideMark/>
          </w:tcPr>
          <w:p w14:paraId="2C3112C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3 (2.9)</w:t>
            </w:r>
          </w:p>
        </w:tc>
        <w:tc>
          <w:tcPr>
            <w:tcW w:w="1418" w:type="dxa"/>
            <w:tcMar>
              <w:top w:w="0" w:type="dxa"/>
              <w:left w:w="108" w:type="dxa"/>
              <w:bottom w:w="0" w:type="dxa"/>
              <w:right w:w="108" w:type="dxa"/>
            </w:tcMar>
            <w:hideMark/>
          </w:tcPr>
          <w:p w14:paraId="71A9103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13 (5.2)</w:t>
            </w:r>
          </w:p>
        </w:tc>
        <w:tc>
          <w:tcPr>
            <w:tcW w:w="1417" w:type="dxa"/>
            <w:tcMar>
              <w:top w:w="0" w:type="dxa"/>
              <w:left w:w="108" w:type="dxa"/>
              <w:bottom w:w="0" w:type="dxa"/>
              <w:right w:w="108" w:type="dxa"/>
            </w:tcMar>
            <w:hideMark/>
          </w:tcPr>
          <w:p w14:paraId="7DDEE35E"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16 (4.5)</w:t>
            </w:r>
          </w:p>
        </w:tc>
        <w:tc>
          <w:tcPr>
            <w:tcW w:w="3118" w:type="dxa"/>
            <w:tcMar>
              <w:top w:w="0" w:type="dxa"/>
              <w:left w:w="108" w:type="dxa"/>
              <w:bottom w:w="0" w:type="dxa"/>
              <w:right w:w="108" w:type="dxa"/>
            </w:tcMar>
            <w:hideMark/>
          </w:tcPr>
          <w:p w14:paraId="6AC57692"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0.8: 0.39; 1.4 (0.7 2.7)</w:t>
            </w:r>
          </w:p>
        </w:tc>
      </w:tr>
      <w:tr w:rsidR="00EB0AB2" w:rsidRPr="00C63E3F" w14:paraId="28F674C5" w14:textId="77777777" w:rsidTr="00B23CB7">
        <w:trPr>
          <w:trHeight w:val="540"/>
        </w:trPr>
        <w:tc>
          <w:tcPr>
            <w:tcW w:w="2093" w:type="dxa"/>
            <w:tcMar>
              <w:top w:w="0" w:type="dxa"/>
              <w:left w:w="108" w:type="dxa"/>
              <w:bottom w:w="0" w:type="dxa"/>
              <w:right w:w="108" w:type="dxa"/>
            </w:tcMar>
          </w:tcPr>
          <w:p w14:paraId="48D71BB9"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 xml:space="preserve">At least 1 </w:t>
            </w:r>
            <w:r w:rsidRPr="00C63E3F">
              <w:rPr>
                <w:rFonts w:ascii="Book Antiqua" w:eastAsia="Times New Roman" w:hAnsi="Book Antiqua" w:cs="Arial"/>
                <w:sz w:val="24"/>
                <w:szCs w:val="24"/>
                <w:lang w:val="en-US" w:eastAsia="it-IT"/>
              </w:rPr>
              <w:t>THRGF</w:t>
            </w:r>
          </w:p>
        </w:tc>
        <w:tc>
          <w:tcPr>
            <w:tcW w:w="1417" w:type="dxa"/>
            <w:tcMar>
              <w:top w:w="0" w:type="dxa"/>
              <w:left w:w="108" w:type="dxa"/>
              <w:bottom w:w="0" w:type="dxa"/>
              <w:right w:w="108" w:type="dxa"/>
            </w:tcMar>
          </w:tcPr>
          <w:p w14:paraId="7F4F5A7A"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218 (29.9)</w:t>
            </w:r>
          </w:p>
        </w:tc>
        <w:tc>
          <w:tcPr>
            <w:tcW w:w="1276" w:type="dxa"/>
            <w:tcMar>
              <w:top w:w="0" w:type="dxa"/>
              <w:left w:w="108" w:type="dxa"/>
              <w:bottom w:w="0" w:type="dxa"/>
              <w:right w:w="108" w:type="dxa"/>
            </w:tcMar>
          </w:tcPr>
          <w:p w14:paraId="224EE518"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43 (42.1)</w:t>
            </w:r>
          </w:p>
        </w:tc>
        <w:tc>
          <w:tcPr>
            <w:tcW w:w="1418" w:type="dxa"/>
            <w:tcMar>
              <w:top w:w="0" w:type="dxa"/>
              <w:left w:w="108" w:type="dxa"/>
              <w:bottom w:w="0" w:type="dxa"/>
              <w:right w:w="108" w:type="dxa"/>
            </w:tcMar>
          </w:tcPr>
          <w:p w14:paraId="47B79D6A"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156 (62.9)</w:t>
            </w:r>
          </w:p>
        </w:tc>
        <w:tc>
          <w:tcPr>
            <w:tcW w:w="1417" w:type="dxa"/>
            <w:tcMar>
              <w:top w:w="0" w:type="dxa"/>
              <w:left w:w="108" w:type="dxa"/>
              <w:bottom w:w="0" w:type="dxa"/>
              <w:right w:w="108" w:type="dxa"/>
            </w:tcMar>
          </w:tcPr>
          <w:p w14:paraId="6A1EC139"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de-DE" w:eastAsia="it-IT"/>
              </w:rPr>
              <w:t>199 (56.9)</w:t>
            </w:r>
          </w:p>
        </w:tc>
        <w:tc>
          <w:tcPr>
            <w:tcW w:w="3118" w:type="dxa"/>
            <w:tcMar>
              <w:top w:w="0" w:type="dxa"/>
              <w:left w:w="108" w:type="dxa"/>
              <w:bottom w:w="0" w:type="dxa"/>
              <w:right w:w="108" w:type="dxa"/>
            </w:tcMar>
          </w:tcPr>
          <w:p w14:paraId="38E7A01E"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de-DE" w:eastAsia="it-IT"/>
              </w:rPr>
              <w:t>72.5: 0.000;</w:t>
            </w:r>
            <w:r w:rsidRPr="00C63E3F">
              <w:rPr>
                <w:rFonts w:ascii="Book Antiqua" w:eastAsia="Times New Roman" w:hAnsi="Book Antiqua" w:cs="Arial"/>
                <w:sz w:val="24"/>
                <w:szCs w:val="24"/>
                <w:lang w:eastAsia="it-IT"/>
              </w:rPr>
              <w:t xml:space="preserve"> </w:t>
            </w:r>
            <w:r w:rsidRPr="00C63E3F">
              <w:rPr>
                <w:rFonts w:ascii="Book Antiqua" w:eastAsia="Times New Roman" w:hAnsi="Book Antiqua" w:cs="Arial"/>
                <w:sz w:val="24"/>
                <w:szCs w:val="24"/>
                <w:lang w:val="de-DE" w:eastAsia="it-IT"/>
              </w:rPr>
              <w:t>3.1 (2.4 - 4.1)</w:t>
            </w:r>
          </w:p>
        </w:tc>
      </w:tr>
      <w:tr w:rsidR="00EB0AB2" w:rsidRPr="00C63E3F" w14:paraId="5EAB9AFC" w14:textId="77777777" w:rsidTr="00B23CB7">
        <w:trPr>
          <w:trHeight w:val="467"/>
        </w:trPr>
        <w:tc>
          <w:tcPr>
            <w:tcW w:w="2093" w:type="dxa"/>
            <w:tcBorders>
              <w:bottom w:val="single" w:sz="4" w:space="0" w:color="auto"/>
            </w:tcBorders>
            <w:tcMar>
              <w:top w:w="0" w:type="dxa"/>
              <w:left w:w="108" w:type="dxa"/>
              <w:bottom w:w="0" w:type="dxa"/>
              <w:right w:w="108" w:type="dxa"/>
            </w:tcMar>
            <w:hideMark/>
          </w:tcPr>
          <w:p w14:paraId="11EA633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&gt;</w:t>
            </w:r>
            <w:r w:rsidR="006F1D78" w:rsidRPr="00C63E3F">
              <w:rPr>
                <w:rFonts w:ascii="Book Antiqua" w:hAnsi="Book Antiqua" w:cs="Arial"/>
                <w:sz w:val="24"/>
                <w:szCs w:val="24"/>
                <w:lang w:val="en-GB" w:eastAsia="zh-CN"/>
              </w:rPr>
              <w:t xml:space="preserve"> </w:t>
            </w:r>
            <w:r w:rsidRPr="00C63E3F">
              <w:rPr>
                <w:rFonts w:ascii="Book Antiqua" w:eastAsia="Times New Roman" w:hAnsi="Book Antiqua" w:cs="Arial"/>
                <w:sz w:val="24"/>
                <w:szCs w:val="24"/>
                <w:lang w:val="en-GB" w:eastAsia="it-IT"/>
              </w:rPr>
              <w:t xml:space="preserve">1 </w:t>
            </w:r>
            <w:r w:rsidRPr="00C63E3F">
              <w:rPr>
                <w:rFonts w:ascii="Book Antiqua" w:eastAsia="Times New Roman" w:hAnsi="Book Antiqua" w:cs="Arial"/>
                <w:sz w:val="24"/>
                <w:szCs w:val="24"/>
                <w:lang w:val="en-US" w:eastAsia="it-IT"/>
              </w:rPr>
              <w:t>THRGF</w:t>
            </w:r>
          </w:p>
        </w:tc>
        <w:tc>
          <w:tcPr>
            <w:tcW w:w="1417" w:type="dxa"/>
            <w:tcBorders>
              <w:bottom w:val="single" w:sz="4" w:space="0" w:color="auto"/>
            </w:tcBorders>
            <w:tcMar>
              <w:top w:w="0" w:type="dxa"/>
              <w:left w:w="108" w:type="dxa"/>
              <w:bottom w:w="0" w:type="dxa"/>
              <w:right w:w="108" w:type="dxa"/>
            </w:tcMar>
            <w:hideMark/>
          </w:tcPr>
          <w:p w14:paraId="67EBF610"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40 (5.4)</w:t>
            </w:r>
          </w:p>
        </w:tc>
        <w:tc>
          <w:tcPr>
            <w:tcW w:w="1276" w:type="dxa"/>
            <w:tcBorders>
              <w:bottom w:val="single" w:sz="4" w:space="0" w:color="auto"/>
            </w:tcBorders>
            <w:tcMar>
              <w:top w:w="0" w:type="dxa"/>
              <w:left w:w="108" w:type="dxa"/>
              <w:bottom w:w="0" w:type="dxa"/>
              <w:right w:w="108" w:type="dxa"/>
            </w:tcMar>
            <w:hideMark/>
          </w:tcPr>
          <w:p w14:paraId="624BA48B"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14 (13.7)</w:t>
            </w:r>
          </w:p>
        </w:tc>
        <w:tc>
          <w:tcPr>
            <w:tcW w:w="1418" w:type="dxa"/>
            <w:tcBorders>
              <w:bottom w:val="single" w:sz="4" w:space="0" w:color="auto"/>
            </w:tcBorders>
            <w:tcMar>
              <w:top w:w="0" w:type="dxa"/>
              <w:left w:w="108" w:type="dxa"/>
              <w:bottom w:w="0" w:type="dxa"/>
              <w:right w:w="108" w:type="dxa"/>
            </w:tcMar>
            <w:hideMark/>
          </w:tcPr>
          <w:p w14:paraId="0AF45572"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30 (12.0)</w:t>
            </w:r>
          </w:p>
        </w:tc>
        <w:tc>
          <w:tcPr>
            <w:tcW w:w="1417" w:type="dxa"/>
            <w:tcBorders>
              <w:bottom w:val="single" w:sz="4" w:space="0" w:color="auto"/>
            </w:tcBorders>
            <w:tcMar>
              <w:top w:w="0" w:type="dxa"/>
              <w:left w:w="108" w:type="dxa"/>
              <w:bottom w:w="0" w:type="dxa"/>
              <w:right w:w="108" w:type="dxa"/>
            </w:tcMar>
            <w:hideMark/>
          </w:tcPr>
          <w:p w14:paraId="5A7EADEF"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44 (12.5)</w:t>
            </w:r>
          </w:p>
        </w:tc>
        <w:tc>
          <w:tcPr>
            <w:tcW w:w="3118" w:type="dxa"/>
            <w:tcBorders>
              <w:bottom w:val="single" w:sz="4" w:space="0" w:color="auto"/>
            </w:tcBorders>
            <w:tcMar>
              <w:top w:w="0" w:type="dxa"/>
              <w:left w:w="108" w:type="dxa"/>
              <w:bottom w:w="0" w:type="dxa"/>
              <w:right w:w="108" w:type="dxa"/>
            </w:tcMar>
            <w:hideMark/>
          </w:tcPr>
          <w:p w14:paraId="48E39A84" w14:textId="77777777" w:rsidR="002E4FBD" w:rsidRPr="00C63E3F" w:rsidRDefault="002E4FBD" w:rsidP="009A3E1D">
            <w:pPr>
              <w:spacing w:after="0" w:line="360" w:lineRule="auto"/>
              <w:jc w:val="both"/>
              <w:rPr>
                <w:rFonts w:ascii="Book Antiqua" w:eastAsia="Times New Roman" w:hAnsi="Book Antiqua" w:cs="Arial"/>
                <w:sz w:val="24"/>
                <w:szCs w:val="24"/>
                <w:lang w:eastAsia="it-IT"/>
              </w:rPr>
            </w:pPr>
            <w:r w:rsidRPr="00C63E3F">
              <w:rPr>
                <w:rFonts w:ascii="Book Antiqua" w:eastAsia="Times New Roman" w:hAnsi="Book Antiqua" w:cs="Arial"/>
                <w:sz w:val="24"/>
                <w:szCs w:val="24"/>
                <w:lang w:val="en-GB" w:eastAsia="it-IT"/>
              </w:rPr>
              <w:t>16.5: 0.000; 2.5 (1.6 - 4.0)</w:t>
            </w:r>
          </w:p>
        </w:tc>
      </w:tr>
    </w:tbl>
    <w:p w14:paraId="78659800" w14:textId="77777777" w:rsidR="00E023CD" w:rsidRPr="00C63E3F" w:rsidRDefault="00E023CD" w:rsidP="009A3E1D">
      <w:pPr>
        <w:spacing w:after="0" w:line="360" w:lineRule="auto"/>
        <w:jc w:val="both"/>
        <w:rPr>
          <w:rFonts w:ascii="Book Antiqua" w:hAnsi="Book Antiqua"/>
          <w:sz w:val="24"/>
          <w:szCs w:val="24"/>
          <w:lang w:eastAsia="zh-CN"/>
        </w:rPr>
      </w:pPr>
      <w:r w:rsidRPr="00C63E3F">
        <w:rPr>
          <w:rFonts w:ascii="Book Antiqua" w:eastAsia="Times New Roman" w:hAnsi="Book Antiqua" w:cs="Arial"/>
          <w:sz w:val="24"/>
          <w:szCs w:val="24"/>
          <w:lang w:val="en-GB" w:eastAsia="it-IT"/>
        </w:rPr>
        <w:t>VLC</w:t>
      </w:r>
      <w:r w:rsidRPr="00C63E3F">
        <w:rPr>
          <w:rFonts w:ascii="Book Antiqua" w:hAnsi="Book Antiqua" w:cs="Arial"/>
          <w:sz w:val="24"/>
          <w:szCs w:val="24"/>
          <w:lang w:val="en-GB" w:eastAsia="zh-CN"/>
        </w:rPr>
        <w:t xml:space="preserve">: </w:t>
      </w:r>
      <w:r w:rsidRPr="00C63E3F">
        <w:rPr>
          <w:rFonts w:ascii="Book Antiqua" w:eastAsia="Times New Roman" w:hAnsi="Book Antiqua" w:cs="Arial"/>
          <w:sz w:val="24"/>
          <w:szCs w:val="24"/>
          <w:lang w:val="en-GB" w:eastAsia="it-IT"/>
        </w:rPr>
        <w:t>Virus liver cirrhosis</w:t>
      </w:r>
      <w:r w:rsidRPr="00C63E3F">
        <w:rPr>
          <w:rFonts w:ascii="Book Antiqua" w:hAnsi="Book Antiqua" w:cs="Arial"/>
          <w:sz w:val="24"/>
          <w:szCs w:val="24"/>
          <w:lang w:val="en-GB" w:eastAsia="zh-CN"/>
        </w:rPr>
        <w:t xml:space="preserve">; </w:t>
      </w:r>
      <w:r w:rsidRPr="00C63E3F">
        <w:rPr>
          <w:rFonts w:ascii="Book Antiqua" w:eastAsia="Times New Roman" w:hAnsi="Book Antiqua" w:cs="Arial"/>
          <w:sz w:val="24"/>
          <w:szCs w:val="24"/>
          <w:lang w:val="en-GB" w:eastAsia="it-IT"/>
        </w:rPr>
        <w:t>NVLC</w:t>
      </w:r>
      <w:r w:rsidRPr="00C63E3F">
        <w:rPr>
          <w:rFonts w:ascii="Book Antiqua" w:hAnsi="Book Antiqua" w:cs="Arial"/>
          <w:sz w:val="24"/>
          <w:szCs w:val="24"/>
          <w:lang w:val="en-GB" w:eastAsia="zh-CN"/>
        </w:rPr>
        <w:t>:</w:t>
      </w:r>
      <w:r w:rsidRPr="00C63E3F">
        <w:rPr>
          <w:rFonts w:ascii="Book Antiqua" w:eastAsia="Times New Roman" w:hAnsi="Book Antiqua" w:cs="Arial"/>
          <w:sz w:val="24"/>
          <w:szCs w:val="24"/>
          <w:lang w:val="en-GB" w:eastAsia="it-IT"/>
        </w:rPr>
        <w:t xml:space="preserve"> Non-virus cirrhosis</w:t>
      </w:r>
      <w:r w:rsidRPr="00C63E3F">
        <w:rPr>
          <w:rFonts w:ascii="Book Antiqua" w:hAnsi="Book Antiqua" w:cs="Arial"/>
          <w:sz w:val="24"/>
          <w:szCs w:val="24"/>
          <w:lang w:val="en-GB" w:eastAsia="zh-CN"/>
        </w:rPr>
        <w:t>;</w:t>
      </w:r>
      <w:r w:rsidRPr="00C63E3F">
        <w:rPr>
          <w:rFonts w:ascii="Book Antiqua" w:hAnsi="Book Antiqua"/>
          <w:sz w:val="24"/>
          <w:szCs w:val="24"/>
          <w:lang w:val="en-US" w:eastAsia="zh-CN"/>
        </w:rPr>
        <w:t xml:space="preserve"> PVT: Portal vein thrombosis; BCS: Budd chiari syndrome</w:t>
      </w:r>
      <w:r w:rsidR="00660876" w:rsidRPr="00C63E3F">
        <w:rPr>
          <w:rFonts w:ascii="Book Antiqua" w:hAnsi="Book Antiqua"/>
          <w:sz w:val="24"/>
          <w:szCs w:val="24"/>
          <w:lang w:val="en-US" w:eastAsia="zh-CN"/>
        </w:rPr>
        <w:t>;</w:t>
      </w:r>
      <w:r w:rsidR="00660876" w:rsidRPr="00C63E3F">
        <w:rPr>
          <w:rFonts w:ascii="Book Antiqua" w:eastAsia="Times New Roman" w:hAnsi="Book Antiqua" w:cs="Arial"/>
          <w:sz w:val="24"/>
          <w:szCs w:val="24"/>
          <w:lang w:val="en-US" w:eastAsia="it-IT"/>
        </w:rPr>
        <w:t xml:space="preserve"> THRGF</w:t>
      </w:r>
      <w:r w:rsidR="00660876" w:rsidRPr="00C63E3F">
        <w:rPr>
          <w:rFonts w:ascii="Book Antiqua" w:hAnsi="Book Antiqua" w:cs="Arial"/>
          <w:sz w:val="24"/>
          <w:szCs w:val="24"/>
          <w:lang w:val="en-US" w:eastAsia="zh-CN"/>
        </w:rPr>
        <w:t>: Thrombophilic genetic factors.</w:t>
      </w:r>
    </w:p>
    <w:p w14:paraId="6C852BC3" w14:textId="77777777" w:rsidR="002E4FBD" w:rsidRPr="00C63E3F" w:rsidRDefault="002E4FBD" w:rsidP="009A3E1D">
      <w:pPr>
        <w:spacing w:after="0" w:line="360" w:lineRule="auto"/>
        <w:jc w:val="both"/>
        <w:rPr>
          <w:rFonts w:ascii="Book Antiqua" w:hAnsi="Book Antiqua" w:cs="Arial"/>
          <w:sz w:val="24"/>
          <w:szCs w:val="24"/>
        </w:rPr>
      </w:pPr>
    </w:p>
    <w:p w14:paraId="4BECCA1B" w14:textId="77777777" w:rsidR="00A24972" w:rsidRPr="00C63E3F" w:rsidRDefault="00A24972" w:rsidP="009A3E1D">
      <w:pPr>
        <w:spacing w:after="0" w:line="360" w:lineRule="auto"/>
        <w:jc w:val="both"/>
        <w:rPr>
          <w:rFonts w:ascii="Book Antiqua" w:hAnsi="Book Antiqua"/>
          <w:sz w:val="24"/>
          <w:szCs w:val="24"/>
          <w:lang w:val="en-US"/>
        </w:rPr>
      </w:pPr>
    </w:p>
    <w:sectPr w:rsidR="00A24972" w:rsidRPr="00C63E3F" w:rsidSect="00782848">
      <w:pgSz w:w="11906" w:h="16838"/>
      <w:pgMar w:top="1417" w:right="1133"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944E3" w15:done="0"/>
  <w15:commentEx w15:paraId="7E1499D2" w15:done="0"/>
  <w15:commentEx w15:paraId="775E0399" w15:done="0"/>
  <w15:commentEx w15:paraId="6CBCFD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461C" w14:textId="77777777" w:rsidR="00100AC4" w:rsidRDefault="00100AC4" w:rsidP="002237AC">
      <w:pPr>
        <w:spacing w:after="0" w:line="240" w:lineRule="auto"/>
      </w:pPr>
      <w:r>
        <w:separator/>
      </w:r>
    </w:p>
  </w:endnote>
  <w:endnote w:type="continuationSeparator" w:id="0">
    <w:p w14:paraId="41C73B8C" w14:textId="77777777" w:rsidR="00100AC4" w:rsidRDefault="00100AC4" w:rsidP="0022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0" w:usb1="08070000" w:usb2="00000010" w:usb3="00000000" w:csb0="0002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247CC" w14:textId="77777777" w:rsidR="00100AC4" w:rsidRDefault="00100AC4" w:rsidP="002237AC">
      <w:pPr>
        <w:spacing w:after="0" w:line="240" w:lineRule="auto"/>
      </w:pPr>
      <w:r>
        <w:separator/>
      </w:r>
    </w:p>
  </w:footnote>
  <w:footnote w:type="continuationSeparator" w:id="0">
    <w:p w14:paraId="787B2FFD" w14:textId="77777777" w:rsidR="00100AC4" w:rsidRDefault="00100AC4" w:rsidP="002237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F7334"/>
    <w:multiLevelType w:val="hybridMultilevel"/>
    <w:tmpl w:val="AA087D8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A775375"/>
    <w:multiLevelType w:val="hybridMultilevel"/>
    <w:tmpl w:val="68B4394A"/>
    <w:lvl w:ilvl="0" w:tplc="4962BF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Pasta">
    <w15:presenceInfo w15:providerId="AD" w15:userId="S-1-5-21-3418959345-3226693808-2531462174-2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3"/>
    <w:rsid w:val="000066FB"/>
    <w:rsid w:val="000121EA"/>
    <w:rsid w:val="00017F63"/>
    <w:rsid w:val="00022C11"/>
    <w:rsid w:val="00026E36"/>
    <w:rsid w:val="0002762C"/>
    <w:rsid w:val="00032424"/>
    <w:rsid w:val="000615FD"/>
    <w:rsid w:val="00077937"/>
    <w:rsid w:val="00091A1A"/>
    <w:rsid w:val="000B544A"/>
    <w:rsid w:val="000B728D"/>
    <w:rsid w:val="000C73FF"/>
    <w:rsid w:val="000D5EED"/>
    <w:rsid w:val="000E123C"/>
    <w:rsid w:val="000E2C9C"/>
    <w:rsid w:val="000E708F"/>
    <w:rsid w:val="000F2295"/>
    <w:rsid w:val="00100356"/>
    <w:rsid w:val="00100AC4"/>
    <w:rsid w:val="00101970"/>
    <w:rsid w:val="00114416"/>
    <w:rsid w:val="00125135"/>
    <w:rsid w:val="001278B7"/>
    <w:rsid w:val="00130B40"/>
    <w:rsid w:val="001329D5"/>
    <w:rsid w:val="00132F68"/>
    <w:rsid w:val="00150858"/>
    <w:rsid w:val="00152F45"/>
    <w:rsid w:val="001544E6"/>
    <w:rsid w:val="00164C0E"/>
    <w:rsid w:val="001770F8"/>
    <w:rsid w:val="00183154"/>
    <w:rsid w:val="0018371A"/>
    <w:rsid w:val="00186844"/>
    <w:rsid w:val="00196F0F"/>
    <w:rsid w:val="001A4E67"/>
    <w:rsid w:val="001A625B"/>
    <w:rsid w:val="001C1364"/>
    <w:rsid w:val="001C1E7C"/>
    <w:rsid w:val="001C76B0"/>
    <w:rsid w:val="001D5DB6"/>
    <w:rsid w:val="001D717A"/>
    <w:rsid w:val="001E07AD"/>
    <w:rsid w:val="001F717A"/>
    <w:rsid w:val="00206CF9"/>
    <w:rsid w:val="00207DA0"/>
    <w:rsid w:val="002176E3"/>
    <w:rsid w:val="00217DD5"/>
    <w:rsid w:val="002237AC"/>
    <w:rsid w:val="0022777F"/>
    <w:rsid w:val="00234DF2"/>
    <w:rsid w:val="0023613E"/>
    <w:rsid w:val="00240029"/>
    <w:rsid w:val="00250662"/>
    <w:rsid w:val="00252CF3"/>
    <w:rsid w:val="00255EA7"/>
    <w:rsid w:val="00262CFA"/>
    <w:rsid w:val="002632D2"/>
    <w:rsid w:val="0026466D"/>
    <w:rsid w:val="0027466C"/>
    <w:rsid w:val="00283253"/>
    <w:rsid w:val="002A266D"/>
    <w:rsid w:val="002A283F"/>
    <w:rsid w:val="002B03FD"/>
    <w:rsid w:val="002B08B8"/>
    <w:rsid w:val="002B1FB2"/>
    <w:rsid w:val="002C0B53"/>
    <w:rsid w:val="002D398E"/>
    <w:rsid w:val="002D5BF9"/>
    <w:rsid w:val="002E1167"/>
    <w:rsid w:val="002E4FBD"/>
    <w:rsid w:val="003060E0"/>
    <w:rsid w:val="003068B5"/>
    <w:rsid w:val="0031616A"/>
    <w:rsid w:val="00322531"/>
    <w:rsid w:val="00324576"/>
    <w:rsid w:val="00327474"/>
    <w:rsid w:val="00361162"/>
    <w:rsid w:val="003631AA"/>
    <w:rsid w:val="0037038D"/>
    <w:rsid w:val="00393061"/>
    <w:rsid w:val="003A6D1C"/>
    <w:rsid w:val="003E22E0"/>
    <w:rsid w:val="003E6A48"/>
    <w:rsid w:val="003F0421"/>
    <w:rsid w:val="003F0478"/>
    <w:rsid w:val="00401A23"/>
    <w:rsid w:val="0040644A"/>
    <w:rsid w:val="00424739"/>
    <w:rsid w:val="00432400"/>
    <w:rsid w:val="004324C3"/>
    <w:rsid w:val="0044678A"/>
    <w:rsid w:val="00447D59"/>
    <w:rsid w:val="00455208"/>
    <w:rsid w:val="00460D92"/>
    <w:rsid w:val="00466D5F"/>
    <w:rsid w:val="004738D4"/>
    <w:rsid w:val="00481AEB"/>
    <w:rsid w:val="004832F4"/>
    <w:rsid w:val="00485B65"/>
    <w:rsid w:val="004A0CF5"/>
    <w:rsid w:val="004C04EA"/>
    <w:rsid w:val="004E2B13"/>
    <w:rsid w:val="004E348F"/>
    <w:rsid w:val="00505ECB"/>
    <w:rsid w:val="005075D6"/>
    <w:rsid w:val="00523DE8"/>
    <w:rsid w:val="0054094C"/>
    <w:rsid w:val="00551373"/>
    <w:rsid w:val="0055670E"/>
    <w:rsid w:val="00557327"/>
    <w:rsid w:val="0056438F"/>
    <w:rsid w:val="00567ED4"/>
    <w:rsid w:val="00573A26"/>
    <w:rsid w:val="00577CB9"/>
    <w:rsid w:val="005A0FF1"/>
    <w:rsid w:val="005B152C"/>
    <w:rsid w:val="005B47B0"/>
    <w:rsid w:val="005B5B4A"/>
    <w:rsid w:val="005B7059"/>
    <w:rsid w:val="005C1993"/>
    <w:rsid w:val="005C1DAB"/>
    <w:rsid w:val="005C3887"/>
    <w:rsid w:val="005C5B06"/>
    <w:rsid w:val="005D66E7"/>
    <w:rsid w:val="005E03FA"/>
    <w:rsid w:val="005E415A"/>
    <w:rsid w:val="005E4EF9"/>
    <w:rsid w:val="005E73D9"/>
    <w:rsid w:val="005F36D3"/>
    <w:rsid w:val="00601759"/>
    <w:rsid w:val="0062501A"/>
    <w:rsid w:val="00631959"/>
    <w:rsid w:val="0063630D"/>
    <w:rsid w:val="00636310"/>
    <w:rsid w:val="006373C6"/>
    <w:rsid w:val="00652C94"/>
    <w:rsid w:val="00654243"/>
    <w:rsid w:val="006552FC"/>
    <w:rsid w:val="00660876"/>
    <w:rsid w:val="006653E9"/>
    <w:rsid w:val="00667328"/>
    <w:rsid w:val="00672872"/>
    <w:rsid w:val="006732FA"/>
    <w:rsid w:val="00673AC2"/>
    <w:rsid w:val="00674286"/>
    <w:rsid w:val="00682CA3"/>
    <w:rsid w:val="00687614"/>
    <w:rsid w:val="006A1F04"/>
    <w:rsid w:val="006B28E1"/>
    <w:rsid w:val="006B49F4"/>
    <w:rsid w:val="006C00D2"/>
    <w:rsid w:val="006C248F"/>
    <w:rsid w:val="006C2D92"/>
    <w:rsid w:val="006C708B"/>
    <w:rsid w:val="006D6EF5"/>
    <w:rsid w:val="006E4C49"/>
    <w:rsid w:val="006E73BB"/>
    <w:rsid w:val="006F1D78"/>
    <w:rsid w:val="007012FA"/>
    <w:rsid w:val="00706193"/>
    <w:rsid w:val="007136CE"/>
    <w:rsid w:val="00720903"/>
    <w:rsid w:val="0072321F"/>
    <w:rsid w:val="007417A2"/>
    <w:rsid w:val="00742FAD"/>
    <w:rsid w:val="007453E7"/>
    <w:rsid w:val="00766978"/>
    <w:rsid w:val="007669D6"/>
    <w:rsid w:val="00782848"/>
    <w:rsid w:val="00783289"/>
    <w:rsid w:val="00783D6D"/>
    <w:rsid w:val="007A0BA1"/>
    <w:rsid w:val="007A2268"/>
    <w:rsid w:val="007C119E"/>
    <w:rsid w:val="007C679E"/>
    <w:rsid w:val="007C7951"/>
    <w:rsid w:val="007D7430"/>
    <w:rsid w:val="007F051F"/>
    <w:rsid w:val="007F0D83"/>
    <w:rsid w:val="007F1C8E"/>
    <w:rsid w:val="007F475E"/>
    <w:rsid w:val="0081028D"/>
    <w:rsid w:val="00815786"/>
    <w:rsid w:val="00816AC7"/>
    <w:rsid w:val="008338B6"/>
    <w:rsid w:val="00840305"/>
    <w:rsid w:val="00860463"/>
    <w:rsid w:val="008605E4"/>
    <w:rsid w:val="00886049"/>
    <w:rsid w:val="00891766"/>
    <w:rsid w:val="008942E3"/>
    <w:rsid w:val="008A604D"/>
    <w:rsid w:val="008A65C9"/>
    <w:rsid w:val="008D58EC"/>
    <w:rsid w:val="008E2155"/>
    <w:rsid w:val="008E513F"/>
    <w:rsid w:val="008F24A0"/>
    <w:rsid w:val="008F3AFE"/>
    <w:rsid w:val="00907421"/>
    <w:rsid w:val="009102A1"/>
    <w:rsid w:val="00926CE0"/>
    <w:rsid w:val="00930D31"/>
    <w:rsid w:val="009328F4"/>
    <w:rsid w:val="00937D02"/>
    <w:rsid w:val="00941207"/>
    <w:rsid w:val="0094412B"/>
    <w:rsid w:val="00946DCD"/>
    <w:rsid w:val="009470F5"/>
    <w:rsid w:val="0095193D"/>
    <w:rsid w:val="00953450"/>
    <w:rsid w:val="00956C93"/>
    <w:rsid w:val="00977416"/>
    <w:rsid w:val="009A3E1D"/>
    <w:rsid w:val="009B495B"/>
    <w:rsid w:val="009B7D19"/>
    <w:rsid w:val="009C08C9"/>
    <w:rsid w:val="009C4360"/>
    <w:rsid w:val="009C444A"/>
    <w:rsid w:val="009D7EE0"/>
    <w:rsid w:val="009E0531"/>
    <w:rsid w:val="009E0F84"/>
    <w:rsid w:val="00A21167"/>
    <w:rsid w:val="00A23E8E"/>
    <w:rsid w:val="00A24972"/>
    <w:rsid w:val="00A42D88"/>
    <w:rsid w:val="00A44CDE"/>
    <w:rsid w:val="00A500F7"/>
    <w:rsid w:val="00A56C72"/>
    <w:rsid w:val="00A6338D"/>
    <w:rsid w:val="00A800B4"/>
    <w:rsid w:val="00A83310"/>
    <w:rsid w:val="00A83819"/>
    <w:rsid w:val="00A90C97"/>
    <w:rsid w:val="00A96861"/>
    <w:rsid w:val="00AB1757"/>
    <w:rsid w:val="00AB6862"/>
    <w:rsid w:val="00AB7682"/>
    <w:rsid w:val="00AC0433"/>
    <w:rsid w:val="00AC46F7"/>
    <w:rsid w:val="00AD2C7F"/>
    <w:rsid w:val="00AD6271"/>
    <w:rsid w:val="00AD6949"/>
    <w:rsid w:val="00AE6EA7"/>
    <w:rsid w:val="00B035D4"/>
    <w:rsid w:val="00B04373"/>
    <w:rsid w:val="00B0711C"/>
    <w:rsid w:val="00B23CB7"/>
    <w:rsid w:val="00B375FF"/>
    <w:rsid w:val="00B62BFB"/>
    <w:rsid w:val="00B63FEA"/>
    <w:rsid w:val="00B7362E"/>
    <w:rsid w:val="00B76717"/>
    <w:rsid w:val="00B80BE1"/>
    <w:rsid w:val="00B81E4F"/>
    <w:rsid w:val="00B9177A"/>
    <w:rsid w:val="00B97E9C"/>
    <w:rsid w:val="00BA23A6"/>
    <w:rsid w:val="00BA2CE0"/>
    <w:rsid w:val="00BC0976"/>
    <w:rsid w:val="00BC479B"/>
    <w:rsid w:val="00BD6754"/>
    <w:rsid w:val="00BE537C"/>
    <w:rsid w:val="00BF761F"/>
    <w:rsid w:val="00C05912"/>
    <w:rsid w:val="00C11CCB"/>
    <w:rsid w:val="00C13E8B"/>
    <w:rsid w:val="00C14E92"/>
    <w:rsid w:val="00C16114"/>
    <w:rsid w:val="00C169BF"/>
    <w:rsid w:val="00C2098D"/>
    <w:rsid w:val="00C23121"/>
    <w:rsid w:val="00C23C99"/>
    <w:rsid w:val="00C375EF"/>
    <w:rsid w:val="00C44A62"/>
    <w:rsid w:val="00C63E3F"/>
    <w:rsid w:val="00C64EF2"/>
    <w:rsid w:val="00C70554"/>
    <w:rsid w:val="00C71DBC"/>
    <w:rsid w:val="00C749C3"/>
    <w:rsid w:val="00C87E66"/>
    <w:rsid w:val="00C93EF9"/>
    <w:rsid w:val="00CA046D"/>
    <w:rsid w:val="00CA1483"/>
    <w:rsid w:val="00CB1424"/>
    <w:rsid w:val="00CB779C"/>
    <w:rsid w:val="00CB78B7"/>
    <w:rsid w:val="00CE13EA"/>
    <w:rsid w:val="00CE79E0"/>
    <w:rsid w:val="00CF3998"/>
    <w:rsid w:val="00CF6D89"/>
    <w:rsid w:val="00D057EF"/>
    <w:rsid w:val="00D52087"/>
    <w:rsid w:val="00D60B11"/>
    <w:rsid w:val="00D62ADC"/>
    <w:rsid w:val="00D664A5"/>
    <w:rsid w:val="00D76D40"/>
    <w:rsid w:val="00D7700A"/>
    <w:rsid w:val="00D81B28"/>
    <w:rsid w:val="00D875FE"/>
    <w:rsid w:val="00D974F1"/>
    <w:rsid w:val="00DA0C14"/>
    <w:rsid w:val="00DC2396"/>
    <w:rsid w:val="00DC246A"/>
    <w:rsid w:val="00DF05CD"/>
    <w:rsid w:val="00DF095E"/>
    <w:rsid w:val="00DF1587"/>
    <w:rsid w:val="00E01337"/>
    <w:rsid w:val="00E023CD"/>
    <w:rsid w:val="00E03AF4"/>
    <w:rsid w:val="00E12445"/>
    <w:rsid w:val="00E2010B"/>
    <w:rsid w:val="00E30EB0"/>
    <w:rsid w:val="00E35119"/>
    <w:rsid w:val="00E44455"/>
    <w:rsid w:val="00E71A38"/>
    <w:rsid w:val="00E77EAD"/>
    <w:rsid w:val="00E8146F"/>
    <w:rsid w:val="00E848B2"/>
    <w:rsid w:val="00E85479"/>
    <w:rsid w:val="00E9205D"/>
    <w:rsid w:val="00E926CA"/>
    <w:rsid w:val="00E92ABA"/>
    <w:rsid w:val="00EA3976"/>
    <w:rsid w:val="00EA3C84"/>
    <w:rsid w:val="00EB0AB2"/>
    <w:rsid w:val="00EB3D08"/>
    <w:rsid w:val="00EC603A"/>
    <w:rsid w:val="00EE39B7"/>
    <w:rsid w:val="00EF433D"/>
    <w:rsid w:val="00F00586"/>
    <w:rsid w:val="00F023D5"/>
    <w:rsid w:val="00F112A7"/>
    <w:rsid w:val="00F17CA4"/>
    <w:rsid w:val="00F20B23"/>
    <w:rsid w:val="00F31DBE"/>
    <w:rsid w:val="00F411C9"/>
    <w:rsid w:val="00F44D7D"/>
    <w:rsid w:val="00F50FB7"/>
    <w:rsid w:val="00F63A59"/>
    <w:rsid w:val="00F705AE"/>
    <w:rsid w:val="00F71567"/>
    <w:rsid w:val="00F82552"/>
    <w:rsid w:val="00F965A9"/>
    <w:rsid w:val="00FA507E"/>
    <w:rsid w:val="00FC560B"/>
    <w:rsid w:val="00FD43BF"/>
    <w:rsid w:val="00FD6734"/>
    <w:rsid w:val="00FE32F3"/>
    <w:rsid w:val="00FF2C8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5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D6"/>
  </w:style>
  <w:style w:type="paragraph" w:styleId="Heading1">
    <w:name w:val="heading 1"/>
    <w:basedOn w:val="Normal"/>
    <w:link w:val="Heading1Char"/>
    <w:uiPriority w:val="9"/>
    <w:qFormat/>
    <w:rsid w:val="009B4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13"/>
    <w:rPr>
      <w:color w:val="0563C1" w:themeColor="hyperlink"/>
      <w:u w:val="single"/>
    </w:rPr>
  </w:style>
  <w:style w:type="table" w:styleId="TableGrid">
    <w:name w:val="Table Grid"/>
    <w:basedOn w:val="TableNormal"/>
    <w:uiPriority w:val="59"/>
    <w:rsid w:val="00E3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474"/>
    <w:rPr>
      <w:sz w:val="16"/>
      <w:szCs w:val="16"/>
    </w:rPr>
  </w:style>
  <w:style w:type="paragraph" w:styleId="CommentText">
    <w:name w:val="annotation text"/>
    <w:basedOn w:val="Normal"/>
    <w:link w:val="CommentTextChar"/>
    <w:uiPriority w:val="99"/>
    <w:semiHidden/>
    <w:unhideWhenUsed/>
    <w:rsid w:val="00327474"/>
    <w:pPr>
      <w:spacing w:line="240" w:lineRule="auto"/>
    </w:pPr>
    <w:rPr>
      <w:sz w:val="20"/>
      <w:szCs w:val="20"/>
    </w:rPr>
  </w:style>
  <w:style w:type="character" w:customStyle="1" w:styleId="CommentTextChar">
    <w:name w:val="Comment Text Char"/>
    <w:basedOn w:val="DefaultParagraphFont"/>
    <w:link w:val="CommentText"/>
    <w:uiPriority w:val="99"/>
    <w:semiHidden/>
    <w:rsid w:val="00327474"/>
    <w:rPr>
      <w:sz w:val="20"/>
      <w:szCs w:val="20"/>
    </w:rPr>
  </w:style>
  <w:style w:type="paragraph" w:styleId="CommentSubject">
    <w:name w:val="annotation subject"/>
    <w:basedOn w:val="CommentText"/>
    <w:next w:val="CommentText"/>
    <w:link w:val="CommentSubjectChar"/>
    <w:uiPriority w:val="99"/>
    <w:semiHidden/>
    <w:unhideWhenUsed/>
    <w:rsid w:val="00327474"/>
    <w:rPr>
      <w:b/>
      <w:bCs/>
    </w:rPr>
  </w:style>
  <w:style w:type="character" w:customStyle="1" w:styleId="CommentSubjectChar">
    <w:name w:val="Comment Subject Char"/>
    <w:basedOn w:val="CommentTextChar"/>
    <w:link w:val="CommentSubject"/>
    <w:uiPriority w:val="99"/>
    <w:semiHidden/>
    <w:rsid w:val="00327474"/>
    <w:rPr>
      <w:b/>
      <w:bCs/>
      <w:sz w:val="20"/>
      <w:szCs w:val="20"/>
    </w:rPr>
  </w:style>
  <w:style w:type="paragraph" w:styleId="BalloonText">
    <w:name w:val="Balloon Text"/>
    <w:basedOn w:val="Normal"/>
    <w:link w:val="BalloonTextChar"/>
    <w:uiPriority w:val="99"/>
    <w:semiHidden/>
    <w:unhideWhenUsed/>
    <w:rsid w:val="0032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74"/>
    <w:rPr>
      <w:rFonts w:ascii="Segoe UI" w:hAnsi="Segoe UI" w:cs="Segoe UI"/>
      <w:sz w:val="18"/>
      <w:szCs w:val="18"/>
    </w:rPr>
  </w:style>
  <w:style w:type="character" w:customStyle="1" w:styleId="highlight1">
    <w:name w:val="highlight1"/>
    <w:rsid w:val="00C23C99"/>
    <w:rPr>
      <w:shd w:val="clear" w:color="auto" w:fill="F1BFE0"/>
    </w:rPr>
  </w:style>
  <w:style w:type="paragraph" w:styleId="ListParagraph">
    <w:name w:val="List Paragraph"/>
    <w:basedOn w:val="Normal"/>
    <w:uiPriority w:val="34"/>
    <w:qFormat/>
    <w:rsid w:val="007C119E"/>
    <w:pPr>
      <w:ind w:left="720"/>
      <w:contextualSpacing/>
    </w:pPr>
  </w:style>
  <w:style w:type="character" w:customStyle="1" w:styleId="Heading1Char">
    <w:name w:val="Heading 1 Char"/>
    <w:basedOn w:val="DefaultParagraphFont"/>
    <w:link w:val="Heading1"/>
    <w:uiPriority w:val="9"/>
    <w:rsid w:val="009B495B"/>
    <w:rPr>
      <w:rFonts w:ascii="Times New Roman" w:eastAsia="Times New Roman" w:hAnsi="Times New Roman" w:cs="Times New Roman"/>
      <w:b/>
      <w:bCs/>
      <w:kern w:val="36"/>
      <w:sz w:val="48"/>
      <w:szCs w:val="48"/>
      <w:lang w:eastAsia="it-IT"/>
    </w:rPr>
  </w:style>
  <w:style w:type="character" w:customStyle="1" w:styleId="a-size-large">
    <w:name w:val="a-size-large"/>
    <w:basedOn w:val="DefaultParagraphFont"/>
    <w:rsid w:val="009B495B"/>
  </w:style>
  <w:style w:type="character" w:customStyle="1" w:styleId="apple-converted-space">
    <w:name w:val="apple-converted-space"/>
    <w:basedOn w:val="DefaultParagraphFont"/>
    <w:rsid w:val="009B495B"/>
  </w:style>
  <w:style w:type="character" w:customStyle="1" w:styleId="a-size-medium">
    <w:name w:val="a-size-medium"/>
    <w:basedOn w:val="DefaultParagraphFont"/>
    <w:rsid w:val="009B495B"/>
  </w:style>
  <w:style w:type="character" w:customStyle="1" w:styleId="a-declarative">
    <w:name w:val="a-declarative"/>
    <w:basedOn w:val="DefaultParagraphFont"/>
    <w:rsid w:val="009B495B"/>
  </w:style>
  <w:style w:type="character" w:styleId="Emphasis">
    <w:name w:val="Emphasis"/>
    <w:basedOn w:val="DefaultParagraphFont"/>
    <w:uiPriority w:val="20"/>
    <w:qFormat/>
    <w:rsid w:val="00C93EF9"/>
    <w:rPr>
      <w:i/>
      <w:iCs/>
    </w:rPr>
  </w:style>
  <w:style w:type="paragraph" w:styleId="Header">
    <w:name w:val="header"/>
    <w:basedOn w:val="Normal"/>
    <w:link w:val="HeaderChar"/>
    <w:uiPriority w:val="99"/>
    <w:unhideWhenUsed/>
    <w:rsid w:val="002237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237AC"/>
    <w:rPr>
      <w:sz w:val="18"/>
      <w:szCs w:val="18"/>
    </w:rPr>
  </w:style>
  <w:style w:type="paragraph" w:styleId="Footer">
    <w:name w:val="footer"/>
    <w:basedOn w:val="Normal"/>
    <w:link w:val="FooterChar"/>
    <w:uiPriority w:val="99"/>
    <w:unhideWhenUsed/>
    <w:rsid w:val="002237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237AC"/>
    <w:rPr>
      <w:sz w:val="18"/>
      <w:szCs w:val="18"/>
    </w:rPr>
  </w:style>
  <w:style w:type="character" w:styleId="Strong">
    <w:name w:val="Strong"/>
    <w:basedOn w:val="DefaultParagraphFont"/>
    <w:uiPriority w:val="22"/>
    <w:qFormat/>
    <w:rsid w:val="00F965A9"/>
    <w:rPr>
      <w:b/>
      <w:bCs/>
    </w:rPr>
  </w:style>
  <w:style w:type="character" w:customStyle="1" w:styleId="journaltitle">
    <w:name w:val="journaltitle"/>
    <w:basedOn w:val="DefaultParagraphFont"/>
    <w:rsid w:val="00C63E3F"/>
  </w:style>
  <w:style w:type="character" w:customStyle="1" w:styleId="articlecitationyear">
    <w:name w:val="articlecitation_year"/>
    <w:basedOn w:val="DefaultParagraphFont"/>
    <w:rsid w:val="00C63E3F"/>
  </w:style>
  <w:style w:type="character" w:customStyle="1" w:styleId="articlecitationvolume">
    <w:name w:val="articlecitation_volume"/>
    <w:basedOn w:val="DefaultParagraphFont"/>
    <w:rsid w:val="00C63E3F"/>
  </w:style>
  <w:style w:type="character" w:customStyle="1" w:styleId="articlecitationpages">
    <w:name w:val="articlecitation_pages"/>
    <w:basedOn w:val="DefaultParagraphFont"/>
    <w:rsid w:val="00C63E3F"/>
  </w:style>
  <w:style w:type="character" w:customStyle="1" w:styleId="authorname">
    <w:name w:val="authorname"/>
    <w:basedOn w:val="DefaultParagraphFont"/>
    <w:rsid w:val="00C63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D6"/>
  </w:style>
  <w:style w:type="paragraph" w:styleId="Heading1">
    <w:name w:val="heading 1"/>
    <w:basedOn w:val="Normal"/>
    <w:link w:val="Heading1Char"/>
    <w:uiPriority w:val="9"/>
    <w:qFormat/>
    <w:rsid w:val="009B4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13"/>
    <w:rPr>
      <w:color w:val="0563C1" w:themeColor="hyperlink"/>
      <w:u w:val="single"/>
    </w:rPr>
  </w:style>
  <w:style w:type="table" w:styleId="TableGrid">
    <w:name w:val="Table Grid"/>
    <w:basedOn w:val="TableNormal"/>
    <w:uiPriority w:val="59"/>
    <w:rsid w:val="00E35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474"/>
    <w:rPr>
      <w:sz w:val="16"/>
      <w:szCs w:val="16"/>
    </w:rPr>
  </w:style>
  <w:style w:type="paragraph" w:styleId="CommentText">
    <w:name w:val="annotation text"/>
    <w:basedOn w:val="Normal"/>
    <w:link w:val="CommentTextChar"/>
    <w:uiPriority w:val="99"/>
    <w:semiHidden/>
    <w:unhideWhenUsed/>
    <w:rsid w:val="00327474"/>
    <w:pPr>
      <w:spacing w:line="240" w:lineRule="auto"/>
    </w:pPr>
    <w:rPr>
      <w:sz w:val="20"/>
      <w:szCs w:val="20"/>
    </w:rPr>
  </w:style>
  <w:style w:type="character" w:customStyle="1" w:styleId="CommentTextChar">
    <w:name w:val="Comment Text Char"/>
    <w:basedOn w:val="DefaultParagraphFont"/>
    <w:link w:val="CommentText"/>
    <w:uiPriority w:val="99"/>
    <w:semiHidden/>
    <w:rsid w:val="00327474"/>
    <w:rPr>
      <w:sz w:val="20"/>
      <w:szCs w:val="20"/>
    </w:rPr>
  </w:style>
  <w:style w:type="paragraph" w:styleId="CommentSubject">
    <w:name w:val="annotation subject"/>
    <w:basedOn w:val="CommentText"/>
    <w:next w:val="CommentText"/>
    <w:link w:val="CommentSubjectChar"/>
    <w:uiPriority w:val="99"/>
    <w:semiHidden/>
    <w:unhideWhenUsed/>
    <w:rsid w:val="00327474"/>
    <w:rPr>
      <w:b/>
      <w:bCs/>
    </w:rPr>
  </w:style>
  <w:style w:type="character" w:customStyle="1" w:styleId="CommentSubjectChar">
    <w:name w:val="Comment Subject Char"/>
    <w:basedOn w:val="CommentTextChar"/>
    <w:link w:val="CommentSubject"/>
    <w:uiPriority w:val="99"/>
    <w:semiHidden/>
    <w:rsid w:val="00327474"/>
    <w:rPr>
      <w:b/>
      <w:bCs/>
      <w:sz w:val="20"/>
      <w:szCs w:val="20"/>
    </w:rPr>
  </w:style>
  <w:style w:type="paragraph" w:styleId="BalloonText">
    <w:name w:val="Balloon Text"/>
    <w:basedOn w:val="Normal"/>
    <w:link w:val="BalloonTextChar"/>
    <w:uiPriority w:val="99"/>
    <w:semiHidden/>
    <w:unhideWhenUsed/>
    <w:rsid w:val="0032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74"/>
    <w:rPr>
      <w:rFonts w:ascii="Segoe UI" w:hAnsi="Segoe UI" w:cs="Segoe UI"/>
      <w:sz w:val="18"/>
      <w:szCs w:val="18"/>
    </w:rPr>
  </w:style>
  <w:style w:type="character" w:customStyle="1" w:styleId="highlight1">
    <w:name w:val="highlight1"/>
    <w:rsid w:val="00C23C99"/>
    <w:rPr>
      <w:shd w:val="clear" w:color="auto" w:fill="F1BFE0"/>
    </w:rPr>
  </w:style>
  <w:style w:type="paragraph" w:styleId="ListParagraph">
    <w:name w:val="List Paragraph"/>
    <w:basedOn w:val="Normal"/>
    <w:uiPriority w:val="34"/>
    <w:qFormat/>
    <w:rsid w:val="007C119E"/>
    <w:pPr>
      <w:ind w:left="720"/>
      <w:contextualSpacing/>
    </w:pPr>
  </w:style>
  <w:style w:type="character" w:customStyle="1" w:styleId="Heading1Char">
    <w:name w:val="Heading 1 Char"/>
    <w:basedOn w:val="DefaultParagraphFont"/>
    <w:link w:val="Heading1"/>
    <w:uiPriority w:val="9"/>
    <w:rsid w:val="009B495B"/>
    <w:rPr>
      <w:rFonts w:ascii="Times New Roman" w:eastAsia="Times New Roman" w:hAnsi="Times New Roman" w:cs="Times New Roman"/>
      <w:b/>
      <w:bCs/>
      <w:kern w:val="36"/>
      <w:sz w:val="48"/>
      <w:szCs w:val="48"/>
      <w:lang w:eastAsia="it-IT"/>
    </w:rPr>
  </w:style>
  <w:style w:type="character" w:customStyle="1" w:styleId="a-size-large">
    <w:name w:val="a-size-large"/>
    <w:basedOn w:val="DefaultParagraphFont"/>
    <w:rsid w:val="009B495B"/>
  </w:style>
  <w:style w:type="character" w:customStyle="1" w:styleId="apple-converted-space">
    <w:name w:val="apple-converted-space"/>
    <w:basedOn w:val="DefaultParagraphFont"/>
    <w:rsid w:val="009B495B"/>
  </w:style>
  <w:style w:type="character" w:customStyle="1" w:styleId="a-size-medium">
    <w:name w:val="a-size-medium"/>
    <w:basedOn w:val="DefaultParagraphFont"/>
    <w:rsid w:val="009B495B"/>
  </w:style>
  <w:style w:type="character" w:customStyle="1" w:styleId="a-declarative">
    <w:name w:val="a-declarative"/>
    <w:basedOn w:val="DefaultParagraphFont"/>
    <w:rsid w:val="009B495B"/>
  </w:style>
  <w:style w:type="character" w:styleId="Emphasis">
    <w:name w:val="Emphasis"/>
    <w:basedOn w:val="DefaultParagraphFont"/>
    <w:uiPriority w:val="20"/>
    <w:qFormat/>
    <w:rsid w:val="00C93EF9"/>
    <w:rPr>
      <w:i/>
      <w:iCs/>
    </w:rPr>
  </w:style>
  <w:style w:type="paragraph" w:styleId="Header">
    <w:name w:val="header"/>
    <w:basedOn w:val="Normal"/>
    <w:link w:val="HeaderChar"/>
    <w:uiPriority w:val="99"/>
    <w:unhideWhenUsed/>
    <w:rsid w:val="002237A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237AC"/>
    <w:rPr>
      <w:sz w:val="18"/>
      <w:szCs w:val="18"/>
    </w:rPr>
  </w:style>
  <w:style w:type="paragraph" w:styleId="Footer">
    <w:name w:val="footer"/>
    <w:basedOn w:val="Normal"/>
    <w:link w:val="FooterChar"/>
    <w:uiPriority w:val="99"/>
    <w:unhideWhenUsed/>
    <w:rsid w:val="002237A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237AC"/>
    <w:rPr>
      <w:sz w:val="18"/>
      <w:szCs w:val="18"/>
    </w:rPr>
  </w:style>
  <w:style w:type="character" w:styleId="Strong">
    <w:name w:val="Strong"/>
    <w:basedOn w:val="DefaultParagraphFont"/>
    <w:uiPriority w:val="22"/>
    <w:qFormat/>
    <w:rsid w:val="00F965A9"/>
    <w:rPr>
      <w:b/>
      <w:bCs/>
    </w:rPr>
  </w:style>
  <w:style w:type="character" w:customStyle="1" w:styleId="journaltitle">
    <w:name w:val="journaltitle"/>
    <w:basedOn w:val="DefaultParagraphFont"/>
    <w:rsid w:val="00C63E3F"/>
  </w:style>
  <w:style w:type="character" w:customStyle="1" w:styleId="articlecitationyear">
    <w:name w:val="articlecitation_year"/>
    <w:basedOn w:val="DefaultParagraphFont"/>
    <w:rsid w:val="00C63E3F"/>
  </w:style>
  <w:style w:type="character" w:customStyle="1" w:styleId="articlecitationvolume">
    <w:name w:val="articlecitation_volume"/>
    <w:basedOn w:val="DefaultParagraphFont"/>
    <w:rsid w:val="00C63E3F"/>
  </w:style>
  <w:style w:type="character" w:customStyle="1" w:styleId="articlecitationpages">
    <w:name w:val="articlecitation_pages"/>
    <w:basedOn w:val="DefaultParagraphFont"/>
    <w:rsid w:val="00C63E3F"/>
  </w:style>
  <w:style w:type="character" w:customStyle="1" w:styleId="authorname">
    <w:name w:val="authorname"/>
    <w:basedOn w:val="DefaultParagraphFont"/>
    <w:rsid w:val="00C6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347">
      <w:bodyDiv w:val="1"/>
      <w:marLeft w:val="0"/>
      <w:marRight w:val="0"/>
      <w:marTop w:val="0"/>
      <w:marBottom w:val="0"/>
      <w:divBdr>
        <w:top w:val="none" w:sz="0" w:space="0" w:color="auto"/>
        <w:left w:val="none" w:sz="0" w:space="0" w:color="auto"/>
        <w:bottom w:val="none" w:sz="0" w:space="0" w:color="auto"/>
        <w:right w:val="none" w:sz="0" w:space="0" w:color="auto"/>
      </w:divBdr>
      <w:divsChild>
        <w:div w:id="788545711">
          <w:marLeft w:val="0"/>
          <w:marRight w:val="0"/>
          <w:marTop w:val="0"/>
          <w:marBottom w:val="275"/>
          <w:divBdr>
            <w:top w:val="none" w:sz="0" w:space="0" w:color="auto"/>
            <w:left w:val="none" w:sz="0" w:space="0" w:color="auto"/>
            <w:bottom w:val="none" w:sz="0" w:space="0" w:color="auto"/>
            <w:right w:val="none" w:sz="0" w:space="0" w:color="auto"/>
          </w:divBdr>
        </w:div>
        <w:div w:id="360323367">
          <w:marLeft w:val="0"/>
          <w:marRight w:val="0"/>
          <w:marTop w:val="0"/>
          <w:marBottom w:val="0"/>
          <w:divBdr>
            <w:top w:val="none" w:sz="0" w:space="0" w:color="auto"/>
            <w:left w:val="none" w:sz="0" w:space="0" w:color="auto"/>
            <w:bottom w:val="none" w:sz="0" w:space="0" w:color="auto"/>
            <w:right w:val="none" w:sz="0" w:space="0" w:color="auto"/>
          </w:divBdr>
        </w:div>
      </w:divsChild>
    </w:div>
    <w:div w:id="211582327">
      <w:bodyDiv w:val="1"/>
      <w:marLeft w:val="0"/>
      <w:marRight w:val="0"/>
      <w:marTop w:val="0"/>
      <w:marBottom w:val="0"/>
      <w:divBdr>
        <w:top w:val="none" w:sz="0" w:space="0" w:color="auto"/>
        <w:left w:val="none" w:sz="0" w:space="0" w:color="auto"/>
        <w:bottom w:val="none" w:sz="0" w:space="0" w:color="auto"/>
        <w:right w:val="none" w:sz="0" w:space="0" w:color="auto"/>
      </w:divBdr>
    </w:div>
    <w:div w:id="812137927">
      <w:bodyDiv w:val="1"/>
      <w:marLeft w:val="0"/>
      <w:marRight w:val="0"/>
      <w:marTop w:val="0"/>
      <w:marBottom w:val="0"/>
      <w:divBdr>
        <w:top w:val="none" w:sz="0" w:space="0" w:color="auto"/>
        <w:left w:val="none" w:sz="0" w:space="0" w:color="auto"/>
        <w:bottom w:val="none" w:sz="0" w:space="0" w:color="auto"/>
        <w:right w:val="none" w:sz="0" w:space="0" w:color="auto"/>
      </w:divBdr>
    </w:div>
    <w:div w:id="1769497337">
      <w:bodyDiv w:val="1"/>
      <w:marLeft w:val="0"/>
      <w:marRight w:val="0"/>
      <w:marTop w:val="0"/>
      <w:marBottom w:val="0"/>
      <w:divBdr>
        <w:top w:val="none" w:sz="0" w:space="0" w:color="auto"/>
        <w:left w:val="none" w:sz="0" w:space="0" w:color="auto"/>
        <w:bottom w:val="none" w:sz="0" w:space="0" w:color="auto"/>
        <w:right w:val="none" w:sz="0" w:space="0" w:color="auto"/>
      </w:divBdr>
    </w:div>
    <w:div w:id="20468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62" Type="http://schemas.microsoft.com/office/2011/relationships/people" Target="people.xml"/><Relationship Id="rId6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ndpas@yahoo.it"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8F2E-1D5A-A74B-9A5A-C5247B02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5194</Words>
  <Characters>29612</Characters>
  <Application>Microsoft Macintosh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Pasta</dc:creator>
  <cp:lastModifiedBy>Na Ma</cp:lastModifiedBy>
  <cp:revision>3</cp:revision>
  <cp:lastPrinted>2015-10-09T22:05:00Z</cp:lastPrinted>
  <dcterms:created xsi:type="dcterms:W3CDTF">2015-11-24T03:57:00Z</dcterms:created>
  <dcterms:modified xsi:type="dcterms:W3CDTF">2015-11-24T04:09:00Z</dcterms:modified>
</cp:coreProperties>
</file>