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A25FB9" w14:textId="5F6060C5" w:rsidR="00BE6CC2" w:rsidRPr="00BE1BE1" w:rsidRDefault="00BE6CC2" w:rsidP="00BA05FB">
      <w:pPr>
        <w:pStyle w:val="Body"/>
        <w:spacing w:line="360" w:lineRule="auto"/>
        <w:jc w:val="both"/>
        <w:rPr>
          <w:rFonts w:ascii="Book Antiqua" w:hAnsi="Book Antiqua"/>
          <w:b/>
          <w:i/>
          <w:color w:val="auto"/>
          <w:szCs w:val="24"/>
          <w:lang w:eastAsia="zh-CN"/>
        </w:rPr>
      </w:pPr>
      <w:r w:rsidRPr="00D43349">
        <w:rPr>
          <w:rFonts w:ascii="Book Antiqua" w:hAnsi="Book Antiqua"/>
          <w:b/>
          <w:color w:val="auto"/>
          <w:szCs w:val="24"/>
          <w:lang w:eastAsia="zh-CN"/>
        </w:rPr>
        <w:t xml:space="preserve">Name of </w:t>
      </w:r>
      <w:r w:rsidR="0002685C" w:rsidRPr="00D43349">
        <w:rPr>
          <w:rFonts w:ascii="Book Antiqua" w:hAnsi="Book Antiqua"/>
          <w:b/>
          <w:color w:val="auto"/>
          <w:szCs w:val="24"/>
          <w:lang w:eastAsia="zh-CN"/>
        </w:rPr>
        <w:t>Journal</w:t>
      </w:r>
      <w:r w:rsidRPr="00D43349">
        <w:rPr>
          <w:rFonts w:ascii="Book Antiqua" w:hAnsi="Book Antiqua"/>
          <w:b/>
          <w:color w:val="auto"/>
          <w:szCs w:val="24"/>
          <w:lang w:eastAsia="zh-CN"/>
        </w:rPr>
        <w:t xml:space="preserve">: </w:t>
      </w:r>
      <w:r w:rsidRPr="00BE1BE1">
        <w:rPr>
          <w:rFonts w:ascii="Book Antiqua" w:hAnsi="Book Antiqua"/>
          <w:b/>
          <w:i/>
          <w:color w:val="auto"/>
          <w:szCs w:val="24"/>
          <w:lang w:eastAsia="zh-CN"/>
        </w:rPr>
        <w:t>World Journal of Clinical Pediatrics</w:t>
      </w:r>
    </w:p>
    <w:p w14:paraId="423F3BBC" w14:textId="47F1C74D" w:rsidR="00BE6CC2" w:rsidRPr="00D43349" w:rsidRDefault="00BE6CC2" w:rsidP="00BA05FB">
      <w:pPr>
        <w:pStyle w:val="Body"/>
        <w:spacing w:line="360" w:lineRule="auto"/>
        <w:jc w:val="both"/>
        <w:rPr>
          <w:rFonts w:ascii="Book Antiqua" w:hAnsi="Book Antiqua"/>
          <w:b/>
          <w:color w:val="auto"/>
          <w:szCs w:val="24"/>
          <w:lang w:eastAsia="zh-CN"/>
        </w:rPr>
      </w:pPr>
      <w:r w:rsidRPr="00D43349">
        <w:rPr>
          <w:rFonts w:ascii="Book Antiqua" w:hAnsi="Book Antiqua"/>
          <w:b/>
          <w:color w:val="auto"/>
          <w:szCs w:val="24"/>
          <w:lang w:eastAsia="zh-CN"/>
        </w:rPr>
        <w:t>ESPS Manuscript NO: 20172</w:t>
      </w:r>
    </w:p>
    <w:p w14:paraId="639A290B" w14:textId="0284ABF0" w:rsidR="00BE6CC2" w:rsidRPr="00D43349" w:rsidRDefault="00BE6CC2" w:rsidP="00BA05FB">
      <w:pPr>
        <w:pStyle w:val="Body"/>
        <w:spacing w:line="360" w:lineRule="auto"/>
        <w:jc w:val="both"/>
        <w:rPr>
          <w:rFonts w:ascii="Book Antiqua" w:hAnsi="Book Antiqua"/>
          <w:b/>
          <w:color w:val="auto"/>
          <w:szCs w:val="24"/>
          <w:lang w:eastAsia="zh-CN"/>
        </w:rPr>
      </w:pPr>
      <w:r w:rsidRPr="00D43349">
        <w:rPr>
          <w:rFonts w:ascii="Book Antiqua" w:hAnsi="Book Antiqua"/>
          <w:b/>
          <w:color w:val="auto"/>
          <w:szCs w:val="24"/>
          <w:lang w:eastAsia="zh-CN"/>
        </w:rPr>
        <w:t xml:space="preserve">Manuscript Type: </w:t>
      </w:r>
      <w:r w:rsidR="00DF2A79" w:rsidRPr="00D43349">
        <w:rPr>
          <w:rFonts w:ascii="Book Antiqua" w:hAnsi="Book Antiqua"/>
          <w:b/>
          <w:color w:val="auto"/>
          <w:szCs w:val="24"/>
          <w:lang w:eastAsia="zh-CN"/>
        </w:rPr>
        <w:t>REVIEW</w:t>
      </w:r>
    </w:p>
    <w:p w14:paraId="4EC29D3F" w14:textId="77777777" w:rsidR="00BE6CC2" w:rsidRPr="00D43349" w:rsidRDefault="00BE6CC2" w:rsidP="00BA05FB">
      <w:pPr>
        <w:pStyle w:val="Body"/>
        <w:spacing w:line="360" w:lineRule="auto"/>
        <w:jc w:val="both"/>
        <w:rPr>
          <w:rFonts w:ascii="Book Antiqua" w:hAnsi="Book Antiqua"/>
          <w:b/>
          <w:color w:val="auto"/>
          <w:szCs w:val="24"/>
          <w:lang w:eastAsia="zh-CN"/>
        </w:rPr>
      </w:pPr>
    </w:p>
    <w:p w14:paraId="5D7813DE" w14:textId="77777777" w:rsidR="00930223" w:rsidRPr="00D43349" w:rsidRDefault="004004EA" w:rsidP="00BA05FB">
      <w:pPr>
        <w:pStyle w:val="Body"/>
        <w:spacing w:line="360" w:lineRule="auto"/>
        <w:jc w:val="both"/>
        <w:rPr>
          <w:rFonts w:ascii="Book Antiqua" w:hAnsi="Book Antiqua"/>
          <w:b/>
          <w:color w:val="auto"/>
          <w:szCs w:val="24"/>
        </w:rPr>
      </w:pPr>
      <w:r w:rsidRPr="00D43349">
        <w:rPr>
          <w:rFonts w:ascii="Book Antiqua" w:hAnsi="Book Antiqua"/>
          <w:b/>
          <w:color w:val="auto"/>
          <w:szCs w:val="24"/>
        </w:rPr>
        <w:t>Current management of pediatric soft tissue sarcomas</w:t>
      </w:r>
    </w:p>
    <w:p w14:paraId="7BDD9440" w14:textId="77777777" w:rsidR="00877AC4" w:rsidRPr="00D43349" w:rsidRDefault="00877AC4" w:rsidP="00BA05FB">
      <w:pPr>
        <w:pStyle w:val="Body"/>
        <w:spacing w:line="360" w:lineRule="auto"/>
        <w:jc w:val="both"/>
        <w:rPr>
          <w:rFonts w:ascii="Book Antiqua" w:hAnsi="Book Antiqua"/>
          <w:b/>
          <w:color w:val="auto"/>
          <w:szCs w:val="24"/>
        </w:rPr>
      </w:pPr>
    </w:p>
    <w:p w14:paraId="7E8D486B" w14:textId="1BA2F363" w:rsidR="00877AC4" w:rsidRPr="00D43349" w:rsidRDefault="00BA05FB" w:rsidP="00BA05FB">
      <w:pPr>
        <w:pStyle w:val="Body"/>
        <w:spacing w:line="360" w:lineRule="auto"/>
        <w:jc w:val="both"/>
        <w:rPr>
          <w:rFonts w:ascii="Book Antiqua" w:hAnsi="Book Antiqua"/>
          <w:color w:val="auto"/>
          <w:szCs w:val="24"/>
          <w:lang w:eastAsia="zh-CN"/>
        </w:rPr>
      </w:pPr>
      <w:r w:rsidRPr="00D43349">
        <w:rPr>
          <w:rFonts w:ascii="Book Antiqua" w:hAnsi="Book Antiqua"/>
          <w:color w:val="auto"/>
          <w:szCs w:val="24"/>
        </w:rPr>
        <w:t xml:space="preserve">Sangkhathat </w:t>
      </w:r>
      <w:r>
        <w:rPr>
          <w:rFonts w:ascii="Book Antiqua" w:hAnsi="Book Antiqua" w:hint="eastAsia"/>
          <w:color w:val="auto"/>
          <w:szCs w:val="24"/>
          <w:lang w:eastAsia="zh-CN"/>
        </w:rPr>
        <w:t xml:space="preserve">S. </w:t>
      </w:r>
      <w:r w:rsidR="00DF2A79" w:rsidRPr="00D43349">
        <w:rPr>
          <w:rFonts w:ascii="Book Antiqua" w:hAnsi="Book Antiqua"/>
          <w:color w:val="auto"/>
          <w:szCs w:val="24"/>
        </w:rPr>
        <w:t xml:space="preserve">Current </w:t>
      </w:r>
      <w:r w:rsidR="0092567B" w:rsidRPr="00D43349">
        <w:rPr>
          <w:rFonts w:ascii="Book Antiqua" w:hAnsi="Book Antiqua"/>
          <w:color w:val="auto"/>
          <w:szCs w:val="24"/>
        </w:rPr>
        <w:t>management of pediatric sarcomas</w:t>
      </w:r>
    </w:p>
    <w:p w14:paraId="1908B7D1" w14:textId="77777777" w:rsidR="00DF2A79" w:rsidRPr="00D43349" w:rsidRDefault="00DF2A79" w:rsidP="00BA05FB">
      <w:pPr>
        <w:pStyle w:val="Body"/>
        <w:spacing w:line="360" w:lineRule="auto"/>
        <w:jc w:val="both"/>
        <w:rPr>
          <w:rFonts w:ascii="Book Antiqua" w:hAnsi="Book Antiqua"/>
          <w:b/>
          <w:color w:val="auto"/>
          <w:szCs w:val="24"/>
          <w:lang w:eastAsia="zh-CN"/>
        </w:rPr>
      </w:pPr>
    </w:p>
    <w:p w14:paraId="648FF850" w14:textId="7E809886" w:rsidR="002A5234" w:rsidRPr="00BE1BE1" w:rsidRDefault="00647EE0" w:rsidP="00BA05FB">
      <w:pPr>
        <w:pStyle w:val="Body"/>
        <w:spacing w:line="360" w:lineRule="auto"/>
        <w:jc w:val="both"/>
        <w:rPr>
          <w:rFonts w:ascii="Book Antiqua" w:hAnsi="Book Antiqua"/>
          <w:b/>
          <w:color w:val="auto"/>
          <w:szCs w:val="24"/>
          <w:lang w:eastAsia="zh-CN"/>
        </w:rPr>
      </w:pPr>
      <w:r w:rsidRPr="00BE1BE1">
        <w:rPr>
          <w:rFonts w:ascii="Book Antiqua" w:hAnsi="Book Antiqua"/>
          <w:b/>
          <w:color w:val="auto"/>
          <w:szCs w:val="24"/>
        </w:rPr>
        <w:t>Surasak Sangkhathat</w:t>
      </w:r>
    </w:p>
    <w:p w14:paraId="26685773" w14:textId="77777777" w:rsidR="00DF2A79" w:rsidRPr="00D43349" w:rsidRDefault="00DF2A79" w:rsidP="00BA05FB">
      <w:pPr>
        <w:pStyle w:val="Body"/>
        <w:spacing w:line="360" w:lineRule="auto"/>
        <w:jc w:val="both"/>
        <w:rPr>
          <w:rFonts w:ascii="Book Antiqua" w:hAnsi="Book Antiqua"/>
          <w:color w:val="auto"/>
          <w:szCs w:val="24"/>
          <w:lang w:eastAsia="zh-CN"/>
        </w:rPr>
      </w:pPr>
    </w:p>
    <w:p w14:paraId="68BBD017" w14:textId="351FCD10" w:rsidR="002A5234" w:rsidRPr="00D43349" w:rsidRDefault="00846341" w:rsidP="00BA05FB">
      <w:pPr>
        <w:pStyle w:val="Body"/>
        <w:spacing w:line="360" w:lineRule="auto"/>
        <w:jc w:val="both"/>
        <w:rPr>
          <w:rFonts w:ascii="Book Antiqua" w:hAnsi="Book Antiqua"/>
          <w:color w:val="auto"/>
          <w:szCs w:val="24"/>
          <w:lang w:eastAsia="zh-CN"/>
        </w:rPr>
      </w:pPr>
      <w:r w:rsidRPr="00D43349">
        <w:rPr>
          <w:rFonts w:ascii="Book Antiqua" w:hAnsi="Book Antiqua"/>
          <w:b/>
          <w:color w:val="auto"/>
          <w:szCs w:val="24"/>
        </w:rPr>
        <w:t>Surasak Sangkhathat</w:t>
      </w:r>
      <w:r w:rsidRPr="00D43349">
        <w:rPr>
          <w:rFonts w:ascii="Book Antiqua" w:hAnsi="Book Antiqua"/>
          <w:b/>
          <w:color w:val="auto"/>
          <w:szCs w:val="24"/>
          <w:lang w:eastAsia="zh-CN"/>
        </w:rPr>
        <w:t>,</w:t>
      </w:r>
      <w:r w:rsidRPr="00D43349">
        <w:rPr>
          <w:rFonts w:ascii="Book Antiqua" w:hAnsi="Book Antiqua"/>
          <w:color w:val="auto"/>
          <w:szCs w:val="24"/>
          <w:lang w:eastAsia="zh-CN"/>
        </w:rPr>
        <w:t xml:space="preserve"> </w:t>
      </w:r>
      <w:r w:rsidR="00647EE0" w:rsidRPr="00D43349">
        <w:rPr>
          <w:rFonts w:ascii="Book Antiqua" w:hAnsi="Book Antiqua"/>
          <w:color w:val="auto"/>
          <w:szCs w:val="24"/>
        </w:rPr>
        <w:t>Department of Surgery and Tumor Biology Research Unit, Faculty of Medicine, Prince of Songkla University</w:t>
      </w:r>
      <w:r w:rsidRPr="00D43349">
        <w:rPr>
          <w:rFonts w:ascii="Book Antiqua" w:hAnsi="Book Antiqua"/>
          <w:color w:val="auto"/>
          <w:szCs w:val="24"/>
          <w:lang w:eastAsia="zh-CN"/>
        </w:rPr>
        <w:t xml:space="preserve">, </w:t>
      </w:r>
      <w:r w:rsidRPr="00D43349">
        <w:rPr>
          <w:rFonts w:ascii="Book Antiqua" w:hAnsi="Book Antiqua"/>
          <w:szCs w:val="24"/>
        </w:rPr>
        <w:t>Songkhla</w:t>
      </w:r>
      <w:r w:rsidRPr="00D43349">
        <w:rPr>
          <w:rFonts w:ascii="Book Antiqua" w:hAnsi="Book Antiqua"/>
          <w:szCs w:val="24"/>
          <w:lang w:eastAsia="zh-CN"/>
        </w:rPr>
        <w:t xml:space="preserve"> </w:t>
      </w:r>
      <w:r w:rsidRPr="00D43349">
        <w:rPr>
          <w:rFonts w:ascii="Book Antiqua" w:hAnsi="Book Antiqua"/>
          <w:szCs w:val="24"/>
        </w:rPr>
        <w:t>90110, Thailand</w:t>
      </w:r>
    </w:p>
    <w:p w14:paraId="0BEF998B" w14:textId="77777777" w:rsidR="00DF2A79" w:rsidRPr="00D43349" w:rsidRDefault="00DF2A79" w:rsidP="00BA05FB">
      <w:pPr>
        <w:pStyle w:val="Body"/>
        <w:spacing w:line="360" w:lineRule="auto"/>
        <w:jc w:val="both"/>
        <w:rPr>
          <w:rFonts w:ascii="Book Antiqua" w:hAnsi="Book Antiqua"/>
          <w:color w:val="auto"/>
          <w:szCs w:val="24"/>
          <w:lang w:eastAsia="zh-CN"/>
        </w:rPr>
      </w:pPr>
    </w:p>
    <w:p w14:paraId="629F1A05" w14:textId="09A91808" w:rsidR="00930223" w:rsidRPr="00D43349" w:rsidRDefault="00C85A23" w:rsidP="00BA05FB">
      <w:pPr>
        <w:pStyle w:val="Body"/>
        <w:spacing w:line="360" w:lineRule="auto"/>
        <w:jc w:val="both"/>
        <w:rPr>
          <w:rFonts w:ascii="Book Antiqua" w:hAnsi="Book Antiqua"/>
          <w:color w:val="auto"/>
          <w:szCs w:val="24"/>
          <w:lang w:eastAsia="zh-CN"/>
        </w:rPr>
      </w:pPr>
      <w:r w:rsidRPr="00D43349">
        <w:rPr>
          <w:rFonts w:ascii="Book Antiqua" w:hAnsi="Book Antiqua"/>
          <w:b/>
          <w:color w:val="auto"/>
          <w:szCs w:val="24"/>
        </w:rPr>
        <w:t xml:space="preserve">Author </w:t>
      </w:r>
      <w:r w:rsidR="00846341" w:rsidRPr="00D43349">
        <w:rPr>
          <w:rFonts w:ascii="Book Antiqua" w:hAnsi="Book Antiqua"/>
          <w:b/>
          <w:color w:val="auto"/>
          <w:szCs w:val="24"/>
        </w:rPr>
        <w:t>c</w:t>
      </w:r>
      <w:r w:rsidRPr="00D43349">
        <w:rPr>
          <w:rFonts w:ascii="Book Antiqua" w:hAnsi="Book Antiqua"/>
          <w:b/>
          <w:color w:val="auto"/>
          <w:szCs w:val="24"/>
        </w:rPr>
        <w:t>ontributions:</w:t>
      </w:r>
      <w:r w:rsidR="00647EE0" w:rsidRPr="00D43349">
        <w:rPr>
          <w:rFonts w:ascii="Book Antiqua" w:hAnsi="Book Antiqua"/>
          <w:b/>
          <w:color w:val="auto"/>
          <w:szCs w:val="24"/>
        </w:rPr>
        <w:t xml:space="preserve"> </w:t>
      </w:r>
      <w:r w:rsidR="00647EE0" w:rsidRPr="00D43349">
        <w:rPr>
          <w:rFonts w:ascii="Book Antiqua" w:hAnsi="Book Antiqua"/>
          <w:color w:val="auto"/>
          <w:szCs w:val="24"/>
        </w:rPr>
        <w:t>Sangkhathat</w:t>
      </w:r>
      <w:r w:rsidR="00846341" w:rsidRPr="00D43349">
        <w:rPr>
          <w:rFonts w:ascii="Book Antiqua" w:hAnsi="Book Antiqua"/>
          <w:color w:val="auto"/>
          <w:szCs w:val="24"/>
        </w:rPr>
        <w:t xml:space="preserve"> S</w:t>
      </w:r>
      <w:r w:rsidR="00647EE0" w:rsidRPr="00D43349">
        <w:rPr>
          <w:rFonts w:ascii="Book Antiqua" w:hAnsi="Book Antiqua"/>
          <w:color w:val="auto"/>
          <w:szCs w:val="24"/>
        </w:rPr>
        <w:t xml:space="preserve"> review</w:t>
      </w:r>
      <w:r w:rsidR="00846341" w:rsidRPr="00D43349">
        <w:rPr>
          <w:rFonts w:ascii="Book Antiqua" w:hAnsi="Book Antiqua"/>
          <w:color w:val="auto"/>
          <w:szCs w:val="24"/>
          <w:lang w:eastAsia="zh-CN"/>
        </w:rPr>
        <w:t>ed</w:t>
      </w:r>
      <w:r w:rsidR="00647EE0" w:rsidRPr="00D43349">
        <w:rPr>
          <w:rFonts w:ascii="Book Antiqua" w:hAnsi="Book Antiqua"/>
          <w:color w:val="auto"/>
          <w:szCs w:val="24"/>
        </w:rPr>
        <w:t xml:space="preserve"> and compose</w:t>
      </w:r>
      <w:r w:rsidR="00846341" w:rsidRPr="00D43349">
        <w:rPr>
          <w:rFonts w:ascii="Book Antiqua" w:hAnsi="Book Antiqua"/>
          <w:color w:val="auto"/>
          <w:szCs w:val="24"/>
          <w:lang w:eastAsia="zh-CN"/>
        </w:rPr>
        <w:t>d</w:t>
      </w:r>
      <w:r w:rsidR="00647EE0" w:rsidRPr="00D43349">
        <w:rPr>
          <w:rFonts w:ascii="Book Antiqua" w:hAnsi="Book Antiqua"/>
          <w:color w:val="auto"/>
          <w:szCs w:val="24"/>
        </w:rPr>
        <w:t xml:space="preserve"> the manuscript</w:t>
      </w:r>
      <w:r w:rsidR="00846341" w:rsidRPr="00D43349">
        <w:rPr>
          <w:rFonts w:ascii="Book Antiqua" w:hAnsi="Book Antiqua"/>
          <w:color w:val="auto"/>
          <w:szCs w:val="24"/>
          <w:lang w:eastAsia="zh-CN"/>
        </w:rPr>
        <w:t>.</w:t>
      </w:r>
    </w:p>
    <w:p w14:paraId="01E216E8" w14:textId="77777777" w:rsidR="00DF2A79" w:rsidRPr="00D43349" w:rsidRDefault="00DF2A79" w:rsidP="00BA05FB">
      <w:pPr>
        <w:pStyle w:val="Body"/>
        <w:spacing w:line="360" w:lineRule="auto"/>
        <w:jc w:val="both"/>
        <w:rPr>
          <w:rFonts w:ascii="Book Antiqua" w:hAnsi="Book Antiqua"/>
          <w:b/>
          <w:color w:val="auto"/>
          <w:szCs w:val="24"/>
          <w:lang w:eastAsia="zh-CN"/>
        </w:rPr>
      </w:pPr>
    </w:p>
    <w:p w14:paraId="0CB611A7" w14:textId="2C10E075" w:rsidR="00930223" w:rsidRPr="00D43349" w:rsidRDefault="00C85A23" w:rsidP="00BA05FB">
      <w:pPr>
        <w:pStyle w:val="Body"/>
        <w:spacing w:line="360" w:lineRule="auto"/>
        <w:jc w:val="both"/>
        <w:rPr>
          <w:rFonts w:ascii="Book Antiqua" w:hAnsi="Book Antiqua"/>
          <w:color w:val="auto"/>
          <w:szCs w:val="24"/>
          <w:lang w:eastAsia="zh-CN"/>
        </w:rPr>
      </w:pPr>
      <w:r w:rsidRPr="00D43349">
        <w:rPr>
          <w:rFonts w:ascii="Book Antiqua" w:hAnsi="Book Antiqua"/>
          <w:b/>
          <w:color w:val="auto"/>
          <w:szCs w:val="24"/>
        </w:rPr>
        <w:t>Support</w:t>
      </w:r>
      <w:r w:rsidR="00846341" w:rsidRPr="00D43349">
        <w:rPr>
          <w:rFonts w:ascii="Book Antiqua" w:hAnsi="Book Antiqua"/>
          <w:b/>
          <w:color w:val="auto"/>
          <w:szCs w:val="24"/>
          <w:lang w:eastAsia="zh-CN"/>
        </w:rPr>
        <w:t>ed by</w:t>
      </w:r>
      <w:r w:rsidRPr="00D43349">
        <w:rPr>
          <w:rFonts w:ascii="Book Antiqua" w:hAnsi="Book Antiqua"/>
          <w:b/>
          <w:color w:val="auto"/>
          <w:szCs w:val="24"/>
        </w:rPr>
        <w:t xml:space="preserve"> </w:t>
      </w:r>
      <w:r w:rsidR="00846341" w:rsidRPr="00D43349">
        <w:rPr>
          <w:rFonts w:ascii="Book Antiqua" w:hAnsi="Book Antiqua"/>
          <w:color w:val="auto"/>
          <w:szCs w:val="24"/>
          <w:lang w:eastAsia="zh-CN"/>
        </w:rPr>
        <w:t>the</w:t>
      </w:r>
      <w:r w:rsidR="00647EE0" w:rsidRPr="00D43349">
        <w:rPr>
          <w:rFonts w:ascii="Book Antiqua" w:hAnsi="Book Antiqua"/>
          <w:color w:val="auto"/>
          <w:szCs w:val="24"/>
        </w:rPr>
        <w:t xml:space="preserve"> Anandamahidol Foundation</w:t>
      </w:r>
      <w:r w:rsidR="00846341" w:rsidRPr="00D43349">
        <w:rPr>
          <w:rFonts w:ascii="Book Antiqua" w:hAnsi="Book Antiqua"/>
          <w:color w:val="auto"/>
          <w:szCs w:val="24"/>
          <w:lang w:eastAsia="zh-CN"/>
        </w:rPr>
        <w:t>.</w:t>
      </w:r>
    </w:p>
    <w:p w14:paraId="5640A03C" w14:textId="77777777" w:rsidR="00DF2A79" w:rsidRPr="00D43349" w:rsidRDefault="00DF2A79" w:rsidP="00BA05FB">
      <w:pPr>
        <w:pStyle w:val="Body"/>
        <w:spacing w:line="360" w:lineRule="auto"/>
        <w:jc w:val="both"/>
        <w:rPr>
          <w:rFonts w:ascii="Book Antiqua" w:hAnsi="Book Antiqua"/>
          <w:b/>
          <w:color w:val="auto"/>
          <w:szCs w:val="24"/>
          <w:lang w:eastAsia="zh-CN"/>
        </w:rPr>
      </w:pPr>
    </w:p>
    <w:p w14:paraId="1FBD3B56" w14:textId="32D2B111" w:rsidR="00C85A23" w:rsidRPr="00D43349" w:rsidRDefault="00C85A23" w:rsidP="00BA05FB">
      <w:pPr>
        <w:pStyle w:val="Body"/>
        <w:spacing w:line="360" w:lineRule="auto"/>
        <w:jc w:val="both"/>
        <w:rPr>
          <w:rFonts w:ascii="Book Antiqua" w:hAnsi="Book Antiqua"/>
          <w:b/>
          <w:color w:val="auto"/>
          <w:szCs w:val="24"/>
          <w:lang w:eastAsia="zh-CN"/>
        </w:rPr>
      </w:pPr>
      <w:r w:rsidRPr="00D43349">
        <w:rPr>
          <w:rFonts w:ascii="Book Antiqua" w:hAnsi="Book Antiqua"/>
          <w:b/>
          <w:color w:val="auto"/>
          <w:szCs w:val="24"/>
        </w:rPr>
        <w:t>Conflict</w:t>
      </w:r>
      <w:r w:rsidR="00846341" w:rsidRPr="00D43349">
        <w:rPr>
          <w:rFonts w:ascii="Book Antiqua" w:hAnsi="Book Antiqua"/>
          <w:b/>
          <w:color w:val="auto"/>
          <w:szCs w:val="24"/>
          <w:lang w:eastAsia="zh-CN"/>
        </w:rPr>
        <w:t>-</w:t>
      </w:r>
      <w:r w:rsidRPr="00D43349">
        <w:rPr>
          <w:rFonts w:ascii="Book Antiqua" w:hAnsi="Book Antiqua"/>
          <w:b/>
          <w:color w:val="auto"/>
          <w:szCs w:val="24"/>
        </w:rPr>
        <w:t>of</w:t>
      </w:r>
      <w:r w:rsidR="00846341" w:rsidRPr="00D43349">
        <w:rPr>
          <w:rFonts w:ascii="Book Antiqua" w:hAnsi="Book Antiqua"/>
          <w:b/>
          <w:color w:val="auto"/>
          <w:szCs w:val="24"/>
          <w:lang w:eastAsia="zh-CN"/>
        </w:rPr>
        <w:t>-</w:t>
      </w:r>
      <w:r w:rsidRPr="00D43349">
        <w:rPr>
          <w:rFonts w:ascii="Book Antiqua" w:hAnsi="Book Antiqua"/>
          <w:b/>
          <w:color w:val="auto"/>
          <w:szCs w:val="24"/>
        </w:rPr>
        <w:t>interest statement:</w:t>
      </w:r>
      <w:r w:rsidR="00647EE0" w:rsidRPr="00D43349">
        <w:rPr>
          <w:rFonts w:ascii="Book Antiqua" w:hAnsi="Book Antiqua"/>
          <w:b/>
          <w:color w:val="auto"/>
          <w:szCs w:val="24"/>
        </w:rPr>
        <w:t xml:space="preserve"> </w:t>
      </w:r>
      <w:r w:rsidR="00647EE0" w:rsidRPr="00D43349">
        <w:rPr>
          <w:rFonts w:ascii="Book Antiqua" w:hAnsi="Book Antiqua"/>
          <w:color w:val="auto"/>
          <w:szCs w:val="24"/>
        </w:rPr>
        <w:t>None declared</w:t>
      </w:r>
      <w:r w:rsidR="00846341" w:rsidRPr="00D43349">
        <w:rPr>
          <w:rFonts w:ascii="Book Antiqua" w:hAnsi="Book Antiqua"/>
          <w:color w:val="auto"/>
          <w:szCs w:val="24"/>
          <w:lang w:eastAsia="zh-CN"/>
        </w:rPr>
        <w:t>.</w:t>
      </w:r>
    </w:p>
    <w:p w14:paraId="08500B0C" w14:textId="77777777" w:rsidR="00DF2A79" w:rsidRPr="00D43349" w:rsidRDefault="00DF2A79" w:rsidP="00BA05FB">
      <w:pPr>
        <w:pStyle w:val="Body"/>
        <w:spacing w:line="360" w:lineRule="auto"/>
        <w:jc w:val="both"/>
        <w:rPr>
          <w:rFonts w:ascii="Book Antiqua" w:hAnsi="Book Antiqua"/>
          <w:b/>
          <w:color w:val="auto"/>
          <w:szCs w:val="24"/>
          <w:lang w:eastAsia="zh-CN"/>
        </w:rPr>
      </w:pPr>
    </w:p>
    <w:p w14:paraId="7124954B" w14:textId="77777777" w:rsidR="00846341" w:rsidRPr="00D43349" w:rsidRDefault="00846341" w:rsidP="00BA05FB">
      <w:pPr>
        <w:spacing w:line="360" w:lineRule="auto"/>
        <w:jc w:val="both"/>
        <w:rPr>
          <w:rFonts w:ascii="Book Antiqua" w:hAnsi="Book Antiqua" w:cs="宋体"/>
          <w:color w:val="000000" w:themeColor="text1"/>
          <w:szCs w:val="24"/>
          <w:lang w:eastAsia="zh-CN"/>
        </w:rPr>
      </w:pPr>
      <w:bookmarkStart w:id="0" w:name="OLE_LINK507"/>
      <w:bookmarkStart w:id="1" w:name="OLE_LINK506"/>
      <w:bookmarkStart w:id="2" w:name="OLE_LINK496"/>
      <w:bookmarkStart w:id="3" w:name="OLE_LINK479"/>
      <w:r w:rsidRPr="00D43349">
        <w:rPr>
          <w:rFonts w:ascii="Book Antiqua" w:hAnsi="Book Antiqua" w:cs="宋体"/>
          <w:b/>
          <w:color w:val="000000" w:themeColor="text1"/>
          <w:szCs w:val="24"/>
          <w:lang w:eastAsia="zh-CN"/>
        </w:rPr>
        <w:t xml:space="preserve">Open-Access: </w:t>
      </w:r>
      <w:r w:rsidRPr="00D43349">
        <w:rPr>
          <w:rFonts w:ascii="Book Antiqua" w:hAnsi="Book Antiqua" w:cs="宋体"/>
          <w:color w:val="000000" w:themeColor="text1"/>
          <w:szCs w:val="24"/>
          <w:lang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D43349">
          <w:rPr>
            <w:rFonts w:ascii="Book Antiqua" w:hAnsi="Book Antiqua" w:cs="宋体"/>
            <w:color w:val="000000" w:themeColor="text1"/>
            <w:szCs w:val="24"/>
            <w:u w:val="single"/>
            <w:lang w:eastAsia="zh-CN"/>
          </w:rPr>
          <w:t>http://creativecommons.org/licenses/by-nc/4.0/</w:t>
        </w:r>
      </w:hyperlink>
      <w:bookmarkEnd w:id="0"/>
      <w:bookmarkEnd w:id="1"/>
      <w:bookmarkEnd w:id="2"/>
      <w:bookmarkEnd w:id="3"/>
    </w:p>
    <w:p w14:paraId="200ABFD9" w14:textId="77777777" w:rsidR="00846341" w:rsidRPr="00D43349" w:rsidRDefault="00846341" w:rsidP="00BA05FB">
      <w:pPr>
        <w:pStyle w:val="Body"/>
        <w:spacing w:line="360" w:lineRule="auto"/>
        <w:jc w:val="both"/>
        <w:rPr>
          <w:rFonts w:ascii="Book Antiqua" w:hAnsi="Book Antiqua"/>
          <w:b/>
          <w:color w:val="auto"/>
          <w:szCs w:val="24"/>
          <w:lang w:eastAsia="zh-CN"/>
        </w:rPr>
      </w:pPr>
    </w:p>
    <w:p w14:paraId="23187217" w14:textId="2A2D1AB2" w:rsidR="00877AC4" w:rsidRPr="00D43349" w:rsidRDefault="00C85A23" w:rsidP="00BA05FB">
      <w:pPr>
        <w:pStyle w:val="Body"/>
        <w:spacing w:line="360" w:lineRule="auto"/>
        <w:jc w:val="both"/>
        <w:rPr>
          <w:rFonts w:ascii="Book Antiqua" w:hAnsi="Book Antiqua"/>
          <w:szCs w:val="24"/>
          <w:lang w:eastAsia="zh-CN"/>
        </w:rPr>
      </w:pPr>
      <w:r w:rsidRPr="00D43349">
        <w:rPr>
          <w:rFonts w:ascii="Book Antiqua" w:hAnsi="Book Antiqua"/>
          <w:b/>
          <w:color w:val="auto"/>
          <w:szCs w:val="24"/>
        </w:rPr>
        <w:t>Correspond</w:t>
      </w:r>
      <w:r w:rsidR="00846341" w:rsidRPr="00D43349">
        <w:rPr>
          <w:rFonts w:ascii="Book Antiqua" w:hAnsi="Book Antiqua"/>
          <w:b/>
          <w:color w:val="auto"/>
          <w:szCs w:val="24"/>
          <w:lang w:eastAsia="zh-CN"/>
        </w:rPr>
        <w:t>ence to</w:t>
      </w:r>
      <w:r w:rsidRPr="00D43349">
        <w:rPr>
          <w:rFonts w:ascii="Book Antiqua" w:hAnsi="Book Antiqua"/>
          <w:b/>
          <w:color w:val="auto"/>
          <w:szCs w:val="24"/>
        </w:rPr>
        <w:t>:</w:t>
      </w:r>
      <w:r w:rsidR="00647EE0" w:rsidRPr="00D43349">
        <w:rPr>
          <w:rFonts w:ascii="Book Antiqua" w:hAnsi="Book Antiqua"/>
          <w:b/>
          <w:color w:val="auto"/>
          <w:szCs w:val="24"/>
        </w:rPr>
        <w:t xml:space="preserve"> Surasak Sangkhathat</w:t>
      </w:r>
      <w:r w:rsidR="00846341" w:rsidRPr="00D43349">
        <w:rPr>
          <w:rFonts w:ascii="Book Antiqua" w:hAnsi="Book Antiqua"/>
          <w:b/>
          <w:color w:val="auto"/>
          <w:szCs w:val="24"/>
          <w:lang w:eastAsia="zh-CN"/>
        </w:rPr>
        <w:t xml:space="preserve">, MD, PhD, </w:t>
      </w:r>
      <w:r w:rsidR="00846341" w:rsidRPr="00D43349">
        <w:rPr>
          <w:rFonts w:ascii="Book Antiqua" w:hAnsi="Book Antiqua"/>
          <w:color w:val="auto"/>
          <w:szCs w:val="24"/>
        </w:rPr>
        <w:t>Department of Surgery and Tumor Biology Research Unit, Faculty of Medicine, Prince of Songkla University</w:t>
      </w:r>
      <w:r w:rsidR="00846341" w:rsidRPr="00D43349">
        <w:rPr>
          <w:rFonts w:ascii="Book Antiqua" w:hAnsi="Book Antiqua"/>
          <w:color w:val="auto"/>
          <w:szCs w:val="24"/>
          <w:lang w:eastAsia="zh-CN"/>
        </w:rPr>
        <w:t xml:space="preserve">, </w:t>
      </w:r>
      <w:r w:rsidR="00846341" w:rsidRPr="00D43349">
        <w:rPr>
          <w:rFonts w:ascii="Book Antiqua" w:hAnsi="Book Antiqua"/>
          <w:szCs w:val="24"/>
        </w:rPr>
        <w:t>Hat Yai,</w:t>
      </w:r>
      <w:r w:rsidR="00846341" w:rsidRPr="00D43349">
        <w:rPr>
          <w:rFonts w:ascii="Book Antiqua" w:hAnsi="Book Antiqua"/>
          <w:szCs w:val="24"/>
          <w:lang w:eastAsia="zh-CN"/>
        </w:rPr>
        <w:t xml:space="preserve"> </w:t>
      </w:r>
      <w:r w:rsidR="00846341" w:rsidRPr="00D43349">
        <w:rPr>
          <w:rFonts w:ascii="Book Antiqua" w:hAnsi="Book Antiqua"/>
          <w:szCs w:val="24"/>
        </w:rPr>
        <w:t>Songkhla</w:t>
      </w:r>
      <w:r w:rsidR="00846341" w:rsidRPr="00D43349">
        <w:rPr>
          <w:rFonts w:ascii="Book Antiqua" w:hAnsi="Book Antiqua"/>
          <w:szCs w:val="24"/>
          <w:lang w:eastAsia="zh-CN"/>
        </w:rPr>
        <w:t xml:space="preserve"> </w:t>
      </w:r>
      <w:r w:rsidR="00846341" w:rsidRPr="00D43349">
        <w:rPr>
          <w:rFonts w:ascii="Book Antiqua" w:hAnsi="Book Antiqua"/>
          <w:szCs w:val="24"/>
        </w:rPr>
        <w:t>90110, Thailand</w:t>
      </w:r>
      <w:r w:rsidR="00846341" w:rsidRPr="00D43349">
        <w:rPr>
          <w:rFonts w:ascii="Book Antiqua" w:hAnsi="Book Antiqua"/>
          <w:szCs w:val="24"/>
          <w:lang w:eastAsia="zh-CN"/>
        </w:rPr>
        <w:t>.</w:t>
      </w:r>
      <w:r w:rsidR="00846341" w:rsidRPr="00D43349">
        <w:rPr>
          <w:rFonts w:ascii="Book Antiqua" w:hAnsi="Book Antiqua"/>
          <w:szCs w:val="24"/>
        </w:rPr>
        <w:t xml:space="preserve"> </w:t>
      </w:r>
      <w:hyperlink r:id="rId9" w:history="1">
        <w:r w:rsidR="00846341" w:rsidRPr="00D43349">
          <w:rPr>
            <w:rStyle w:val="Hyperlink"/>
            <w:rFonts w:ascii="Book Antiqua" w:hAnsi="Book Antiqua"/>
            <w:szCs w:val="24"/>
          </w:rPr>
          <w:t>surasak.sa@psu.ac.th</w:t>
        </w:r>
      </w:hyperlink>
    </w:p>
    <w:p w14:paraId="05D9F3B1" w14:textId="62927E3C" w:rsidR="00846341" w:rsidRPr="00D43349" w:rsidRDefault="00846341" w:rsidP="00BA05FB">
      <w:pPr>
        <w:spacing w:line="360" w:lineRule="auto"/>
        <w:jc w:val="both"/>
        <w:rPr>
          <w:rFonts w:ascii="Book Antiqua" w:hAnsi="Book Antiqua"/>
          <w:szCs w:val="24"/>
          <w:lang w:eastAsia="zh-CN"/>
        </w:rPr>
      </w:pPr>
      <w:r w:rsidRPr="00D43349">
        <w:rPr>
          <w:rFonts w:ascii="Book Antiqua" w:hAnsi="Book Antiqua"/>
          <w:b/>
          <w:szCs w:val="24"/>
        </w:rPr>
        <w:t>Telephone:</w:t>
      </w:r>
      <w:r w:rsidRPr="00D43349">
        <w:rPr>
          <w:rFonts w:ascii="Book Antiqua" w:hAnsi="Book Antiqua"/>
          <w:szCs w:val="24"/>
        </w:rPr>
        <w:t xml:space="preserve"> +66</w:t>
      </w:r>
      <w:r w:rsidRPr="00D43349">
        <w:rPr>
          <w:rFonts w:ascii="Book Antiqua" w:hAnsi="Book Antiqua"/>
          <w:szCs w:val="24"/>
          <w:lang w:eastAsia="zh-CN"/>
        </w:rPr>
        <w:t>-</w:t>
      </w:r>
      <w:r w:rsidRPr="00D43349">
        <w:rPr>
          <w:rFonts w:ascii="Book Antiqua" w:hAnsi="Book Antiqua"/>
          <w:szCs w:val="24"/>
        </w:rPr>
        <w:t>74</w:t>
      </w:r>
      <w:r w:rsidRPr="00D43349">
        <w:rPr>
          <w:rFonts w:ascii="Book Antiqua" w:hAnsi="Book Antiqua"/>
          <w:szCs w:val="24"/>
          <w:lang w:eastAsia="zh-CN"/>
        </w:rPr>
        <w:t>-</w:t>
      </w:r>
      <w:r w:rsidRPr="00D43349">
        <w:rPr>
          <w:rFonts w:ascii="Book Antiqua" w:hAnsi="Book Antiqua"/>
          <w:szCs w:val="24"/>
        </w:rPr>
        <w:t>451401</w:t>
      </w:r>
      <w:r w:rsidRPr="00D43349">
        <w:rPr>
          <w:rFonts w:ascii="Book Antiqua" w:hAnsi="Book Antiqua"/>
          <w:szCs w:val="24"/>
          <w:lang w:eastAsia="zh-CN"/>
        </w:rPr>
        <w:tab/>
      </w:r>
    </w:p>
    <w:p w14:paraId="15668BCC" w14:textId="130227E6" w:rsidR="00846341" w:rsidRPr="00D43349" w:rsidRDefault="00846341" w:rsidP="00BA05FB">
      <w:pPr>
        <w:spacing w:line="360" w:lineRule="auto"/>
        <w:jc w:val="both"/>
        <w:rPr>
          <w:rFonts w:ascii="Book Antiqua" w:hAnsi="Book Antiqua"/>
          <w:szCs w:val="24"/>
          <w:lang w:eastAsia="zh-CN"/>
        </w:rPr>
      </w:pPr>
      <w:r w:rsidRPr="00D43349">
        <w:rPr>
          <w:rFonts w:ascii="Book Antiqua" w:hAnsi="Book Antiqua"/>
          <w:b/>
          <w:szCs w:val="24"/>
        </w:rPr>
        <w:t>Fax:</w:t>
      </w:r>
      <w:r w:rsidRPr="00D43349">
        <w:rPr>
          <w:rFonts w:ascii="Book Antiqua" w:hAnsi="Book Antiqua"/>
          <w:szCs w:val="24"/>
        </w:rPr>
        <w:t xml:space="preserve"> +66</w:t>
      </w:r>
      <w:r w:rsidRPr="00D43349">
        <w:rPr>
          <w:rFonts w:ascii="Book Antiqua" w:hAnsi="Book Antiqua"/>
          <w:szCs w:val="24"/>
          <w:lang w:eastAsia="zh-CN"/>
        </w:rPr>
        <w:t>-</w:t>
      </w:r>
      <w:r w:rsidRPr="00D43349">
        <w:rPr>
          <w:rFonts w:ascii="Book Antiqua" w:hAnsi="Book Antiqua"/>
          <w:szCs w:val="24"/>
        </w:rPr>
        <w:t>74</w:t>
      </w:r>
      <w:r w:rsidRPr="00D43349">
        <w:rPr>
          <w:rFonts w:ascii="Book Antiqua" w:hAnsi="Book Antiqua"/>
          <w:szCs w:val="24"/>
          <w:lang w:eastAsia="zh-CN"/>
        </w:rPr>
        <w:t>-</w:t>
      </w:r>
      <w:r w:rsidRPr="00D43349">
        <w:rPr>
          <w:rFonts w:ascii="Book Antiqua" w:hAnsi="Book Antiqua"/>
          <w:szCs w:val="24"/>
        </w:rPr>
        <w:t>429384</w:t>
      </w:r>
    </w:p>
    <w:p w14:paraId="2DCBAC79" w14:textId="77777777" w:rsidR="00846341" w:rsidRPr="00D43349" w:rsidRDefault="00846341" w:rsidP="00BA05FB">
      <w:pPr>
        <w:spacing w:line="360" w:lineRule="auto"/>
        <w:jc w:val="both"/>
        <w:rPr>
          <w:rFonts w:ascii="Book Antiqua" w:hAnsi="Book Antiqua"/>
          <w:b/>
          <w:szCs w:val="24"/>
          <w:lang w:eastAsia="zh-CN"/>
        </w:rPr>
      </w:pPr>
      <w:bookmarkStart w:id="4" w:name="OLE_LINK5"/>
      <w:bookmarkStart w:id="5" w:name="OLE_LINK6"/>
    </w:p>
    <w:p w14:paraId="1A0DC7F4" w14:textId="70C493D6" w:rsidR="00846341" w:rsidRPr="00D43349" w:rsidRDefault="00BA05FB" w:rsidP="00BA05FB">
      <w:pPr>
        <w:spacing w:line="360" w:lineRule="auto"/>
        <w:jc w:val="both"/>
        <w:rPr>
          <w:rFonts w:ascii="Book Antiqua" w:hAnsi="Book Antiqua"/>
          <w:b/>
          <w:szCs w:val="24"/>
          <w:lang w:eastAsia="zh-CN"/>
        </w:rPr>
      </w:pPr>
      <w:r>
        <w:rPr>
          <w:rFonts w:ascii="Book Antiqua" w:hAnsi="Book Antiqua"/>
          <w:b/>
          <w:szCs w:val="24"/>
        </w:rPr>
        <w:t xml:space="preserve">Received: </w:t>
      </w:r>
      <w:r w:rsidRPr="00BA05FB">
        <w:rPr>
          <w:rFonts w:ascii="Book Antiqua" w:hAnsi="Book Antiqua"/>
          <w:szCs w:val="24"/>
          <w:lang w:eastAsia="zh-CN"/>
        </w:rPr>
        <w:t>May</w:t>
      </w:r>
      <w:r w:rsidRPr="00BA05FB">
        <w:rPr>
          <w:rFonts w:ascii="Book Antiqua" w:hAnsi="Book Antiqua" w:hint="eastAsia"/>
          <w:szCs w:val="24"/>
          <w:lang w:eastAsia="zh-CN"/>
        </w:rPr>
        <w:t xml:space="preserve"> 29, 2015</w:t>
      </w:r>
    </w:p>
    <w:p w14:paraId="1DBCAC5C" w14:textId="40687F3D" w:rsidR="00846341" w:rsidRPr="00D43349" w:rsidRDefault="00846341" w:rsidP="00BA05FB">
      <w:pPr>
        <w:spacing w:line="360" w:lineRule="auto"/>
        <w:jc w:val="both"/>
        <w:rPr>
          <w:rFonts w:ascii="Book Antiqua" w:hAnsi="Book Antiqua"/>
          <w:b/>
          <w:szCs w:val="24"/>
          <w:lang w:eastAsia="zh-CN"/>
        </w:rPr>
      </w:pPr>
      <w:r w:rsidRPr="00D43349">
        <w:rPr>
          <w:rFonts w:ascii="Book Antiqua" w:hAnsi="Book Antiqua"/>
          <w:b/>
          <w:szCs w:val="24"/>
        </w:rPr>
        <w:t>Peer-review started:</w:t>
      </w:r>
      <w:r w:rsidR="00BA05FB">
        <w:rPr>
          <w:rFonts w:ascii="Book Antiqua" w:hAnsi="Book Antiqua" w:hint="eastAsia"/>
          <w:b/>
          <w:szCs w:val="24"/>
          <w:lang w:eastAsia="zh-CN"/>
        </w:rPr>
        <w:t xml:space="preserve"> </w:t>
      </w:r>
      <w:r w:rsidR="00BA05FB" w:rsidRPr="00BA05FB">
        <w:rPr>
          <w:rFonts w:ascii="Book Antiqua" w:hAnsi="Book Antiqua" w:hint="eastAsia"/>
          <w:szCs w:val="24"/>
          <w:lang w:eastAsia="zh-CN"/>
        </w:rPr>
        <w:t>June 2, 2015</w:t>
      </w:r>
    </w:p>
    <w:p w14:paraId="6A2D0919" w14:textId="03E622CD" w:rsidR="00846341" w:rsidRPr="00BA05FB" w:rsidRDefault="00846341" w:rsidP="00BA05FB">
      <w:pPr>
        <w:spacing w:line="360" w:lineRule="auto"/>
        <w:jc w:val="both"/>
        <w:rPr>
          <w:rFonts w:ascii="Book Antiqua" w:hAnsi="Book Antiqua"/>
          <w:szCs w:val="24"/>
          <w:lang w:eastAsia="zh-CN"/>
        </w:rPr>
      </w:pPr>
      <w:bookmarkStart w:id="6" w:name="OLE_LINK21"/>
      <w:bookmarkStart w:id="7" w:name="OLE_LINK22"/>
      <w:r w:rsidRPr="00D43349">
        <w:rPr>
          <w:rFonts w:ascii="Book Antiqua" w:hAnsi="Book Antiqua"/>
          <w:b/>
          <w:szCs w:val="24"/>
        </w:rPr>
        <w:t>First decision:</w:t>
      </w:r>
      <w:r w:rsidR="00BA05FB">
        <w:rPr>
          <w:rFonts w:ascii="Book Antiqua" w:hAnsi="Book Antiqua" w:hint="eastAsia"/>
          <w:b/>
          <w:szCs w:val="24"/>
          <w:lang w:eastAsia="zh-CN"/>
        </w:rPr>
        <w:t xml:space="preserve"> </w:t>
      </w:r>
      <w:r w:rsidR="00BA05FB" w:rsidRPr="00BA05FB">
        <w:rPr>
          <w:rFonts w:ascii="Book Antiqua" w:hAnsi="Book Antiqua" w:hint="eastAsia"/>
          <w:szCs w:val="24"/>
          <w:lang w:eastAsia="zh-CN"/>
        </w:rPr>
        <w:t>July 3, 2015</w:t>
      </w:r>
    </w:p>
    <w:bookmarkEnd w:id="6"/>
    <w:bookmarkEnd w:id="7"/>
    <w:p w14:paraId="5CC2FD47" w14:textId="39781890" w:rsidR="00846341" w:rsidRPr="00BA05FB" w:rsidRDefault="00846341" w:rsidP="00BA05FB">
      <w:pPr>
        <w:spacing w:line="360" w:lineRule="auto"/>
        <w:jc w:val="both"/>
        <w:rPr>
          <w:rFonts w:ascii="Book Antiqua" w:hAnsi="Book Antiqua"/>
          <w:szCs w:val="24"/>
          <w:lang w:eastAsia="zh-CN"/>
        </w:rPr>
      </w:pPr>
      <w:r w:rsidRPr="00D43349">
        <w:rPr>
          <w:rFonts w:ascii="Book Antiqua" w:hAnsi="Book Antiqua"/>
          <w:b/>
          <w:szCs w:val="24"/>
        </w:rPr>
        <w:t xml:space="preserve">Revised: </w:t>
      </w:r>
      <w:r w:rsidR="00BA05FB" w:rsidRPr="00BA05FB">
        <w:rPr>
          <w:rFonts w:ascii="Book Antiqua" w:hAnsi="Book Antiqua" w:hint="eastAsia"/>
          <w:szCs w:val="24"/>
          <w:lang w:eastAsia="zh-CN"/>
        </w:rPr>
        <w:t xml:space="preserve">July </w:t>
      </w:r>
      <w:r w:rsidR="00BA05FB">
        <w:rPr>
          <w:rFonts w:ascii="Book Antiqua" w:hAnsi="Book Antiqua" w:hint="eastAsia"/>
          <w:szCs w:val="24"/>
          <w:lang w:eastAsia="zh-CN"/>
        </w:rPr>
        <w:t>21</w:t>
      </w:r>
      <w:r w:rsidR="00BA05FB" w:rsidRPr="00BA05FB">
        <w:rPr>
          <w:rFonts w:ascii="Book Antiqua" w:hAnsi="Book Antiqua" w:hint="eastAsia"/>
          <w:szCs w:val="24"/>
          <w:lang w:eastAsia="zh-CN"/>
        </w:rPr>
        <w:t>, 2015</w:t>
      </w:r>
      <w:r w:rsidRPr="00D43349">
        <w:rPr>
          <w:rFonts w:ascii="Book Antiqua" w:hAnsi="Book Antiqua"/>
          <w:b/>
          <w:szCs w:val="24"/>
        </w:rPr>
        <w:t xml:space="preserve"> </w:t>
      </w:r>
    </w:p>
    <w:p w14:paraId="3F7B7252" w14:textId="3BECB2D1" w:rsidR="00846341" w:rsidRPr="00DB4135" w:rsidRDefault="00846341" w:rsidP="00DB4135">
      <w:pPr>
        <w:rPr>
          <w:rFonts w:ascii="Book Antiqua" w:hAnsi="Book Antiqua"/>
          <w:iCs/>
        </w:rPr>
      </w:pPr>
      <w:r w:rsidRPr="00D43349">
        <w:rPr>
          <w:rFonts w:ascii="Book Antiqua" w:hAnsi="Book Antiqua"/>
          <w:b/>
          <w:szCs w:val="24"/>
        </w:rPr>
        <w:t xml:space="preserve">Accepted: </w:t>
      </w:r>
      <w:r w:rsidR="00DB4135">
        <w:rPr>
          <w:rStyle w:val="Emphasis"/>
        </w:rPr>
        <w:t>September 29</w:t>
      </w:r>
      <w:r w:rsidR="00DB4135" w:rsidRPr="00235CD4">
        <w:rPr>
          <w:rStyle w:val="Emphasis"/>
        </w:rPr>
        <w:t>, 2015</w:t>
      </w:r>
    </w:p>
    <w:p w14:paraId="7DDD9258" w14:textId="77777777" w:rsidR="00846341" w:rsidRPr="00D43349" w:rsidRDefault="00846341" w:rsidP="00BA05FB">
      <w:pPr>
        <w:spacing w:line="360" w:lineRule="auto"/>
        <w:jc w:val="both"/>
        <w:rPr>
          <w:rFonts w:ascii="Book Antiqua" w:hAnsi="Book Antiqua"/>
          <w:b/>
          <w:szCs w:val="24"/>
        </w:rPr>
      </w:pPr>
      <w:r w:rsidRPr="00D43349">
        <w:rPr>
          <w:rFonts w:ascii="Book Antiqua" w:hAnsi="Book Antiqua"/>
          <w:b/>
          <w:szCs w:val="24"/>
        </w:rPr>
        <w:t>Article in press:</w:t>
      </w:r>
    </w:p>
    <w:p w14:paraId="38444303" w14:textId="77777777" w:rsidR="00846341" w:rsidRPr="00D43349" w:rsidRDefault="00846341" w:rsidP="00BA05FB">
      <w:pPr>
        <w:spacing w:line="360" w:lineRule="auto"/>
        <w:jc w:val="both"/>
        <w:rPr>
          <w:rFonts w:ascii="Book Antiqua" w:hAnsi="Book Antiqua"/>
          <w:b/>
          <w:szCs w:val="24"/>
        </w:rPr>
      </w:pPr>
      <w:r w:rsidRPr="00D43349">
        <w:rPr>
          <w:rFonts w:ascii="Book Antiqua" w:hAnsi="Book Antiqua"/>
          <w:b/>
          <w:szCs w:val="24"/>
        </w:rPr>
        <w:t xml:space="preserve">Published online: </w:t>
      </w:r>
    </w:p>
    <w:bookmarkEnd w:id="4"/>
    <w:bookmarkEnd w:id="5"/>
    <w:p w14:paraId="4D522E38" w14:textId="2396B999" w:rsidR="007C7139" w:rsidRPr="00D43349" w:rsidRDefault="007C7139" w:rsidP="00BA05FB">
      <w:pPr>
        <w:spacing w:line="360" w:lineRule="auto"/>
        <w:jc w:val="both"/>
        <w:rPr>
          <w:rFonts w:ascii="Book Antiqua" w:hAnsi="Book Antiqua"/>
          <w:b/>
          <w:szCs w:val="24"/>
        </w:rPr>
      </w:pPr>
      <w:r w:rsidRPr="00D43349">
        <w:rPr>
          <w:rFonts w:ascii="Book Antiqua" w:hAnsi="Book Antiqua"/>
          <w:b/>
          <w:szCs w:val="24"/>
        </w:rPr>
        <w:br w:type="page"/>
      </w:r>
    </w:p>
    <w:p w14:paraId="3FCFF35B" w14:textId="49B7823D" w:rsidR="00930223" w:rsidRPr="00D43349" w:rsidRDefault="004004EA" w:rsidP="00BA05FB">
      <w:pPr>
        <w:pStyle w:val="Body"/>
        <w:spacing w:line="360" w:lineRule="auto"/>
        <w:jc w:val="both"/>
        <w:rPr>
          <w:rFonts w:ascii="Book Antiqua" w:hAnsi="Book Antiqua"/>
          <w:color w:val="auto"/>
          <w:szCs w:val="24"/>
        </w:rPr>
      </w:pPr>
      <w:r w:rsidRPr="00D43349">
        <w:rPr>
          <w:rFonts w:ascii="Book Antiqua" w:hAnsi="Book Antiqua"/>
          <w:b/>
          <w:color w:val="auto"/>
          <w:szCs w:val="24"/>
        </w:rPr>
        <w:lastRenderedPageBreak/>
        <w:t>A</w:t>
      </w:r>
      <w:r w:rsidR="00235D44" w:rsidRPr="00D43349">
        <w:rPr>
          <w:rFonts w:ascii="Book Antiqua" w:hAnsi="Book Antiqua"/>
          <w:b/>
          <w:color w:val="auto"/>
          <w:szCs w:val="24"/>
        </w:rPr>
        <w:t>bstract</w:t>
      </w:r>
    </w:p>
    <w:p w14:paraId="27B7D309" w14:textId="1EEF802A" w:rsidR="00930223" w:rsidRPr="00D43349" w:rsidRDefault="004004EA" w:rsidP="00BA05FB">
      <w:pPr>
        <w:pStyle w:val="Body"/>
        <w:spacing w:line="360" w:lineRule="auto"/>
        <w:jc w:val="both"/>
        <w:rPr>
          <w:rFonts w:ascii="Book Antiqua" w:hAnsi="Book Antiqua"/>
          <w:color w:val="auto"/>
          <w:szCs w:val="24"/>
        </w:rPr>
      </w:pPr>
      <w:r w:rsidRPr="00D43349">
        <w:rPr>
          <w:rFonts w:ascii="Book Antiqua" w:hAnsi="Book Antiqua"/>
          <w:color w:val="auto"/>
          <w:szCs w:val="24"/>
        </w:rPr>
        <w:t>Pediatric soft tissue sarcomas are a group of malignant neoplasms arising within embryonic mesenchymal tissues during the process of differentiation into muscle, fascia and fat. The tumors have a biphasic peak for age of incidence. Rhabdomyosarcoma</w:t>
      </w:r>
      <w:r w:rsidR="00846341" w:rsidRPr="00D43349">
        <w:rPr>
          <w:rFonts w:ascii="Book Antiqua" w:hAnsi="Book Antiqua"/>
          <w:color w:val="auto"/>
          <w:szCs w:val="24"/>
          <w:lang w:eastAsia="zh-CN"/>
        </w:rPr>
        <w:t xml:space="preserve"> </w:t>
      </w:r>
      <w:r w:rsidRPr="00D43349">
        <w:rPr>
          <w:rFonts w:ascii="Book Antiqua" w:hAnsi="Book Antiqua"/>
          <w:color w:val="auto"/>
          <w:szCs w:val="24"/>
        </w:rPr>
        <w:t>is diagnosed more frequently in younger children, whereas adult-type non-rhabdomyosarcoma soft tissue sarcoma is predominately observed in adolescents. The latter group comprises a variety of rare tumors for which diagnosis can be difficult and typically requires special studies, including immunohistochemistry and molecular genetic analysis. Current management for the majority of pediatric sarcomas is based on the data from large multi-institutional trials, which has led to great improvements in outcomes over recent decades. Although surgery remains the mainstay of treatment, the curative aim cannot be achieved without adjuvant treatment. Pre-treatment staging and risk classification are of prime importance in selecting an effective treatment protocol. Tumor resectability, the response to induction chemotherapy, and radiation generally determine the risk-group, and these factors are functions of tumor site, size and biology. Surgery provides the best choice of local control of small resectable tumors in a favorable site. Radiation therapy is added when surgery leaves residual disease or there is evidence of regional spread. Chemotherapy aims to reduce the risk of relapse and improve overall survival. In addition, upfront chemotherapy reduces the aggressiveness of the required surgery and helps preserve organ function in a number of cases. Long-term survival in low-risk sarcomas is feasible, and the intensity of treatment can be reduced. In high-risk sarcoma, current research is allowing more effective disease control.</w:t>
      </w:r>
      <w:r w:rsidRPr="00D43349">
        <w:rPr>
          <w:rFonts w:ascii="Book Antiqua" w:hAnsi="Book Antiqua"/>
          <w:color w:val="auto"/>
          <w:szCs w:val="24"/>
        </w:rPr>
        <w:cr/>
      </w:r>
    </w:p>
    <w:p w14:paraId="5227C61A" w14:textId="0ED0CDDC" w:rsidR="00930223" w:rsidRPr="00D43349" w:rsidRDefault="004004EA" w:rsidP="00BA05FB">
      <w:pPr>
        <w:pStyle w:val="Body"/>
        <w:spacing w:line="360" w:lineRule="auto"/>
        <w:jc w:val="both"/>
        <w:rPr>
          <w:rFonts w:ascii="Book Antiqua" w:hAnsi="Book Antiqua"/>
          <w:color w:val="auto"/>
          <w:szCs w:val="24"/>
        </w:rPr>
      </w:pPr>
      <w:r w:rsidRPr="00D43349">
        <w:rPr>
          <w:rFonts w:ascii="Book Antiqua" w:hAnsi="Book Antiqua"/>
          <w:b/>
          <w:color w:val="auto"/>
          <w:szCs w:val="24"/>
        </w:rPr>
        <w:t>Key words</w:t>
      </w:r>
      <w:r w:rsidRPr="00D43349">
        <w:rPr>
          <w:rFonts w:ascii="Book Antiqua" w:hAnsi="Book Antiqua"/>
          <w:color w:val="auto"/>
          <w:szCs w:val="24"/>
        </w:rPr>
        <w:t xml:space="preserve">: </w:t>
      </w:r>
      <w:r w:rsidR="00DF2A79" w:rsidRPr="00D43349">
        <w:rPr>
          <w:rFonts w:ascii="Book Antiqua" w:hAnsi="Book Antiqua"/>
          <w:color w:val="auto"/>
          <w:szCs w:val="24"/>
        </w:rPr>
        <w:t xml:space="preserve">Pediatric </w:t>
      </w:r>
      <w:r w:rsidRPr="00D43349">
        <w:rPr>
          <w:rFonts w:ascii="Book Antiqua" w:hAnsi="Book Antiqua"/>
          <w:color w:val="auto"/>
          <w:szCs w:val="24"/>
        </w:rPr>
        <w:t xml:space="preserve">tumor; </w:t>
      </w:r>
      <w:r w:rsidR="00DF2A79" w:rsidRPr="00D43349">
        <w:rPr>
          <w:rFonts w:ascii="Book Antiqua" w:hAnsi="Book Antiqua"/>
          <w:color w:val="auto"/>
          <w:szCs w:val="24"/>
        </w:rPr>
        <w:t>Rhabdomyosarcoma</w:t>
      </w:r>
      <w:r w:rsidRPr="00D43349">
        <w:rPr>
          <w:rFonts w:ascii="Book Antiqua" w:hAnsi="Book Antiqua"/>
          <w:color w:val="auto"/>
          <w:szCs w:val="24"/>
        </w:rPr>
        <w:t xml:space="preserve">; </w:t>
      </w:r>
      <w:r w:rsidR="00DF2A79" w:rsidRPr="00D43349">
        <w:rPr>
          <w:rFonts w:ascii="Book Antiqua" w:hAnsi="Book Antiqua"/>
          <w:color w:val="auto"/>
          <w:szCs w:val="24"/>
        </w:rPr>
        <w:t xml:space="preserve">Soft </w:t>
      </w:r>
      <w:r w:rsidRPr="00D43349">
        <w:rPr>
          <w:rFonts w:ascii="Book Antiqua" w:hAnsi="Book Antiqua"/>
          <w:color w:val="auto"/>
          <w:szCs w:val="24"/>
        </w:rPr>
        <w:t>tissue sarcoma</w:t>
      </w:r>
      <w:r w:rsidR="008A4F8A" w:rsidRPr="00D43349">
        <w:rPr>
          <w:rFonts w:ascii="Book Antiqua" w:hAnsi="Book Antiqua"/>
          <w:color w:val="auto"/>
          <w:szCs w:val="24"/>
        </w:rPr>
        <w:t xml:space="preserve">; </w:t>
      </w:r>
      <w:r w:rsidR="00DF2A79" w:rsidRPr="00D43349">
        <w:rPr>
          <w:rFonts w:ascii="Book Antiqua" w:hAnsi="Book Antiqua"/>
          <w:color w:val="auto"/>
          <w:szCs w:val="24"/>
        </w:rPr>
        <w:t>Non</w:t>
      </w:r>
      <w:r w:rsidR="008A4F8A" w:rsidRPr="00D43349">
        <w:rPr>
          <w:rFonts w:ascii="Book Antiqua" w:hAnsi="Book Antiqua"/>
          <w:color w:val="auto"/>
          <w:szCs w:val="24"/>
        </w:rPr>
        <w:t>-rhabdomyosarcoma pediatric soft tissue tumor</w:t>
      </w:r>
    </w:p>
    <w:p w14:paraId="4D8C9476" w14:textId="77777777" w:rsidR="007C7139" w:rsidRDefault="007C7139" w:rsidP="00BA05FB">
      <w:pPr>
        <w:spacing w:line="360" w:lineRule="auto"/>
        <w:jc w:val="both"/>
        <w:rPr>
          <w:rFonts w:ascii="Book Antiqua" w:hAnsi="Book Antiqua"/>
          <w:b/>
          <w:szCs w:val="24"/>
          <w:lang w:eastAsia="zh-CN"/>
        </w:rPr>
      </w:pPr>
      <w:r w:rsidRPr="00D43349">
        <w:rPr>
          <w:rFonts w:ascii="Book Antiqua" w:hAnsi="Book Antiqua"/>
          <w:b/>
          <w:szCs w:val="24"/>
        </w:rPr>
        <w:br w:type="page"/>
      </w:r>
    </w:p>
    <w:p w14:paraId="7E525FD3" w14:textId="77777777" w:rsidR="00BA05FB" w:rsidRPr="00F36768" w:rsidRDefault="00BA05FB" w:rsidP="00BA05FB">
      <w:pPr>
        <w:spacing w:line="360" w:lineRule="auto"/>
        <w:jc w:val="both"/>
        <w:rPr>
          <w:rFonts w:ascii="Book Antiqua" w:hAnsi="Book Antiqua"/>
          <w:i/>
          <w:iCs/>
          <w:szCs w:val="24"/>
        </w:rPr>
      </w:pPr>
      <w:proofErr w:type="gramStart"/>
      <w:r w:rsidRPr="00CA3195">
        <w:rPr>
          <w:rFonts w:ascii="Book Antiqua" w:hAnsi="Book Antiqua" w:cs="Tahoma"/>
          <w:b/>
          <w:color w:val="000000"/>
          <w:szCs w:val="24"/>
          <w:lang w:val="en-GB" w:eastAsia="ja-JP"/>
        </w:rPr>
        <w:lastRenderedPageBreak/>
        <w:t xml:space="preserve">© </w:t>
      </w:r>
      <w:r w:rsidRPr="00CA3195">
        <w:rPr>
          <w:rFonts w:ascii="Book Antiqua" w:eastAsia="AdvTimes" w:hAnsi="Book Antiqua" w:cs="AdvTimes"/>
          <w:b/>
          <w:color w:val="000000"/>
          <w:szCs w:val="24"/>
          <w:lang w:val="fr-FR" w:eastAsia="ja-JP"/>
        </w:rPr>
        <w:t>The Author(s) 2015.</w:t>
      </w:r>
      <w:proofErr w:type="gramEnd"/>
      <w:r>
        <w:rPr>
          <w:rFonts w:ascii="Book Antiqua" w:eastAsia="AdvTimes" w:hAnsi="Book Antiqua" w:cs="AdvTimes"/>
          <w:color w:val="000000"/>
          <w:szCs w:val="24"/>
          <w:lang w:val="fr-FR" w:eastAsia="ja-JP"/>
        </w:rPr>
        <w:t xml:space="preserve"> Published by </w:t>
      </w:r>
      <w:proofErr w:type="spellStart"/>
      <w:r>
        <w:rPr>
          <w:rFonts w:ascii="Book Antiqua" w:hAnsi="Book Antiqua" w:cs="Arial Unicode MS"/>
          <w:color w:val="000000"/>
          <w:szCs w:val="24"/>
          <w:lang w:val="en-GB" w:eastAsia="ja-JP"/>
        </w:rPr>
        <w:t>Baishideng</w:t>
      </w:r>
      <w:proofErr w:type="spellEnd"/>
      <w:r>
        <w:rPr>
          <w:rFonts w:ascii="Book Antiqua" w:hAnsi="Book Antiqua" w:cs="Arial Unicode MS"/>
          <w:color w:val="000000"/>
          <w:szCs w:val="24"/>
          <w:lang w:val="en-GB" w:eastAsia="ja-JP"/>
        </w:rPr>
        <w:t xml:space="preserve"> Publishing Group Inc.</w:t>
      </w:r>
      <w:r>
        <w:rPr>
          <w:rFonts w:ascii="Book Antiqua" w:hAnsi="Book Antiqua" w:cs="Arial Unicode MS"/>
          <w:szCs w:val="24"/>
          <w:lang w:val="en-GB" w:eastAsia="ja-JP"/>
        </w:rPr>
        <w:t xml:space="preserve"> </w:t>
      </w:r>
      <w:r>
        <w:rPr>
          <w:rFonts w:ascii="Book Antiqua" w:hAnsi="Book Antiqua" w:cs="Arial Unicode MS"/>
          <w:szCs w:val="24"/>
          <w:lang w:val="fr-FR" w:eastAsia="ja-JP"/>
        </w:rPr>
        <w:t>All rights reserved</w:t>
      </w:r>
      <w:r>
        <w:rPr>
          <w:rFonts w:ascii="Book Antiqua" w:hAnsi="Book Antiqua" w:cs="Arial Unicode MS" w:hint="eastAsia"/>
          <w:szCs w:val="24"/>
          <w:lang w:val="fr-FR"/>
        </w:rPr>
        <w:t>.</w:t>
      </w:r>
    </w:p>
    <w:p w14:paraId="4F531092" w14:textId="77777777" w:rsidR="00BA05FB" w:rsidRPr="00D43349" w:rsidRDefault="00BA05FB" w:rsidP="00BA05FB">
      <w:pPr>
        <w:spacing w:line="360" w:lineRule="auto"/>
        <w:jc w:val="both"/>
        <w:rPr>
          <w:rFonts w:ascii="Book Antiqua" w:hAnsi="Book Antiqua"/>
          <w:b/>
          <w:szCs w:val="24"/>
          <w:lang w:eastAsia="zh-CN"/>
        </w:rPr>
      </w:pPr>
    </w:p>
    <w:p w14:paraId="66F4B15D" w14:textId="77777777" w:rsidR="00BA05FB" w:rsidRDefault="00C85A23" w:rsidP="00BA05FB">
      <w:pPr>
        <w:pStyle w:val="Body"/>
        <w:spacing w:line="360" w:lineRule="auto"/>
        <w:jc w:val="both"/>
        <w:rPr>
          <w:rFonts w:ascii="Book Antiqua" w:hAnsi="Book Antiqua"/>
          <w:szCs w:val="24"/>
          <w:lang w:eastAsia="zh-CN"/>
        </w:rPr>
      </w:pPr>
      <w:r w:rsidRPr="00D43349">
        <w:rPr>
          <w:rFonts w:ascii="Book Antiqua" w:hAnsi="Book Antiqua"/>
          <w:b/>
          <w:szCs w:val="24"/>
        </w:rPr>
        <w:t xml:space="preserve">Core </w:t>
      </w:r>
      <w:r w:rsidR="00DF2A79" w:rsidRPr="00D43349">
        <w:rPr>
          <w:rFonts w:ascii="Book Antiqua" w:hAnsi="Book Antiqua"/>
          <w:b/>
          <w:szCs w:val="24"/>
          <w:lang w:eastAsia="zh-CN"/>
        </w:rPr>
        <w:t xml:space="preserve">tip: </w:t>
      </w:r>
      <w:r w:rsidR="008A4F8A" w:rsidRPr="00D43349">
        <w:rPr>
          <w:rFonts w:ascii="Book Antiqua" w:hAnsi="Book Antiqua"/>
          <w:szCs w:val="24"/>
        </w:rPr>
        <w:t>The manuscript describes current management of pediatri</w:t>
      </w:r>
      <w:r w:rsidR="004756D0" w:rsidRPr="00D43349">
        <w:rPr>
          <w:rFonts w:ascii="Book Antiqua" w:hAnsi="Book Antiqua"/>
          <w:szCs w:val="24"/>
        </w:rPr>
        <w:t xml:space="preserve">c soft tissue sarcomas, </w:t>
      </w:r>
      <w:r w:rsidR="008A4F8A" w:rsidRPr="00D43349">
        <w:rPr>
          <w:rFonts w:ascii="Book Antiqua" w:hAnsi="Book Antiqua"/>
          <w:szCs w:val="24"/>
        </w:rPr>
        <w:t>a large group of rare</w:t>
      </w:r>
      <w:r w:rsidR="004756D0" w:rsidRPr="00D43349">
        <w:rPr>
          <w:rFonts w:ascii="Book Antiqua" w:hAnsi="Book Antiqua"/>
          <w:szCs w:val="24"/>
        </w:rPr>
        <w:t xml:space="preserve"> tumors in pediatric age group. The group has two main categories; rhabdomyosarcoma and non-rhabdomyosarcoma pediatric soft tissue tumors. </w:t>
      </w:r>
      <w:r w:rsidR="008A4F8A" w:rsidRPr="00D43349">
        <w:rPr>
          <w:rFonts w:ascii="Book Antiqua" w:hAnsi="Book Antiqua"/>
          <w:szCs w:val="24"/>
        </w:rPr>
        <w:t>Treatment of these tumors is in multidisciplinary fashion comprising of surgery, chemotherapy and radiat</w:t>
      </w:r>
      <w:r w:rsidR="004756D0" w:rsidRPr="00D43349">
        <w:rPr>
          <w:rFonts w:ascii="Book Antiqua" w:hAnsi="Book Antiqua"/>
          <w:szCs w:val="24"/>
        </w:rPr>
        <w:t>ion therapy. Decision making in management protocol for</w:t>
      </w:r>
      <w:r w:rsidR="008A4F8A" w:rsidRPr="00D43349">
        <w:rPr>
          <w:rFonts w:ascii="Book Antiqua" w:hAnsi="Book Antiqua"/>
          <w:szCs w:val="24"/>
        </w:rPr>
        <w:t xml:space="preserve"> each patient is based on the ri</w:t>
      </w:r>
      <w:r w:rsidR="004756D0" w:rsidRPr="00D43349">
        <w:rPr>
          <w:rFonts w:ascii="Book Antiqua" w:hAnsi="Book Antiqua"/>
          <w:szCs w:val="24"/>
        </w:rPr>
        <w:t xml:space="preserve">sk determined by various clinical and </w:t>
      </w:r>
      <w:r w:rsidR="008A4F8A" w:rsidRPr="00D43349">
        <w:rPr>
          <w:rFonts w:ascii="Book Antiqua" w:hAnsi="Book Antiqua"/>
          <w:szCs w:val="24"/>
        </w:rPr>
        <w:t>pathological parameters. For cases with low-risk, surgical removal is usually adequate when</w:t>
      </w:r>
      <w:r w:rsidR="008E7643" w:rsidRPr="00D43349">
        <w:rPr>
          <w:rFonts w:ascii="Book Antiqua" w:hAnsi="Book Antiqua"/>
          <w:szCs w:val="24"/>
        </w:rPr>
        <w:t xml:space="preserve"> adjuvant chemoradiation are proven helpful in cases with significant risk of</w:t>
      </w:r>
      <w:r w:rsidR="004756D0" w:rsidRPr="00D43349">
        <w:rPr>
          <w:rFonts w:ascii="Book Antiqua" w:hAnsi="Book Antiqua"/>
          <w:szCs w:val="24"/>
        </w:rPr>
        <w:t xml:space="preserve"> recurrence. The overall survival</w:t>
      </w:r>
      <w:r w:rsidR="008E7643" w:rsidRPr="00D43349">
        <w:rPr>
          <w:rFonts w:ascii="Book Antiqua" w:hAnsi="Book Antiqua"/>
          <w:szCs w:val="24"/>
        </w:rPr>
        <w:t xml:space="preserve"> in these tumor</w:t>
      </w:r>
      <w:r w:rsidR="00567571" w:rsidRPr="00D43349">
        <w:rPr>
          <w:rFonts w:ascii="Book Antiqua" w:hAnsi="Book Antiqua"/>
          <w:szCs w:val="24"/>
        </w:rPr>
        <w:t>s</w:t>
      </w:r>
      <w:r w:rsidR="008E7643" w:rsidRPr="00D43349">
        <w:rPr>
          <w:rFonts w:ascii="Book Antiqua" w:hAnsi="Book Antiqua"/>
          <w:szCs w:val="24"/>
        </w:rPr>
        <w:t xml:space="preserve"> has become brighter in the recent decade</w:t>
      </w:r>
      <w:r w:rsidR="004756D0" w:rsidRPr="00D43349">
        <w:rPr>
          <w:rFonts w:ascii="Book Antiqua" w:hAnsi="Book Antiqua"/>
          <w:szCs w:val="24"/>
        </w:rPr>
        <w:t>s</w:t>
      </w:r>
      <w:r w:rsidR="008E7643" w:rsidRPr="00D43349">
        <w:rPr>
          <w:rFonts w:ascii="Book Antiqua" w:hAnsi="Book Antiqua"/>
          <w:szCs w:val="24"/>
        </w:rPr>
        <w:t>.</w:t>
      </w:r>
    </w:p>
    <w:p w14:paraId="0FC313A4" w14:textId="77777777" w:rsidR="00BA05FB" w:rsidRPr="00D43349" w:rsidRDefault="00BA05FB" w:rsidP="00BA05FB">
      <w:pPr>
        <w:pStyle w:val="Body"/>
        <w:spacing w:line="360" w:lineRule="auto"/>
        <w:jc w:val="both"/>
        <w:rPr>
          <w:rFonts w:ascii="Book Antiqua" w:hAnsi="Book Antiqua"/>
          <w:b/>
          <w:color w:val="auto"/>
          <w:szCs w:val="24"/>
          <w:lang w:eastAsia="zh-CN"/>
        </w:rPr>
      </w:pPr>
    </w:p>
    <w:p w14:paraId="3E2EA286" w14:textId="2460D3C0" w:rsidR="00BA05FB" w:rsidRPr="00BA05FB" w:rsidRDefault="00BA05FB" w:rsidP="00BA05FB">
      <w:pPr>
        <w:pStyle w:val="Body"/>
        <w:spacing w:line="360" w:lineRule="auto"/>
        <w:jc w:val="both"/>
        <w:rPr>
          <w:rFonts w:ascii="Book Antiqua" w:hAnsi="Book Antiqua"/>
          <w:color w:val="auto"/>
          <w:szCs w:val="24"/>
          <w:lang w:eastAsia="zh-CN"/>
        </w:rPr>
      </w:pPr>
      <w:r w:rsidRPr="00D43349">
        <w:rPr>
          <w:rFonts w:ascii="Book Antiqua" w:hAnsi="Book Antiqua"/>
          <w:color w:val="auto"/>
          <w:szCs w:val="24"/>
        </w:rPr>
        <w:t xml:space="preserve">Sangkhathat </w:t>
      </w:r>
      <w:r>
        <w:rPr>
          <w:rFonts w:ascii="Book Antiqua" w:hAnsi="Book Antiqua" w:hint="eastAsia"/>
          <w:color w:val="auto"/>
          <w:szCs w:val="24"/>
          <w:lang w:eastAsia="zh-CN"/>
        </w:rPr>
        <w:t>S</w:t>
      </w:r>
      <w:r>
        <w:rPr>
          <w:rFonts w:ascii="Book Antiqua" w:hAnsi="Book Antiqua" w:hint="eastAsia"/>
          <w:szCs w:val="24"/>
          <w:lang w:eastAsia="zh-CN"/>
        </w:rPr>
        <w:t xml:space="preserve">. </w:t>
      </w:r>
      <w:r w:rsidRPr="00BA05FB">
        <w:rPr>
          <w:rFonts w:ascii="Book Antiqua" w:hAnsi="Book Antiqua"/>
          <w:color w:val="auto"/>
          <w:szCs w:val="24"/>
        </w:rPr>
        <w:t>Current management of pediatric soft tissue sarcomas</w:t>
      </w:r>
      <w:r>
        <w:rPr>
          <w:rFonts w:ascii="Book Antiqua" w:hAnsi="Book Antiqua" w:hint="eastAsia"/>
          <w:color w:val="auto"/>
          <w:szCs w:val="24"/>
          <w:lang w:eastAsia="zh-CN"/>
        </w:rPr>
        <w:t xml:space="preserve">. </w:t>
      </w:r>
      <w:r w:rsidRPr="00C341A0">
        <w:rPr>
          <w:rFonts w:ascii="Book Antiqua" w:hAnsi="Book Antiqua"/>
          <w:i/>
          <w:iCs/>
          <w:szCs w:val="24"/>
        </w:rPr>
        <w:t>World J Clin Pediatr</w:t>
      </w:r>
      <w:r>
        <w:rPr>
          <w:rFonts w:ascii="Book Antiqua" w:hAnsi="Book Antiqua" w:hint="eastAsia"/>
          <w:iCs/>
          <w:szCs w:val="24"/>
          <w:lang w:eastAsia="zh-CN"/>
        </w:rPr>
        <w:t xml:space="preserve"> 2015; In press</w:t>
      </w:r>
    </w:p>
    <w:p w14:paraId="6A03F19E" w14:textId="37366E34" w:rsidR="007C7139" w:rsidRPr="00D43349" w:rsidRDefault="007C7139" w:rsidP="00BA05FB">
      <w:pPr>
        <w:pStyle w:val="Body"/>
        <w:spacing w:line="360" w:lineRule="auto"/>
        <w:jc w:val="both"/>
        <w:rPr>
          <w:rFonts w:ascii="Book Antiqua" w:hAnsi="Book Antiqua"/>
          <w:b/>
          <w:color w:val="auto"/>
          <w:szCs w:val="24"/>
          <w:lang w:eastAsia="zh-CN"/>
        </w:rPr>
      </w:pPr>
      <w:r w:rsidRPr="00D43349">
        <w:rPr>
          <w:rFonts w:ascii="Book Antiqua" w:hAnsi="Book Antiqua"/>
          <w:szCs w:val="24"/>
        </w:rPr>
        <w:br w:type="page"/>
      </w:r>
    </w:p>
    <w:p w14:paraId="2732054A" w14:textId="608DAA1A" w:rsidR="00BF073C" w:rsidRPr="00D43349" w:rsidRDefault="00846341" w:rsidP="00BA05FB">
      <w:pPr>
        <w:spacing w:line="360" w:lineRule="auto"/>
        <w:jc w:val="both"/>
        <w:rPr>
          <w:rFonts w:ascii="Book Antiqua" w:hAnsi="Book Antiqua"/>
          <w:b/>
          <w:szCs w:val="24"/>
        </w:rPr>
      </w:pPr>
      <w:r w:rsidRPr="00D43349">
        <w:rPr>
          <w:rFonts w:ascii="Book Antiqua" w:hAnsi="Book Antiqua"/>
          <w:b/>
          <w:szCs w:val="24"/>
        </w:rPr>
        <w:lastRenderedPageBreak/>
        <w:t>INTRODUCTION</w:t>
      </w:r>
    </w:p>
    <w:p w14:paraId="6835ABFB" w14:textId="77777777" w:rsidR="00846341" w:rsidRPr="00D43349" w:rsidRDefault="004004EA" w:rsidP="00BA05FB">
      <w:pPr>
        <w:pStyle w:val="Body"/>
        <w:spacing w:line="360" w:lineRule="auto"/>
        <w:jc w:val="both"/>
        <w:rPr>
          <w:rFonts w:ascii="Book Antiqua" w:hAnsi="Book Antiqua"/>
          <w:color w:val="auto"/>
          <w:szCs w:val="24"/>
          <w:lang w:eastAsia="zh-CN"/>
        </w:rPr>
      </w:pPr>
      <w:r w:rsidRPr="00D43349">
        <w:rPr>
          <w:rFonts w:ascii="Book Antiqua" w:hAnsi="Book Antiqua"/>
          <w:color w:val="auto"/>
          <w:szCs w:val="24"/>
        </w:rPr>
        <w:t>Pediatric soft tissue sarcomas are part of a heterogeneous group of tumors originating from embryonic mesodermal tissues during the process of differentiation into various mesenchymal tissue components of the human body. These tumors constitute 6 to 8% of all cancers in children less than 15 years of age</w:t>
      </w:r>
      <w:r w:rsidRPr="00D43349">
        <w:rPr>
          <w:rStyle w:val="Cross-reference"/>
          <w:rFonts w:ascii="Book Antiqua" w:hAnsi="Book Antiqua"/>
          <w:color w:val="auto"/>
          <w:szCs w:val="24"/>
          <w:vertAlign w:val="superscript"/>
        </w:rPr>
        <w:t>[1-5]</w:t>
      </w:r>
      <w:r w:rsidRPr="00D43349">
        <w:rPr>
          <w:rFonts w:ascii="Book Antiqua" w:hAnsi="Book Antiqua"/>
          <w:color w:val="auto"/>
          <w:szCs w:val="24"/>
        </w:rPr>
        <w:t>. Age-standardized incidence rates in Western countries are slightly increased compared with Asian countries</w:t>
      </w:r>
      <w:r w:rsidRPr="00D43349">
        <w:rPr>
          <w:rStyle w:val="Cross-reference"/>
          <w:rFonts w:ascii="Book Antiqua" w:hAnsi="Book Antiqua"/>
          <w:color w:val="auto"/>
          <w:szCs w:val="24"/>
          <w:vertAlign w:val="superscript"/>
        </w:rPr>
        <w:t>[5]</w:t>
      </w:r>
      <w:r w:rsidRPr="00D43349">
        <w:rPr>
          <w:rFonts w:ascii="Book Antiqua" w:hAnsi="Book Antiqua"/>
          <w:color w:val="auto"/>
          <w:szCs w:val="24"/>
        </w:rPr>
        <w:t>. Of all soft tissue sarcomas in this age group, approximately 50 to 60% are rhabdomyosarcoma (RMS), whereas the remainder are non-rhabdomyosarcoma soft tissue sarcomas (NRSTS), a designation that includes a variety of rarer soft tissue tumors including fibrosarcomas, synovial sarcomas, the extraosseous Ewing’s family of tumors, malignant peripheral nerve sheath tumors and inflammatory myofibroblastic tumors</w:t>
      </w:r>
      <w:r w:rsidRPr="00D43349">
        <w:rPr>
          <w:rStyle w:val="Cross-reference"/>
          <w:rFonts w:ascii="Book Antiqua" w:hAnsi="Book Antiqua"/>
          <w:color w:val="auto"/>
          <w:szCs w:val="24"/>
          <w:vertAlign w:val="superscript"/>
        </w:rPr>
        <w:t>[6,7]</w:t>
      </w:r>
      <w:r w:rsidRPr="00D43349">
        <w:rPr>
          <w:rFonts w:ascii="Book Antiqua" w:hAnsi="Book Antiqua"/>
          <w:color w:val="auto"/>
          <w:szCs w:val="24"/>
        </w:rPr>
        <w:t>. According to the International Classification of Childhood Cancers, version 3 (ICCC-3), Kaposi sarcoma is also categorized as a NRSTS tumors</w:t>
      </w:r>
      <w:r w:rsidRPr="00D43349">
        <w:rPr>
          <w:rStyle w:val="Cross-reference"/>
          <w:rFonts w:ascii="Book Antiqua" w:hAnsi="Book Antiqua"/>
          <w:color w:val="auto"/>
          <w:szCs w:val="24"/>
          <w:vertAlign w:val="superscript"/>
        </w:rPr>
        <w:t>[8]</w:t>
      </w:r>
      <w:r w:rsidRPr="00D43349">
        <w:rPr>
          <w:rFonts w:ascii="Book Antiqua" w:hAnsi="Book Antiqua"/>
          <w:color w:val="auto"/>
          <w:szCs w:val="24"/>
        </w:rPr>
        <w:t>. Approximately two-thirds of RMSs are diagnosed before 6 years of age, and the incidence decreases with age</w:t>
      </w:r>
      <w:r w:rsidRPr="00D43349">
        <w:rPr>
          <w:rStyle w:val="Cross-reference"/>
          <w:rFonts w:ascii="Book Antiqua" w:hAnsi="Book Antiqua"/>
          <w:color w:val="auto"/>
          <w:szCs w:val="24"/>
          <w:vertAlign w:val="superscript"/>
        </w:rPr>
        <w:t>[7,9]</w:t>
      </w:r>
      <w:r w:rsidRPr="00D43349">
        <w:rPr>
          <w:rFonts w:ascii="Book Antiqua" w:hAnsi="Book Antiqua"/>
          <w:color w:val="auto"/>
          <w:szCs w:val="24"/>
        </w:rPr>
        <w:t>. In contrast, NRSTSs occur in older children, increasing in incidence throughout adolescent years</w:t>
      </w:r>
      <w:r w:rsidRPr="00D43349">
        <w:rPr>
          <w:rStyle w:val="Cross-reference"/>
          <w:rFonts w:ascii="Book Antiqua" w:hAnsi="Book Antiqua"/>
          <w:color w:val="auto"/>
          <w:szCs w:val="24"/>
          <w:vertAlign w:val="superscript"/>
        </w:rPr>
        <w:t>[6]</w:t>
      </w:r>
      <w:r w:rsidRPr="00D43349">
        <w:rPr>
          <w:rFonts w:ascii="Book Antiqua" w:hAnsi="Book Antiqua"/>
          <w:color w:val="auto"/>
          <w:szCs w:val="24"/>
        </w:rPr>
        <w:t>. In African countries wherein the human immunodeficiency virus is endemic, an exceptionally increased incidence of Kaposi sarcoma has been reported</w:t>
      </w:r>
      <w:r w:rsidRPr="00D43349">
        <w:rPr>
          <w:rStyle w:val="Cross-reference"/>
          <w:rFonts w:ascii="Book Antiqua" w:hAnsi="Book Antiqua"/>
          <w:color w:val="auto"/>
          <w:szCs w:val="24"/>
          <w:vertAlign w:val="superscript"/>
        </w:rPr>
        <w:t>[2]</w:t>
      </w:r>
      <w:r w:rsidRPr="00D43349">
        <w:rPr>
          <w:rFonts w:ascii="Book Antiqua" w:hAnsi="Book Antiqua"/>
          <w:color w:val="auto"/>
          <w:szCs w:val="24"/>
        </w:rPr>
        <w:t>.</w:t>
      </w:r>
    </w:p>
    <w:p w14:paraId="26CF8019" w14:textId="77777777" w:rsidR="00846341" w:rsidRPr="00D43349" w:rsidRDefault="004004EA" w:rsidP="00BA05FB">
      <w:pPr>
        <w:pStyle w:val="Body"/>
        <w:spacing w:line="360" w:lineRule="auto"/>
        <w:ind w:firstLineChars="200" w:firstLine="480"/>
        <w:jc w:val="both"/>
        <w:rPr>
          <w:rFonts w:ascii="Book Antiqua" w:hAnsi="Book Antiqua"/>
          <w:color w:val="auto"/>
          <w:szCs w:val="24"/>
          <w:lang w:eastAsia="zh-CN"/>
        </w:rPr>
      </w:pPr>
      <w:r w:rsidRPr="00D43349">
        <w:rPr>
          <w:rFonts w:ascii="Book Antiqua" w:hAnsi="Book Antiqua"/>
          <w:color w:val="auto"/>
          <w:szCs w:val="24"/>
        </w:rPr>
        <w:t>Although most soft tissue sarcomas occur sporadically, these lesions are associated with cancer predisposition syndrome in some patients, (</w:t>
      </w:r>
      <w:r w:rsidRPr="00D43349">
        <w:rPr>
          <w:rFonts w:ascii="Book Antiqua" w:hAnsi="Book Antiqua"/>
          <w:i/>
          <w:color w:val="auto"/>
          <w:szCs w:val="24"/>
        </w:rPr>
        <w:t>e.g.,</w:t>
      </w:r>
      <w:r w:rsidRPr="00D43349">
        <w:rPr>
          <w:rFonts w:ascii="Book Antiqua" w:hAnsi="Book Antiqua"/>
          <w:color w:val="auto"/>
          <w:szCs w:val="24"/>
        </w:rPr>
        <w:t xml:space="preserve"> Li-Fraumeni syndrome, which is linked to p53 germline mutations). Neurofibrosarcomas typically develop in individuals affected with neurofibromatosis type 1, an autosomal dominant disorder caused by mutations in the neurofibromatosis 1 gene (NF1). Individuals harboring germline mutations of NF1 are also prone to the development of embryonal RMS</w:t>
      </w:r>
      <w:r w:rsidRPr="00D43349">
        <w:rPr>
          <w:rStyle w:val="Cross-reference"/>
          <w:rFonts w:ascii="Book Antiqua" w:hAnsi="Book Antiqua"/>
          <w:color w:val="auto"/>
          <w:szCs w:val="24"/>
          <w:vertAlign w:val="superscript"/>
        </w:rPr>
        <w:t>[10]</w:t>
      </w:r>
      <w:r w:rsidRPr="00D43349">
        <w:rPr>
          <w:rFonts w:ascii="Book Antiqua" w:hAnsi="Book Antiqua"/>
          <w:color w:val="auto"/>
          <w:szCs w:val="24"/>
        </w:rPr>
        <w:t>. At the somatic level, specific chromosomal translocations and an expression of chimeric transcription factors are molecular signatures in a number of pediatric sarcomas. In RMS, PAX-FOXO1 fusion is a characteristic of the unfavorable histology or alveolar RMS. Such specific molecular patterns help differentiate sarcoma subtypes in which accurate pathological diagnosis may be difficult at a histopathological level.</w:t>
      </w:r>
    </w:p>
    <w:p w14:paraId="242A5B3C" w14:textId="01721674" w:rsidR="00930223" w:rsidRPr="00D43349" w:rsidRDefault="004004EA" w:rsidP="00BA05FB">
      <w:pPr>
        <w:pStyle w:val="Body"/>
        <w:spacing w:line="360" w:lineRule="auto"/>
        <w:ind w:firstLineChars="200" w:firstLine="480"/>
        <w:jc w:val="both"/>
        <w:rPr>
          <w:rFonts w:ascii="Book Antiqua" w:hAnsi="Book Antiqua"/>
          <w:color w:val="auto"/>
          <w:szCs w:val="24"/>
        </w:rPr>
      </w:pPr>
      <w:r w:rsidRPr="00D43349">
        <w:rPr>
          <w:rFonts w:ascii="Book Antiqua" w:hAnsi="Book Antiqua"/>
          <w:color w:val="auto"/>
          <w:szCs w:val="24"/>
        </w:rPr>
        <w:t>The outcomes of pediatric soft tissue sarcomas have improved significantly during the past 3 decades</w:t>
      </w:r>
      <w:r w:rsidRPr="00D43349">
        <w:rPr>
          <w:rStyle w:val="Cross-reference"/>
          <w:rFonts w:ascii="Book Antiqua" w:hAnsi="Book Antiqua"/>
          <w:color w:val="auto"/>
          <w:szCs w:val="24"/>
          <w:vertAlign w:val="superscript"/>
        </w:rPr>
        <w:t>[11]</w:t>
      </w:r>
      <w:r w:rsidRPr="00D43349">
        <w:rPr>
          <w:rFonts w:ascii="Book Antiqua" w:hAnsi="Book Antiqua"/>
          <w:color w:val="auto"/>
          <w:szCs w:val="24"/>
        </w:rPr>
        <w:t xml:space="preserve">. The prognosis of pediatric soft tissue sarcoma, </w:t>
      </w:r>
      <w:r w:rsidRPr="00D43349">
        <w:rPr>
          <w:rFonts w:ascii="Book Antiqua" w:hAnsi="Book Antiqua"/>
          <w:color w:val="auto"/>
          <w:szCs w:val="24"/>
        </w:rPr>
        <w:lastRenderedPageBreak/>
        <w:t>particularly RMS in younger children, is far better than that for sarcomas in adults. With modern evidence-based medicine, a multidisciplinary therapeutic approach not only increases survival rates but also provides a better chance to preserve the affected organ, particularly in the extremities and genitourinary organs. This article reviews current management practices for pediatric soft tissue sarcomas, with an emphasis on RMS and some soft tissue tumors that are more commonly found in the pediatric age group.</w:t>
      </w:r>
    </w:p>
    <w:p w14:paraId="3F0A316A" w14:textId="6A78412B" w:rsidR="00930223" w:rsidRPr="00D43349" w:rsidRDefault="00930223" w:rsidP="00BA05FB">
      <w:pPr>
        <w:pStyle w:val="Body"/>
        <w:spacing w:line="360" w:lineRule="auto"/>
        <w:jc w:val="both"/>
        <w:rPr>
          <w:rFonts w:ascii="Book Antiqua" w:hAnsi="Book Antiqua"/>
          <w:color w:val="auto"/>
          <w:szCs w:val="24"/>
        </w:rPr>
      </w:pPr>
    </w:p>
    <w:p w14:paraId="05167FAF" w14:textId="31D0B3C8" w:rsidR="00930223" w:rsidRPr="00D43349" w:rsidRDefault="00846341" w:rsidP="00BA05FB">
      <w:pPr>
        <w:pStyle w:val="Body"/>
        <w:spacing w:line="360" w:lineRule="auto"/>
        <w:jc w:val="both"/>
        <w:rPr>
          <w:rFonts w:ascii="Book Antiqua" w:hAnsi="Book Antiqua"/>
          <w:color w:val="auto"/>
          <w:szCs w:val="24"/>
        </w:rPr>
      </w:pPr>
      <w:r w:rsidRPr="00D43349">
        <w:rPr>
          <w:rFonts w:ascii="Book Antiqua" w:hAnsi="Book Antiqua"/>
          <w:b/>
          <w:color w:val="auto"/>
          <w:szCs w:val="24"/>
        </w:rPr>
        <w:t>CLINICAL PRESENTATION AND DIAGNOSIS OF PEDIATRIC SOFT TISSUE SARCOMA</w:t>
      </w:r>
    </w:p>
    <w:p w14:paraId="24BC35CC" w14:textId="77777777" w:rsidR="00846341" w:rsidRPr="00D43349" w:rsidRDefault="004004EA" w:rsidP="00BA05FB">
      <w:pPr>
        <w:pStyle w:val="Body"/>
        <w:spacing w:line="360" w:lineRule="auto"/>
        <w:jc w:val="both"/>
        <w:rPr>
          <w:rFonts w:ascii="Book Antiqua" w:hAnsi="Book Antiqua"/>
          <w:color w:val="auto"/>
          <w:szCs w:val="24"/>
          <w:lang w:eastAsia="zh-CN"/>
        </w:rPr>
      </w:pPr>
      <w:r w:rsidRPr="00D43349">
        <w:rPr>
          <w:rFonts w:ascii="Book Antiqua" w:hAnsi="Book Antiqua"/>
          <w:color w:val="auto"/>
          <w:szCs w:val="24"/>
        </w:rPr>
        <w:t>As soft tissue sarcomas are derived from primitive mesenchymal cells during their development into various mature mesenchymal tissue types (including muscle, fascia and fat), these tumors can be located in any part of the human body. The most common sites of primary RMSs are the head and neck, the genitourinary system and the limbs. The classic presentation is a growing lump that may or may not affect the function of nearby organs. RMS in some organ systems may cause specific symptoms. For example, frequent urination can be an initial presentation of an RMS that arises within the urinary bladder. Obstructive jaundice is one manifestation of bile duct RMS. Multiple plexiform neurofibrosarcomas can be benign tumors that follow neurofibrosarcoma in an individual with neurofibromatosis. Localization of the tumor site and its relation to the surrounding organs is typically accomplished by an imaging study, preferably magnetic resonance imaging (MRI) and/or computerized tomography (CT)</w:t>
      </w:r>
      <w:r w:rsidRPr="00D43349">
        <w:rPr>
          <w:rStyle w:val="Cross-reference"/>
          <w:rFonts w:ascii="Book Antiqua" w:hAnsi="Book Antiqua"/>
          <w:color w:val="auto"/>
          <w:szCs w:val="24"/>
          <w:vertAlign w:val="superscript"/>
        </w:rPr>
        <w:t>[12]</w:t>
      </w:r>
      <w:r w:rsidRPr="00D43349">
        <w:rPr>
          <w:rFonts w:ascii="Book Antiqua" w:hAnsi="Book Antiqua"/>
          <w:color w:val="auto"/>
          <w:szCs w:val="24"/>
        </w:rPr>
        <w:t>. From a surgical standpoint, the location, proximity to vascular structures, and potential morbidity caused by surgical resection determine the ‘resectability’ of a sarcoma. To date, no serum markers are available for the diagnosis of soft tissue sarcomas. Image-guided core needle biopsy typically, but not always, provides a definitive diagnosis</w:t>
      </w:r>
      <w:r w:rsidRPr="00D43349">
        <w:rPr>
          <w:rStyle w:val="Cross-reference"/>
          <w:rFonts w:ascii="Book Antiqua" w:hAnsi="Book Antiqua"/>
          <w:color w:val="auto"/>
          <w:szCs w:val="24"/>
          <w:vertAlign w:val="superscript"/>
        </w:rPr>
        <w:t>[13]</w:t>
      </w:r>
      <w:r w:rsidRPr="00D43349">
        <w:rPr>
          <w:rFonts w:ascii="Book Antiqua" w:hAnsi="Book Antiqua"/>
          <w:color w:val="auto"/>
          <w:szCs w:val="24"/>
        </w:rPr>
        <w:t xml:space="preserve">. During a biopsy, extra tissue can be collected for further studies, </w:t>
      </w:r>
      <w:r w:rsidRPr="00D43349">
        <w:rPr>
          <w:rFonts w:ascii="Book Antiqua" w:hAnsi="Book Antiqua"/>
          <w:i/>
          <w:color w:val="auto"/>
          <w:szCs w:val="24"/>
        </w:rPr>
        <w:t>i.e.,</w:t>
      </w:r>
      <w:r w:rsidRPr="00D43349">
        <w:rPr>
          <w:rFonts w:ascii="Book Antiqua" w:hAnsi="Book Antiqua"/>
          <w:color w:val="auto"/>
          <w:szCs w:val="24"/>
        </w:rPr>
        <w:t xml:space="preserve"> electron microscopy and molecular diagnosis. Repeat biopsy using an open technique is performed when a histopathological diagnosis cannot be made upon examining a small strip of tissue obtained from a needle coring-out. Suspected lymph node metastasis should be </w:t>
      </w:r>
      <w:r w:rsidRPr="00D43349">
        <w:rPr>
          <w:rFonts w:ascii="Book Antiqua" w:hAnsi="Book Antiqua"/>
          <w:color w:val="auto"/>
          <w:szCs w:val="24"/>
        </w:rPr>
        <w:lastRenderedPageBreak/>
        <w:t>confirmed by histopathology, particularly in sarcoma of the limbs and the paratesticular area.</w:t>
      </w:r>
    </w:p>
    <w:p w14:paraId="1CD8BCDC" w14:textId="63688951" w:rsidR="00930223" w:rsidRPr="00D43349" w:rsidRDefault="004004EA" w:rsidP="00BA05FB">
      <w:pPr>
        <w:pStyle w:val="Body"/>
        <w:spacing w:line="360" w:lineRule="auto"/>
        <w:ind w:firstLineChars="200" w:firstLine="480"/>
        <w:jc w:val="both"/>
        <w:rPr>
          <w:rFonts w:ascii="Book Antiqua" w:hAnsi="Book Antiqua"/>
          <w:color w:val="auto"/>
          <w:szCs w:val="24"/>
        </w:rPr>
      </w:pPr>
      <w:r w:rsidRPr="00D43349">
        <w:rPr>
          <w:rFonts w:ascii="Book Antiqua" w:hAnsi="Book Antiqua"/>
          <w:color w:val="auto"/>
          <w:szCs w:val="24"/>
        </w:rPr>
        <w:t>Pre-treatment clinical staging aims to categorize the disease according to the tumor site, size, local invasion, regional lymph node involvement and distant metastasis. The metastatic work-up includes bone marrow aspiration/biopsy, bone scintigraphy, and axial imaging studies of the brain, lung and liver (CT or MRI). A spinal tap for cerebrospinal fluid is indicated in cases of suspected parameningeal tumor. A recent systematic review suggested the potential benefit of a functional imaging study, such as positron emission tomography (PET-CT), for increasing the accuracy of pretreatment staging, particularly in the evaluation of nodal status and distant metastasis</w:t>
      </w:r>
      <w:r w:rsidRPr="00D43349">
        <w:rPr>
          <w:rStyle w:val="Cross-reference"/>
          <w:rFonts w:ascii="Book Antiqua" w:hAnsi="Book Antiqua"/>
          <w:color w:val="auto"/>
          <w:szCs w:val="24"/>
          <w:vertAlign w:val="superscript"/>
        </w:rPr>
        <w:t>[14,15]</w:t>
      </w:r>
      <w:r w:rsidRPr="00D43349">
        <w:rPr>
          <w:rFonts w:ascii="Book Antiqua" w:hAnsi="Book Antiqua"/>
          <w:color w:val="auto"/>
          <w:szCs w:val="24"/>
        </w:rPr>
        <w:t>. Sentinel lymph node biopsy using radio-tracer exhibits feasibility and good concordance with PET-CT results in pediatric soft tissue sarcomas</w:t>
      </w:r>
      <w:r w:rsidRPr="00D43349">
        <w:rPr>
          <w:rStyle w:val="Cross-reference"/>
          <w:rFonts w:ascii="Book Antiqua" w:hAnsi="Book Antiqua"/>
          <w:color w:val="auto"/>
          <w:szCs w:val="24"/>
          <w:vertAlign w:val="superscript"/>
        </w:rPr>
        <w:t>[16,17]</w:t>
      </w:r>
      <w:r w:rsidRPr="00D43349">
        <w:rPr>
          <w:rFonts w:ascii="Book Antiqua" w:hAnsi="Book Antiqua"/>
          <w:color w:val="auto"/>
          <w:szCs w:val="24"/>
        </w:rPr>
        <w:t>.</w:t>
      </w:r>
    </w:p>
    <w:p w14:paraId="41D2082F" w14:textId="55744011" w:rsidR="00930223" w:rsidRPr="00D43349" w:rsidRDefault="00930223" w:rsidP="00BA05FB">
      <w:pPr>
        <w:pStyle w:val="Body"/>
        <w:spacing w:line="360" w:lineRule="auto"/>
        <w:jc w:val="both"/>
        <w:rPr>
          <w:rFonts w:ascii="Book Antiqua" w:hAnsi="Book Antiqua"/>
          <w:color w:val="auto"/>
          <w:szCs w:val="24"/>
        </w:rPr>
      </w:pPr>
    </w:p>
    <w:p w14:paraId="180CC179" w14:textId="5215DE37" w:rsidR="00930223" w:rsidRPr="00D43349" w:rsidRDefault="00846341" w:rsidP="00BA05FB">
      <w:pPr>
        <w:pStyle w:val="Body"/>
        <w:spacing w:line="360" w:lineRule="auto"/>
        <w:jc w:val="both"/>
        <w:rPr>
          <w:rFonts w:ascii="Book Antiqua" w:hAnsi="Book Antiqua"/>
          <w:color w:val="auto"/>
          <w:szCs w:val="24"/>
        </w:rPr>
      </w:pPr>
      <w:r w:rsidRPr="00D43349">
        <w:rPr>
          <w:rFonts w:ascii="Book Antiqua" w:hAnsi="Book Antiqua"/>
          <w:b/>
          <w:color w:val="auto"/>
          <w:szCs w:val="24"/>
        </w:rPr>
        <w:t>MULTIDISCIPLINARY MANAGEMENT OF PEDIATRIC SOFT TISSUE SARCOMA</w:t>
      </w:r>
    </w:p>
    <w:p w14:paraId="3C66EE03" w14:textId="77777777" w:rsidR="00930223" w:rsidRPr="00D43349" w:rsidRDefault="004004EA" w:rsidP="00BA05FB">
      <w:pPr>
        <w:pStyle w:val="Body"/>
        <w:spacing w:line="360" w:lineRule="auto"/>
        <w:jc w:val="both"/>
        <w:rPr>
          <w:rFonts w:ascii="Book Antiqua" w:hAnsi="Book Antiqua"/>
          <w:b/>
          <w:color w:val="auto"/>
          <w:szCs w:val="24"/>
        </w:rPr>
      </w:pPr>
      <w:r w:rsidRPr="00D43349">
        <w:rPr>
          <w:rFonts w:ascii="Book Antiqua" w:hAnsi="Book Antiqua"/>
          <w:b/>
          <w:i/>
          <w:color w:val="auto"/>
          <w:szCs w:val="24"/>
        </w:rPr>
        <w:t>Rhabdomyosarcoma</w:t>
      </w:r>
    </w:p>
    <w:p w14:paraId="44216224" w14:textId="77777777" w:rsidR="00846341" w:rsidRPr="00D43349" w:rsidRDefault="004004EA" w:rsidP="00BA05FB">
      <w:pPr>
        <w:pStyle w:val="Body"/>
        <w:spacing w:line="360" w:lineRule="auto"/>
        <w:jc w:val="both"/>
        <w:rPr>
          <w:rFonts w:ascii="Book Antiqua" w:hAnsi="Book Antiqua"/>
          <w:color w:val="auto"/>
          <w:szCs w:val="24"/>
          <w:lang w:eastAsia="zh-CN"/>
        </w:rPr>
      </w:pPr>
      <w:r w:rsidRPr="00D43349">
        <w:rPr>
          <w:rFonts w:ascii="Book Antiqua" w:hAnsi="Book Antiqua"/>
          <w:color w:val="auto"/>
          <w:szCs w:val="24"/>
        </w:rPr>
        <w:t>RMS is a malignant mesenchymal tumor originating from immature striated muscle. Approximately 40% of RMSs occur in the head and neck region, 20% occur at genitourinary sites, 20% in the extremities, and 20% in other locations</w:t>
      </w:r>
      <w:r w:rsidRPr="00D43349">
        <w:rPr>
          <w:rStyle w:val="Cross-reference"/>
          <w:rFonts w:ascii="Book Antiqua" w:hAnsi="Book Antiqua"/>
          <w:color w:val="auto"/>
          <w:szCs w:val="24"/>
          <w:vertAlign w:val="superscript"/>
        </w:rPr>
        <w:t>[9,12]</w:t>
      </w:r>
      <w:r w:rsidRPr="00D43349">
        <w:rPr>
          <w:rFonts w:ascii="Book Antiqua" w:hAnsi="Book Antiqua"/>
          <w:color w:val="auto"/>
          <w:szCs w:val="24"/>
        </w:rPr>
        <w:t xml:space="preserve"> (</w:t>
      </w:r>
      <w:r w:rsidRPr="00D43349">
        <w:rPr>
          <w:rStyle w:val="Cross-reference"/>
          <w:rFonts w:ascii="Book Antiqua" w:hAnsi="Book Antiqua"/>
          <w:color w:val="auto"/>
          <w:szCs w:val="24"/>
        </w:rPr>
        <w:t>Fig</w:t>
      </w:r>
      <w:r w:rsidR="00846341" w:rsidRPr="00D43349">
        <w:rPr>
          <w:rStyle w:val="Cross-reference"/>
          <w:rFonts w:ascii="Book Antiqua" w:hAnsi="Book Antiqua"/>
          <w:color w:val="auto"/>
          <w:szCs w:val="24"/>
          <w:lang w:eastAsia="zh-CN"/>
        </w:rPr>
        <w:t>ure</w:t>
      </w:r>
      <w:r w:rsidRPr="00D43349">
        <w:rPr>
          <w:rStyle w:val="Cross-reference"/>
          <w:rFonts w:ascii="Book Antiqua" w:hAnsi="Book Antiqua"/>
          <w:color w:val="auto"/>
          <w:szCs w:val="24"/>
        </w:rPr>
        <w:t xml:space="preserve"> 1</w:t>
      </w:r>
      <w:r w:rsidRPr="00D43349">
        <w:rPr>
          <w:rFonts w:ascii="Book Antiqua" w:hAnsi="Book Antiqua"/>
          <w:color w:val="auto"/>
          <w:szCs w:val="24"/>
        </w:rPr>
        <w:t>). On hematoxylin and eosin histology, the tumor is characterized by the presence of spindle-shaped or small round-cell rhabdomyofibroblasts with eosinophilic cytoplasm. Cross-striations can be observed in some cases with relatively high tumor differentiation. Immunohistochemical studies that support the diagnosis of RMS include actin, desmin, myoglobin, myogenin and Myo-D. Pediatric RMS cases are generally categorized into 2 types: embryonal RMS (80%) and alveolar RMS (15-20%)</w:t>
      </w:r>
      <w:r w:rsidRPr="00D43349">
        <w:rPr>
          <w:rStyle w:val="Cross-reference"/>
          <w:rFonts w:ascii="Book Antiqua" w:hAnsi="Book Antiqua"/>
          <w:color w:val="auto"/>
          <w:szCs w:val="24"/>
          <w:vertAlign w:val="superscript"/>
        </w:rPr>
        <w:t>[12]</w:t>
      </w:r>
      <w:r w:rsidRPr="00D43349">
        <w:rPr>
          <w:rFonts w:ascii="Book Antiqua" w:hAnsi="Book Antiqua"/>
          <w:color w:val="auto"/>
          <w:szCs w:val="24"/>
        </w:rPr>
        <w:t>. The botryoid subtype is a variant of embryonal RMS commonly located in the genitourinary tract, vagina, and biliary and nasopharyngeal sites. The spindle cell subtype is another subtype of embryonal RMS found in paratesticular locations. Alveolar RMS is observed in older children and generally has a more unfavorable histology.</w:t>
      </w:r>
    </w:p>
    <w:p w14:paraId="653B717A" w14:textId="4FBECCA1" w:rsidR="00930223" w:rsidRPr="00D43349" w:rsidRDefault="004004EA" w:rsidP="00BA05FB">
      <w:pPr>
        <w:pStyle w:val="Body"/>
        <w:spacing w:line="360" w:lineRule="auto"/>
        <w:ind w:firstLineChars="200" w:firstLine="480"/>
        <w:jc w:val="both"/>
        <w:rPr>
          <w:rFonts w:ascii="Book Antiqua" w:hAnsi="Book Antiqua"/>
          <w:color w:val="auto"/>
          <w:szCs w:val="24"/>
        </w:rPr>
      </w:pPr>
      <w:r w:rsidRPr="00D43349">
        <w:rPr>
          <w:rFonts w:ascii="Book Antiqua" w:hAnsi="Book Antiqua"/>
          <w:color w:val="auto"/>
          <w:szCs w:val="24"/>
        </w:rPr>
        <w:lastRenderedPageBreak/>
        <w:t>After the diagnosis is made, pre-treatment staging is performed according to a standard classification, such as the InterGroup Rhabdomyosarcoma Pretreatment Staging Classification (</w:t>
      </w:r>
      <w:r w:rsidRPr="00D43349">
        <w:rPr>
          <w:rStyle w:val="Cross-reference"/>
          <w:rFonts w:ascii="Book Antiqua" w:hAnsi="Book Antiqua"/>
          <w:color w:val="auto"/>
          <w:szCs w:val="24"/>
        </w:rPr>
        <w:t>Table 1</w:t>
      </w:r>
      <w:r w:rsidRPr="00D43349">
        <w:rPr>
          <w:rFonts w:ascii="Book Antiqua" w:hAnsi="Book Antiqua"/>
          <w:color w:val="auto"/>
          <w:szCs w:val="24"/>
        </w:rPr>
        <w:t>). The value of pretreatment staging involves determining disease prognosis. In addition to the stage, completeness of tumor removal defines the ‘clinical group’ of RMS. Management plans for RMS can be divided into local control and systemic therapy and generally rely on risk categorization as determined by the Intergroup Rhabdomyosarcoma Studies (IRS) stage with the clinical group (</w:t>
      </w:r>
      <w:r w:rsidRPr="00D43349">
        <w:rPr>
          <w:rStyle w:val="Cross-reference"/>
          <w:rFonts w:ascii="Book Antiqua" w:hAnsi="Book Antiqua"/>
          <w:color w:val="auto"/>
          <w:szCs w:val="24"/>
        </w:rPr>
        <w:t>Table 2</w:t>
      </w:r>
      <w:r w:rsidRPr="00D43349">
        <w:rPr>
          <w:rFonts w:ascii="Book Antiqua" w:hAnsi="Book Antiqua"/>
          <w:color w:val="auto"/>
          <w:szCs w:val="24"/>
        </w:rPr>
        <w:t>). Surgery therefore has an integral role in the initial stages of decision-making on multimodality treatment in pediatric RMS.</w:t>
      </w:r>
    </w:p>
    <w:p w14:paraId="347D33CE" w14:textId="77777777" w:rsidR="00930223" w:rsidRPr="00D43349" w:rsidRDefault="00930223" w:rsidP="00BA05FB">
      <w:pPr>
        <w:pStyle w:val="Body"/>
        <w:spacing w:line="360" w:lineRule="auto"/>
        <w:jc w:val="both"/>
        <w:rPr>
          <w:rFonts w:ascii="Book Antiqua" w:hAnsi="Book Antiqua"/>
          <w:color w:val="auto"/>
          <w:szCs w:val="24"/>
        </w:rPr>
      </w:pPr>
    </w:p>
    <w:p w14:paraId="4239418C" w14:textId="77777777" w:rsidR="00930223" w:rsidRPr="00D43349" w:rsidRDefault="004004EA" w:rsidP="00BA05FB">
      <w:pPr>
        <w:pStyle w:val="Body"/>
        <w:spacing w:line="360" w:lineRule="auto"/>
        <w:jc w:val="both"/>
        <w:rPr>
          <w:rFonts w:ascii="Book Antiqua" w:hAnsi="Book Antiqua"/>
          <w:b/>
          <w:color w:val="auto"/>
          <w:szCs w:val="24"/>
        </w:rPr>
      </w:pPr>
      <w:r w:rsidRPr="00D43349">
        <w:rPr>
          <w:rFonts w:ascii="Book Antiqua" w:hAnsi="Book Antiqua"/>
          <w:b/>
          <w:i/>
          <w:color w:val="auto"/>
          <w:szCs w:val="24"/>
        </w:rPr>
        <w:t>Local control</w:t>
      </w:r>
    </w:p>
    <w:p w14:paraId="29947E4A" w14:textId="480C6CC4" w:rsidR="00930223" w:rsidRPr="00D43349" w:rsidRDefault="004004EA" w:rsidP="00BA05FB">
      <w:pPr>
        <w:pStyle w:val="Body"/>
        <w:spacing w:line="360" w:lineRule="auto"/>
        <w:jc w:val="both"/>
        <w:rPr>
          <w:rFonts w:ascii="Book Antiqua" w:hAnsi="Book Antiqua"/>
          <w:color w:val="auto"/>
          <w:szCs w:val="24"/>
        </w:rPr>
      </w:pPr>
      <w:r w:rsidRPr="00D43349">
        <w:rPr>
          <w:rFonts w:ascii="Book Antiqua" w:hAnsi="Book Antiqua"/>
          <w:color w:val="auto"/>
          <w:szCs w:val="24"/>
        </w:rPr>
        <w:t>Surgery has been the most effective method to eliminate pathology. Surgery should be conducted in a manner that maintains function and cosmesis. In primary surgery, the extent of the initial surgery is generally subject to the judgment of the surgical team. In principle, resectability means that a tumor and its tumor-free surrounding tissue can be removed without operative risk or unacceptable post-operative morbidity. In the cases in which an excisional biopsy is performed without awareness of an adequate surgical margin, re-excision of the tumor bed should be considered</w:t>
      </w:r>
      <w:r w:rsidRPr="00D43349">
        <w:rPr>
          <w:rStyle w:val="Cross-reference"/>
          <w:rFonts w:ascii="Book Antiqua" w:hAnsi="Book Antiqua"/>
          <w:color w:val="auto"/>
          <w:szCs w:val="24"/>
          <w:vertAlign w:val="superscript"/>
        </w:rPr>
        <w:t>[18,19]</w:t>
      </w:r>
      <w:r w:rsidRPr="00D43349">
        <w:rPr>
          <w:rFonts w:ascii="Book Antiqua" w:hAnsi="Book Antiqua"/>
          <w:color w:val="auto"/>
          <w:szCs w:val="24"/>
        </w:rPr>
        <w:t>. In general, factors determining resectability include anatomical characters, such as site, size and vital structure involvement. However, in cases in which primary definitive surgery is not likely to provide complete resection without significant morbidity, delayed primary resection after upfront chemotherapy should be considered with an aim for organ salvage without compromising the long-term survival outcome. When delayed primary resection after neoadjuvant treatment is planned, compliance should also be considered. Intractable symptoms from the tumor and psychosocial factors may impact therapeutic compliance. Symptom control surgery during induction therapy (</w:t>
      </w:r>
      <w:r w:rsidRPr="00D43349">
        <w:rPr>
          <w:rFonts w:ascii="Book Antiqua" w:hAnsi="Book Antiqua"/>
          <w:i/>
          <w:color w:val="auto"/>
          <w:szCs w:val="24"/>
        </w:rPr>
        <w:t>i.e.,</w:t>
      </w:r>
      <w:r w:rsidRPr="00D43349">
        <w:rPr>
          <w:rFonts w:ascii="Book Antiqua" w:hAnsi="Book Antiqua"/>
          <w:color w:val="auto"/>
          <w:szCs w:val="24"/>
        </w:rPr>
        <w:t xml:space="preserve"> temporary urinary diversion in urinary bladder RMS) might be indicated</w:t>
      </w:r>
      <w:r w:rsidRPr="00D43349">
        <w:rPr>
          <w:rStyle w:val="Cross-reference"/>
          <w:rFonts w:ascii="Book Antiqua" w:hAnsi="Book Antiqua"/>
          <w:color w:val="auto"/>
          <w:szCs w:val="24"/>
          <w:vertAlign w:val="superscript"/>
        </w:rPr>
        <w:t>[20]</w:t>
      </w:r>
      <w:r w:rsidRPr="00D43349">
        <w:rPr>
          <w:rFonts w:ascii="Book Antiqua" w:hAnsi="Book Antiqua"/>
          <w:color w:val="auto"/>
          <w:szCs w:val="24"/>
        </w:rPr>
        <w:t>. Radical surgery is indicated in patients who are unable to tolerate intensive chemoradiation.</w:t>
      </w:r>
    </w:p>
    <w:p w14:paraId="2F2CAEF0" w14:textId="77777777" w:rsidR="00846341" w:rsidRPr="00D43349" w:rsidRDefault="007C7139" w:rsidP="00BA05FB">
      <w:pPr>
        <w:pStyle w:val="Body"/>
        <w:spacing w:line="360" w:lineRule="auto"/>
        <w:jc w:val="both"/>
        <w:rPr>
          <w:rFonts w:ascii="Book Antiqua" w:hAnsi="Book Antiqua"/>
          <w:color w:val="auto"/>
          <w:szCs w:val="24"/>
          <w:lang w:eastAsia="zh-CN"/>
        </w:rPr>
      </w:pPr>
      <w:r w:rsidRPr="00D43349">
        <w:rPr>
          <w:rFonts w:ascii="Book Antiqua" w:hAnsi="Book Antiqua"/>
          <w:color w:val="auto"/>
          <w:szCs w:val="24"/>
        </w:rPr>
        <w:tab/>
      </w:r>
      <w:r w:rsidR="004004EA" w:rsidRPr="00D43349">
        <w:rPr>
          <w:rFonts w:ascii="Book Antiqua" w:hAnsi="Book Antiqua"/>
          <w:color w:val="auto"/>
          <w:szCs w:val="24"/>
        </w:rPr>
        <w:t>A recent multi-institutional data review demonstrated that approximately 90% of clinical group III embryonal RMS patients experienced a volume reduction of 33% or greater after induction chemotherapy</w:t>
      </w:r>
      <w:r w:rsidR="004004EA" w:rsidRPr="00D43349">
        <w:rPr>
          <w:rStyle w:val="Cross-reference"/>
          <w:rFonts w:ascii="Book Antiqua" w:hAnsi="Book Antiqua"/>
          <w:color w:val="auto"/>
          <w:szCs w:val="24"/>
          <w:vertAlign w:val="superscript"/>
        </w:rPr>
        <w:t>[21]</w:t>
      </w:r>
      <w:r w:rsidR="004004EA" w:rsidRPr="00D43349">
        <w:rPr>
          <w:rFonts w:ascii="Book Antiqua" w:hAnsi="Book Antiqua"/>
          <w:color w:val="auto"/>
          <w:szCs w:val="24"/>
        </w:rPr>
        <w:t xml:space="preserve">. Although the effect of the </w:t>
      </w:r>
      <w:r w:rsidR="004004EA" w:rsidRPr="00D43349">
        <w:rPr>
          <w:rFonts w:ascii="Book Antiqua" w:hAnsi="Book Antiqua"/>
          <w:color w:val="auto"/>
          <w:szCs w:val="24"/>
        </w:rPr>
        <w:lastRenderedPageBreak/>
        <w:t>chemotherapeutic response on event-free survival (EFS) remains unclear, the study found that cases with at least a partial response experienced significantly enhanced overall survival (OS), particularly in head and neck RMS</w:t>
      </w:r>
      <w:r w:rsidR="004004EA" w:rsidRPr="00D43349">
        <w:rPr>
          <w:rStyle w:val="Cross-reference"/>
          <w:rFonts w:ascii="Book Antiqua" w:hAnsi="Book Antiqua"/>
          <w:color w:val="auto"/>
          <w:szCs w:val="24"/>
          <w:vertAlign w:val="superscript"/>
        </w:rPr>
        <w:t>[21]</w:t>
      </w:r>
      <w:r w:rsidR="004004EA" w:rsidRPr="00D43349">
        <w:rPr>
          <w:rFonts w:ascii="Book Antiqua" w:hAnsi="Book Antiqua"/>
          <w:color w:val="auto"/>
          <w:szCs w:val="24"/>
        </w:rPr>
        <w:t>. These results were consistent with a recent report using functional imaging tool 2-fluoro-2-deoxy-d-glucose-positron emission topography (FDP-PET) from the Memorial Sloan Kettering Cancer Center suggesting that the response after induction chemotherapy significantly predicted both EFS and OS</w:t>
      </w:r>
      <w:r w:rsidR="004004EA" w:rsidRPr="00D43349">
        <w:rPr>
          <w:rStyle w:val="Cross-reference"/>
          <w:rFonts w:ascii="Book Antiqua" w:hAnsi="Book Antiqua"/>
          <w:color w:val="auto"/>
          <w:szCs w:val="24"/>
          <w:vertAlign w:val="superscript"/>
        </w:rPr>
        <w:t>[22]</w:t>
      </w:r>
      <w:r w:rsidR="004004EA" w:rsidRPr="00D43349">
        <w:rPr>
          <w:rFonts w:ascii="Book Antiqua" w:hAnsi="Book Antiqua"/>
          <w:color w:val="auto"/>
          <w:szCs w:val="24"/>
        </w:rPr>
        <w:t>. An earlier report from the Intergroup Rhabdomyosarcoma Study IV (IRS-IV) revealed an 81% response to chemotherapy in group III RMS cases with no significant difference in the response rate between embryonal and alveolar RMS, and the size of the initial tumor had no influence on the response</w:t>
      </w:r>
      <w:r w:rsidR="004004EA" w:rsidRPr="00D43349">
        <w:rPr>
          <w:rStyle w:val="Cross-reference"/>
          <w:rFonts w:ascii="Book Antiqua" w:hAnsi="Book Antiqua"/>
          <w:color w:val="auto"/>
          <w:szCs w:val="24"/>
          <w:vertAlign w:val="superscript"/>
        </w:rPr>
        <w:t>[23]</w:t>
      </w:r>
      <w:r w:rsidR="004004EA" w:rsidRPr="00D43349">
        <w:rPr>
          <w:rFonts w:ascii="Book Antiqua" w:hAnsi="Book Antiqua"/>
          <w:color w:val="auto"/>
          <w:szCs w:val="24"/>
        </w:rPr>
        <w:t>. According to both studies, parameningeal RMS appeared to have a poorer response rate even when chemotherapy was administered with radiation</w:t>
      </w:r>
      <w:r w:rsidR="004004EA" w:rsidRPr="00D43349">
        <w:rPr>
          <w:rStyle w:val="Cross-reference"/>
          <w:rFonts w:ascii="Book Antiqua" w:hAnsi="Book Antiqua"/>
          <w:color w:val="auto"/>
          <w:szCs w:val="24"/>
          <w:vertAlign w:val="superscript"/>
        </w:rPr>
        <w:t>[24]</w:t>
      </w:r>
      <w:r w:rsidR="004004EA" w:rsidRPr="00D43349">
        <w:rPr>
          <w:rFonts w:ascii="Book Antiqua" w:hAnsi="Book Antiqua"/>
          <w:color w:val="auto"/>
          <w:szCs w:val="24"/>
        </w:rPr>
        <w:t>. Although the number of cases was lower, genitourinary tract sites (except bladder and prostate) exhibited better response rates</w:t>
      </w:r>
      <w:r w:rsidR="004004EA" w:rsidRPr="00D43349">
        <w:rPr>
          <w:rStyle w:val="Cross-reference"/>
          <w:rFonts w:ascii="Book Antiqua" w:hAnsi="Book Antiqua"/>
          <w:color w:val="auto"/>
          <w:szCs w:val="24"/>
          <w:vertAlign w:val="superscript"/>
        </w:rPr>
        <w:t>[21]</w:t>
      </w:r>
      <w:r w:rsidR="004004EA" w:rsidRPr="00D43349">
        <w:rPr>
          <w:rFonts w:ascii="Book Antiqua" w:hAnsi="Book Antiqua"/>
          <w:color w:val="auto"/>
          <w:szCs w:val="24"/>
        </w:rPr>
        <w:t>. The delayed primary resection strategy has reduced the extent of surgery in pelvic RMS. Pelvic exenteration, a historical standard in bladder and vaginal RMS, is rarely practiced today.</w:t>
      </w:r>
    </w:p>
    <w:p w14:paraId="4BFDB64B" w14:textId="77777777" w:rsidR="00846341" w:rsidRPr="00D43349" w:rsidRDefault="004004EA" w:rsidP="00BA05FB">
      <w:pPr>
        <w:pStyle w:val="Body"/>
        <w:spacing w:line="360" w:lineRule="auto"/>
        <w:ind w:firstLineChars="200" w:firstLine="480"/>
        <w:jc w:val="both"/>
        <w:rPr>
          <w:rFonts w:ascii="Book Antiqua" w:hAnsi="Book Antiqua"/>
          <w:color w:val="auto"/>
          <w:szCs w:val="24"/>
          <w:lang w:eastAsia="zh-CN"/>
        </w:rPr>
      </w:pPr>
      <w:r w:rsidRPr="00D43349">
        <w:rPr>
          <w:rFonts w:ascii="Book Antiqua" w:hAnsi="Book Antiqua"/>
          <w:color w:val="auto"/>
          <w:szCs w:val="24"/>
        </w:rPr>
        <w:t>Second-look exploration aims to confirm the clinical/radiological response and to achieve oncologic resection when possible. Imaging evaluation may underestimate the degree of the response. According to IRS-III data, 46% of patients who achieved partial remission were found to be in complete remission at surgical exploration, and an additional 28% could be converted to complete remission. In addition, 30% of patients who had clinically stable disease after induction chemotherapy exhibited pathological complete remission, and an additional 43% could be converted to complete remission</w:t>
      </w:r>
      <w:r w:rsidRPr="00D43349">
        <w:rPr>
          <w:rStyle w:val="Cross-reference"/>
          <w:rFonts w:ascii="Book Antiqua" w:hAnsi="Book Antiqua"/>
          <w:color w:val="auto"/>
          <w:szCs w:val="24"/>
          <w:vertAlign w:val="superscript"/>
        </w:rPr>
        <w:t>[23]</w:t>
      </w:r>
      <w:r w:rsidRPr="00D43349">
        <w:rPr>
          <w:rFonts w:ascii="Book Antiqua" w:hAnsi="Book Antiqua"/>
          <w:color w:val="auto"/>
          <w:szCs w:val="24"/>
        </w:rPr>
        <w:t>. To achieve oncologic resection, radical organ removal must be performed in some situations. In urinary bladder RMS that arises at the base of the bladder or prostate, a partial cystectomy is not sufficient given the high risk of local failure. Total cystectomy and urologic conduit is a surgical option that potentially leads to long-term, disease-free survival with an acceptable quality of life. Bladder-preserving surgery is reserved for cases with a good response to induction chemoradiation therapy. In addition, the tumor location must allow a 2- to 3-cm tumor-free margin, and at least two-thirds of the bladder must be retained</w:t>
      </w:r>
      <w:r w:rsidRPr="00D43349">
        <w:rPr>
          <w:rStyle w:val="Cross-reference"/>
          <w:rFonts w:ascii="Book Antiqua" w:hAnsi="Book Antiqua"/>
          <w:color w:val="auto"/>
          <w:szCs w:val="24"/>
          <w:vertAlign w:val="superscript"/>
        </w:rPr>
        <w:t>[20,25]</w:t>
      </w:r>
      <w:r w:rsidRPr="00D43349">
        <w:rPr>
          <w:rFonts w:ascii="Book Antiqua" w:hAnsi="Book Antiqua"/>
          <w:color w:val="auto"/>
          <w:szCs w:val="24"/>
        </w:rPr>
        <w:t xml:space="preserve">. In vaginal RMS, residual tumor after chemotherapy is an </w:t>
      </w:r>
      <w:r w:rsidRPr="00D43349">
        <w:rPr>
          <w:rFonts w:ascii="Book Antiqua" w:hAnsi="Book Antiqua"/>
          <w:color w:val="auto"/>
          <w:szCs w:val="24"/>
        </w:rPr>
        <w:lastRenderedPageBreak/>
        <w:t>indication for total hysterectomy with gonadal preservation</w:t>
      </w:r>
      <w:r w:rsidRPr="00D43349">
        <w:rPr>
          <w:rStyle w:val="Cross-reference"/>
          <w:rFonts w:ascii="Book Antiqua" w:hAnsi="Book Antiqua"/>
          <w:color w:val="auto"/>
          <w:szCs w:val="24"/>
          <w:vertAlign w:val="superscript"/>
        </w:rPr>
        <w:t>[26]</w:t>
      </w:r>
      <w:r w:rsidRPr="00D43349">
        <w:rPr>
          <w:rFonts w:ascii="Book Antiqua" w:hAnsi="Book Antiqua"/>
          <w:color w:val="auto"/>
          <w:szCs w:val="24"/>
        </w:rPr>
        <w:t>. Pancreaticoduodenectomy is the operation of choice in cases in which the RMS involves the distal common bile duct</w:t>
      </w:r>
      <w:r w:rsidRPr="00D43349">
        <w:rPr>
          <w:rStyle w:val="Cross-reference"/>
          <w:rFonts w:ascii="Book Antiqua" w:hAnsi="Book Antiqua"/>
          <w:color w:val="auto"/>
          <w:szCs w:val="24"/>
          <w:vertAlign w:val="superscript"/>
        </w:rPr>
        <w:t>[27]</w:t>
      </w:r>
      <w:r w:rsidRPr="00D43349">
        <w:rPr>
          <w:rFonts w:ascii="Book Antiqua" w:hAnsi="Book Antiqua"/>
          <w:color w:val="auto"/>
          <w:szCs w:val="24"/>
        </w:rPr>
        <w:t>.</w:t>
      </w:r>
    </w:p>
    <w:p w14:paraId="3A0FD649" w14:textId="1D13CD13" w:rsidR="00846341" w:rsidRPr="00D43349" w:rsidRDefault="004004EA" w:rsidP="00BA05FB">
      <w:pPr>
        <w:pStyle w:val="Body"/>
        <w:spacing w:line="360" w:lineRule="auto"/>
        <w:ind w:firstLineChars="200" w:firstLine="480"/>
        <w:jc w:val="both"/>
        <w:rPr>
          <w:rFonts w:ascii="Book Antiqua" w:hAnsi="Book Antiqua"/>
          <w:color w:val="auto"/>
          <w:szCs w:val="24"/>
          <w:lang w:eastAsia="zh-CN"/>
        </w:rPr>
      </w:pPr>
      <w:r w:rsidRPr="00D43349">
        <w:rPr>
          <w:rFonts w:ascii="Book Antiqua" w:hAnsi="Book Antiqua"/>
          <w:color w:val="auto"/>
          <w:szCs w:val="24"/>
        </w:rPr>
        <w:t>Lymph node management is of prime importance in pre-treatment staging and clinical grouping of RMS, both of which determine the risk category. Radical lymph node dissection does not impact outcome. Enlarged nodes detected clinically or by radiologic evidence should be excised for histopathological examination (</w:t>
      </w:r>
      <w:r w:rsidRPr="00D43349">
        <w:rPr>
          <w:rStyle w:val="Cross-reference"/>
          <w:rFonts w:ascii="Book Antiqua" w:hAnsi="Book Antiqua"/>
          <w:color w:val="auto"/>
          <w:szCs w:val="24"/>
        </w:rPr>
        <w:t>Fig</w:t>
      </w:r>
      <w:r w:rsidR="00D43349">
        <w:rPr>
          <w:rStyle w:val="Cross-reference"/>
          <w:rFonts w:ascii="Book Antiqua" w:hAnsi="Book Antiqua" w:hint="eastAsia"/>
          <w:color w:val="auto"/>
          <w:szCs w:val="24"/>
          <w:lang w:eastAsia="zh-CN"/>
        </w:rPr>
        <w:t>ure</w:t>
      </w:r>
      <w:r w:rsidRPr="00D43349">
        <w:rPr>
          <w:rStyle w:val="Cross-reference"/>
          <w:rFonts w:ascii="Book Antiqua" w:hAnsi="Book Antiqua"/>
          <w:color w:val="auto"/>
          <w:szCs w:val="24"/>
        </w:rPr>
        <w:t xml:space="preserve"> 2</w:t>
      </w:r>
      <w:r w:rsidRPr="00D43349">
        <w:rPr>
          <w:rFonts w:ascii="Book Antiqua" w:hAnsi="Book Antiqua"/>
          <w:color w:val="auto"/>
          <w:szCs w:val="24"/>
        </w:rPr>
        <w:t>). Regardless of radiologic evidence, lymph node sampling is indicated in extremity RMS and for children older than 10 years with paratesticular tumor</w:t>
      </w:r>
      <w:r w:rsidRPr="00D43349">
        <w:rPr>
          <w:rStyle w:val="Cross-reference"/>
          <w:rFonts w:ascii="Book Antiqua" w:hAnsi="Book Antiqua"/>
          <w:color w:val="auto"/>
          <w:szCs w:val="24"/>
          <w:vertAlign w:val="superscript"/>
        </w:rPr>
        <w:t>[9,11,28]</w:t>
      </w:r>
      <w:r w:rsidRPr="00D43349">
        <w:rPr>
          <w:rFonts w:ascii="Book Antiqua" w:hAnsi="Book Antiqua"/>
          <w:color w:val="auto"/>
          <w:szCs w:val="24"/>
        </w:rPr>
        <w:t>. When an adjacent node is positive, more distant nodes should be searched for and biopsied. To reduce the morbidity caused by extensive lymph node sampling, the concept of sentinel lymph node sampling, which is the current standard in melanoma and breast cancer, has also been adapted for pediatric soft tissue sarcoma. Trials in pediatric sarcomas had relatively small numbers in each series</w:t>
      </w:r>
      <w:r w:rsidRPr="00D43349">
        <w:rPr>
          <w:rStyle w:val="Cross-reference"/>
          <w:rFonts w:ascii="Book Antiqua" w:hAnsi="Book Antiqua"/>
          <w:color w:val="auto"/>
          <w:szCs w:val="24"/>
          <w:vertAlign w:val="superscript"/>
        </w:rPr>
        <w:t>[16,17,29]</w:t>
      </w:r>
      <w:r w:rsidRPr="00D43349">
        <w:rPr>
          <w:rFonts w:ascii="Book Antiqua" w:hAnsi="Book Antiqua"/>
          <w:color w:val="auto"/>
          <w:szCs w:val="24"/>
        </w:rPr>
        <w:t>. Most studies used the lymphoscintigraphy technique and reported that the technique was feasible in pediatric sarcomas; however, specific data regarding identification rates and false negative rates in RMS remain inconclusive.</w:t>
      </w:r>
    </w:p>
    <w:p w14:paraId="7DB17CD3" w14:textId="0C9C782D" w:rsidR="00930223" w:rsidRPr="00D43349" w:rsidRDefault="004004EA" w:rsidP="00BA05FB">
      <w:pPr>
        <w:pStyle w:val="Body"/>
        <w:spacing w:line="360" w:lineRule="auto"/>
        <w:ind w:firstLineChars="200" w:firstLine="480"/>
        <w:jc w:val="both"/>
        <w:rPr>
          <w:rFonts w:ascii="Book Antiqua" w:hAnsi="Book Antiqua"/>
          <w:color w:val="auto"/>
          <w:szCs w:val="24"/>
        </w:rPr>
      </w:pPr>
      <w:r w:rsidRPr="00D43349">
        <w:rPr>
          <w:rFonts w:ascii="Book Antiqua" w:hAnsi="Book Antiqua"/>
          <w:color w:val="auto"/>
          <w:szCs w:val="24"/>
        </w:rPr>
        <w:t>Radiation therapy is unnecessary for embryonal RMS in clinical group I (completely resected) when it provides better failure-free survival in alveolar RMS. Radiation enhances local control in cases with residual disease after definitive surgery, positive locoregional lymph nodes and unresectable RMS after tumor biopsy. Radiation doses to microscopic residual tumors (total 36 Gy) are typically less than those for gross residual or primary unresectable tumors (50.4 Gy)</w:t>
      </w:r>
      <w:r w:rsidRPr="00D43349">
        <w:rPr>
          <w:rStyle w:val="Cross-reference"/>
          <w:rFonts w:ascii="Book Antiqua" w:hAnsi="Book Antiqua"/>
          <w:color w:val="auto"/>
          <w:szCs w:val="24"/>
          <w:vertAlign w:val="superscript"/>
        </w:rPr>
        <w:t>[11]</w:t>
      </w:r>
      <w:r w:rsidRPr="00D43349">
        <w:rPr>
          <w:rFonts w:ascii="Book Antiqua" w:hAnsi="Book Antiqua"/>
          <w:color w:val="auto"/>
          <w:szCs w:val="24"/>
        </w:rPr>
        <w:t>. Orbital tumors are an exception as their clinical group III requires 45 Gy. Data from the German trial CWS91 indicated that hyperfractionated accelerated radiotherapy may reduce the total radiation dose in RMS (32 Gy in low-risk and 48 Gy in high-risk patients) without compromising treatment outcomes</w:t>
      </w:r>
      <w:r w:rsidRPr="00D43349">
        <w:rPr>
          <w:rStyle w:val="Cross-reference"/>
          <w:rFonts w:ascii="Book Antiqua" w:hAnsi="Book Antiqua"/>
          <w:color w:val="auto"/>
          <w:szCs w:val="24"/>
          <w:vertAlign w:val="superscript"/>
        </w:rPr>
        <w:t>[30]</w:t>
      </w:r>
      <w:r w:rsidRPr="00D43349">
        <w:rPr>
          <w:rFonts w:ascii="Book Antiqua" w:hAnsi="Book Antiqua"/>
          <w:color w:val="auto"/>
          <w:szCs w:val="24"/>
        </w:rPr>
        <w:t>. Alternative radiation therapy techniques, such as intensity modulated radiation therapy (IMRT), brachytherapy, and proton beam therapy, are used in some centers with the aim of reducing locoregional side effects</w:t>
      </w:r>
      <w:r w:rsidRPr="00D43349">
        <w:rPr>
          <w:rStyle w:val="Cross-reference"/>
          <w:rFonts w:ascii="Book Antiqua" w:hAnsi="Book Antiqua"/>
          <w:color w:val="auto"/>
          <w:szCs w:val="24"/>
          <w:vertAlign w:val="superscript"/>
        </w:rPr>
        <w:t>[31]</w:t>
      </w:r>
      <w:r w:rsidRPr="00D43349">
        <w:rPr>
          <w:rFonts w:ascii="Book Antiqua" w:hAnsi="Book Antiqua"/>
          <w:color w:val="auto"/>
          <w:szCs w:val="24"/>
        </w:rPr>
        <w:t>.</w:t>
      </w:r>
    </w:p>
    <w:p w14:paraId="1D0E9401" w14:textId="77777777" w:rsidR="00930223" w:rsidRPr="00D43349" w:rsidRDefault="00930223" w:rsidP="00BA05FB">
      <w:pPr>
        <w:pStyle w:val="Body"/>
        <w:spacing w:line="360" w:lineRule="auto"/>
        <w:jc w:val="both"/>
        <w:rPr>
          <w:rFonts w:ascii="Book Antiqua" w:hAnsi="Book Antiqua"/>
          <w:color w:val="auto"/>
          <w:szCs w:val="24"/>
        </w:rPr>
      </w:pPr>
    </w:p>
    <w:p w14:paraId="5350ACD3" w14:textId="77777777" w:rsidR="00930223" w:rsidRPr="00D43349" w:rsidRDefault="004004EA" w:rsidP="00BA05FB">
      <w:pPr>
        <w:pStyle w:val="Body"/>
        <w:spacing w:line="360" w:lineRule="auto"/>
        <w:jc w:val="both"/>
        <w:rPr>
          <w:rFonts w:ascii="Book Antiqua" w:hAnsi="Book Antiqua"/>
          <w:b/>
          <w:color w:val="auto"/>
          <w:szCs w:val="24"/>
        </w:rPr>
      </w:pPr>
      <w:r w:rsidRPr="00D43349">
        <w:rPr>
          <w:rFonts w:ascii="Book Antiqua" w:hAnsi="Book Antiqua"/>
          <w:b/>
          <w:i/>
          <w:color w:val="auto"/>
          <w:szCs w:val="24"/>
        </w:rPr>
        <w:t>Systemic therapy</w:t>
      </w:r>
    </w:p>
    <w:p w14:paraId="5902F8E9" w14:textId="16EC8295" w:rsidR="00930223" w:rsidRPr="00D43349" w:rsidRDefault="004004EA" w:rsidP="00BA05FB">
      <w:pPr>
        <w:pStyle w:val="Body"/>
        <w:spacing w:line="360" w:lineRule="auto"/>
        <w:jc w:val="both"/>
        <w:rPr>
          <w:rFonts w:ascii="Book Antiqua" w:hAnsi="Book Antiqua"/>
          <w:color w:val="auto"/>
          <w:szCs w:val="24"/>
        </w:rPr>
      </w:pPr>
      <w:r w:rsidRPr="00D43349">
        <w:rPr>
          <w:rFonts w:ascii="Book Antiqua" w:hAnsi="Book Antiqua"/>
          <w:color w:val="auto"/>
          <w:szCs w:val="24"/>
        </w:rPr>
        <w:lastRenderedPageBreak/>
        <w:t>Chemotherapy is an essential component of the multimodality treatment of RMS. The standard regimen in non-metastatic RMS is a combination of vincristine, actinomycin-D and cyclophosphamide (VAC)</w:t>
      </w:r>
      <w:r w:rsidRPr="00D43349">
        <w:rPr>
          <w:rStyle w:val="Cross-reference"/>
          <w:rFonts w:ascii="Book Antiqua" w:hAnsi="Book Antiqua"/>
          <w:color w:val="auto"/>
          <w:szCs w:val="24"/>
          <w:vertAlign w:val="superscript"/>
        </w:rPr>
        <w:t>[32]</w:t>
      </w:r>
      <w:r w:rsidRPr="00D43349">
        <w:rPr>
          <w:rFonts w:ascii="Book Antiqua" w:hAnsi="Book Antiqua"/>
          <w:color w:val="auto"/>
          <w:szCs w:val="24"/>
        </w:rPr>
        <w:t xml:space="preserve">. Omitting cyclophosphamide from the regimen has been attempted in low-risk RMS cases to reduce the cumulative dose of cyclophosphamide (IRS-D9602 protocol). Although VA produced an excellent outcome in a subset of low-risk RMS cases, including group I-II, stage 1-2 and group III orbital tumor (subset 1, </w:t>
      </w:r>
      <w:r w:rsidRPr="00D43349">
        <w:rPr>
          <w:rStyle w:val="Cross-reference"/>
          <w:rFonts w:ascii="Book Antiqua" w:hAnsi="Book Antiqua"/>
          <w:color w:val="auto"/>
          <w:szCs w:val="24"/>
        </w:rPr>
        <w:t>Table 2</w:t>
      </w:r>
      <w:r w:rsidRPr="00D43349">
        <w:rPr>
          <w:rFonts w:ascii="Book Antiqua" w:hAnsi="Book Antiqua"/>
          <w:color w:val="auto"/>
          <w:szCs w:val="24"/>
        </w:rPr>
        <w:t>), the data suggested that cyclophosphamide should be retained with vincristine and actinomycin-D in the other subset of low-risk RMS cases (subset 2: group I-II, stage 3 and group III, stage I except orbital tumor) because the failure-free survival was poorer than that of comparable patients in the IRS-IV study who received a triple drug regimen</w:t>
      </w:r>
      <w:r w:rsidRPr="00D43349">
        <w:rPr>
          <w:rStyle w:val="Cross-reference"/>
          <w:rFonts w:ascii="Book Antiqua" w:hAnsi="Book Antiqua"/>
          <w:color w:val="auto"/>
          <w:szCs w:val="24"/>
          <w:vertAlign w:val="superscript"/>
        </w:rPr>
        <w:t>[33]</w:t>
      </w:r>
      <w:r w:rsidRPr="00D43349">
        <w:rPr>
          <w:rFonts w:ascii="Book Antiqua" w:hAnsi="Book Antiqua"/>
          <w:color w:val="auto"/>
          <w:szCs w:val="24"/>
        </w:rPr>
        <w:t>. IRS-IV data also demonstrated that substitution of cyclophosphamide with ifosfamide (VAI) or substitution of actinomycin-D/cyclophosphamide with ifosfamide and etoposide did not improve the failure-free survival in non-metastatic RMS</w:t>
      </w:r>
      <w:r w:rsidRPr="00D43349">
        <w:rPr>
          <w:rStyle w:val="Cross-reference"/>
          <w:rFonts w:ascii="Book Antiqua" w:hAnsi="Book Antiqua"/>
          <w:color w:val="auto"/>
          <w:szCs w:val="24"/>
          <w:vertAlign w:val="superscript"/>
        </w:rPr>
        <w:t>[34]</w:t>
      </w:r>
      <w:r w:rsidRPr="00D43349">
        <w:rPr>
          <w:rFonts w:ascii="Book Antiqua" w:hAnsi="Book Antiqua"/>
          <w:color w:val="auto"/>
          <w:szCs w:val="24"/>
        </w:rPr>
        <w:t>. A subsequent study from the Children's Oncology Group (COG), directed toward a shorter duration of VA and dose reduction of cyclophosphamide (ARST0331) in low-risk RMS patients, was recently published. Although the study reported an increased incidence of local failure with use of the shorter therapy, the study recommended its use in low-risk RMS cases given the reduced toxicity</w:t>
      </w:r>
      <w:r w:rsidRPr="00D43349">
        <w:rPr>
          <w:rStyle w:val="Cross-reference"/>
          <w:rFonts w:ascii="Book Antiqua" w:hAnsi="Book Antiqua"/>
          <w:color w:val="auto"/>
          <w:szCs w:val="24"/>
          <w:vertAlign w:val="superscript"/>
        </w:rPr>
        <w:t>[35]</w:t>
      </w:r>
      <w:r w:rsidRPr="00D43349">
        <w:rPr>
          <w:rFonts w:ascii="Book Antiqua" w:hAnsi="Book Antiqua"/>
          <w:color w:val="auto"/>
          <w:szCs w:val="24"/>
        </w:rPr>
        <w:t>. For intermediate- and high-risk patients, successive COG trials have attempted to improve the survival outcome by incorporating novel agents, such as doxorubicin, ifosfamide and etoposide (VDC/IE), and irenotecan (VAC/VI), with the aim of reducing the cumulative cyclophosphamide dose</w:t>
      </w:r>
      <w:r w:rsidRPr="00D43349">
        <w:rPr>
          <w:rStyle w:val="Cross-reference"/>
          <w:rFonts w:ascii="Book Antiqua" w:hAnsi="Book Antiqua"/>
          <w:color w:val="auto"/>
          <w:szCs w:val="24"/>
          <w:vertAlign w:val="superscript"/>
        </w:rPr>
        <w:t>[36]</w:t>
      </w:r>
      <w:r w:rsidRPr="00D43349">
        <w:rPr>
          <w:rFonts w:ascii="Book Antiqua" w:hAnsi="Book Antiqua"/>
          <w:color w:val="auto"/>
          <w:szCs w:val="24"/>
        </w:rPr>
        <w:t>. Various molecular targeting drugs are being explored in high-risk RMS cases, including vascular endothelial growth factors (bevacizumab), mTOR (temsirolimus) and IGF-1R (temozolomide). A phase II trial of temozolomide has demonstrated its safety and feasibility; however, the preliminary response rate was not impressive</w:t>
      </w:r>
      <w:r w:rsidRPr="00D43349">
        <w:rPr>
          <w:rStyle w:val="Cross-reference"/>
          <w:rFonts w:ascii="Book Antiqua" w:hAnsi="Book Antiqua"/>
          <w:color w:val="auto"/>
          <w:szCs w:val="24"/>
          <w:vertAlign w:val="superscript"/>
        </w:rPr>
        <w:t>[37]</w:t>
      </w:r>
      <w:r w:rsidRPr="00D43349">
        <w:rPr>
          <w:rFonts w:ascii="Book Antiqua" w:hAnsi="Book Antiqua"/>
          <w:color w:val="auto"/>
          <w:szCs w:val="24"/>
        </w:rPr>
        <w:t>. For metastatic RMS, another study found that the incorporation of VDC-IE or VI with VAC therapy resulted in improved outcomes in embryonal RMS</w:t>
      </w:r>
      <w:r w:rsidRPr="00D43349">
        <w:rPr>
          <w:rStyle w:val="Cross-reference"/>
          <w:rFonts w:ascii="Book Antiqua" w:hAnsi="Book Antiqua"/>
          <w:color w:val="auto"/>
          <w:szCs w:val="24"/>
          <w:vertAlign w:val="superscript"/>
        </w:rPr>
        <w:t>[38]</w:t>
      </w:r>
      <w:r w:rsidRPr="00D43349">
        <w:rPr>
          <w:rFonts w:ascii="Book Antiqua" w:hAnsi="Book Antiqua"/>
          <w:color w:val="auto"/>
          <w:szCs w:val="24"/>
        </w:rPr>
        <w:t>.</w:t>
      </w:r>
    </w:p>
    <w:p w14:paraId="6213EFD0" w14:textId="77777777" w:rsidR="00930223" w:rsidRPr="00D43349" w:rsidRDefault="00930223" w:rsidP="00BA05FB">
      <w:pPr>
        <w:pStyle w:val="Body"/>
        <w:spacing w:line="360" w:lineRule="auto"/>
        <w:jc w:val="both"/>
        <w:rPr>
          <w:rFonts w:ascii="Book Antiqua" w:hAnsi="Book Antiqua"/>
          <w:color w:val="auto"/>
          <w:szCs w:val="24"/>
        </w:rPr>
      </w:pPr>
    </w:p>
    <w:p w14:paraId="31E3F15B" w14:textId="77777777" w:rsidR="00930223" w:rsidRPr="00D43349" w:rsidRDefault="004004EA" w:rsidP="00BA05FB">
      <w:pPr>
        <w:pStyle w:val="Body"/>
        <w:spacing w:line="360" w:lineRule="auto"/>
        <w:jc w:val="both"/>
        <w:rPr>
          <w:rFonts w:ascii="Book Antiqua" w:hAnsi="Book Antiqua"/>
          <w:b/>
          <w:color w:val="auto"/>
          <w:szCs w:val="24"/>
        </w:rPr>
      </w:pPr>
      <w:r w:rsidRPr="00D43349">
        <w:rPr>
          <w:rFonts w:ascii="Book Antiqua" w:hAnsi="Book Antiqua"/>
          <w:b/>
          <w:i/>
          <w:color w:val="auto"/>
          <w:szCs w:val="24"/>
        </w:rPr>
        <w:t>Outcome of current multimodality management in RMS</w:t>
      </w:r>
    </w:p>
    <w:p w14:paraId="10AEEE07" w14:textId="1F444D44" w:rsidR="00930223" w:rsidRPr="00D43349" w:rsidRDefault="004004EA" w:rsidP="00BA05FB">
      <w:pPr>
        <w:pStyle w:val="Body"/>
        <w:spacing w:line="360" w:lineRule="auto"/>
        <w:jc w:val="both"/>
        <w:rPr>
          <w:rFonts w:ascii="Book Antiqua" w:hAnsi="Book Antiqua"/>
          <w:color w:val="auto"/>
          <w:szCs w:val="24"/>
        </w:rPr>
      </w:pPr>
      <w:r w:rsidRPr="00D43349">
        <w:rPr>
          <w:rFonts w:ascii="Book Antiqua" w:hAnsi="Book Antiqua"/>
          <w:color w:val="auto"/>
          <w:szCs w:val="24"/>
        </w:rPr>
        <w:lastRenderedPageBreak/>
        <w:t>Since the establishment of the International Rhabdomyosarcoma Study Group in 1972 (currently the Cooperative Soft Tissue Sarcoma Study Group), survival of pediatric RMS patients has been steadily improving. Before the era of multimodality treatment, surgery alone resulted in survival rates less than 20% (11). With the new available treatments, the five-year OS increased from 55% in IRS-I to 63% in IRS-II and to 71% in IRS-III and IRS-IV. Data from IRS-II to IRS-IV revealed an 88% 3-year failure-free survival in low risk embryonal RMS. Intermediate-risk embryonal RMS had a 4-year failure-free survival rate of approximately 68 to 78%; however, survival in high-risk patients remains poor at less than 25%</w:t>
      </w:r>
      <w:r w:rsidRPr="00D43349">
        <w:rPr>
          <w:rFonts w:ascii="Book Antiqua" w:hAnsi="Book Antiqua"/>
          <w:color w:val="auto"/>
          <w:szCs w:val="24"/>
          <w:vertAlign w:val="superscript"/>
        </w:rPr>
        <w:t>[39]</w:t>
      </w:r>
      <w:r w:rsidRPr="00D43349">
        <w:rPr>
          <w:rFonts w:ascii="Book Antiqua" w:hAnsi="Book Antiqua"/>
          <w:color w:val="auto"/>
          <w:szCs w:val="24"/>
        </w:rPr>
        <w:t>.</w:t>
      </w:r>
    </w:p>
    <w:p w14:paraId="21EE3E57" w14:textId="07B2824F" w:rsidR="00930223" w:rsidRPr="00D43349" w:rsidRDefault="00930223" w:rsidP="00BA05FB">
      <w:pPr>
        <w:pStyle w:val="Body"/>
        <w:spacing w:line="360" w:lineRule="auto"/>
        <w:jc w:val="both"/>
        <w:rPr>
          <w:rFonts w:ascii="Book Antiqua" w:hAnsi="Book Antiqua"/>
          <w:color w:val="auto"/>
          <w:szCs w:val="24"/>
        </w:rPr>
      </w:pPr>
    </w:p>
    <w:p w14:paraId="4BDA4122" w14:textId="4AA230BA" w:rsidR="00930223" w:rsidRPr="00D43349" w:rsidRDefault="00846341" w:rsidP="00BA05FB">
      <w:pPr>
        <w:pStyle w:val="Body"/>
        <w:spacing w:line="360" w:lineRule="auto"/>
        <w:jc w:val="both"/>
        <w:rPr>
          <w:rFonts w:ascii="Book Antiqua" w:hAnsi="Book Antiqua"/>
          <w:color w:val="auto"/>
          <w:szCs w:val="24"/>
        </w:rPr>
      </w:pPr>
      <w:r w:rsidRPr="00D43349">
        <w:rPr>
          <w:rFonts w:ascii="Book Antiqua" w:hAnsi="Book Antiqua"/>
          <w:b/>
          <w:color w:val="auto"/>
          <w:szCs w:val="24"/>
        </w:rPr>
        <w:t>NON-RHABDOMYOSARCOMA SOFT TISSUE SARCOMAS</w:t>
      </w:r>
    </w:p>
    <w:p w14:paraId="0F0191AB" w14:textId="7AF4B4E8" w:rsidR="00930223" w:rsidRPr="00D43349" w:rsidRDefault="004004EA" w:rsidP="00BA05FB">
      <w:pPr>
        <w:pStyle w:val="Body"/>
        <w:spacing w:line="360" w:lineRule="auto"/>
        <w:jc w:val="both"/>
        <w:rPr>
          <w:rFonts w:ascii="Book Antiqua" w:hAnsi="Book Antiqua"/>
          <w:color w:val="auto"/>
          <w:szCs w:val="24"/>
        </w:rPr>
      </w:pPr>
      <w:r w:rsidRPr="00D43349">
        <w:rPr>
          <w:rFonts w:ascii="Book Antiqua" w:hAnsi="Book Antiqua"/>
          <w:color w:val="auto"/>
          <w:szCs w:val="24"/>
        </w:rPr>
        <w:t>NRSTSs are a heterogeneous group of rare mesenchymal tumors that exhibit a wide variety of histopathologies and biologies. The majority of NRSTSs occur more frequently in adult patients, and the prognosis is generally poorer than for pediatric sarcomas. Given their heterogeneity, ambiguity in pathological diagnosis is common, and care should be taken when obtaining tissue samples</w:t>
      </w:r>
      <w:r w:rsidRPr="00D43349">
        <w:rPr>
          <w:rStyle w:val="Cross-reference"/>
          <w:rFonts w:ascii="Book Antiqua" w:hAnsi="Book Antiqua"/>
          <w:color w:val="auto"/>
          <w:szCs w:val="24"/>
          <w:vertAlign w:val="superscript"/>
        </w:rPr>
        <w:t>[40]</w:t>
      </w:r>
      <w:r w:rsidRPr="00D43349">
        <w:rPr>
          <w:rFonts w:ascii="Book Antiqua" w:hAnsi="Book Antiqua"/>
          <w:color w:val="auto"/>
          <w:szCs w:val="24"/>
        </w:rPr>
        <w:t>. A multidisciplinary conference before the initiation of treatment for any individual case allows the team to arrive at a consensus and understand the role of each discipline in the treatment process. Surgery has a primary role in the treatment of resectable NRSTSs, whereas adjuvant treatment relies on a Children’s Oncology Group risk stratification guideline</w:t>
      </w:r>
      <w:r w:rsidRPr="00D43349">
        <w:rPr>
          <w:rStyle w:val="Cross-reference"/>
          <w:rFonts w:ascii="Book Antiqua" w:hAnsi="Book Antiqua"/>
          <w:color w:val="auto"/>
          <w:szCs w:val="24"/>
          <w:vertAlign w:val="superscript"/>
        </w:rPr>
        <w:t>[41]</w:t>
      </w:r>
      <w:r w:rsidRPr="00D43349">
        <w:rPr>
          <w:rFonts w:ascii="Book Antiqua" w:hAnsi="Book Antiqua"/>
          <w:color w:val="auto"/>
          <w:szCs w:val="24"/>
        </w:rPr>
        <w:t xml:space="preserve"> (</w:t>
      </w:r>
      <w:r w:rsidRPr="00D43349">
        <w:rPr>
          <w:rStyle w:val="Cross-reference"/>
          <w:rFonts w:ascii="Book Antiqua" w:hAnsi="Book Antiqua"/>
          <w:color w:val="auto"/>
          <w:szCs w:val="24"/>
        </w:rPr>
        <w:t>Table 3</w:t>
      </w:r>
      <w:r w:rsidRPr="00D43349">
        <w:rPr>
          <w:rFonts w:ascii="Book Antiqua" w:hAnsi="Book Antiqua"/>
          <w:color w:val="auto"/>
          <w:szCs w:val="24"/>
        </w:rPr>
        <w:t>). Basically, radiation therapy is administered to patients whose resection margins are close to the tumor (except for very low-risk tumors). Chemotherapy provides a poorer response than pediatric RMS and is advocated in select types of NRSTS. Ifosfamide and doxorubicin are backbones recommended as post-operative adjuvant therapy for localized resectable STSs</w:t>
      </w:r>
      <w:r w:rsidRPr="00D43349">
        <w:rPr>
          <w:rStyle w:val="Cross-reference"/>
          <w:rFonts w:ascii="Book Antiqua" w:hAnsi="Book Antiqua"/>
          <w:color w:val="auto"/>
          <w:szCs w:val="24"/>
          <w:vertAlign w:val="superscript"/>
        </w:rPr>
        <w:t>[42,43]</w:t>
      </w:r>
      <w:r w:rsidRPr="00D43349">
        <w:rPr>
          <w:rFonts w:ascii="Book Antiqua" w:hAnsi="Book Antiqua"/>
          <w:color w:val="auto"/>
          <w:szCs w:val="24"/>
        </w:rPr>
        <w:t>. A recent systematic review found that autologous hematopoietic stem cell transplantation following high-dose chemotherapy in locally advanced or metastatic NRSTS did not result in better overall survival than standard-dose chemotherapy</w:t>
      </w:r>
      <w:r w:rsidRPr="00D43349">
        <w:rPr>
          <w:rStyle w:val="Cross-reference"/>
          <w:rFonts w:ascii="Book Antiqua" w:hAnsi="Book Antiqua"/>
          <w:color w:val="auto"/>
          <w:szCs w:val="24"/>
          <w:vertAlign w:val="superscript"/>
        </w:rPr>
        <w:t>[44]</w:t>
      </w:r>
      <w:r w:rsidRPr="00D43349">
        <w:rPr>
          <w:rFonts w:ascii="Book Antiqua" w:hAnsi="Book Antiqua"/>
          <w:color w:val="auto"/>
          <w:szCs w:val="24"/>
        </w:rPr>
        <w:t>.</w:t>
      </w:r>
    </w:p>
    <w:p w14:paraId="4A3DF834" w14:textId="77777777" w:rsidR="00930223" w:rsidRPr="00D43349" w:rsidRDefault="00930223" w:rsidP="00BA05FB">
      <w:pPr>
        <w:pStyle w:val="Body"/>
        <w:spacing w:line="360" w:lineRule="auto"/>
        <w:jc w:val="both"/>
        <w:rPr>
          <w:rFonts w:ascii="Book Antiqua" w:hAnsi="Book Antiqua"/>
          <w:color w:val="auto"/>
          <w:szCs w:val="24"/>
        </w:rPr>
      </w:pPr>
    </w:p>
    <w:p w14:paraId="4667CDBD" w14:textId="656A597E" w:rsidR="00930223" w:rsidRPr="00D43349" w:rsidRDefault="004004EA" w:rsidP="00BA05FB">
      <w:pPr>
        <w:pStyle w:val="Body"/>
        <w:spacing w:line="360" w:lineRule="auto"/>
        <w:jc w:val="both"/>
        <w:rPr>
          <w:rFonts w:ascii="Book Antiqua" w:hAnsi="Book Antiqua"/>
          <w:b/>
          <w:color w:val="auto"/>
          <w:szCs w:val="24"/>
        </w:rPr>
      </w:pPr>
      <w:r w:rsidRPr="00D43349">
        <w:rPr>
          <w:rFonts w:ascii="Book Antiqua" w:hAnsi="Book Antiqua"/>
          <w:b/>
          <w:i/>
          <w:color w:val="auto"/>
          <w:szCs w:val="24"/>
        </w:rPr>
        <w:t xml:space="preserve">Extraosseous Ewing’s sarcoma family of tumors </w:t>
      </w:r>
    </w:p>
    <w:p w14:paraId="174CA640" w14:textId="7C9905E2" w:rsidR="00930223" w:rsidRPr="00D43349" w:rsidRDefault="004004EA" w:rsidP="00BA05FB">
      <w:pPr>
        <w:pStyle w:val="Body"/>
        <w:spacing w:line="360" w:lineRule="auto"/>
        <w:jc w:val="both"/>
        <w:rPr>
          <w:rFonts w:ascii="Book Antiqua" w:hAnsi="Book Antiqua"/>
          <w:color w:val="auto"/>
          <w:szCs w:val="24"/>
        </w:rPr>
      </w:pPr>
      <w:r w:rsidRPr="00D43349">
        <w:rPr>
          <w:rFonts w:ascii="Book Antiqua" w:hAnsi="Book Antiqua"/>
          <w:color w:val="auto"/>
          <w:szCs w:val="24"/>
        </w:rPr>
        <w:t xml:space="preserve">Extraosseous primitive neuroectodermal tumors, namely, Ewing’s sarcoma and Adkin tumor of the chest wall, are grouped together as the Ewing’s family of tumors </w:t>
      </w:r>
      <w:r w:rsidRPr="00D43349">
        <w:rPr>
          <w:rFonts w:ascii="Book Antiqua" w:hAnsi="Book Antiqua"/>
          <w:color w:val="auto"/>
          <w:szCs w:val="24"/>
        </w:rPr>
        <w:lastRenderedPageBreak/>
        <w:t>because they share a chromosomal translocation, t(11;22)(q24;q12), leading to a chimeric fusion, EWSR1-FLI1</w:t>
      </w:r>
      <w:r w:rsidRPr="00D43349">
        <w:rPr>
          <w:rStyle w:val="Cross-reference"/>
          <w:rFonts w:ascii="Book Antiqua" w:hAnsi="Book Antiqua"/>
          <w:color w:val="auto"/>
          <w:szCs w:val="24"/>
          <w:vertAlign w:val="superscript"/>
        </w:rPr>
        <w:t>[45]</w:t>
      </w:r>
      <w:r w:rsidRPr="00D43349">
        <w:rPr>
          <w:rFonts w:ascii="Book Antiqua" w:hAnsi="Book Antiqua"/>
          <w:color w:val="auto"/>
          <w:szCs w:val="24"/>
        </w:rPr>
        <w:t>. Extraosseous Ewing’s sarcoma presents predominately in the second decade of life. The tumor is comprises 15 to 20% of all Ewing’s sarcomas</w:t>
      </w:r>
      <w:r w:rsidRPr="00D43349">
        <w:rPr>
          <w:rStyle w:val="Cross-reference"/>
          <w:rFonts w:ascii="Book Antiqua" w:hAnsi="Book Antiqua"/>
          <w:color w:val="auto"/>
          <w:szCs w:val="24"/>
          <w:vertAlign w:val="superscript"/>
        </w:rPr>
        <w:t>[46,47]</w:t>
      </w:r>
      <w:r w:rsidRPr="00D43349">
        <w:rPr>
          <w:rFonts w:ascii="Book Antiqua" w:hAnsi="Book Antiqua"/>
          <w:color w:val="auto"/>
          <w:szCs w:val="24"/>
        </w:rPr>
        <w:t>. The tumor can occur anywhere in the body but commonly presents on the extremities, chest and pelvis. Histologically, the tumor belongs to the small round blue cell group and demonstrates positive immunoreactivity to the surface glycoprotein CD99. Poor prognostic indicators include axial site tumors, particularly in the pelvic region; large tumor size; late stage; poor response to induction chemotherapy; advanced age; and high serum lactate dehydrogenase levels</w:t>
      </w:r>
      <w:r w:rsidRPr="00D43349">
        <w:rPr>
          <w:rStyle w:val="Cross-reference"/>
          <w:rFonts w:ascii="Book Antiqua" w:hAnsi="Book Antiqua"/>
          <w:color w:val="auto"/>
          <w:szCs w:val="24"/>
          <w:vertAlign w:val="superscript"/>
        </w:rPr>
        <w:t>[46-49]</w:t>
      </w:r>
      <w:r w:rsidRPr="00D43349">
        <w:rPr>
          <w:rFonts w:ascii="Book Antiqua" w:hAnsi="Book Antiqua"/>
          <w:color w:val="auto"/>
          <w:szCs w:val="24"/>
        </w:rPr>
        <w:t>. The definitive treatment for extraosseous EFSTs is surgical removal. Complete resection is the best option for cure, and the likelihood of achieving negative surgical margins is increased when induction chemotherapy is administered</w:t>
      </w:r>
      <w:r w:rsidRPr="00D43349">
        <w:rPr>
          <w:rStyle w:val="Cross-reference"/>
          <w:rFonts w:ascii="Book Antiqua" w:hAnsi="Book Antiqua"/>
          <w:color w:val="auto"/>
          <w:szCs w:val="24"/>
          <w:vertAlign w:val="superscript"/>
        </w:rPr>
        <w:t>[50]</w:t>
      </w:r>
      <w:r w:rsidRPr="00D43349">
        <w:rPr>
          <w:rFonts w:ascii="Book Antiqua" w:hAnsi="Book Antiqua"/>
          <w:color w:val="auto"/>
          <w:szCs w:val="24"/>
        </w:rPr>
        <w:t>. Although these tumors are relatively sensitive to radiation, radiation is reserved for cases with positive surgical margins or incompletely resected tumor because late effects of radiation, such as a second malignancy, are of concern. Post-operative chemotherapy aims to improve overall survival and reduce the likelihood of local recurrence. The therapeutic regimen in extraosseous EFST follows that used in either NRSTS or Ewing’s sarcoma of the bone and typically comprises ifosfamide/etoposide with or without carboplatin (ICE) alternated with a combination of vincristine, doxorubicin and cyclophosphamide (VDC)</w:t>
      </w:r>
      <w:r w:rsidRPr="00D43349">
        <w:rPr>
          <w:rStyle w:val="Cross-reference"/>
          <w:rFonts w:ascii="Book Antiqua" w:hAnsi="Book Antiqua"/>
          <w:color w:val="auto"/>
          <w:szCs w:val="24"/>
          <w:vertAlign w:val="superscript"/>
        </w:rPr>
        <w:t>[47]</w:t>
      </w:r>
      <w:r w:rsidRPr="00D43349">
        <w:rPr>
          <w:rFonts w:ascii="Book Antiqua" w:hAnsi="Book Antiqua"/>
          <w:color w:val="auto"/>
          <w:szCs w:val="24"/>
        </w:rPr>
        <w:t>. The results from the EICESS-92 study and the successive trial Euro-Ewing-99-R1 from the European InterGroup Cooperative Ewing’s Sarcoma Study concluded that ifosfamide can be substituted with cyclophosphamide in the consolidation phase in standard risk EFST (localized tumor with either good histological response after induction chemotherapy, small tumor resected at diagnosis, or receiving radiotherapy alone as a local treatment)</w:t>
      </w:r>
      <w:r w:rsidRPr="00D43349">
        <w:rPr>
          <w:rStyle w:val="Cross-reference"/>
          <w:rFonts w:ascii="Book Antiqua" w:hAnsi="Book Antiqua"/>
          <w:color w:val="auto"/>
          <w:szCs w:val="24"/>
          <w:vertAlign w:val="superscript"/>
        </w:rPr>
        <w:t>[48,51]</w:t>
      </w:r>
      <w:r w:rsidRPr="00D43349">
        <w:rPr>
          <w:rFonts w:ascii="Book Antiqua" w:hAnsi="Book Antiqua"/>
          <w:color w:val="auto"/>
          <w:szCs w:val="24"/>
        </w:rPr>
        <w:t>. A report from the French Society of Pediatric Oncology (SFOP-EW93) suggested that induction with cyclophosphamide and doxorubicin followed by histopathological response-based chemotherapy (VAC or VAC/VIE or IE + high dose busulfan/melphalan) provided superior outcomes to those of an ifosfamide-based regimen (VAI) for all cases</w:t>
      </w:r>
      <w:r w:rsidRPr="00D43349">
        <w:rPr>
          <w:rStyle w:val="Cross-reference"/>
          <w:rFonts w:ascii="Book Antiqua" w:hAnsi="Book Antiqua"/>
          <w:color w:val="auto"/>
          <w:szCs w:val="24"/>
          <w:vertAlign w:val="superscript"/>
        </w:rPr>
        <w:t>[52]</w:t>
      </w:r>
      <w:r w:rsidRPr="00D43349">
        <w:rPr>
          <w:rFonts w:ascii="Book Antiqua" w:hAnsi="Book Antiqua"/>
          <w:color w:val="auto"/>
          <w:szCs w:val="24"/>
        </w:rPr>
        <w:t>. Other studies reported a five-year OS of between 60 and 70% in non-metastatic extraosseous EFSTs</w:t>
      </w:r>
      <w:r w:rsidRPr="00D43349">
        <w:rPr>
          <w:rStyle w:val="Cross-reference"/>
          <w:rFonts w:ascii="Book Antiqua" w:hAnsi="Book Antiqua"/>
          <w:color w:val="auto"/>
          <w:szCs w:val="24"/>
          <w:vertAlign w:val="superscript"/>
        </w:rPr>
        <w:t>[46,52,53]</w:t>
      </w:r>
      <w:r w:rsidRPr="00D43349">
        <w:rPr>
          <w:rFonts w:ascii="Book Antiqua" w:hAnsi="Book Antiqua"/>
          <w:color w:val="auto"/>
          <w:szCs w:val="24"/>
        </w:rPr>
        <w:t xml:space="preserve">, </w:t>
      </w:r>
      <w:r w:rsidRPr="00D43349">
        <w:rPr>
          <w:rFonts w:ascii="Book Antiqua" w:hAnsi="Book Antiqua"/>
          <w:color w:val="auto"/>
          <w:szCs w:val="24"/>
        </w:rPr>
        <w:lastRenderedPageBreak/>
        <w:t>whereas another study reported that metastatic EFST exhibited a 5-year OS of approximately 25%</w:t>
      </w:r>
      <w:r w:rsidR="00254E6D" w:rsidRPr="00D43349">
        <w:rPr>
          <w:rFonts w:ascii="Book Antiqua" w:hAnsi="Book Antiqua"/>
          <w:color w:val="auto"/>
          <w:szCs w:val="24"/>
          <w:vertAlign w:val="superscript"/>
          <w:lang w:eastAsia="zh-CN"/>
        </w:rPr>
        <w:t>[53]</w:t>
      </w:r>
      <w:r w:rsidRPr="00D43349">
        <w:rPr>
          <w:rFonts w:ascii="Book Antiqua" w:hAnsi="Book Antiqua"/>
          <w:color w:val="auto"/>
          <w:szCs w:val="24"/>
        </w:rPr>
        <w:t>.</w:t>
      </w:r>
    </w:p>
    <w:p w14:paraId="7292AFE0" w14:textId="77777777" w:rsidR="00930223" w:rsidRPr="00D43349" w:rsidRDefault="00930223" w:rsidP="00BA05FB">
      <w:pPr>
        <w:pStyle w:val="Body"/>
        <w:spacing w:line="360" w:lineRule="auto"/>
        <w:jc w:val="both"/>
        <w:rPr>
          <w:rFonts w:ascii="Book Antiqua" w:hAnsi="Book Antiqua"/>
          <w:color w:val="auto"/>
          <w:szCs w:val="24"/>
        </w:rPr>
      </w:pPr>
    </w:p>
    <w:p w14:paraId="00722149" w14:textId="4C4F2272" w:rsidR="00930223" w:rsidRPr="00D43349" w:rsidRDefault="004004EA" w:rsidP="00BA05FB">
      <w:pPr>
        <w:pStyle w:val="Body"/>
        <w:spacing w:line="360" w:lineRule="auto"/>
        <w:jc w:val="both"/>
        <w:rPr>
          <w:rFonts w:ascii="Book Antiqua" w:hAnsi="Book Antiqua"/>
          <w:b/>
          <w:color w:val="auto"/>
          <w:szCs w:val="24"/>
        </w:rPr>
      </w:pPr>
      <w:r w:rsidRPr="00D43349">
        <w:rPr>
          <w:rFonts w:ascii="Book Antiqua" w:hAnsi="Book Antiqua"/>
          <w:b/>
          <w:i/>
          <w:color w:val="auto"/>
          <w:szCs w:val="24"/>
        </w:rPr>
        <w:t>Malignant peripheral nerve sheath tumor</w:t>
      </w:r>
    </w:p>
    <w:p w14:paraId="35739934" w14:textId="020D1E46" w:rsidR="00930223" w:rsidRPr="00D43349" w:rsidRDefault="00254E6D" w:rsidP="00BA05FB">
      <w:pPr>
        <w:pStyle w:val="Body"/>
        <w:spacing w:line="360" w:lineRule="auto"/>
        <w:jc w:val="both"/>
        <w:rPr>
          <w:rFonts w:ascii="Book Antiqua" w:hAnsi="Book Antiqua"/>
          <w:color w:val="auto"/>
          <w:szCs w:val="24"/>
        </w:rPr>
      </w:pPr>
      <w:r w:rsidRPr="00D43349">
        <w:rPr>
          <w:rFonts w:ascii="Book Antiqua" w:hAnsi="Book Antiqua"/>
          <w:color w:val="auto"/>
          <w:szCs w:val="24"/>
        </w:rPr>
        <w:t xml:space="preserve">Malignant peripheral nerve sheath tumor </w:t>
      </w:r>
      <w:r w:rsidRPr="00D43349">
        <w:rPr>
          <w:rFonts w:ascii="Book Antiqua" w:hAnsi="Book Antiqua"/>
          <w:color w:val="auto"/>
          <w:szCs w:val="24"/>
          <w:lang w:eastAsia="zh-CN"/>
        </w:rPr>
        <w:t>(</w:t>
      </w:r>
      <w:r w:rsidR="004004EA" w:rsidRPr="00D43349">
        <w:rPr>
          <w:rFonts w:ascii="Book Antiqua" w:hAnsi="Book Antiqua"/>
          <w:color w:val="auto"/>
          <w:szCs w:val="24"/>
        </w:rPr>
        <w:t>MPNSTs</w:t>
      </w:r>
      <w:r w:rsidRPr="00D43349">
        <w:rPr>
          <w:rFonts w:ascii="Book Antiqua" w:hAnsi="Book Antiqua"/>
          <w:color w:val="auto"/>
          <w:szCs w:val="24"/>
          <w:lang w:eastAsia="zh-CN"/>
        </w:rPr>
        <w:t xml:space="preserve">, </w:t>
      </w:r>
      <w:r w:rsidR="004004EA" w:rsidRPr="00D43349">
        <w:rPr>
          <w:rFonts w:ascii="Book Antiqua" w:hAnsi="Book Antiqua"/>
          <w:color w:val="auto"/>
          <w:szCs w:val="24"/>
        </w:rPr>
        <w:t>malignant schwannomas, neurofibrosarcomas and neurogenic sarcomas) account for approximately 6% of all NRSTSs</w:t>
      </w:r>
      <w:r w:rsidR="004004EA" w:rsidRPr="00D43349">
        <w:rPr>
          <w:rStyle w:val="Cross-reference"/>
          <w:rFonts w:ascii="Book Antiqua" w:hAnsi="Book Antiqua"/>
          <w:color w:val="auto"/>
          <w:szCs w:val="24"/>
          <w:vertAlign w:val="superscript"/>
        </w:rPr>
        <w:t>[54]</w:t>
      </w:r>
      <w:r w:rsidR="004004EA" w:rsidRPr="00D43349">
        <w:rPr>
          <w:rFonts w:ascii="Book Antiqua" w:hAnsi="Book Antiqua"/>
          <w:color w:val="auto"/>
          <w:szCs w:val="24"/>
        </w:rPr>
        <w:t>, and approximately half of these cases are associated with neurofibromatosis type 1 syndrome</w:t>
      </w:r>
      <w:r w:rsidR="004004EA" w:rsidRPr="00D43349">
        <w:rPr>
          <w:rStyle w:val="Cross-reference"/>
          <w:rFonts w:ascii="Book Antiqua" w:hAnsi="Book Antiqua"/>
          <w:color w:val="auto"/>
          <w:szCs w:val="24"/>
          <w:vertAlign w:val="superscript"/>
        </w:rPr>
        <w:t>[55]</w:t>
      </w:r>
      <w:r w:rsidR="004004EA" w:rsidRPr="00D43349">
        <w:rPr>
          <w:rFonts w:ascii="Book Antiqua" w:hAnsi="Book Antiqua"/>
          <w:color w:val="auto"/>
          <w:szCs w:val="24"/>
        </w:rPr>
        <w:t>. An individual with the NF1 mutation has a cumulative 8 to 13% lifetime risk of developing MPNST</w:t>
      </w:r>
      <w:r w:rsidR="004004EA" w:rsidRPr="00D43349">
        <w:rPr>
          <w:rStyle w:val="Cross-reference"/>
          <w:rFonts w:ascii="Book Antiqua" w:hAnsi="Book Antiqua"/>
          <w:color w:val="auto"/>
          <w:szCs w:val="24"/>
          <w:vertAlign w:val="superscript"/>
        </w:rPr>
        <w:t>[56]</w:t>
      </w:r>
      <w:r w:rsidR="004004EA" w:rsidRPr="00D43349">
        <w:rPr>
          <w:rFonts w:ascii="Book Antiqua" w:hAnsi="Book Antiqua"/>
          <w:color w:val="auto"/>
          <w:szCs w:val="24"/>
        </w:rPr>
        <w:t>. MPNST develops within benign neurofibromas in NF1 patients</w:t>
      </w:r>
      <w:r w:rsidR="004004EA" w:rsidRPr="00D43349">
        <w:rPr>
          <w:rStyle w:val="Cross-reference"/>
          <w:rFonts w:ascii="Book Antiqua" w:hAnsi="Book Antiqua"/>
          <w:color w:val="auto"/>
          <w:szCs w:val="24"/>
          <w:vertAlign w:val="superscript"/>
        </w:rPr>
        <w:t>[57]</w:t>
      </w:r>
      <w:r w:rsidR="004004EA" w:rsidRPr="00D43349">
        <w:rPr>
          <w:rFonts w:ascii="Book Antiqua" w:hAnsi="Book Antiqua"/>
          <w:color w:val="auto"/>
          <w:szCs w:val="24"/>
        </w:rPr>
        <w:t>. In the pediatric age group, the incidence increases with age, with more than 80% of cases diagnosed at the age 10 years or older</w:t>
      </w:r>
      <w:r w:rsidR="004004EA" w:rsidRPr="00D43349">
        <w:rPr>
          <w:rStyle w:val="Cross-reference"/>
          <w:rFonts w:ascii="Book Antiqua" w:hAnsi="Book Antiqua"/>
          <w:color w:val="auto"/>
          <w:szCs w:val="24"/>
          <w:vertAlign w:val="superscript"/>
        </w:rPr>
        <w:t>[58]</w:t>
      </w:r>
      <w:r w:rsidR="004004EA" w:rsidRPr="00D43349">
        <w:rPr>
          <w:rFonts w:ascii="Book Antiqua" w:hAnsi="Book Antiqua"/>
          <w:color w:val="auto"/>
          <w:szCs w:val="24"/>
        </w:rPr>
        <w:t>. Among pediatric NRSTSs, the tumor has the worst prognosis, with a 5-year OS of 43 to 59%</w:t>
      </w:r>
      <w:r w:rsidR="004004EA" w:rsidRPr="00D43349">
        <w:rPr>
          <w:rFonts w:ascii="Book Antiqua" w:hAnsi="Book Antiqua"/>
          <w:color w:val="auto"/>
          <w:szCs w:val="24"/>
          <w:vertAlign w:val="superscript"/>
        </w:rPr>
        <w:t>[59]</w:t>
      </w:r>
      <w:r w:rsidR="004004EA" w:rsidRPr="00D43349">
        <w:rPr>
          <w:rFonts w:ascii="Book Antiqua" w:hAnsi="Book Antiqua"/>
          <w:color w:val="auto"/>
          <w:szCs w:val="24"/>
        </w:rPr>
        <w:t>. Complete surgical removal is the only chance for cure. Unfortunately, a number of MPNSTs involve the nerve root, preventing complete removal (</w:t>
      </w:r>
      <w:r w:rsidR="004004EA" w:rsidRPr="00D43349">
        <w:rPr>
          <w:rStyle w:val="Cross-reference"/>
          <w:rFonts w:ascii="Book Antiqua" w:hAnsi="Book Antiqua"/>
          <w:color w:val="auto"/>
          <w:szCs w:val="24"/>
        </w:rPr>
        <w:t>Fig</w:t>
      </w:r>
      <w:r w:rsidRPr="00D43349">
        <w:rPr>
          <w:rStyle w:val="Cross-reference"/>
          <w:rFonts w:ascii="Book Antiqua" w:hAnsi="Book Antiqua"/>
          <w:color w:val="auto"/>
          <w:szCs w:val="24"/>
          <w:lang w:eastAsia="zh-CN"/>
        </w:rPr>
        <w:t>ure</w:t>
      </w:r>
      <w:r w:rsidR="004004EA" w:rsidRPr="00D43349">
        <w:rPr>
          <w:rStyle w:val="Cross-reference"/>
          <w:rFonts w:ascii="Book Antiqua" w:hAnsi="Book Antiqua"/>
          <w:color w:val="auto"/>
          <w:szCs w:val="24"/>
        </w:rPr>
        <w:t xml:space="preserve"> 3</w:t>
      </w:r>
      <w:r w:rsidR="004004EA" w:rsidRPr="00D43349">
        <w:rPr>
          <w:rFonts w:ascii="Book Antiqua" w:hAnsi="Book Antiqua"/>
          <w:color w:val="auto"/>
          <w:szCs w:val="24"/>
        </w:rPr>
        <w:t>). Radiation therapy is recommended in cases with residual tumor after surgery; however, no evidence indicates that this improves survival</w:t>
      </w:r>
      <w:r w:rsidR="004004EA" w:rsidRPr="00D43349">
        <w:rPr>
          <w:rStyle w:val="Cross-reference"/>
          <w:rFonts w:ascii="Book Antiqua" w:hAnsi="Book Antiqua"/>
          <w:color w:val="auto"/>
          <w:szCs w:val="24"/>
          <w:vertAlign w:val="superscript"/>
        </w:rPr>
        <w:t>[60]</w:t>
      </w:r>
      <w:r w:rsidR="004004EA" w:rsidRPr="00D43349">
        <w:rPr>
          <w:rFonts w:ascii="Book Antiqua" w:hAnsi="Book Antiqua"/>
          <w:color w:val="auto"/>
          <w:szCs w:val="24"/>
        </w:rPr>
        <w:t>. Studies have reported that adjuvant chemotherapy exhibits only minimal benefit</w:t>
      </w:r>
      <w:r w:rsidR="004004EA" w:rsidRPr="00D43349">
        <w:rPr>
          <w:rStyle w:val="Cross-reference"/>
          <w:rFonts w:ascii="Book Antiqua" w:hAnsi="Book Antiqua"/>
          <w:color w:val="auto"/>
          <w:szCs w:val="24"/>
          <w:vertAlign w:val="superscript"/>
        </w:rPr>
        <w:t>[58,61,62]</w:t>
      </w:r>
      <w:r w:rsidR="004004EA" w:rsidRPr="00D43349">
        <w:rPr>
          <w:rFonts w:ascii="Book Antiqua" w:hAnsi="Book Antiqua"/>
          <w:color w:val="auto"/>
          <w:szCs w:val="24"/>
        </w:rPr>
        <w:t>.</w:t>
      </w:r>
    </w:p>
    <w:p w14:paraId="2EC935C3" w14:textId="3AD0C3FE" w:rsidR="00930223" w:rsidRPr="00D43349" w:rsidRDefault="00930223" w:rsidP="00BA05FB">
      <w:pPr>
        <w:pStyle w:val="Body"/>
        <w:spacing w:line="360" w:lineRule="auto"/>
        <w:jc w:val="both"/>
        <w:rPr>
          <w:rFonts w:ascii="Book Antiqua" w:hAnsi="Book Antiqua"/>
          <w:color w:val="auto"/>
          <w:szCs w:val="24"/>
        </w:rPr>
      </w:pPr>
    </w:p>
    <w:p w14:paraId="78203EEC" w14:textId="39BA81B1" w:rsidR="00930223" w:rsidRPr="00D43349" w:rsidRDefault="004004EA" w:rsidP="00BA05FB">
      <w:pPr>
        <w:pStyle w:val="Body"/>
        <w:spacing w:line="360" w:lineRule="auto"/>
        <w:jc w:val="both"/>
        <w:rPr>
          <w:rFonts w:ascii="Book Antiqua" w:hAnsi="Book Antiqua"/>
          <w:b/>
          <w:color w:val="auto"/>
          <w:szCs w:val="24"/>
        </w:rPr>
      </w:pPr>
      <w:r w:rsidRPr="00D43349">
        <w:rPr>
          <w:rFonts w:ascii="Book Antiqua" w:hAnsi="Book Antiqua"/>
          <w:b/>
          <w:i/>
          <w:color w:val="auto"/>
          <w:szCs w:val="24"/>
        </w:rPr>
        <w:t>Synovial sarcoma</w:t>
      </w:r>
    </w:p>
    <w:p w14:paraId="081ACFB6" w14:textId="12E9400B" w:rsidR="00930223" w:rsidRPr="00D43349" w:rsidRDefault="00254E6D" w:rsidP="00BA05FB">
      <w:pPr>
        <w:pStyle w:val="Body"/>
        <w:spacing w:line="360" w:lineRule="auto"/>
        <w:jc w:val="both"/>
        <w:rPr>
          <w:rFonts w:ascii="Book Antiqua" w:hAnsi="Book Antiqua"/>
          <w:color w:val="auto"/>
          <w:szCs w:val="24"/>
        </w:rPr>
      </w:pPr>
      <w:r w:rsidRPr="00D43349">
        <w:rPr>
          <w:rFonts w:ascii="Book Antiqua" w:hAnsi="Book Antiqua"/>
          <w:color w:val="auto"/>
          <w:szCs w:val="24"/>
        </w:rPr>
        <w:t>Synovial sarcoma (SS)</w:t>
      </w:r>
      <w:r w:rsidRPr="00D43349">
        <w:rPr>
          <w:rFonts w:ascii="Book Antiqua" w:hAnsi="Book Antiqua"/>
          <w:color w:val="auto"/>
          <w:szCs w:val="24"/>
          <w:lang w:eastAsia="zh-CN"/>
        </w:rPr>
        <w:t xml:space="preserve"> </w:t>
      </w:r>
      <w:r w:rsidR="004004EA" w:rsidRPr="00D43349">
        <w:rPr>
          <w:rFonts w:ascii="Book Antiqua" w:hAnsi="Book Antiqua"/>
          <w:color w:val="auto"/>
          <w:szCs w:val="24"/>
        </w:rPr>
        <w:t>is an aggressive spindle cell tumor that accounts for approximately 10% of all STSs</w:t>
      </w:r>
      <w:r w:rsidR="004004EA" w:rsidRPr="00D43349">
        <w:rPr>
          <w:rStyle w:val="Cross-reference"/>
          <w:rFonts w:ascii="Book Antiqua" w:hAnsi="Book Antiqua"/>
          <w:color w:val="auto"/>
          <w:szCs w:val="24"/>
          <w:vertAlign w:val="superscript"/>
        </w:rPr>
        <w:t>[63]</w:t>
      </w:r>
      <w:r w:rsidR="004004EA" w:rsidRPr="00D43349">
        <w:rPr>
          <w:rFonts w:ascii="Book Antiqua" w:hAnsi="Book Antiqua"/>
          <w:color w:val="auto"/>
          <w:szCs w:val="24"/>
        </w:rPr>
        <w:t>. Although the tumor is principally located in the lower extremities, primary SS at other sites (including the head and neck, hands, retroperitoneum, digestive system and mediastinum) have been reported</w:t>
      </w:r>
      <w:r w:rsidR="004004EA" w:rsidRPr="00D43349">
        <w:rPr>
          <w:rStyle w:val="Cross-reference"/>
          <w:rFonts w:ascii="Book Antiqua" w:hAnsi="Book Antiqua"/>
          <w:color w:val="auto"/>
          <w:szCs w:val="24"/>
          <w:vertAlign w:val="superscript"/>
        </w:rPr>
        <w:t>[64-66]</w:t>
      </w:r>
      <w:r w:rsidR="004004EA" w:rsidRPr="00D43349">
        <w:rPr>
          <w:rFonts w:ascii="Book Antiqua" w:hAnsi="Book Antiqua"/>
          <w:color w:val="auto"/>
          <w:szCs w:val="24"/>
        </w:rPr>
        <w:t>. Histologically, SS contains spindle cells with a varying degree of epithelial differentiation</w:t>
      </w:r>
      <w:r w:rsidR="004004EA" w:rsidRPr="00D43349">
        <w:rPr>
          <w:rStyle w:val="Cross-reference"/>
          <w:rFonts w:ascii="Book Antiqua" w:hAnsi="Book Antiqua"/>
          <w:color w:val="auto"/>
          <w:szCs w:val="24"/>
          <w:vertAlign w:val="superscript"/>
        </w:rPr>
        <w:t>[67]</w:t>
      </w:r>
      <w:r w:rsidR="004004EA" w:rsidRPr="00D43349">
        <w:rPr>
          <w:rFonts w:ascii="Book Antiqua" w:hAnsi="Book Antiqua"/>
          <w:color w:val="auto"/>
          <w:szCs w:val="24"/>
        </w:rPr>
        <w:t>. On immunohistochemical study, SS is marked with both mesenchymal and epithelial markers. The cytogenetic signature of SS is a reciprocal translocation t(X;18)</w:t>
      </w:r>
      <w:r w:rsidRPr="00D43349">
        <w:rPr>
          <w:rFonts w:ascii="Book Antiqua" w:hAnsi="Book Antiqua"/>
          <w:color w:val="auto"/>
          <w:szCs w:val="24"/>
          <w:lang w:eastAsia="zh-CN"/>
        </w:rPr>
        <w:t xml:space="preserve"> </w:t>
      </w:r>
      <w:r w:rsidR="004004EA" w:rsidRPr="00D43349">
        <w:rPr>
          <w:rFonts w:ascii="Book Antiqua" w:hAnsi="Book Antiqua"/>
          <w:color w:val="auto"/>
          <w:szCs w:val="24"/>
        </w:rPr>
        <w:t>(p11.2;q11.2) that leads to a chimeric fusion between SS18 from chromosome 18 and one of the SSXs (SSX1, SSX2 or SSX4) from chromosome X. The SS18-SSX2 fusion protein activates canonical Wnt/beta-catenin signaling, which suggests a future therapeutic target in a subset of SS</w:t>
      </w:r>
      <w:r w:rsidR="004004EA" w:rsidRPr="00D43349">
        <w:rPr>
          <w:rStyle w:val="Cross-reference"/>
          <w:rFonts w:ascii="Book Antiqua" w:hAnsi="Book Antiqua"/>
          <w:color w:val="auto"/>
          <w:szCs w:val="24"/>
          <w:vertAlign w:val="superscript"/>
        </w:rPr>
        <w:t>[68,69]</w:t>
      </w:r>
      <w:r w:rsidR="004004EA" w:rsidRPr="00D43349">
        <w:rPr>
          <w:rFonts w:ascii="Book Antiqua" w:hAnsi="Book Antiqua"/>
          <w:color w:val="auto"/>
          <w:szCs w:val="24"/>
        </w:rPr>
        <w:t>. The current management of SS is based on risk categorization, and risk determinants include the clinical group (as in RMS), size (5 cm) and sites</w:t>
      </w:r>
      <w:r w:rsidR="004004EA" w:rsidRPr="00D43349">
        <w:rPr>
          <w:rStyle w:val="Cross-reference"/>
          <w:rFonts w:ascii="Book Antiqua" w:hAnsi="Book Antiqua"/>
          <w:color w:val="auto"/>
          <w:szCs w:val="24"/>
          <w:vertAlign w:val="superscript"/>
        </w:rPr>
        <w:t>[70]</w:t>
      </w:r>
      <w:r w:rsidR="004004EA" w:rsidRPr="00D43349">
        <w:rPr>
          <w:rFonts w:ascii="Book Antiqua" w:hAnsi="Book Antiqua"/>
          <w:color w:val="auto"/>
          <w:szCs w:val="24"/>
        </w:rPr>
        <w:t xml:space="preserve">. Low-risk tumors include group I SS and are less </w:t>
      </w:r>
      <w:r w:rsidR="004004EA" w:rsidRPr="00D43349">
        <w:rPr>
          <w:rFonts w:ascii="Book Antiqua" w:hAnsi="Book Antiqua"/>
          <w:color w:val="auto"/>
          <w:szCs w:val="24"/>
        </w:rPr>
        <w:lastRenderedPageBreak/>
        <w:t>than 5 cm in size. Axial site tumors (head and neck, trunk, lungs and pleura) are considered high risk</w:t>
      </w:r>
      <w:r w:rsidR="004004EA" w:rsidRPr="00D43349">
        <w:rPr>
          <w:rStyle w:val="Cross-reference"/>
          <w:rFonts w:ascii="Book Antiqua" w:hAnsi="Book Antiqua"/>
          <w:color w:val="auto"/>
          <w:szCs w:val="24"/>
          <w:vertAlign w:val="superscript"/>
        </w:rPr>
        <w:t>[71]</w:t>
      </w:r>
      <w:r w:rsidR="004004EA" w:rsidRPr="00D43349">
        <w:rPr>
          <w:rFonts w:ascii="Book Antiqua" w:hAnsi="Book Antiqua"/>
          <w:color w:val="auto"/>
          <w:szCs w:val="24"/>
        </w:rPr>
        <w:t>. According to the European Pediatric Soft Tissue Sarcoma Study Group Trial (EpSSG NRSTS2005), low-risk SSs are best treated with surgery alone, with 91.7% experiencing 3-year event-free survival and 100% overall survival</w:t>
      </w:r>
      <w:r w:rsidR="004004EA" w:rsidRPr="00D43349">
        <w:rPr>
          <w:rStyle w:val="Cross-reference"/>
          <w:rFonts w:ascii="Book Antiqua" w:hAnsi="Book Antiqua"/>
          <w:color w:val="auto"/>
          <w:szCs w:val="24"/>
          <w:vertAlign w:val="superscript"/>
        </w:rPr>
        <w:t>[71]</w:t>
      </w:r>
      <w:r w:rsidR="004004EA" w:rsidRPr="00D43349">
        <w:rPr>
          <w:rFonts w:ascii="Book Antiqua" w:hAnsi="Book Antiqua"/>
          <w:color w:val="auto"/>
          <w:szCs w:val="24"/>
        </w:rPr>
        <w:t>. In that study, the surgical strategy recommended in most low-risk cases was conservative surgery. Survival in intermediate-risk SSs (group I, size &gt; 5 cm and group II) after surgery followed by chemotherapy (ifosfamide and doxorubicin) with or without radiation is comparable with that of the low-risk group. Chemotherapy is the mainstay treatment in high-risk (group III or axial SS) patients. The chemotherapy response rate in group III SS was 55%, and OS was 74%</w:t>
      </w:r>
      <w:r w:rsidR="004004EA" w:rsidRPr="00D43349">
        <w:rPr>
          <w:rFonts w:ascii="Book Antiqua" w:hAnsi="Book Antiqua"/>
          <w:color w:val="auto"/>
          <w:szCs w:val="24"/>
          <w:vertAlign w:val="superscript"/>
        </w:rPr>
        <w:t>[71]</w:t>
      </w:r>
      <w:r w:rsidR="004004EA" w:rsidRPr="00D43349">
        <w:rPr>
          <w:rFonts w:ascii="Book Antiqua" w:hAnsi="Book Antiqua"/>
          <w:color w:val="auto"/>
          <w:szCs w:val="24"/>
        </w:rPr>
        <w:t>.</w:t>
      </w:r>
    </w:p>
    <w:p w14:paraId="079F22DB" w14:textId="77777777" w:rsidR="00930223" w:rsidRPr="00D43349" w:rsidRDefault="00930223" w:rsidP="00BA05FB">
      <w:pPr>
        <w:pStyle w:val="Body"/>
        <w:spacing w:line="360" w:lineRule="auto"/>
        <w:jc w:val="both"/>
        <w:rPr>
          <w:rFonts w:ascii="Book Antiqua" w:hAnsi="Book Antiqua"/>
          <w:color w:val="auto"/>
          <w:szCs w:val="24"/>
        </w:rPr>
      </w:pPr>
    </w:p>
    <w:p w14:paraId="7F08E5B3" w14:textId="77777777" w:rsidR="00930223" w:rsidRPr="00D43349" w:rsidRDefault="004004EA" w:rsidP="00BA05FB">
      <w:pPr>
        <w:pStyle w:val="Body"/>
        <w:spacing w:line="360" w:lineRule="auto"/>
        <w:jc w:val="both"/>
        <w:rPr>
          <w:rFonts w:ascii="Book Antiqua" w:hAnsi="Book Antiqua"/>
          <w:color w:val="auto"/>
          <w:szCs w:val="24"/>
        </w:rPr>
      </w:pPr>
      <w:r w:rsidRPr="00D43349">
        <w:rPr>
          <w:rFonts w:ascii="Book Antiqua" w:hAnsi="Book Antiqua"/>
          <w:i/>
          <w:color w:val="auto"/>
          <w:szCs w:val="24"/>
        </w:rPr>
        <w:t>Congenital infantile fibrosarcoma (CIF)</w:t>
      </w:r>
    </w:p>
    <w:p w14:paraId="1361026F" w14:textId="1EA58180" w:rsidR="00930223" w:rsidRPr="00D43349" w:rsidRDefault="004004EA" w:rsidP="00BA05FB">
      <w:pPr>
        <w:pStyle w:val="Body"/>
        <w:spacing w:line="360" w:lineRule="auto"/>
        <w:jc w:val="both"/>
        <w:rPr>
          <w:rFonts w:ascii="Book Antiqua" w:hAnsi="Book Antiqua"/>
          <w:color w:val="auto"/>
          <w:szCs w:val="24"/>
        </w:rPr>
      </w:pPr>
      <w:r w:rsidRPr="00D43349">
        <w:rPr>
          <w:rFonts w:ascii="Book Antiqua" w:hAnsi="Book Antiqua"/>
          <w:color w:val="auto"/>
          <w:szCs w:val="24"/>
        </w:rPr>
        <w:t xml:space="preserve">Unlike tumors in the adult-type NRSTS group that are typically found in teenagers and adolescents, </w:t>
      </w:r>
      <w:r w:rsidR="00254E6D" w:rsidRPr="00D43349">
        <w:rPr>
          <w:rFonts w:ascii="Book Antiqua" w:hAnsi="Book Antiqua"/>
          <w:color w:val="auto"/>
          <w:szCs w:val="24"/>
        </w:rPr>
        <w:t>congenital infantile fibrosarcoma (CIF)</w:t>
      </w:r>
      <w:r w:rsidR="00254E6D" w:rsidRPr="00D43349">
        <w:rPr>
          <w:rFonts w:ascii="Book Antiqua" w:hAnsi="Book Antiqua"/>
          <w:color w:val="auto"/>
          <w:szCs w:val="24"/>
          <w:lang w:eastAsia="zh-CN"/>
        </w:rPr>
        <w:t xml:space="preserve"> </w:t>
      </w:r>
      <w:r w:rsidRPr="00D43349">
        <w:rPr>
          <w:rFonts w:ascii="Book Antiqua" w:hAnsi="Book Antiqua"/>
          <w:color w:val="auto"/>
          <w:szCs w:val="24"/>
        </w:rPr>
        <w:t>can be noted during the first month of life and is often misdiagnosed as a hemangioma or vascular malformation. A rapid growth rate and ulceration are clinical clues necessitating a biopsy</w:t>
      </w:r>
      <w:r w:rsidRPr="00D43349">
        <w:rPr>
          <w:rStyle w:val="Cross-reference"/>
          <w:rFonts w:ascii="Book Antiqua" w:hAnsi="Book Antiqua"/>
          <w:color w:val="auto"/>
          <w:szCs w:val="24"/>
          <w:vertAlign w:val="superscript"/>
        </w:rPr>
        <w:t>[72]</w:t>
      </w:r>
      <w:r w:rsidRPr="00D43349">
        <w:rPr>
          <w:rFonts w:ascii="Book Antiqua" w:hAnsi="Book Antiqua"/>
          <w:color w:val="auto"/>
          <w:szCs w:val="24"/>
        </w:rPr>
        <w:t>. Histologically, CIF is densely packed with spindle cells arranged in bundles and fascicles. Tumor cells typically exhibit positive immunoreactivity with the mesenchymal marker vimentin but are negative for desmin and S100 protein. A chromosomal translocation t(12;15)(p13;q25), which leads to a fusion ETV6-NTRK3, has been reported. The tumor is locally aggressive, and distant metastasis is rarely reported. Destruction of adjacent bony structures can be observed (</w:t>
      </w:r>
      <w:r w:rsidRPr="00D43349">
        <w:rPr>
          <w:rStyle w:val="Cross-reference"/>
          <w:rFonts w:ascii="Book Antiqua" w:hAnsi="Book Antiqua"/>
          <w:color w:val="auto"/>
          <w:szCs w:val="24"/>
        </w:rPr>
        <w:t>Fig</w:t>
      </w:r>
      <w:r w:rsidR="00254E6D" w:rsidRPr="00D43349">
        <w:rPr>
          <w:rStyle w:val="Cross-reference"/>
          <w:rFonts w:ascii="Book Antiqua" w:hAnsi="Book Antiqua"/>
          <w:color w:val="auto"/>
          <w:szCs w:val="24"/>
          <w:lang w:eastAsia="zh-CN"/>
        </w:rPr>
        <w:t>ure</w:t>
      </w:r>
      <w:r w:rsidRPr="00D43349">
        <w:rPr>
          <w:rStyle w:val="Cross-reference"/>
          <w:rFonts w:ascii="Book Antiqua" w:hAnsi="Book Antiqua"/>
          <w:color w:val="auto"/>
          <w:szCs w:val="24"/>
        </w:rPr>
        <w:t xml:space="preserve"> 4</w:t>
      </w:r>
      <w:r w:rsidRPr="00D43349">
        <w:rPr>
          <w:rFonts w:ascii="Book Antiqua" w:hAnsi="Book Antiqua"/>
          <w:color w:val="auto"/>
          <w:szCs w:val="24"/>
        </w:rPr>
        <w:t>). Surgical removal of the lesion is the recommended primary treatment. Adjuvant treatment is generally unnecessary except when the mass is very large and involves vital structures. In such instances, neoadjuvant chemotherapy may help down-size the tumor</w:t>
      </w:r>
      <w:r w:rsidRPr="00D43349">
        <w:rPr>
          <w:rStyle w:val="Cross-reference"/>
          <w:rFonts w:ascii="Book Antiqua" w:hAnsi="Book Antiqua"/>
          <w:color w:val="auto"/>
          <w:szCs w:val="24"/>
          <w:vertAlign w:val="superscript"/>
        </w:rPr>
        <w:t>[73,74]</w:t>
      </w:r>
      <w:r w:rsidRPr="00D43349">
        <w:rPr>
          <w:rFonts w:ascii="Book Antiqua" w:hAnsi="Book Antiqua"/>
          <w:color w:val="auto"/>
          <w:szCs w:val="24"/>
        </w:rPr>
        <w:t>. Prognostic factors include the site and extent of the lesion at the diagnosis. Extremity IF has a more favorable outcome than do axial tumors. In addition, pediatric CIF has a better outcome than adult fibrosarcoma. The five-year OS is approximately 90%</w:t>
      </w:r>
      <w:r w:rsidRPr="00D43349">
        <w:rPr>
          <w:rStyle w:val="Cross-reference"/>
          <w:rFonts w:ascii="Book Antiqua" w:hAnsi="Book Antiqua"/>
          <w:color w:val="auto"/>
          <w:szCs w:val="24"/>
          <w:vertAlign w:val="superscript"/>
        </w:rPr>
        <w:t>[75,76]</w:t>
      </w:r>
      <w:r w:rsidRPr="00D43349">
        <w:rPr>
          <w:rFonts w:ascii="Book Antiqua" w:hAnsi="Book Antiqua"/>
          <w:color w:val="auto"/>
          <w:szCs w:val="24"/>
        </w:rPr>
        <w:t>.</w:t>
      </w:r>
    </w:p>
    <w:p w14:paraId="0BA7204A" w14:textId="77777777" w:rsidR="00930223" w:rsidRPr="00D43349" w:rsidRDefault="00930223" w:rsidP="00BA05FB">
      <w:pPr>
        <w:pStyle w:val="Body"/>
        <w:spacing w:line="360" w:lineRule="auto"/>
        <w:jc w:val="both"/>
        <w:rPr>
          <w:rFonts w:ascii="Book Antiqua" w:hAnsi="Book Antiqua"/>
          <w:color w:val="auto"/>
          <w:szCs w:val="24"/>
        </w:rPr>
      </w:pPr>
    </w:p>
    <w:p w14:paraId="258E60B2" w14:textId="31761209" w:rsidR="00930223" w:rsidRPr="00D43349" w:rsidRDefault="004004EA" w:rsidP="00BA05FB">
      <w:pPr>
        <w:pStyle w:val="Body"/>
        <w:spacing w:line="360" w:lineRule="auto"/>
        <w:jc w:val="both"/>
        <w:rPr>
          <w:rFonts w:ascii="Book Antiqua" w:hAnsi="Book Antiqua"/>
          <w:b/>
          <w:color w:val="auto"/>
          <w:szCs w:val="24"/>
        </w:rPr>
      </w:pPr>
      <w:r w:rsidRPr="00D43349">
        <w:rPr>
          <w:rFonts w:ascii="Book Antiqua" w:hAnsi="Book Antiqua"/>
          <w:b/>
          <w:i/>
          <w:color w:val="auto"/>
          <w:szCs w:val="24"/>
        </w:rPr>
        <w:t>Desmoplastic small round cell tumors</w:t>
      </w:r>
    </w:p>
    <w:p w14:paraId="62204DC6" w14:textId="1BA559E3" w:rsidR="00930223" w:rsidRPr="00D43349" w:rsidRDefault="00254E6D" w:rsidP="00BA05FB">
      <w:pPr>
        <w:pStyle w:val="Body"/>
        <w:spacing w:line="360" w:lineRule="auto"/>
        <w:jc w:val="both"/>
        <w:rPr>
          <w:rFonts w:ascii="Book Antiqua" w:hAnsi="Book Antiqua"/>
          <w:color w:val="auto"/>
          <w:szCs w:val="24"/>
        </w:rPr>
      </w:pPr>
      <w:r w:rsidRPr="00D43349">
        <w:rPr>
          <w:rFonts w:ascii="Book Antiqua" w:hAnsi="Book Antiqua"/>
          <w:color w:val="auto"/>
          <w:szCs w:val="24"/>
        </w:rPr>
        <w:lastRenderedPageBreak/>
        <w:t>Desmoplastic small round cell tumors (DSRCT)</w:t>
      </w:r>
      <w:r w:rsidRPr="00D43349">
        <w:rPr>
          <w:rFonts w:ascii="Book Antiqua" w:hAnsi="Book Antiqua"/>
          <w:color w:val="auto"/>
          <w:szCs w:val="24"/>
          <w:lang w:eastAsia="zh-CN"/>
        </w:rPr>
        <w:t xml:space="preserve"> </w:t>
      </w:r>
      <w:r w:rsidR="004004EA" w:rsidRPr="00D43349">
        <w:rPr>
          <w:rFonts w:ascii="Book Antiqua" w:hAnsi="Book Antiqua"/>
          <w:color w:val="auto"/>
          <w:szCs w:val="24"/>
        </w:rPr>
        <w:t>is a rare, highly aggressive mesenchymal tumor originating on the peritoneal surface typically in an adolescent</w:t>
      </w:r>
      <w:r w:rsidR="004004EA" w:rsidRPr="00D43349">
        <w:rPr>
          <w:rStyle w:val="Cross-reference"/>
          <w:rFonts w:ascii="Book Antiqua" w:hAnsi="Book Antiqua"/>
          <w:color w:val="auto"/>
          <w:szCs w:val="24"/>
          <w:vertAlign w:val="superscript"/>
        </w:rPr>
        <w:t>[77]</w:t>
      </w:r>
      <w:r w:rsidR="004004EA" w:rsidRPr="00D43349">
        <w:rPr>
          <w:rFonts w:ascii="Book Antiqua" w:hAnsi="Book Antiqua"/>
          <w:color w:val="auto"/>
          <w:szCs w:val="24"/>
        </w:rPr>
        <w:t>. The tumor can also be found at other sites, such as the head and neck, pleura, kidneys, ovaries and testes</w:t>
      </w:r>
      <w:r w:rsidR="004004EA" w:rsidRPr="00D43349">
        <w:rPr>
          <w:rStyle w:val="Cross-reference"/>
          <w:rFonts w:ascii="Book Antiqua" w:hAnsi="Book Antiqua"/>
          <w:color w:val="auto"/>
          <w:szCs w:val="24"/>
          <w:vertAlign w:val="superscript"/>
        </w:rPr>
        <w:t>[78-81]</w:t>
      </w:r>
      <w:r w:rsidR="004004EA" w:rsidRPr="00D43349">
        <w:rPr>
          <w:rFonts w:ascii="Book Antiqua" w:hAnsi="Book Antiqua"/>
          <w:color w:val="auto"/>
          <w:szCs w:val="24"/>
        </w:rPr>
        <w:t xml:space="preserve"> and was first described in 1989 in a pathological case report by Gerald and Rosai</w:t>
      </w:r>
      <w:r w:rsidR="004004EA" w:rsidRPr="00D43349">
        <w:rPr>
          <w:rStyle w:val="Cross-reference"/>
          <w:rFonts w:ascii="Book Antiqua" w:hAnsi="Book Antiqua"/>
          <w:color w:val="auto"/>
          <w:szCs w:val="24"/>
          <w:vertAlign w:val="superscript"/>
        </w:rPr>
        <w:t>[82]</w:t>
      </w:r>
      <w:r w:rsidR="004004EA" w:rsidRPr="00D43349">
        <w:rPr>
          <w:rFonts w:ascii="Book Antiqua" w:hAnsi="Book Antiqua"/>
          <w:color w:val="auto"/>
          <w:szCs w:val="24"/>
        </w:rPr>
        <w:t>. Histologically, DSRCT exhibits small round cells arranged in nests within abundant desmoplastic stroma</w:t>
      </w:r>
      <w:r w:rsidR="004004EA" w:rsidRPr="00D43349">
        <w:rPr>
          <w:rStyle w:val="Cross-reference"/>
          <w:rFonts w:ascii="Book Antiqua" w:hAnsi="Book Antiqua"/>
          <w:color w:val="auto"/>
          <w:szCs w:val="24"/>
          <w:vertAlign w:val="superscript"/>
        </w:rPr>
        <w:t>[77]</w:t>
      </w:r>
      <w:r w:rsidR="004004EA" w:rsidRPr="00D43349">
        <w:rPr>
          <w:rFonts w:ascii="Book Antiqua" w:hAnsi="Book Antiqua"/>
          <w:color w:val="auto"/>
          <w:szCs w:val="24"/>
        </w:rPr>
        <w:t>. Central necrosis and trabecular or indian fire arrangements are also observed</w:t>
      </w:r>
      <w:r w:rsidR="004004EA" w:rsidRPr="00D43349">
        <w:rPr>
          <w:rStyle w:val="Cross-reference"/>
          <w:rFonts w:ascii="Book Antiqua" w:hAnsi="Book Antiqua"/>
          <w:color w:val="auto"/>
          <w:szCs w:val="24"/>
          <w:vertAlign w:val="superscript"/>
        </w:rPr>
        <w:t>[83]</w:t>
      </w:r>
      <w:r w:rsidR="004004EA" w:rsidRPr="00D43349">
        <w:rPr>
          <w:rFonts w:ascii="Book Antiqua" w:hAnsi="Book Antiqua"/>
          <w:color w:val="auto"/>
          <w:szCs w:val="24"/>
        </w:rPr>
        <w:t>. The tumor expresses polyphenotypic differentiation with co-expression of epithelial, mesenchymal and neuronal markers</w:t>
      </w:r>
      <w:r w:rsidR="004004EA" w:rsidRPr="00D43349">
        <w:rPr>
          <w:rStyle w:val="Cross-reference"/>
          <w:rFonts w:ascii="Book Antiqua" w:hAnsi="Book Antiqua"/>
          <w:color w:val="auto"/>
          <w:szCs w:val="24"/>
          <w:vertAlign w:val="superscript"/>
        </w:rPr>
        <w:t>[77]</w:t>
      </w:r>
      <w:r w:rsidR="004004EA" w:rsidRPr="00D43349">
        <w:rPr>
          <w:rFonts w:ascii="Book Antiqua" w:hAnsi="Book Antiqua"/>
          <w:color w:val="auto"/>
          <w:szCs w:val="24"/>
        </w:rPr>
        <w:t>. In addition, nuclear staining of the WT1 protein has been reported</w:t>
      </w:r>
      <w:r w:rsidR="004004EA" w:rsidRPr="00D43349">
        <w:rPr>
          <w:rStyle w:val="Cross-reference"/>
          <w:rFonts w:ascii="Book Antiqua" w:hAnsi="Book Antiqua"/>
          <w:color w:val="auto"/>
          <w:szCs w:val="24"/>
          <w:vertAlign w:val="superscript"/>
        </w:rPr>
        <w:t>[83]</w:t>
      </w:r>
      <w:r w:rsidR="004004EA" w:rsidRPr="00D43349">
        <w:rPr>
          <w:rFonts w:ascii="Book Antiqua" w:hAnsi="Book Antiqua"/>
          <w:color w:val="auto"/>
          <w:szCs w:val="24"/>
        </w:rPr>
        <w:t>. The tumor is highly aggressive, and approximately 60% of patients die of the disease within 2 years</w:t>
      </w:r>
      <w:r w:rsidR="004004EA" w:rsidRPr="00D43349">
        <w:rPr>
          <w:rStyle w:val="Cross-reference"/>
          <w:rFonts w:ascii="Book Antiqua" w:hAnsi="Book Antiqua"/>
          <w:color w:val="auto"/>
          <w:szCs w:val="24"/>
          <w:vertAlign w:val="superscript"/>
        </w:rPr>
        <w:t>[84]</w:t>
      </w:r>
      <w:r w:rsidR="004004EA" w:rsidRPr="00D43349">
        <w:rPr>
          <w:rFonts w:ascii="Book Antiqua" w:hAnsi="Book Antiqua"/>
          <w:color w:val="auto"/>
          <w:szCs w:val="24"/>
        </w:rPr>
        <w:t>. Complete resection is not possible in the majority of cases. Surgical debulking of the primary tumor followed by radiation therapy is recommended</w:t>
      </w:r>
      <w:r w:rsidR="004004EA" w:rsidRPr="00D43349">
        <w:rPr>
          <w:rStyle w:val="Cross-reference"/>
          <w:rFonts w:ascii="Book Antiqua" w:hAnsi="Book Antiqua"/>
          <w:color w:val="auto"/>
          <w:szCs w:val="24"/>
          <w:vertAlign w:val="superscript"/>
        </w:rPr>
        <w:t>[85,86]</w:t>
      </w:r>
      <w:r w:rsidR="004004EA" w:rsidRPr="00D43349">
        <w:rPr>
          <w:rFonts w:ascii="Book Antiqua" w:hAnsi="Book Antiqua"/>
          <w:color w:val="auto"/>
          <w:szCs w:val="24"/>
        </w:rPr>
        <w:t>. The tumor appears to respond to multi-agent chemotherapy consisting of cyclophosphamide, doxorubicin, vincristine, ifosfamide and etoposide; however, recurrent disease is common</w:t>
      </w:r>
      <w:r w:rsidR="004004EA" w:rsidRPr="00D43349">
        <w:rPr>
          <w:rStyle w:val="Cross-reference"/>
          <w:rFonts w:ascii="Book Antiqua" w:hAnsi="Book Antiqua"/>
          <w:color w:val="auto"/>
          <w:szCs w:val="24"/>
          <w:vertAlign w:val="superscript"/>
        </w:rPr>
        <w:t>[85,87]</w:t>
      </w:r>
      <w:r w:rsidR="004004EA" w:rsidRPr="00D43349">
        <w:rPr>
          <w:rFonts w:ascii="Book Antiqua" w:hAnsi="Book Antiqua"/>
          <w:color w:val="auto"/>
          <w:szCs w:val="24"/>
        </w:rPr>
        <w:t>. The use of alternative therapies, including molecular targeting therapy and intraperitoneal infusion of chemotherapy, is reported infrequently</w:t>
      </w:r>
      <w:r w:rsidR="004004EA" w:rsidRPr="00D43349">
        <w:rPr>
          <w:rStyle w:val="Cross-reference"/>
          <w:rFonts w:ascii="Book Antiqua" w:hAnsi="Book Antiqua"/>
          <w:color w:val="auto"/>
          <w:szCs w:val="24"/>
          <w:vertAlign w:val="superscript"/>
        </w:rPr>
        <w:t>[88-90]</w:t>
      </w:r>
      <w:r w:rsidR="004004EA" w:rsidRPr="00D43349">
        <w:rPr>
          <w:rFonts w:ascii="Book Antiqua" w:hAnsi="Book Antiqua"/>
          <w:color w:val="auto"/>
          <w:szCs w:val="24"/>
        </w:rPr>
        <w:t>. In one study, the 3-year OS was reported at 44%, with a 5-year OS of 15%</w:t>
      </w:r>
      <w:r w:rsidR="004004EA" w:rsidRPr="00D43349">
        <w:rPr>
          <w:rFonts w:ascii="Book Antiqua" w:hAnsi="Book Antiqua"/>
          <w:color w:val="auto"/>
          <w:szCs w:val="24"/>
          <w:vertAlign w:val="superscript"/>
        </w:rPr>
        <w:t>[85]</w:t>
      </w:r>
      <w:r w:rsidR="004004EA" w:rsidRPr="00D43349">
        <w:rPr>
          <w:rFonts w:ascii="Book Antiqua" w:hAnsi="Book Antiqua"/>
          <w:color w:val="auto"/>
          <w:szCs w:val="24"/>
        </w:rPr>
        <w:t>.</w:t>
      </w:r>
    </w:p>
    <w:p w14:paraId="0C549F37" w14:textId="77777777" w:rsidR="00930223" w:rsidRPr="00D43349" w:rsidRDefault="00930223" w:rsidP="00BA05FB">
      <w:pPr>
        <w:pStyle w:val="Body"/>
        <w:spacing w:line="360" w:lineRule="auto"/>
        <w:jc w:val="both"/>
        <w:rPr>
          <w:rFonts w:ascii="Book Antiqua" w:hAnsi="Book Antiqua"/>
          <w:color w:val="auto"/>
          <w:szCs w:val="24"/>
        </w:rPr>
      </w:pPr>
    </w:p>
    <w:p w14:paraId="256CC53E" w14:textId="209B4B86" w:rsidR="00930223" w:rsidRPr="00FA0597" w:rsidRDefault="004004EA" w:rsidP="00BA05FB">
      <w:pPr>
        <w:pStyle w:val="Body"/>
        <w:spacing w:line="360" w:lineRule="auto"/>
        <w:jc w:val="both"/>
        <w:rPr>
          <w:rFonts w:ascii="Book Antiqua" w:hAnsi="Book Antiqua"/>
          <w:b/>
          <w:color w:val="auto"/>
          <w:szCs w:val="24"/>
        </w:rPr>
      </w:pPr>
      <w:r w:rsidRPr="00FA0597">
        <w:rPr>
          <w:rFonts w:ascii="Book Antiqua" w:hAnsi="Book Antiqua"/>
          <w:b/>
          <w:i/>
          <w:color w:val="auto"/>
          <w:szCs w:val="24"/>
        </w:rPr>
        <w:t xml:space="preserve">Inflammatory myofibroblastic tumor </w:t>
      </w:r>
    </w:p>
    <w:p w14:paraId="6EA68878" w14:textId="2E2E3C07" w:rsidR="00254E6D" w:rsidRPr="00D43349" w:rsidRDefault="00254E6D" w:rsidP="00BA05FB">
      <w:pPr>
        <w:pStyle w:val="Body"/>
        <w:spacing w:line="360" w:lineRule="auto"/>
        <w:jc w:val="both"/>
        <w:rPr>
          <w:rFonts w:ascii="Book Antiqua" w:hAnsi="Book Antiqua"/>
          <w:color w:val="auto"/>
          <w:szCs w:val="24"/>
          <w:lang w:eastAsia="zh-CN"/>
        </w:rPr>
      </w:pPr>
      <w:r w:rsidRPr="00D43349">
        <w:rPr>
          <w:rFonts w:ascii="Book Antiqua" w:hAnsi="Book Antiqua"/>
          <w:color w:val="auto"/>
          <w:szCs w:val="24"/>
        </w:rPr>
        <w:t>Inflammatory myofibroblastic tumor (IMT</w:t>
      </w:r>
      <w:r w:rsidRPr="00D43349">
        <w:rPr>
          <w:rFonts w:ascii="Book Antiqua" w:hAnsi="Book Antiqua"/>
          <w:color w:val="auto"/>
          <w:szCs w:val="24"/>
          <w:lang w:eastAsia="zh-CN"/>
        </w:rPr>
        <w:t>,</w:t>
      </w:r>
      <w:r w:rsidRPr="00D43349">
        <w:rPr>
          <w:rFonts w:ascii="Book Antiqua" w:hAnsi="Book Antiqua"/>
          <w:color w:val="auto"/>
          <w:szCs w:val="24"/>
        </w:rPr>
        <w:t xml:space="preserve"> </w:t>
      </w:r>
      <w:r w:rsidR="004004EA" w:rsidRPr="00D43349">
        <w:rPr>
          <w:rFonts w:ascii="Book Antiqua" w:hAnsi="Book Antiqua"/>
          <w:color w:val="auto"/>
          <w:szCs w:val="24"/>
        </w:rPr>
        <w:t>also known as inflammatory pseudotumor or plasma cell granuloma) is a rare benign tumor with recurrence potential that most often occurs in children and young adults. The lung is the most common site of IMT. Other reported sites include the urinary bladder, intestine and mesentery, spleen, liver and kidney</w:t>
      </w:r>
      <w:r w:rsidR="004004EA" w:rsidRPr="00D43349">
        <w:rPr>
          <w:rStyle w:val="Cross-reference"/>
          <w:rFonts w:ascii="Book Antiqua" w:hAnsi="Book Antiqua"/>
          <w:color w:val="auto"/>
          <w:szCs w:val="24"/>
          <w:vertAlign w:val="superscript"/>
        </w:rPr>
        <w:t>[91-94]</w:t>
      </w:r>
      <w:r w:rsidR="004004EA" w:rsidRPr="00D43349">
        <w:rPr>
          <w:rFonts w:ascii="Book Antiqua" w:hAnsi="Book Antiqua"/>
          <w:color w:val="auto"/>
          <w:szCs w:val="24"/>
        </w:rPr>
        <w:t>. The etiology of IMT may include certain infections, such as Epstein Barr virus. Whether the tumor is a true neoplasm or an inflammatory response remains controversial. However, recurrence after surgery is common and malignant transformation has been reported</w:t>
      </w:r>
      <w:r w:rsidR="004004EA" w:rsidRPr="00D43349">
        <w:rPr>
          <w:rStyle w:val="Cross-reference"/>
          <w:rFonts w:ascii="Book Antiqua" w:hAnsi="Book Antiqua"/>
          <w:color w:val="auto"/>
          <w:szCs w:val="24"/>
          <w:vertAlign w:val="superscript"/>
        </w:rPr>
        <w:t>[95,96]</w:t>
      </w:r>
      <w:r w:rsidR="004004EA" w:rsidRPr="00D43349">
        <w:rPr>
          <w:rFonts w:ascii="Book Antiqua" w:hAnsi="Book Antiqua"/>
          <w:color w:val="auto"/>
          <w:szCs w:val="24"/>
        </w:rPr>
        <w:t>. Studies have demonstrated that a number of IMT involve fusion between the AKT gene in chromosome 2 (2q23) and various fusion partners, including IMT, TPM3, TPM4, CLTC, CARS, RANBP2, ATIC, SEC 31L1 and PPFBP1</w:t>
      </w:r>
      <w:r w:rsidR="004004EA" w:rsidRPr="00D43349">
        <w:rPr>
          <w:rStyle w:val="Cross-reference"/>
          <w:rFonts w:ascii="Book Antiqua" w:hAnsi="Book Antiqua"/>
          <w:color w:val="auto"/>
          <w:szCs w:val="24"/>
          <w:vertAlign w:val="superscript"/>
        </w:rPr>
        <w:t>[97-103]</w:t>
      </w:r>
      <w:r w:rsidR="004004EA" w:rsidRPr="00D43349">
        <w:rPr>
          <w:rFonts w:ascii="Book Antiqua" w:hAnsi="Book Antiqua"/>
          <w:color w:val="auto"/>
          <w:szCs w:val="24"/>
        </w:rPr>
        <w:t xml:space="preserve">. CT typically reveals a coin lesion that is difficult to differentiate from other causes of similar lesions. The </w:t>
      </w:r>
      <w:r w:rsidR="004004EA" w:rsidRPr="00D43349">
        <w:rPr>
          <w:rFonts w:ascii="Book Antiqua" w:hAnsi="Book Antiqua"/>
          <w:color w:val="auto"/>
          <w:szCs w:val="24"/>
        </w:rPr>
        <w:lastRenderedPageBreak/>
        <w:t>diagnosis is typically made by tissue biopsy that often exhibit spindle-shaped myofibroblast-like cells and chronic inflammation comprising plasma cells, lymphocytes and histiocytes</w:t>
      </w:r>
      <w:r w:rsidR="004004EA" w:rsidRPr="00D43349">
        <w:rPr>
          <w:rStyle w:val="Cross-reference"/>
          <w:rFonts w:ascii="Book Antiqua" w:hAnsi="Book Antiqua"/>
          <w:color w:val="auto"/>
          <w:szCs w:val="24"/>
          <w:vertAlign w:val="superscript"/>
        </w:rPr>
        <w:t>[104]</w:t>
      </w:r>
      <w:r w:rsidR="004004EA" w:rsidRPr="00D43349">
        <w:rPr>
          <w:rFonts w:ascii="Book Antiqua" w:hAnsi="Book Antiqua"/>
          <w:color w:val="auto"/>
          <w:szCs w:val="24"/>
        </w:rPr>
        <w:t>. Surgical resection is the only treatment option. Radiation and chemotherapy have no role in IMT</w:t>
      </w:r>
      <w:r w:rsidR="00A825DA">
        <w:rPr>
          <w:rFonts w:ascii="Book Antiqua" w:hAnsi="Book Antiqua" w:hint="eastAsia"/>
          <w:color w:val="auto"/>
          <w:szCs w:val="24"/>
          <w:lang w:eastAsia="zh-CN"/>
        </w:rPr>
        <w:t xml:space="preserve"> (Figure 5)</w:t>
      </w:r>
      <w:r w:rsidR="004004EA" w:rsidRPr="00D43349">
        <w:rPr>
          <w:rFonts w:ascii="Book Antiqua" w:hAnsi="Book Antiqua"/>
          <w:color w:val="auto"/>
          <w:szCs w:val="24"/>
        </w:rPr>
        <w:t>.</w:t>
      </w:r>
    </w:p>
    <w:p w14:paraId="788B27DF" w14:textId="05CE6081" w:rsidR="00930223" w:rsidRPr="00D43349" w:rsidRDefault="004004EA" w:rsidP="00BA05FB">
      <w:pPr>
        <w:pStyle w:val="Body"/>
        <w:spacing w:line="360" w:lineRule="auto"/>
        <w:ind w:firstLineChars="200" w:firstLine="480"/>
        <w:jc w:val="both"/>
        <w:rPr>
          <w:rFonts w:ascii="Book Antiqua" w:hAnsi="Book Antiqua"/>
          <w:color w:val="auto"/>
          <w:szCs w:val="24"/>
        </w:rPr>
      </w:pPr>
      <w:r w:rsidRPr="00D43349">
        <w:rPr>
          <w:rFonts w:ascii="Book Antiqua" w:hAnsi="Book Antiqua"/>
          <w:color w:val="auto"/>
          <w:szCs w:val="24"/>
        </w:rPr>
        <w:t>STSs in the pediatric age group are a heterogeneous group of rare mesenchymal tumors. Survival outcome in pediatric STS has improved since cooperative studies were initiated by various international organizations, particularly the International Rhabdomyosarcoma Study Group. Treatment of these tumors relies on knowledge of their natural history and tumor biology as this information is used to categorize STSs according to their risk. Although surgery has been the main treatment in localized low-risk tumors, good outcomes are not achieved without adjuvant radiation and chemotherapy. Future studies in the treatment of STS are directed toward the use of molecular diagnosis as an integral part of tumor classification. While novel modalities for the treatment of advanced stage tumors are under investigation, trials should be conducted on the reduction of treatment intensity in low-risk patients.</w:t>
      </w:r>
    </w:p>
    <w:p w14:paraId="0D857C5E" w14:textId="77777777" w:rsidR="00930223" w:rsidRPr="00D43349" w:rsidRDefault="00930223" w:rsidP="00BA05FB">
      <w:pPr>
        <w:pStyle w:val="Body"/>
        <w:spacing w:line="360" w:lineRule="auto"/>
        <w:jc w:val="both"/>
        <w:rPr>
          <w:rFonts w:ascii="Book Antiqua" w:hAnsi="Book Antiqua"/>
          <w:color w:val="auto"/>
          <w:szCs w:val="24"/>
        </w:rPr>
      </w:pPr>
    </w:p>
    <w:p w14:paraId="5500DA6B" w14:textId="47222836" w:rsidR="00930223" w:rsidRPr="00D43349" w:rsidRDefault="00254E6D" w:rsidP="00BA05FB">
      <w:pPr>
        <w:pStyle w:val="Body"/>
        <w:spacing w:line="360" w:lineRule="auto"/>
        <w:jc w:val="both"/>
        <w:rPr>
          <w:rFonts w:ascii="Book Antiqua" w:hAnsi="Book Antiqua"/>
          <w:color w:val="auto"/>
          <w:szCs w:val="24"/>
        </w:rPr>
      </w:pPr>
      <w:r w:rsidRPr="00D43349">
        <w:rPr>
          <w:rFonts w:ascii="Book Antiqua" w:hAnsi="Book Antiqua"/>
          <w:b/>
          <w:color w:val="auto"/>
          <w:szCs w:val="24"/>
        </w:rPr>
        <w:t>ACKNOWLEDGEMENTS</w:t>
      </w:r>
    </w:p>
    <w:p w14:paraId="7B1DE3AA" w14:textId="275B317C" w:rsidR="00A825DA" w:rsidRDefault="004004EA" w:rsidP="00BA05FB">
      <w:pPr>
        <w:pStyle w:val="Body"/>
        <w:spacing w:line="360" w:lineRule="auto"/>
        <w:jc w:val="both"/>
        <w:rPr>
          <w:rFonts w:ascii="Book Antiqua" w:hAnsi="Book Antiqua"/>
          <w:color w:val="auto"/>
          <w:szCs w:val="24"/>
        </w:rPr>
      </w:pPr>
      <w:r w:rsidRPr="00D43349">
        <w:rPr>
          <w:rFonts w:ascii="Book Antiqua" w:hAnsi="Book Antiqua"/>
          <w:color w:val="auto"/>
          <w:szCs w:val="24"/>
        </w:rPr>
        <w:t>The Anandamahidol Foundation, Thailand provided support to Sangkhathat S for this work. The inclusion of clinical and radiological pictures was approved by the Institution Review Board of the Faculty of Medicine, Prince of Songkla University. The author acknowledges the help of Dave Patterson in English language editing for the manuscript.</w:t>
      </w:r>
    </w:p>
    <w:p w14:paraId="0294C61C" w14:textId="77777777" w:rsidR="00DB4135" w:rsidRPr="00A825DA" w:rsidRDefault="00DB4135" w:rsidP="00BA05FB">
      <w:pPr>
        <w:pStyle w:val="Body"/>
        <w:spacing w:line="360" w:lineRule="auto"/>
        <w:jc w:val="both"/>
        <w:rPr>
          <w:rFonts w:ascii="Book Antiqua" w:hAnsi="Book Antiqua"/>
          <w:color w:val="auto"/>
          <w:szCs w:val="24"/>
          <w:lang w:eastAsia="zh-CN"/>
        </w:rPr>
      </w:pPr>
      <w:bookmarkStart w:id="8" w:name="_GoBack"/>
      <w:bookmarkEnd w:id="8"/>
    </w:p>
    <w:p w14:paraId="663CA8D3" w14:textId="3C88D799" w:rsidR="00930223" w:rsidRDefault="00A825DA" w:rsidP="00BA05FB">
      <w:pPr>
        <w:pStyle w:val="Body"/>
        <w:spacing w:line="360" w:lineRule="auto"/>
        <w:jc w:val="both"/>
        <w:rPr>
          <w:rFonts w:ascii="Book Antiqua" w:hAnsi="Book Antiqua"/>
          <w:b/>
          <w:color w:val="auto"/>
          <w:szCs w:val="24"/>
          <w:lang w:eastAsia="zh-CN"/>
        </w:rPr>
      </w:pPr>
      <w:r w:rsidRPr="00A825DA">
        <w:rPr>
          <w:rFonts w:ascii="Book Antiqua" w:hAnsi="Book Antiqua"/>
          <w:b/>
          <w:color w:val="auto"/>
          <w:szCs w:val="24"/>
          <w:lang w:eastAsia="zh-CN"/>
        </w:rPr>
        <w:t>REFERENCES</w:t>
      </w:r>
    </w:p>
    <w:p w14:paraId="3C84A9E9"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1 </w:t>
      </w:r>
      <w:r w:rsidRPr="00207430">
        <w:rPr>
          <w:rFonts w:ascii="Book Antiqua" w:hAnsi="Book Antiqua" w:cs="宋体"/>
          <w:b/>
          <w:bCs/>
          <w:szCs w:val="24"/>
        </w:rPr>
        <w:t>Kaatsch P</w:t>
      </w:r>
      <w:r w:rsidRPr="00207430">
        <w:rPr>
          <w:rFonts w:ascii="Book Antiqua" w:hAnsi="Book Antiqua" w:cs="宋体"/>
          <w:szCs w:val="24"/>
        </w:rPr>
        <w:t xml:space="preserve">. Epidemiology of childhood cancer. </w:t>
      </w:r>
      <w:r w:rsidRPr="00207430">
        <w:rPr>
          <w:rFonts w:ascii="Book Antiqua" w:hAnsi="Book Antiqua" w:cs="宋体"/>
          <w:i/>
          <w:iCs/>
          <w:szCs w:val="24"/>
        </w:rPr>
        <w:t>Cancer Treat Rev</w:t>
      </w:r>
      <w:r w:rsidRPr="00207430">
        <w:rPr>
          <w:rFonts w:ascii="Book Antiqua" w:hAnsi="Book Antiqua" w:cs="宋体"/>
          <w:szCs w:val="24"/>
        </w:rPr>
        <w:t xml:space="preserve"> 2010; </w:t>
      </w:r>
      <w:r w:rsidRPr="00207430">
        <w:rPr>
          <w:rFonts w:ascii="Book Antiqua" w:hAnsi="Book Antiqua" w:cs="宋体"/>
          <w:b/>
          <w:bCs/>
          <w:szCs w:val="24"/>
        </w:rPr>
        <w:t>36</w:t>
      </w:r>
      <w:r w:rsidRPr="00207430">
        <w:rPr>
          <w:rFonts w:ascii="Book Antiqua" w:hAnsi="Book Antiqua" w:cs="宋体"/>
          <w:szCs w:val="24"/>
        </w:rPr>
        <w:t>: 277-285 [PMID: 20231056 DOI: 10.1016/j.ctrv.2010.02.003]</w:t>
      </w:r>
    </w:p>
    <w:p w14:paraId="4877145B"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2 </w:t>
      </w:r>
      <w:r w:rsidRPr="00207430">
        <w:rPr>
          <w:rFonts w:ascii="Book Antiqua" w:hAnsi="Book Antiqua" w:cs="宋体"/>
          <w:b/>
          <w:bCs/>
          <w:szCs w:val="24"/>
        </w:rPr>
        <w:t>Hadley LG</w:t>
      </w:r>
      <w:r w:rsidRPr="00207430">
        <w:rPr>
          <w:rFonts w:ascii="Book Antiqua" w:hAnsi="Book Antiqua" w:cs="宋体"/>
          <w:szCs w:val="24"/>
        </w:rPr>
        <w:t xml:space="preserve">, Rouma BS, Saad-Eldin Y. Challenge of pediatric oncology in Africa. </w:t>
      </w:r>
      <w:r w:rsidRPr="00207430">
        <w:rPr>
          <w:rFonts w:ascii="Book Antiqua" w:hAnsi="Book Antiqua" w:cs="宋体"/>
          <w:i/>
          <w:iCs/>
          <w:szCs w:val="24"/>
        </w:rPr>
        <w:t>Semin Pediatr Surg</w:t>
      </w:r>
      <w:r w:rsidRPr="00207430">
        <w:rPr>
          <w:rFonts w:ascii="Book Antiqua" w:hAnsi="Book Antiqua" w:cs="宋体"/>
          <w:szCs w:val="24"/>
        </w:rPr>
        <w:t xml:space="preserve"> 2012; </w:t>
      </w:r>
      <w:r w:rsidRPr="00207430">
        <w:rPr>
          <w:rFonts w:ascii="Book Antiqua" w:hAnsi="Book Antiqua" w:cs="宋体"/>
          <w:b/>
          <w:bCs/>
          <w:szCs w:val="24"/>
        </w:rPr>
        <w:t>21</w:t>
      </w:r>
      <w:r w:rsidRPr="00207430">
        <w:rPr>
          <w:rFonts w:ascii="Book Antiqua" w:hAnsi="Book Antiqua" w:cs="宋体"/>
          <w:szCs w:val="24"/>
        </w:rPr>
        <w:t>: 136-141 [PMID: 22475119 DOI: 10.1053/j.sempedsurg.2012.01.006]</w:t>
      </w:r>
    </w:p>
    <w:p w14:paraId="1B54B031"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lastRenderedPageBreak/>
        <w:t xml:space="preserve">3 </w:t>
      </w:r>
      <w:r w:rsidRPr="00207430">
        <w:rPr>
          <w:rFonts w:ascii="Book Antiqua" w:hAnsi="Book Antiqua" w:cs="宋体"/>
          <w:b/>
          <w:bCs/>
          <w:szCs w:val="24"/>
        </w:rPr>
        <w:t>Siegel DA</w:t>
      </w:r>
      <w:r w:rsidRPr="00207430">
        <w:rPr>
          <w:rFonts w:ascii="Book Antiqua" w:hAnsi="Book Antiqua" w:cs="宋体"/>
          <w:szCs w:val="24"/>
        </w:rPr>
        <w:t xml:space="preserve">, King J, Tai E, Buchanan N, Ajani UA, Li J. Cancer incidence rates and trends among children and adolescents in the United States, 2001-2009. </w:t>
      </w:r>
      <w:r w:rsidRPr="00207430">
        <w:rPr>
          <w:rFonts w:ascii="Book Antiqua" w:hAnsi="Book Antiqua" w:cs="宋体"/>
          <w:i/>
          <w:iCs/>
          <w:szCs w:val="24"/>
        </w:rPr>
        <w:t>Pediatrics</w:t>
      </w:r>
      <w:r w:rsidRPr="00207430">
        <w:rPr>
          <w:rFonts w:ascii="Book Antiqua" w:hAnsi="Book Antiqua" w:cs="宋体"/>
          <w:szCs w:val="24"/>
        </w:rPr>
        <w:t xml:space="preserve"> 2014; </w:t>
      </w:r>
      <w:r w:rsidRPr="00207430">
        <w:rPr>
          <w:rFonts w:ascii="Book Antiqua" w:hAnsi="Book Antiqua" w:cs="宋体"/>
          <w:b/>
          <w:bCs/>
          <w:szCs w:val="24"/>
        </w:rPr>
        <w:t>134</w:t>
      </w:r>
      <w:r w:rsidRPr="00207430">
        <w:rPr>
          <w:rFonts w:ascii="Book Antiqua" w:hAnsi="Book Antiqua" w:cs="宋体"/>
          <w:szCs w:val="24"/>
        </w:rPr>
        <w:t>: e945-e955 [PMID: 25201796 DOI: 10.1542/peds.2013-3926]</w:t>
      </w:r>
    </w:p>
    <w:p w14:paraId="1AF80612"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4 </w:t>
      </w:r>
      <w:r w:rsidRPr="00207430">
        <w:rPr>
          <w:rFonts w:ascii="Book Antiqua" w:hAnsi="Book Antiqua" w:cs="宋体"/>
          <w:b/>
          <w:bCs/>
          <w:szCs w:val="24"/>
        </w:rPr>
        <w:t>Ward E</w:t>
      </w:r>
      <w:r w:rsidRPr="00207430">
        <w:rPr>
          <w:rFonts w:ascii="Book Antiqua" w:hAnsi="Book Antiqua" w:cs="宋体"/>
          <w:szCs w:val="24"/>
        </w:rPr>
        <w:t xml:space="preserve">, DeSantis C, Robbins A, Kohler B, Jemal A. Childhood and adolescent cancer statistics, 2014. </w:t>
      </w:r>
      <w:r w:rsidRPr="00207430">
        <w:rPr>
          <w:rFonts w:ascii="Book Antiqua" w:hAnsi="Book Antiqua" w:cs="宋体"/>
          <w:i/>
          <w:iCs/>
          <w:szCs w:val="24"/>
        </w:rPr>
        <w:t>CA Cancer J Clin</w:t>
      </w:r>
      <w:r w:rsidRPr="00207430">
        <w:rPr>
          <w:rFonts w:ascii="Book Antiqua" w:hAnsi="Book Antiqua" w:cs="宋体"/>
          <w:szCs w:val="24"/>
        </w:rPr>
        <w:t xml:space="preserve"> </w:t>
      </w:r>
      <w:r>
        <w:rPr>
          <w:rFonts w:ascii="Book Antiqua" w:hAnsi="Book Antiqua" w:cs="宋体" w:hint="eastAsia"/>
          <w:szCs w:val="24"/>
        </w:rPr>
        <w:t>2014</w:t>
      </w:r>
      <w:r w:rsidRPr="00207430">
        <w:rPr>
          <w:rFonts w:ascii="Book Antiqua" w:hAnsi="Book Antiqua" w:cs="宋体"/>
          <w:szCs w:val="24"/>
        </w:rPr>
        <w:t xml:space="preserve">; </w:t>
      </w:r>
      <w:r w:rsidRPr="00207430">
        <w:rPr>
          <w:rFonts w:ascii="Book Antiqua" w:hAnsi="Book Antiqua" w:cs="宋体"/>
          <w:b/>
          <w:bCs/>
          <w:szCs w:val="24"/>
        </w:rPr>
        <w:t>64</w:t>
      </w:r>
      <w:r w:rsidRPr="00207430">
        <w:rPr>
          <w:rFonts w:ascii="Book Antiqua" w:hAnsi="Book Antiqua" w:cs="宋体"/>
          <w:szCs w:val="24"/>
        </w:rPr>
        <w:t>: 83-103 [PMID: 24488779 DOI: 10.3322/caac.21219]</w:t>
      </w:r>
    </w:p>
    <w:p w14:paraId="380D91D8"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5 </w:t>
      </w:r>
      <w:r w:rsidRPr="00207430">
        <w:rPr>
          <w:rFonts w:ascii="Book Antiqua" w:hAnsi="Book Antiqua" w:cs="宋体"/>
          <w:b/>
          <w:bCs/>
          <w:szCs w:val="24"/>
        </w:rPr>
        <w:t>Liu YL</w:t>
      </w:r>
      <w:r w:rsidRPr="00207430">
        <w:rPr>
          <w:rFonts w:ascii="Book Antiqua" w:hAnsi="Book Antiqua" w:cs="宋体"/>
          <w:szCs w:val="24"/>
        </w:rPr>
        <w:t xml:space="preserve">, Lo WC, Chiang CJ, Yang YW, Lu MY, Hsu WM, Ho WL, Li MJ, Miser JS, Lin DT, Lai MS. Incidence of cancer in children aged 0-14 years in Taiwan, 1996-2010. </w:t>
      </w:r>
      <w:r w:rsidRPr="00207430">
        <w:rPr>
          <w:rFonts w:ascii="Book Antiqua" w:hAnsi="Book Antiqua" w:cs="宋体"/>
          <w:i/>
          <w:iCs/>
          <w:szCs w:val="24"/>
        </w:rPr>
        <w:t>Cancer Epidemiol</w:t>
      </w:r>
      <w:r w:rsidRPr="00207430">
        <w:rPr>
          <w:rFonts w:ascii="Book Antiqua" w:hAnsi="Book Antiqua" w:cs="宋体"/>
          <w:szCs w:val="24"/>
        </w:rPr>
        <w:t xml:space="preserve"> 2015; </w:t>
      </w:r>
      <w:r w:rsidRPr="00207430">
        <w:rPr>
          <w:rFonts w:ascii="Book Antiqua" w:hAnsi="Book Antiqua" w:cs="宋体"/>
          <w:b/>
          <w:bCs/>
          <w:szCs w:val="24"/>
        </w:rPr>
        <w:t>39</w:t>
      </w:r>
      <w:r w:rsidRPr="00207430">
        <w:rPr>
          <w:rFonts w:ascii="Book Antiqua" w:hAnsi="Book Antiqua" w:cs="宋体"/>
          <w:szCs w:val="24"/>
        </w:rPr>
        <w:t>: 21-28 [PMID: 25599927 DOI: 10.1016/j.canep.2014.11.010]</w:t>
      </w:r>
    </w:p>
    <w:p w14:paraId="7BA0D2DF"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6 </w:t>
      </w:r>
      <w:r w:rsidRPr="00207430">
        <w:rPr>
          <w:rFonts w:ascii="Book Antiqua" w:hAnsi="Book Antiqua" w:cs="宋体"/>
          <w:b/>
          <w:bCs/>
          <w:szCs w:val="24"/>
        </w:rPr>
        <w:t>Loeb DM</w:t>
      </w:r>
      <w:r w:rsidRPr="00207430">
        <w:rPr>
          <w:rFonts w:ascii="Book Antiqua" w:hAnsi="Book Antiqua" w:cs="宋体"/>
          <w:szCs w:val="24"/>
        </w:rPr>
        <w:t xml:space="preserve">, Thornton K, Shokek O. Pediatric soft tissue sarcomas. </w:t>
      </w:r>
      <w:r w:rsidRPr="00207430">
        <w:rPr>
          <w:rFonts w:ascii="Book Antiqua" w:hAnsi="Book Antiqua" w:cs="宋体"/>
          <w:i/>
          <w:iCs/>
          <w:szCs w:val="24"/>
        </w:rPr>
        <w:t>Surg Clin North Am</w:t>
      </w:r>
      <w:r w:rsidRPr="00207430">
        <w:rPr>
          <w:rFonts w:ascii="Book Antiqua" w:hAnsi="Book Antiqua" w:cs="宋体"/>
          <w:szCs w:val="24"/>
        </w:rPr>
        <w:t xml:space="preserve"> 2008; </w:t>
      </w:r>
      <w:r w:rsidRPr="00207430">
        <w:rPr>
          <w:rFonts w:ascii="Book Antiqua" w:hAnsi="Book Antiqua" w:cs="宋体"/>
          <w:b/>
          <w:bCs/>
          <w:szCs w:val="24"/>
        </w:rPr>
        <w:t>88</w:t>
      </w:r>
      <w:r w:rsidRPr="00207430">
        <w:rPr>
          <w:rFonts w:ascii="Book Antiqua" w:hAnsi="Book Antiqua" w:cs="宋体"/>
          <w:szCs w:val="24"/>
        </w:rPr>
        <w:t>: 615-</w:t>
      </w:r>
      <w:r>
        <w:rPr>
          <w:rFonts w:ascii="Book Antiqua" w:hAnsi="Book Antiqua" w:cs="宋体" w:hint="eastAsia"/>
          <w:szCs w:val="24"/>
        </w:rPr>
        <w:t>6</w:t>
      </w:r>
      <w:r w:rsidRPr="00207430">
        <w:rPr>
          <w:rFonts w:ascii="Book Antiqua" w:hAnsi="Book Antiqua" w:cs="宋体"/>
          <w:szCs w:val="24"/>
        </w:rPr>
        <w:t>27, vii [PMID: 18514702 DOI: 10.1016/j.suc.2008.03.008]</w:t>
      </w:r>
    </w:p>
    <w:p w14:paraId="63C6B92F"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7 </w:t>
      </w:r>
      <w:r w:rsidRPr="00207430">
        <w:rPr>
          <w:rFonts w:ascii="Book Antiqua" w:hAnsi="Book Antiqua" w:cs="宋体"/>
          <w:b/>
          <w:bCs/>
          <w:szCs w:val="24"/>
        </w:rPr>
        <w:t>Kapoor G</w:t>
      </w:r>
      <w:r w:rsidRPr="00207430">
        <w:rPr>
          <w:rFonts w:ascii="Book Antiqua" w:hAnsi="Book Antiqua" w:cs="宋体"/>
          <w:szCs w:val="24"/>
        </w:rPr>
        <w:t xml:space="preserve">, Das K. Soft tissue sarcomas in children. </w:t>
      </w:r>
      <w:r w:rsidRPr="00207430">
        <w:rPr>
          <w:rFonts w:ascii="Book Antiqua" w:hAnsi="Book Antiqua" w:cs="宋体"/>
          <w:i/>
          <w:iCs/>
          <w:szCs w:val="24"/>
        </w:rPr>
        <w:t>Indian J Pediatr</w:t>
      </w:r>
      <w:r w:rsidRPr="00207430">
        <w:rPr>
          <w:rFonts w:ascii="Book Antiqua" w:hAnsi="Book Antiqua" w:cs="宋体"/>
          <w:szCs w:val="24"/>
        </w:rPr>
        <w:t xml:space="preserve"> 2012; </w:t>
      </w:r>
      <w:r w:rsidRPr="00207430">
        <w:rPr>
          <w:rFonts w:ascii="Book Antiqua" w:hAnsi="Book Antiqua" w:cs="宋体"/>
          <w:b/>
          <w:bCs/>
          <w:szCs w:val="24"/>
        </w:rPr>
        <w:t>79</w:t>
      </w:r>
      <w:r w:rsidRPr="00207430">
        <w:rPr>
          <w:rFonts w:ascii="Book Antiqua" w:hAnsi="Book Antiqua" w:cs="宋体"/>
          <w:szCs w:val="24"/>
        </w:rPr>
        <w:t>: 936-942 [PMID: 21935710 DOI: 10.1007/s12098-011-0560-4]</w:t>
      </w:r>
    </w:p>
    <w:p w14:paraId="59BB29CC"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8 </w:t>
      </w:r>
      <w:r w:rsidRPr="00207430">
        <w:rPr>
          <w:rFonts w:ascii="Book Antiqua" w:hAnsi="Book Antiqua" w:cs="宋体"/>
          <w:b/>
          <w:bCs/>
          <w:szCs w:val="24"/>
        </w:rPr>
        <w:t>Steliarova-Foucher E</w:t>
      </w:r>
      <w:r w:rsidRPr="00207430">
        <w:rPr>
          <w:rFonts w:ascii="Book Antiqua" w:hAnsi="Book Antiqua" w:cs="宋体"/>
          <w:szCs w:val="24"/>
        </w:rPr>
        <w:t xml:space="preserve">, Stiller C, Lacour B, Kaatsch P. International Classification of Childhood Cancer, third edition. </w:t>
      </w:r>
      <w:r w:rsidRPr="00207430">
        <w:rPr>
          <w:rFonts w:ascii="Book Antiqua" w:hAnsi="Book Antiqua" w:cs="宋体"/>
          <w:i/>
          <w:iCs/>
          <w:szCs w:val="24"/>
        </w:rPr>
        <w:t>Cancer</w:t>
      </w:r>
      <w:r w:rsidRPr="00207430">
        <w:rPr>
          <w:rFonts w:ascii="Book Antiqua" w:hAnsi="Book Antiqua" w:cs="宋体"/>
          <w:szCs w:val="24"/>
        </w:rPr>
        <w:t xml:space="preserve"> 2005; </w:t>
      </w:r>
      <w:r w:rsidRPr="00207430">
        <w:rPr>
          <w:rFonts w:ascii="Book Antiqua" w:hAnsi="Book Antiqua" w:cs="宋体"/>
          <w:b/>
          <w:bCs/>
          <w:szCs w:val="24"/>
        </w:rPr>
        <w:t>103</w:t>
      </w:r>
      <w:r w:rsidRPr="00207430">
        <w:rPr>
          <w:rFonts w:ascii="Book Antiqua" w:hAnsi="Book Antiqua" w:cs="宋体"/>
          <w:szCs w:val="24"/>
        </w:rPr>
        <w:t>: 1457-1467 [PMID: 15712273 DOI: 10.1002/cncr.20910]</w:t>
      </w:r>
    </w:p>
    <w:p w14:paraId="7C3F5C42"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9 </w:t>
      </w:r>
      <w:r w:rsidRPr="00207430">
        <w:rPr>
          <w:rFonts w:ascii="Book Antiqua" w:hAnsi="Book Antiqua" w:cs="宋体"/>
          <w:b/>
          <w:bCs/>
          <w:szCs w:val="24"/>
        </w:rPr>
        <w:t>Dasgupta R</w:t>
      </w:r>
      <w:r w:rsidRPr="00207430">
        <w:rPr>
          <w:rFonts w:ascii="Book Antiqua" w:hAnsi="Book Antiqua" w:cs="宋体"/>
          <w:szCs w:val="24"/>
        </w:rPr>
        <w:t xml:space="preserve">, Rodeberg DA. Update on rhabdomyosarcoma. </w:t>
      </w:r>
      <w:r w:rsidRPr="00207430">
        <w:rPr>
          <w:rFonts w:ascii="Book Antiqua" w:hAnsi="Book Antiqua" w:cs="宋体"/>
          <w:i/>
          <w:iCs/>
          <w:szCs w:val="24"/>
        </w:rPr>
        <w:t>Semin Pediatr Surg</w:t>
      </w:r>
      <w:r w:rsidRPr="00207430">
        <w:rPr>
          <w:rFonts w:ascii="Book Antiqua" w:hAnsi="Book Antiqua" w:cs="宋体"/>
          <w:szCs w:val="24"/>
        </w:rPr>
        <w:t xml:space="preserve"> 2012; </w:t>
      </w:r>
      <w:r w:rsidRPr="00207430">
        <w:rPr>
          <w:rFonts w:ascii="Book Antiqua" w:hAnsi="Book Antiqua" w:cs="宋体"/>
          <w:b/>
          <w:bCs/>
          <w:szCs w:val="24"/>
        </w:rPr>
        <w:t>21</w:t>
      </w:r>
      <w:r w:rsidRPr="00207430">
        <w:rPr>
          <w:rFonts w:ascii="Book Antiqua" w:hAnsi="Book Antiqua" w:cs="宋体"/>
          <w:szCs w:val="24"/>
        </w:rPr>
        <w:t>: 68-78 [PMID: 22248972 DOI: 10.1053/j.sempedsurg.2011.10.007]</w:t>
      </w:r>
    </w:p>
    <w:p w14:paraId="25C3586C"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10 </w:t>
      </w:r>
      <w:r w:rsidRPr="00207430">
        <w:rPr>
          <w:rFonts w:ascii="Book Antiqua" w:hAnsi="Book Antiqua" w:cs="宋体"/>
          <w:b/>
          <w:bCs/>
          <w:szCs w:val="24"/>
        </w:rPr>
        <w:t>Crucis A</w:t>
      </w:r>
      <w:r w:rsidRPr="00207430">
        <w:rPr>
          <w:rFonts w:ascii="Book Antiqua" w:hAnsi="Book Antiqua" w:cs="宋体"/>
          <w:szCs w:val="24"/>
        </w:rPr>
        <w:t xml:space="preserve">, Richer W, Brugières L, Bergeron C, Marie-Cardine A, Stephan JL, Girard P, Corradini N, Munzer M, Lacour B, Minard-Colin V, Sarnacki S, Ranchere-Vince D, Orbach D, Bourdeaut F. Rhabdomyosarcomas in children with neurofibromatosis type I: A national historical cohort. </w:t>
      </w:r>
      <w:r w:rsidRPr="00207430">
        <w:rPr>
          <w:rFonts w:ascii="Book Antiqua" w:hAnsi="Book Antiqua" w:cs="宋体"/>
          <w:i/>
          <w:iCs/>
          <w:szCs w:val="24"/>
        </w:rPr>
        <w:t>Pediatr Blood Cancer</w:t>
      </w:r>
      <w:r w:rsidRPr="00207430">
        <w:rPr>
          <w:rFonts w:ascii="Book Antiqua" w:hAnsi="Book Antiqua" w:cs="宋体"/>
          <w:szCs w:val="24"/>
        </w:rPr>
        <w:t xml:space="preserve"> 2015; </w:t>
      </w:r>
      <w:r w:rsidRPr="00207430">
        <w:rPr>
          <w:rFonts w:ascii="Book Antiqua" w:hAnsi="Book Antiqua" w:cs="宋体"/>
          <w:b/>
          <w:bCs/>
          <w:szCs w:val="24"/>
        </w:rPr>
        <w:t>62</w:t>
      </w:r>
      <w:r w:rsidRPr="00207430">
        <w:rPr>
          <w:rFonts w:ascii="Book Antiqua" w:hAnsi="Book Antiqua" w:cs="宋体"/>
          <w:szCs w:val="24"/>
        </w:rPr>
        <w:t>: 1733-1738 [PMID: 25893277 DOI: 10.1002/pbc.25556]</w:t>
      </w:r>
    </w:p>
    <w:p w14:paraId="5223F83B"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11 </w:t>
      </w:r>
      <w:r w:rsidRPr="00207430">
        <w:rPr>
          <w:rFonts w:ascii="Book Antiqua" w:hAnsi="Book Antiqua" w:cs="宋体"/>
          <w:b/>
          <w:bCs/>
          <w:szCs w:val="24"/>
        </w:rPr>
        <w:t>Paulino AC</w:t>
      </w:r>
      <w:r w:rsidRPr="00207430">
        <w:rPr>
          <w:rFonts w:ascii="Book Antiqua" w:hAnsi="Book Antiqua" w:cs="宋体"/>
          <w:szCs w:val="24"/>
        </w:rPr>
        <w:t xml:space="preserve">, Okcu MF. Rhabdomyosarcoma. </w:t>
      </w:r>
      <w:r w:rsidRPr="00207430">
        <w:rPr>
          <w:rFonts w:ascii="Book Antiqua" w:hAnsi="Book Antiqua" w:cs="宋体"/>
          <w:i/>
          <w:iCs/>
          <w:szCs w:val="24"/>
        </w:rPr>
        <w:t>Curr Probl Cancer</w:t>
      </w:r>
      <w:r w:rsidRPr="00207430">
        <w:rPr>
          <w:rFonts w:ascii="Book Antiqua" w:hAnsi="Book Antiqua" w:cs="宋体"/>
          <w:szCs w:val="24"/>
        </w:rPr>
        <w:t xml:space="preserve"> </w:t>
      </w:r>
      <w:r>
        <w:rPr>
          <w:rFonts w:ascii="Book Antiqua" w:hAnsi="Book Antiqua" w:cs="宋体" w:hint="eastAsia"/>
          <w:szCs w:val="24"/>
        </w:rPr>
        <w:t>2008</w:t>
      </w:r>
      <w:r w:rsidRPr="00207430">
        <w:rPr>
          <w:rFonts w:ascii="Book Antiqua" w:hAnsi="Book Antiqua" w:cs="宋体"/>
          <w:szCs w:val="24"/>
        </w:rPr>
        <w:t xml:space="preserve">; </w:t>
      </w:r>
      <w:r w:rsidRPr="00207430">
        <w:rPr>
          <w:rFonts w:ascii="Book Antiqua" w:hAnsi="Book Antiqua" w:cs="宋体"/>
          <w:b/>
          <w:bCs/>
          <w:szCs w:val="24"/>
        </w:rPr>
        <w:t>32</w:t>
      </w:r>
      <w:r w:rsidRPr="00207430">
        <w:rPr>
          <w:rFonts w:ascii="Book Antiqua" w:hAnsi="Book Antiqua" w:cs="宋体"/>
          <w:szCs w:val="24"/>
        </w:rPr>
        <w:t>: 7-34 [PMID: 18206520 DOI: 10.1016/j.currproblcancer.2007.11.001]</w:t>
      </w:r>
    </w:p>
    <w:p w14:paraId="48F6D6D6"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12 </w:t>
      </w:r>
      <w:r w:rsidRPr="00207430">
        <w:rPr>
          <w:rFonts w:ascii="Book Antiqua" w:hAnsi="Book Antiqua" w:cs="宋体"/>
          <w:b/>
          <w:bCs/>
          <w:szCs w:val="24"/>
        </w:rPr>
        <w:t>Leaphart C</w:t>
      </w:r>
      <w:r w:rsidRPr="00207430">
        <w:rPr>
          <w:rFonts w:ascii="Book Antiqua" w:hAnsi="Book Antiqua" w:cs="宋体"/>
          <w:szCs w:val="24"/>
        </w:rPr>
        <w:t xml:space="preserve">, Rodeberg D. Pediatric surgical oncology: management of rhabdomyosarcoma. </w:t>
      </w:r>
      <w:r w:rsidRPr="00207430">
        <w:rPr>
          <w:rFonts w:ascii="Book Antiqua" w:hAnsi="Book Antiqua" w:cs="宋体"/>
          <w:i/>
          <w:iCs/>
          <w:szCs w:val="24"/>
        </w:rPr>
        <w:t>Surg Oncol</w:t>
      </w:r>
      <w:r w:rsidRPr="00207430">
        <w:rPr>
          <w:rFonts w:ascii="Book Antiqua" w:hAnsi="Book Antiqua" w:cs="宋体"/>
          <w:szCs w:val="24"/>
        </w:rPr>
        <w:t xml:space="preserve"> 2007; </w:t>
      </w:r>
      <w:r w:rsidRPr="00207430">
        <w:rPr>
          <w:rFonts w:ascii="Book Antiqua" w:hAnsi="Book Antiqua" w:cs="宋体"/>
          <w:b/>
          <w:bCs/>
          <w:szCs w:val="24"/>
        </w:rPr>
        <w:t>16</w:t>
      </w:r>
      <w:r w:rsidRPr="00207430">
        <w:rPr>
          <w:rFonts w:ascii="Book Antiqua" w:hAnsi="Book Antiqua" w:cs="宋体"/>
          <w:szCs w:val="24"/>
        </w:rPr>
        <w:t>: 173-185 [PMID: 17689957 DOI: 10.1016/j.suronc.2007.07.003]</w:t>
      </w:r>
    </w:p>
    <w:p w14:paraId="409C9CB2"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13 </w:t>
      </w:r>
      <w:r w:rsidRPr="00207430">
        <w:rPr>
          <w:rFonts w:ascii="Book Antiqua" w:hAnsi="Book Antiqua" w:cs="宋体"/>
          <w:b/>
          <w:bCs/>
          <w:szCs w:val="24"/>
        </w:rPr>
        <w:t>Ilivitzki A</w:t>
      </w:r>
      <w:r w:rsidRPr="00207430">
        <w:rPr>
          <w:rFonts w:ascii="Book Antiqua" w:hAnsi="Book Antiqua" w:cs="宋体"/>
          <w:szCs w:val="24"/>
        </w:rPr>
        <w:t xml:space="preserve">, Abugazala M, Arkovitz M, Benbarak A, Postovsky S, Arad-Cohen N, Ben-Arush M. Ultrasound-guided core biopsy as the primary tool for tissue </w:t>
      </w:r>
      <w:r w:rsidRPr="00207430">
        <w:rPr>
          <w:rFonts w:ascii="Book Antiqua" w:hAnsi="Book Antiqua" w:cs="宋体"/>
          <w:szCs w:val="24"/>
        </w:rPr>
        <w:lastRenderedPageBreak/>
        <w:t xml:space="preserve">diagnosis in pediatric oncology. </w:t>
      </w:r>
      <w:r w:rsidRPr="00207430">
        <w:rPr>
          <w:rFonts w:ascii="Book Antiqua" w:hAnsi="Book Antiqua" w:cs="宋体"/>
          <w:i/>
          <w:iCs/>
          <w:szCs w:val="24"/>
        </w:rPr>
        <w:t>J Pediatr Hematol Oncol</w:t>
      </w:r>
      <w:r w:rsidRPr="00207430">
        <w:rPr>
          <w:rFonts w:ascii="Book Antiqua" w:hAnsi="Book Antiqua" w:cs="宋体"/>
          <w:szCs w:val="24"/>
        </w:rPr>
        <w:t xml:space="preserve"> 2014; </w:t>
      </w:r>
      <w:r w:rsidRPr="00207430">
        <w:rPr>
          <w:rFonts w:ascii="Book Antiqua" w:hAnsi="Book Antiqua" w:cs="宋体"/>
          <w:b/>
          <w:bCs/>
          <w:szCs w:val="24"/>
        </w:rPr>
        <w:t>36</w:t>
      </w:r>
      <w:r w:rsidRPr="00207430">
        <w:rPr>
          <w:rFonts w:ascii="Book Antiqua" w:hAnsi="Book Antiqua" w:cs="宋体"/>
          <w:szCs w:val="24"/>
        </w:rPr>
        <w:t>: 333-336 [PMID: 23274381 DOI: 10.1097/MPH.0b013e31827e4c4d]</w:t>
      </w:r>
    </w:p>
    <w:p w14:paraId="5334210B"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14 </w:t>
      </w:r>
      <w:r w:rsidRPr="00207430">
        <w:rPr>
          <w:rFonts w:ascii="Book Antiqua" w:hAnsi="Book Antiqua" w:cs="宋体"/>
          <w:b/>
          <w:bCs/>
          <w:szCs w:val="24"/>
        </w:rPr>
        <w:t>Federico SM</w:t>
      </w:r>
      <w:r w:rsidRPr="00207430">
        <w:rPr>
          <w:rFonts w:ascii="Book Antiqua" w:hAnsi="Book Antiqua" w:cs="宋体"/>
          <w:szCs w:val="24"/>
        </w:rPr>
        <w:t xml:space="preserve">, Spunt SL, Krasin MJ, Billup CA, Wu J, Shulkin B, Mandell G, McCarville MB. Comparison of PET-CT and conventional imaging in staging pediatric rhabdomyosarcoma. </w:t>
      </w:r>
      <w:r w:rsidRPr="00207430">
        <w:rPr>
          <w:rFonts w:ascii="Book Antiqua" w:hAnsi="Book Antiqua" w:cs="宋体"/>
          <w:i/>
          <w:iCs/>
          <w:szCs w:val="24"/>
        </w:rPr>
        <w:t>Pediatr Blood Cancer</w:t>
      </w:r>
      <w:r w:rsidRPr="00207430">
        <w:rPr>
          <w:rFonts w:ascii="Book Antiqua" w:hAnsi="Book Antiqua" w:cs="宋体"/>
          <w:szCs w:val="24"/>
        </w:rPr>
        <w:t xml:space="preserve"> 2013; </w:t>
      </w:r>
      <w:r w:rsidRPr="00207430">
        <w:rPr>
          <w:rFonts w:ascii="Book Antiqua" w:hAnsi="Book Antiqua" w:cs="宋体"/>
          <w:b/>
          <w:bCs/>
          <w:szCs w:val="24"/>
        </w:rPr>
        <w:t>60</w:t>
      </w:r>
      <w:r w:rsidRPr="00207430">
        <w:rPr>
          <w:rFonts w:ascii="Book Antiqua" w:hAnsi="Book Antiqua" w:cs="宋体"/>
          <w:szCs w:val="24"/>
        </w:rPr>
        <w:t>: 1128-1134 [PMID: 23255260 DOI: 10.1002/pbc.24430]</w:t>
      </w:r>
    </w:p>
    <w:p w14:paraId="11E48EAC"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15 </w:t>
      </w:r>
      <w:r w:rsidRPr="00207430">
        <w:rPr>
          <w:rFonts w:ascii="Book Antiqua" w:hAnsi="Book Antiqua" w:cs="宋体"/>
          <w:b/>
          <w:bCs/>
          <w:szCs w:val="24"/>
        </w:rPr>
        <w:t>Norman G</w:t>
      </w:r>
      <w:r w:rsidRPr="00207430">
        <w:rPr>
          <w:rFonts w:ascii="Book Antiqua" w:hAnsi="Book Antiqua" w:cs="宋体"/>
          <w:szCs w:val="24"/>
        </w:rPr>
        <w:t xml:space="preserve">, Fayter D, Lewis-Light K, McHugh K, Levine D, Phillips B. Mind the gap: extent of use of diffusion-weighted MRI in children with rhabdomyosarcoma. </w:t>
      </w:r>
      <w:r w:rsidRPr="00207430">
        <w:rPr>
          <w:rFonts w:ascii="Book Antiqua" w:hAnsi="Book Antiqua" w:cs="宋体"/>
          <w:i/>
          <w:iCs/>
          <w:szCs w:val="24"/>
        </w:rPr>
        <w:t>Pediatr Radiol</w:t>
      </w:r>
      <w:r w:rsidRPr="00207430">
        <w:rPr>
          <w:rFonts w:ascii="Book Antiqua" w:hAnsi="Book Antiqua" w:cs="宋体"/>
          <w:szCs w:val="24"/>
        </w:rPr>
        <w:t xml:space="preserve"> 2015; </w:t>
      </w:r>
      <w:r w:rsidRPr="00207430">
        <w:rPr>
          <w:rFonts w:ascii="Book Antiqua" w:hAnsi="Book Antiqua" w:cs="宋体"/>
          <w:b/>
          <w:bCs/>
          <w:szCs w:val="24"/>
        </w:rPr>
        <w:t>45</w:t>
      </w:r>
      <w:r w:rsidRPr="00207430">
        <w:rPr>
          <w:rFonts w:ascii="Book Antiqua" w:hAnsi="Book Antiqua" w:cs="宋体"/>
          <w:szCs w:val="24"/>
        </w:rPr>
        <w:t>: 778-781 [PMID: 25208650 DOI: 10.1007/s00247-014-3120-z]</w:t>
      </w:r>
    </w:p>
    <w:p w14:paraId="084210A3"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16 </w:t>
      </w:r>
      <w:r w:rsidRPr="00207430">
        <w:rPr>
          <w:rFonts w:ascii="Book Antiqua" w:hAnsi="Book Antiqua" w:cs="宋体"/>
          <w:b/>
          <w:bCs/>
          <w:szCs w:val="24"/>
        </w:rPr>
        <w:t>Alcorn KM</w:t>
      </w:r>
      <w:r w:rsidRPr="00207430">
        <w:rPr>
          <w:rFonts w:ascii="Book Antiqua" w:hAnsi="Book Antiqua" w:cs="宋体"/>
          <w:szCs w:val="24"/>
        </w:rPr>
        <w:t xml:space="preserve">, Deans KJ, Congeni A, Sulkowski JP, Bagatell R, Mattei P, Minneci PC. Sentinel lymph node biopsy in pediatric soft tissue sarcoma patients: utility and concordance with imaging. </w:t>
      </w:r>
      <w:r w:rsidRPr="00207430">
        <w:rPr>
          <w:rFonts w:ascii="Book Antiqua" w:hAnsi="Book Antiqua" w:cs="宋体"/>
          <w:i/>
          <w:iCs/>
          <w:szCs w:val="24"/>
        </w:rPr>
        <w:t>J Pediatr Surg</w:t>
      </w:r>
      <w:r w:rsidRPr="00207430">
        <w:rPr>
          <w:rFonts w:ascii="Book Antiqua" w:hAnsi="Book Antiqua" w:cs="宋体"/>
          <w:szCs w:val="24"/>
        </w:rPr>
        <w:t xml:space="preserve"> 2013; </w:t>
      </w:r>
      <w:r w:rsidRPr="00207430">
        <w:rPr>
          <w:rFonts w:ascii="Book Antiqua" w:hAnsi="Book Antiqua" w:cs="宋体"/>
          <w:b/>
          <w:bCs/>
          <w:szCs w:val="24"/>
        </w:rPr>
        <w:t>48</w:t>
      </w:r>
      <w:r w:rsidRPr="00207430">
        <w:rPr>
          <w:rFonts w:ascii="Book Antiqua" w:hAnsi="Book Antiqua" w:cs="宋体"/>
          <w:szCs w:val="24"/>
        </w:rPr>
        <w:t>: 1903-1906 [PMID: 24074665 DOI: 10.1016/j.jpedsurg.2013.04.013]</w:t>
      </w:r>
    </w:p>
    <w:p w14:paraId="698500DF"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17 </w:t>
      </w:r>
      <w:r w:rsidRPr="00207430">
        <w:rPr>
          <w:rFonts w:ascii="Book Antiqua" w:hAnsi="Book Antiqua" w:cs="宋体"/>
          <w:b/>
          <w:bCs/>
          <w:szCs w:val="24"/>
        </w:rPr>
        <w:t>Dall'Igna P</w:t>
      </w:r>
      <w:r w:rsidRPr="00207430">
        <w:rPr>
          <w:rFonts w:ascii="Book Antiqua" w:hAnsi="Book Antiqua" w:cs="宋体"/>
          <w:szCs w:val="24"/>
        </w:rPr>
        <w:t xml:space="preserve">, De Corti F, Alaggio R, Cecchetto G. Sentinel node biopsy in pediatric patients: the experience in a single institution. </w:t>
      </w:r>
      <w:r w:rsidRPr="00207430">
        <w:rPr>
          <w:rFonts w:ascii="Book Antiqua" w:hAnsi="Book Antiqua" w:cs="宋体"/>
          <w:i/>
          <w:iCs/>
          <w:szCs w:val="24"/>
        </w:rPr>
        <w:t>Eur J Pediatr Surg</w:t>
      </w:r>
      <w:r w:rsidRPr="00207430">
        <w:rPr>
          <w:rFonts w:ascii="Book Antiqua" w:hAnsi="Book Antiqua" w:cs="宋体"/>
          <w:szCs w:val="24"/>
        </w:rPr>
        <w:t xml:space="preserve"> 2014; </w:t>
      </w:r>
      <w:r w:rsidRPr="00207430">
        <w:rPr>
          <w:rFonts w:ascii="Book Antiqua" w:hAnsi="Book Antiqua" w:cs="宋体"/>
          <w:b/>
          <w:bCs/>
          <w:szCs w:val="24"/>
        </w:rPr>
        <w:t>24</w:t>
      </w:r>
      <w:r w:rsidRPr="00207430">
        <w:rPr>
          <w:rFonts w:ascii="Book Antiqua" w:hAnsi="Book Antiqua" w:cs="宋体"/>
          <w:szCs w:val="24"/>
        </w:rPr>
        <w:t>: 482-487 [PMID: 25478665 DOI: 10.1055/s-0034-1396422]</w:t>
      </w:r>
    </w:p>
    <w:p w14:paraId="2E7F6C0A"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18 </w:t>
      </w:r>
      <w:r w:rsidRPr="00207430">
        <w:rPr>
          <w:rFonts w:ascii="Book Antiqua" w:hAnsi="Book Antiqua" w:cs="宋体"/>
          <w:b/>
          <w:bCs/>
          <w:szCs w:val="24"/>
        </w:rPr>
        <w:t>Cecchetto G</w:t>
      </w:r>
      <w:r w:rsidRPr="00207430">
        <w:rPr>
          <w:rFonts w:ascii="Book Antiqua" w:hAnsi="Book Antiqua" w:cs="宋体"/>
          <w:szCs w:val="24"/>
        </w:rPr>
        <w:t xml:space="preserve">, Guglielmi M, Inserra A, Zanetti I, Dall'Igna P, Gigante C, Carli M. Primary re-excision: the Italian experience in patients with localized soft-tissue sarcomas. </w:t>
      </w:r>
      <w:r w:rsidRPr="00207430">
        <w:rPr>
          <w:rFonts w:ascii="Book Antiqua" w:hAnsi="Book Antiqua" w:cs="宋体"/>
          <w:i/>
          <w:iCs/>
          <w:szCs w:val="24"/>
        </w:rPr>
        <w:t>Pediatr Surg Int</w:t>
      </w:r>
      <w:r w:rsidRPr="00207430">
        <w:rPr>
          <w:rFonts w:ascii="Book Antiqua" w:hAnsi="Book Antiqua" w:cs="宋体"/>
          <w:szCs w:val="24"/>
        </w:rPr>
        <w:t xml:space="preserve"> 2001; </w:t>
      </w:r>
      <w:r w:rsidRPr="00207430">
        <w:rPr>
          <w:rFonts w:ascii="Book Antiqua" w:hAnsi="Book Antiqua" w:cs="宋体"/>
          <w:b/>
          <w:bCs/>
          <w:szCs w:val="24"/>
        </w:rPr>
        <w:t>17</w:t>
      </w:r>
      <w:r w:rsidRPr="00207430">
        <w:rPr>
          <w:rFonts w:ascii="Book Antiqua" w:hAnsi="Book Antiqua" w:cs="宋体"/>
          <w:szCs w:val="24"/>
        </w:rPr>
        <w:t>: 532-534 [PMID: 11666052 DOI: 10.1007/s003830100580]</w:t>
      </w:r>
    </w:p>
    <w:p w14:paraId="69608D3A"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19 </w:t>
      </w:r>
      <w:r w:rsidRPr="00207430">
        <w:rPr>
          <w:rFonts w:ascii="Book Antiqua" w:hAnsi="Book Antiqua" w:cs="宋体"/>
          <w:b/>
          <w:bCs/>
          <w:szCs w:val="24"/>
        </w:rPr>
        <w:t>Chui CH</w:t>
      </w:r>
      <w:r w:rsidRPr="00207430">
        <w:rPr>
          <w:rFonts w:ascii="Book Antiqua" w:hAnsi="Book Antiqua" w:cs="宋体"/>
          <w:szCs w:val="24"/>
        </w:rPr>
        <w:t xml:space="preserve">, Spunt SL, Liu T, Pappo AS, Davidoff AM, Rao BN, Shochat SJ. Is reexcision in pediatric nonrhabdomyosarcoma soft tissue sarcoma necessary after an initial unplanned resection? </w:t>
      </w:r>
      <w:r w:rsidRPr="00207430">
        <w:rPr>
          <w:rFonts w:ascii="Book Antiqua" w:hAnsi="Book Antiqua" w:cs="宋体"/>
          <w:i/>
          <w:iCs/>
          <w:szCs w:val="24"/>
        </w:rPr>
        <w:t>J Pediatr Surg</w:t>
      </w:r>
      <w:r w:rsidRPr="00207430">
        <w:rPr>
          <w:rFonts w:ascii="Book Antiqua" w:hAnsi="Book Antiqua" w:cs="宋体"/>
          <w:szCs w:val="24"/>
        </w:rPr>
        <w:t xml:space="preserve"> 2002; </w:t>
      </w:r>
      <w:r w:rsidRPr="00207430">
        <w:rPr>
          <w:rFonts w:ascii="Book Antiqua" w:hAnsi="Book Antiqua" w:cs="宋体"/>
          <w:b/>
          <w:bCs/>
          <w:szCs w:val="24"/>
        </w:rPr>
        <w:t>37</w:t>
      </w:r>
      <w:r w:rsidRPr="00207430">
        <w:rPr>
          <w:rFonts w:ascii="Book Antiqua" w:hAnsi="Book Antiqua" w:cs="宋体"/>
          <w:szCs w:val="24"/>
        </w:rPr>
        <w:t>: 1424-1429 [PMID: 12378447 DOI: 10.1053/jpsu.2002.35405]</w:t>
      </w:r>
    </w:p>
    <w:p w14:paraId="3816E2DB"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20 </w:t>
      </w:r>
      <w:r w:rsidRPr="00207430">
        <w:rPr>
          <w:rFonts w:ascii="Book Antiqua" w:hAnsi="Book Antiqua" w:cs="宋体"/>
          <w:b/>
          <w:bCs/>
          <w:szCs w:val="24"/>
        </w:rPr>
        <w:t>Komasara L</w:t>
      </w:r>
      <w:r w:rsidRPr="00207430">
        <w:rPr>
          <w:rFonts w:ascii="Book Antiqua" w:hAnsi="Book Antiqua" w:cs="宋体"/>
          <w:szCs w:val="24"/>
        </w:rPr>
        <w:t>, Go</w:t>
      </w:r>
      <w:r w:rsidRPr="00207430">
        <w:rPr>
          <w:rFonts w:ascii="Book Antiqua" w:eastAsia="MS Mincho" w:hAnsi="Book Antiqua" w:cs="MS Mincho"/>
          <w:szCs w:val="24"/>
        </w:rPr>
        <w:t>łę</w:t>
      </w:r>
      <w:r w:rsidRPr="00207430">
        <w:rPr>
          <w:rFonts w:ascii="Book Antiqua" w:hAnsi="Book Antiqua" w:cs="宋体"/>
          <w:szCs w:val="24"/>
        </w:rPr>
        <w:t xml:space="preserve">biewski A, Anzelewicz S, Czauderna P. A review on surgical techniques and organ sparing procedures in bladder/prostate rhabdomyosarcoma. </w:t>
      </w:r>
      <w:r w:rsidRPr="00207430">
        <w:rPr>
          <w:rFonts w:ascii="Book Antiqua" w:hAnsi="Book Antiqua" w:cs="宋体"/>
          <w:i/>
          <w:iCs/>
          <w:szCs w:val="24"/>
        </w:rPr>
        <w:t>Eur J Pediatr Surg</w:t>
      </w:r>
      <w:r w:rsidRPr="00207430">
        <w:rPr>
          <w:rFonts w:ascii="Book Antiqua" w:hAnsi="Book Antiqua" w:cs="宋体"/>
          <w:szCs w:val="24"/>
        </w:rPr>
        <w:t xml:space="preserve"> 2014; </w:t>
      </w:r>
      <w:r w:rsidRPr="00207430">
        <w:rPr>
          <w:rFonts w:ascii="Book Antiqua" w:hAnsi="Book Antiqua" w:cs="宋体"/>
          <w:b/>
          <w:bCs/>
          <w:szCs w:val="24"/>
        </w:rPr>
        <w:t>24</w:t>
      </w:r>
      <w:r w:rsidRPr="00207430">
        <w:rPr>
          <w:rFonts w:ascii="Book Antiqua" w:hAnsi="Book Antiqua" w:cs="宋体"/>
          <w:szCs w:val="24"/>
        </w:rPr>
        <w:t>: 467-473 [PMID: 25486411 DOI: 10.1055/s-0034-1396424]</w:t>
      </w:r>
    </w:p>
    <w:p w14:paraId="6109BDE7"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21 </w:t>
      </w:r>
      <w:r w:rsidRPr="00207430">
        <w:rPr>
          <w:rFonts w:ascii="Book Antiqua" w:hAnsi="Book Antiqua" w:cs="宋体"/>
          <w:b/>
          <w:bCs/>
          <w:szCs w:val="24"/>
        </w:rPr>
        <w:t>Dantonello TM</w:t>
      </w:r>
      <w:r w:rsidRPr="00207430">
        <w:rPr>
          <w:rFonts w:ascii="Book Antiqua" w:hAnsi="Book Antiqua" w:cs="宋体"/>
          <w:szCs w:val="24"/>
        </w:rPr>
        <w:t xml:space="preserve">, Stark M, Timmermann B, Fuchs J, Selle B, Linderkamp C, Handgretinger R, Hagen R, Feuchtgruber S, Kube S, Kosztyla D, Kazanowska B, Ladenstein R, Niggli F, Ljungman G, Bielack SS, Klingebiel T, Koscielniak E. Tumour volume reduction after neoadjuvant chemotherapy impacts outcome in localised </w:t>
      </w:r>
      <w:r w:rsidRPr="00207430">
        <w:rPr>
          <w:rFonts w:ascii="Book Antiqua" w:hAnsi="Book Antiqua" w:cs="宋体"/>
          <w:szCs w:val="24"/>
        </w:rPr>
        <w:lastRenderedPageBreak/>
        <w:t xml:space="preserve">embryonal rhabdomyosarcoma. </w:t>
      </w:r>
      <w:r w:rsidRPr="00207430">
        <w:rPr>
          <w:rFonts w:ascii="Book Antiqua" w:hAnsi="Book Antiqua" w:cs="宋体"/>
          <w:i/>
          <w:iCs/>
          <w:szCs w:val="24"/>
        </w:rPr>
        <w:t>Pediatr Blood Cancer</w:t>
      </w:r>
      <w:r w:rsidRPr="00207430">
        <w:rPr>
          <w:rFonts w:ascii="Book Antiqua" w:hAnsi="Book Antiqua" w:cs="宋体"/>
          <w:szCs w:val="24"/>
        </w:rPr>
        <w:t xml:space="preserve"> 2015; </w:t>
      </w:r>
      <w:r w:rsidRPr="00207430">
        <w:rPr>
          <w:rFonts w:ascii="Book Antiqua" w:hAnsi="Book Antiqua" w:cs="宋体"/>
          <w:b/>
          <w:bCs/>
          <w:szCs w:val="24"/>
        </w:rPr>
        <w:t>62</w:t>
      </w:r>
      <w:r w:rsidRPr="00207430">
        <w:rPr>
          <w:rFonts w:ascii="Book Antiqua" w:hAnsi="Book Antiqua" w:cs="宋体"/>
          <w:szCs w:val="24"/>
        </w:rPr>
        <w:t>: 16-23 [PMID: 25263634 DOI: 10.1002/pbc.25207]</w:t>
      </w:r>
    </w:p>
    <w:p w14:paraId="4DC738A9"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22 </w:t>
      </w:r>
      <w:r w:rsidRPr="00207430">
        <w:rPr>
          <w:rFonts w:ascii="Book Antiqua" w:hAnsi="Book Antiqua" w:cs="宋体"/>
          <w:b/>
          <w:bCs/>
          <w:szCs w:val="24"/>
        </w:rPr>
        <w:t>Casey DL</w:t>
      </w:r>
      <w:r w:rsidRPr="00207430">
        <w:rPr>
          <w:rFonts w:ascii="Book Antiqua" w:hAnsi="Book Antiqua" w:cs="宋体"/>
          <w:szCs w:val="24"/>
        </w:rPr>
        <w:t xml:space="preserve">, Wexler LH, Fox JJ, Dharmarajan KV, Schoder H, Price AN, Wolden SL. Predicting outcome in patients with rhabdomyosarcoma: role of [(18)f]fluorodeoxyglucose positron emission tomography. </w:t>
      </w:r>
      <w:r w:rsidRPr="00207430">
        <w:rPr>
          <w:rFonts w:ascii="Book Antiqua" w:hAnsi="Book Antiqua" w:cs="宋体"/>
          <w:i/>
          <w:iCs/>
          <w:szCs w:val="24"/>
        </w:rPr>
        <w:t>Int J Radiat Oncol Biol Phys</w:t>
      </w:r>
      <w:r w:rsidRPr="00207430">
        <w:rPr>
          <w:rFonts w:ascii="Book Antiqua" w:hAnsi="Book Antiqua" w:cs="宋体"/>
          <w:szCs w:val="24"/>
        </w:rPr>
        <w:t xml:space="preserve"> 2014; </w:t>
      </w:r>
      <w:r w:rsidRPr="00207430">
        <w:rPr>
          <w:rFonts w:ascii="Book Antiqua" w:hAnsi="Book Antiqua" w:cs="宋体"/>
          <w:b/>
          <w:bCs/>
          <w:szCs w:val="24"/>
        </w:rPr>
        <w:t>90</w:t>
      </w:r>
      <w:r w:rsidRPr="00207430">
        <w:rPr>
          <w:rFonts w:ascii="Book Antiqua" w:hAnsi="Book Antiqua" w:cs="宋体"/>
          <w:szCs w:val="24"/>
        </w:rPr>
        <w:t>: 1136-1142 [PMID: 25539372 DOI: 10.1016/j.ijrobp.2014.08.005]</w:t>
      </w:r>
    </w:p>
    <w:p w14:paraId="6ED57AE4"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23 </w:t>
      </w:r>
      <w:r w:rsidRPr="00207430">
        <w:rPr>
          <w:rFonts w:ascii="Book Antiqua" w:hAnsi="Book Antiqua" w:cs="宋体"/>
          <w:b/>
          <w:bCs/>
          <w:szCs w:val="24"/>
        </w:rPr>
        <w:t>Rosenberg AR</w:t>
      </w:r>
      <w:r w:rsidRPr="00207430">
        <w:rPr>
          <w:rFonts w:ascii="Book Antiqua" w:hAnsi="Book Antiqua" w:cs="宋体"/>
          <w:szCs w:val="24"/>
        </w:rPr>
        <w:t xml:space="preserve">, Anderson JR, Lyden E, Rodeberg DA, Wolden SL, Kao SC, Parham DM, Arndt C, Hawkins DS. Early response as assessed by anatomic imaging does not predict failure-free survival among patients with Group III rhabdomyosarcoma: a report from the Children's Oncology Group. </w:t>
      </w:r>
      <w:r w:rsidRPr="00207430">
        <w:rPr>
          <w:rFonts w:ascii="Book Antiqua" w:hAnsi="Book Antiqua" w:cs="宋体"/>
          <w:i/>
          <w:iCs/>
          <w:szCs w:val="24"/>
        </w:rPr>
        <w:t>Eur J Cancer</w:t>
      </w:r>
      <w:r w:rsidRPr="00207430">
        <w:rPr>
          <w:rFonts w:ascii="Book Antiqua" w:hAnsi="Book Antiqua" w:cs="宋体"/>
          <w:szCs w:val="24"/>
        </w:rPr>
        <w:t xml:space="preserve"> 2014; </w:t>
      </w:r>
      <w:r w:rsidRPr="00207430">
        <w:rPr>
          <w:rFonts w:ascii="Book Antiqua" w:hAnsi="Book Antiqua" w:cs="宋体"/>
          <w:b/>
          <w:bCs/>
          <w:szCs w:val="24"/>
        </w:rPr>
        <w:t>50</w:t>
      </w:r>
      <w:r w:rsidRPr="00207430">
        <w:rPr>
          <w:rFonts w:ascii="Book Antiqua" w:hAnsi="Book Antiqua" w:cs="宋体"/>
          <w:szCs w:val="24"/>
        </w:rPr>
        <w:t>: 816-823 [PMID: 24361229 DOI: 10.1016/j.ejca.2013.11.031]</w:t>
      </w:r>
    </w:p>
    <w:p w14:paraId="0ED87252"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24 </w:t>
      </w:r>
      <w:r w:rsidRPr="00207430">
        <w:rPr>
          <w:rFonts w:ascii="Book Antiqua" w:hAnsi="Book Antiqua" w:cs="宋体"/>
          <w:b/>
          <w:bCs/>
          <w:szCs w:val="24"/>
        </w:rPr>
        <w:t>Ladra MM</w:t>
      </w:r>
      <w:r w:rsidRPr="00207430">
        <w:rPr>
          <w:rFonts w:ascii="Book Antiqua" w:hAnsi="Book Antiqua" w:cs="宋体"/>
          <w:szCs w:val="24"/>
        </w:rPr>
        <w:t xml:space="preserve">, Mandeville HC, Niemierko A, Padera TP, Friedmann AM, MacDonald SM, Ebb D, Chen YL, Tarbell NJ, Yock TI. Local failure in parameningeal rhabdomyosarcoma correlates with poor response to induction chemotherapy. </w:t>
      </w:r>
      <w:r w:rsidRPr="00207430">
        <w:rPr>
          <w:rFonts w:ascii="Book Antiqua" w:hAnsi="Book Antiqua" w:cs="宋体"/>
          <w:i/>
          <w:iCs/>
          <w:szCs w:val="24"/>
        </w:rPr>
        <w:t>Int J Radiat Oncol Biol Phys</w:t>
      </w:r>
      <w:r w:rsidRPr="00207430">
        <w:rPr>
          <w:rFonts w:ascii="Book Antiqua" w:hAnsi="Book Antiqua" w:cs="宋体"/>
          <w:szCs w:val="24"/>
        </w:rPr>
        <w:t xml:space="preserve"> 2015; </w:t>
      </w:r>
      <w:r w:rsidRPr="00207430">
        <w:rPr>
          <w:rFonts w:ascii="Book Antiqua" w:hAnsi="Book Antiqua" w:cs="宋体"/>
          <w:b/>
          <w:bCs/>
          <w:szCs w:val="24"/>
        </w:rPr>
        <w:t>92</w:t>
      </w:r>
      <w:r w:rsidRPr="00207430">
        <w:rPr>
          <w:rFonts w:ascii="Book Antiqua" w:hAnsi="Book Antiqua" w:cs="宋体"/>
          <w:szCs w:val="24"/>
        </w:rPr>
        <w:t>: 358-367 [PMID: 25864172 DOI: 10.1016/j.ijrobp.2015.01.049]</w:t>
      </w:r>
    </w:p>
    <w:p w14:paraId="20A66013"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25 </w:t>
      </w:r>
      <w:r w:rsidRPr="00207430">
        <w:rPr>
          <w:rFonts w:ascii="Book Antiqua" w:hAnsi="Book Antiqua" w:cs="宋体"/>
          <w:b/>
          <w:bCs/>
          <w:szCs w:val="24"/>
        </w:rPr>
        <w:t>Stein R</w:t>
      </w:r>
      <w:r w:rsidRPr="00207430">
        <w:rPr>
          <w:rFonts w:ascii="Book Antiqua" w:hAnsi="Book Antiqua" w:cs="宋体"/>
          <w:szCs w:val="24"/>
        </w:rPr>
        <w:t xml:space="preserve">, Frees S, Schröder A, Russo A, Gutjahr P, Faber J, Thüroff JW. Radical surgery and different types of urinary diversion in patients with rhabdomyosarcoma of bladder or prostate--a single institution experience. </w:t>
      </w:r>
      <w:r w:rsidRPr="00207430">
        <w:rPr>
          <w:rFonts w:ascii="Book Antiqua" w:hAnsi="Book Antiqua" w:cs="宋体"/>
          <w:i/>
          <w:iCs/>
          <w:szCs w:val="24"/>
        </w:rPr>
        <w:t>J Pediatr Urol</w:t>
      </w:r>
      <w:r w:rsidRPr="00207430">
        <w:rPr>
          <w:rFonts w:ascii="Book Antiqua" w:hAnsi="Book Antiqua" w:cs="宋体"/>
          <w:szCs w:val="24"/>
        </w:rPr>
        <w:t xml:space="preserve"> 2013; </w:t>
      </w:r>
      <w:r w:rsidRPr="00207430">
        <w:rPr>
          <w:rFonts w:ascii="Book Antiqua" w:hAnsi="Book Antiqua" w:cs="宋体"/>
          <w:b/>
          <w:bCs/>
          <w:szCs w:val="24"/>
        </w:rPr>
        <w:t>9</w:t>
      </w:r>
      <w:r w:rsidRPr="00207430">
        <w:rPr>
          <w:rFonts w:ascii="Book Antiqua" w:hAnsi="Book Antiqua" w:cs="宋体"/>
          <w:szCs w:val="24"/>
        </w:rPr>
        <w:t>: 932-939 [PMID: 23385048 DOI: 10.1016/j.jpurol.2013.01.008]</w:t>
      </w:r>
    </w:p>
    <w:p w14:paraId="29C079CB"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26 </w:t>
      </w:r>
      <w:r w:rsidRPr="00207430">
        <w:rPr>
          <w:rFonts w:ascii="Book Antiqua" w:hAnsi="Book Antiqua" w:cs="宋体"/>
          <w:b/>
          <w:bCs/>
          <w:szCs w:val="24"/>
        </w:rPr>
        <w:t>van Sambeeck SJ</w:t>
      </w:r>
      <w:r w:rsidRPr="00207430">
        <w:rPr>
          <w:rFonts w:ascii="Book Antiqua" w:hAnsi="Book Antiqua" w:cs="宋体"/>
          <w:szCs w:val="24"/>
        </w:rPr>
        <w:t xml:space="preserve">, Martens SJ, Hundscheid T, Janssen EJ, Vos GD. Dutch paediatrician's opinions about acute care for critically ill children in general hospitals. </w:t>
      </w:r>
      <w:r w:rsidRPr="00207430">
        <w:rPr>
          <w:rFonts w:ascii="Book Antiqua" w:hAnsi="Book Antiqua" w:cs="宋体"/>
          <w:i/>
          <w:iCs/>
          <w:szCs w:val="24"/>
        </w:rPr>
        <w:t>Eur J Pediatr</w:t>
      </w:r>
      <w:r w:rsidRPr="00207430">
        <w:rPr>
          <w:rFonts w:ascii="Book Antiqua" w:hAnsi="Book Antiqua" w:cs="宋体"/>
          <w:szCs w:val="24"/>
        </w:rPr>
        <w:t xml:space="preserve"> 2015; </w:t>
      </w:r>
      <w:r w:rsidRPr="00207430">
        <w:rPr>
          <w:rFonts w:ascii="Book Antiqua" w:hAnsi="Book Antiqua" w:cs="宋体"/>
          <w:b/>
          <w:bCs/>
          <w:szCs w:val="24"/>
        </w:rPr>
        <w:t>174</w:t>
      </w:r>
      <w:r w:rsidRPr="00207430">
        <w:rPr>
          <w:rFonts w:ascii="Book Antiqua" w:hAnsi="Book Antiqua" w:cs="宋体"/>
          <w:szCs w:val="24"/>
        </w:rPr>
        <w:t>: 607-613 [PMID: 25339423 DOI: 10.1007/s00431-014-2439-7]</w:t>
      </w:r>
    </w:p>
    <w:p w14:paraId="580D1FC2"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27 </w:t>
      </w:r>
      <w:r w:rsidRPr="00207430">
        <w:rPr>
          <w:rFonts w:ascii="Book Antiqua" w:hAnsi="Book Antiqua" w:cs="宋体"/>
          <w:b/>
          <w:bCs/>
          <w:szCs w:val="24"/>
        </w:rPr>
        <w:t>d'Ambrosio G</w:t>
      </w:r>
      <w:r w:rsidRPr="00207430">
        <w:rPr>
          <w:rFonts w:ascii="Book Antiqua" w:hAnsi="Book Antiqua" w:cs="宋体"/>
          <w:szCs w:val="24"/>
        </w:rPr>
        <w:t xml:space="preserve">, del Prete L, Grimaldi C, Bertocchini A, Lo Zupone C, Monti L, de Ville de Goyet J. Pancreaticoduodenectomy for malignancies in children. </w:t>
      </w:r>
      <w:r w:rsidRPr="00207430">
        <w:rPr>
          <w:rFonts w:ascii="Book Antiqua" w:hAnsi="Book Antiqua" w:cs="宋体"/>
          <w:i/>
          <w:iCs/>
          <w:szCs w:val="24"/>
        </w:rPr>
        <w:t>J Pediatr Surg</w:t>
      </w:r>
      <w:r w:rsidRPr="00207430">
        <w:rPr>
          <w:rFonts w:ascii="Book Antiqua" w:hAnsi="Book Antiqua" w:cs="宋体"/>
          <w:szCs w:val="24"/>
        </w:rPr>
        <w:t xml:space="preserve"> 2014; </w:t>
      </w:r>
      <w:r w:rsidRPr="00207430">
        <w:rPr>
          <w:rFonts w:ascii="Book Antiqua" w:hAnsi="Book Antiqua" w:cs="宋体"/>
          <w:b/>
          <w:bCs/>
          <w:szCs w:val="24"/>
        </w:rPr>
        <w:t>49</w:t>
      </w:r>
      <w:r w:rsidRPr="00207430">
        <w:rPr>
          <w:rFonts w:ascii="Book Antiqua" w:hAnsi="Book Antiqua" w:cs="宋体"/>
          <w:szCs w:val="24"/>
        </w:rPr>
        <w:t>: 534-538 [PMID: 24726107 DOI: 10.1016/j.jpedsurg.2013.09.010]</w:t>
      </w:r>
    </w:p>
    <w:p w14:paraId="0A884C77"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28 </w:t>
      </w:r>
      <w:r w:rsidRPr="00207430">
        <w:rPr>
          <w:rFonts w:ascii="Book Antiqua" w:hAnsi="Book Antiqua" w:cs="宋体"/>
          <w:b/>
          <w:bCs/>
          <w:szCs w:val="24"/>
        </w:rPr>
        <w:t>Dang ND</w:t>
      </w:r>
      <w:r w:rsidRPr="00207430">
        <w:rPr>
          <w:rFonts w:ascii="Book Antiqua" w:hAnsi="Book Antiqua" w:cs="宋体"/>
          <w:szCs w:val="24"/>
        </w:rPr>
        <w:t xml:space="preserve">, Dang PT, Samuelian J, Paulino AC. Lymph node management in patients with paratesticular rhabdomyosarcoma: a population-based analysis. </w:t>
      </w:r>
      <w:r w:rsidRPr="00207430">
        <w:rPr>
          <w:rFonts w:ascii="Book Antiqua" w:hAnsi="Book Antiqua" w:cs="宋体"/>
          <w:i/>
          <w:iCs/>
          <w:szCs w:val="24"/>
        </w:rPr>
        <w:t>Cancer</w:t>
      </w:r>
      <w:r w:rsidRPr="00207430">
        <w:rPr>
          <w:rFonts w:ascii="Book Antiqua" w:hAnsi="Book Antiqua" w:cs="宋体"/>
          <w:szCs w:val="24"/>
        </w:rPr>
        <w:t xml:space="preserve"> 2013; </w:t>
      </w:r>
      <w:r w:rsidRPr="00207430">
        <w:rPr>
          <w:rFonts w:ascii="Book Antiqua" w:hAnsi="Book Antiqua" w:cs="宋体"/>
          <w:b/>
          <w:bCs/>
          <w:szCs w:val="24"/>
        </w:rPr>
        <w:t>119</w:t>
      </w:r>
      <w:r w:rsidRPr="00207430">
        <w:rPr>
          <w:rFonts w:ascii="Book Antiqua" w:hAnsi="Book Antiqua" w:cs="宋体"/>
          <w:szCs w:val="24"/>
        </w:rPr>
        <w:t>: 3228-3233 [PMID: 23744806 DOI: 10.1002/cncr.28198]</w:t>
      </w:r>
    </w:p>
    <w:p w14:paraId="29EA35CB"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lastRenderedPageBreak/>
        <w:t xml:space="preserve">29 </w:t>
      </w:r>
      <w:r w:rsidRPr="00207430">
        <w:rPr>
          <w:rFonts w:ascii="Book Antiqua" w:hAnsi="Book Antiqua" w:cs="宋体"/>
          <w:b/>
          <w:bCs/>
          <w:szCs w:val="24"/>
        </w:rPr>
        <w:t>Gow KW</w:t>
      </w:r>
      <w:r w:rsidRPr="00207430">
        <w:rPr>
          <w:rFonts w:ascii="Book Antiqua" w:hAnsi="Book Antiqua" w:cs="宋体"/>
          <w:szCs w:val="24"/>
        </w:rPr>
        <w:t xml:space="preserve">, Rapkin LB, Olson TA, Durham MM, Wyly B, Shehata BM. Sentinel lymph node biopsy in the pediatric population. </w:t>
      </w:r>
      <w:r w:rsidRPr="00207430">
        <w:rPr>
          <w:rFonts w:ascii="Book Antiqua" w:hAnsi="Book Antiqua" w:cs="宋体"/>
          <w:i/>
          <w:iCs/>
          <w:szCs w:val="24"/>
        </w:rPr>
        <w:t>J Pediatr Surg</w:t>
      </w:r>
      <w:r w:rsidRPr="00207430">
        <w:rPr>
          <w:rFonts w:ascii="Book Antiqua" w:hAnsi="Book Antiqua" w:cs="宋体"/>
          <w:szCs w:val="24"/>
        </w:rPr>
        <w:t xml:space="preserve"> 2008; </w:t>
      </w:r>
      <w:r w:rsidRPr="00207430">
        <w:rPr>
          <w:rFonts w:ascii="Book Antiqua" w:hAnsi="Book Antiqua" w:cs="宋体"/>
          <w:b/>
          <w:bCs/>
          <w:szCs w:val="24"/>
        </w:rPr>
        <w:t>43</w:t>
      </w:r>
      <w:r w:rsidRPr="00207430">
        <w:rPr>
          <w:rFonts w:ascii="Book Antiqua" w:hAnsi="Book Antiqua" w:cs="宋体"/>
          <w:szCs w:val="24"/>
        </w:rPr>
        <w:t>: 2193-2198 [PMID: 19040933 DOI: 10.1016/j.jpedsurg.2008.08.063]</w:t>
      </w:r>
    </w:p>
    <w:p w14:paraId="191E67F1"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30 </w:t>
      </w:r>
      <w:r w:rsidRPr="00207430">
        <w:rPr>
          <w:rFonts w:ascii="Book Antiqua" w:hAnsi="Book Antiqua" w:cs="宋体"/>
          <w:b/>
          <w:bCs/>
          <w:szCs w:val="24"/>
        </w:rPr>
        <w:t>Dantonello TM</w:t>
      </w:r>
      <w:r w:rsidRPr="00207430">
        <w:rPr>
          <w:rFonts w:ascii="Book Antiqua" w:hAnsi="Book Antiqua" w:cs="宋体"/>
          <w:szCs w:val="24"/>
        </w:rPr>
        <w:t xml:space="preserve">, Int-Veen C, Harms D, Leuschner I, Schmidt BF, Herbst M, Juergens H, Scheel-Walter HG, Bielack SS, Klingebiel T, Dickerhoff R, Kirsch S, Brecht I, Schmelzle R, Greulich M, Gadner H, Greiner J, Marky I, Treuner J, Koscielniak E. Cooperative trial CWS-91 for localized soft tissue sarcoma in children, adolescents, and young adults. </w:t>
      </w:r>
      <w:r w:rsidRPr="00207430">
        <w:rPr>
          <w:rFonts w:ascii="Book Antiqua" w:hAnsi="Book Antiqua" w:cs="宋体"/>
          <w:i/>
          <w:iCs/>
          <w:szCs w:val="24"/>
        </w:rPr>
        <w:t>J Clin Oncol</w:t>
      </w:r>
      <w:r w:rsidRPr="00207430">
        <w:rPr>
          <w:rFonts w:ascii="Book Antiqua" w:hAnsi="Book Antiqua" w:cs="宋体"/>
          <w:szCs w:val="24"/>
        </w:rPr>
        <w:t xml:space="preserve"> 2009; </w:t>
      </w:r>
      <w:r w:rsidRPr="00207430">
        <w:rPr>
          <w:rFonts w:ascii="Book Antiqua" w:hAnsi="Book Antiqua" w:cs="宋体"/>
          <w:b/>
          <w:bCs/>
          <w:szCs w:val="24"/>
        </w:rPr>
        <w:t>27</w:t>
      </w:r>
      <w:r w:rsidRPr="00207430">
        <w:rPr>
          <w:rFonts w:ascii="Book Antiqua" w:hAnsi="Book Antiqua" w:cs="宋体"/>
          <w:szCs w:val="24"/>
        </w:rPr>
        <w:t>: 1446-1455 [PMID: 19224858 DOI: 10.1200/JCO.2007.15.0466]</w:t>
      </w:r>
    </w:p>
    <w:p w14:paraId="3E864F0F"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31 </w:t>
      </w:r>
      <w:r w:rsidRPr="00207430">
        <w:rPr>
          <w:rFonts w:ascii="Book Antiqua" w:hAnsi="Book Antiqua" w:cs="宋体"/>
          <w:b/>
          <w:bCs/>
          <w:szCs w:val="24"/>
        </w:rPr>
        <w:t>Egas-Bejar D</w:t>
      </w:r>
      <w:r w:rsidRPr="00207430">
        <w:rPr>
          <w:rFonts w:ascii="Book Antiqua" w:hAnsi="Book Antiqua" w:cs="宋体"/>
          <w:szCs w:val="24"/>
        </w:rPr>
        <w:t xml:space="preserve">, Huh WW. Rhabdomyosarcoma in adolescent and young adult patients: current perspectives. </w:t>
      </w:r>
      <w:r w:rsidRPr="00207430">
        <w:rPr>
          <w:rFonts w:ascii="Book Antiqua" w:hAnsi="Book Antiqua" w:cs="宋体"/>
          <w:i/>
          <w:iCs/>
          <w:szCs w:val="24"/>
        </w:rPr>
        <w:t>Adolesc Health Med Ther</w:t>
      </w:r>
      <w:r w:rsidRPr="00207430">
        <w:rPr>
          <w:rFonts w:ascii="Book Antiqua" w:hAnsi="Book Antiqua" w:cs="宋体"/>
          <w:szCs w:val="24"/>
        </w:rPr>
        <w:t xml:space="preserve"> 2014; </w:t>
      </w:r>
      <w:r w:rsidRPr="00207430">
        <w:rPr>
          <w:rFonts w:ascii="Book Antiqua" w:hAnsi="Book Antiqua" w:cs="宋体"/>
          <w:b/>
          <w:bCs/>
          <w:szCs w:val="24"/>
        </w:rPr>
        <w:t>5</w:t>
      </w:r>
      <w:r w:rsidRPr="00207430">
        <w:rPr>
          <w:rFonts w:ascii="Book Antiqua" w:hAnsi="Book Antiqua" w:cs="宋体"/>
          <w:szCs w:val="24"/>
        </w:rPr>
        <w:t>: 115-125 [PMID: 24966711]</w:t>
      </w:r>
    </w:p>
    <w:p w14:paraId="4193C95E"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32 </w:t>
      </w:r>
      <w:r w:rsidRPr="00207430">
        <w:rPr>
          <w:rFonts w:ascii="Book Antiqua" w:hAnsi="Book Antiqua" w:cs="宋体"/>
          <w:b/>
          <w:bCs/>
          <w:szCs w:val="24"/>
        </w:rPr>
        <w:t>Ruymann FB</w:t>
      </w:r>
      <w:r w:rsidRPr="00207430">
        <w:rPr>
          <w:rFonts w:ascii="Book Antiqua" w:hAnsi="Book Antiqua" w:cs="宋体"/>
          <w:szCs w:val="24"/>
        </w:rPr>
        <w:t xml:space="preserve">. The development of VAC chemotherapy in rhabdomyosarcoma: what does one do for an encore? </w:t>
      </w:r>
      <w:r w:rsidRPr="00207430">
        <w:rPr>
          <w:rFonts w:ascii="Book Antiqua" w:hAnsi="Book Antiqua" w:cs="宋体"/>
          <w:i/>
          <w:iCs/>
          <w:szCs w:val="24"/>
        </w:rPr>
        <w:t>Curr Oncol Rep</w:t>
      </w:r>
      <w:r w:rsidRPr="00207430">
        <w:rPr>
          <w:rFonts w:ascii="Book Antiqua" w:hAnsi="Book Antiqua" w:cs="宋体"/>
          <w:szCs w:val="24"/>
        </w:rPr>
        <w:t xml:space="preserve"> 2003; </w:t>
      </w:r>
      <w:r w:rsidRPr="00207430">
        <w:rPr>
          <w:rFonts w:ascii="Book Antiqua" w:hAnsi="Book Antiqua" w:cs="宋体"/>
          <w:b/>
          <w:bCs/>
          <w:szCs w:val="24"/>
        </w:rPr>
        <w:t>5</w:t>
      </w:r>
      <w:r w:rsidRPr="00207430">
        <w:rPr>
          <w:rFonts w:ascii="Book Antiqua" w:hAnsi="Book Antiqua" w:cs="宋体"/>
          <w:szCs w:val="24"/>
        </w:rPr>
        <w:t>: 505-509 [PMID: 14521810 DOI: 10.1007/s11912-003-0012-z]</w:t>
      </w:r>
    </w:p>
    <w:p w14:paraId="5DA0E999"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33 </w:t>
      </w:r>
      <w:r w:rsidRPr="00207430">
        <w:rPr>
          <w:rFonts w:ascii="Book Antiqua" w:hAnsi="Book Antiqua" w:cs="宋体"/>
          <w:b/>
          <w:bCs/>
          <w:szCs w:val="24"/>
        </w:rPr>
        <w:t>Raney RB</w:t>
      </w:r>
      <w:r w:rsidRPr="00207430">
        <w:rPr>
          <w:rFonts w:ascii="Book Antiqua" w:hAnsi="Book Antiqua" w:cs="宋体"/>
          <w:szCs w:val="24"/>
        </w:rPr>
        <w:t xml:space="preserve">, Walterhouse DO, Meza JL, Andrassy RJ, Breneman JC, Crist WM, Maurer HM, Meyer WH, Parham DM, Anderson JR. Results of the Intergroup Rhabdomyosarcoma Study Group D9602 protocol, using vincristine and dactinomycin with or without cyclophosphamide and radiation therapy, for newly diagnosed patients with low-risk embryonal rhabdomyosarcoma: a report from the Soft Tissue Sarcoma Committee of the Children's Oncology Group. </w:t>
      </w:r>
      <w:r w:rsidRPr="00207430">
        <w:rPr>
          <w:rFonts w:ascii="Book Antiqua" w:hAnsi="Book Antiqua" w:cs="宋体"/>
          <w:i/>
          <w:iCs/>
          <w:szCs w:val="24"/>
        </w:rPr>
        <w:t>J Clin Oncol</w:t>
      </w:r>
      <w:r w:rsidRPr="00207430">
        <w:rPr>
          <w:rFonts w:ascii="Book Antiqua" w:hAnsi="Book Antiqua" w:cs="宋体"/>
          <w:szCs w:val="24"/>
        </w:rPr>
        <w:t xml:space="preserve"> 2011; </w:t>
      </w:r>
      <w:r w:rsidRPr="00207430">
        <w:rPr>
          <w:rFonts w:ascii="Book Antiqua" w:hAnsi="Book Antiqua" w:cs="宋体"/>
          <w:b/>
          <w:bCs/>
          <w:szCs w:val="24"/>
        </w:rPr>
        <w:t>29</w:t>
      </w:r>
      <w:r w:rsidRPr="00207430">
        <w:rPr>
          <w:rFonts w:ascii="Book Antiqua" w:hAnsi="Book Antiqua" w:cs="宋体"/>
          <w:szCs w:val="24"/>
        </w:rPr>
        <w:t>: 1312-1318 [PMID: 21357783 DOI: 10.1200/JCO.2010.30.4469]</w:t>
      </w:r>
    </w:p>
    <w:p w14:paraId="012E733E"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34 </w:t>
      </w:r>
      <w:r w:rsidRPr="00207430">
        <w:rPr>
          <w:rFonts w:ascii="Book Antiqua" w:hAnsi="Book Antiqua" w:cs="宋体"/>
          <w:b/>
          <w:bCs/>
          <w:szCs w:val="24"/>
        </w:rPr>
        <w:t>Crist WM</w:t>
      </w:r>
      <w:r w:rsidRPr="00207430">
        <w:rPr>
          <w:rFonts w:ascii="Book Antiqua" w:hAnsi="Book Antiqua" w:cs="宋体"/>
          <w:szCs w:val="24"/>
        </w:rPr>
        <w:t xml:space="preserve">, Anderson JR, Meza JL, Fryer C, Raney RB, Ruymann FB, Breneman J, Qualman SJ, Wiener E, Wharam M, Lobe T, Webber B, Maurer HM, Donaldson SS. Intergroup rhabdomyosarcoma study-IV: results for patients with nonmetastatic disease. </w:t>
      </w:r>
      <w:r w:rsidRPr="00207430">
        <w:rPr>
          <w:rFonts w:ascii="Book Antiqua" w:hAnsi="Book Antiqua" w:cs="宋体"/>
          <w:i/>
          <w:iCs/>
          <w:szCs w:val="24"/>
        </w:rPr>
        <w:t>J Clin Oncol</w:t>
      </w:r>
      <w:r w:rsidRPr="00207430">
        <w:rPr>
          <w:rFonts w:ascii="Book Antiqua" w:hAnsi="Book Antiqua" w:cs="宋体"/>
          <w:szCs w:val="24"/>
        </w:rPr>
        <w:t xml:space="preserve"> 2001; </w:t>
      </w:r>
      <w:r w:rsidRPr="00207430">
        <w:rPr>
          <w:rFonts w:ascii="Book Antiqua" w:hAnsi="Book Antiqua" w:cs="宋体"/>
          <w:b/>
          <w:bCs/>
          <w:szCs w:val="24"/>
        </w:rPr>
        <w:t>19</w:t>
      </w:r>
      <w:r w:rsidRPr="00207430">
        <w:rPr>
          <w:rFonts w:ascii="Book Antiqua" w:hAnsi="Book Antiqua" w:cs="宋体"/>
          <w:szCs w:val="24"/>
        </w:rPr>
        <w:t>: 3091-3102 [PMID: 11408506]</w:t>
      </w:r>
    </w:p>
    <w:p w14:paraId="6E07D123"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35 </w:t>
      </w:r>
      <w:r w:rsidRPr="00207430">
        <w:rPr>
          <w:rFonts w:ascii="Book Antiqua" w:hAnsi="Book Antiqua" w:cs="宋体"/>
          <w:b/>
          <w:bCs/>
          <w:szCs w:val="24"/>
        </w:rPr>
        <w:t>Walterhouse DO</w:t>
      </w:r>
      <w:r w:rsidRPr="00207430">
        <w:rPr>
          <w:rFonts w:ascii="Book Antiqua" w:hAnsi="Book Antiqua" w:cs="宋体"/>
          <w:szCs w:val="24"/>
        </w:rPr>
        <w:t xml:space="preserve">, Pappo AS, Meza JL, Breneman JC, Hayes-Jordan AA, Parham DM, Cripe TP, Anderson JR, Meyer WH, Hawkins DS. Shorter-duration therapy using vincristine, dactinomycin, and lower-dose cyclophosphamide with or without radiotherapy for patients with newly diagnosed low-risk rhabdomyosarcoma: a report from the Soft Tissue Sarcoma Committee of the Children's Oncology Group. </w:t>
      </w:r>
      <w:r w:rsidRPr="00207430">
        <w:rPr>
          <w:rFonts w:ascii="Book Antiqua" w:hAnsi="Book Antiqua" w:cs="宋体"/>
          <w:i/>
          <w:iCs/>
          <w:szCs w:val="24"/>
        </w:rPr>
        <w:t>J Clin Oncol</w:t>
      </w:r>
      <w:r w:rsidRPr="00207430">
        <w:rPr>
          <w:rFonts w:ascii="Book Antiqua" w:hAnsi="Book Antiqua" w:cs="宋体"/>
          <w:szCs w:val="24"/>
        </w:rPr>
        <w:t xml:space="preserve"> 2014; </w:t>
      </w:r>
      <w:r w:rsidRPr="00207430">
        <w:rPr>
          <w:rFonts w:ascii="Book Antiqua" w:hAnsi="Book Antiqua" w:cs="宋体"/>
          <w:b/>
          <w:bCs/>
          <w:szCs w:val="24"/>
        </w:rPr>
        <w:t>32</w:t>
      </w:r>
      <w:r w:rsidRPr="00207430">
        <w:rPr>
          <w:rFonts w:ascii="Book Antiqua" w:hAnsi="Book Antiqua" w:cs="宋体"/>
          <w:szCs w:val="24"/>
        </w:rPr>
        <w:t>: 3547-3552 [PMID: 25267746 DOI: 10.1200/JCO.2014.55.6787]</w:t>
      </w:r>
    </w:p>
    <w:p w14:paraId="3CEF0DB9"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lastRenderedPageBreak/>
        <w:t xml:space="preserve">36 </w:t>
      </w:r>
      <w:r w:rsidRPr="00207430">
        <w:rPr>
          <w:rFonts w:ascii="Book Antiqua" w:hAnsi="Book Antiqua" w:cs="宋体"/>
          <w:b/>
          <w:bCs/>
          <w:szCs w:val="24"/>
        </w:rPr>
        <w:t>Weiss A</w:t>
      </w:r>
      <w:r w:rsidRPr="00207430">
        <w:rPr>
          <w:rFonts w:ascii="Book Antiqua" w:hAnsi="Book Antiqua" w:cs="宋体"/>
          <w:szCs w:val="24"/>
        </w:rPr>
        <w:t xml:space="preserve">, Gill J, Goldberg J, Lagmay J, Spraker-Perlman H, Venkatramani R, Reed D. Advances in therapy for pediatric sarcomas. </w:t>
      </w:r>
      <w:r w:rsidRPr="00207430">
        <w:rPr>
          <w:rFonts w:ascii="Book Antiqua" w:hAnsi="Book Antiqua" w:cs="宋体"/>
          <w:i/>
          <w:iCs/>
          <w:szCs w:val="24"/>
        </w:rPr>
        <w:t>Curr Oncol Rep</w:t>
      </w:r>
      <w:r w:rsidRPr="00207430">
        <w:rPr>
          <w:rFonts w:ascii="Book Antiqua" w:hAnsi="Book Antiqua" w:cs="宋体"/>
          <w:szCs w:val="24"/>
        </w:rPr>
        <w:t xml:space="preserve"> 2014; </w:t>
      </w:r>
      <w:r w:rsidRPr="00207430">
        <w:rPr>
          <w:rFonts w:ascii="Book Antiqua" w:hAnsi="Book Antiqua" w:cs="宋体"/>
          <w:b/>
          <w:bCs/>
          <w:szCs w:val="24"/>
        </w:rPr>
        <w:t>16</w:t>
      </w:r>
      <w:r w:rsidRPr="00207430">
        <w:rPr>
          <w:rFonts w:ascii="Book Antiqua" w:hAnsi="Book Antiqua" w:cs="宋体"/>
          <w:szCs w:val="24"/>
        </w:rPr>
        <w:t>: 395 [PMID: 24894064 DOI: 10.1007/s11912-014-0395-z]</w:t>
      </w:r>
    </w:p>
    <w:p w14:paraId="39EE47B3"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37 </w:t>
      </w:r>
      <w:r w:rsidRPr="00207430">
        <w:rPr>
          <w:rFonts w:ascii="Book Antiqua" w:hAnsi="Book Antiqua" w:cs="宋体"/>
          <w:b/>
          <w:bCs/>
          <w:szCs w:val="24"/>
        </w:rPr>
        <w:t>Pappo AS</w:t>
      </w:r>
      <w:r w:rsidRPr="00207430">
        <w:rPr>
          <w:rFonts w:ascii="Book Antiqua" w:hAnsi="Book Antiqua" w:cs="宋体"/>
          <w:szCs w:val="24"/>
        </w:rPr>
        <w:t xml:space="preserve">, Vassal G, Crowley JJ, Bolejack V, Hogendoorn PC, Chugh R, Ladanyi M, Grippo JF, Dall G, Staddon AP, Chawla SP, Maki RG, Araujo DM, Geoerger B, Ganjoo K, Marina N, Blay JY, Schuetze SM, Chow WA, Helman LJ. A phase 2 trial of R1507, a monoclonal antibody to the insulin-like growth factor-1 receptor (IGF-1R), in patients with recurrent or refractory rhabdomyosarcoma, osteosarcoma, synovial sarcoma, and other soft tissue sarcomas: results of a Sarcoma Alliance for Research Through Collaboration study. </w:t>
      </w:r>
      <w:r w:rsidRPr="00207430">
        <w:rPr>
          <w:rFonts w:ascii="Book Antiqua" w:hAnsi="Book Antiqua" w:cs="宋体"/>
          <w:i/>
          <w:iCs/>
          <w:szCs w:val="24"/>
        </w:rPr>
        <w:t>Cancer</w:t>
      </w:r>
      <w:r w:rsidRPr="00207430">
        <w:rPr>
          <w:rFonts w:ascii="Book Antiqua" w:hAnsi="Book Antiqua" w:cs="宋体"/>
          <w:szCs w:val="24"/>
        </w:rPr>
        <w:t xml:space="preserve"> 2014; </w:t>
      </w:r>
      <w:r w:rsidRPr="00207430">
        <w:rPr>
          <w:rFonts w:ascii="Book Antiqua" w:hAnsi="Book Antiqua" w:cs="宋体"/>
          <w:b/>
          <w:bCs/>
          <w:szCs w:val="24"/>
        </w:rPr>
        <w:t>120</w:t>
      </w:r>
      <w:r w:rsidRPr="00207430">
        <w:rPr>
          <w:rFonts w:ascii="Book Antiqua" w:hAnsi="Book Antiqua" w:cs="宋体"/>
          <w:szCs w:val="24"/>
        </w:rPr>
        <w:t>: 2448-2456 [PMID: 24797726 DOI: 10.1002/cncr.28728]</w:t>
      </w:r>
    </w:p>
    <w:p w14:paraId="05418189"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38 </w:t>
      </w:r>
      <w:r w:rsidRPr="00207430">
        <w:rPr>
          <w:rFonts w:ascii="Book Antiqua" w:hAnsi="Book Antiqua" w:cs="宋体"/>
          <w:b/>
          <w:bCs/>
          <w:szCs w:val="24"/>
        </w:rPr>
        <w:t>McDowell HP</w:t>
      </w:r>
      <w:r w:rsidRPr="00207430">
        <w:rPr>
          <w:rFonts w:ascii="Book Antiqua" w:hAnsi="Book Antiqua" w:cs="宋体"/>
          <w:szCs w:val="24"/>
        </w:rPr>
        <w:t xml:space="preserve">, Foot AB, Ellershaw C, Machin D, Giraud C, Bergeron C. Outcomes in paediatric metastatic rhabdomyosarcoma: results of The International Society of Paediatric Oncology (SIOP) study MMT-98. </w:t>
      </w:r>
      <w:r w:rsidRPr="00207430">
        <w:rPr>
          <w:rFonts w:ascii="Book Antiqua" w:hAnsi="Book Antiqua" w:cs="宋体"/>
          <w:i/>
          <w:iCs/>
          <w:szCs w:val="24"/>
        </w:rPr>
        <w:t>Eur J Cancer</w:t>
      </w:r>
      <w:r w:rsidRPr="00207430">
        <w:rPr>
          <w:rFonts w:ascii="Book Antiqua" w:hAnsi="Book Antiqua" w:cs="宋体"/>
          <w:szCs w:val="24"/>
        </w:rPr>
        <w:t xml:space="preserve"> 2010; </w:t>
      </w:r>
      <w:r w:rsidRPr="00207430">
        <w:rPr>
          <w:rFonts w:ascii="Book Antiqua" w:hAnsi="Book Antiqua" w:cs="宋体"/>
          <w:b/>
          <w:bCs/>
          <w:szCs w:val="24"/>
        </w:rPr>
        <w:t>46</w:t>
      </w:r>
      <w:r w:rsidRPr="00207430">
        <w:rPr>
          <w:rFonts w:ascii="Book Antiqua" w:hAnsi="Book Antiqua" w:cs="宋体"/>
          <w:szCs w:val="24"/>
        </w:rPr>
        <w:t>: 1588-1595 [PMID: 20338746 DOI: 10.1016/j.ejca.2010.02.051]</w:t>
      </w:r>
    </w:p>
    <w:p w14:paraId="3D1320A3"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39 </w:t>
      </w:r>
      <w:r w:rsidRPr="00207430">
        <w:rPr>
          <w:rFonts w:ascii="Book Antiqua" w:hAnsi="Book Antiqua" w:cs="宋体"/>
          <w:b/>
          <w:bCs/>
          <w:szCs w:val="24"/>
        </w:rPr>
        <w:t>Breneman JC</w:t>
      </w:r>
      <w:r w:rsidRPr="00207430">
        <w:rPr>
          <w:rFonts w:ascii="Book Antiqua" w:hAnsi="Book Antiqua" w:cs="宋体"/>
          <w:szCs w:val="24"/>
        </w:rPr>
        <w:t xml:space="preserve">, Lyden E, Pappo AS, Link MP, Anderson JR, Parham DM, Qualman SJ, Wharam MD, Donaldson SS, Maurer HM, Meyer WH, Baker KS, Paidas CN, Crist WM. Prognostic factors and clinical outcomes in children and adolescents with metastatic rhabdomyosarcoma--a report from the Intergroup Rhabdomyosarcoma Study IV. </w:t>
      </w:r>
      <w:r w:rsidRPr="00207430">
        <w:rPr>
          <w:rFonts w:ascii="Book Antiqua" w:hAnsi="Book Antiqua" w:cs="宋体"/>
          <w:i/>
          <w:iCs/>
          <w:szCs w:val="24"/>
        </w:rPr>
        <w:t>J Clin Oncol</w:t>
      </w:r>
      <w:r w:rsidRPr="00207430">
        <w:rPr>
          <w:rFonts w:ascii="Book Antiqua" w:hAnsi="Book Antiqua" w:cs="宋体"/>
          <w:szCs w:val="24"/>
        </w:rPr>
        <w:t xml:space="preserve"> 2003; </w:t>
      </w:r>
      <w:r w:rsidRPr="00207430">
        <w:rPr>
          <w:rFonts w:ascii="Book Antiqua" w:hAnsi="Book Antiqua" w:cs="宋体"/>
          <w:b/>
          <w:bCs/>
          <w:szCs w:val="24"/>
        </w:rPr>
        <w:t>21</w:t>
      </w:r>
      <w:r w:rsidRPr="00207430">
        <w:rPr>
          <w:rFonts w:ascii="Book Antiqua" w:hAnsi="Book Antiqua" w:cs="宋体"/>
          <w:szCs w:val="24"/>
        </w:rPr>
        <w:t>: 78-84 [PMID: 12506174 DOI: 10.1200/JCO.2003.06.129]</w:t>
      </w:r>
    </w:p>
    <w:p w14:paraId="21D7EC14"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40</w:t>
      </w:r>
      <w:r w:rsidRPr="00207430">
        <w:rPr>
          <w:rFonts w:ascii="Book Antiqua" w:hAnsi="Book Antiqua" w:cs="宋体"/>
          <w:b/>
          <w:szCs w:val="24"/>
        </w:rPr>
        <w:t xml:space="preserve"> Magro G, </w:t>
      </w:r>
      <w:r w:rsidRPr="00207430">
        <w:rPr>
          <w:rFonts w:ascii="Book Antiqua" w:hAnsi="Book Antiqua" w:cs="宋体"/>
          <w:szCs w:val="24"/>
        </w:rPr>
        <w:t xml:space="preserve">Longo FR, Angelico G, Spadola S, Amore FF, Salvatorelli L. Immunohistochemistry as potential diagnostic pitfall in the most common solid tumors of children and adolescents. </w:t>
      </w:r>
      <w:r w:rsidRPr="00207430">
        <w:rPr>
          <w:rFonts w:ascii="Book Antiqua" w:hAnsi="Book Antiqua" w:cs="宋体"/>
          <w:i/>
          <w:szCs w:val="24"/>
        </w:rPr>
        <w:t>Acta Histochem</w:t>
      </w:r>
      <w:r w:rsidRPr="00207430">
        <w:rPr>
          <w:rFonts w:ascii="Book Antiqua" w:hAnsi="Book Antiqua" w:cs="宋体"/>
          <w:szCs w:val="24"/>
        </w:rPr>
        <w:t xml:space="preserve"> 2015; </w:t>
      </w:r>
      <w:r w:rsidRPr="00207430">
        <w:rPr>
          <w:rFonts w:ascii="Book Antiqua" w:hAnsi="Book Antiqua" w:cs="宋体"/>
          <w:b/>
          <w:szCs w:val="24"/>
        </w:rPr>
        <w:t>117</w:t>
      </w:r>
      <w:r w:rsidRPr="00207430">
        <w:rPr>
          <w:rFonts w:ascii="Book Antiqua" w:hAnsi="Book Antiqua" w:cs="宋体"/>
          <w:szCs w:val="24"/>
        </w:rPr>
        <w:t>: 397</w:t>
      </w:r>
      <w:r>
        <w:rPr>
          <w:rFonts w:ascii="Book Antiqua" w:hAnsi="Book Antiqua" w:cs="宋体" w:hint="eastAsia"/>
          <w:szCs w:val="24"/>
        </w:rPr>
        <w:t>-</w:t>
      </w:r>
      <w:r w:rsidRPr="00207430">
        <w:rPr>
          <w:rFonts w:ascii="Book Antiqua" w:hAnsi="Book Antiqua" w:cs="宋体"/>
          <w:szCs w:val="24"/>
        </w:rPr>
        <w:t xml:space="preserve">414 [PMID: 25881477 DOI: 10.1016/j.acthis.2015.03.011] </w:t>
      </w:r>
    </w:p>
    <w:p w14:paraId="73886D17"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41 </w:t>
      </w:r>
      <w:r w:rsidRPr="00207430">
        <w:rPr>
          <w:rFonts w:ascii="Book Antiqua" w:hAnsi="Book Antiqua" w:cs="宋体"/>
          <w:b/>
          <w:bCs/>
          <w:szCs w:val="24"/>
        </w:rPr>
        <w:t>Waxweiler TV</w:t>
      </w:r>
      <w:r w:rsidRPr="00207430">
        <w:rPr>
          <w:rFonts w:ascii="Book Antiqua" w:hAnsi="Book Antiqua" w:cs="宋体"/>
          <w:szCs w:val="24"/>
        </w:rPr>
        <w:t xml:space="preserve">, Rusthoven CG, Proper MS, Cost CR, Cost NG, Donaldson N, Garrington T, Greffe BS, Heare T, Macy ME, Liu AK. Non-Rhabdomyosarcoma Soft Tissue Sarcomas in Children: A Surveillance, Epidemiology, and End Results Analysis Validating COG Risk Stratifications. </w:t>
      </w:r>
      <w:r w:rsidRPr="00207430">
        <w:rPr>
          <w:rFonts w:ascii="Book Antiqua" w:hAnsi="Book Antiqua" w:cs="宋体"/>
          <w:i/>
          <w:iCs/>
          <w:szCs w:val="24"/>
        </w:rPr>
        <w:t>Int J Radiat Oncol Biol Phys</w:t>
      </w:r>
      <w:r w:rsidRPr="00207430">
        <w:rPr>
          <w:rFonts w:ascii="Book Antiqua" w:hAnsi="Book Antiqua" w:cs="宋体"/>
          <w:szCs w:val="24"/>
        </w:rPr>
        <w:t xml:space="preserve"> 2015; </w:t>
      </w:r>
      <w:r w:rsidRPr="00207430">
        <w:rPr>
          <w:rFonts w:ascii="Book Antiqua" w:hAnsi="Book Antiqua" w:cs="宋体"/>
          <w:b/>
          <w:bCs/>
          <w:szCs w:val="24"/>
        </w:rPr>
        <w:t>92</w:t>
      </w:r>
      <w:r w:rsidRPr="00207430">
        <w:rPr>
          <w:rFonts w:ascii="Book Antiqua" w:hAnsi="Book Antiqua" w:cs="宋体"/>
          <w:szCs w:val="24"/>
        </w:rPr>
        <w:t>: 339-348 [PMID: 25968827 DOI: 10.1016/j.ijrobp.2015.02.007]</w:t>
      </w:r>
    </w:p>
    <w:p w14:paraId="53CE038A"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42 </w:t>
      </w:r>
      <w:r w:rsidRPr="00207430">
        <w:rPr>
          <w:rFonts w:ascii="Book Antiqua" w:hAnsi="Book Antiqua" w:cs="宋体"/>
          <w:b/>
          <w:bCs/>
          <w:szCs w:val="24"/>
        </w:rPr>
        <w:t>Pervaiz N</w:t>
      </w:r>
      <w:r w:rsidRPr="00207430">
        <w:rPr>
          <w:rFonts w:ascii="Book Antiqua" w:hAnsi="Book Antiqua" w:cs="宋体"/>
          <w:szCs w:val="24"/>
        </w:rPr>
        <w:t xml:space="preserve">, Colterjohn N, Farrokhyar F, Tozer R, Figueredo A, Ghert M. A systematic meta-analysis of randomized controlled trials of adjuvant chemotherapy </w:t>
      </w:r>
      <w:r w:rsidRPr="00207430">
        <w:rPr>
          <w:rFonts w:ascii="Book Antiqua" w:hAnsi="Book Antiqua" w:cs="宋体"/>
          <w:szCs w:val="24"/>
        </w:rPr>
        <w:lastRenderedPageBreak/>
        <w:t xml:space="preserve">for localized resectable soft-tissue sarcoma. </w:t>
      </w:r>
      <w:r w:rsidRPr="00207430">
        <w:rPr>
          <w:rFonts w:ascii="Book Antiqua" w:hAnsi="Book Antiqua" w:cs="宋体"/>
          <w:i/>
          <w:iCs/>
          <w:szCs w:val="24"/>
        </w:rPr>
        <w:t>Cancer</w:t>
      </w:r>
      <w:r w:rsidRPr="00207430">
        <w:rPr>
          <w:rFonts w:ascii="Book Antiqua" w:hAnsi="Book Antiqua" w:cs="宋体"/>
          <w:szCs w:val="24"/>
        </w:rPr>
        <w:t xml:space="preserve"> 2008; </w:t>
      </w:r>
      <w:r w:rsidRPr="00207430">
        <w:rPr>
          <w:rFonts w:ascii="Book Antiqua" w:hAnsi="Book Antiqua" w:cs="宋体"/>
          <w:b/>
          <w:bCs/>
          <w:szCs w:val="24"/>
        </w:rPr>
        <w:t>113</w:t>
      </w:r>
      <w:r w:rsidRPr="00207430">
        <w:rPr>
          <w:rFonts w:ascii="Book Antiqua" w:hAnsi="Book Antiqua" w:cs="宋体"/>
          <w:szCs w:val="24"/>
        </w:rPr>
        <w:t>: 573-581 [PMID: 18521899 DOI: 10.1002/cncr.23592]</w:t>
      </w:r>
    </w:p>
    <w:p w14:paraId="216AAC76"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43 </w:t>
      </w:r>
      <w:r w:rsidRPr="00207430">
        <w:rPr>
          <w:rFonts w:ascii="Book Antiqua" w:hAnsi="Book Antiqua" w:cs="宋体"/>
          <w:b/>
          <w:szCs w:val="24"/>
        </w:rPr>
        <w:t xml:space="preserve">Tanaka K, </w:t>
      </w:r>
      <w:r w:rsidRPr="00207430">
        <w:rPr>
          <w:rFonts w:ascii="Book Antiqua" w:hAnsi="Book Antiqua" w:cs="宋体"/>
          <w:szCs w:val="24"/>
        </w:rPr>
        <w:t xml:space="preserve">Mizusawa J, Fukuda H, Araki N, Chuman H, Takahashi M, Ozaki T, Hiruma T, Tsuchiya H, Morioka H, Hatano H, Iwamoto, Y. Perioperative chemotherapy with ifosfamide and doxorubicin for high-grade soft tissue sarcomas in the extremities (JCOG0304). </w:t>
      </w:r>
      <w:r w:rsidRPr="00207430">
        <w:rPr>
          <w:rFonts w:ascii="Book Antiqua" w:hAnsi="Book Antiqua" w:cs="宋体"/>
          <w:i/>
          <w:szCs w:val="24"/>
        </w:rPr>
        <w:t>Jpn J Clin Oncol</w:t>
      </w:r>
      <w:r w:rsidRPr="00207430">
        <w:rPr>
          <w:rFonts w:ascii="Book Antiqua" w:hAnsi="Book Antiqua" w:cs="宋体"/>
          <w:szCs w:val="24"/>
        </w:rPr>
        <w:t xml:space="preserve"> 2015; </w:t>
      </w:r>
      <w:r w:rsidRPr="00207430">
        <w:rPr>
          <w:rFonts w:ascii="Book Antiqua" w:hAnsi="Book Antiqua" w:cs="宋体"/>
          <w:b/>
          <w:szCs w:val="24"/>
        </w:rPr>
        <w:t>45</w:t>
      </w:r>
      <w:r w:rsidRPr="00207430">
        <w:rPr>
          <w:rFonts w:ascii="Book Antiqua" w:hAnsi="Book Antiqua" w:cs="宋体"/>
          <w:szCs w:val="24"/>
        </w:rPr>
        <w:t xml:space="preserve">: 555-561 [PMID: 25838293 DOI: 10.1093/jjco/hyv042] </w:t>
      </w:r>
    </w:p>
    <w:p w14:paraId="1466F0DA" w14:textId="77777777" w:rsidR="00A825DA"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44 </w:t>
      </w:r>
      <w:r w:rsidRPr="00207430">
        <w:rPr>
          <w:rFonts w:ascii="Book Antiqua" w:hAnsi="Book Antiqua" w:cs="宋体"/>
          <w:b/>
          <w:szCs w:val="24"/>
        </w:rPr>
        <w:t>Peinemann F,</w:t>
      </w:r>
      <w:r w:rsidRPr="00207430">
        <w:rPr>
          <w:rFonts w:ascii="Book Antiqua" w:hAnsi="Book Antiqua" w:cs="宋体"/>
          <w:szCs w:val="24"/>
        </w:rPr>
        <w:t xml:space="preserve"> Labeit AM. Autologous haematopoietic stem cell transplantation following high-dose chemotherapy for non-rhabdomyosarcoma soft tissue sarcomas: a Cochrane systematic review. </w:t>
      </w:r>
      <w:r w:rsidRPr="00207430">
        <w:rPr>
          <w:rFonts w:ascii="Book Antiqua" w:hAnsi="Book Antiqua" w:cs="宋体"/>
          <w:i/>
          <w:szCs w:val="24"/>
        </w:rPr>
        <w:t>BMJ Open 2014</w:t>
      </w:r>
      <w:r w:rsidRPr="00207430">
        <w:rPr>
          <w:rFonts w:ascii="Book Antiqua" w:hAnsi="Book Antiqua" w:cs="宋体"/>
          <w:szCs w:val="24"/>
        </w:rPr>
        <w:t xml:space="preserve">; </w:t>
      </w:r>
      <w:r w:rsidRPr="00207430">
        <w:rPr>
          <w:rFonts w:ascii="Book Antiqua" w:hAnsi="Book Antiqua" w:cs="宋体"/>
          <w:b/>
          <w:szCs w:val="24"/>
        </w:rPr>
        <w:t>4</w:t>
      </w:r>
      <w:r w:rsidRPr="00207430">
        <w:rPr>
          <w:rFonts w:ascii="Book Antiqua" w:hAnsi="Book Antiqua" w:cs="宋体"/>
          <w:szCs w:val="24"/>
        </w:rPr>
        <w:t xml:space="preserve">: e005033 [PMID: 25079925 DOI: 10.1136/bmjopen-2014-005033] </w:t>
      </w:r>
    </w:p>
    <w:p w14:paraId="4C32A7B2"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45 </w:t>
      </w:r>
      <w:r w:rsidRPr="00207430">
        <w:rPr>
          <w:rFonts w:ascii="Book Antiqua" w:hAnsi="Book Antiqua" w:cs="宋体"/>
          <w:b/>
          <w:bCs/>
          <w:szCs w:val="24"/>
        </w:rPr>
        <w:t>Delattre O</w:t>
      </w:r>
      <w:r w:rsidRPr="00207430">
        <w:rPr>
          <w:rFonts w:ascii="Book Antiqua" w:hAnsi="Book Antiqua" w:cs="宋体"/>
          <w:szCs w:val="24"/>
        </w:rPr>
        <w:t xml:space="preserve">, Zucman J, Plougastel B, Desmaze C, Melot T, Peter M, Kovar H, Joubert I, de Jong P, Rouleau G. Gene fusion with an ETS DNA-binding domain caused by chromosome translocation in human tumours. </w:t>
      </w:r>
      <w:r w:rsidRPr="00207430">
        <w:rPr>
          <w:rFonts w:ascii="Book Antiqua" w:hAnsi="Book Antiqua" w:cs="宋体"/>
          <w:i/>
          <w:iCs/>
          <w:szCs w:val="24"/>
        </w:rPr>
        <w:t>Nature</w:t>
      </w:r>
      <w:r w:rsidRPr="00207430">
        <w:rPr>
          <w:rFonts w:ascii="Book Antiqua" w:hAnsi="Book Antiqua" w:cs="宋体"/>
          <w:szCs w:val="24"/>
        </w:rPr>
        <w:t xml:space="preserve"> 1992; </w:t>
      </w:r>
      <w:r w:rsidRPr="00207430">
        <w:rPr>
          <w:rFonts w:ascii="Book Antiqua" w:hAnsi="Book Antiqua" w:cs="宋体"/>
          <w:b/>
          <w:bCs/>
          <w:szCs w:val="24"/>
        </w:rPr>
        <w:t>359</w:t>
      </w:r>
      <w:r w:rsidRPr="00207430">
        <w:rPr>
          <w:rFonts w:ascii="Book Antiqua" w:hAnsi="Book Antiqua" w:cs="宋体"/>
          <w:szCs w:val="24"/>
        </w:rPr>
        <w:t>: 162-165 [PMID: 1522903 DOI: 10.1038/359162a0]</w:t>
      </w:r>
    </w:p>
    <w:p w14:paraId="4E5842F6"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46 </w:t>
      </w:r>
      <w:r w:rsidRPr="00207430">
        <w:rPr>
          <w:rFonts w:ascii="Book Antiqua" w:hAnsi="Book Antiqua" w:cs="宋体"/>
          <w:b/>
          <w:bCs/>
          <w:szCs w:val="24"/>
        </w:rPr>
        <w:t>Biswas B</w:t>
      </w:r>
      <w:r w:rsidRPr="00207430">
        <w:rPr>
          <w:rFonts w:ascii="Book Antiqua" w:hAnsi="Book Antiqua" w:cs="宋体"/>
          <w:szCs w:val="24"/>
        </w:rPr>
        <w:t xml:space="preserve">, Shukla NK, Deo SV, Agarwala S, Sharma DN, Vishnubhatla S, Bakhshi S. Evaluation of outcome and prognostic factors in extraosseous Ewing sarcoma. </w:t>
      </w:r>
      <w:r w:rsidRPr="00207430">
        <w:rPr>
          <w:rFonts w:ascii="Book Antiqua" w:hAnsi="Book Antiqua" w:cs="宋体"/>
          <w:i/>
          <w:iCs/>
          <w:szCs w:val="24"/>
        </w:rPr>
        <w:t>Pediatr Blood Cancer</w:t>
      </w:r>
      <w:r w:rsidRPr="00207430">
        <w:rPr>
          <w:rFonts w:ascii="Book Antiqua" w:hAnsi="Book Antiqua" w:cs="宋体"/>
          <w:szCs w:val="24"/>
        </w:rPr>
        <w:t xml:space="preserve"> 2014; </w:t>
      </w:r>
      <w:r w:rsidRPr="00207430">
        <w:rPr>
          <w:rFonts w:ascii="Book Antiqua" w:hAnsi="Book Antiqua" w:cs="宋体"/>
          <w:b/>
          <w:bCs/>
          <w:szCs w:val="24"/>
        </w:rPr>
        <w:t>61</w:t>
      </w:r>
      <w:r w:rsidRPr="00207430">
        <w:rPr>
          <w:rFonts w:ascii="Book Antiqua" w:hAnsi="Book Antiqua" w:cs="宋体"/>
          <w:szCs w:val="24"/>
        </w:rPr>
        <w:t>: 1925-1931 [PMID: 25132242 DOI: 10.1002/pbc.25095]</w:t>
      </w:r>
    </w:p>
    <w:p w14:paraId="2B0DB567"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47 </w:t>
      </w:r>
      <w:r w:rsidRPr="00207430">
        <w:rPr>
          <w:rFonts w:ascii="Book Antiqua" w:hAnsi="Book Antiqua" w:cs="宋体"/>
          <w:b/>
          <w:bCs/>
          <w:szCs w:val="24"/>
        </w:rPr>
        <w:t>Brunetto AL</w:t>
      </w:r>
      <w:r w:rsidRPr="00207430">
        <w:rPr>
          <w:rFonts w:ascii="Book Antiqua" w:hAnsi="Book Antiqua" w:cs="宋体"/>
          <w:szCs w:val="24"/>
        </w:rPr>
        <w:t xml:space="preserve">, Castillo LA, Petrilli AS, Macedo CD, Boldrini E, Costa C, Almeida MT, Kirst D, Rodriguez-Galindo C, Pereira WV, Watanabe FM, Pizza M, Benites E, Morais V, Gadelha A, Nakasato A, Abujamra AL, Gregianin LJ. Carboplatin in the treatment of Ewing sarcoma: Results of the first Brazilian collaborative study group for Ewing sarcoma family tumors-EWING1. </w:t>
      </w:r>
      <w:r w:rsidRPr="00207430">
        <w:rPr>
          <w:rFonts w:ascii="Book Antiqua" w:hAnsi="Book Antiqua" w:cs="宋体"/>
          <w:i/>
          <w:iCs/>
          <w:szCs w:val="24"/>
        </w:rPr>
        <w:t>Pediatr Blood Cancer</w:t>
      </w:r>
      <w:r w:rsidRPr="00207430">
        <w:rPr>
          <w:rFonts w:ascii="Book Antiqua" w:hAnsi="Book Antiqua" w:cs="宋体"/>
          <w:szCs w:val="24"/>
        </w:rPr>
        <w:t xml:space="preserve"> 2015; </w:t>
      </w:r>
      <w:r w:rsidRPr="00207430">
        <w:rPr>
          <w:rFonts w:ascii="Book Antiqua" w:hAnsi="Book Antiqua" w:cs="宋体"/>
          <w:b/>
          <w:bCs/>
          <w:szCs w:val="24"/>
        </w:rPr>
        <w:t>62</w:t>
      </w:r>
      <w:r w:rsidRPr="00207430">
        <w:rPr>
          <w:rFonts w:ascii="Book Antiqua" w:hAnsi="Book Antiqua" w:cs="宋体"/>
          <w:szCs w:val="24"/>
        </w:rPr>
        <w:t>: 1747-1753 [PMID: 25917418 DOI: 10.1002/pbc.25562]</w:t>
      </w:r>
    </w:p>
    <w:p w14:paraId="47F508AF"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48 </w:t>
      </w:r>
      <w:r w:rsidRPr="00207430">
        <w:rPr>
          <w:rFonts w:ascii="Book Antiqua" w:hAnsi="Book Antiqua" w:cs="宋体"/>
          <w:b/>
          <w:bCs/>
          <w:szCs w:val="24"/>
        </w:rPr>
        <w:t>Obata H</w:t>
      </w:r>
      <w:r w:rsidRPr="00207430">
        <w:rPr>
          <w:rFonts w:ascii="Book Antiqua" w:hAnsi="Book Antiqua" w:cs="宋体"/>
          <w:szCs w:val="24"/>
        </w:rPr>
        <w:t xml:space="preserve">, Ueda T, Kawai A, Ishii T, Ozaki T, Abe S, Tanaka K, Tsuchiya H, Matsumine A, Yabe H. Clinical outcome of patients with Ewing sarcoma family of tumors of bone in Japan: the Japanese Musculoskeletal Oncology Group cooperative study. </w:t>
      </w:r>
      <w:r w:rsidRPr="00207430">
        <w:rPr>
          <w:rFonts w:ascii="Book Antiqua" w:hAnsi="Book Antiqua" w:cs="宋体"/>
          <w:i/>
          <w:iCs/>
          <w:szCs w:val="24"/>
        </w:rPr>
        <w:t>Cancer</w:t>
      </w:r>
      <w:r w:rsidRPr="00207430">
        <w:rPr>
          <w:rFonts w:ascii="Book Antiqua" w:hAnsi="Book Antiqua" w:cs="宋体"/>
          <w:szCs w:val="24"/>
        </w:rPr>
        <w:t xml:space="preserve"> 2007; </w:t>
      </w:r>
      <w:r w:rsidRPr="00207430">
        <w:rPr>
          <w:rFonts w:ascii="Book Antiqua" w:hAnsi="Book Antiqua" w:cs="宋体"/>
          <w:b/>
          <w:bCs/>
          <w:szCs w:val="24"/>
        </w:rPr>
        <w:t>109</w:t>
      </w:r>
      <w:r w:rsidRPr="00207430">
        <w:rPr>
          <w:rFonts w:ascii="Book Antiqua" w:hAnsi="Book Antiqua" w:cs="宋体"/>
          <w:szCs w:val="24"/>
        </w:rPr>
        <w:t>: 767-775 [PMID: 17238190 DOI: 10.1002/cncr.22481]</w:t>
      </w:r>
    </w:p>
    <w:p w14:paraId="1E5AFA5E"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49 </w:t>
      </w:r>
      <w:r w:rsidRPr="00207430">
        <w:rPr>
          <w:rFonts w:ascii="Book Antiqua" w:hAnsi="Book Antiqua" w:cs="宋体"/>
          <w:b/>
          <w:bCs/>
          <w:szCs w:val="24"/>
        </w:rPr>
        <w:t>Duchman KR</w:t>
      </w:r>
      <w:r w:rsidRPr="00207430">
        <w:rPr>
          <w:rFonts w:ascii="Book Antiqua" w:hAnsi="Book Antiqua" w:cs="宋体"/>
          <w:szCs w:val="24"/>
        </w:rPr>
        <w:t xml:space="preserve">, Gao Y, Miller BJ. Prognostic factors for survival in patients with Ewing's sarcoma using the surveillance, epidemiology, and end results (SEER) program database. </w:t>
      </w:r>
      <w:r w:rsidRPr="00207430">
        <w:rPr>
          <w:rFonts w:ascii="Book Antiqua" w:hAnsi="Book Antiqua" w:cs="宋体"/>
          <w:i/>
          <w:iCs/>
          <w:szCs w:val="24"/>
        </w:rPr>
        <w:t>Cancer Epidemiol</w:t>
      </w:r>
      <w:r w:rsidRPr="00207430">
        <w:rPr>
          <w:rFonts w:ascii="Book Antiqua" w:hAnsi="Book Antiqua" w:cs="宋体"/>
          <w:szCs w:val="24"/>
        </w:rPr>
        <w:t xml:space="preserve"> 2015; </w:t>
      </w:r>
      <w:r w:rsidRPr="00207430">
        <w:rPr>
          <w:rFonts w:ascii="Book Antiqua" w:hAnsi="Book Antiqua" w:cs="宋体"/>
          <w:b/>
          <w:bCs/>
          <w:szCs w:val="24"/>
        </w:rPr>
        <w:t>39</w:t>
      </w:r>
      <w:r w:rsidRPr="00207430">
        <w:rPr>
          <w:rFonts w:ascii="Book Antiqua" w:hAnsi="Book Antiqua" w:cs="宋体"/>
          <w:szCs w:val="24"/>
        </w:rPr>
        <w:t>: 189-195 [PMID: 25595632 DOI: 10.1016/j.canep.2014.12.012]</w:t>
      </w:r>
    </w:p>
    <w:p w14:paraId="2343A4FE" w14:textId="614C6EE9"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lastRenderedPageBreak/>
        <w:t xml:space="preserve">50 </w:t>
      </w:r>
      <w:r w:rsidRPr="00207430">
        <w:rPr>
          <w:rFonts w:ascii="Book Antiqua" w:hAnsi="Book Antiqua" w:cs="宋体"/>
          <w:b/>
          <w:bCs/>
          <w:szCs w:val="24"/>
        </w:rPr>
        <w:t>Shamberger RC</w:t>
      </w:r>
      <w:r w:rsidRPr="00207430">
        <w:rPr>
          <w:rFonts w:ascii="Book Antiqua" w:hAnsi="Book Antiqua" w:cs="宋体"/>
          <w:szCs w:val="24"/>
        </w:rPr>
        <w:t xml:space="preserve">, LaQuaglia MP, Gebhardt MC, Neff JR, Tarbell NJ, Marcus KC, Sailer SL, Womer RB, Miser JS, Dickman PS, Perlman EJ, Devidas M, Linda SB, Krailo MD, Grier HE, Granowetter L. Ewing sarcoma/primitive neuroectodermal tumor of the chest wall: impact of initial versus delayed resection on tumor margins, survival, and use of radiation therapy. </w:t>
      </w:r>
      <w:r w:rsidRPr="00207430">
        <w:rPr>
          <w:rFonts w:ascii="Book Antiqua" w:hAnsi="Book Antiqua" w:cs="宋体"/>
          <w:i/>
          <w:iCs/>
          <w:szCs w:val="24"/>
        </w:rPr>
        <w:t>Ann Surg</w:t>
      </w:r>
      <w:r w:rsidRPr="00207430">
        <w:rPr>
          <w:rFonts w:ascii="Book Antiqua" w:hAnsi="Book Antiqua" w:cs="宋体"/>
          <w:szCs w:val="24"/>
        </w:rPr>
        <w:t xml:space="preserve"> 2003; </w:t>
      </w:r>
      <w:r w:rsidRPr="00207430">
        <w:rPr>
          <w:rFonts w:ascii="Book Antiqua" w:hAnsi="Book Antiqua" w:cs="宋体"/>
          <w:b/>
          <w:bCs/>
          <w:szCs w:val="24"/>
        </w:rPr>
        <w:t>238</w:t>
      </w:r>
      <w:r w:rsidRPr="00207430">
        <w:rPr>
          <w:rFonts w:ascii="Book Antiqua" w:hAnsi="Book Antiqua" w:cs="宋体"/>
          <w:szCs w:val="24"/>
        </w:rPr>
        <w:t>: 563-5</w:t>
      </w:r>
      <w:r w:rsidR="00BA05FB">
        <w:rPr>
          <w:rFonts w:ascii="Book Antiqua" w:hAnsi="Book Antiqua" w:cs="宋体" w:hint="eastAsia"/>
          <w:szCs w:val="24"/>
          <w:lang w:eastAsia="zh-CN"/>
        </w:rPr>
        <w:t>6</w:t>
      </w:r>
      <w:r w:rsidRPr="00207430">
        <w:rPr>
          <w:rFonts w:ascii="Book Antiqua" w:hAnsi="Book Antiqua" w:cs="宋体"/>
          <w:szCs w:val="24"/>
        </w:rPr>
        <w:t>7; discussion 56</w:t>
      </w:r>
      <w:r>
        <w:rPr>
          <w:rFonts w:ascii="Book Antiqua" w:hAnsi="Book Antiqua" w:cs="宋体" w:hint="eastAsia"/>
          <w:szCs w:val="24"/>
        </w:rPr>
        <w:t>7</w:t>
      </w:r>
      <w:r w:rsidRPr="00207430">
        <w:rPr>
          <w:rFonts w:ascii="Book Antiqua" w:hAnsi="Book Antiqua" w:cs="宋体"/>
          <w:szCs w:val="24"/>
        </w:rPr>
        <w:t>-5</w:t>
      </w:r>
      <w:r>
        <w:rPr>
          <w:rFonts w:ascii="Book Antiqua" w:hAnsi="Book Antiqua" w:cs="宋体" w:hint="eastAsia"/>
          <w:szCs w:val="24"/>
        </w:rPr>
        <w:t>68</w:t>
      </w:r>
      <w:r w:rsidRPr="00207430">
        <w:rPr>
          <w:rFonts w:ascii="Book Antiqua" w:hAnsi="Book Antiqua" w:cs="宋体"/>
          <w:szCs w:val="24"/>
        </w:rPr>
        <w:t xml:space="preserve"> [PMID: 14530727 DOI: 10.1097/01.sla.0000089857.45191.52]</w:t>
      </w:r>
    </w:p>
    <w:p w14:paraId="751D6AA1"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51 </w:t>
      </w:r>
      <w:r w:rsidRPr="00207430">
        <w:rPr>
          <w:rFonts w:ascii="Book Antiqua" w:hAnsi="Book Antiqua" w:cs="宋体"/>
          <w:b/>
          <w:bCs/>
          <w:szCs w:val="24"/>
        </w:rPr>
        <w:t>Paulussen M</w:t>
      </w:r>
      <w:r w:rsidRPr="00207430">
        <w:rPr>
          <w:rFonts w:ascii="Book Antiqua" w:hAnsi="Book Antiqua" w:cs="宋体"/>
          <w:szCs w:val="24"/>
        </w:rPr>
        <w:t xml:space="preserve">, Craft AW, Lewis I, Hackshaw A, Douglas C, Dunst J, Schuck A, Winkelmann W, Köhler G, Poremba C, Zoubek A, Ladenstein R, van den Berg H, Hunold A, Cassoni A, Spooner D, Grimer R, Whelan J, McTiernan A, Jürgens H. Results of the EICESS-92 Study: two randomized trials of Ewing's sarcoma treatment--cyclophosphamide compared with ifosfamide in standard-risk patients and assessment of benefit of etoposide added to standard treatment in high-risk patients. </w:t>
      </w:r>
      <w:r w:rsidRPr="00207430">
        <w:rPr>
          <w:rFonts w:ascii="Book Antiqua" w:hAnsi="Book Antiqua" w:cs="宋体"/>
          <w:i/>
          <w:iCs/>
          <w:szCs w:val="24"/>
        </w:rPr>
        <w:t>J Clin Oncol</w:t>
      </w:r>
      <w:r w:rsidRPr="00207430">
        <w:rPr>
          <w:rFonts w:ascii="Book Antiqua" w:hAnsi="Book Antiqua" w:cs="宋体"/>
          <w:szCs w:val="24"/>
        </w:rPr>
        <w:t xml:space="preserve"> 2008; </w:t>
      </w:r>
      <w:r w:rsidRPr="00207430">
        <w:rPr>
          <w:rFonts w:ascii="Book Antiqua" w:hAnsi="Book Antiqua" w:cs="宋体"/>
          <w:b/>
          <w:bCs/>
          <w:szCs w:val="24"/>
        </w:rPr>
        <w:t>26</w:t>
      </w:r>
      <w:r w:rsidRPr="00207430">
        <w:rPr>
          <w:rFonts w:ascii="Book Antiqua" w:hAnsi="Book Antiqua" w:cs="宋体"/>
          <w:szCs w:val="24"/>
        </w:rPr>
        <w:t>: 4385-4393 [PMID: 18802150 DOI: 10.1200/JCO.2008.16.5720]</w:t>
      </w:r>
    </w:p>
    <w:p w14:paraId="049091D6"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52 </w:t>
      </w:r>
      <w:r w:rsidRPr="00207430">
        <w:rPr>
          <w:rFonts w:ascii="Book Antiqua" w:hAnsi="Book Antiqua" w:cs="宋体"/>
          <w:b/>
          <w:bCs/>
          <w:szCs w:val="24"/>
        </w:rPr>
        <w:t>Castex MP</w:t>
      </w:r>
      <w:r w:rsidRPr="00207430">
        <w:rPr>
          <w:rFonts w:ascii="Book Antiqua" w:hAnsi="Book Antiqua" w:cs="宋体"/>
          <w:szCs w:val="24"/>
        </w:rPr>
        <w:t xml:space="preserve">, Rubie H, Stevens MC, Escribano CC, de Gauzy JS, Gomez-Brouchet A, Rey A, Delattre O, Oberlin O. Extraosseous localized ewing tumors: improved outcome with anthracyclines--the French society of pediatric oncology and international society of pediatric oncology. </w:t>
      </w:r>
      <w:r w:rsidRPr="00207430">
        <w:rPr>
          <w:rFonts w:ascii="Book Antiqua" w:hAnsi="Book Antiqua" w:cs="宋体"/>
          <w:i/>
          <w:iCs/>
          <w:szCs w:val="24"/>
        </w:rPr>
        <w:t>J Clin Oncol</w:t>
      </w:r>
      <w:r w:rsidRPr="00207430">
        <w:rPr>
          <w:rFonts w:ascii="Book Antiqua" w:hAnsi="Book Antiqua" w:cs="宋体"/>
          <w:szCs w:val="24"/>
        </w:rPr>
        <w:t xml:space="preserve"> 2007; </w:t>
      </w:r>
      <w:r w:rsidRPr="00207430">
        <w:rPr>
          <w:rFonts w:ascii="Book Antiqua" w:hAnsi="Book Antiqua" w:cs="宋体"/>
          <w:b/>
          <w:bCs/>
          <w:szCs w:val="24"/>
        </w:rPr>
        <w:t>25</w:t>
      </w:r>
      <w:r w:rsidRPr="00207430">
        <w:rPr>
          <w:rFonts w:ascii="Book Antiqua" w:hAnsi="Book Antiqua" w:cs="宋体"/>
          <w:szCs w:val="24"/>
        </w:rPr>
        <w:t>: 1176-1182 [PMID: 17401006 DOI: 10.1200/JCO.2005.05.0559]</w:t>
      </w:r>
    </w:p>
    <w:p w14:paraId="39376F12"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53 </w:t>
      </w:r>
      <w:r w:rsidRPr="00207430">
        <w:rPr>
          <w:rFonts w:ascii="Book Antiqua" w:hAnsi="Book Antiqua" w:cs="宋体"/>
          <w:b/>
          <w:bCs/>
          <w:szCs w:val="24"/>
        </w:rPr>
        <w:t>Raney RB</w:t>
      </w:r>
      <w:r w:rsidRPr="00207430">
        <w:rPr>
          <w:rFonts w:ascii="Book Antiqua" w:hAnsi="Book Antiqua" w:cs="宋体"/>
          <w:szCs w:val="24"/>
        </w:rPr>
        <w:t xml:space="preserve">, Asmar L, Newton WA, Bagwell C, Breneman JC, Crist W, Gehan EA, Webber B, Wharam M, Wiener ES, Anderson JR, Maurer HM. Ewing's sarcoma of soft tissues in childhood: a report from the Intergroup Rhabdomyosarcoma Study, 1972 to 1991. </w:t>
      </w:r>
      <w:r w:rsidRPr="00207430">
        <w:rPr>
          <w:rFonts w:ascii="Book Antiqua" w:hAnsi="Book Antiqua" w:cs="宋体"/>
          <w:i/>
          <w:iCs/>
          <w:szCs w:val="24"/>
        </w:rPr>
        <w:t>J Clin Oncol</w:t>
      </w:r>
      <w:r w:rsidRPr="00207430">
        <w:rPr>
          <w:rFonts w:ascii="Book Antiqua" w:hAnsi="Book Antiqua" w:cs="宋体"/>
          <w:szCs w:val="24"/>
        </w:rPr>
        <w:t xml:space="preserve"> 1997; </w:t>
      </w:r>
      <w:r w:rsidRPr="00207430">
        <w:rPr>
          <w:rFonts w:ascii="Book Antiqua" w:hAnsi="Book Antiqua" w:cs="宋体"/>
          <w:b/>
          <w:bCs/>
          <w:szCs w:val="24"/>
        </w:rPr>
        <w:t>15</w:t>
      </w:r>
      <w:r w:rsidRPr="00207430">
        <w:rPr>
          <w:rFonts w:ascii="Book Antiqua" w:hAnsi="Book Antiqua" w:cs="宋体"/>
          <w:szCs w:val="24"/>
        </w:rPr>
        <w:t>: 574-582 [PMID: 9053479]</w:t>
      </w:r>
    </w:p>
    <w:p w14:paraId="1EACE573"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54 </w:t>
      </w:r>
      <w:r w:rsidRPr="00207430">
        <w:rPr>
          <w:rFonts w:ascii="Book Antiqua" w:hAnsi="Book Antiqua" w:cs="宋体"/>
          <w:b/>
          <w:szCs w:val="24"/>
        </w:rPr>
        <w:t>Spunt SL,</w:t>
      </w:r>
      <w:r w:rsidRPr="00207430">
        <w:rPr>
          <w:rFonts w:ascii="Book Antiqua" w:hAnsi="Book Antiqua" w:cs="宋体"/>
          <w:szCs w:val="24"/>
        </w:rPr>
        <w:t xml:space="preserve"> Pappo AS. Childhood nonrhabdomyosarcoma soft tissue sarcomas are not adult-type tumors. </w:t>
      </w:r>
      <w:r w:rsidRPr="00207430">
        <w:rPr>
          <w:rFonts w:ascii="Book Antiqua" w:hAnsi="Book Antiqua" w:cs="宋体"/>
          <w:i/>
          <w:szCs w:val="24"/>
        </w:rPr>
        <w:t>J Clin Oncol</w:t>
      </w:r>
      <w:r w:rsidRPr="00207430">
        <w:rPr>
          <w:rFonts w:ascii="Book Antiqua" w:hAnsi="Book Antiqua" w:cs="宋体"/>
          <w:szCs w:val="24"/>
        </w:rPr>
        <w:t xml:space="preserve"> 2006; </w:t>
      </w:r>
      <w:r w:rsidRPr="00207430">
        <w:rPr>
          <w:rFonts w:ascii="Book Antiqua" w:hAnsi="Book Antiqua" w:cs="宋体"/>
          <w:b/>
          <w:szCs w:val="24"/>
        </w:rPr>
        <w:t>24</w:t>
      </w:r>
      <w:r w:rsidRPr="00207430">
        <w:rPr>
          <w:rFonts w:ascii="Book Antiqua" w:hAnsi="Book Antiqua" w:cs="宋体"/>
          <w:szCs w:val="24"/>
        </w:rPr>
        <w:t>:</w:t>
      </w:r>
      <w:r>
        <w:rPr>
          <w:rFonts w:ascii="Book Antiqua" w:hAnsi="Book Antiqua" w:cs="宋体"/>
          <w:szCs w:val="24"/>
        </w:rPr>
        <w:t xml:space="preserve"> 1958-1959; Author reply: </w:t>
      </w:r>
      <w:r>
        <w:rPr>
          <w:rFonts w:ascii="Book Antiqua" w:hAnsi="Book Antiqua" w:cs="宋体" w:hint="eastAsia"/>
          <w:szCs w:val="24"/>
        </w:rPr>
        <w:t>195</w:t>
      </w:r>
      <w:r>
        <w:rPr>
          <w:rFonts w:ascii="Book Antiqua" w:hAnsi="Book Antiqua" w:cs="宋体"/>
          <w:szCs w:val="24"/>
        </w:rPr>
        <w:t>9-</w:t>
      </w:r>
      <w:r>
        <w:rPr>
          <w:rFonts w:ascii="Book Antiqua" w:hAnsi="Book Antiqua" w:cs="宋体" w:hint="eastAsia"/>
          <w:szCs w:val="24"/>
        </w:rPr>
        <w:t>19</w:t>
      </w:r>
      <w:r>
        <w:rPr>
          <w:rFonts w:ascii="Book Antiqua" w:hAnsi="Book Antiqua" w:cs="宋体"/>
          <w:szCs w:val="24"/>
        </w:rPr>
        <w:t>60</w:t>
      </w:r>
      <w:r w:rsidRPr="00207430">
        <w:rPr>
          <w:rFonts w:ascii="Book Antiqua" w:hAnsi="Book Antiqua" w:cs="宋体"/>
          <w:szCs w:val="24"/>
        </w:rPr>
        <w:t xml:space="preserve"> [PMID: 16622276 </w:t>
      </w:r>
      <w:r>
        <w:rPr>
          <w:rFonts w:ascii="Book Antiqua" w:hAnsi="Book Antiqua" w:cs="宋体"/>
          <w:szCs w:val="24"/>
        </w:rPr>
        <w:t xml:space="preserve">DOI: 10.1200/JCO.2005.05.4957] </w:t>
      </w:r>
    </w:p>
    <w:p w14:paraId="69EB336F"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55 </w:t>
      </w:r>
      <w:r w:rsidRPr="00207430">
        <w:rPr>
          <w:rFonts w:ascii="Book Antiqua" w:hAnsi="Book Antiqua" w:cs="宋体"/>
          <w:b/>
          <w:bCs/>
          <w:szCs w:val="24"/>
        </w:rPr>
        <w:t>Pourtsidis A</w:t>
      </w:r>
      <w:r w:rsidRPr="00207430">
        <w:rPr>
          <w:rFonts w:ascii="Book Antiqua" w:hAnsi="Book Antiqua" w:cs="宋体"/>
          <w:szCs w:val="24"/>
        </w:rPr>
        <w:t xml:space="preserve">, Doganis D, Baka M, Bouhoutsou D, Varvoutsi M, Synodinou M, Giamarelou P, Kosmidis H. Malignant peripheral nerve sheath tumors in children with neurofibromatosis type 1. </w:t>
      </w:r>
      <w:r w:rsidRPr="00207430">
        <w:rPr>
          <w:rFonts w:ascii="Book Antiqua" w:hAnsi="Book Antiqua" w:cs="宋体"/>
          <w:i/>
          <w:iCs/>
          <w:szCs w:val="24"/>
        </w:rPr>
        <w:t>Case Rep Oncol Med</w:t>
      </w:r>
      <w:r w:rsidRPr="00207430">
        <w:rPr>
          <w:rFonts w:ascii="Book Antiqua" w:hAnsi="Book Antiqua" w:cs="宋体"/>
          <w:szCs w:val="24"/>
        </w:rPr>
        <w:t xml:space="preserve"> 2014; </w:t>
      </w:r>
      <w:r w:rsidRPr="00207430">
        <w:rPr>
          <w:rFonts w:ascii="Book Antiqua" w:hAnsi="Book Antiqua" w:cs="宋体"/>
          <w:b/>
          <w:bCs/>
          <w:szCs w:val="24"/>
        </w:rPr>
        <w:t>2014</w:t>
      </w:r>
      <w:r w:rsidRPr="00207430">
        <w:rPr>
          <w:rFonts w:ascii="Book Antiqua" w:hAnsi="Book Antiqua" w:cs="宋体"/>
          <w:szCs w:val="24"/>
        </w:rPr>
        <w:t>: 843749 [PMID: 25317349 DOI: 843749]</w:t>
      </w:r>
    </w:p>
    <w:p w14:paraId="7F210E2D"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lastRenderedPageBreak/>
        <w:t xml:space="preserve">56 </w:t>
      </w:r>
      <w:r w:rsidRPr="00207430">
        <w:rPr>
          <w:rFonts w:ascii="Book Antiqua" w:hAnsi="Book Antiqua" w:cs="宋体"/>
          <w:b/>
          <w:bCs/>
          <w:szCs w:val="24"/>
        </w:rPr>
        <w:t>Ferner RE</w:t>
      </w:r>
      <w:r w:rsidRPr="00207430">
        <w:rPr>
          <w:rFonts w:ascii="Book Antiqua" w:hAnsi="Book Antiqua" w:cs="宋体"/>
          <w:szCs w:val="24"/>
        </w:rPr>
        <w:t xml:space="preserve">, Gutmann DH. International consensus statement on malignant peripheral nerve sheath tumors in neurofibromatosis. </w:t>
      </w:r>
      <w:r w:rsidRPr="00207430">
        <w:rPr>
          <w:rFonts w:ascii="Book Antiqua" w:hAnsi="Book Antiqua" w:cs="宋体"/>
          <w:i/>
          <w:iCs/>
          <w:szCs w:val="24"/>
        </w:rPr>
        <w:t>Cancer Res</w:t>
      </w:r>
      <w:r w:rsidRPr="00207430">
        <w:rPr>
          <w:rFonts w:ascii="Book Antiqua" w:hAnsi="Book Antiqua" w:cs="宋体"/>
          <w:szCs w:val="24"/>
        </w:rPr>
        <w:t xml:space="preserve"> 2002; </w:t>
      </w:r>
      <w:r w:rsidRPr="00207430">
        <w:rPr>
          <w:rFonts w:ascii="Book Antiqua" w:hAnsi="Book Antiqua" w:cs="宋体"/>
          <w:b/>
          <w:bCs/>
          <w:szCs w:val="24"/>
        </w:rPr>
        <w:t>62</w:t>
      </w:r>
      <w:r w:rsidRPr="00207430">
        <w:rPr>
          <w:rFonts w:ascii="Book Antiqua" w:hAnsi="Book Antiqua" w:cs="宋体"/>
          <w:szCs w:val="24"/>
        </w:rPr>
        <w:t>: 1573-1577 [PMID: 11894862]</w:t>
      </w:r>
    </w:p>
    <w:p w14:paraId="3229C0EC"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57 </w:t>
      </w:r>
      <w:r w:rsidRPr="00207430">
        <w:rPr>
          <w:rFonts w:ascii="Book Antiqua" w:hAnsi="Book Antiqua" w:cs="宋体"/>
          <w:b/>
          <w:szCs w:val="24"/>
        </w:rPr>
        <w:t xml:space="preserve">Schaefer IM, </w:t>
      </w:r>
      <w:r w:rsidRPr="00207430">
        <w:rPr>
          <w:rFonts w:ascii="Book Antiqua" w:hAnsi="Book Antiqua" w:cs="宋体"/>
          <w:szCs w:val="24"/>
        </w:rPr>
        <w:t xml:space="preserve">Fletcher CD. Malignant peripheral nerve sheath tumor (MPNST) arising in diffuse-type neurofibroma: clinicopathologic characterization in a series of 9 cases. </w:t>
      </w:r>
      <w:r w:rsidRPr="00207430">
        <w:rPr>
          <w:rFonts w:ascii="Book Antiqua" w:hAnsi="Book Antiqua" w:cs="宋体"/>
          <w:i/>
          <w:szCs w:val="24"/>
        </w:rPr>
        <w:t>Am J Surg Pathol</w:t>
      </w:r>
      <w:r w:rsidRPr="00207430">
        <w:rPr>
          <w:rFonts w:ascii="Book Antiqua" w:hAnsi="Book Antiqua" w:cs="宋体"/>
          <w:szCs w:val="24"/>
        </w:rPr>
        <w:t xml:space="preserve"> 2015</w:t>
      </w:r>
      <w:r>
        <w:rPr>
          <w:rFonts w:ascii="Book Antiqua" w:hAnsi="Book Antiqua" w:cs="宋体" w:hint="eastAsia"/>
          <w:szCs w:val="24"/>
        </w:rPr>
        <w:t xml:space="preserve">; </w:t>
      </w:r>
      <w:r w:rsidRPr="00207430">
        <w:rPr>
          <w:rFonts w:ascii="Book Antiqua" w:hAnsi="Book Antiqua" w:cs="宋体"/>
          <w:b/>
          <w:szCs w:val="24"/>
        </w:rPr>
        <w:t>39</w:t>
      </w:r>
      <w:r w:rsidRPr="00207430">
        <w:rPr>
          <w:rFonts w:ascii="Book Antiqua" w:hAnsi="Book Antiqua" w:cs="宋体"/>
          <w:szCs w:val="24"/>
        </w:rPr>
        <w:t>:</w:t>
      </w:r>
      <w:r>
        <w:rPr>
          <w:rFonts w:ascii="Book Antiqua" w:hAnsi="Book Antiqua" w:cs="宋体" w:hint="eastAsia"/>
          <w:szCs w:val="24"/>
        </w:rPr>
        <w:t xml:space="preserve"> </w:t>
      </w:r>
      <w:r w:rsidRPr="00207430">
        <w:rPr>
          <w:rFonts w:ascii="Book Antiqua" w:hAnsi="Book Antiqua" w:cs="宋体"/>
          <w:szCs w:val="24"/>
        </w:rPr>
        <w:t>1234-</w:t>
      </w:r>
      <w:r>
        <w:rPr>
          <w:rFonts w:ascii="Book Antiqua" w:hAnsi="Book Antiqua" w:cs="宋体" w:hint="eastAsia"/>
          <w:szCs w:val="24"/>
        </w:rPr>
        <w:t>12</w:t>
      </w:r>
      <w:r w:rsidRPr="00207430">
        <w:rPr>
          <w:rFonts w:ascii="Book Antiqua" w:hAnsi="Book Antiqua" w:cs="宋体"/>
          <w:szCs w:val="24"/>
        </w:rPr>
        <w:t xml:space="preserve">41 [PMID: 25929351 DOI: 10.1097/Pas.0000000000000447] </w:t>
      </w:r>
    </w:p>
    <w:p w14:paraId="06DAD8DB"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58 </w:t>
      </w:r>
      <w:r w:rsidRPr="00207430">
        <w:rPr>
          <w:rFonts w:ascii="Book Antiqua" w:hAnsi="Book Antiqua" w:cs="宋体"/>
          <w:b/>
          <w:bCs/>
          <w:szCs w:val="24"/>
        </w:rPr>
        <w:t>Bates JE</w:t>
      </w:r>
      <w:r w:rsidRPr="00207430">
        <w:rPr>
          <w:rFonts w:ascii="Book Antiqua" w:hAnsi="Book Antiqua" w:cs="宋体"/>
          <w:szCs w:val="24"/>
        </w:rPr>
        <w:t xml:space="preserve">, Peterson CR, Dhakal S, Giampoli EJ, Constine LS. Malignant peripheral nerve sheath tumors (MPNST): a SEER analysis of incidence across the age spectrum and therapeutic interventions in the pediatric population. </w:t>
      </w:r>
      <w:r w:rsidRPr="00207430">
        <w:rPr>
          <w:rFonts w:ascii="Book Antiqua" w:hAnsi="Book Antiqua" w:cs="宋体"/>
          <w:i/>
          <w:iCs/>
          <w:szCs w:val="24"/>
        </w:rPr>
        <w:t>Pediatr Blood Cancer</w:t>
      </w:r>
      <w:r w:rsidRPr="00207430">
        <w:rPr>
          <w:rFonts w:ascii="Book Antiqua" w:hAnsi="Book Antiqua" w:cs="宋体"/>
          <w:szCs w:val="24"/>
        </w:rPr>
        <w:t xml:space="preserve"> 2014; </w:t>
      </w:r>
      <w:r w:rsidRPr="00207430">
        <w:rPr>
          <w:rFonts w:ascii="Book Antiqua" w:hAnsi="Book Antiqua" w:cs="宋体"/>
          <w:b/>
          <w:bCs/>
          <w:szCs w:val="24"/>
        </w:rPr>
        <w:t>61</w:t>
      </w:r>
      <w:r w:rsidRPr="00207430">
        <w:rPr>
          <w:rFonts w:ascii="Book Antiqua" w:hAnsi="Book Antiqua" w:cs="宋体"/>
          <w:szCs w:val="24"/>
        </w:rPr>
        <w:t>: 1955-1960 [PMID: 25130403 DOI: 10.1002/pbc.25149]</w:t>
      </w:r>
    </w:p>
    <w:p w14:paraId="14BE091A"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59 </w:t>
      </w:r>
      <w:r w:rsidRPr="00207430">
        <w:rPr>
          <w:rFonts w:ascii="Book Antiqua" w:hAnsi="Book Antiqua" w:cs="宋体"/>
          <w:b/>
          <w:bCs/>
          <w:szCs w:val="24"/>
        </w:rPr>
        <w:t>Carli M</w:t>
      </w:r>
      <w:r w:rsidRPr="00207430">
        <w:rPr>
          <w:rFonts w:ascii="Book Antiqua" w:hAnsi="Book Antiqua" w:cs="宋体"/>
          <w:szCs w:val="24"/>
        </w:rPr>
        <w:t xml:space="preserve">, Ferrari A, Mattke A, Zanetti I, Casanova M, Bisogno G, Cecchetto G, Alaggio R, De Sio L, Koscielniak E, Sotti G, Treuner J. Pediatric malignant peripheral nerve sheath tumor: the Italian and German soft tissue sarcoma cooperative group. </w:t>
      </w:r>
      <w:r w:rsidRPr="00207430">
        <w:rPr>
          <w:rFonts w:ascii="Book Antiqua" w:hAnsi="Book Antiqua" w:cs="宋体"/>
          <w:i/>
          <w:iCs/>
          <w:szCs w:val="24"/>
        </w:rPr>
        <w:t>J Clin Oncol</w:t>
      </w:r>
      <w:r w:rsidRPr="00207430">
        <w:rPr>
          <w:rFonts w:ascii="Book Antiqua" w:hAnsi="Book Antiqua" w:cs="宋体"/>
          <w:szCs w:val="24"/>
        </w:rPr>
        <w:t xml:space="preserve"> 2005; </w:t>
      </w:r>
      <w:r w:rsidRPr="00207430">
        <w:rPr>
          <w:rFonts w:ascii="Book Antiqua" w:hAnsi="Book Antiqua" w:cs="宋体"/>
          <w:b/>
          <w:bCs/>
          <w:szCs w:val="24"/>
        </w:rPr>
        <w:t>23</w:t>
      </w:r>
      <w:r w:rsidRPr="00207430">
        <w:rPr>
          <w:rFonts w:ascii="Book Antiqua" w:hAnsi="Book Antiqua" w:cs="宋体"/>
          <w:szCs w:val="24"/>
        </w:rPr>
        <w:t>: 8422-8430 [PMID: 16293873 DOI: 10.1200/JCO.2005.01.4886]</w:t>
      </w:r>
    </w:p>
    <w:p w14:paraId="596FDF1E"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60 </w:t>
      </w:r>
      <w:r w:rsidRPr="00207430">
        <w:rPr>
          <w:rFonts w:ascii="Book Antiqua" w:hAnsi="Book Antiqua" w:cs="宋体"/>
          <w:b/>
          <w:bCs/>
          <w:szCs w:val="24"/>
        </w:rPr>
        <w:t>Kahn J</w:t>
      </w:r>
      <w:r w:rsidRPr="00207430">
        <w:rPr>
          <w:rFonts w:ascii="Book Antiqua" w:hAnsi="Book Antiqua" w:cs="宋体"/>
          <w:szCs w:val="24"/>
        </w:rPr>
        <w:t xml:space="preserve">, Gillespie A, Tsokos M, Ondos J, Dombi E, Camphausen K, Widemann BC, Kaushal A. Radiation therapy in management of sporadic and neurofibromatosis type 1-associated malignant peripheral nerve sheath tumors. </w:t>
      </w:r>
      <w:r w:rsidRPr="00207430">
        <w:rPr>
          <w:rFonts w:ascii="Book Antiqua" w:hAnsi="Book Antiqua" w:cs="宋体"/>
          <w:i/>
          <w:iCs/>
          <w:szCs w:val="24"/>
        </w:rPr>
        <w:t>Front Oncol</w:t>
      </w:r>
      <w:r w:rsidRPr="00207430">
        <w:rPr>
          <w:rFonts w:ascii="Book Antiqua" w:hAnsi="Book Antiqua" w:cs="宋体"/>
          <w:szCs w:val="24"/>
        </w:rPr>
        <w:t xml:space="preserve"> 2014; </w:t>
      </w:r>
      <w:r w:rsidRPr="00207430">
        <w:rPr>
          <w:rFonts w:ascii="Book Antiqua" w:hAnsi="Book Antiqua" w:cs="宋体"/>
          <w:b/>
          <w:bCs/>
          <w:szCs w:val="24"/>
        </w:rPr>
        <w:t>4</w:t>
      </w:r>
      <w:r w:rsidRPr="00207430">
        <w:rPr>
          <w:rFonts w:ascii="Book Antiqua" w:hAnsi="Book Antiqua" w:cs="宋体"/>
          <w:szCs w:val="24"/>
        </w:rPr>
        <w:t>: 324 [PMID: 25452937 DOI: 10.3389/fonc.2014.00324]</w:t>
      </w:r>
    </w:p>
    <w:p w14:paraId="33CF7657"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61 </w:t>
      </w:r>
      <w:r w:rsidRPr="00207430">
        <w:rPr>
          <w:rFonts w:ascii="Book Antiqua" w:hAnsi="Book Antiqua" w:cs="宋体"/>
          <w:b/>
          <w:bCs/>
          <w:szCs w:val="24"/>
        </w:rPr>
        <w:t>Grier HE</w:t>
      </w:r>
      <w:r w:rsidRPr="00207430">
        <w:rPr>
          <w:rFonts w:ascii="Book Antiqua" w:hAnsi="Book Antiqua" w:cs="宋体"/>
          <w:szCs w:val="24"/>
        </w:rPr>
        <w:t xml:space="preserve">, Krailo MD, Tarbell NJ, Link MP, Fryer CJ, Pritchard DJ, Gebhardt MC, Dickman PS, Perlman EJ, Meyers PA, Donaldson SS, Moore S, Rausen AR, Vietti TJ, Miser JS. Addition of ifosfamide and etoposide to standard chemotherapy for Ewing's sarcoma and primitive neuroectodermal tumor of bone. </w:t>
      </w:r>
      <w:r w:rsidRPr="00207430">
        <w:rPr>
          <w:rFonts w:ascii="Book Antiqua" w:hAnsi="Book Antiqua" w:cs="宋体"/>
          <w:i/>
          <w:iCs/>
          <w:szCs w:val="24"/>
        </w:rPr>
        <w:t>N Engl J Med</w:t>
      </w:r>
      <w:r w:rsidRPr="00207430">
        <w:rPr>
          <w:rFonts w:ascii="Book Antiqua" w:hAnsi="Book Antiqua" w:cs="宋体"/>
          <w:szCs w:val="24"/>
        </w:rPr>
        <w:t xml:space="preserve"> 2003; </w:t>
      </w:r>
      <w:r w:rsidRPr="00207430">
        <w:rPr>
          <w:rFonts w:ascii="Book Antiqua" w:hAnsi="Book Antiqua" w:cs="宋体"/>
          <w:b/>
          <w:bCs/>
          <w:szCs w:val="24"/>
        </w:rPr>
        <w:t>348</w:t>
      </w:r>
      <w:r w:rsidRPr="00207430">
        <w:rPr>
          <w:rFonts w:ascii="Book Antiqua" w:hAnsi="Book Antiqua" w:cs="宋体"/>
          <w:szCs w:val="24"/>
        </w:rPr>
        <w:t>: 694-701 [PMID: 12594313 DOI: 10.1056/NEJMoa020890]</w:t>
      </w:r>
    </w:p>
    <w:p w14:paraId="38FBA56C"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62 </w:t>
      </w:r>
      <w:r w:rsidRPr="00207430">
        <w:rPr>
          <w:rFonts w:ascii="Book Antiqua" w:hAnsi="Book Antiqua" w:cs="宋体"/>
          <w:b/>
          <w:bCs/>
          <w:szCs w:val="24"/>
        </w:rPr>
        <w:t>Milano GM</w:t>
      </w:r>
      <w:r w:rsidRPr="00207430">
        <w:rPr>
          <w:rFonts w:ascii="Book Antiqua" w:hAnsi="Book Antiqua" w:cs="宋体"/>
          <w:szCs w:val="24"/>
        </w:rPr>
        <w:t xml:space="preserve">, Cozza R, Ilari I, De Sio L, Boldrini R, Jenkner A, De Ioris M, Inserra A, Dominici C, Donfrancesco A. High histologic and overall response to dose intensification of ifosfamide, carboplatin, and etoposide with cyclophosphamide, doxorubicin, and vincristine in patients with high-risk Ewing sarcoma family tumors: the Bambino Gesù Children's Hospital experience. </w:t>
      </w:r>
      <w:r w:rsidRPr="00207430">
        <w:rPr>
          <w:rFonts w:ascii="Book Antiqua" w:hAnsi="Book Antiqua" w:cs="宋体"/>
          <w:i/>
          <w:iCs/>
          <w:szCs w:val="24"/>
        </w:rPr>
        <w:t>Cancer</w:t>
      </w:r>
      <w:r w:rsidRPr="00207430">
        <w:rPr>
          <w:rFonts w:ascii="Book Antiqua" w:hAnsi="Book Antiqua" w:cs="宋体"/>
          <w:szCs w:val="24"/>
        </w:rPr>
        <w:t xml:space="preserve"> 2006; </w:t>
      </w:r>
      <w:r w:rsidRPr="00207430">
        <w:rPr>
          <w:rFonts w:ascii="Book Antiqua" w:hAnsi="Book Antiqua" w:cs="宋体"/>
          <w:b/>
          <w:bCs/>
          <w:szCs w:val="24"/>
        </w:rPr>
        <w:t>106</w:t>
      </w:r>
      <w:r w:rsidRPr="00207430">
        <w:rPr>
          <w:rFonts w:ascii="Book Antiqua" w:hAnsi="Book Antiqua" w:cs="宋体"/>
          <w:szCs w:val="24"/>
        </w:rPr>
        <w:t>: 1838-1845 [PMID: 16532434 DOI: 10.1002/cncr.21780]</w:t>
      </w:r>
    </w:p>
    <w:p w14:paraId="2905F475"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lastRenderedPageBreak/>
        <w:t xml:space="preserve">63 </w:t>
      </w:r>
      <w:r w:rsidRPr="00207430">
        <w:rPr>
          <w:rFonts w:ascii="Book Antiqua" w:hAnsi="Book Antiqua" w:cs="宋体"/>
          <w:b/>
          <w:bCs/>
          <w:szCs w:val="24"/>
        </w:rPr>
        <w:t>Merchant MS</w:t>
      </w:r>
      <w:r w:rsidRPr="00207430">
        <w:rPr>
          <w:rFonts w:ascii="Book Antiqua" w:hAnsi="Book Antiqua" w:cs="宋体"/>
          <w:szCs w:val="24"/>
        </w:rPr>
        <w:t xml:space="preserve">, Mackall CL. Current approach to pediatric soft tissue sarcomas. </w:t>
      </w:r>
      <w:r w:rsidRPr="00207430">
        <w:rPr>
          <w:rFonts w:ascii="Book Antiqua" w:hAnsi="Book Antiqua" w:cs="宋体"/>
          <w:i/>
          <w:iCs/>
          <w:szCs w:val="24"/>
        </w:rPr>
        <w:t>Oncologist</w:t>
      </w:r>
      <w:r w:rsidRPr="00207430">
        <w:rPr>
          <w:rFonts w:ascii="Book Antiqua" w:hAnsi="Book Antiqua" w:cs="宋体"/>
          <w:szCs w:val="24"/>
        </w:rPr>
        <w:t xml:space="preserve"> 2009; </w:t>
      </w:r>
      <w:r w:rsidRPr="00207430">
        <w:rPr>
          <w:rFonts w:ascii="Book Antiqua" w:hAnsi="Book Antiqua" w:cs="宋体"/>
          <w:b/>
          <w:bCs/>
          <w:szCs w:val="24"/>
        </w:rPr>
        <w:t>14</w:t>
      </w:r>
      <w:r w:rsidRPr="00207430">
        <w:rPr>
          <w:rFonts w:ascii="Book Antiqua" w:hAnsi="Book Antiqua" w:cs="宋体"/>
          <w:szCs w:val="24"/>
        </w:rPr>
        <w:t>: 1139-1153 [PMID: 19897537 DOI: 10.1634/theoncologist.2009-0160]</w:t>
      </w:r>
    </w:p>
    <w:p w14:paraId="647FE646"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64 </w:t>
      </w:r>
      <w:r w:rsidRPr="00207430">
        <w:rPr>
          <w:rFonts w:ascii="Book Antiqua" w:hAnsi="Book Antiqua" w:cs="宋体"/>
          <w:b/>
          <w:bCs/>
          <w:szCs w:val="24"/>
        </w:rPr>
        <w:t>Hu PA</w:t>
      </w:r>
      <w:r w:rsidRPr="00207430">
        <w:rPr>
          <w:rFonts w:ascii="Book Antiqua" w:hAnsi="Book Antiqua" w:cs="宋体"/>
          <w:szCs w:val="24"/>
        </w:rPr>
        <w:t xml:space="preserve">, Zhou ZR. Clinical, pathological and unusual MRI features of five synovial sarcomas in head and neck. </w:t>
      </w:r>
      <w:r w:rsidRPr="00207430">
        <w:rPr>
          <w:rFonts w:ascii="Book Antiqua" w:hAnsi="Book Antiqua" w:cs="宋体"/>
          <w:i/>
          <w:iCs/>
          <w:szCs w:val="24"/>
        </w:rPr>
        <w:t>Br J Radiol</w:t>
      </w:r>
      <w:r w:rsidRPr="00207430">
        <w:rPr>
          <w:rFonts w:ascii="Book Antiqua" w:hAnsi="Book Antiqua" w:cs="宋体"/>
          <w:szCs w:val="24"/>
        </w:rPr>
        <w:t xml:space="preserve"> 2015; </w:t>
      </w:r>
      <w:r w:rsidRPr="00207430">
        <w:rPr>
          <w:rFonts w:ascii="Book Antiqua" w:hAnsi="Book Antiqua" w:cs="宋体"/>
          <w:b/>
          <w:bCs/>
          <w:szCs w:val="24"/>
        </w:rPr>
        <w:t>88</w:t>
      </w:r>
      <w:r w:rsidRPr="00207430">
        <w:rPr>
          <w:rFonts w:ascii="Book Antiqua" w:hAnsi="Book Antiqua" w:cs="宋体"/>
          <w:szCs w:val="24"/>
        </w:rPr>
        <w:t>: 20140843 [PMID: 25945512 DOI: 10.1259/bjr.20140843]</w:t>
      </w:r>
    </w:p>
    <w:p w14:paraId="19B1E6FF"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65 </w:t>
      </w:r>
      <w:r w:rsidRPr="00207430">
        <w:rPr>
          <w:rFonts w:ascii="Book Antiqua" w:hAnsi="Book Antiqua" w:cs="宋体"/>
          <w:b/>
          <w:bCs/>
          <w:szCs w:val="24"/>
        </w:rPr>
        <w:t>Kambo JS</w:t>
      </w:r>
      <w:r w:rsidRPr="00207430">
        <w:rPr>
          <w:rFonts w:ascii="Book Antiqua" w:hAnsi="Book Antiqua" w:cs="宋体"/>
          <w:szCs w:val="24"/>
        </w:rPr>
        <w:t xml:space="preserve">, Richardson B, Ionescu DN, Tucker T, Kraushaar G. Primary pulmonary synovial sarcoma: a case report with unique and impressive computed tomography findings. </w:t>
      </w:r>
      <w:r w:rsidRPr="00207430">
        <w:rPr>
          <w:rFonts w:ascii="Book Antiqua" w:hAnsi="Book Antiqua" w:cs="宋体"/>
          <w:i/>
          <w:iCs/>
          <w:szCs w:val="24"/>
        </w:rPr>
        <w:t>Can Respir J</w:t>
      </w:r>
      <w:r w:rsidRPr="00207430">
        <w:rPr>
          <w:rFonts w:ascii="Book Antiqua" w:hAnsi="Book Antiqua" w:cs="宋体"/>
          <w:szCs w:val="24"/>
        </w:rPr>
        <w:t xml:space="preserve"> </w:t>
      </w:r>
      <w:r>
        <w:rPr>
          <w:rFonts w:ascii="Book Antiqua" w:hAnsi="Book Antiqua" w:cs="宋体" w:hint="eastAsia"/>
          <w:szCs w:val="24"/>
        </w:rPr>
        <w:t>2015</w:t>
      </w:r>
      <w:r w:rsidRPr="00207430">
        <w:rPr>
          <w:rFonts w:ascii="Book Antiqua" w:hAnsi="Book Antiqua" w:cs="宋体"/>
          <w:szCs w:val="24"/>
        </w:rPr>
        <w:t xml:space="preserve">; </w:t>
      </w:r>
      <w:r w:rsidRPr="00207430">
        <w:rPr>
          <w:rFonts w:ascii="Book Antiqua" w:hAnsi="Book Antiqua" w:cs="宋体"/>
          <w:b/>
          <w:bCs/>
          <w:szCs w:val="24"/>
        </w:rPr>
        <w:t>22</w:t>
      </w:r>
      <w:r w:rsidRPr="00207430">
        <w:rPr>
          <w:rFonts w:ascii="Book Antiqua" w:hAnsi="Book Antiqua" w:cs="宋体"/>
          <w:szCs w:val="24"/>
        </w:rPr>
        <w:t>: e1-e3 [PMID: 25664459]</w:t>
      </w:r>
    </w:p>
    <w:p w14:paraId="58F776C3"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66 </w:t>
      </w:r>
      <w:r w:rsidRPr="00207430">
        <w:rPr>
          <w:rFonts w:ascii="Book Antiqua" w:hAnsi="Book Antiqua" w:cs="宋体"/>
          <w:b/>
          <w:bCs/>
          <w:szCs w:val="24"/>
        </w:rPr>
        <w:t>Romeo S</w:t>
      </w:r>
      <w:r w:rsidRPr="00207430">
        <w:rPr>
          <w:rFonts w:ascii="Book Antiqua" w:hAnsi="Book Antiqua" w:cs="宋体"/>
          <w:szCs w:val="24"/>
        </w:rPr>
        <w:t xml:space="preserve">, Rossi S, Acosta Marín M, Canal F, Sbaraglia M, Laurino L, Mazzoleni G, Montesco MC, Valori L, Campo Dell'Orto M, Gianatti A, Lazar AJ, Dei Tos AP. Primary Synovial Sarcoma (SS) of the digestive system: a molecular and clinicopathological study of fifteen cases. </w:t>
      </w:r>
      <w:r w:rsidRPr="00207430">
        <w:rPr>
          <w:rFonts w:ascii="Book Antiqua" w:hAnsi="Book Antiqua" w:cs="宋体"/>
          <w:i/>
          <w:iCs/>
          <w:szCs w:val="24"/>
        </w:rPr>
        <w:t>Clin Sarcoma Res</w:t>
      </w:r>
      <w:r w:rsidRPr="00207430">
        <w:rPr>
          <w:rFonts w:ascii="Book Antiqua" w:hAnsi="Book Antiqua" w:cs="宋体"/>
          <w:szCs w:val="24"/>
        </w:rPr>
        <w:t xml:space="preserve"> 2015; </w:t>
      </w:r>
      <w:r w:rsidRPr="00207430">
        <w:rPr>
          <w:rFonts w:ascii="Book Antiqua" w:hAnsi="Book Antiqua" w:cs="宋体"/>
          <w:b/>
          <w:bCs/>
          <w:szCs w:val="24"/>
        </w:rPr>
        <w:t>5</w:t>
      </w:r>
      <w:r w:rsidRPr="00207430">
        <w:rPr>
          <w:rFonts w:ascii="Book Antiqua" w:hAnsi="Book Antiqua" w:cs="宋体"/>
          <w:szCs w:val="24"/>
        </w:rPr>
        <w:t>: 7 [PMID: 25699170 DOI: 10.1186/s13569-015-0021-3]</w:t>
      </w:r>
    </w:p>
    <w:p w14:paraId="28940489"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67 </w:t>
      </w:r>
      <w:r w:rsidRPr="00207430">
        <w:rPr>
          <w:rFonts w:ascii="Book Antiqua" w:hAnsi="Book Antiqua" w:cs="宋体"/>
          <w:b/>
          <w:bCs/>
          <w:szCs w:val="24"/>
        </w:rPr>
        <w:t>Thway K</w:t>
      </w:r>
      <w:r w:rsidRPr="00207430">
        <w:rPr>
          <w:rFonts w:ascii="Book Antiqua" w:hAnsi="Book Antiqua" w:cs="宋体"/>
          <w:szCs w:val="24"/>
        </w:rPr>
        <w:t xml:space="preserve">, Fisher C. Synovial sarcoma: defining features and diagnostic evolution. </w:t>
      </w:r>
      <w:r w:rsidRPr="00207430">
        <w:rPr>
          <w:rFonts w:ascii="Book Antiqua" w:hAnsi="Book Antiqua" w:cs="宋体"/>
          <w:i/>
          <w:iCs/>
          <w:szCs w:val="24"/>
        </w:rPr>
        <w:t>Ann Diagn Pathol</w:t>
      </w:r>
      <w:r w:rsidRPr="00207430">
        <w:rPr>
          <w:rFonts w:ascii="Book Antiqua" w:hAnsi="Book Antiqua" w:cs="宋体"/>
          <w:szCs w:val="24"/>
        </w:rPr>
        <w:t xml:space="preserve"> 2014; </w:t>
      </w:r>
      <w:r w:rsidRPr="00207430">
        <w:rPr>
          <w:rFonts w:ascii="Book Antiqua" w:hAnsi="Book Antiqua" w:cs="宋体"/>
          <w:b/>
          <w:bCs/>
          <w:szCs w:val="24"/>
        </w:rPr>
        <w:t>18</w:t>
      </w:r>
      <w:r w:rsidRPr="00207430">
        <w:rPr>
          <w:rFonts w:ascii="Book Antiqua" w:hAnsi="Book Antiqua" w:cs="宋体"/>
          <w:szCs w:val="24"/>
        </w:rPr>
        <w:t>: 369-380 [PMID: 25438927 DOI: 10.1016/j.anndiagpath.2014.09.002]</w:t>
      </w:r>
    </w:p>
    <w:p w14:paraId="517ED29C"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68 </w:t>
      </w:r>
      <w:r w:rsidRPr="00207430">
        <w:rPr>
          <w:rFonts w:ascii="Book Antiqua" w:hAnsi="Book Antiqua" w:cs="宋体"/>
          <w:b/>
          <w:bCs/>
          <w:szCs w:val="24"/>
        </w:rPr>
        <w:t>Barham W</w:t>
      </w:r>
      <w:r w:rsidRPr="00207430">
        <w:rPr>
          <w:rFonts w:ascii="Book Antiqua" w:hAnsi="Book Antiqua" w:cs="宋体"/>
          <w:szCs w:val="24"/>
        </w:rPr>
        <w:t xml:space="preserve">, Frump AL, Sherrill TP, Garcia CB, Saito-Diaz K, VanSaun MN, Fingleton B, Gleaves L, Orton D, Capecchi MR, Blackwell TS, Lee E, Yull F, Eid JE. Targeting the Wnt pathway in synovial sarcoma models. </w:t>
      </w:r>
      <w:r w:rsidRPr="00207430">
        <w:rPr>
          <w:rFonts w:ascii="Book Antiqua" w:hAnsi="Book Antiqua" w:cs="宋体"/>
          <w:i/>
          <w:iCs/>
          <w:szCs w:val="24"/>
        </w:rPr>
        <w:t>Cancer Discov</w:t>
      </w:r>
      <w:r w:rsidRPr="00207430">
        <w:rPr>
          <w:rFonts w:ascii="Book Antiqua" w:hAnsi="Book Antiqua" w:cs="宋体"/>
          <w:szCs w:val="24"/>
        </w:rPr>
        <w:t xml:space="preserve"> 2013; </w:t>
      </w:r>
      <w:r w:rsidRPr="00207430">
        <w:rPr>
          <w:rFonts w:ascii="Book Antiqua" w:hAnsi="Book Antiqua" w:cs="宋体"/>
          <w:b/>
          <w:bCs/>
          <w:szCs w:val="24"/>
        </w:rPr>
        <w:t>3</w:t>
      </w:r>
      <w:r w:rsidRPr="00207430">
        <w:rPr>
          <w:rFonts w:ascii="Book Antiqua" w:hAnsi="Book Antiqua" w:cs="宋体"/>
          <w:szCs w:val="24"/>
        </w:rPr>
        <w:t>: 1286-1301 [PMID: 23921231 DOI: 10.1158/2159-8290.CD-13-0138]</w:t>
      </w:r>
    </w:p>
    <w:p w14:paraId="09629885"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69 </w:t>
      </w:r>
      <w:r w:rsidRPr="00207430">
        <w:rPr>
          <w:rFonts w:ascii="Book Antiqua" w:hAnsi="Book Antiqua" w:cs="宋体"/>
          <w:b/>
          <w:bCs/>
          <w:szCs w:val="24"/>
        </w:rPr>
        <w:t>Trautmann M</w:t>
      </w:r>
      <w:r w:rsidRPr="00207430">
        <w:rPr>
          <w:rFonts w:ascii="Book Antiqua" w:hAnsi="Book Antiqua" w:cs="宋体"/>
          <w:szCs w:val="24"/>
        </w:rPr>
        <w:t xml:space="preserve">, Sievers E, Aretz S, Kindler D, Michels S, Friedrichs N, Renner M, Kirfel J, Steiner S, Huss S, Koch A, Penzel R, Larsson O, Kawai A, Tanaka S, Sonobe H, Waha A, Schirmacher P, Mechtersheimer G, Wardelmann E, Büttner R, Hartmann W. SS18-SSX fusion protein-induced Wnt/β-catenin signaling is a therapeutic target in synovial sarcoma. </w:t>
      </w:r>
      <w:r w:rsidRPr="00207430">
        <w:rPr>
          <w:rFonts w:ascii="Book Antiqua" w:hAnsi="Book Antiqua" w:cs="宋体"/>
          <w:i/>
          <w:iCs/>
          <w:szCs w:val="24"/>
        </w:rPr>
        <w:t>Oncogene</w:t>
      </w:r>
      <w:r w:rsidRPr="00207430">
        <w:rPr>
          <w:rFonts w:ascii="Book Antiqua" w:hAnsi="Book Antiqua" w:cs="宋体"/>
          <w:szCs w:val="24"/>
        </w:rPr>
        <w:t xml:space="preserve"> 2014; </w:t>
      </w:r>
      <w:r w:rsidRPr="00207430">
        <w:rPr>
          <w:rFonts w:ascii="Book Antiqua" w:hAnsi="Book Antiqua" w:cs="宋体"/>
          <w:b/>
          <w:bCs/>
          <w:szCs w:val="24"/>
        </w:rPr>
        <w:t>33</w:t>
      </w:r>
      <w:r w:rsidRPr="00207430">
        <w:rPr>
          <w:rFonts w:ascii="Book Antiqua" w:hAnsi="Book Antiqua" w:cs="宋体"/>
          <w:szCs w:val="24"/>
        </w:rPr>
        <w:t>: 5006-5016 [PMID: 24166495 DOI: 10.1038/onc.2013.443]</w:t>
      </w:r>
    </w:p>
    <w:p w14:paraId="2681E4BC" w14:textId="7F92899B" w:rsidR="00A825DA" w:rsidRPr="00363A6E" w:rsidRDefault="00A825DA" w:rsidP="00BA05FB">
      <w:pPr>
        <w:spacing w:line="360" w:lineRule="auto"/>
        <w:jc w:val="both"/>
        <w:rPr>
          <w:rFonts w:ascii="Book Antiqua" w:hAnsi="Book Antiqua" w:cs="宋体"/>
          <w:color w:val="000000" w:themeColor="text1"/>
          <w:szCs w:val="24"/>
          <w:lang w:eastAsia="zh-CN"/>
        </w:rPr>
      </w:pPr>
      <w:r w:rsidRPr="00363A6E">
        <w:rPr>
          <w:rFonts w:ascii="Book Antiqua" w:hAnsi="Book Antiqua" w:cs="宋体"/>
          <w:color w:val="000000" w:themeColor="text1"/>
          <w:szCs w:val="24"/>
        </w:rPr>
        <w:t xml:space="preserve">70 </w:t>
      </w:r>
      <w:r w:rsidR="00363A6E" w:rsidRPr="00363A6E">
        <w:rPr>
          <w:rFonts w:ascii="Book Antiqua" w:hAnsi="Book Antiqua" w:cs="宋体"/>
          <w:b/>
          <w:color w:val="000000" w:themeColor="text1"/>
          <w:szCs w:val="24"/>
        </w:rPr>
        <w:t xml:space="preserve">Brecht IB, </w:t>
      </w:r>
      <w:r w:rsidR="00363A6E" w:rsidRPr="00363A6E">
        <w:rPr>
          <w:rFonts w:ascii="Book Antiqua" w:hAnsi="Book Antiqua" w:cs="宋体"/>
          <w:color w:val="000000" w:themeColor="text1"/>
          <w:szCs w:val="24"/>
        </w:rPr>
        <w:t>Ferrari A, Int-Veen C, Schuck A, Mattke AC, Casanova M, Bisogno G, Carli M, Koscielniak E, Treuner J</w:t>
      </w:r>
      <w:r w:rsidR="00363A6E" w:rsidRPr="00363A6E">
        <w:rPr>
          <w:rFonts w:ascii="Book Antiqua" w:hAnsi="Book Antiqua" w:cs="宋体" w:hint="eastAsia"/>
          <w:color w:val="000000" w:themeColor="text1"/>
          <w:szCs w:val="24"/>
          <w:lang w:eastAsia="zh-CN"/>
        </w:rPr>
        <w:t xml:space="preserve">. </w:t>
      </w:r>
      <w:r w:rsidR="00363A6E" w:rsidRPr="00363A6E">
        <w:rPr>
          <w:rFonts w:ascii="Book Antiqua" w:hAnsi="Book Antiqua" w:cs="宋体"/>
          <w:color w:val="000000" w:themeColor="text1"/>
          <w:szCs w:val="24"/>
          <w:lang w:eastAsia="zh-CN"/>
        </w:rPr>
        <w:t>Grossly-resected synovial sarcoma treated by the German and Italian Pediatric Soft Tissue Sarcoma Cooperative Groups: discussion on the role of adjuvant therapies.</w:t>
      </w:r>
      <w:r w:rsidR="00363A6E" w:rsidRPr="00363A6E">
        <w:t xml:space="preserve"> </w:t>
      </w:r>
      <w:r w:rsidR="00363A6E" w:rsidRPr="00363A6E">
        <w:rPr>
          <w:rFonts w:ascii="Book Antiqua" w:hAnsi="Book Antiqua" w:cs="宋体"/>
          <w:i/>
          <w:color w:val="000000" w:themeColor="text1"/>
          <w:szCs w:val="24"/>
          <w:lang w:eastAsia="zh-CN"/>
        </w:rPr>
        <w:t xml:space="preserve">Pediatr Blood Cancer </w:t>
      </w:r>
      <w:r w:rsidR="00363A6E" w:rsidRPr="00363A6E">
        <w:rPr>
          <w:rFonts w:ascii="Book Antiqua" w:hAnsi="Book Antiqua" w:cs="宋体"/>
          <w:color w:val="000000" w:themeColor="text1"/>
          <w:szCs w:val="24"/>
          <w:lang w:eastAsia="zh-CN"/>
        </w:rPr>
        <w:t>2006;</w:t>
      </w:r>
      <w:r w:rsidR="00363A6E">
        <w:rPr>
          <w:rFonts w:ascii="Book Antiqua" w:hAnsi="Book Antiqua" w:cs="宋体" w:hint="eastAsia"/>
          <w:color w:val="000000" w:themeColor="text1"/>
          <w:szCs w:val="24"/>
          <w:lang w:eastAsia="zh-CN"/>
        </w:rPr>
        <w:t xml:space="preserve"> </w:t>
      </w:r>
      <w:r w:rsidR="00363A6E" w:rsidRPr="00363A6E">
        <w:rPr>
          <w:rFonts w:ascii="Book Antiqua" w:hAnsi="Book Antiqua" w:cs="宋体"/>
          <w:b/>
          <w:color w:val="000000" w:themeColor="text1"/>
          <w:szCs w:val="24"/>
          <w:lang w:eastAsia="zh-CN"/>
        </w:rPr>
        <w:t>46</w:t>
      </w:r>
      <w:r w:rsidR="00363A6E" w:rsidRPr="00363A6E">
        <w:rPr>
          <w:rFonts w:ascii="Book Antiqua" w:hAnsi="Book Antiqua" w:cs="宋体"/>
          <w:color w:val="000000" w:themeColor="text1"/>
          <w:szCs w:val="24"/>
          <w:lang w:eastAsia="zh-CN"/>
        </w:rPr>
        <w:t>:</w:t>
      </w:r>
      <w:r w:rsidR="00363A6E">
        <w:rPr>
          <w:rFonts w:ascii="Book Antiqua" w:hAnsi="Book Antiqua" w:cs="宋体" w:hint="eastAsia"/>
          <w:color w:val="000000" w:themeColor="text1"/>
          <w:szCs w:val="24"/>
          <w:lang w:eastAsia="zh-CN"/>
        </w:rPr>
        <w:t xml:space="preserve"> </w:t>
      </w:r>
      <w:r w:rsidR="00363A6E" w:rsidRPr="00363A6E">
        <w:rPr>
          <w:rFonts w:ascii="Book Antiqua" w:hAnsi="Book Antiqua" w:cs="宋体"/>
          <w:color w:val="000000" w:themeColor="text1"/>
          <w:szCs w:val="24"/>
          <w:lang w:eastAsia="zh-CN"/>
        </w:rPr>
        <w:t>11-</w:t>
      </w:r>
      <w:r w:rsidR="00363A6E">
        <w:rPr>
          <w:rFonts w:ascii="Book Antiqua" w:hAnsi="Book Antiqua" w:cs="宋体" w:hint="eastAsia"/>
          <w:color w:val="000000" w:themeColor="text1"/>
          <w:szCs w:val="24"/>
          <w:lang w:eastAsia="zh-CN"/>
        </w:rPr>
        <w:t>1</w:t>
      </w:r>
      <w:r w:rsidR="00363A6E" w:rsidRPr="00363A6E">
        <w:rPr>
          <w:rFonts w:ascii="Book Antiqua" w:hAnsi="Book Antiqua" w:cs="宋体"/>
          <w:color w:val="000000" w:themeColor="text1"/>
          <w:szCs w:val="24"/>
          <w:lang w:eastAsia="zh-CN"/>
        </w:rPr>
        <w:t>7</w:t>
      </w:r>
      <w:r w:rsidR="00363A6E">
        <w:rPr>
          <w:rFonts w:ascii="Book Antiqua" w:hAnsi="Book Antiqua" w:cs="宋体" w:hint="eastAsia"/>
          <w:color w:val="000000" w:themeColor="text1"/>
          <w:szCs w:val="24"/>
          <w:lang w:eastAsia="zh-CN"/>
        </w:rPr>
        <w:t xml:space="preserve"> [</w:t>
      </w:r>
      <w:r w:rsidR="00363A6E" w:rsidRPr="00363A6E">
        <w:rPr>
          <w:rFonts w:ascii="Book Antiqua" w:hAnsi="Book Antiqua" w:cs="宋体"/>
          <w:color w:val="000000" w:themeColor="text1"/>
          <w:szCs w:val="24"/>
          <w:lang w:eastAsia="zh-CN"/>
        </w:rPr>
        <w:t>PMID: 16292743</w:t>
      </w:r>
      <w:r w:rsidR="00363A6E">
        <w:rPr>
          <w:rFonts w:ascii="Book Antiqua" w:hAnsi="Book Antiqua" w:cs="宋体" w:hint="eastAsia"/>
          <w:color w:val="000000" w:themeColor="text1"/>
          <w:szCs w:val="24"/>
          <w:lang w:eastAsia="zh-CN"/>
        </w:rPr>
        <w:t>]</w:t>
      </w:r>
    </w:p>
    <w:p w14:paraId="6030BF89" w14:textId="77777777" w:rsidR="00A825DA" w:rsidRDefault="00A825DA" w:rsidP="00BA05FB">
      <w:pPr>
        <w:spacing w:line="360" w:lineRule="auto"/>
        <w:jc w:val="both"/>
        <w:rPr>
          <w:rFonts w:ascii="Book Antiqua" w:hAnsi="Book Antiqua" w:cs="宋体"/>
          <w:szCs w:val="24"/>
        </w:rPr>
      </w:pPr>
      <w:r w:rsidRPr="00207430">
        <w:rPr>
          <w:rFonts w:ascii="Book Antiqua" w:hAnsi="Book Antiqua" w:cs="宋体"/>
          <w:szCs w:val="24"/>
        </w:rPr>
        <w:lastRenderedPageBreak/>
        <w:t xml:space="preserve">71 </w:t>
      </w:r>
      <w:r w:rsidRPr="00207430">
        <w:rPr>
          <w:rFonts w:ascii="Book Antiqua" w:hAnsi="Book Antiqua" w:cs="宋体"/>
          <w:b/>
          <w:szCs w:val="24"/>
        </w:rPr>
        <w:t xml:space="preserve">Ferrari A, </w:t>
      </w:r>
      <w:r w:rsidRPr="00207430">
        <w:rPr>
          <w:rFonts w:ascii="Book Antiqua" w:hAnsi="Book Antiqua" w:cs="宋体"/>
          <w:szCs w:val="24"/>
        </w:rPr>
        <w:t xml:space="preserve">De Salvo GL, Brennan B, van Noesel MM, De Paoli A, Casanova M, Francotte N, Kelsey A, Alaggio R, Oberlin O, Carli M, Ben-Arush M, Bergeron C, Merks JHM, Jenney M, Stevens MC, Bisogno G, Orbach D. Synovial sarcoma in children and adolescents: the European Pediatric Soft Tissue Sarcoma Study Group prospective trial (EpSSG NRSTS 2005). </w:t>
      </w:r>
      <w:r w:rsidRPr="00207430">
        <w:rPr>
          <w:rFonts w:ascii="Book Antiqua" w:hAnsi="Book Antiqua" w:cs="宋体"/>
          <w:i/>
          <w:szCs w:val="24"/>
        </w:rPr>
        <w:t>Ann Oncol</w:t>
      </w:r>
      <w:r w:rsidRPr="00207430">
        <w:rPr>
          <w:rFonts w:ascii="Book Antiqua" w:hAnsi="Book Antiqua" w:cs="宋体"/>
          <w:szCs w:val="24"/>
        </w:rPr>
        <w:t xml:space="preserve"> 2015; </w:t>
      </w:r>
      <w:r w:rsidRPr="00207430">
        <w:rPr>
          <w:rFonts w:ascii="Book Antiqua" w:hAnsi="Book Antiqua" w:cs="宋体"/>
          <w:b/>
          <w:szCs w:val="24"/>
        </w:rPr>
        <w:t>26</w:t>
      </w:r>
      <w:r w:rsidRPr="00207430">
        <w:rPr>
          <w:rFonts w:ascii="Book Antiqua" w:hAnsi="Book Antiqua" w:cs="宋体"/>
          <w:szCs w:val="24"/>
        </w:rPr>
        <w:t>: 567-572 [PMID: 25488687 DOI: 10.1093/annonc/mdu562]</w:t>
      </w:r>
    </w:p>
    <w:p w14:paraId="4930D04C"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72 </w:t>
      </w:r>
      <w:r w:rsidRPr="00207430">
        <w:rPr>
          <w:rFonts w:ascii="Book Antiqua" w:hAnsi="Book Antiqua" w:cs="宋体"/>
          <w:b/>
          <w:bCs/>
          <w:szCs w:val="24"/>
        </w:rPr>
        <w:t>Mnif H</w:t>
      </w:r>
      <w:r w:rsidRPr="00207430">
        <w:rPr>
          <w:rFonts w:ascii="Book Antiqua" w:hAnsi="Book Antiqua" w:cs="宋体"/>
          <w:szCs w:val="24"/>
        </w:rPr>
        <w:t xml:space="preserve">, Zrig M, Maazoun K, Sahnoun L, Bannour S, Koubaa M, Nouri A, Abid A. Congenital infantile fibrosarcoma of the forearm. </w:t>
      </w:r>
      <w:r w:rsidRPr="00207430">
        <w:rPr>
          <w:rFonts w:ascii="Book Antiqua" w:hAnsi="Book Antiqua" w:cs="宋体"/>
          <w:i/>
          <w:iCs/>
          <w:szCs w:val="24"/>
        </w:rPr>
        <w:t>Chir Main</w:t>
      </w:r>
      <w:r w:rsidRPr="00207430">
        <w:rPr>
          <w:rFonts w:ascii="Book Antiqua" w:hAnsi="Book Antiqua" w:cs="宋体"/>
          <w:szCs w:val="24"/>
        </w:rPr>
        <w:t xml:space="preserve"> 2011; </w:t>
      </w:r>
      <w:r w:rsidRPr="00207430">
        <w:rPr>
          <w:rFonts w:ascii="Book Antiqua" w:hAnsi="Book Antiqua" w:cs="宋体"/>
          <w:b/>
          <w:bCs/>
          <w:szCs w:val="24"/>
        </w:rPr>
        <w:t>30</w:t>
      </w:r>
      <w:r w:rsidRPr="00207430">
        <w:rPr>
          <w:rFonts w:ascii="Book Antiqua" w:hAnsi="Book Antiqua" w:cs="宋体"/>
          <w:szCs w:val="24"/>
        </w:rPr>
        <w:t>: 148-151 [PMID: 21411358 DOI: 10.1016/j.main.2011.01.018]</w:t>
      </w:r>
    </w:p>
    <w:p w14:paraId="70B3D22B"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73 </w:t>
      </w:r>
      <w:r w:rsidRPr="00207430">
        <w:rPr>
          <w:rFonts w:ascii="Book Antiqua" w:hAnsi="Book Antiqua" w:cs="宋体"/>
          <w:b/>
          <w:bCs/>
          <w:szCs w:val="24"/>
        </w:rPr>
        <w:t>Russell H</w:t>
      </w:r>
      <w:r w:rsidRPr="00207430">
        <w:rPr>
          <w:rFonts w:ascii="Book Antiqua" w:hAnsi="Book Antiqua" w:cs="宋体"/>
          <w:szCs w:val="24"/>
        </w:rPr>
        <w:t xml:space="preserve">, Hicks MJ, Bertuch AA, Chintagumpala M. Infantile fibrosarcoma: clinical and histologic responses to cytotoxic chemotherapy. </w:t>
      </w:r>
      <w:r w:rsidRPr="00207430">
        <w:rPr>
          <w:rFonts w:ascii="Book Antiqua" w:hAnsi="Book Antiqua" w:cs="宋体"/>
          <w:i/>
          <w:iCs/>
          <w:szCs w:val="24"/>
        </w:rPr>
        <w:t>Pediatr Blood Cancer</w:t>
      </w:r>
      <w:r w:rsidRPr="00207430">
        <w:rPr>
          <w:rFonts w:ascii="Book Antiqua" w:hAnsi="Book Antiqua" w:cs="宋体"/>
          <w:szCs w:val="24"/>
        </w:rPr>
        <w:t xml:space="preserve"> 2009; </w:t>
      </w:r>
      <w:r w:rsidRPr="00207430">
        <w:rPr>
          <w:rFonts w:ascii="Book Antiqua" w:hAnsi="Book Antiqua" w:cs="宋体"/>
          <w:b/>
          <w:bCs/>
          <w:szCs w:val="24"/>
        </w:rPr>
        <w:t>53</w:t>
      </w:r>
      <w:r w:rsidRPr="00207430">
        <w:rPr>
          <w:rFonts w:ascii="Book Antiqua" w:hAnsi="Book Antiqua" w:cs="宋体"/>
          <w:szCs w:val="24"/>
        </w:rPr>
        <w:t>: 23-27 [PMID: 19340853 DOI: 10.1002/pbc.21981]</w:t>
      </w:r>
    </w:p>
    <w:p w14:paraId="3D929E4D"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74 </w:t>
      </w:r>
      <w:r w:rsidRPr="00207430">
        <w:rPr>
          <w:rFonts w:ascii="Book Antiqua" w:hAnsi="Book Antiqua" w:cs="宋体"/>
          <w:b/>
          <w:bCs/>
          <w:szCs w:val="24"/>
        </w:rPr>
        <w:t>Akyüz C</w:t>
      </w:r>
      <w:r w:rsidRPr="00207430">
        <w:rPr>
          <w:rFonts w:ascii="Book Antiqua" w:hAnsi="Book Antiqua" w:cs="宋体"/>
          <w:szCs w:val="24"/>
        </w:rPr>
        <w:t xml:space="preserve">, Küpeli S, Varan A, Gedikoglu G, Yalçin B, Kutluk T, Büyükpamukçu M. Infantile fibrosarcoma: retrospective analysis of eleven patients. </w:t>
      </w:r>
      <w:r w:rsidRPr="00207430">
        <w:rPr>
          <w:rFonts w:ascii="Book Antiqua" w:hAnsi="Book Antiqua" w:cs="宋体"/>
          <w:i/>
          <w:iCs/>
          <w:szCs w:val="24"/>
        </w:rPr>
        <w:t>Tumori</w:t>
      </w:r>
      <w:r w:rsidRPr="00207430">
        <w:rPr>
          <w:rFonts w:ascii="Book Antiqua" w:hAnsi="Book Antiqua" w:cs="宋体"/>
          <w:szCs w:val="24"/>
        </w:rPr>
        <w:t xml:space="preserve"> </w:t>
      </w:r>
      <w:r>
        <w:rPr>
          <w:rFonts w:ascii="Book Antiqua" w:hAnsi="Book Antiqua" w:cs="宋体" w:hint="eastAsia"/>
          <w:szCs w:val="24"/>
        </w:rPr>
        <w:t>2011</w:t>
      </w:r>
      <w:r w:rsidRPr="00207430">
        <w:rPr>
          <w:rFonts w:ascii="Book Antiqua" w:hAnsi="Book Antiqua" w:cs="宋体"/>
          <w:szCs w:val="24"/>
        </w:rPr>
        <w:t xml:space="preserve">; </w:t>
      </w:r>
      <w:r w:rsidRPr="00207430">
        <w:rPr>
          <w:rFonts w:ascii="Book Antiqua" w:hAnsi="Book Antiqua" w:cs="宋体"/>
          <w:b/>
          <w:bCs/>
          <w:szCs w:val="24"/>
        </w:rPr>
        <w:t>97</w:t>
      </w:r>
      <w:r w:rsidRPr="00207430">
        <w:rPr>
          <w:rFonts w:ascii="Book Antiqua" w:hAnsi="Book Antiqua" w:cs="宋体"/>
          <w:szCs w:val="24"/>
        </w:rPr>
        <w:t>: 166-169 [PMID: 21617710 DOI: 10.1700/667.7778]</w:t>
      </w:r>
    </w:p>
    <w:p w14:paraId="3CCFD25B"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75 </w:t>
      </w:r>
      <w:r w:rsidRPr="00207430">
        <w:rPr>
          <w:rFonts w:ascii="Book Antiqua" w:hAnsi="Book Antiqua" w:cs="宋体"/>
          <w:b/>
          <w:bCs/>
          <w:szCs w:val="24"/>
        </w:rPr>
        <w:t>Orbach D</w:t>
      </w:r>
      <w:r w:rsidRPr="00207430">
        <w:rPr>
          <w:rFonts w:ascii="Book Antiqua" w:hAnsi="Book Antiqua" w:cs="宋体"/>
          <w:szCs w:val="24"/>
        </w:rPr>
        <w:t xml:space="preserve">, Rey A, Cecchetto G, Oberlin O, Casanova M, Thebaud E, Scopinaro M, Bisogno G, Carli M, Ferrari A. Infantile fibrosarcoma: management based on the European experience. </w:t>
      </w:r>
      <w:r w:rsidRPr="00207430">
        <w:rPr>
          <w:rFonts w:ascii="Book Antiqua" w:hAnsi="Book Antiqua" w:cs="宋体"/>
          <w:i/>
          <w:iCs/>
          <w:szCs w:val="24"/>
        </w:rPr>
        <w:t>J Clin Oncol</w:t>
      </w:r>
      <w:r w:rsidRPr="00207430">
        <w:rPr>
          <w:rFonts w:ascii="Book Antiqua" w:hAnsi="Book Antiqua" w:cs="宋体"/>
          <w:szCs w:val="24"/>
        </w:rPr>
        <w:t xml:space="preserve"> 2010; </w:t>
      </w:r>
      <w:r w:rsidRPr="00207430">
        <w:rPr>
          <w:rFonts w:ascii="Book Antiqua" w:hAnsi="Book Antiqua" w:cs="宋体"/>
          <w:b/>
          <w:bCs/>
          <w:szCs w:val="24"/>
        </w:rPr>
        <w:t>28</w:t>
      </w:r>
      <w:r w:rsidRPr="00207430">
        <w:rPr>
          <w:rFonts w:ascii="Book Antiqua" w:hAnsi="Book Antiqua" w:cs="宋体"/>
          <w:szCs w:val="24"/>
        </w:rPr>
        <w:t>: 318-323 [PMID: 19917847 DOI: 10.1200/JCO.2009.21.9972]</w:t>
      </w:r>
    </w:p>
    <w:p w14:paraId="0BC5B37F"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76 </w:t>
      </w:r>
      <w:r w:rsidRPr="00207430">
        <w:rPr>
          <w:rFonts w:ascii="Book Antiqua" w:hAnsi="Book Antiqua" w:cs="宋体"/>
          <w:b/>
          <w:bCs/>
          <w:szCs w:val="24"/>
        </w:rPr>
        <w:t>Sulkowski JP</w:t>
      </w:r>
      <w:r w:rsidRPr="00207430">
        <w:rPr>
          <w:rFonts w:ascii="Book Antiqua" w:hAnsi="Book Antiqua" w:cs="宋体"/>
          <w:szCs w:val="24"/>
        </w:rPr>
        <w:t xml:space="preserve">, Raval MV, Browne M. Margin status and multimodal therapy in infantile fibrosarcoma. </w:t>
      </w:r>
      <w:r w:rsidRPr="00207430">
        <w:rPr>
          <w:rFonts w:ascii="Book Antiqua" w:hAnsi="Book Antiqua" w:cs="宋体"/>
          <w:i/>
          <w:iCs/>
          <w:szCs w:val="24"/>
        </w:rPr>
        <w:t>Pediatr Surg Int</w:t>
      </w:r>
      <w:r w:rsidRPr="00207430">
        <w:rPr>
          <w:rFonts w:ascii="Book Antiqua" w:hAnsi="Book Antiqua" w:cs="宋体"/>
          <w:szCs w:val="24"/>
        </w:rPr>
        <w:t xml:space="preserve"> 2013; </w:t>
      </w:r>
      <w:r w:rsidRPr="00207430">
        <w:rPr>
          <w:rFonts w:ascii="Book Antiqua" w:hAnsi="Book Antiqua" w:cs="宋体"/>
          <w:b/>
          <w:bCs/>
          <w:szCs w:val="24"/>
        </w:rPr>
        <w:t>29</w:t>
      </w:r>
      <w:r w:rsidRPr="00207430">
        <w:rPr>
          <w:rFonts w:ascii="Book Antiqua" w:hAnsi="Book Antiqua" w:cs="宋体"/>
          <w:szCs w:val="24"/>
        </w:rPr>
        <w:t>: 771-776 [PMID: 23765394 DOI: 10.1007/s00383-013-3318-4]</w:t>
      </w:r>
    </w:p>
    <w:p w14:paraId="3A83B8B9"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77 </w:t>
      </w:r>
      <w:r w:rsidRPr="00207430">
        <w:rPr>
          <w:rFonts w:ascii="Book Antiqua" w:hAnsi="Book Antiqua" w:cs="宋体"/>
          <w:b/>
          <w:bCs/>
          <w:szCs w:val="24"/>
        </w:rPr>
        <w:t>Lae ME</w:t>
      </w:r>
      <w:r w:rsidRPr="00207430">
        <w:rPr>
          <w:rFonts w:ascii="Book Antiqua" w:hAnsi="Book Antiqua" w:cs="宋体"/>
          <w:szCs w:val="24"/>
        </w:rPr>
        <w:t xml:space="preserve">, Roche PC, Jin L, Lloyd RV, Nascimento AG. Desmoplastic small round cell tumor: a clinicopathologic, immunohistochemical, and molecular study of 32 tumors. </w:t>
      </w:r>
      <w:r w:rsidRPr="00207430">
        <w:rPr>
          <w:rFonts w:ascii="Book Antiqua" w:hAnsi="Book Antiqua" w:cs="宋体"/>
          <w:i/>
          <w:iCs/>
          <w:szCs w:val="24"/>
        </w:rPr>
        <w:t>Am J Surg Pathol</w:t>
      </w:r>
      <w:r w:rsidRPr="00207430">
        <w:rPr>
          <w:rFonts w:ascii="Book Antiqua" w:hAnsi="Book Antiqua" w:cs="宋体"/>
          <w:szCs w:val="24"/>
        </w:rPr>
        <w:t xml:space="preserve"> 2002; </w:t>
      </w:r>
      <w:r w:rsidRPr="00207430">
        <w:rPr>
          <w:rFonts w:ascii="Book Antiqua" w:hAnsi="Book Antiqua" w:cs="宋体"/>
          <w:b/>
          <w:bCs/>
          <w:szCs w:val="24"/>
        </w:rPr>
        <w:t>26</w:t>
      </w:r>
      <w:r w:rsidRPr="00207430">
        <w:rPr>
          <w:rFonts w:ascii="Book Antiqua" w:hAnsi="Book Antiqua" w:cs="宋体"/>
          <w:szCs w:val="24"/>
        </w:rPr>
        <w:t>: 823-835 [PMID: 12131150 DOI: 10.1097/00000478-200207000-00001]</w:t>
      </w:r>
    </w:p>
    <w:p w14:paraId="6A5263C7"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78 </w:t>
      </w:r>
      <w:r w:rsidRPr="00207430">
        <w:rPr>
          <w:rFonts w:ascii="Book Antiqua" w:hAnsi="Book Antiqua" w:cs="宋体"/>
          <w:b/>
          <w:bCs/>
          <w:szCs w:val="24"/>
        </w:rPr>
        <w:t>Finke NM</w:t>
      </w:r>
      <w:r w:rsidRPr="00207430">
        <w:rPr>
          <w:rFonts w:ascii="Book Antiqua" w:hAnsi="Book Antiqua" w:cs="宋体"/>
          <w:szCs w:val="24"/>
        </w:rPr>
        <w:t xml:space="preserve">, Lae ME, Lloyd RV, Gehani SK, Nascimento AG. Sinonasal desmoplastic small round cell tumor: a case report. </w:t>
      </w:r>
      <w:r w:rsidRPr="00207430">
        <w:rPr>
          <w:rFonts w:ascii="Book Antiqua" w:hAnsi="Book Antiqua" w:cs="宋体"/>
          <w:i/>
          <w:iCs/>
          <w:szCs w:val="24"/>
        </w:rPr>
        <w:t>Am J Surg Pathol</w:t>
      </w:r>
      <w:r w:rsidRPr="00207430">
        <w:rPr>
          <w:rFonts w:ascii="Book Antiqua" w:hAnsi="Book Antiqua" w:cs="宋体"/>
          <w:szCs w:val="24"/>
        </w:rPr>
        <w:t xml:space="preserve"> 2002; </w:t>
      </w:r>
      <w:r w:rsidRPr="00207430">
        <w:rPr>
          <w:rFonts w:ascii="Book Antiqua" w:hAnsi="Book Antiqua" w:cs="宋体"/>
          <w:b/>
          <w:bCs/>
          <w:szCs w:val="24"/>
        </w:rPr>
        <w:t>26</w:t>
      </w:r>
      <w:r w:rsidRPr="00207430">
        <w:rPr>
          <w:rFonts w:ascii="Book Antiqua" w:hAnsi="Book Antiqua" w:cs="宋体"/>
          <w:szCs w:val="24"/>
        </w:rPr>
        <w:t>: 799-803 [PMID: 12023587 DOI: 10.1097/00000478-200206000-00016]</w:t>
      </w:r>
    </w:p>
    <w:p w14:paraId="75CAA993"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79 </w:t>
      </w:r>
      <w:r w:rsidRPr="00207430">
        <w:rPr>
          <w:rFonts w:ascii="Book Antiqua" w:hAnsi="Book Antiqua" w:cs="宋体"/>
          <w:b/>
          <w:bCs/>
          <w:szCs w:val="24"/>
        </w:rPr>
        <w:t>Jian Z</w:t>
      </w:r>
      <w:r w:rsidRPr="00207430">
        <w:rPr>
          <w:rFonts w:ascii="Book Antiqua" w:hAnsi="Book Antiqua" w:cs="宋体"/>
          <w:szCs w:val="24"/>
        </w:rPr>
        <w:t xml:space="preserve">, Shaohong H, Wenzhao Z, Lijia G. Misdiagnosed desmoplastic small round cell tumor of the pleura: case report and literature review. </w:t>
      </w:r>
      <w:r w:rsidRPr="00207430">
        <w:rPr>
          <w:rFonts w:ascii="Book Antiqua" w:hAnsi="Book Antiqua" w:cs="宋体"/>
          <w:i/>
          <w:iCs/>
          <w:szCs w:val="24"/>
        </w:rPr>
        <w:t>J Formos Med Assoc</w:t>
      </w:r>
      <w:r w:rsidRPr="00207430">
        <w:rPr>
          <w:rFonts w:ascii="Book Antiqua" w:hAnsi="Book Antiqua" w:cs="宋体"/>
          <w:szCs w:val="24"/>
        </w:rPr>
        <w:t xml:space="preserve"> 2014; </w:t>
      </w:r>
      <w:r w:rsidRPr="00207430">
        <w:rPr>
          <w:rFonts w:ascii="Book Antiqua" w:hAnsi="Book Antiqua" w:cs="宋体"/>
          <w:b/>
          <w:bCs/>
          <w:szCs w:val="24"/>
        </w:rPr>
        <w:t>113</w:t>
      </w:r>
      <w:r w:rsidRPr="00207430">
        <w:rPr>
          <w:rFonts w:ascii="Book Antiqua" w:hAnsi="Book Antiqua" w:cs="宋体"/>
          <w:szCs w:val="24"/>
        </w:rPr>
        <w:t>: 60-61 [PMID: 24445012 DOI: 10.1016/j.jfma.2011.12.002]</w:t>
      </w:r>
    </w:p>
    <w:p w14:paraId="7AD855E6"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lastRenderedPageBreak/>
        <w:t xml:space="preserve">80 </w:t>
      </w:r>
      <w:r w:rsidRPr="00207430">
        <w:rPr>
          <w:rFonts w:ascii="Book Antiqua" w:hAnsi="Book Antiqua" w:cs="宋体"/>
          <w:b/>
          <w:bCs/>
          <w:szCs w:val="24"/>
        </w:rPr>
        <w:t>Rao P</w:t>
      </w:r>
      <w:r w:rsidRPr="00207430">
        <w:rPr>
          <w:rFonts w:ascii="Book Antiqua" w:hAnsi="Book Antiqua" w:cs="宋体"/>
          <w:szCs w:val="24"/>
        </w:rPr>
        <w:t xml:space="preserve">, Tamboli P, Fillman EP, Meis JM. Primary intra-renal desmoplastic small round cell tumor: expanding the histologic spectrum, with special emphasis on the differential diagnostic considerations. </w:t>
      </w:r>
      <w:r w:rsidRPr="00207430">
        <w:rPr>
          <w:rFonts w:ascii="Book Antiqua" w:hAnsi="Book Antiqua" w:cs="宋体"/>
          <w:i/>
          <w:iCs/>
          <w:szCs w:val="24"/>
        </w:rPr>
        <w:t>Pathol Res Pract</w:t>
      </w:r>
      <w:r w:rsidRPr="00207430">
        <w:rPr>
          <w:rFonts w:ascii="Book Antiqua" w:hAnsi="Book Antiqua" w:cs="宋体"/>
          <w:szCs w:val="24"/>
        </w:rPr>
        <w:t xml:space="preserve"> 2014; </w:t>
      </w:r>
      <w:r w:rsidRPr="00207430">
        <w:rPr>
          <w:rFonts w:ascii="Book Antiqua" w:hAnsi="Book Antiqua" w:cs="宋体"/>
          <w:b/>
          <w:bCs/>
          <w:szCs w:val="24"/>
        </w:rPr>
        <w:t>210</w:t>
      </w:r>
      <w:r w:rsidRPr="00207430">
        <w:rPr>
          <w:rFonts w:ascii="Book Antiqua" w:hAnsi="Book Antiqua" w:cs="宋体"/>
          <w:szCs w:val="24"/>
        </w:rPr>
        <w:t>: 1130-1133 [PMID: 24953786 DOI: 10.1016/j.prp.2014.05.013]</w:t>
      </w:r>
    </w:p>
    <w:p w14:paraId="58644F2A"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81 </w:t>
      </w:r>
      <w:r w:rsidRPr="00207430">
        <w:rPr>
          <w:rFonts w:ascii="Book Antiqua" w:hAnsi="Book Antiqua" w:cs="宋体"/>
          <w:b/>
          <w:bCs/>
          <w:szCs w:val="24"/>
        </w:rPr>
        <w:t>Yue X</w:t>
      </w:r>
      <w:r w:rsidRPr="00207430">
        <w:rPr>
          <w:rFonts w:ascii="Book Antiqua" w:hAnsi="Book Antiqua" w:cs="宋体"/>
          <w:szCs w:val="24"/>
        </w:rPr>
        <w:t xml:space="preserve">, Wang JZ, Tian Y, Wang KJ. Paratesticular desmoplastic small round cell tumor with metastasis: a report of two cases. </w:t>
      </w:r>
      <w:r w:rsidRPr="00207430">
        <w:rPr>
          <w:rFonts w:ascii="Book Antiqua" w:hAnsi="Book Antiqua" w:cs="宋体"/>
          <w:i/>
          <w:iCs/>
          <w:szCs w:val="24"/>
        </w:rPr>
        <w:t>Kaohsiung J Med Sci</w:t>
      </w:r>
      <w:r w:rsidRPr="00207430">
        <w:rPr>
          <w:rFonts w:ascii="Book Antiqua" w:hAnsi="Book Antiqua" w:cs="宋体"/>
          <w:szCs w:val="24"/>
        </w:rPr>
        <w:t xml:space="preserve"> 2014; </w:t>
      </w:r>
      <w:r w:rsidRPr="00207430">
        <w:rPr>
          <w:rFonts w:ascii="Book Antiqua" w:hAnsi="Book Antiqua" w:cs="宋体"/>
          <w:b/>
          <w:bCs/>
          <w:szCs w:val="24"/>
        </w:rPr>
        <w:t>30</w:t>
      </w:r>
      <w:r w:rsidRPr="00207430">
        <w:rPr>
          <w:rFonts w:ascii="Book Antiqua" w:hAnsi="Book Antiqua" w:cs="宋体"/>
          <w:szCs w:val="24"/>
        </w:rPr>
        <w:t>: 104-105 [PMID: 24444541 DOI: 10.1016/j.kjms.2013.01.018]</w:t>
      </w:r>
    </w:p>
    <w:p w14:paraId="1B3DECC8"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82 </w:t>
      </w:r>
      <w:r w:rsidRPr="00207430">
        <w:rPr>
          <w:rFonts w:ascii="Book Antiqua" w:hAnsi="Book Antiqua" w:cs="宋体"/>
          <w:b/>
          <w:bCs/>
          <w:szCs w:val="24"/>
        </w:rPr>
        <w:t>Gerald WL</w:t>
      </w:r>
      <w:r w:rsidRPr="00207430">
        <w:rPr>
          <w:rFonts w:ascii="Book Antiqua" w:hAnsi="Book Antiqua" w:cs="宋体"/>
          <w:szCs w:val="24"/>
        </w:rPr>
        <w:t xml:space="preserve">, Rosai J. Case 2. Desmoplastic small cell tumor with divergent differentiation. </w:t>
      </w:r>
      <w:r w:rsidRPr="00207430">
        <w:rPr>
          <w:rFonts w:ascii="Book Antiqua" w:hAnsi="Book Antiqua" w:cs="宋体"/>
          <w:i/>
          <w:iCs/>
          <w:szCs w:val="24"/>
        </w:rPr>
        <w:t>Pediatr Pathol</w:t>
      </w:r>
      <w:r w:rsidRPr="00207430">
        <w:rPr>
          <w:rFonts w:ascii="Book Antiqua" w:hAnsi="Book Antiqua" w:cs="宋体"/>
          <w:szCs w:val="24"/>
        </w:rPr>
        <w:t xml:space="preserve"> 1989; </w:t>
      </w:r>
      <w:r w:rsidRPr="00207430">
        <w:rPr>
          <w:rFonts w:ascii="Book Antiqua" w:hAnsi="Book Antiqua" w:cs="宋体"/>
          <w:b/>
          <w:bCs/>
          <w:szCs w:val="24"/>
        </w:rPr>
        <w:t>9</w:t>
      </w:r>
      <w:r w:rsidRPr="00207430">
        <w:rPr>
          <w:rFonts w:ascii="Book Antiqua" w:hAnsi="Book Antiqua" w:cs="宋体"/>
          <w:szCs w:val="24"/>
        </w:rPr>
        <w:t>: 177-183 [PMID: 2473463 DOI: 10.3109/15513818909022347]</w:t>
      </w:r>
    </w:p>
    <w:p w14:paraId="31B16510"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83 </w:t>
      </w:r>
      <w:r w:rsidRPr="00207430">
        <w:rPr>
          <w:rFonts w:ascii="Book Antiqua" w:hAnsi="Book Antiqua" w:cs="宋体"/>
          <w:b/>
          <w:bCs/>
          <w:szCs w:val="24"/>
        </w:rPr>
        <w:t>Lee YS</w:t>
      </w:r>
      <w:r w:rsidRPr="00207430">
        <w:rPr>
          <w:rFonts w:ascii="Book Antiqua" w:hAnsi="Book Antiqua" w:cs="宋体"/>
          <w:szCs w:val="24"/>
        </w:rPr>
        <w:t xml:space="preserve">, Hsiao CH. Desmoplastic small round cell tumor: a clinicopathologic, immunohistochemical and molecular study of four patients. </w:t>
      </w:r>
      <w:r w:rsidRPr="00207430">
        <w:rPr>
          <w:rFonts w:ascii="Book Antiqua" w:hAnsi="Book Antiqua" w:cs="宋体"/>
          <w:i/>
          <w:iCs/>
          <w:szCs w:val="24"/>
        </w:rPr>
        <w:t>J Formos Med Assoc</w:t>
      </w:r>
      <w:r w:rsidRPr="00207430">
        <w:rPr>
          <w:rFonts w:ascii="Book Antiqua" w:hAnsi="Book Antiqua" w:cs="宋体"/>
          <w:szCs w:val="24"/>
        </w:rPr>
        <w:t xml:space="preserve"> 2007; </w:t>
      </w:r>
      <w:r w:rsidRPr="00207430">
        <w:rPr>
          <w:rFonts w:ascii="Book Antiqua" w:hAnsi="Book Antiqua" w:cs="宋体"/>
          <w:b/>
          <w:bCs/>
          <w:szCs w:val="24"/>
        </w:rPr>
        <w:t>106</w:t>
      </w:r>
      <w:r w:rsidRPr="00207430">
        <w:rPr>
          <w:rFonts w:ascii="Book Antiqua" w:hAnsi="Book Antiqua" w:cs="宋体"/>
          <w:szCs w:val="24"/>
        </w:rPr>
        <w:t>: 854-860 [PMID: 17964965 DOI: 10.1016/S0929-6646(08)60051-0]</w:t>
      </w:r>
    </w:p>
    <w:p w14:paraId="7D7ED753"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84 </w:t>
      </w:r>
      <w:r w:rsidRPr="00207430">
        <w:rPr>
          <w:rFonts w:ascii="Book Antiqua" w:hAnsi="Book Antiqua" w:cs="宋体"/>
          <w:b/>
          <w:bCs/>
          <w:szCs w:val="24"/>
        </w:rPr>
        <w:t>Ordóñez NG</w:t>
      </w:r>
      <w:r w:rsidRPr="00207430">
        <w:rPr>
          <w:rFonts w:ascii="Book Antiqua" w:hAnsi="Book Antiqua" w:cs="宋体"/>
          <w:szCs w:val="24"/>
        </w:rPr>
        <w:t xml:space="preserve">, el-Naggar AK, Ro JY, Silva EG, Mackay B. Intra-abdominal desmoplastic small cell tumor: a light microscopic, immunocytochemical, ultrastructural, and flow cytometric study. </w:t>
      </w:r>
      <w:r w:rsidRPr="00207430">
        <w:rPr>
          <w:rFonts w:ascii="Book Antiqua" w:hAnsi="Book Antiqua" w:cs="宋体"/>
          <w:i/>
          <w:iCs/>
          <w:szCs w:val="24"/>
        </w:rPr>
        <w:t>Hum Pathol</w:t>
      </w:r>
      <w:r w:rsidRPr="00207430">
        <w:rPr>
          <w:rFonts w:ascii="Book Antiqua" w:hAnsi="Book Antiqua" w:cs="宋体"/>
          <w:szCs w:val="24"/>
        </w:rPr>
        <w:t xml:space="preserve"> 1993; </w:t>
      </w:r>
      <w:r w:rsidRPr="00207430">
        <w:rPr>
          <w:rFonts w:ascii="Book Antiqua" w:hAnsi="Book Antiqua" w:cs="宋体"/>
          <w:b/>
          <w:bCs/>
          <w:szCs w:val="24"/>
        </w:rPr>
        <w:t>24</w:t>
      </w:r>
      <w:r w:rsidRPr="00207430">
        <w:rPr>
          <w:rFonts w:ascii="Book Antiqua" w:hAnsi="Book Antiqua" w:cs="宋体"/>
          <w:szCs w:val="24"/>
        </w:rPr>
        <w:t>: 850-865 [PMID: 8375856 DOI: 10.1016/0046-8177(93)90135-4]</w:t>
      </w:r>
    </w:p>
    <w:p w14:paraId="0617740E"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85 </w:t>
      </w:r>
      <w:r w:rsidRPr="00207430">
        <w:rPr>
          <w:rFonts w:ascii="Book Antiqua" w:hAnsi="Book Antiqua" w:cs="宋体"/>
          <w:b/>
          <w:bCs/>
          <w:szCs w:val="24"/>
        </w:rPr>
        <w:t>Lal DR</w:t>
      </w:r>
      <w:r w:rsidRPr="00207430">
        <w:rPr>
          <w:rFonts w:ascii="Book Antiqua" w:hAnsi="Book Antiqua" w:cs="宋体"/>
          <w:szCs w:val="24"/>
        </w:rPr>
        <w:t xml:space="preserve">, Su WT, Wolden SL, Loh KC, Modak S, La Quaglia MP. Results of multimodal treatment for desmoplastic small round cell tumors. </w:t>
      </w:r>
      <w:r w:rsidRPr="00207430">
        <w:rPr>
          <w:rFonts w:ascii="Book Antiqua" w:hAnsi="Book Antiqua" w:cs="宋体"/>
          <w:i/>
          <w:iCs/>
          <w:szCs w:val="24"/>
        </w:rPr>
        <w:t>J Pediatr Surg</w:t>
      </w:r>
      <w:r w:rsidRPr="00207430">
        <w:rPr>
          <w:rFonts w:ascii="Book Antiqua" w:hAnsi="Book Antiqua" w:cs="宋体"/>
          <w:szCs w:val="24"/>
        </w:rPr>
        <w:t xml:space="preserve"> 2005; </w:t>
      </w:r>
      <w:r w:rsidRPr="00207430">
        <w:rPr>
          <w:rFonts w:ascii="Book Antiqua" w:hAnsi="Book Antiqua" w:cs="宋体"/>
          <w:b/>
          <w:bCs/>
          <w:szCs w:val="24"/>
        </w:rPr>
        <w:t>40</w:t>
      </w:r>
      <w:r w:rsidRPr="00207430">
        <w:rPr>
          <w:rFonts w:ascii="Book Antiqua" w:hAnsi="Book Antiqua" w:cs="宋体"/>
          <w:szCs w:val="24"/>
        </w:rPr>
        <w:t>: 251-255 [PMID: 15868593 DOI: 10.1016/j.jpedsurg.2004.09.046]</w:t>
      </w:r>
    </w:p>
    <w:p w14:paraId="4CCBFBF3"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86 </w:t>
      </w:r>
      <w:r w:rsidRPr="00207430">
        <w:rPr>
          <w:rFonts w:ascii="Book Antiqua" w:hAnsi="Book Antiqua" w:cs="宋体"/>
          <w:b/>
          <w:bCs/>
          <w:szCs w:val="24"/>
        </w:rPr>
        <w:t>Lettieri CK</w:t>
      </w:r>
      <w:r w:rsidRPr="00207430">
        <w:rPr>
          <w:rFonts w:ascii="Book Antiqua" w:hAnsi="Book Antiqua" w:cs="宋体"/>
          <w:szCs w:val="24"/>
        </w:rPr>
        <w:t xml:space="preserve">, Garcia-Filion P, Hingorani P. Incidence and outcomes of desmoplastic small round cell tumor: results from the surveillance, epidemiology, and end results database. </w:t>
      </w:r>
      <w:r w:rsidRPr="00207430">
        <w:rPr>
          <w:rFonts w:ascii="Book Antiqua" w:hAnsi="Book Antiqua" w:cs="宋体"/>
          <w:i/>
          <w:iCs/>
          <w:szCs w:val="24"/>
        </w:rPr>
        <w:t>J Cancer Epidemiol</w:t>
      </w:r>
      <w:r w:rsidRPr="00207430">
        <w:rPr>
          <w:rFonts w:ascii="Book Antiqua" w:hAnsi="Book Antiqua" w:cs="宋体"/>
          <w:szCs w:val="24"/>
        </w:rPr>
        <w:t xml:space="preserve"> 2014; </w:t>
      </w:r>
      <w:r w:rsidRPr="00207430">
        <w:rPr>
          <w:rFonts w:ascii="Book Antiqua" w:hAnsi="Book Antiqua" w:cs="宋体"/>
          <w:b/>
          <w:bCs/>
          <w:szCs w:val="24"/>
        </w:rPr>
        <w:t>2014</w:t>
      </w:r>
      <w:r w:rsidRPr="00207430">
        <w:rPr>
          <w:rFonts w:ascii="Book Antiqua" w:hAnsi="Book Antiqua" w:cs="宋体"/>
          <w:szCs w:val="24"/>
        </w:rPr>
        <w:t>: 680126 [PMID: 25431592 DOI: 10.1155/2014/680126]</w:t>
      </w:r>
    </w:p>
    <w:p w14:paraId="488D8254"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87 </w:t>
      </w:r>
      <w:r w:rsidRPr="00207430">
        <w:rPr>
          <w:rFonts w:ascii="Book Antiqua" w:hAnsi="Book Antiqua" w:cs="宋体"/>
          <w:b/>
          <w:bCs/>
          <w:szCs w:val="24"/>
        </w:rPr>
        <w:t>Saab R</w:t>
      </w:r>
      <w:r w:rsidRPr="00207430">
        <w:rPr>
          <w:rFonts w:ascii="Book Antiqua" w:hAnsi="Book Antiqua" w:cs="宋体"/>
          <w:szCs w:val="24"/>
        </w:rPr>
        <w:t xml:space="preserve">, Khoury JD, Krasin M, Davidoff AM, Navid F. Desmoplastic small round cell tumor in childhood: the St. Jude Children's Research Hospital experience. </w:t>
      </w:r>
      <w:r w:rsidRPr="00207430">
        <w:rPr>
          <w:rFonts w:ascii="Book Antiqua" w:hAnsi="Book Antiqua" w:cs="宋体"/>
          <w:i/>
          <w:iCs/>
          <w:szCs w:val="24"/>
        </w:rPr>
        <w:t>Pediatr Blood Cancer</w:t>
      </w:r>
      <w:r w:rsidRPr="00207430">
        <w:rPr>
          <w:rFonts w:ascii="Book Antiqua" w:hAnsi="Book Antiqua" w:cs="宋体"/>
          <w:szCs w:val="24"/>
        </w:rPr>
        <w:t xml:space="preserve"> 2007; </w:t>
      </w:r>
      <w:r w:rsidRPr="00207430">
        <w:rPr>
          <w:rFonts w:ascii="Book Antiqua" w:hAnsi="Book Antiqua" w:cs="宋体"/>
          <w:b/>
          <w:bCs/>
          <w:szCs w:val="24"/>
        </w:rPr>
        <w:t>49</w:t>
      </w:r>
      <w:r w:rsidRPr="00207430">
        <w:rPr>
          <w:rFonts w:ascii="Book Antiqua" w:hAnsi="Book Antiqua" w:cs="宋体"/>
          <w:szCs w:val="24"/>
        </w:rPr>
        <w:t>: 274-279 [PMID: 16685737 DOI: 10.1002/pbc.20893]</w:t>
      </w:r>
    </w:p>
    <w:p w14:paraId="77CD9D50"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88 </w:t>
      </w:r>
      <w:r w:rsidRPr="00207430">
        <w:rPr>
          <w:rFonts w:ascii="Book Antiqua" w:hAnsi="Book Antiqua" w:cs="宋体"/>
          <w:b/>
          <w:bCs/>
          <w:szCs w:val="24"/>
        </w:rPr>
        <w:t>Frezza AM</w:t>
      </w:r>
      <w:r w:rsidRPr="00207430">
        <w:rPr>
          <w:rFonts w:ascii="Book Antiqua" w:hAnsi="Book Antiqua" w:cs="宋体"/>
          <w:szCs w:val="24"/>
        </w:rPr>
        <w:t xml:space="preserve">, Benson C, Judson IR, Litiere S, Marreaud S, Sleijfer S, Blay JY, Dewji R, Fisher C, van der Graaf W, Hayward L. Pazopanib in advanced desmoplastic small round cell tumours: a multi-institutional experience. </w:t>
      </w:r>
      <w:r w:rsidRPr="00207430">
        <w:rPr>
          <w:rFonts w:ascii="Book Antiqua" w:hAnsi="Book Antiqua" w:cs="宋体"/>
          <w:i/>
          <w:iCs/>
          <w:szCs w:val="24"/>
        </w:rPr>
        <w:t>Clin Sarcoma Res</w:t>
      </w:r>
      <w:r w:rsidRPr="00207430">
        <w:rPr>
          <w:rFonts w:ascii="Book Antiqua" w:hAnsi="Book Antiqua" w:cs="宋体"/>
          <w:szCs w:val="24"/>
        </w:rPr>
        <w:t xml:space="preserve"> 2014; </w:t>
      </w:r>
      <w:r w:rsidRPr="00207430">
        <w:rPr>
          <w:rFonts w:ascii="Book Antiqua" w:hAnsi="Book Antiqua" w:cs="宋体"/>
          <w:b/>
          <w:bCs/>
          <w:szCs w:val="24"/>
        </w:rPr>
        <w:t>4</w:t>
      </w:r>
      <w:r w:rsidRPr="00207430">
        <w:rPr>
          <w:rFonts w:ascii="Book Antiqua" w:hAnsi="Book Antiqua" w:cs="宋体"/>
          <w:szCs w:val="24"/>
        </w:rPr>
        <w:t>: 7 [PMID: 25089183 DOI: 10.1186/2045-3329-4-7]</w:t>
      </w:r>
    </w:p>
    <w:p w14:paraId="26190D3C"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lastRenderedPageBreak/>
        <w:t xml:space="preserve">89 </w:t>
      </w:r>
      <w:r w:rsidRPr="00207430">
        <w:rPr>
          <w:rFonts w:ascii="Book Antiqua" w:hAnsi="Book Antiqua" w:cs="宋体"/>
          <w:b/>
          <w:bCs/>
          <w:szCs w:val="24"/>
        </w:rPr>
        <w:t>de Araújo RA</w:t>
      </w:r>
      <w:r w:rsidRPr="00207430">
        <w:rPr>
          <w:rFonts w:ascii="Book Antiqua" w:hAnsi="Book Antiqua" w:cs="宋体"/>
          <w:szCs w:val="24"/>
        </w:rPr>
        <w:t xml:space="preserve">, Araújo BJ. Desmoplastic small round cell tumor: report of 2 cases treated with chemotherapy alone or in combination with bevacizumab. </w:t>
      </w:r>
      <w:r w:rsidRPr="00207430">
        <w:rPr>
          <w:rFonts w:ascii="Book Antiqua" w:hAnsi="Book Antiqua" w:cs="宋体"/>
          <w:i/>
          <w:iCs/>
          <w:szCs w:val="24"/>
        </w:rPr>
        <w:t>Case Rep Oncol</w:t>
      </w:r>
      <w:r w:rsidRPr="00207430">
        <w:rPr>
          <w:rFonts w:ascii="Book Antiqua" w:hAnsi="Book Antiqua" w:cs="宋体"/>
          <w:szCs w:val="24"/>
        </w:rPr>
        <w:t xml:space="preserve"> 2014; </w:t>
      </w:r>
      <w:r w:rsidRPr="00207430">
        <w:rPr>
          <w:rFonts w:ascii="Book Antiqua" w:hAnsi="Book Antiqua" w:cs="宋体"/>
          <w:b/>
          <w:bCs/>
          <w:szCs w:val="24"/>
        </w:rPr>
        <w:t>7</w:t>
      </w:r>
      <w:r w:rsidRPr="00207430">
        <w:rPr>
          <w:rFonts w:ascii="Book Antiqua" w:hAnsi="Book Antiqua" w:cs="宋体"/>
          <w:szCs w:val="24"/>
        </w:rPr>
        <w:t>: 102-108 [PMID: 24707256 DOI: 10.1159/000359997]</w:t>
      </w:r>
    </w:p>
    <w:p w14:paraId="2A1D8459"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90 </w:t>
      </w:r>
      <w:r w:rsidRPr="00207430">
        <w:rPr>
          <w:rFonts w:ascii="Book Antiqua" w:hAnsi="Book Antiqua" w:cs="宋体"/>
          <w:b/>
          <w:bCs/>
          <w:szCs w:val="24"/>
        </w:rPr>
        <w:t>Fan HS</w:t>
      </w:r>
      <w:r w:rsidRPr="00207430">
        <w:rPr>
          <w:rFonts w:ascii="Book Antiqua" w:hAnsi="Book Antiqua" w:cs="宋体"/>
          <w:szCs w:val="24"/>
        </w:rPr>
        <w:t xml:space="preserve">, I'Ons B, McConnell R, Kumar V, Alzahrani S, Morris DL. Peritonectomy and hyperthermic intraperitoneal chemotherapy as treatment for desmoplastic small round cell tumour. </w:t>
      </w:r>
      <w:r w:rsidRPr="00207430">
        <w:rPr>
          <w:rFonts w:ascii="Book Antiqua" w:hAnsi="Book Antiqua" w:cs="宋体"/>
          <w:i/>
          <w:iCs/>
          <w:szCs w:val="24"/>
        </w:rPr>
        <w:t>Int J Surg Case Rep</w:t>
      </w:r>
      <w:r w:rsidRPr="00207430">
        <w:rPr>
          <w:rFonts w:ascii="Book Antiqua" w:hAnsi="Book Antiqua" w:cs="宋体"/>
          <w:szCs w:val="24"/>
        </w:rPr>
        <w:t xml:space="preserve"> 2015; </w:t>
      </w:r>
      <w:r w:rsidRPr="00207430">
        <w:rPr>
          <w:rFonts w:ascii="Book Antiqua" w:hAnsi="Book Antiqua" w:cs="宋体"/>
          <w:b/>
          <w:bCs/>
          <w:szCs w:val="24"/>
        </w:rPr>
        <w:t>7C</w:t>
      </w:r>
      <w:r w:rsidRPr="00207430">
        <w:rPr>
          <w:rFonts w:ascii="Book Antiqua" w:hAnsi="Book Antiqua" w:cs="宋体"/>
          <w:szCs w:val="24"/>
        </w:rPr>
        <w:t>: 85-88 [PMID: 25598401 DOI: 10.1016/j.ijscr.2014.09.022]</w:t>
      </w:r>
    </w:p>
    <w:p w14:paraId="496B2419"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91 </w:t>
      </w:r>
      <w:r w:rsidRPr="00207430">
        <w:rPr>
          <w:rFonts w:ascii="Book Antiqua" w:hAnsi="Book Antiqua" w:cs="宋体"/>
          <w:b/>
          <w:bCs/>
          <w:szCs w:val="24"/>
        </w:rPr>
        <w:t>Bhagat P</w:t>
      </w:r>
      <w:r w:rsidRPr="00207430">
        <w:rPr>
          <w:rFonts w:ascii="Book Antiqua" w:hAnsi="Book Antiqua" w:cs="宋体"/>
          <w:szCs w:val="24"/>
        </w:rPr>
        <w:t xml:space="preserve">, Bal A, Das A, Singh N, Singh H. Pulmonary inflammatory myofibroblastic tumor and IgG4-related inflammatory pseudotumor: a diagnostic dilemma. </w:t>
      </w:r>
      <w:r w:rsidRPr="00207430">
        <w:rPr>
          <w:rFonts w:ascii="Book Antiqua" w:hAnsi="Book Antiqua" w:cs="宋体"/>
          <w:i/>
          <w:iCs/>
          <w:szCs w:val="24"/>
        </w:rPr>
        <w:t>Virchows Arch</w:t>
      </w:r>
      <w:r w:rsidRPr="00207430">
        <w:rPr>
          <w:rFonts w:ascii="Book Antiqua" w:hAnsi="Book Antiqua" w:cs="宋体"/>
          <w:szCs w:val="24"/>
        </w:rPr>
        <w:t xml:space="preserve"> 2013; </w:t>
      </w:r>
      <w:r w:rsidRPr="00207430">
        <w:rPr>
          <w:rFonts w:ascii="Book Antiqua" w:hAnsi="Book Antiqua" w:cs="宋体"/>
          <w:b/>
          <w:bCs/>
          <w:szCs w:val="24"/>
        </w:rPr>
        <w:t>463</w:t>
      </w:r>
      <w:r w:rsidRPr="00207430">
        <w:rPr>
          <w:rFonts w:ascii="Book Antiqua" w:hAnsi="Book Antiqua" w:cs="宋体"/>
          <w:szCs w:val="24"/>
        </w:rPr>
        <w:t>: 743-747 [PMID: 24100523 DOI: 10.1007/s00428-013-1493-2]</w:t>
      </w:r>
    </w:p>
    <w:p w14:paraId="2E549DC9"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92 </w:t>
      </w:r>
      <w:r w:rsidRPr="00207430">
        <w:rPr>
          <w:rFonts w:ascii="Book Antiqua" w:hAnsi="Book Antiqua" w:cs="宋体"/>
          <w:b/>
          <w:bCs/>
          <w:szCs w:val="24"/>
        </w:rPr>
        <w:t>Nagarajan S</w:t>
      </w:r>
      <w:r w:rsidRPr="00207430">
        <w:rPr>
          <w:rFonts w:ascii="Book Antiqua" w:hAnsi="Book Antiqua" w:cs="宋体"/>
          <w:szCs w:val="24"/>
        </w:rPr>
        <w:t xml:space="preserve">, Jayabose S, McBride W, Prasadh I, Tanjavur V, Marvin MR, Rodriguez-Davalos MI. Inflammatory myofibroblastic tumor of the liver in children. </w:t>
      </w:r>
      <w:r w:rsidRPr="00207430">
        <w:rPr>
          <w:rFonts w:ascii="Book Antiqua" w:hAnsi="Book Antiqua" w:cs="宋体"/>
          <w:i/>
          <w:iCs/>
          <w:szCs w:val="24"/>
        </w:rPr>
        <w:t>J Pediatr Gastroenterol Nutr</w:t>
      </w:r>
      <w:r w:rsidRPr="00207430">
        <w:rPr>
          <w:rFonts w:ascii="Book Antiqua" w:hAnsi="Book Antiqua" w:cs="宋体"/>
          <w:szCs w:val="24"/>
        </w:rPr>
        <w:t xml:space="preserve"> 2013; </w:t>
      </w:r>
      <w:r w:rsidRPr="00207430">
        <w:rPr>
          <w:rFonts w:ascii="Book Antiqua" w:hAnsi="Book Antiqua" w:cs="宋体"/>
          <w:b/>
          <w:bCs/>
          <w:szCs w:val="24"/>
        </w:rPr>
        <w:t>57</w:t>
      </w:r>
      <w:r w:rsidRPr="00207430">
        <w:rPr>
          <w:rFonts w:ascii="Book Antiqua" w:hAnsi="Book Antiqua" w:cs="宋体"/>
          <w:szCs w:val="24"/>
        </w:rPr>
        <w:t>: 277-280 [PMID: 23974058 DOI: 10.1097/MPG.0b013e31829e0b3b]</w:t>
      </w:r>
    </w:p>
    <w:p w14:paraId="7F360587"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93 </w:t>
      </w:r>
      <w:r w:rsidRPr="00207430">
        <w:rPr>
          <w:rFonts w:ascii="Book Antiqua" w:hAnsi="Book Antiqua" w:cs="宋体"/>
          <w:b/>
          <w:bCs/>
          <w:szCs w:val="24"/>
        </w:rPr>
        <w:t>Pradhan MR</w:t>
      </w:r>
      <w:r w:rsidRPr="00207430">
        <w:rPr>
          <w:rFonts w:ascii="Book Antiqua" w:hAnsi="Book Antiqua" w:cs="宋体"/>
          <w:szCs w:val="24"/>
        </w:rPr>
        <w:t xml:space="preserve">, Ranjan P, Rao RN, Chipde SS, Pradhan K, Kapoor R. Inflammatory myofibroblastic tumor of the urinary bladder managed by laparoscopic partial cystectomy. </w:t>
      </w:r>
      <w:r w:rsidRPr="00207430">
        <w:rPr>
          <w:rFonts w:ascii="Book Antiqua" w:hAnsi="Book Antiqua" w:cs="宋体"/>
          <w:i/>
          <w:iCs/>
          <w:szCs w:val="24"/>
        </w:rPr>
        <w:t>Korean J Urol</w:t>
      </w:r>
      <w:r w:rsidRPr="00207430">
        <w:rPr>
          <w:rFonts w:ascii="Book Antiqua" w:hAnsi="Book Antiqua" w:cs="宋体"/>
          <w:szCs w:val="24"/>
        </w:rPr>
        <w:t xml:space="preserve"> 2013; </w:t>
      </w:r>
      <w:r w:rsidRPr="00207430">
        <w:rPr>
          <w:rFonts w:ascii="Book Antiqua" w:hAnsi="Book Antiqua" w:cs="宋体"/>
          <w:b/>
          <w:bCs/>
          <w:szCs w:val="24"/>
        </w:rPr>
        <w:t>54</w:t>
      </w:r>
      <w:r w:rsidRPr="00207430">
        <w:rPr>
          <w:rFonts w:ascii="Book Antiqua" w:hAnsi="Book Antiqua" w:cs="宋体"/>
          <w:szCs w:val="24"/>
        </w:rPr>
        <w:t>: 797-800 [PMID: 24255764 DOI: 10.4111/kju.2013.54.11.797]</w:t>
      </w:r>
    </w:p>
    <w:p w14:paraId="567F0041"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94 </w:t>
      </w:r>
      <w:r w:rsidRPr="00207430">
        <w:rPr>
          <w:rFonts w:ascii="Book Antiqua" w:hAnsi="Book Antiqua" w:cs="宋体"/>
          <w:b/>
          <w:bCs/>
          <w:szCs w:val="24"/>
        </w:rPr>
        <w:t>Groenveld RL</w:t>
      </w:r>
      <w:r w:rsidRPr="00207430">
        <w:rPr>
          <w:rFonts w:ascii="Book Antiqua" w:hAnsi="Book Antiqua" w:cs="宋体"/>
          <w:szCs w:val="24"/>
        </w:rPr>
        <w:t xml:space="preserve">, Raber MH, Oosterhof-Berktas R, Eijken E, Klaase JM. Abdominal inflammatory myofibroblastic tumor. </w:t>
      </w:r>
      <w:r w:rsidRPr="00207430">
        <w:rPr>
          <w:rFonts w:ascii="Book Antiqua" w:hAnsi="Book Antiqua" w:cs="宋体"/>
          <w:i/>
          <w:iCs/>
          <w:szCs w:val="24"/>
        </w:rPr>
        <w:t>Case Rep Gastroenterol</w:t>
      </w:r>
      <w:r w:rsidRPr="00207430">
        <w:rPr>
          <w:rFonts w:ascii="Book Antiqua" w:hAnsi="Book Antiqua" w:cs="宋体"/>
          <w:szCs w:val="24"/>
        </w:rPr>
        <w:t xml:space="preserve"> 2014; </w:t>
      </w:r>
      <w:r w:rsidRPr="00207430">
        <w:rPr>
          <w:rFonts w:ascii="Book Antiqua" w:hAnsi="Book Antiqua" w:cs="宋体"/>
          <w:b/>
          <w:bCs/>
          <w:szCs w:val="24"/>
        </w:rPr>
        <w:t>8</w:t>
      </w:r>
      <w:r w:rsidRPr="00207430">
        <w:rPr>
          <w:rFonts w:ascii="Book Antiqua" w:hAnsi="Book Antiqua" w:cs="宋体"/>
          <w:szCs w:val="24"/>
        </w:rPr>
        <w:t>: 67-71 [PMID: 24707245 DOI: 10.1159/000360843]</w:t>
      </w:r>
    </w:p>
    <w:p w14:paraId="6139B353"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95 </w:t>
      </w:r>
      <w:r w:rsidRPr="00207430">
        <w:rPr>
          <w:rFonts w:ascii="Book Antiqua" w:hAnsi="Book Antiqua" w:cs="宋体"/>
          <w:b/>
          <w:bCs/>
          <w:szCs w:val="24"/>
        </w:rPr>
        <w:t>Ernst CW</w:t>
      </w:r>
      <w:r w:rsidRPr="00207430">
        <w:rPr>
          <w:rFonts w:ascii="Book Antiqua" w:hAnsi="Book Antiqua" w:cs="宋体"/>
          <w:szCs w:val="24"/>
        </w:rPr>
        <w:t xml:space="preserve">, Van Der Werff Ten Bosch J, Desprechins B, de Mey J, De Maeseneer M. Malignant transformation of an abdominal inflammatory myofibroblastic tumor with distant metastases in a child. </w:t>
      </w:r>
      <w:r w:rsidRPr="00207430">
        <w:rPr>
          <w:rFonts w:ascii="Book Antiqua" w:hAnsi="Book Antiqua" w:cs="宋体"/>
          <w:i/>
          <w:iCs/>
          <w:szCs w:val="24"/>
        </w:rPr>
        <w:t>JBR-BTR</w:t>
      </w:r>
      <w:r w:rsidRPr="00207430">
        <w:rPr>
          <w:rFonts w:ascii="Book Antiqua" w:hAnsi="Book Antiqua" w:cs="宋体"/>
          <w:szCs w:val="24"/>
        </w:rPr>
        <w:t xml:space="preserve"> </w:t>
      </w:r>
      <w:r>
        <w:rPr>
          <w:rFonts w:ascii="Book Antiqua" w:hAnsi="Book Antiqua" w:cs="宋体" w:hint="eastAsia"/>
          <w:szCs w:val="24"/>
        </w:rPr>
        <w:t>2011</w:t>
      </w:r>
      <w:r w:rsidRPr="00207430">
        <w:rPr>
          <w:rFonts w:ascii="Book Antiqua" w:hAnsi="Book Antiqua" w:cs="宋体"/>
          <w:szCs w:val="24"/>
        </w:rPr>
        <w:t xml:space="preserve">; </w:t>
      </w:r>
      <w:r w:rsidRPr="00207430">
        <w:rPr>
          <w:rFonts w:ascii="Book Antiqua" w:hAnsi="Book Antiqua" w:cs="宋体"/>
          <w:b/>
          <w:bCs/>
          <w:szCs w:val="24"/>
        </w:rPr>
        <w:t>94</w:t>
      </w:r>
      <w:r w:rsidRPr="00207430">
        <w:rPr>
          <w:rFonts w:ascii="Book Antiqua" w:hAnsi="Book Antiqua" w:cs="宋体"/>
          <w:szCs w:val="24"/>
        </w:rPr>
        <w:t>: 78-80 [PMID: 21699040 DOI: 10.5334/jbr-btr.500]</w:t>
      </w:r>
    </w:p>
    <w:p w14:paraId="7DA15EB3"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96 </w:t>
      </w:r>
      <w:r w:rsidRPr="00207430">
        <w:rPr>
          <w:rFonts w:ascii="Book Antiqua" w:hAnsi="Book Antiqua" w:cs="宋体"/>
          <w:b/>
          <w:bCs/>
          <w:szCs w:val="24"/>
        </w:rPr>
        <w:t>Ak G</w:t>
      </w:r>
      <w:r w:rsidRPr="00207430">
        <w:rPr>
          <w:rFonts w:ascii="Book Antiqua" w:hAnsi="Book Antiqua" w:cs="宋体"/>
          <w:szCs w:val="24"/>
        </w:rPr>
        <w:t xml:space="preserve">, Jaaback K, Yin H, Maley P, Scurry J. Malignant inflammatory myofibroblastic tumour of the uterus. </w:t>
      </w:r>
      <w:r w:rsidRPr="00207430">
        <w:rPr>
          <w:rFonts w:ascii="Book Antiqua" w:hAnsi="Book Antiqua" w:cs="宋体"/>
          <w:i/>
          <w:iCs/>
          <w:szCs w:val="24"/>
        </w:rPr>
        <w:t>Pathology</w:t>
      </w:r>
      <w:r w:rsidRPr="00207430">
        <w:rPr>
          <w:rFonts w:ascii="Book Antiqua" w:hAnsi="Book Antiqua" w:cs="宋体"/>
          <w:szCs w:val="24"/>
        </w:rPr>
        <w:t xml:space="preserve"> 2015; </w:t>
      </w:r>
      <w:r w:rsidRPr="00207430">
        <w:rPr>
          <w:rFonts w:ascii="Book Antiqua" w:hAnsi="Book Antiqua" w:cs="宋体"/>
          <w:b/>
          <w:bCs/>
          <w:szCs w:val="24"/>
        </w:rPr>
        <w:t>47</w:t>
      </w:r>
      <w:r w:rsidRPr="00207430">
        <w:rPr>
          <w:rFonts w:ascii="Book Antiqua" w:hAnsi="Book Antiqua" w:cs="宋体"/>
          <w:szCs w:val="24"/>
        </w:rPr>
        <w:t>: 380-381 [PMID: 25938352 DOI: 10.1097/PAT.0000000000000260]</w:t>
      </w:r>
    </w:p>
    <w:p w14:paraId="32BAFA48"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97 </w:t>
      </w:r>
      <w:r w:rsidRPr="00207430">
        <w:rPr>
          <w:rFonts w:ascii="Book Antiqua" w:hAnsi="Book Antiqua" w:cs="宋体"/>
          <w:b/>
          <w:bCs/>
          <w:szCs w:val="24"/>
        </w:rPr>
        <w:t>Lawrence B</w:t>
      </w:r>
      <w:r w:rsidRPr="00207430">
        <w:rPr>
          <w:rFonts w:ascii="Book Antiqua" w:hAnsi="Book Antiqua" w:cs="宋体"/>
          <w:szCs w:val="24"/>
        </w:rPr>
        <w:t xml:space="preserve">, Perez-Atayde A, Hibbard MK, Rubin BP, Dal Cin P, Pinkus JL, Pinkus GS, Xiao S, Yi ES, Fletcher CD, Fletcher JA. TPM3-ALK and TPM4-ALK </w:t>
      </w:r>
      <w:r w:rsidRPr="00207430">
        <w:rPr>
          <w:rFonts w:ascii="Book Antiqua" w:hAnsi="Book Antiqua" w:cs="宋体"/>
          <w:szCs w:val="24"/>
        </w:rPr>
        <w:lastRenderedPageBreak/>
        <w:t xml:space="preserve">oncogenes in inflammatory myofibroblastic tumors. </w:t>
      </w:r>
      <w:r w:rsidRPr="00207430">
        <w:rPr>
          <w:rFonts w:ascii="Book Antiqua" w:hAnsi="Book Antiqua" w:cs="宋体"/>
          <w:i/>
          <w:iCs/>
          <w:szCs w:val="24"/>
        </w:rPr>
        <w:t>Am J Pathol</w:t>
      </w:r>
      <w:r w:rsidRPr="00207430">
        <w:rPr>
          <w:rFonts w:ascii="Book Antiqua" w:hAnsi="Book Antiqua" w:cs="宋体"/>
          <w:szCs w:val="24"/>
        </w:rPr>
        <w:t xml:space="preserve"> 2000; </w:t>
      </w:r>
      <w:r w:rsidRPr="00207430">
        <w:rPr>
          <w:rFonts w:ascii="Book Antiqua" w:hAnsi="Book Antiqua" w:cs="宋体"/>
          <w:b/>
          <w:bCs/>
          <w:szCs w:val="24"/>
        </w:rPr>
        <w:t>157</w:t>
      </w:r>
      <w:r w:rsidRPr="00207430">
        <w:rPr>
          <w:rFonts w:ascii="Book Antiqua" w:hAnsi="Book Antiqua" w:cs="宋体"/>
          <w:szCs w:val="24"/>
        </w:rPr>
        <w:t>: 377-384 [PMID: 10934142 DOI: 10.1016/S0002-9440(10)64550-6]</w:t>
      </w:r>
    </w:p>
    <w:p w14:paraId="4A205C5F"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98 </w:t>
      </w:r>
      <w:r w:rsidRPr="00207430">
        <w:rPr>
          <w:rFonts w:ascii="Book Antiqua" w:hAnsi="Book Antiqua" w:cs="宋体"/>
          <w:b/>
          <w:bCs/>
          <w:szCs w:val="24"/>
        </w:rPr>
        <w:t>Bridge JA</w:t>
      </w:r>
      <w:r w:rsidRPr="00207430">
        <w:rPr>
          <w:rFonts w:ascii="Book Antiqua" w:hAnsi="Book Antiqua" w:cs="宋体"/>
          <w:szCs w:val="24"/>
        </w:rPr>
        <w:t xml:space="preserve">, Kanamori M, Ma Z, Pickering D, Hill DA, Lydiatt W, Lui MY, Colleoni GW, Antonescu CR, Ladanyi M, Morris SW. Fusion of the ALK gene to the clathrin heavy chain gene, CLTC, in inflammatory myofibroblastic tumor. </w:t>
      </w:r>
      <w:r w:rsidRPr="00207430">
        <w:rPr>
          <w:rFonts w:ascii="Book Antiqua" w:hAnsi="Book Antiqua" w:cs="宋体"/>
          <w:i/>
          <w:iCs/>
          <w:szCs w:val="24"/>
        </w:rPr>
        <w:t>Am J Pathol</w:t>
      </w:r>
      <w:r w:rsidRPr="00207430">
        <w:rPr>
          <w:rFonts w:ascii="Book Antiqua" w:hAnsi="Book Antiqua" w:cs="宋体"/>
          <w:szCs w:val="24"/>
        </w:rPr>
        <w:t xml:space="preserve"> 2001; </w:t>
      </w:r>
      <w:r w:rsidRPr="00207430">
        <w:rPr>
          <w:rFonts w:ascii="Book Antiqua" w:hAnsi="Book Antiqua" w:cs="宋体"/>
          <w:b/>
          <w:bCs/>
          <w:szCs w:val="24"/>
        </w:rPr>
        <w:t>159</w:t>
      </w:r>
      <w:r w:rsidRPr="00207430">
        <w:rPr>
          <w:rFonts w:ascii="Book Antiqua" w:hAnsi="Book Antiqua" w:cs="宋体"/>
          <w:szCs w:val="24"/>
        </w:rPr>
        <w:t>: 411-415 [PMID: 11485898 DOI: 10.1016/S0002-9440(10)61711-7]</w:t>
      </w:r>
    </w:p>
    <w:p w14:paraId="56847589"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99 </w:t>
      </w:r>
      <w:r w:rsidRPr="00207430">
        <w:rPr>
          <w:rFonts w:ascii="Book Antiqua" w:hAnsi="Book Antiqua" w:cs="宋体"/>
          <w:b/>
          <w:bCs/>
          <w:szCs w:val="24"/>
        </w:rPr>
        <w:t>Cools J</w:t>
      </w:r>
      <w:r w:rsidRPr="00207430">
        <w:rPr>
          <w:rFonts w:ascii="Book Antiqua" w:hAnsi="Book Antiqua" w:cs="宋体"/>
          <w:szCs w:val="24"/>
        </w:rPr>
        <w:t xml:space="preserve">, Wlodarska I, Somers R, Mentens N, Pedeutour F, Maes B, De Wolf-Peeters C, Pauwels P, Hagemeijer A, Marynen P. Identification of novel fusion partners of ALK, the anaplastic lymphoma kinase, in anaplastic large-cell lymphoma and inflammatory myofibroblastic tumor. </w:t>
      </w:r>
      <w:r w:rsidRPr="00207430">
        <w:rPr>
          <w:rFonts w:ascii="Book Antiqua" w:hAnsi="Book Antiqua" w:cs="宋体"/>
          <w:i/>
          <w:iCs/>
          <w:szCs w:val="24"/>
        </w:rPr>
        <w:t>Genes Chromosomes Cancer</w:t>
      </w:r>
      <w:r w:rsidRPr="00207430">
        <w:rPr>
          <w:rFonts w:ascii="Book Antiqua" w:hAnsi="Book Antiqua" w:cs="宋体"/>
          <w:szCs w:val="24"/>
        </w:rPr>
        <w:t xml:space="preserve"> 2002; </w:t>
      </w:r>
      <w:r w:rsidRPr="00207430">
        <w:rPr>
          <w:rFonts w:ascii="Book Antiqua" w:hAnsi="Book Antiqua" w:cs="宋体"/>
          <w:b/>
          <w:bCs/>
          <w:szCs w:val="24"/>
        </w:rPr>
        <w:t>34</w:t>
      </w:r>
      <w:r w:rsidRPr="00207430">
        <w:rPr>
          <w:rFonts w:ascii="Book Antiqua" w:hAnsi="Book Antiqua" w:cs="宋体"/>
          <w:szCs w:val="24"/>
        </w:rPr>
        <w:t>: 354-362 [PMID: 12112524 DOI: 10.1002/gcc.10033]</w:t>
      </w:r>
    </w:p>
    <w:p w14:paraId="329DFE7C"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100 </w:t>
      </w:r>
      <w:r w:rsidRPr="00207430">
        <w:rPr>
          <w:rFonts w:ascii="Book Antiqua" w:hAnsi="Book Antiqua" w:cs="宋体"/>
          <w:b/>
          <w:bCs/>
          <w:szCs w:val="24"/>
        </w:rPr>
        <w:t>Debiec-Rychter M</w:t>
      </w:r>
      <w:r w:rsidRPr="00207430">
        <w:rPr>
          <w:rFonts w:ascii="Book Antiqua" w:hAnsi="Book Antiqua" w:cs="宋体"/>
          <w:szCs w:val="24"/>
        </w:rPr>
        <w:t xml:space="preserve">, Marynen P, Hagemeijer A, Pauwels P. ALK-ATIC fusion in urinary bladder inflammatory myofibroblastic tumor. </w:t>
      </w:r>
      <w:r w:rsidRPr="00207430">
        <w:rPr>
          <w:rFonts w:ascii="Book Antiqua" w:hAnsi="Book Antiqua" w:cs="宋体"/>
          <w:i/>
          <w:iCs/>
          <w:szCs w:val="24"/>
        </w:rPr>
        <w:t>Genes Chromosomes Cancer</w:t>
      </w:r>
      <w:r w:rsidRPr="00207430">
        <w:rPr>
          <w:rFonts w:ascii="Book Antiqua" w:hAnsi="Book Antiqua" w:cs="宋体"/>
          <w:szCs w:val="24"/>
        </w:rPr>
        <w:t xml:space="preserve"> 2003; </w:t>
      </w:r>
      <w:r w:rsidRPr="00207430">
        <w:rPr>
          <w:rFonts w:ascii="Book Antiqua" w:hAnsi="Book Antiqua" w:cs="宋体"/>
          <w:b/>
          <w:bCs/>
          <w:szCs w:val="24"/>
        </w:rPr>
        <w:t>38</w:t>
      </w:r>
      <w:r w:rsidRPr="00207430">
        <w:rPr>
          <w:rFonts w:ascii="Book Antiqua" w:hAnsi="Book Antiqua" w:cs="宋体"/>
          <w:szCs w:val="24"/>
        </w:rPr>
        <w:t>: 187-190 [PMID: 12939746 DOI: 10.1002/gcc.10267]</w:t>
      </w:r>
    </w:p>
    <w:p w14:paraId="72389C3B"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101 </w:t>
      </w:r>
      <w:r w:rsidRPr="00207430">
        <w:rPr>
          <w:rFonts w:ascii="Book Antiqua" w:hAnsi="Book Antiqua" w:cs="宋体"/>
          <w:b/>
          <w:bCs/>
          <w:szCs w:val="24"/>
        </w:rPr>
        <w:t>Ma Z</w:t>
      </w:r>
      <w:r w:rsidRPr="00207430">
        <w:rPr>
          <w:rFonts w:ascii="Book Antiqua" w:hAnsi="Book Antiqua" w:cs="宋体"/>
          <w:szCs w:val="24"/>
        </w:rPr>
        <w:t xml:space="preserve">, Hill DA, Collins MH, Morris SW, Sumegi J, Zhou M, Zuppan C, Bridge JA. Fusion of ALK to the Ran-binding protein 2 (RANBP2) gene in inflammatory myofibroblastic tumor. </w:t>
      </w:r>
      <w:r w:rsidRPr="00207430">
        <w:rPr>
          <w:rFonts w:ascii="Book Antiqua" w:hAnsi="Book Antiqua" w:cs="宋体"/>
          <w:i/>
          <w:iCs/>
          <w:szCs w:val="24"/>
        </w:rPr>
        <w:t>Genes Chromosomes Cancer</w:t>
      </w:r>
      <w:r w:rsidRPr="00207430">
        <w:rPr>
          <w:rFonts w:ascii="Book Antiqua" w:hAnsi="Book Antiqua" w:cs="宋体"/>
          <w:szCs w:val="24"/>
        </w:rPr>
        <w:t xml:space="preserve"> 2003; </w:t>
      </w:r>
      <w:r w:rsidRPr="00207430">
        <w:rPr>
          <w:rFonts w:ascii="Book Antiqua" w:hAnsi="Book Antiqua" w:cs="宋体"/>
          <w:b/>
          <w:bCs/>
          <w:szCs w:val="24"/>
        </w:rPr>
        <w:t>37</w:t>
      </w:r>
      <w:r w:rsidRPr="00207430">
        <w:rPr>
          <w:rFonts w:ascii="Book Antiqua" w:hAnsi="Book Antiqua" w:cs="宋体"/>
          <w:szCs w:val="24"/>
        </w:rPr>
        <w:t>: 98-105 [PMID: 12661011 DOI: 10.1002/gcc.10177]</w:t>
      </w:r>
    </w:p>
    <w:p w14:paraId="00CE84B0"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102 </w:t>
      </w:r>
      <w:r w:rsidRPr="00207430">
        <w:rPr>
          <w:rFonts w:ascii="Book Antiqua" w:hAnsi="Book Antiqua" w:cs="宋体"/>
          <w:b/>
          <w:bCs/>
          <w:szCs w:val="24"/>
        </w:rPr>
        <w:t>Panagopoulos I</w:t>
      </w:r>
      <w:r w:rsidRPr="00207430">
        <w:rPr>
          <w:rFonts w:ascii="Book Antiqua" w:hAnsi="Book Antiqua" w:cs="宋体"/>
          <w:szCs w:val="24"/>
        </w:rPr>
        <w:t xml:space="preserve">, Nilsson T, Domanski HA, Isaksson M, Lindblom P, Mertens F, Mandahl N. Fusion of the SEC31L1 and ALK genes in an inflammatory myofibroblastic tumor. </w:t>
      </w:r>
      <w:r w:rsidRPr="00207430">
        <w:rPr>
          <w:rFonts w:ascii="Book Antiqua" w:hAnsi="Book Antiqua" w:cs="宋体"/>
          <w:i/>
          <w:iCs/>
          <w:szCs w:val="24"/>
        </w:rPr>
        <w:t>Int J Cancer</w:t>
      </w:r>
      <w:r w:rsidRPr="00207430">
        <w:rPr>
          <w:rFonts w:ascii="Book Antiqua" w:hAnsi="Book Antiqua" w:cs="宋体"/>
          <w:szCs w:val="24"/>
        </w:rPr>
        <w:t xml:space="preserve"> 2006; </w:t>
      </w:r>
      <w:r w:rsidRPr="00207430">
        <w:rPr>
          <w:rFonts w:ascii="Book Antiqua" w:hAnsi="Book Antiqua" w:cs="宋体"/>
          <w:b/>
          <w:bCs/>
          <w:szCs w:val="24"/>
        </w:rPr>
        <w:t>118</w:t>
      </w:r>
      <w:r w:rsidRPr="00207430">
        <w:rPr>
          <w:rFonts w:ascii="Book Antiqua" w:hAnsi="Book Antiqua" w:cs="宋体"/>
          <w:szCs w:val="24"/>
        </w:rPr>
        <w:t>: 1181-1186 [PMID: 16161041 DOI: 10.1002/ijc.21490]</w:t>
      </w:r>
    </w:p>
    <w:p w14:paraId="0DC51428"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103 </w:t>
      </w:r>
      <w:r w:rsidRPr="00207430">
        <w:rPr>
          <w:rFonts w:ascii="Book Antiqua" w:hAnsi="Book Antiqua" w:cs="宋体"/>
          <w:b/>
          <w:bCs/>
          <w:szCs w:val="24"/>
        </w:rPr>
        <w:t>Takeuchi K</w:t>
      </w:r>
      <w:r w:rsidRPr="00207430">
        <w:rPr>
          <w:rFonts w:ascii="Book Antiqua" w:hAnsi="Book Antiqua" w:cs="宋体"/>
          <w:szCs w:val="24"/>
        </w:rPr>
        <w:t xml:space="preserve">, Soda M, Togashi Y, Sugawara E, Hatano S, Asaka R, Okumura S, Nakagawa K, Mano H, Ishikawa Y. Pulmonary inflammatory myofibroblastic tumor expressing a novel fusion, PPFIBP1-ALK: reappraisal of anti-ALK immunohistochemistry as a tool for novel ALK fusion identification. </w:t>
      </w:r>
      <w:r w:rsidRPr="00207430">
        <w:rPr>
          <w:rFonts w:ascii="Book Antiqua" w:hAnsi="Book Antiqua" w:cs="宋体"/>
          <w:i/>
          <w:iCs/>
          <w:szCs w:val="24"/>
        </w:rPr>
        <w:t>Clin Cancer Res</w:t>
      </w:r>
      <w:r w:rsidRPr="00207430">
        <w:rPr>
          <w:rFonts w:ascii="Book Antiqua" w:hAnsi="Book Antiqua" w:cs="宋体"/>
          <w:szCs w:val="24"/>
        </w:rPr>
        <w:t xml:space="preserve"> 2011; </w:t>
      </w:r>
      <w:r w:rsidRPr="00207430">
        <w:rPr>
          <w:rFonts w:ascii="Book Antiqua" w:hAnsi="Book Antiqua" w:cs="宋体"/>
          <w:b/>
          <w:bCs/>
          <w:szCs w:val="24"/>
        </w:rPr>
        <w:t>17</w:t>
      </w:r>
      <w:r w:rsidRPr="00207430">
        <w:rPr>
          <w:rFonts w:ascii="Book Antiqua" w:hAnsi="Book Antiqua" w:cs="宋体"/>
          <w:szCs w:val="24"/>
        </w:rPr>
        <w:t>: 3341-3348 [PMID: 21430068 DOI: 10.1158/1078-0432.CCR-11-0063]</w:t>
      </w:r>
    </w:p>
    <w:p w14:paraId="5CA2E932" w14:textId="77777777" w:rsidR="00A825DA" w:rsidRPr="00207430" w:rsidRDefault="00A825DA" w:rsidP="00BA05FB">
      <w:pPr>
        <w:spacing w:line="360" w:lineRule="auto"/>
        <w:jc w:val="both"/>
        <w:rPr>
          <w:rFonts w:ascii="Book Antiqua" w:hAnsi="Book Antiqua" w:cs="宋体"/>
          <w:szCs w:val="24"/>
        </w:rPr>
      </w:pPr>
      <w:r w:rsidRPr="00207430">
        <w:rPr>
          <w:rFonts w:ascii="Book Antiqua" w:hAnsi="Book Antiqua" w:cs="宋体"/>
          <w:szCs w:val="24"/>
        </w:rPr>
        <w:t xml:space="preserve">104 </w:t>
      </w:r>
      <w:r w:rsidRPr="00207430">
        <w:rPr>
          <w:rFonts w:ascii="Book Antiqua" w:hAnsi="Book Antiqua" w:cs="宋体"/>
          <w:b/>
          <w:bCs/>
          <w:szCs w:val="24"/>
        </w:rPr>
        <w:t>Karnak I</w:t>
      </w:r>
      <w:r w:rsidRPr="00207430">
        <w:rPr>
          <w:rFonts w:ascii="Book Antiqua" w:hAnsi="Book Antiqua" w:cs="宋体"/>
          <w:szCs w:val="24"/>
        </w:rPr>
        <w:t>, Senocak ME, Ciftci AO, Ca</w:t>
      </w:r>
      <w:r w:rsidRPr="00207430">
        <w:rPr>
          <w:rFonts w:ascii="Book Antiqua" w:eastAsia="MS Mincho" w:hAnsi="Book Antiqua" w:cs="MS Mincho"/>
          <w:szCs w:val="24"/>
        </w:rPr>
        <w:t>ğ</w:t>
      </w:r>
      <w:r w:rsidRPr="00207430">
        <w:rPr>
          <w:rFonts w:ascii="Book Antiqua" w:hAnsi="Book Antiqua" w:cs="宋体"/>
          <w:szCs w:val="24"/>
        </w:rPr>
        <w:t>lar M, Bingöl-Kolo</w:t>
      </w:r>
      <w:r w:rsidRPr="00207430">
        <w:rPr>
          <w:rFonts w:ascii="Book Antiqua" w:eastAsia="MS Mincho" w:hAnsi="Book Antiqua" w:cs="MS Mincho"/>
          <w:szCs w:val="24"/>
        </w:rPr>
        <w:t>ğ</w:t>
      </w:r>
      <w:r w:rsidRPr="00207430">
        <w:rPr>
          <w:rFonts w:ascii="Book Antiqua" w:hAnsi="Book Antiqua" w:cs="宋体"/>
          <w:szCs w:val="24"/>
        </w:rPr>
        <w:t xml:space="preserve">lu M, Tanyel FC, Büyükpamukçu N. Inflammatory myofibroblastic tumor in children: diagnosis and treatment. </w:t>
      </w:r>
      <w:r w:rsidRPr="00207430">
        <w:rPr>
          <w:rFonts w:ascii="Book Antiqua" w:hAnsi="Book Antiqua" w:cs="宋体"/>
          <w:i/>
          <w:iCs/>
          <w:szCs w:val="24"/>
        </w:rPr>
        <w:t>J Pediatr Surg</w:t>
      </w:r>
      <w:r w:rsidRPr="00207430">
        <w:rPr>
          <w:rFonts w:ascii="Book Antiqua" w:hAnsi="Book Antiqua" w:cs="宋体"/>
          <w:szCs w:val="24"/>
        </w:rPr>
        <w:t xml:space="preserve"> 2001; </w:t>
      </w:r>
      <w:r w:rsidRPr="00207430">
        <w:rPr>
          <w:rFonts w:ascii="Book Antiqua" w:hAnsi="Book Antiqua" w:cs="宋体"/>
          <w:b/>
          <w:bCs/>
          <w:szCs w:val="24"/>
        </w:rPr>
        <w:t>36</w:t>
      </w:r>
      <w:r w:rsidRPr="00207430">
        <w:rPr>
          <w:rFonts w:ascii="Book Antiqua" w:hAnsi="Book Antiqua" w:cs="宋体"/>
          <w:szCs w:val="24"/>
        </w:rPr>
        <w:t>: 908-912 [PMID: 11381424 DOI: 10.1053/jpsu.2001.23970]</w:t>
      </w:r>
    </w:p>
    <w:p w14:paraId="752AB3C6" w14:textId="46C20AC9" w:rsidR="00BA05FB" w:rsidRPr="006B3D6C" w:rsidRDefault="00BA05FB" w:rsidP="00BA05FB">
      <w:pPr>
        <w:adjustRightInd w:val="0"/>
        <w:snapToGrid w:val="0"/>
        <w:spacing w:line="360" w:lineRule="auto"/>
        <w:ind w:right="239"/>
        <w:jc w:val="right"/>
        <w:rPr>
          <w:rFonts w:ascii="Book Antiqua" w:hAnsi="Book Antiqua"/>
          <w:b/>
          <w:bCs/>
          <w:lang w:val="en-GB"/>
        </w:rPr>
      </w:pPr>
      <w:r w:rsidRPr="006B3D6C">
        <w:rPr>
          <w:rStyle w:val="Strong"/>
          <w:rFonts w:ascii="Book Antiqua" w:hAnsi="Book Antiqua" w:cs="Arial"/>
          <w:noProof/>
          <w:lang w:val="en-GB"/>
        </w:rPr>
        <w:t>P-Reviewer:</w:t>
      </w:r>
      <w:r w:rsidRPr="006B3D6C">
        <w:rPr>
          <w:rFonts w:ascii="Book Antiqua" w:hAnsi="Book Antiqua" w:hint="eastAsia"/>
          <w:color w:val="000000"/>
          <w:lang w:val="en-GB"/>
        </w:rPr>
        <w:t xml:space="preserve"> </w:t>
      </w:r>
      <w:r>
        <w:rPr>
          <w:rFonts w:ascii="Book Antiqua" w:hAnsi="Book Antiqua"/>
          <w:color w:val="000000"/>
          <w:lang w:val="en-GB"/>
        </w:rPr>
        <w:t>Chen</w:t>
      </w:r>
      <w:r w:rsidRPr="00BA05FB">
        <w:rPr>
          <w:rFonts w:ascii="Book Antiqua" w:hAnsi="Book Antiqua"/>
          <w:color w:val="000000"/>
          <w:lang w:val="en-GB"/>
        </w:rPr>
        <w:t xml:space="preserve"> MK</w:t>
      </w:r>
      <w:r w:rsidRPr="006B3D6C">
        <w:rPr>
          <w:rFonts w:ascii="Book Antiqua" w:hAnsi="Book Antiqua" w:hint="eastAsia"/>
          <w:color w:val="000000"/>
          <w:lang w:val="en-GB"/>
        </w:rPr>
        <w:t xml:space="preserve">, </w:t>
      </w:r>
      <w:r w:rsidRPr="00BA05FB">
        <w:rPr>
          <w:rFonts w:ascii="Book Antiqua" w:hAnsi="Book Antiqua"/>
          <w:color w:val="000000"/>
          <w:lang w:val="en-GB"/>
        </w:rPr>
        <w:t>Mostafa</w:t>
      </w:r>
      <w:r>
        <w:rPr>
          <w:rFonts w:ascii="Book Antiqua" w:hAnsi="Book Antiqua" w:hint="eastAsia"/>
          <w:color w:val="000000"/>
          <w:lang w:val="en-GB" w:eastAsia="zh-CN"/>
        </w:rPr>
        <w:t xml:space="preserve"> BE</w:t>
      </w:r>
      <w:r w:rsidRPr="006B3D6C">
        <w:rPr>
          <w:rFonts w:ascii="Book Antiqua" w:hAnsi="Book Antiqua" w:hint="eastAsia"/>
          <w:bCs/>
          <w:lang w:val="en-GB"/>
        </w:rPr>
        <w:t xml:space="preserve"> </w:t>
      </w:r>
      <w:r w:rsidRPr="006B3D6C">
        <w:rPr>
          <w:rFonts w:ascii="Book Antiqua" w:hAnsi="Book Antiqua"/>
          <w:b/>
          <w:bCs/>
          <w:lang w:val="en-GB"/>
        </w:rPr>
        <w:t>S-Editor:</w:t>
      </w:r>
      <w:r w:rsidRPr="006B3D6C">
        <w:rPr>
          <w:rFonts w:ascii="Book Antiqua" w:hAnsi="Book Antiqua"/>
          <w:bCs/>
          <w:lang w:val="en-GB"/>
        </w:rPr>
        <w:t xml:space="preserve"> Tian YL</w:t>
      </w:r>
    </w:p>
    <w:p w14:paraId="68C3D9BA" w14:textId="1D249EE8" w:rsidR="00A825DA" w:rsidRPr="00BA05FB" w:rsidRDefault="00BA05FB" w:rsidP="00BA05FB">
      <w:pPr>
        <w:adjustRightInd w:val="0"/>
        <w:snapToGrid w:val="0"/>
        <w:spacing w:line="360" w:lineRule="auto"/>
        <w:ind w:right="239"/>
        <w:jc w:val="right"/>
        <w:rPr>
          <w:rFonts w:ascii="Book Antiqua" w:hAnsi="Book Antiqua"/>
          <w:bCs/>
          <w:lang w:eastAsia="zh-CN"/>
        </w:rPr>
      </w:pPr>
      <w:r w:rsidRPr="008D7BB3">
        <w:rPr>
          <w:rFonts w:ascii="Book Antiqua" w:hAnsi="Book Antiqua"/>
          <w:b/>
          <w:bCs/>
        </w:rPr>
        <w:lastRenderedPageBreak/>
        <w:t>L-Editor:   E-Editor:</w:t>
      </w:r>
    </w:p>
    <w:p w14:paraId="08CBACCF" w14:textId="77777777" w:rsidR="007C7139" w:rsidRPr="00D43349" w:rsidRDefault="007C7139" w:rsidP="00BA05FB">
      <w:pPr>
        <w:spacing w:line="360" w:lineRule="auto"/>
        <w:jc w:val="right"/>
        <w:rPr>
          <w:rFonts w:ascii="Book Antiqua" w:hAnsi="Book Antiqua"/>
          <w:b/>
          <w:szCs w:val="24"/>
        </w:rPr>
      </w:pPr>
      <w:r w:rsidRPr="00D43349">
        <w:rPr>
          <w:rFonts w:ascii="Book Antiqua" w:hAnsi="Book Antiqua"/>
          <w:b/>
          <w:szCs w:val="24"/>
        </w:rPr>
        <w:br w:type="page"/>
      </w:r>
    </w:p>
    <w:p w14:paraId="353FCD00" w14:textId="00B976A5" w:rsidR="00254E6D" w:rsidRPr="00D43349" w:rsidRDefault="00254E6D" w:rsidP="00BA05FB">
      <w:pPr>
        <w:spacing w:line="360" w:lineRule="auto"/>
        <w:jc w:val="both"/>
        <w:rPr>
          <w:rStyle w:val="CaptionLabel"/>
          <w:rFonts w:ascii="Book Antiqua" w:hAnsi="Book Antiqua"/>
          <w:color w:val="auto"/>
          <w:szCs w:val="24"/>
          <w:lang w:eastAsia="zh-CN"/>
        </w:rPr>
      </w:pPr>
      <w:r w:rsidRPr="00D43349">
        <w:rPr>
          <w:rFonts w:ascii="Book Antiqua" w:hAnsi="Book Antiqua"/>
          <w:noProof/>
          <w:szCs w:val="24"/>
          <w:lang w:val="en-US"/>
        </w:rPr>
        <w:lastRenderedPageBreak/>
        <w:drawing>
          <wp:inline distT="0" distB="0" distL="0" distR="0" wp14:anchorId="66094B91" wp14:editId="4CC8B94F">
            <wp:extent cx="5731510" cy="504888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S Figure-1.tif"/>
                    <pic:cNvPicPr/>
                  </pic:nvPicPr>
                  <pic:blipFill>
                    <a:blip r:embed="rId10">
                      <a:extLst>
                        <a:ext uri="{28A0092B-C50C-407E-A947-70E740481C1C}">
                          <a14:useLocalDpi xmlns:a14="http://schemas.microsoft.com/office/drawing/2010/main" val="0"/>
                        </a:ext>
                      </a:extLst>
                    </a:blip>
                    <a:stretch>
                      <a:fillRect/>
                    </a:stretch>
                  </pic:blipFill>
                  <pic:spPr>
                    <a:xfrm>
                      <a:off x="0" y="0"/>
                      <a:ext cx="5731510" cy="5048885"/>
                    </a:xfrm>
                    <a:prstGeom prst="rect">
                      <a:avLst/>
                    </a:prstGeom>
                  </pic:spPr>
                </pic:pic>
              </a:graphicData>
            </a:graphic>
          </wp:inline>
        </w:drawing>
      </w:r>
    </w:p>
    <w:p w14:paraId="67C9EEC1" w14:textId="1802BAE6" w:rsidR="00930223" w:rsidRPr="00D43349" w:rsidRDefault="004004EA" w:rsidP="00BA05FB">
      <w:pPr>
        <w:spacing w:line="360" w:lineRule="auto"/>
        <w:jc w:val="both"/>
        <w:rPr>
          <w:rFonts w:ascii="Book Antiqua" w:hAnsi="Book Antiqua"/>
          <w:szCs w:val="24"/>
        </w:rPr>
      </w:pPr>
      <w:r w:rsidRPr="00D43349">
        <w:rPr>
          <w:rStyle w:val="CaptionLabel"/>
          <w:rFonts w:ascii="Book Antiqua" w:hAnsi="Book Antiqua"/>
          <w:b/>
          <w:color w:val="auto"/>
          <w:szCs w:val="24"/>
        </w:rPr>
        <w:t>Figure 1</w:t>
      </w:r>
      <w:r w:rsidR="00254E6D" w:rsidRPr="00D43349">
        <w:rPr>
          <w:rStyle w:val="CaptionLabel"/>
          <w:rFonts w:ascii="Book Antiqua" w:hAnsi="Book Antiqua"/>
          <w:b/>
          <w:color w:val="auto"/>
          <w:szCs w:val="24"/>
          <w:lang w:eastAsia="zh-CN"/>
        </w:rPr>
        <w:t xml:space="preserve"> </w:t>
      </w:r>
      <w:r w:rsidRPr="00D43349">
        <w:rPr>
          <w:rFonts w:ascii="Book Antiqua" w:hAnsi="Book Antiqua"/>
          <w:b/>
          <w:szCs w:val="24"/>
        </w:rPr>
        <w:t>Radiographic images of common rhabdomyosarcoma</w:t>
      </w:r>
      <w:r w:rsidR="00254E6D" w:rsidRPr="00D43349">
        <w:rPr>
          <w:rFonts w:ascii="Book Antiqua" w:hAnsi="Book Antiqua"/>
          <w:b/>
          <w:szCs w:val="24"/>
          <w:lang w:eastAsia="zh-CN"/>
        </w:rPr>
        <w:t>.</w:t>
      </w:r>
      <w:r w:rsidRPr="00D43349">
        <w:rPr>
          <w:rFonts w:ascii="Book Antiqua" w:hAnsi="Book Antiqua"/>
          <w:szCs w:val="24"/>
        </w:rPr>
        <w:t xml:space="preserve"> A: </w:t>
      </w:r>
      <w:r w:rsidR="00D43349" w:rsidRPr="00D43349">
        <w:rPr>
          <w:rFonts w:ascii="Book Antiqua" w:hAnsi="Book Antiqua"/>
          <w:szCs w:val="24"/>
        </w:rPr>
        <w:t>Extremity</w:t>
      </w:r>
      <w:r w:rsidR="00D43349" w:rsidRPr="00D43349">
        <w:rPr>
          <w:rFonts w:ascii="Book Antiqua" w:hAnsi="Book Antiqua"/>
          <w:szCs w:val="24"/>
          <w:lang w:eastAsia="zh-CN"/>
        </w:rPr>
        <w:t>;</w:t>
      </w:r>
      <w:r w:rsidRPr="00D43349">
        <w:rPr>
          <w:rFonts w:ascii="Book Antiqua" w:hAnsi="Book Antiqua"/>
          <w:szCs w:val="24"/>
        </w:rPr>
        <w:t xml:space="preserve"> B: </w:t>
      </w:r>
      <w:r w:rsidR="00D43349" w:rsidRPr="00D43349">
        <w:rPr>
          <w:rFonts w:ascii="Book Antiqua" w:hAnsi="Book Antiqua"/>
          <w:szCs w:val="24"/>
        </w:rPr>
        <w:t xml:space="preserve">Head </w:t>
      </w:r>
      <w:r w:rsidRPr="00D43349">
        <w:rPr>
          <w:rFonts w:ascii="Book Antiqua" w:hAnsi="Book Antiqua"/>
          <w:szCs w:val="24"/>
        </w:rPr>
        <w:t>and neck</w:t>
      </w:r>
      <w:r w:rsidR="00D43349" w:rsidRPr="00D43349">
        <w:rPr>
          <w:rFonts w:ascii="Book Antiqua" w:hAnsi="Book Antiqua"/>
          <w:szCs w:val="24"/>
          <w:lang w:eastAsia="zh-CN"/>
        </w:rPr>
        <w:t>;</w:t>
      </w:r>
      <w:r w:rsidRPr="00D43349">
        <w:rPr>
          <w:rFonts w:ascii="Book Antiqua" w:hAnsi="Book Antiqua"/>
          <w:szCs w:val="24"/>
        </w:rPr>
        <w:t xml:space="preserve"> C</w:t>
      </w:r>
      <w:r w:rsidR="00D43349" w:rsidRPr="00D43349">
        <w:rPr>
          <w:rFonts w:ascii="Book Antiqua" w:hAnsi="Book Antiqua"/>
          <w:szCs w:val="24"/>
        </w:rPr>
        <w:t xml:space="preserve">: Genitourinary </w:t>
      </w:r>
      <w:r w:rsidRPr="00D43349">
        <w:rPr>
          <w:rFonts w:ascii="Book Antiqua" w:hAnsi="Book Antiqua"/>
          <w:szCs w:val="24"/>
        </w:rPr>
        <w:t>(paratesticular)</w:t>
      </w:r>
      <w:r w:rsidR="00D43349" w:rsidRPr="00D43349">
        <w:rPr>
          <w:rFonts w:ascii="Book Antiqua" w:hAnsi="Book Antiqua"/>
          <w:szCs w:val="24"/>
          <w:lang w:eastAsia="zh-CN"/>
        </w:rPr>
        <w:t>;</w:t>
      </w:r>
      <w:r w:rsidRPr="00D43349">
        <w:rPr>
          <w:rFonts w:ascii="Book Antiqua" w:hAnsi="Book Antiqua"/>
          <w:szCs w:val="24"/>
        </w:rPr>
        <w:t xml:space="preserve"> D: </w:t>
      </w:r>
      <w:r w:rsidR="00D43349" w:rsidRPr="00D43349">
        <w:rPr>
          <w:rFonts w:ascii="Book Antiqua" w:hAnsi="Book Antiqua"/>
          <w:szCs w:val="24"/>
        </w:rPr>
        <w:t xml:space="preserve">Axial </w:t>
      </w:r>
      <w:r w:rsidRPr="00D43349">
        <w:rPr>
          <w:rFonts w:ascii="Book Antiqua" w:hAnsi="Book Antiqua"/>
          <w:szCs w:val="24"/>
        </w:rPr>
        <w:t>(intraabdominal).</w:t>
      </w:r>
      <w:r w:rsidRPr="00D43349">
        <w:rPr>
          <w:rFonts w:ascii="Book Antiqua" w:hAnsi="Book Antiqua"/>
          <w:szCs w:val="24"/>
        </w:rPr>
        <w:cr/>
      </w:r>
    </w:p>
    <w:p w14:paraId="20E0185F" w14:textId="77777777" w:rsidR="00D43349" w:rsidRPr="00D43349" w:rsidRDefault="00D43349" w:rsidP="00BA05FB">
      <w:pPr>
        <w:spacing w:line="360" w:lineRule="auto"/>
        <w:jc w:val="both"/>
        <w:rPr>
          <w:rStyle w:val="CaptionLabel"/>
          <w:rFonts w:ascii="Book Antiqua" w:hAnsi="Book Antiqua"/>
          <w:color w:val="auto"/>
          <w:szCs w:val="24"/>
        </w:rPr>
      </w:pPr>
      <w:r w:rsidRPr="00D43349">
        <w:rPr>
          <w:rStyle w:val="CaptionLabel"/>
          <w:rFonts w:ascii="Book Antiqua" w:hAnsi="Book Antiqua"/>
          <w:color w:val="auto"/>
          <w:szCs w:val="24"/>
        </w:rPr>
        <w:br w:type="page"/>
      </w:r>
    </w:p>
    <w:p w14:paraId="5013B639" w14:textId="05F7B212" w:rsidR="00D43349" w:rsidRPr="00D43349" w:rsidRDefault="00D43349" w:rsidP="00BA05FB">
      <w:pPr>
        <w:spacing w:line="360" w:lineRule="auto"/>
        <w:jc w:val="both"/>
        <w:rPr>
          <w:rStyle w:val="CaptionLabel"/>
          <w:rFonts w:ascii="Book Antiqua" w:hAnsi="Book Antiqua"/>
          <w:color w:val="auto"/>
          <w:szCs w:val="24"/>
          <w:lang w:eastAsia="zh-CN"/>
        </w:rPr>
      </w:pPr>
      <w:r w:rsidRPr="00D43349">
        <w:rPr>
          <w:rFonts w:ascii="Book Antiqua" w:hAnsi="Book Antiqua"/>
          <w:noProof/>
          <w:szCs w:val="24"/>
          <w:lang w:val="en-US"/>
        </w:rPr>
        <w:lastRenderedPageBreak/>
        <w:drawing>
          <wp:inline distT="0" distB="0" distL="0" distR="0" wp14:anchorId="0A77175D" wp14:editId="35865F8D">
            <wp:extent cx="5731510" cy="5707380"/>
            <wp:effectExtent l="0" t="0" r="254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S Figure-2.tif"/>
                    <pic:cNvPicPr/>
                  </pic:nvPicPr>
                  <pic:blipFill>
                    <a:blip r:embed="rId11">
                      <a:extLst>
                        <a:ext uri="{28A0092B-C50C-407E-A947-70E740481C1C}">
                          <a14:useLocalDpi xmlns:a14="http://schemas.microsoft.com/office/drawing/2010/main" val="0"/>
                        </a:ext>
                      </a:extLst>
                    </a:blip>
                    <a:stretch>
                      <a:fillRect/>
                    </a:stretch>
                  </pic:blipFill>
                  <pic:spPr>
                    <a:xfrm>
                      <a:off x="0" y="0"/>
                      <a:ext cx="5731510" cy="5707380"/>
                    </a:xfrm>
                    <a:prstGeom prst="rect">
                      <a:avLst/>
                    </a:prstGeom>
                  </pic:spPr>
                </pic:pic>
              </a:graphicData>
            </a:graphic>
          </wp:inline>
        </w:drawing>
      </w:r>
    </w:p>
    <w:p w14:paraId="48D94E9C" w14:textId="7F0C701F" w:rsidR="00D43349" w:rsidRPr="00D43349" w:rsidRDefault="004004EA" w:rsidP="00BA05FB">
      <w:pPr>
        <w:spacing w:line="360" w:lineRule="auto"/>
        <w:jc w:val="both"/>
        <w:rPr>
          <w:rFonts w:ascii="Book Antiqua" w:hAnsi="Book Antiqua"/>
          <w:b/>
          <w:szCs w:val="24"/>
        </w:rPr>
      </w:pPr>
      <w:r w:rsidRPr="00D43349">
        <w:rPr>
          <w:rStyle w:val="CaptionLabel"/>
          <w:rFonts w:ascii="Book Antiqua" w:hAnsi="Book Antiqua"/>
          <w:b/>
          <w:color w:val="auto"/>
          <w:szCs w:val="24"/>
        </w:rPr>
        <w:t xml:space="preserve">Figure 2 </w:t>
      </w:r>
      <w:r w:rsidRPr="00D43349">
        <w:rPr>
          <w:rFonts w:ascii="Book Antiqua" w:hAnsi="Book Antiqua"/>
          <w:b/>
          <w:szCs w:val="24"/>
        </w:rPr>
        <w:t>Inguinal lymph node enlargement in a case of extremity rhabdomyosarcoma.</w:t>
      </w:r>
      <w:r w:rsidRPr="00D43349">
        <w:rPr>
          <w:rFonts w:ascii="Book Antiqua" w:hAnsi="Book Antiqua"/>
          <w:b/>
          <w:szCs w:val="24"/>
        </w:rPr>
        <w:cr/>
      </w:r>
      <w:r w:rsidR="00D43349" w:rsidRPr="00D43349">
        <w:rPr>
          <w:rFonts w:ascii="Book Antiqua" w:hAnsi="Book Antiqua"/>
          <w:b/>
          <w:szCs w:val="24"/>
        </w:rPr>
        <w:br w:type="page"/>
      </w:r>
    </w:p>
    <w:p w14:paraId="1B36558B" w14:textId="55A5EC32" w:rsidR="00930223" w:rsidRPr="00D43349" w:rsidRDefault="00D43349" w:rsidP="00BA05FB">
      <w:pPr>
        <w:spacing w:line="360" w:lineRule="auto"/>
        <w:jc w:val="both"/>
        <w:rPr>
          <w:rFonts w:ascii="Book Antiqua" w:hAnsi="Book Antiqua"/>
          <w:b/>
          <w:szCs w:val="24"/>
        </w:rPr>
      </w:pPr>
      <w:r w:rsidRPr="00D43349">
        <w:rPr>
          <w:rFonts w:ascii="Book Antiqua" w:hAnsi="Book Antiqua"/>
          <w:b/>
          <w:noProof/>
          <w:szCs w:val="24"/>
          <w:lang w:val="en-US"/>
        </w:rPr>
        <w:lastRenderedPageBreak/>
        <w:drawing>
          <wp:inline distT="0" distB="0" distL="0" distR="0" wp14:anchorId="59632F20" wp14:editId="0BB4BB15">
            <wp:extent cx="4429125" cy="409575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S Figure-3.tif"/>
                    <pic:cNvPicPr/>
                  </pic:nvPicPr>
                  <pic:blipFill>
                    <a:blip r:embed="rId12">
                      <a:extLst>
                        <a:ext uri="{28A0092B-C50C-407E-A947-70E740481C1C}">
                          <a14:useLocalDpi xmlns:a14="http://schemas.microsoft.com/office/drawing/2010/main" val="0"/>
                        </a:ext>
                      </a:extLst>
                    </a:blip>
                    <a:stretch>
                      <a:fillRect/>
                    </a:stretch>
                  </pic:blipFill>
                  <pic:spPr>
                    <a:xfrm>
                      <a:off x="0" y="0"/>
                      <a:ext cx="4429125" cy="4095750"/>
                    </a:xfrm>
                    <a:prstGeom prst="rect">
                      <a:avLst/>
                    </a:prstGeom>
                  </pic:spPr>
                </pic:pic>
              </a:graphicData>
            </a:graphic>
          </wp:inline>
        </w:drawing>
      </w:r>
    </w:p>
    <w:p w14:paraId="53A9911C" w14:textId="56E4E5B4" w:rsidR="00D43349" w:rsidRPr="00D43349" w:rsidRDefault="004004EA" w:rsidP="00BA05FB">
      <w:pPr>
        <w:spacing w:line="360" w:lineRule="auto"/>
        <w:jc w:val="both"/>
        <w:rPr>
          <w:rFonts w:ascii="Book Antiqua" w:hAnsi="Book Antiqua"/>
          <w:szCs w:val="24"/>
        </w:rPr>
      </w:pPr>
      <w:r w:rsidRPr="00D43349">
        <w:rPr>
          <w:rStyle w:val="CaptionLabel"/>
          <w:rFonts w:ascii="Book Antiqua" w:hAnsi="Book Antiqua"/>
          <w:b/>
          <w:color w:val="auto"/>
          <w:szCs w:val="24"/>
        </w:rPr>
        <w:t xml:space="preserve">Figure 3 </w:t>
      </w:r>
      <w:r w:rsidRPr="00D43349">
        <w:rPr>
          <w:rFonts w:ascii="Book Antiqua" w:hAnsi="Book Antiqua"/>
          <w:b/>
          <w:szCs w:val="24"/>
        </w:rPr>
        <w:t xml:space="preserve">Magnetic resonance imaging T2: </w:t>
      </w:r>
      <w:r w:rsidR="00BA05FB" w:rsidRPr="00D43349">
        <w:rPr>
          <w:rFonts w:ascii="Book Antiqua" w:hAnsi="Book Antiqua"/>
          <w:b/>
          <w:szCs w:val="24"/>
        </w:rPr>
        <w:t xml:space="preserve">Providing </w:t>
      </w:r>
      <w:r w:rsidRPr="00D43349">
        <w:rPr>
          <w:rFonts w:ascii="Book Antiqua" w:hAnsi="Book Antiqua"/>
          <w:b/>
          <w:szCs w:val="24"/>
        </w:rPr>
        <w:t>a comparison between growth patterns</w:t>
      </w:r>
      <w:r w:rsidR="00D43349" w:rsidRPr="00D43349">
        <w:rPr>
          <w:rFonts w:ascii="Book Antiqua" w:hAnsi="Book Antiqua"/>
          <w:b/>
          <w:szCs w:val="24"/>
          <w:lang w:eastAsia="zh-CN"/>
        </w:rPr>
        <w:t>.</w:t>
      </w:r>
      <w:r w:rsidRPr="00D43349">
        <w:rPr>
          <w:rFonts w:ascii="Book Antiqua" w:hAnsi="Book Antiqua"/>
          <w:szCs w:val="24"/>
        </w:rPr>
        <w:t xml:space="preserve"> A: </w:t>
      </w:r>
      <w:r w:rsidR="00D43349" w:rsidRPr="00D43349">
        <w:rPr>
          <w:rFonts w:ascii="Book Antiqua" w:hAnsi="Book Antiqua"/>
          <w:szCs w:val="24"/>
        </w:rPr>
        <w:t xml:space="preserve">Pelvic </w:t>
      </w:r>
      <w:r w:rsidRPr="00D43349">
        <w:rPr>
          <w:rFonts w:ascii="Book Antiqua" w:hAnsi="Book Antiqua"/>
          <w:szCs w:val="24"/>
        </w:rPr>
        <w:t>rhabdomyosarcoma (RMS)</w:t>
      </w:r>
      <w:r w:rsidR="00D43349" w:rsidRPr="00D43349">
        <w:rPr>
          <w:rFonts w:ascii="Book Antiqua" w:hAnsi="Book Antiqua"/>
          <w:szCs w:val="24"/>
          <w:lang w:eastAsia="zh-CN"/>
        </w:rPr>
        <w:t>;</w:t>
      </w:r>
      <w:r w:rsidRPr="00D43349">
        <w:rPr>
          <w:rFonts w:ascii="Book Antiqua" w:hAnsi="Book Antiqua"/>
          <w:szCs w:val="24"/>
        </w:rPr>
        <w:t xml:space="preserve"> B: </w:t>
      </w:r>
      <w:r w:rsidR="00D43349" w:rsidRPr="00D43349">
        <w:rPr>
          <w:rFonts w:ascii="Book Antiqua" w:hAnsi="Book Antiqua"/>
          <w:szCs w:val="24"/>
        </w:rPr>
        <w:t xml:space="preserve">Malignant </w:t>
      </w:r>
      <w:r w:rsidRPr="00D43349">
        <w:rPr>
          <w:rFonts w:ascii="Book Antiqua" w:hAnsi="Book Antiqua"/>
          <w:szCs w:val="24"/>
        </w:rPr>
        <w:t>peripheral nerve sheath tumor (MPNST). Although RMS is a locally advanced tumor, a thin surgical plane typically exists between the tumor and the adjacent bone when the MPNST involves the dural space and nerve root.</w:t>
      </w:r>
      <w:r w:rsidRPr="00D43349">
        <w:rPr>
          <w:rFonts w:ascii="Book Antiqua" w:hAnsi="Book Antiqua"/>
          <w:szCs w:val="24"/>
        </w:rPr>
        <w:cr/>
      </w:r>
      <w:r w:rsidR="00D43349" w:rsidRPr="00D43349">
        <w:rPr>
          <w:rFonts w:ascii="Book Antiqua" w:hAnsi="Book Antiqua"/>
          <w:szCs w:val="24"/>
        </w:rPr>
        <w:br w:type="page"/>
      </w:r>
    </w:p>
    <w:p w14:paraId="6602085B" w14:textId="164DFFC0" w:rsidR="00930223" w:rsidRPr="00D43349" w:rsidRDefault="00D43349" w:rsidP="00BA05FB">
      <w:pPr>
        <w:spacing w:line="360" w:lineRule="auto"/>
        <w:jc w:val="both"/>
        <w:rPr>
          <w:rFonts w:ascii="Book Antiqua" w:hAnsi="Book Antiqua"/>
          <w:szCs w:val="24"/>
        </w:rPr>
      </w:pPr>
      <w:r>
        <w:rPr>
          <w:rFonts w:ascii="Book Antiqua" w:hAnsi="Book Antiqua"/>
          <w:noProof/>
          <w:szCs w:val="24"/>
          <w:lang w:val="en-US"/>
        </w:rPr>
        <w:lastRenderedPageBreak/>
        <w:drawing>
          <wp:inline distT="0" distB="0" distL="0" distR="0" wp14:anchorId="49592B23" wp14:editId="6F187115">
            <wp:extent cx="5731510" cy="3256280"/>
            <wp:effectExtent l="0" t="0" r="2540"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S Figure-4.tif"/>
                    <pic:cNvPicPr/>
                  </pic:nvPicPr>
                  <pic:blipFill>
                    <a:blip r:embed="rId13">
                      <a:extLst>
                        <a:ext uri="{28A0092B-C50C-407E-A947-70E740481C1C}">
                          <a14:useLocalDpi xmlns:a14="http://schemas.microsoft.com/office/drawing/2010/main" val="0"/>
                        </a:ext>
                      </a:extLst>
                    </a:blip>
                    <a:stretch>
                      <a:fillRect/>
                    </a:stretch>
                  </pic:blipFill>
                  <pic:spPr>
                    <a:xfrm>
                      <a:off x="0" y="0"/>
                      <a:ext cx="5731510" cy="3256280"/>
                    </a:xfrm>
                    <a:prstGeom prst="rect">
                      <a:avLst/>
                    </a:prstGeom>
                  </pic:spPr>
                </pic:pic>
              </a:graphicData>
            </a:graphic>
          </wp:inline>
        </w:drawing>
      </w:r>
    </w:p>
    <w:p w14:paraId="2B30C23B" w14:textId="68CA1BE1" w:rsidR="00D43349" w:rsidRDefault="004004EA" w:rsidP="00BA05FB">
      <w:pPr>
        <w:spacing w:line="360" w:lineRule="auto"/>
        <w:jc w:val="both"/>
        <w:rPr>
          <w:rFonts w:ascii="Book Antiqua" w:hAnsi="Book Antiqua"/>
          <w:b/>
          <w:szCs w:val="24"/>
        </w:rPr>
      </w:pPr>
      <w:r w:rsidRPr="00D43349">
        <w:rPr>
          <w:rStyle w:val="CaptionLabel"/>
          <w:rFonts w:ascii="Book Antiqua" w:hAnsi="Book Antiqua"/>
          <w:b/>
          <w:color w:val="auto"/>
          <w:szCs w:val="24"/>
        </w:rPr>
        <w:t xml:space="preserve">Figure 4 </w:t>
      </w:r>
      <w:r w:rsidRPr="00D43349">
        <w:rPr>
          <w:rFonts w:ascii="Book Antiqua" w:hAnsi="Book Antiqua"/>
          <w:b/>
          <w:szCs w:val="24"/>
        </w:rPr>
        <w:t>Plain radiographic and magnetic resonance images demonstrating deformity of the left chest wall caused by a congenital infantile sarcoma.</w:t>
      </w:r>
      <w:r w:rsidRPr="00D43349">
        <w:rPr>
          <w:rFonts w:ascii="Book Antiqua" w:hAnsi="Book Antiqua"/>
          <w:b/>
          <w:szCs w:val="24"/>
        </w:rPr>
        <w:cr/>
      </w:r>
      <w:r w:rsidR="00D43349">
        <w:rPr>
          <w:rFonts w:ascii="Book Antiqua" w:hAnsi="Book Antiqua"/>
          <w:b/>
          <w:szCs w:val="24"/>
        </w:rPr>
        <w:br w:type="page"/>
      </w:r>
    </w:p>
    <w:p w14:paraId="2C9C7CE7" w14:textId="667FB114" w:rsidR="00930223" w:rsidRPr="00D43349" w:rsidRDefault="00D43349" w:rsidP="00BA05FB">
      <w:pPr>
        <w:spacing w:line="360" w:lineRule="auto"/>
        <w:jc w:val="both"/>
        <w:rPr>
          <w:rFonts w:ascii="Book Antiqua" w:hAnsi="Book Antiqua"/>
          <w:b/>
          <w:szCs w:val="24"/>
        </w:rPr>
      </w:pPr>
      <w:r>
        <w:rPr>
          <w:rFonts w:ascii="Book Antiqua" w:hAnsi="Book Antiqua"/>
          <w:b/>
          <w:noProof/>
          <w:szCs w:val="24"/>
          <w:lang w:val="en-US"/>
        </w:rPr>
        <w:lastRenderedPageBreak/>
        <w:drawing>
          <wp:inline distT="0" distB="0" distL="0" distR="0" wp14:anchorId="4BB948A5" wp14:editId="1E24CFDD">
            <wp:extent cx="3676650" cy="28765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S Figure-5.tif"/>
                    <pic:cNvPicPr/>
                  </pic:nvPicPr>
                  <pic:blipFill>
                    <a:blip r:embed="rId14">
                      <a:extLst>
                        <a:ext uri="{28A0092B-C50C-407E-A947-70E740481C1C}">
                          <a14:useLocalDpi xmlns:a14="http://schemas.microsoft.com/office/drawing/2010/main" val="0"/>
                        </a:ext>
                      </a:extLst>
                    </a:blip>
                    <a:stretch>
                      <a:fillRect/>
                    </a:stretch>
                  </pic:blipFill>
                  <pic:spPr>
                    <a:xfrm>
                      <a:off x="0" y="0"/>
                      <a:ext cx="3676650" cy="2876550"/>
                    </a:xfrm>
                    <a:prstGeom prst="rect">
                      <a:avLst/>
                    </a:prstGeom>
                  </pic:spPr>
                </pic:pic>
              </a:graphicData>
            </a:graphic>
          </wp:inline>
        </w:drawing>
      </w:r>
    </w:p>
    <w:p w14:paraId="75CEB999" w14:textId="75B62C30" w:rsidR="00930223" w:rsidRPr="00D43349" w:rsidRDefault="004004EA" w:rsidP="00BA05FB">
      <w:pPr>
        <w:spacing w:line="360" w:lineRule="auto"/>
        <w:jc w:val="both"/>
        <w:rPr>
          <w:rFonts w:ascii="Book Antiqua" w:hAnsi="Book Antiqua"/>
          <w:b/>
          <w:szCs w:val="24"/>
        </w:rPr>
      </w:pPr>
      <w:r w:rsidRPr="00D43349">
        <w:rPr>
          <w:rStyle w:val="CaptionLabel"/>
          <w:rFonts w:ascii="Book Antiqua" w:hAnsi="Book Antiqua"/>
          <w:b/>
          <w:color w:val="auto"/>
          <w:szCs w:val="24"/>
        </w:rPr>
        <w:t xml:space="preserve">Figure 5 </w:t>
      </w:r>
      <w:r w:rsidRPr="00D43349">
        <w:rPr>
          <w:rFonts w:ascii="Book Antiqua" w:hAnsi="Book Antiqua"/>
          <w:b/>
          <w:szCs w:val="24"/>
        </w:rPr>
        <w:t>Computerized tomography image of a case of splenic inflammatory myofibroblastic tumor.</w:t>
      </w:r>
      <w:r w:rsidR="00235D44" w:rsidRPr="00D43349" w:rsidDel="00235D44">
        <w:rPr>
          <w:rFonts w:ascii="Book Antiqua" w:hAnsi="Book Antiqua"/>
          <w:b/>
          <w:szCs w:val="24"/>
        </w:rPr>
        <w:t xml:space="preserve"> </w:t>
      </w:r>
    </w:p>
    <w:p w14:paraId="12BCFCD3" w14:textId="77777777" w:rsidR="007C7139" w:rsidRPr="00D43349" w:rsidRDefault="007C7139" w:rsidP="00BA05FB">
      <w:pPr>
        <w:spacing w:line="360" w:lineRule="auto"/>
        <w:jc w:val="both"/>
        <w:rPr>
          <w:rFonts w:ascii="Book Antiqua" w:hAnsi="Book Antiqua"/>
          <w:b/>
          <w:szCs w:val="24"/>
        </w:rPr>
      </w:pPr>
      <w:r w:rsidRPr="00D43349">
        <w:rPr>
          <w:rFonts w:ascii="Book Antiqua" w:hAnsi="Book Antiqua"/>
          <w:b/>
          <w:szCs w:val="24"/>
        </w:rPr>
        <w:br w:type="page"/>
      </w:r>
    </w:p>
    <w:p w14:paraId="7FA6ED3D" w14:textId="20CC0468" w:rsidR="00930223" w:rsidRPr="00D43349" w:rsidRDefault="00D43349" w:rsidP="00BA05FB">
      <w:pPr>
        <w:pStyle w:val="Body"/>
        <w:spacing w:line="360" w:lineRule="auto"/>
        <w:jc w:val="both"/>
        <w:rPr>
          <w:rFonts w:ascii="Book Antiqua" w:hAnsi="Book Antiqua"/>
          <w:b/>
          <w:color w:val="auto"/>
          <w:szCs w:val="24"/>
        </w:rPr>
      </w:pPr>
      <w:r w:rsidRPr="00D43349">
        <w:rPr>
          <w:rFonts w:ascii="Book Antiqua" w:hAnsi="Book Antiqua"/>
          <w:b/>
          <w:szCs w:val="24"/>
        </w:rPr>
        <w:lastRenderedPageBreak/>
        <w:t xml:space="preserve">Table </w:t>
      </w:r>
      <w:r w:rsidRPr="00D43349">
        <w:rPr>
          <w:rFonts w:ascii="Book Antiqua" w:hAnsi="Book Antiqua" w:hint="eastAsia"/>
          <w:b/>
          <w:szCs w:val="24"/>
          <w:lang w:eastAsia="zh-CN"/>
        </w:rPr>
        <w:t>1</w:t>
      </w:r>
      <w:r w:rsidRPr="00D43349">
        <w:rPr>
          <w:rFonts w:ascii="Book Antiqua" w:hAnsi="Book Antiqua"/>
          <w:b/>
          <w:szCs w:val="24"/>
        </w:rPr>
        <w:t xml:space="preserve"> Intergroup rhabdomyosarcoma study pretreatment staging and clinical grouping classification</w:t>
      </w:r>
    </w:p>
    <w:tbl>
      <w:tblPr>
        <w:tblStyle w:val="TableGrid"/>
        <w:tblW w:w="10174" w:type="dxa"/>
        <w:tblLook w:val="04A0" w:firstRow="1" w:lastRow="0" w:firstColumn="1" w:lastColumn="0" w:noHBand="0" w:noVBand="1"/>
      </w:tblPr>
      <w:tblGrid>
        <w:gridCol w:w="1032"/>
        <w:gridCol w:w="4268"/>
        <w:gridCol w:w="1047"/>
        <w:gridCol w:w="1209"/>
        <w:gridCol w:w="1766"/>
        <w:gridCol w:w="852"/>
      </w:tblGrid>
      <w:tr w:rsidR="001D304D" w:rsidRPr="00D43349" w14:paraId="7DCC7522" w14:textId="77777777" w:rsidTr="00D43349">
        <w:trPr>
          <w:trHeight w:val="1176"/>
        </w:trPr>
        <w:tc>
          <w:tcPr>
            <w:tcW w:w="1032" w:type="dxa"/>
            <w:noWrap/>
            <w:hideMark/>
          </w:tcPr>
          <w:p w14:paraId="530F7E7B" w14:textId="77777777" w:rsidR="001D304D" w:rsidRPr="00D43349" w:rsidRDefault="001D304D" w:rsidP="00BA05FB">
            <w:pPr>
              <w:pStyle w:val="Body"/>
              <w:spacing w:line="360" w:lineRule="auto"/>
              <w:ind w:left="720" w:hanging="720"/>
              <w:jc w:val="both"/>
              <w:rPr>
                <w:rFonts w:ascii="Book Antiqua" w:hAnsi="Book Antiqua"/>
                <w:b/>
                <w:szCs w:val="24"/>
              </w:rPr>
            </w:pPr>
            <w:r w:rsidRPr="00D43349">
              <w:rPr>
                <w:rFonts w:ascii="Book Antiqua" w:hAnsi="Book Antiqua"/>
                <w:b/>
                <w:szCs w:val="24"/>
              </w:rPr>
              <w:t>Stage</w:t>
            </w:r>
          </w:p>
        </w:tc>
        <w:tc>
          <w:tcPr>
            <w:tcW w:w="4268" w:type="dxa"/>
            <w:noWrap/>
            <w:hideMark/>
          </w:tcPr>
          <w:p w14:paraId="14740742" w14:textId="77777777" w:rsidR="001D304D" w:rsidRPr="00D43349" w:rsidRDefault="001D304D" w:rsidP="00BA05FB">
            <w:pPr>
              <w:pStyle w:val="Body"/>
              <w:spacing w:line="360" w:lineRule="auto"/>
              <w:ind w:left="720" w:hanging="720"/>
              <w:jc w:val="both"/>
              <w:rPr>
                <w:rFonts w:ascii="Book Antiqua" w:hAnsi="Book Antiqua"/>
                <w:b/>
                <w:szCs w:val="24"/>
              </w:rPr>
            </w:pPr>
            <w:r w:rsidRPr="00D43349">
              <w:rPr>
                <w:rFonts w:ascii="Book Antiqua" w:hAnsi="Book Antiqua"/>
                <w:b/>
                <w:szCs w:val="24"/>
              </w:rPr>
              <w:t>Sites</w:t>
            </w:r>
          </w:p>
        </w:tc>
        <w:tc>
          <w:tcPr>
            <w:tcW w:w="1047" w:type="dxa"/>
            <w:noWrap/>
            <w:hideMark/>
          </w:tcPr>
          <w:p w14:paraId="424728E5" w14:textId="5F8ECB12" w:rsidR="001D304D" w:rsidRPr="00D43349" w:rsidRDefault="001D304D" w:rsidP="00BA05FB">
            <w:pPr>
              <w:pStyle w:val="Body"/>
              <w:spacing w:line="360" w:lineRule="auto"/>
              <w:ind w:left="720" w:hanging="720"/>
              <w:jc w:val="both"/>
              <w:rPr>
                <w:rFonts w:ascii="Book Antiqua" w:hAnsi="Book Antiqua"/>
                <w:b/>
                <w:szCs w:val="24"/>
                <w:lang w:eastAsia="zh-CN"/>
              </w:rPr>
            </w:pPr>
            <w:r w:rsidRPr="00D43349">
              <w:rPr>
                <w:rFonts w:ascii="Book Antiqua" w:hAnsi="Book Antiqua"/>
                <w:b/>
                <w:szCs w:val="24"/>
              </w:rPr>
              <w:t>T</w:t>
            </w:r>
            <w:r w:rsidR="00D43349" w:rsidRPr="00D43349">
              <w:rPr>
                <w:rFonts w:ascii="Book Antiqua" w:hAnsi="Book Antiqua" w:hint="eastAsia"/>
                <w:b/>
                <w:szCs w:val="24"/>
                <w:vertAlign w:val="superscript"/>
                <w:lang w:eastAsia="zh-CN"/>
              </w:rPr>
              <w:t>1</w:t>
            </w:r>
          </w:p>
        </w:tc>
        <w:tc>
          <w:tcPr>
            <w:tcW w:w="1209" w:type="dxa"/>
            <w:noWrap/>
            <w:hideMark/>
          </w:tcPr>
          <w:p w14:paraId="3EF8C2B1" w14:textId="2837A662" w:rsidR="001D304D" w:rsidRPr="00D43349" w:rsidRDefault="001D304D" w:rsidP="00BA05FB">
            <w:pPr>
              <w:pStyle w:val="Body"/>
              <w:spacing w:line="360" w:lineRule="auto"/>
              <w:ind w:left="720" w:hanging="720"/>
              <w:jc w:val="both"/>
              <w:rPr>
                <w:rFonts w:ascii="Book Antiqua" w:hAnsi="Book Antiqua"/>
                <w:b/>
                <w:szCs w:val="24"/>
                <w:lang w:eastAsia="zh-CN"/>
              </w:rPr>
            </w:pPr>
            <w:r w:rsidRPr="00D43349">
              <w:rPr>
                <w:rFonts w:ascii="Book Antiqua" w:hAnsi="Book Antiqua"/>
                <w:b/>
                <w:szCs w:val="24"/>
              </w:rPr>
              <w:t>Size</w:t>
            </w:r>
            <w:r w:rsidR="00D43349" w:rsidRPr="00D43349">
              <w:rPr>
                <w:rFonts w:ascii="Book Antiqua" w:hAnsi="Book Antiqua" w:hint="eastAsia"/>
                <w:b/>
                <w:szCs w:val="24"/>
                <w:vertAlign w:val="superscript"/>
                <w:lang w:eastAsia="zh-CN"/>
              </w:rPr>
              <w:t>2</w:t>
            </w:r>
          </w:p>
        </w:tc>
        <w:tc>
          <w:tcPr>
            <w:tcW w:w="1766" w:type="dxa"/>
            <w:noWrap/>
            <w:hideMark/>
          </w:tcPr>
          <w:p w14:paraId="6851D08C" w14:textId="0C5DCB1E" w:rsidR="001D304D" w:rsidRPr="00D43349" w:rsidRDefault="001D304D" w:rsidP="00BA05FB">
            <w:pPr>
              <w:pStyle w:val="Body"/>
              <w:spacing w:line="360" w:lineRule="auto"/>
              <w:ind w:left="720" w:hanging="720"/>
              <w:jc w:val="both"/>
              <w:rPr>
                <w:rFonts w:ascii="Book Antiqua" w:hAnsi="Book Antiqua"/>
                <w:b/>
                <w:szCs w:val="24"/>
                <w:lang w:eastAsia="zh-CN"/>
              </w:rPr>
            </w:pPr>
            <w:r w:rsidRPr="00D43349">
              <w:rPr>
                <w:rFonts w:ascii="Book Antiqua" w:hAnsi="Book Antiqua"/>
                <w:b/>
                <w:szCs w:val="24"/>
              </w:rPr>
              <w:t>N</w:t>
            </w:r>
            <w:r w:rsidR="00D43349" w:rsidRPr="00D43349">
              <w:rPr>
                <w:rFonts w:ascii="Book Antiqua" w:hAnsi="Book Antiqua" w:hint="eastAsia"/>
                <w:b/>
                <w:szCs w:val="24"/>
                <w:vertAlign w:val="superscript"/>
                <w:lang w:eastAsia="zh-CN"/>
              </w:rPr>
              <w:t>3</w:t>
            </w:r>
          </w:p>
        </w:tc>
        <w:tc>
          <w:tcPr>
            <w:tcW w:w="852" w:type="dxa"/>
            <w:noWrap/>
            <w:hideMark/>
          </w:tcPr>
          <w:p w14:paraId="25BA794E" w14:textId="65FC508C" w:rsidR="001D304D" w:rsidRPr="00D43349" w:rsidRDefault="001D304D" w:rsidP="00BA05FB">
            <w:pPr>
              <w:pStyle w:val="Body"/>
              <w:spacing w:line="360" w:lineRule="auto"/>
              <w:ind w:left="720" w:hanging="720"/>
              <w:jc w:val="both"/>
              <w:rPr>
                <w:rFonts w:ascii="Book Antiqua" w:hAnsi="Book Antiqua"/>
                <w:b/>
                <w:szCs w:val="24"/>
                <w:lang w:eastAsia="zh-CN"/>
              </w:rPr>
            </w:pPr>
            <w:r w:rsidRPr="00D43349">
              <w:rPr>
                <w:rFonts w:ascii="Book Antiqua" w:hAnsi="Book Antiqua"/>
                <w:b/>
                <w:szCs w:val="24"/>
              </w:rPr>
              <w:t>M</w:t>
            </w:r>
            <w:r w:rsidR="00D43349" w:rsidRPr="00D43349">
              <w:rPr>
                <w:rFonts w:ascii="Book Antiqua" w:hAnsi="Book Antiqua" w:hint="eastAsia"/>
                <w:b/>
                <w:szCs w:val="24"/>
                <w:vertAlign w:val="superscript"/>
                <w:lang w:eastAsia="zh-CN"/>
              </w:rPr>
              <w:t>4</w:t>
            </w:r>
          </w:p>
        </w:tc>
      </w:tr>
      <w:tr w:rsidR="001D304D" w:rsidRPr="00D43349" w14:paraId="4840FB7A" w14:textId="77777777" w:rsidTr="00D43349">
        <w:trPr>
          <w:trHeight w:val="1276"/>
        </w:trPr>
        <w:tc>
          <w:tcPr>
            <w:tcW w:w="1032" w:type="dxa"/>
            <w:noWrap/>
            <w:hideMark/>
          </w:tcPr>
          <w:p w14:paraId="27B6845A"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1</w:t>
            </w:r>
          </w:p>
        </w:tc>
        <w:tc>
          <w:tcPr>
            <w:tcW w:w="4268" w:type="dxa"/>
            <w:hideMark/>
          </w:tcPr>
          <w:p w14:paraId="200032DC"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Orbit, Head and Neck (excluding parameningeal), Genitourinary tract (non-bladder, non-prostate), biliary tract</w:t>
            </w:r>
          </w:p>
        </w:tc>
        <w:tc>
          <w:tcPr>
            <w:tcW w:w="1047" w:type="dxa"/>
            <w:noWrap/>
            <w:hideMark/>
          </w:tcPr>
          <w:p w14:paraId="42ABE44F"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T1 or T2</w:t>
            </w:r>
          </w:p>
        </w:tc>
        <w:tc>
          <w:tcPr>
            <w:tcW w:w="1209" w:type="dxa"/>
            <w:noWrap/>
            <w:hideMark/>
          </w:tcPr>
          <w:p w14:paraId="576281FD"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a or b</w:t>
            </w:r>
          </w:p>
        </w:tc>
        <w:tc>
          <w:tcPr>
            <w:tcW w:w="1766" w:type="dxa"/>
            <w:noWrap/>
            <w:hideMark/>
          </w:tcPr>
          <w:p w14:paraId="7921B833"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N0 or N1 or Nx</w:t>
            </w:r>
          </w:p>
        </w:tc>
        <w:tc>
          <w:tcPr>
            <w:tcW w:w="852" w:type="dxa"/>
            <w:noWrap/>
            <w:hideMark/>
          </w:tcPr>
          <w:p w14:paraId="1DA46EF2"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M0</w:t>
            </w:r>
          </w:p>
        </w:tc>
      </w:tr>
      <w:tr w:rsidR="001D304D" w:rsidRPr="00D43349" w14:paraId="2CA95786" w14:textId="77777777" w:rsidTr="00D43349">
        <w:trPr>
          <w:trHeight w:val="1476"/>
        </w:trPr>
        <w:tc>
          <w:tcPr>
            <w:tcW w:w="1032" w:type="dxa"/>
            <w:noWrap/>
            <w:hideMark/>
          </w:tcPr>
          <w:p w14:paraId="7FFC4EAF"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2</w:t>
            </w:r>
          </w:p>
        </w:tc>
        <w:tc>
          <w:tcPr>
            <w:tcW w:w="4268" w:type="dxa"/>
            <w:hideMark/>
          </w:tcPr>
          <w:p w14:paraId="0D6387D6"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 xml:space="preserve">Bladder.Prostate, Extremity, Parameningeal, others (trunk, retroperitoneum, </w:t>
            </w:r>
            <w:r w:rsidRPr="00D43349">
              <w:rPr>
                <w:rFonts w:ascii="Book Antiqua" w:hAnsi="Book Antiqua"/>
                <w:i/>
                <w:szCs w:val="24"/>
              </w:rPr>
              <w:t>etc.</w:t>
            </w:r>
            <w:r w:rsidRPr="00D43349">
              <w:rPr>
                <w:rFonts w:ascii="Book Antiqua" w:hAnsi="Book Antiqua"/>
                <w:szCs w:val="24"/>
              </w:rPr>
              <w:t>)</w:t>
            </w:r>
          </w:p>
        </w:tc>
        <w:tc>
          <w:tcPr>
            <w:tcW w:w="1047" w:type="dxa"/>
            <w:noWrap/>
            <w:hideMark/>
          </w:tcPr>
          <w:p w14:paraId="3E5EE4C0"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T1 or T2</w:t>
            </w:r>
          </w:p>
        </w:tc>
        <w:tc>
          <w:tcPr>
            <w:tcW w:w="1209" w:type="dxa"/>
            <w:noWrap/>
            <w:hideMark/>
          </w:tcPr>
          <w:p w14:paraId="597A6294"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a</w:t>
            </w:r>
          </w:p>
        </w:tc>
        <w:tc>
          <w:tcPr>
            <w:tcW w:w="1766" w:type="dxa"/>
            <w:noWrap/>
            <w:hideMark/>
          </w:tcPr>
          <w:p w14:paraId="4724B6E2"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N0 or Nx</w:t>
            </w:r>
          </w:p>
        </w:tc>
        <w:tc>
          <w:tcPr>
            <w:tcW w:w="852" w:type="dxa"/>
            <w:noWrap/>
            <w:hideMark/>
          </w:tcPr>
          <w:p w14:paraId="6688E440"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M0</w:t>
            </w:r>
          </w:p>
        </w:tc>
      </w:tr>
      <w:tr w:rsidR="001D304D" w:rsidRPr="00D43349" w14:paraId="2255F3BF" w14:textId="77777777" w:rsidTr="00D43349">
        <w:trPr>
          <w:trHeight w:val="1101"/>
        </w:trPr>
        <w:tc>
          <w:tcPr>
            <w:tcW w:w="1032" w:type="dxa"/>
            <w:vMerge w:val="restart"/>
            <w:noWrap/>
            <w:hideMark/>
          </w:tcPr>
          <w:p w14:paraId="778F7536"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3</w:t>
            </w:r>
          </w:p>
        </w:tc>
        <w:tc>
          <w:tcPr>
            <w:tcW w:w="4268" w:type="dxa"/>
            <w:vMerge w:val="restart"/>
            <w:hideMark/>
          </w:tcPr>
          <w:p w14:paraId="55908809"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 xml:space="preserve">Bladder.Prostate, Extremity, Parameningeal, others (trunk, retroperitoneum, </w:t>
            </w:r>
            <w:r w:rsidRPr="00D43349">
              <w:rPr>
                <w:rFonts w:ascii="Book Antiqua" w:hAnsi="Book Antiqua"/>
                <w:i/>
                <w:szCs w:val="24"/>
              </w:rPr>
              <w:t>etc.</w:t>
            </w:r>
            <w:r w:rsidRPr="00D43349">
              <w:rPr>
                <w:rFonts w:ascii="Book Antiqua" w:hAnsi="Book Antiqua"/>
                <w:szCs w:val="24"/>
              </w:rPr>
              <w:t>)</w:t>
            </w:r>
          </w:p>
        </w:tc>
        <w:tc>
          <w:tcPr>
            <w:tcW w:w="1047" w:type="dxa"/>
            <w:vMerge w:val="restart"/>
            <w:noWrap/>
            <w:hideMark/>
          </w:tcPr>
          <w:p w14:paraId="24BF9F02"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T1 or T2</w:t>
            </w:r>
          </w:p>
        </w:tc>
        <w:tc>
          <w:tcPr>
            <w:tcW w:w="1209" w:type="dxa"/>
            <w:noWrap/>
            <w:hideMark/>
          </w:tcPr>
          <w:p w14:paraId="6643CC1E"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a</w:t>
            </w:r>
          </w:p>
        </w:tc>
        <w:tc>
          <w:tcPr>
            <w:tcW w:w="1766" w:type="dxa"/>
            <w:noWrap/>
            <w:hideMark/>
          </w:tcPr>
          <w:p w14:paraId="51FA842C"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N1</w:t>
            </w:r>
          </w:p>
        </w:tc>
        <w:tc>
          <w:tcPr>
            <w:tcW w:w="852" w:type="dxa"/>
            <w:noWrap/>
            <w:hideMark/>
          </w:tcPr>
          <w:p w14:paraId="12AD6DB2"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M0</w:t>
            </w:r>
          </w:p>
        </w:tc>
      </w:tr>
      <w:tr w:rsidR="001D304D" w:rsidRPr="00D43349" w14:paraId="6C7CD6A2" w14:textId="77777777" w:rsidTr="00D43349">
        <w:trPr>
          <w:trHeight w:val="1201"/>
        </w:trPr>
        <w:tc>
          <w:tcPr>
            <w:tcW w:w="1032" w:type="dxa"/>
            <w:vMerge/>
            <w:hideMark/>
          </w:tcPr>
          <w:p w14:paraId="5674B50F" w14:textId="77777777" w:rsidR="001D304D" w:rsidRPr="00D43349" w:rsidRDefault="001D304D" w:rsidP="00BA05FB">
            <w:pPr>
              <w:pStyle w:val="Body"/>
              <w:spacing w:line="360" w:lineRule="auto"/>
              <w:ind w:left="720" w:hanging="720"/>
              <w:jc w:val="both"/>
              <w:rPr>
                <w:rFonts w:ascii="Book Antiqua" w:hAnsi="Book Antiqua"/>
                <w:szCs w:val="24"/>
              </w:rPr>
            </w:pPr>
          </w:p>
        </w:tc>
        <w:tc>
          <w:tcPr>
            <w:tcW w:w="4268" w:type="dxa"/>
            <w:vMerge/>
            <w:hideMark/>
          </w:tcPr>
          <w:p w14:paraId="5652F603" w14:textId="77777777" w:rsidR="001D304D" w:rsidRPr="00D43349" w:rsidRDefault="001D304D" w:rsidP="00BA05FB">
            <w:pPr>
              <w:pStyle w:val="Body"/>
              <w:spacing w:line="360" w:lineRule="auto"/>
              <w:ind w:left="720" w:hanging="720"/>
              <w:jc w:val="both"/>
              <w:rPr>
                <w:rFonts w:ascii="Book Antiqua" w:hAnsi="Book Antiqua"/>
                <w:szCs w:val="24"/>
              </w:rPr>
            </w:pPr>
          </w:p>
        </w:tc>
        <w:tc>
          <w:tcPr>
            <w:tcW w:w="1047" w:type="dxa"/>
            <w:vMerge/>
            <w:hideMark/>
          </w:tcPr>
          <w:p w14:paraId="47B4AAB4" w14:textId="77777777" w:rsidR="001D304D" w:rsidRPr="00D43349" w:rsidRDefault="001D304D" w:rsidP="00BA05FB">
            <w:pPr>
              <w:pStyle w:val="Body"/>
              <w:spacing w:line="360" w:lineRule="auto"/>
              <w:ind w:left="720" w:hanging="720"/>
              <w:jc w:val="both"/>
              <w:rPr>
                <w:rFonts w:ascii="Book Antiqua" w:hAnsi="Book Antiqua"/>
                <w:szCs w:val="24"/>
              </w:rPr>
            </w:pPr>
          </w:p>
        </w:tc>
        <w:tc>
          <w:tcPr>
            <w:tcW w:w="1209" w:type="dxa"/>
            <w:noWrap/>
            <w:hideMark/>
          </w:tcPr>
          <w:p w14:paraId="79059E85"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b</w:t>
            </w:r>
          </w:p>
        </w:tc>
        <w:tc>
          <w:tcPr>
            <w:tcW w:w="1766" w:type="dxa"/>
            <w:noWrap/>
            <w:hideMark/>
          </w:tcPr>
          <w:p w14:paraId="679F3A11"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N0 or N1 or Nx</w:t>
            </w:r>
          </w:p>
        </w:tc>
        <w:tc>
          <w:tcPr>
            <w:tcW w:w="852" w:type="dxa"/>
            <w:noWrap/>
            <w:hideMark/>
          </w:tcPr>
          <w:p w14:paraId="628391CA"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M0</w:t>
            </w:r>
          </w:p>
        </w:tc>
      </w:tr>
      <w:tr w:rsidR="001D304D" w:rsidRPr="00D43349" w14:paraId="490F889A" w14:textId="77777777" w:rsidTr="00D43349">
        <w:trPr>
          <w:trHeight w:val="1401"/>
        </w:trPr>
        <w:tc>
          <w:tcPr>
            <w:tcW w:w="1032" w:type="dxa"/>
            <w:noWrap/>
            <w:hideMark/>
          </w:tcPr>
          <w:p w14:paraId="0C430668"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4</w:t>
            </w:r>
          </w:p>
        </w:tc>
        <w:tc>
          <w:tcPr>
            <w:tcW w:w="4268" w:type="dxa"/>
            <w:hideMark/>
          </w:tcPr>
          <w:p w14:paraId="02597982"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Any sites</w:t>
            </w:r>
          </w:p>
        </w:tc>
        <w:tc>
          <w:tcPr>
            <w:tcW w:w="1047" w:type="dxa"/>
            <w:noWrap/>
            <w:hideMark/>
          </w:tcPr>
          <w:p w14:paraId="3D972CC5"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T1 or T2</w:t>
            </w:r>
          </w:p>
        </w:tc>
        <w:tc>
          <w:tcPr>
            <w:tcW w:w="1209" w:type="dxa"/>
            <w:noWrap/>
            <w:hideMark/>
          </w:tcPr>
          <w:p w14:paraId="6B9D526A"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a or b</w:t>
            </w:r>
          </w:p>
        </w:tc>
        <w:tc>
          <w:tcPr>
            <w:tcW w:w="1766" w:type="dxa"/>
            <w:noWrap/>
            <w:hideMark/>
          </w:tcPr>
          <w:p w14:paraId="0D6F9CFB"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N0 or N1</w:t>
            </w:r>
          </w:p>
        </w:tc>
        <w:tc>
          <w:tcPr>
            <w:tcW w:w="852" w:type="dxa"/>
            <w:noWrap/>
            <w:hideMark/>
          </w:tcPr>
          <w:p w14:paraId="0DE5EF07"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M1</w:t>
            </w:r>
          </w:p>
        </w:tc>
      </w:tr>
      <w:tr w:rsidR="001D304D" w:rsidRPr="00D43349" w14:paraId="0D0676AB" w14:textId="77777777" w:rsidTr="00D43349">
        <w:trPr>
          <w:trHeight w:val="1126"/>
        </w:trPr>
        <w:tc>
          <w:tcPr>
            <w:tcW w:w="1032" w:type="dxa"/>
            <w:noWrap/>
            <w:hideMark/>
          </w:tcPr>
          <w:p w14:paraId="1BAAF5EF" w14:textId="77777777" w:rsidR="00D43349" w:rsidRDefault="001D304D" w:rsidP="00BA05FB">
            <w:pPr>
              <w:pStyle w:val="Body"/>
              <w:spacing w:line="360" w:lineRule="auto"/>
              <w:ind w:left="720" w:hanging="720"/>
              <w:jc w:val="both"/>
              <w:rPr>
                <w:rFonts w:ascii="Book Antiqua" w:hAnsi="Book Antiqua"/>
                <w:szCs w:val="24"/>
                <w:lang w:eastAsia="zh-CN"/>
              </w:rPr>
            </w:pPr>
            <w:r w:rsidRPr="00D43349">
              <w:rPr>
                <w:rFonts w:ascii="Book Antiqua" w:hAnsi="Book Antiqua"/>
                <w:szCs w:val="24"/>
              </w:rPr>
              <w:t>Clinical</w:t>
            </w:r>
          </w:p>
          <w:p w14:paraId="73F86A76" w14:textId="08A99AF5"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 xml:space="preserve"> group </w:t>
            </w:r>
          </w:p>
        </w:tc>
        <w:tc>
          <w:tcPr>
            <w:tcW w:w="9142" w:type="dxa"/>
            <w:gridSpan w:val="5"/>
            <w:noWrap/>
            <w:hideMark/>
          </w:tcPr>
          <w:p w14:paraId="1C192E00"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Description</w:t>
            </w:r>
          </w:p>
        </w:tc>
      </w:tr>
      <w:tr w:rsidR="001D304D" w:rsidRPr="00D43349" w14:paraId="05B9BEAC" w14:textId="77777777" w:rsidTr="00D43349">
        <w:trPr>
          <w:trHeight w:val="375"/>
        </w:trPr>
        <w:tc>
          <w:tcPr>
            <w:tcW w:w="1032" w:type="dxa"/>
            <w:noWrap/>
            <w:hideMark/>
          </w:tcPr>
          <w:p w14:paraId="4C03283B"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I</w:t>
            </w:r>
          </w:p>
        </w:tc>
        <w:tc>
          <w:tcPr>
            <w:tcW w:w="9142" w:type="dxa"/>
            <w:gridSpan w:val="5"/>
            <w:noWrap/>
            <w:hideMark/>
          </w:tcPr>
          <w:p w14:paraId="302B3C6C"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Localized disease, completely resected</w:t>
            </w:r>
          </w:p>
        </w:tc>
      </w:tr>
      <w:tr w:rsidR="001D304D" w:rsidRPr="00D43349" w14:paraId="49CC9058" w14:textId="77777777" w:rsidTr="00D43349">
        <w:trPr>
          <w:trHeight w:val="375"/>
        </w:trPr>
        <w:tc>
          <w:tcPr>
            <w:tcW w:w="1032" w:type="dxa"/>
            <w:vMerge w:val="restart"/>
            <w:noWrap/>
            <w:hideMark/>
          </w:tcPr>
          <w:p w14:paraId="41D4923E"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II</w:t>
            </w:r>
          </w:p>
        </w:tc>
        <w:tc>
          <w:tcPr>
            <w:tcW w:w="9142" w:type="dxa"/>
            <w:gridSpan w:val="5"/>
            <w:noWrap/>
            <w:hideMark/>
          </w:tcPr>
          <w:p w14:paraId="12FB327D"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Grossly resected tumor with evidence of regional spread</w:t>
            </w:r>
          </w:p>
        </w:tc>
      </w:tr>
      <w:tr w:rsidR="001D304D" w:rsidRPr="00D43349" w14:paraId="4DBAD8EB" w14:textId="77777777" w:rsidTr="00D43349">
        <w:trPr>
          <w:trHeight w:val="375"/>
        </w:trPr>
        <w:tc>
          <w:tcPr>
            <w:tcW w:w="1032" w:type="dxa"/>
            <w:vMerge/>
            <w:hideMark/>
          </w:tcPr>
          <w:p w14:paraId="47CA5CE1" w14:textId="77777777" w:rsidR="001D304D" w:rsidRPr="00D43349" w:rsidRDefault="001D304D" w:rsidP="00BA05FB">
            <w:pPr>
              <w:pStyle w:val="Body"/>
              <w:spacing w:line="360" w:lineRule="auto"/>
              <w:ind w:left="720" w:hanging="720"/>
              <w:jc w:val="both"/>
              <w:rPr>
                <w:rFonts w:ascii="Book Antiqua" w:hAnsi="Book Antiqua"/>
                <w:szCs w:val="24"/>
              </w:rPr>
            </w:pPr>
          </w:p>
        </w:tc>
        <w:tc>
          <w:tcPr>
            <w:tcW w:w="9142" w:type="dxa"/>
            <w:gridSpan w:val="5"/>
            <w:noWrap/>
            <w:hideMark/>
          </w:tcPr>
          <w:p w14:paraId="395A0692"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IIA: Grossly resected tumor with microscopic residual disease</w:t>
            </w:r>
          </w:p>
        </w:tc>
      </w:tr>
      <w:tr w:rsidR="001D304D" w:rsidRPr="00D43349" w14:paraId="1FB7D4CF" w14:textId="77777777" w:rsidTr="00D43349">
        <w:trPr>
          <w:trHeight w:val="375"/>
        </w:trPr>
        <w:tc>
          <w:tcPr>
            <w:tcW w:w="1032" w:type="dxa"/>
            <w:vMerge/>
            <w:hideMark/>
          </w:tcPr>
          <w:p w14:paraId="14208CF6" w14:textId="77777777" w:rsidR="001D304D" w:rsidRPr="00D43349" w:rsidRDefault="001D304D" w:rsidP="00BA05FB">
            <w:pPr>
              <w:pStyle w:val="Body"/>
              <w:spacing w:line="360" w:lineRule="auto"/>
              <w:ind w:left="720" w:hanging="720"/>
              <w:jc w:val="both"/>
              <w:rPr>
                <w:rFonts w:ascii="Book Antiqua" w:hAnsi="Book Antiqua"/>
                <w:szCs w:val="24"/>
              </w:rPr>
            </w:pPr>
          </w:p>
        </w:tc>
        <w:tc>
          <w:tcPr>
            <w:tcW w:w="9142" w:type="dxa"/>
            <w:gridSpan w:val="5"/>
            <w:noWrap/>
            <w:hideMark/>
          </w:tcPr>
          <w:p w14:paraId="3FCC67D3"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IIB: Involved regional nodes completely resected with no microscopic residual disease</w:t>
            </w:r>
          </w:p>
        </w:tc>
      </w:tr>
      <w:tr w:rsidR="001D304D" w:rsidRPr="00D43349" w14:paraId="00EBB553" w14:textId="77777777" w:rsidTr="00D43349">
        <w:trPr>
          <w:trHeight w:val="375"/>
        </w:trPr>
        <w:tc>
          <w:tcPr>
            <w:tcW w:w="1032" w:type="dxa"/>
            <w:vMerge/>
            <w:hideMark/>
          </w:tcPr>
          <w:p w14:paraId="6A6BC3CA" w14:textId="77777777" w:rsidR="001D304D" w:rsidRPr="00D43349" w:rsidRDefault="001D304D" w:rsidP="00BA05FB">
            <w:pPr>
              <w:pStyle w:val="Body"/>
              <w:spacing w:line="360" w:lineRule="auto"/>
              <w:ind w:left="720" w:hanging="720"/>
              <w:jc w:val="both"/>
              <w:rPr>
                <w:rFonts w:ascii="Book Antiqua" w:hAnsi="Book Antiqua"/>
                <w:szCs w:val="24"/>
              </w:rPr>
            </w:pPr>
          </w:p>
        </w:tc>
        <w:tc>
          <w:tcPr>
            <w:tcW w:w="9142" w:type="dxa"/>
            <w:gridSpan w:val="5"/>
            <w:noWrap/>
            <w:hideMark/>
          </w:tcPr>
          <w:p w14:paraId="43431E3C"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IIC: Involved regional nodes grossly resected with evidence of microscopic residual disease</w:t>
            </w:r>
          </w:p>
        </w:tc>
      </w:tr>
      <w:tr w:rsidR="001D304D" w:rsidRPr="00D43349" w14:paraId="0A318CD2" w14:textId="77777777" w:rsidTr="00D43349">
        <w:trPr>
          <w:trHeight w:val="775"/>
        </w:trPr>
        <w:tc>
          <w:tcPr>
            <w:tcW w:w="1032" w:type="dxa"/>
            <w:noWrap/>
            <w:hideMark/>
          </w:tcPr>
          <w:p w14:paraId="6D97D63D"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lastRenderedPageBreak/>
              <w:t>III</w:t>
            </w:r>
          </w:p>
        </w:tc>
        <w:tc>
          <w:tcPr>
            <w:tcW w:w="9142" w:type="dxa"/>
            <w:gridSpan w:val="5"/>
            <w:hideMark/>
          </w:tcPr>
          <w:p w14:paraId="7502DEFD"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Incomplete resection with gross residual disease after biopsy or after gross or major resection of the primary tumor</w:t>
            </w:r>
          </w:p>
        </w:tc>
      </w:tr>
      <w:tr w:rsidR="001D304D" w:rsidRPr="00D43349" w14:paraId="42CB5523" w14:textId="77777777" w:rsidTr="00D43349">
        <w:trPr>
          <w:trHeight w:val="375"/>
        </w:trPr>
        <w:tc>
          <w:tcPr>
            <w:tcW w:w="1032" w:type="dxa"/>
            <w:noWrap/>
            <w:hideMark/>
          </w:tcPr>
          <w:p w14:paraId="29F3FFF9"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IV</w:t>
            </w:r>
          </w:p>
        </w:tc>
        <w:tc>
          <w:tcPr>
            <w:tcW w:w="9142" w:type="dxa"/>
            <w:gridSpan w:val="5"/>
            <w:noWrap/>
            <w:hideMark/>
          </w:tcPr>
          <w:p w14:paraId="10AFC954"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Distant metastatic disease present at diagnosis</w:t>
            </w:r>
          </w:p>
        </w:tc>
      </w:tr>
    </w:tbl>
    <w:p w14:paraId="7FA70951" w14:textId="19105685" w:rsidR="00D43349" w:rsidRPr="00FA0597" w:rsidRDefault="00D43349" w:rsidP="00BA05FB">
      <w:pPr>
        <w:pStyle w:val="Body"/>
        <w:spacing w:line="360" w:lineRule="auto"/>
        <w:jc w:val="both"/>
        <w:rPr>
          <w:rFonts w:ascii="Book Antiqua" w:hAnsi="Book Antiqua"/>
          <w:szCs w:val="24"/>
          <w:lang w:eastAsia="zh-CN"/>
        </w:rPr>
      </w:pPr>
      <w:r w:rsidRPr="00D43349">
        <w:rPr>
          <w:rFonts w:ascii="Book Antiqua" w:hAnsi="Book Antiqua" w:hint="eastAsia"/>
          <w:szCs w:val="24"/>
          <w:vertAlign w:val="superscript"/>
          <w:lang w:eastAsia="zh-CN"/>
        </w:rPr>
        <w:t>1</w:t>
      </w:r>
      <w:r w:rsidRPr="00D43349">
        <w:rPr>
          <w:rFonts w:ascii="Book Antiqua" w:hAnsi="Book Antiqua"/>
          <w:szCs w:val="24"/>
        </w:rPr>
        <w:t>T</w:t>
      </w:r>
      <w:r>
        <w:rPr>
          <w:rFonts w:ascii="Book Antiqua" w:hAnsi="Book Antiqua" w:hint="eastAsia"/>
          <w:szCs w:val="24"/>
          <w:lang w:eastAsia="zh-CN"/>
        </w:rPr>
        <w:t>:</w:t>
      </w:r>
      <w:r w:rsidRPr="00D43349">
        <w:rPr>
          <w:rFonts w:ascii="Book Antiqua" w:hAnsi="Book Antiqua"/>
          <w:szCs w:val="24"/>
        </w:rPr>
        <w:t xml:space="preserve"> Tumor; T1</w:t>
      </w:r>
      <w:r>
        <w:rPr>
          <w:rFonts w:ascii="Book Antiqua" w:hAnsi="Book Antiqua" w:hint="eastAsia"/>
          <w:szCs w:val="24"/>
          <w:lang w:eastAsia="zh-CN"/>
        </w:rPr>
        <w:t>:</w:t>
      </w:r>
      <w:r w:rsidRPr="00D43349">
        <w:rPr>
          <w:rFonts w:ascii="Book Antiqua" w:hAnsi="Book Antiqua"/>
          <w:szCs w:val="24"/>
        </w:rPr>
        <w:t xml:space="preserve"> Confined to the anatomic origin; T2</w:t>
      </w:r>
      <w:r>
        <w:rPr>
          <w:rFonts w:ascii="Book Antiqua" w:hAnsi="Book Antiqua" w:hint="eastAsia"/>
          <w:szCs w:val="24"/>
          <w:lang w:eastAsia="zh-CN"/>
        </w:rPr>
        <w:t>:</w:t>
      </w:r>
      <w:r w:rsidRPr="00D43349">
        <w:rPr>
          <w:rFonts w:ascii="Book Antiqua" w:hAnsi="Book Antiqua"/>
          <w:szCs w:val="24"/>
        </w:rPr>
        <w:t xml:space="preserve"> Extension and/or fixation to surrounding tissue</w:t>
      </w:r>
      <w:r>
        <w:rPr>
          <w:rFonts w:ascii="Book Antiqua" w:hAnsi="Book Antiqua" w:hint="eastAsia"/>
          <w:szCs w:val="24"/>
          <w:lang w:eastAsia="zh-CN"/>
        </w:rPr>
        <w:t xml:space="preserve">; </w:t>
      </w:r>
      <w:r w:rsidRPr="00D43349">
        <w:rPr>
          <w:rFonts w:ascii="Book Antiqua" w:hAnsi="Book Antiqua" w:hint="eastAsia"/>
          <w:szCs w:val="24"/>
          <w:vertAlign w:val="superscript"/>
          <w:lang w:eastAsia="zh-CN"/>
        </w:rPr>
        <w:t>2</w:t>
      </w:r>
      <w:r>
        <w:rPr>
          <w:rFonts w:ascii="Book Antiqua" w:hAnsi="Book Antiqua"/>
          <w:szCs w:val="24"/>
        </w:rPr>
        <w:t>Size</w:t>
      </w:r>
      <w:r w:rsidR="00FA0597">
        <w:rPr>
          <w:rFonts w:ascii="Book Antiqua" w:hAnsi="Book Antiqua" w:hint="eastAsia"/>
          <w:szCs w:val="24"/>
          <w:lang w:eastAsia="zh-CN"/>
        </w:rPr>
        <w:t>,</w:t>
      </w:r>
      <w:r>
        <w:rPr>
          <w:rFonts w:ascii="Book Antiqua" w:hAnsi="Book Antiqua"/>
          <w:szCs w:val="24"/>
        </w:rPr>
        <w:t xml:space="preserve"> a</w:t>
      </w:r>
      <w:r>
        <w:rPr>
          <w:rFonts w:ascii="Book Antiqua" w:hAnsi="Book Antiqua" w:hint="eastAsia"/>
          <w:szCs w:val="24"/>
          <w:lang w:eastAsia="zh-CN"/>
        </w:rPr>
        <w:t>:</w:t>
      </w:r>
      <w:r w:rsidRPr="00D43349">
        <w:rPr>
          <w:rFonts w:ascii="Book Antiqua" w:hAnsi="Book Antiqua"/>
          <w:szCs w:val="24"/>
        </w:rPr>
        <w:t xml:space="preserve"> </w:t>
      </w:r>
      <w:r w:rsidRPr="0002685C">
        <w:rPr>
          <w:rFonts w:ascii="Book Antiqua" w:hAnsi="Book Antiqua"/>
          <w:szCs w:val="24"/>
        </w:rPr>
        <w:t>≤</w:t>
      </w:r>
      <w:r w:rsidRPr="00D43349">
        <w:rPr>
          <w:rFonts w:ascii="Book Antiqua" w:hAnsi="Book Antiqua"/>
          <w:szCs w:val="24"/>
        </w:rPr>
        <w:t xml:space="preserve"> </w:t>
      </w:r>
      <w:r>
        <w:rPr>
          <w:rFonts w:ascii="Book Antiqua" w:hAnsi="Book Antiqua"/>
          <w:szCs w:val="24"/>
        </w:rPr>
        <w:t>5 cm; b</w:t>
      </w:r>
      <w:r w:rsidR="00FA0597">
        <w:rPr>
          <w:rFonts w:ascii="Book Antiqua" w:hAnsi="Book Antiqua" w:hint="eastAsia"/>
          <w:szCs w:val="24"/>
          <w:lang w:eastAsia="zh-CN"/>
        </w:rPr>
        <w:t>:</w:t>
      </w:r>
      <w:r w:rsidRPr="00D43349">
        <w:rPr>
          <w:rFonts w:ascii="Book Antiqua" w:hAnsi="Book Antiqua"/>
          <w:szCs w:val="24"/>
        </w:rPr>
        <w:t xml:space="preserve"> </w:t>
      </w:r>
      <w:r w:rsidRPr="0002685C">
        <w:rPr>
          <w:rFonts w:ascii="Book Antiqua" w:hAnsi="Book Antiqua"/>
          <w:szCs w:val="24"/>
        </w:rPr>
        <w:t>&gt;</w:t>
      </w:r>
      <w:r w:rsidRPr="00D43349">
        <w:rPr>
          <w:rFonts w:ascii="Book Antiqua" w:hAnsi="Book Antiqua"/>
          <w:szCs w:val="24"/>
        </w:rPr>
        <w:t xml:space="preserve"> 5 cm</w:t>
      </w:r>
      <w:r w:rsidR="00FA0597">
        <w:rPr>
          <w:rFonts w:ascii="Book Antiqua" w:hAnsi="Book Antiqua" w:hint="eastAsia"/>
          <w:szCs w:val="24"/>
          <w:lang w:eastAsia="zh-CN"/>
        </w:rPr>
        <w:t xml:space="preserve">; </w:t>
      </w:r>
      <w:r w:rsidR="00FA0597" w:rsidRPr="00D43349">
        <w:rPr>
          <w:rFonts w:ascii="Book Antiqua" w:hAnsi="Book Antiqua" w:hint="eastAsia"/>
          <w:szCs w:val="24"/>
          <w:vertAlign w:val="superscript"/>
          <w:lang w:eastAsia="zh-CN"/>
        </w:rPr>
        <w:t>3</w:t>
      </w:r>
      <w:r w:rsidR="00FA0597" w:rsidRPr="00D43349">
        <w:rPr>
          <w:rFonts w:ascii="Book Antiqua" w:hAnsi="Book Antiqua"/>
          <w:szCs w:val="24"/>
        </w:rPr>
        <w:t>N</w:t>
      </w:r>
      <w:r w:rsidR="00FA0597">
        <w:rPr>
          <w:rFonts w:ascii="Book Antiqua" w:hAnsi="Book Antiqua" w:hint="eastAsia"/>
          <w:szCs w:val="24"/>
          <w:lang w:eastAsia="zh-CN"/>
        </w:rPr>
        <w:t>:</w:t>
      </w:r>
      <w:r w:rsidR="00FA0597" w:rsidRPr="00D43349">
        <w:rPr>
          <w:rFonts w:ascii="Book Antiqua" w:hAnsi="Book Antiqua"/>
          <w:szCs w:val="24"/>
        </w:rPr>
        <w:t xml:space="preserve"> Regional nodes; N0</w:t>
      </w:r>
      <w:r w:rsidR="00FA0597">
        <w:rPr>
          <w:rFonts w:ascii="Book Antiqua" w:hAnsi="Book Antiqua" w:hint="eastAsia"/>
          <w:szCs w:val="24"/>
          <w:lang w:eastAsia="zh-CN"/>
        </w:rPr>
        <w:t>:</w:t>
      </w:r>
      <w:r w:rsidR="00FA0597" w:rsidRPr="00D43349">
        <w:rPr>
          <w:rFonts w:ascii="Book Antiqua" w:hAnsi="Book Antiqua"/>
          <w:szCs w:val="24"/>
        </w:rPr>
        <w:t xml:space="preserve"> Regional nodes not clinically involved; Nx</w:t>
      </w:r>
      <w:r w:rsidR="00FA0597">
        <w:rPr>
          <w:rFonts w:ascii="Book Antiqua" w:hAnsi="Book Antiqua" w:hint="eastAsia"/>
          <w:szCs w:val="24"/>
          <w:lang w:eastAsia="zh-CN"/>
        </w:rPr>
        <w:t>:</w:t>
      </w:r>
      <w:r w:rsidR="00FA0597" w:rsidRPr="00D43349">
        <w:rPr>
          <w:rFonts w:ascii="Book Antiqua" w:hAnsi="Book Antiqua"/>
          <w:szCs w:val="24"/>
        </w:rPr>
        <w:t xml:space="preserve"> Clinical status of regional nodes unknown; N1</w:t>
      </w:r>
      <w:r w:rsidR="00FA0597">
        <w:rPr>
          <w:rFonts w:ascii="Book Antiqua" w:hAnsi="Book Antiqua" w:hint="eastAsia"/>
          <w:szCs w:val="24"/>
          <w:lang w:eastAsia="zh-CN"/>
        </w:rPr>
        <w:t>:</w:t>
      </w:r>
      <w:r w:rsidR="00FA0597" w:rsidRPr="00D43349">
        <w:rPr>
          <w:rFonts w:ascii="Book Antiqua" w:hAnsi="Book Antiqua"/>
          <w:szCs w:val="24"/>
        </w:rPr>
        <w:t xml:space="preserve"> Regional </w:t>
      </w:r>
      <w:r w:rsidR="00FA0597">
        <w:rPr>
          <w:rFonts w:ascii="Book Antiqua" w:hAnsi="Book Antiqua"/>
          <w:szCs w:val="24"/>
        </w:rPr>
        <w:t>nodes clinically involved</w:t>
      </w:r>
      <w:r w:rsidR="00FA0597">
        <w:rPr>
          <w:rFonts w:ascii="Book Antiqua" w:hAnsi="Book Antiqua" w:hint="eastAsia"/>
          <w:szCs w:val="24"/>
          <w:lang w:eastAsia="zh-CN"/>
        </w:rPr>
        <w:t xml:space="preserve">; </w:t>
      </w:r>
      <w:r w:rsidR="00FA0597" w:rsidRPr="00D43349">
        <w:rPr>
          <w:rFonts w:ascii="Book Antiqua" w:hAnsi="Book Antiqua" w:hint="eastAsia"/>
          <w:szCs w:val="24"/>
          <w:vertAlign w:val="superscript"/>
          <w:lang w:eastAsia="zh-CN"/>
        </w:rPr>
        <w:t>4</w:t>
      </w:r>
      <w:r w:rsidR="00FA0597" w:rsidRPr="00D43349">
        <w:rPr>
          <w:rFonts w:ascii="Book Antiqua" w:hAnsi="Book Antiqua"/>
          <w:szCs w:val="24"/>
        </w:rPr>
        <w:t>M</w:t>
      </w:r>
      <w:r w:rsidR="00FA0597">
        <w:rPr>
          <w:rFonts w:ascii="Book Antiqua" w:hAnsi="Book Antiqua" w:hint="eastAsia"/>
          <w:szCs w:val="24"/>
          <w:lang w:eastAsia="zh-CN"/>
        </w:rPr>
        <w:t>:</w:t>
      </w:r>
      <w:r w:rsidR="00FA0597" w:rsidRPr="00D43349">
        <w:rPr>
          <w:rFonts w:ascii="Book Antiqua" w:hAnsi="Book Antiqua"/>
          <w:szCs w:val="24"/>
        </w:rPr>
        <w:t xml:space="preserve"> Metastasis; M0</w:t>
      </w:r>
      <w:r w:rsidR="00FA0597">
        <w:rPr>
          <w:rFonts w:ascii="Book Antiqua" w:hAnsi="Book Antiqua" w:hint="eastAsia"/>
          <w:szCs w:val="24"/>
          <w:lang w:eastAsia="zh-CN"/>
        </w:rPr>
        <w:t>:</w:t>
      </w:r>
      <w:r w:rsidR="00FA0597" w:rsidRPr="00D43349">
        <w:rPr>
          <w:rFonts w:ascii="Book Antiqua" w:hAnsi="Book Antiqua"/>
          <w:szCs w:val="24"/>
        </w:rPr>
        <w:t xml:space="preserve"> No distant metastasis; M1</w:t>
      </w:r>
      <w:r w:rsidR="00FA0597">
        <w:rPr>
          <w:rFonts w:ascii="Book Antiqua" w:hAnsi="Book Antiqua" w:hint="eastAsia"/>
          <w:szCs w:val="24"/>
          <w:lang w:eastAsia="zh-CN"/>
        </w:rPr>
        <w:t>:</w:t>
      </w:r>
      <w:r w:rsidR="00FA0597" w:rsidRPr="00D43349">
        <w:rPr>
          <w:rFonts w:ascii="Book Antiqua" w:hAnsi="Book Antiqua"/>
          <w:szCs w:val="24"/>
        </w:rPr>
        <w:t xml:space="preserve"> Distant metastasis present (includes positive cytology in pleural, peritoneal or cerebrospinal fluid)</w:t>
      </w:r>
      <w:r w:rsidR="00FA0597">
        <w:rPr>
          <w:rFonts w:ascii="Book Antiqua" w:hAnsi="Book Antiqua" w:hint="eastAsia"/>
          <w:szCs w:val="24"/>
          <w:lang w:eastAsia="zh-CN"/>
        </w:rPr>
        <w:t>.</w:t>
      </w:r>
    </w:p>
    <w:p w14:paraId="097E62E6" w14:textId="77777777" w:rsidR="00FA0597" w:rsidRDefault="00FA0597" w:rsidP="00BA05FB">
      <w:pPr>
        <w:spacing w:line="360" w:lineRule="auto"/>
        <w:jc w:val="both"/>
        <w:rPr>
          <w:rFonts w:ascii="Book Antiqua" w:hAnsi="Book Antiqua"/>
          <w:color w:val="000000"/>
          <w:szCs w:val="24"/>
        </w:rPr>
      </w:pPr>
      <w:r>
        <w:rPr>
          <w:rFonts w:ascii="Book Antiqua" w:hAnsi="Book Antiqua"/>
          <w:szCs w:val="24"/>
        </w:rPr>
        <w:br w:type="page"/>
      </w:r>
    </w:p>
    <w:p w14:paraId="7A639F15" w14:textId="5CB0E642" w:rsidR="001D304D" w:rsidRPr="00FA0597" w:rsidRDefault="00FA0597" w:rsidP="00BA05FB">
      <w:pPr>
        <w:pStyle w:val="Body"/>
        <w:spacing w:line="360" w:lineRule="auto"/>
        <w:jc w:val="both"/>
        <w:rPr>
          <w:rFonts w:ascii="Book Antiqua" w:hAnsi="Book Antiqua"/>
          <w:b/>
          <w:color w:val="auto"/>
          <w:szCs w:val="24"/>
        </w:rPr>
      </w:pPr>
      <w:r w:rsidRPr="00FA0597">
        <w:rPr>
          <w:rFonts w:ascii="Book Antiqua" w:hAnsi="Book Antiqua"/>
          <w:b/>
          <w:szCs w:val="24"/>
        </w:rPr>
        <w:lastRenderedPageBreak/>
        <w:t>Table 2 Risk group stratification for rhabdomyosarcoma according to the International Rhabdomyosarcoma Study</w:t>
      </w:r>
    </w:p>
    <w:tbl>
      <w:tblPr>
        <w:tblStyle w:val="TableGrid"/>
        <w:tblW w:w="0" w:type="auto"/>
        <w:tblLook w:val="04A0" w:firstRow="1" w:lastRow="0" w:firstColumn="1" w:lastColumn="0" w:noHBand="0" w:noVBand="1"/>
      </w:tblPr>
      <w:tblGrid>
        <w:gridCol w:w="2299"/>
        <w:gridCol w:w="1731"/>
        <w:gridCol w:w="3061"/>
        <w:gridCol w:w="2151"/>
      </w:tblGrid>
      <w:tr w:rsidR="001D304D" w:rsidRPr="00D43349" w14:paraId="61EFEC34" w14:textId="77777777" w:rsidTr="00FA0597">
        <w:trPr>
          <w:trHeight w:val="600"/>
        </w:trPr>
        <w:tc>
          <w:tcPr>
            <w:tcW w:w="2299" w:type="dxa"/>
            <w:noWrap/>
            <w:hideMark/>
          </w:tcPr>
          <w:p w14:paraId="733A8D8A" w14:textId="77777777" w:rsidR="001D304D" w:rsidRPr="00FA0597" w:rsidRDefault="001D304D" w:rsidP="00BA05FB">
            <w:pPr>
              <w:pStyle w:val="Body"/>
              <w:spacing w:line="360" w:lineRule="auto"/>
              <w:ind w:left="720" w:hanging="720"/>
              <w:jc w:val="both"/>
              <w:rPr>
                <w:rFonts w:ascii="Book Antiqua" w:hAnsi="Book Antiqua"/>
                <w:b/>
                <w:szCs w:val="24"/>
              </w:rPr>
            </w:pPr>
            <w:r w:rsidRPr="00FA0597">
              <w:rPr>
                <w:rFonts w:ascii="Book Antiqua" w:hAnsi="Book Antiqua"/>
                <w:b/>
                <w:szCs w:val="24"/>
              </w:rPr>
              <w:t>Risk group</w:t>
            </w:r>
          </w:p>
        </w:tc>
        <w:tc>
          <w:tcPr>
            <w:tcW w:w="1731" w:type="dxa"/>
            <w:noWrap/>
            <w:hideMark/>
          </w:tcPr>
          <w:p w14:paraId="2854DFEB" w14:textId="77777777" w:rsidR="001D304D" w:rsidRPr="00FA0597" w:rsidRDefault="001D304D" w:rsidP="00BA05FB">
            <w:pPr>
              <w:pStyle w:val="Body"/>
              <w:spacing w:line="360" w:lineRule="auto"/>
              <w:ind w:left="720" w:hanging="720"/>
              <w:jc w:val="both"/>
              <w:rPr>
                <w:rFonts w:ascii="Book Antiqua" w:hAnsi="Book Antiqua"/>
                <w:b/>
                <w:szCs w:val="24"/>
              </w:rPr>
            </w:pPr>
            <w:r w:rsidRPr="00FA0597">
              <w:rPr>
                <w:rFonts w:ascii="Book Antiqua" w:hAnsi="Book Antiqua"/>
                <w:b/>
                <w:szCs w:val="24"/>
              </w:rPr>
              <w:t>Histology</w:t>
            </w:r>
          </w:p>
        </w:tc>
        <w:tc>
          <w:tcPr>
            <w:tcW w:w="3061" w:type="dxa"/>
            <w:noWrap/>
            <w:hideMark/>
          </w:tcPr>
          <w:p w14:paraId="5B1F0CB7" w14:textId="77777777" w:rsidR="001D304D" w:rsidRPr="00FA0597" w:rsidRDefault="001D304D" w:rsidP="00BA05FB">
            <w:pPr>
              <w:pStyle w:val="Body"/>
              <w:spacing w:line="360" w:lineRule="auto"/>
              <w:ind w:left="720" w:hanging="720"/>
              <w:jc w:val="both"/>
              <w:rPr>
                <w:rFonts w:ascii="Book Antiqua" w:hAnsi="Book Antiqua"/>
                <w:b/>
                <w:szCs w:val="24"/>
              </w:rPr>
            </w:pPr>
            <w:r w:rsidRPr="00FA0597">
              <w:rPr>
                <w:rFonts w:ascii="Book Antiqua" w:hAnsi="Book Antiqua"/>
                <w:b/>
                <w:szCs w:val="24"/>
              </w:rPr>
              <w:t>Pretreatment stage</w:t>
            </w:r>
          </w:p>
        </w:tc>
        <w:tc>
          <w:tcPr>
            <w:tcW w:w="2151" w:type="dxa"/>
            <w:noWrap/>
            <w:hideMark/>
          </w:tcPr>
          <w:p w14:paraId="5137BA39" w14:textId="77777777" w:rsidR="001D304D" w:rsidRPr="00FA0597" w:rsidRDefault="001D304D" w:rsidP="00BA05FB">
            <w:pPr>
              <w:pStyle w:val="Body"/>
              <w:spacing w:line="360" w:lineRule="auto"/>
              <w:ind w:left="720" w:hanging="720"/>
              <w:jc w:val="both"/>
              <w:rPr>
                <w:rFonts w:ascii="Book Antiqua" w:hAnsi="Book Antiqua"/>
                <w:b/>
                <w:szCs w:val="24"/>
              </w:rPr>
            </w:pPr>
            <w:r w:rsidRPr="00FA0597">
              <w:rPr>
                <w:rFonts w:ascii="Book Antiqua" w:hAnsi="Book Antiqua"/>
                <w:b/>
                <w:szCs w:val="24"/>
              </w:rPr>
              <w:t>Clinical group</w:t>
            </w:r>
          </w:p>
        </w:tc>
      </w:tr>
      <w:tr w:rsidR="001D304D" w:rsidRPr="00D43349" w14:paraId="5999F386" w14:textId="77777777" w:rsidTr="00FA0597">
        <w:trPr>
          <w:trHeight w:val="300"/>
        </w:trPr>
        <w:tc>
          <w:tcPr>
            <w:tcW w:w="2299" w:type="dxa"/>
            <w:vMerge w:val="restart"/>
            <w:noWrap/>
            <w:hideMark/>
          </w:tcPr>
          <w:p w14:paraId="4C457C61"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Low (subset 1)</w:t>
            </w:r>
          </w:p>
        </w:tc>
        <w:tc>
          <w:tcPr>
            <w:tcW w:w="1731" w:type="dxa"/>
            <w:vMerge w:val="restart"/>
            <w:noWrap/>
            <w:hideMark/>
          </w:tcPr>
          <w:p w14:paraId="20C167E3"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embryonal</w:t>
            </w:r>
          </w:p>
        </w:tc>
        <w:tc>
          <w:tcPr>
            <w:tcW w:w="3061" w:type="dxa"/>
            <w:noWrap/>
            <w:hideMark/>
          </w:tcPr>
          <w:p w14:paraId="36BB305B"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1</w:t>
            </w:r>
          </w:p>
        </w:tc>
        <w:tc>
          <w:tcPr>
            <w:tcW w:w="2151" w:type="dxa"/>
            <w:noWrap/>
            <w:hideMark/>
          </w:tcPr>
          <w:p w14:paraId="463AD213"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I,II</w:t>
            </w:r>
          </w:p>
        </w:tc>
      </w:tr>
      <w:tr w:rsidR="001D304D" w:rsidRPr="00D43349" w14:paraId="27FACBB6" w14:textId="77777777" w:rsidTr="00FA0597">
        <w:trPr>
          <w:trHeight w:val="300"/>
        </w:trPr>
        <w:tc>
          <w:tcPr>
            <w:tcW w:w="2299" w:type="dxa"/>
            <w:vMerge/>
            <w:hideMark/>
          </w:tcPr>
          <w:p w14:paraId="0220469B" w14:textId="77777777" w:rsidR="001D304D" w:rsidRPr="00D43349" w:rsidRDefault="001D304D" w:rsidP="00BA05FB">
            <w:pPr>
              <w:pStyle w:val="Body"/>
              <w:spacing w:line="360" w:lineRule="auto"/>
              <w:ind w:left="720" w:hanging="720"/>
              <w:jc w:val="both"/>
              <w:rPr>
                <w:rFonts w:ascii="Book Antiqua" w:hAnsi="Book Antiqua"/>
                <w:szCs w:val="24"/>
              </w:rPr>
            </w:pPr>
          </w:p>
        </w:tc>
        <w:tc>
          <w:tcPr>
            <w:tcW w:w="1731" w:type="dxa"/>
            <w:vMerge/>
            <w:hideMark/>
          </w:tcPr>
          <w:p w14:paraId="2B416381" w14:textId="77777777" w:rsidR="001D304D" w:rsidRPr="00D43349" w:rsidRDefault="001D304D" w:rsidP="00BA05FB">
            <w:pPr>
              <w:pStyle w:val="Body"/>
              <w:spacing w:line="360" w:lineRule="auto"/>
              <w:ind w:left="720" w:hanging="720"/>
              <w:jc w:val="both"/>
              <w:rPr>
                <w:rFonts w:ascii="Book Antiqua" w:hAnsi="Book Antiqua"/>
                <w:szCs w:val="24"/>
              </w:rPr>
            </w:pPr>
          </w:p>
        </w:tc>
        <w:tc>
          <w:tcPr>
            <w:tcW w:w="3061" w:type="dxa"/>
            <w:noWrap/>
            <w:hideMark/>
          </w:tcPr>
          <w:p w14:paraId="06931261"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1</w:t>
            </w:r>
          </w:p>
        </w:tc>
        <w:tc>
          <w:tcPr>
            <w:tcW w:w="2151" w:type="dxa"/>
            <w:noWrap/>
            <w:hideMark/>
          </w:tcPr>
          <w:p w14:paraId="5334B46E"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III (orbit)</w:t>
            </w:r>
          </w:p>
        </w:tc>
      </w:tr>
      <w:tr w:rsidR="001D304D" w:rsidRPr="00D43349" w14:paraId="6EBAFA6D" w14:textId="77777777" w:rsidTr="00FA0597">
        <w:trPr>
          <w:trHeight w:val="300"/>
        </w:trPr>
        <w:tc>
          <w:tcPr>
            <w:tcW w:w="2299" w:type="dxa"/>
            <w:vMerge/>
            <w:hideMark/>
          </w:tcPr>
          <w:p w14:paraId="5B65C03C" w14:textId="77777777" w:rsidR="001D304D" w:rsidRPr="00D43349" w:rsidRDefault="001D304D" w:rsidP="00BA05FB">
            <w:pPr>
              <w:pStyle w:val="Body"/>
              <w:spacing w:line="360" w:lineRule="auto"/>
              <w:ind w:left="720" w:hanging="720"/>
              <w:jc w:val="both"/>
              <w:rPr>
                <w:rFonts w:ascii="Book Antiqua" w:hAnsi="Book Antiqua"/>
                <w:szCs w:val="24"/>
              </w:rPr>
            </w:pPr>
          </w:p>
        </w:tc>
        <w:tc>
          <w:tcPr>
            <w:tcW w:w="1731" w:type="dxa"/>
            <w:vMerge/>
            <w:hideMark/>
          </w:tcPr>
          <w:p w14:paraId="698CA3B2" w14:textId="77777777" w:rsidR="001D304D" w:rsidRPr="00D43349" w:rsidRDefault="001D304D" w:rsidP="00BA05FB">
            <w:pPr>
              <w:pStyle w:val="Body"/>
              <w:spacing w:line="360" w:lineRule="auto"/>
              <w:ind w:left="720" w:hanging="720"/>
              <w:jc w:val="both"/>
              <w:rPr>
                <w:rFonts w:ascii="Book Antiqua" w:hAnsi="Book Antiqua"/>
                <w:szCs w:val="24"/>
              </w:rPr>
            </w:pPr>
          </w:p>
        </w:tc>
        <w:tc>
          <w:tcPr>
            <w:tcW w:w="3061" w:type="dxa"/>
            <w:noWrap/>
            <w:hideMark/>
          </w:tcPr>
          <w:p w14:paraId="5370E510"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2</w:t>
            </w:r>
          </w:p>
        </w:tc>
        <w:tc>
          <w:tcPr>
            <w:tcW w:w="2151" w:type="dxa"/>
            <w:noWrap/>
            <w:hideMark/>
          </w:tcPr>
          <w:p w14:paraId="2D108B41"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I,II</w:t>
            </w:r>
          </w:p>
        </w:tc>
      </w:tr>
      <w:tr w:rsidR="001D304D" w:rsidRPr="00D43349" w14:paraId="367F2F63" w14:textId="77777777" w:rsidTr="00FA0597">
        <w:trPr>
          <w:trHeight w:val="300"/>
        </w:trPr>
        <w:tc>
          <w:tcPr>
            <w:tcW w:w="2299" w:type="dxa"/>
            <w:vMerge w:val="restart"/>
            <w:noWrap/>
            <w:hideMark/>
          </w:tcPr>
          <w:p w14:paraId="1626222F"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Low (subset 2)</w:t>
            </w:r>
          </w:p>
        </w:tc>
        <w:tc>
          <w:tcPr>
            <w:tcW w:w="1731" w:type="dxa"/>
            <w:vMerge/>
            <w:hideMark/>
          </w:tcPr>
          <w:p w14:paraId="4FFA1ED8" w14:textId="77777777" w:rsidR="001D304D" w:rsidRPr="00D43349" w:rsidRDefault="001D304D" w:rsidP="00BA05FB">
            <w:pPr>
              <w:pStyle w:val="Body"/>
              <w:spacing w:line="360" w:lineRule="auto"/>
              <w:ind w:left="720" w:hanging="720"/>
              <w:jc w:val="both"/>
              <w:rPr>
                <w:rFonts w:ascii="Book Antiqua" w:hAnsi="Book Antiqua"/>
                <w:szCs w:val="24"/>
              </w:rPr>
            </w:pPr>
          </w:p>
        </w:tc>
        <w:tc>
          <w:tcPr>
            <w:tcW w:w="3061" w:type="dxa"/>
            <w:noWrap/>
            <w:hideMark/>
          </w:tcPr>
          <w:p w14:paraId="497E2008"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1</w:t>
            </w:r>
          </w:p>
        </w:tc>
        <w:tc>
          <w:tcPr>
            <w:tcW w:w="2151" w:type="dxa"/>
            <w:noWrap/>
            <w:hideMark/>
          </w:tcPr>
          <w:p w14:paraId="069FAB67"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III (non-orbit)</w:t>
            </w:r>
          </w:p>
        </w:tc>
      </w:tr>
      <w:tr w:rsidR="001D304D" w:rsidRPr="00D43349" w14:paraId="598B941E" w14:textId="77777777" w:rsidTr="00FA0597">
        <w:trPr>
          <w:trHeight w:val="300"/>
        </w:trPr>
        <w:tc>
          <w:tcPr>
            <w:tcW w:w="2299" w:type="dxa"/>
            <w:vMerge/>
            <w:hideMark/>
          </w:tcPr>
          <w:p w14:paraId="4849BFCE" w14:textId="77777777" w:rsidR="001D304D" w:rsidRPr="00D43349" w:rsidRDefault="001D304D" w:rsidP="00BA05FB">
            <w:pPr>
              <w:pStyle w:val="Body"/>
              <w:spacing w:line="360" w:lineRule="auto"/>
              <w:ind w:left="720" w:hanging="720"/>
              <w:jc w:val="both"/>
              <w:rPr>
                <w:rFonts w:ascii="Book Antiqua" w:hAnsi="Book Antiqua"/>
                <w:szCs w:val="24"/>
              </w:rPr>
            </w:pPr>
          </w:p>
        </w:tc>
        <w:tc>
          <w:tcPr>
            <w:tcW w:w="1731" w:type="dxa"/>
            <w:vMerge/>
            <w:hideMark/>
          </w:tcPr>
          <w:p w14:paraId="50502FAE" w14:textId="77777777" w:rsidR="001D304D" w:rsidRPr="00D43349" w:rsidRDefault="001D304D" w:rsidP="00BA05FB">
            <w:pPr>
              <w:pStyle w:val="Body"/>
              <w:spacing w:line="360" w:lineRule="auto"/>
              <w:ind w:left="720" w:hanging="720"/>
              <w:jc w:val="both"/>
              <w:rPr>
                <w:rFonts w:ascii="Book Antiqua" w:hAnsi="Book Antiqua"/>
                <w:szCs w:val="24"/>
              </w:rPr>
            </w:pPr>
          </w:p>
        </w:tc>
        <w:tc>
          <w:tcPr>
            <w:tcW w:w="3061" w:type="dxa"/>
            <w:noWrap/>
            <w:hideMark/>
          </w:tcPr>
          <w:p w14:paraId="2F420AFE"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3</w:t>
            </w:r>
          </w:p>
        </w:tc>
        <w:tc>
          <w:tcPr>
            <w:tcW w:w="2151" w:type="dxa"/>
            <w:noWrap/>
            <w:hideMark/>
          </w:tcPr>
          <w:p w14:paraId="13AC7184"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I,II</w:t>
            </w:r>
          </w:p>
        </w:tc>
      </w:tr>
      <w:tr w:rsidR="001D304D" w:rsidRPr="00D43349" w14:paraId="02CED040" w14:textId="77777777" w:rsidTr="00FA0597">
        <w:trPr>
          <w:trHeight w:val="300"/>
        </w:trPr>
        <w:tc>
          <w:tcPr>
            <w:tcW w:w="2299" w:type="dxa"/>
            <w:vMerge w:val="restart"/>
            <w:noWrap/>
            <w:hideMark/>
          </w:tcPr>
          <w:p w14:paraId="5ABE2175"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Intermediate</w:t>
            </w:r>
          </w:p>
        </w:tc>
        <w:tc>
          <w:tcPr>
            <w:tcW w:w="1731" w:type="dxa"/>
            <w:noWrap/>
            <w:hideMark/>
          </w:tcPr>
          <w:p w14:paraId="4B16682F"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embryonal</w:t>
            </w:r>
          </w:p>
        </w:tc>
        <w:tc>
          <w:tcPr>
            <w:tcW w:w="3061" w:type="dxa"/>
            <w:noWrap/>
            <w:hideMark/>
          </w:tcPr>
          <w:p w14:paraId="35A7B562"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2,3</w:t>
            </w:r>
          </w:p>
        </w:tc>
        <w:tc>
          <w:tcPr>
            <w:tcW w:w="2151" w:type="dxa"/>
            <w:noWrap/>
            <w:hideMark/>
          </w:tcPr>
          <w:p w14:paraId="7DE63010"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III</w:t>
            </w:r>
          </w:p>
        </w:tc>
      </w:tr>
      <w:tr w:rsidR="001D304D" w:rsidRPr="00D43349" w14:paraId="5BAB9228" w14:textId="77777777" w:rsidTr="00FA0597">
        <w:trPr>
          <w:trHeight w:val="300"/>
        </w:trPr>
        <w:tc>
          <w:tcPr>
            <w:tcW w:w="2299" w:type="dxa"/>
            <w:vMerge/>
            <w:hideMark/>
          </w:tcPr>
          <w:p w14:paraId="5317D33B" w14:textId="77777777" w:rsidR="001D304D" w:rsidRPr="00D43349" w:rsidRDefault="001D304D" w:rsidP="00BA05FB">
            <w:pPr>
              <w:pStyle w:val="Body"/>
              <w:spacing w:line="360" w:lineRule="auto"/>
              <w:ind w:left="720" w:hanging="720"/>
              <w:jc w:val="both"/>
              <w:rPr>
                <w:rFonts w:ascii="Book Antiqua" w:hAnsi="Book Antiqua"/>
                <w:szCs w:val="24"/>
              </w:rPr>
            </w:pPr>
          </w:p>
        </w:tc>
        <w:tc>
          <w:tcPr>
            <w:tcW w:w="1731" w:type="dxa"/>
            <w:noWrap/>
            <w:hideMark/>
          </w:tcPr>
          <w:p w14:paraId="540F702D"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alveolar</w:t>
            </w:r>
          </w:p>
        </w:tc>
        <w:tc>
          <w:tcPr>
            <w:tcW w:w="3061" w:type="dxa"/>
            <w:noWrap/>
            <w:hideMark/>
          </w:tcPr>
          <w:p w14:paraId="6F4F54D9"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1,2,3</w:t>
            </w:r>
          </w:p>
        </w:tc>
        <w:tc>
          <w:tcPr>
            <w:tcW w:w="2151" w:type="dxa"/>
            <w:noWrap/>
            <w:hideMark/>
          </w:tcPr>
          <w:p w14:paraId="5176F541"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I, II, III</w:t>
            </w:r>
          </w:p>
        </w:tc>
      </w:tr>
      <w:tr w:rsidR="001D304D" w:rsidRPr="00D43349" w14:paraId="10775442" w14:textId="77777777" w:rsidTr="00FA0597">
        <w:trPr>
          <w:trHeight w:val="300"/>
        </w:trPr>
        <w:tc>
          <w:tcPr>
            <w:tcW w:w="2299" w:type="dxa"/>
            <w:noWrap/>
            <w:hideMark/>
          </w:tcPr>
          <w:p w14:paraId="6012F6AD"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High</w:t>
            </w:r>
          </w:p>
        </w:tc>
        <w:tc>
          <w:tcPr>
            <w:tcW w:w="1731" w:type="dxa"/>
            <w:noWrap/>
            <w:hideMark/>
          </w:tcPr>
          <w:p w14:paraId="528E2523"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any</w:t>
            </w:r>
          </w:p>
        </w:tc>
        <w:tc>
          <w:tcPr>
            <w:tcW w:w="3061" w:type="dxa"/>
            <w:noWrap/>
            <w:hideMark/>
          </w:tcPr>
          <w:p w14:paraId="323384D6"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4</w:t>
            </w:r>
          </w:p>
        </w:tc>
        <w:tc>
          <w:tcPr>
            <w:tcW w:w="2151" w:type="dxa"/>
            <w:noWrap/>
            <w:hideMark/>
          </w:tcPr>
          <w:p w14:paraId="7D7BC667"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IV</w:t>
            </w:r>
          </w:p>
        </w:tc>
      </w:tr>
    </w:tbl>
    <w:p w14:paraId="1B0C20C1" w14:textId="77777777" w:rsidR="00FA0597" w:rsidRDefault="00FA0597" w:rsidP="00BA05FB">
      <w:pPr>
        <w:pStyle w:val="Body"/>
        <w:spacing w:line="360" w:lineRule="auto"/>
        <w:jc w:val="both"/>
        <w:rPr>
          <w:rFonts w:ascii="Book Antiqua" w:hAnsi="Book Antiqua"/>
          <w:color w:val="auto"/>
          <w:szCs w:val="24"/>
          <w:lang w:eastAsia="zh-CN"/>
        </w:rPr>
      </w:pPr>
    </w:p>
    <w:p w14:paraId="39545AC2" w14:textId="77777777" w:rsidR="00FA0597" w:rsidRDefault="00FA0597" w:rsidP="00BA05FB">
      <w:pPr>
        <w:spacing w:line="360" w:lineRule="auto"/>
        <w:jc w:val="both"/>
        <w:rPr>
          <w:rFonts w:ascii="Book Antiqua" w:hAnsi="Book Antiqua"/>
          <w:color w:val="000000"/>
          <w:szCs w:val="24"/>
        </w:rPr>
      </w:pPr>
      <w:r>
        <w:rPr>
          <w:rFonts w:ascii="Book Antiqua" w:hAnsi="Book Antiqua"/>
          <w:szCs w:val="24"/>
        </w:rPr>
        <w:br w:type="page"/>
      </w:r>
    </w:p>
    <w:p w14:paraId="62D1A087" w14:textId="3B514F1A" w:rsidR="001D304D" w:rsidRPr="00FA0597" w:rsidRDefault="00FA0597" w:rsidP="00BA05FB">
      <w:pPr>
        <w:pStyle w:val="Body"/>
        <w:spacing w:line="360" w:lineRule="auto"/>
        <w:jc w:val="both"/>
        <w:rPr>
          <w:rFonts w:ascii="Book Antiqua" w:hAnsi="Book Antiqua"/>
          <w:b/>
          <w:color w:val="auto"/>
          <w:szCs w:val="24"/>
        </w:rPr>
      </w:pPr>
      <w:r w:rsidRPr="00FA0597">
        <w:rPr>
          <w:rFonts w:ascii="Book Antiqua" w:hAnsi="Book Antiqua"/>
          <w:b/>
          <w:szCs w:val="24"/>
        </w:rPr>
        <w:lastRenderedPageBreak/>
        <w:t>Table 3 Risk stratification in nonrhabdomyosarcoma soft tissue sarcoma and treatment proposal according to the Children's Oncology Group (NCT00346164)</w:t>
      </w:r>
    </w:p>
    <w:tbl>
      <w:tblPr>
        <w:tblStyle w:val="TableGrid"/>
        <w:tblW w:w="0" w:type="auto"/>
        <w:tblLook w:val="04A0" w:firstRow="1" w:lastRow="0" w:firstColumn="1" w:lastColumn="0" w:noHBand="0" w:noVBand="1"/>
      </w:tblPr>
      <w:tblGrid>
        <w:gridCol w:w="1387"/>
        <w:gridCol w:w="873"/>
        <w:gridCol w:w="611"/>
        <w:gridCol w:w="1546"/>
        <w:gridCol w:w="2044"/>
        <w:gridCol w:w="2781"/>
      </w:tblGrid>
      <w:tr w:rsidR="001D304D" w:rsidRPr="00D43349" w14:paraId="5AECAEEB" w14:textId="77777777" w:rsidTr="00FA0597">
        <w:trPr>
          <w:trHeight w:val="580"/>
        </w:trPr>
        <w:tc>
          <w:tcPr>
            <w:tcW w:w="1122" w:type="dxa"/>
            <w:vMerge w:val="restart"/>
            <w:noWrap/>
            <w:hideMark/>
          </w:tcPr>
          <w:p w14:paraId="3A23DE26"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Risk group</w:t>
            </w:r>
          </w:p>
        </w:tc>
        <w:tc>
          <w:tcPr>
            <w:tcW w:w="724" w:type="dxa"/>
            <w:noWrap/>
            <w:hideMark/>
          </w:tcPr>
          <w:p w14:paraId="0D0E3971"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Factors</w:t>
            </w:r>
          </w:p>
        </w:tc>
        <w:tc>
          <w:tcPr>
            <w:tcW w:w="602" w:type="dxa"/>
            <w:noWrap/>
            <w:hideMark/>
          </w:tcPr>
          <w:p w14:paraId="75BE4B29"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 </w:t>
            </w:r>
          </w:p>
        </w:tc>
        <w:tc>
          <w:tcPr>
            <w:tcW w:w="1243" w:type="dxa"/>
            <w:noWrap/>
            <w:hideMark/>
          </w:tcPr>
          <w:p w14:paraId="20565D0E"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 </w:t>
            </w:r>
          </w:p>
        </w:tc>
        <w:tc>
          <w:tcPr>
            <w:tcW w:w="2346" w:type="dxa"/>
            <w:noWrap/>
            <w:hideMark/>
          </w:tcPr>
          <w:p w14:paraId="2C3CB0FD"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 </w:t>
            </w:r>
          </w:p>
        </w:tc>
        <w:tc>
          <w:tcPr>
            <w:tcW w:w="3205" w:type="dxa"/>
            <w:noWrap/>
            <w:hideMark/>
          </w:tcPr>
          <w:p w14:paraId="2F5E97A7"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Proposed treatment</w:t>
            </w:r>
          </w:p>
        </w:tc>
      </w:tr>
      <w:tr w:rsidR="001D304D" w:rsidRPr="00D43349" w14:paraId="2DEF31FD" w14:textId="77777777" w:rsidTr="00FA0597">
        <w:trPr>
          <w:trHeight w:val="300"/>
        </w:trPr>
        <w:tc>
          <w:tcPr>
            <w:tcW w:w="1122" w:type="dxa"/>
            <w:vMerge/>
            <w:hideMark/>
          </w:tcPr>
          <w:p w14:paraId="44FF51A0" w14:textId="77777777" w:rsidR="001D304D" w:rsidRPr="00D43349" w:rsidRDefault="001D304D" w:rsidP="00BA05FB">
            <w:pPr>
              <w:pStyle w:val="Body"/>
              <w:spacing w:line="360" w:lineRule="auto"/>
              <w:ind w:left="720" w:hanging="720"/>
              <w:jc w:val="both"/>
              <w:rPr>
                <w:rFonts w:ascii="Book Antiqua" w:hAnsi="Book Antiqua"/>
                <w:szCs w:val="24"/>
              </w:rPr>
            </w:pPr>
          </w:p>
        </w:tc>
        <w:tc>
          <w:tcPr>
            <w:tcW w:w="724" w:type="dxa"/>
            <w:noWrap/>
            <w:hideMark/>
          </w:tcPr>
          <w:p w14:paraId="11EB4251"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Grade</w:t>
            </w:r>
          </w:p>
        </w:tc>
        <w:tc>
          <w:tcPr>
            <w:tcW w:w="602" w:type="dxa"/>
            <w:noWrap/>
            <w:hideMark/>
          </w:tcPr>
          <w:p w14:paraId="095BD314"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Size</w:t>
            </w:r>
          </w:p>
        </w:tc>
        <w:tc>
          <w:tcPr>
            <w:tcW w:w="1243" w:type="dxa"/>
            <w:noWrap/>
            <w:hideMark/>
          </w:tcPr>
          <w:p w14:paraId="22BD5BD7"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Stage</w:t>
            </w:r>
          </w:p>
        </w:tc>
        <w:tc>
          <w:tcPr>
            <w:tcW w:w="2346" w:type="dxa"/>
            <w:noWrap/>
            <w:hideMark/>
          </w:tcPr>
          <w:p w14:paraId="55791C13"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Initial resectability</w:t>
            </w:r>
          </w:p>
        </w:tc>
        <w:tc>
          <w:tcPr>
            <w:tcW w:w="3205" w:type="dxa"/>
            <w:noWrap/>
            <w:hideMark/>
          </w:tcPr>
          <w:p w14:paraId="2236DDFF"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 </w:t>
            </w:r>
          </w:p>
        </w:tc>
      </w:tr>
      <w:tr w:rsidR="001D304D" w:rsidRPr="00D43349" w14:paraId="3CEA2FF0" w14:textId="77777777" w:rsidTr="00FA0597">
        <w:trPr>
          <w:trHeight w:val="300"/>
        </w:trPr>
        <w:tc>
          <w:tcPr>
            <w:tcW w:w="1122" w:type="dxa"/>
            <w:vMerge w:val="restart"/>
            <w:noWrap/>
            <w:hideMark/>
          </w:tcPr>
          <w:p w14:paraId="4C5D9325"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Low</w:t>
            </w:r>
          </w:p>
        </w:tc>
        <w:tc>
          <w:tcPr>
            <w:tcW w:w="724" w:type="dxa"/>
            <w:noWrap/>
            <w:hideMark/>
          </w:tcPr>
          <w:p w14:paraId="3CE2E349"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 xml:space="preserve">Low </w:t>
            </w:r>
          </w:p>
        </w:tc>
        <w:tc>
          <w:tcPr>
            <w:tcW w:w="602" w:type="dxa"/>
            <w:noWrap/>
            <w:hideMark/>
          </w:tcPr>
          <w:p w14:paraId="6736301F"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Any</w:t>
            </w:r>
          </w:p>
        </w:tc>
        <w:tc>
          <w:tcPr>
            <w:tcW w:w="1243" w:type="dxa"/>
            <w:noWrap/>
            <w:hideMark/>
          </w:tcPr>
          <w:p w14:paraId="24E115D7"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Nonmetastatic</w:t>
            </w:r>
          </w:p>
        </w:tc>
        <w:tc>
          <w:tcPr>
            <w:tcW w:w="2346" w:type="dxa"/>
            <w:noWrap/>
            <w:hideMark/>
          </w:tcPr>
          <w:p w14:paraId="6A0FA741"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Gross resection</w:t>
            </w:r>
          </w:p>
        </w:tc>
        <w:tc>
          <w:tcPr>
            <w:tcW w:w="3205" w:type="dxa"/>
            <w:noWrap/>
            <w:hideMark/>
          </w:tcPr>
          <w:p w14:paraId="759053C2"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Observation</w:t>
            </w:r>
          </w:p>
        </w:tc>
      </w:tr>
      <w:tr w:rsidR="001D304D" w:rsidRPr="00D43349" w14:paraId="0F9F5E9D" w14:textId="77777777" w:rsidTr="00FA0597">
        <w:trPr>
          <w:trHeight w:val="300"/>
        </w:trPr>
        <w:tc>
          <w:tcPr>
            <w:tcW w:w="1122" w:type="dxa"/>
            <w:vMerge/>
            <w:hideMark/>
          </w:tcPr>
          <w:p w14:paraId="7F3DEAC4" w14:textId="77777777" w:rsidR="001D304D" w:rsidRPr="00D43349" w:rsidRDefault="001D304D" w:rsidP="00BA05FB">
            <w:pPr>
              <w:pStyle w:val="Body"/>
              <w:spacing w:line="360" w:lineRule="auto"/>
              <w:ind w:left="720" w:hanging="720"/>
              <w:jc w:val="both"/>
              <w:rPr>
                <w:rFonts w:ascii="Book Antiqua" w:hAnsi="Book Antiqua"/>
                <w:szCs w:val="24"/>
              </w:rPr>
            </w:pPr>
          </w:p>
        </w:tc>
        <w:tc>
          <w:tcPr>
            <w:tcW w:w="724" w:type="dxa"/>
            <w:noWrap/>
            <w:hideMark/>
          </w:tcPr>
          <w:p w14:paraId="05646694"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High</w:t>
            </w:r>
          </w:p>
        </w:tc>
        <w:tc>
          <w:tcPr>
            <w:tcW w:w="602" w:type="dxa"/>
            <w:noWrap/>
            <w:hideMark/>
          </w:tcPr>
          <w:p w14:paraId="77BFFB87"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&lt; 5 cm</w:t>
            </w:r>
          </w:p>
        </w:tc>
        <w:tc>
          <w:tcPr>
            <w:tcW w:w="1243" w:type="dxa"/>
            <w:noWrap/>
            <w:hideMark/>
          </w:tcPr>
          <w:p w14:paraId="1B2159FD"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Nonmetastatic</w:t>
            </w:r>
          </w:p>
        </w:tc>
        <w:tc>
          <w:tcPr>
            <w:tcW w:w="2346" w:type="dxa"/>
            <w:noWrap/>
            <w:hideMark/>
          </w:tcPr>
          <w:p w14:paraId="698600C5"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Without microscopic margins</w:t>
            </w:r>
          </w:p>
        </w:tc>
        <w:tc>
          <w:tcPr>
            <w:tcW w:w="3205" w:type="dxa"/>
            <w:noWrap/>
            <w:hideMark/>
          </w:tcPr>
          <w:p w14:paraId="54D878CE"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Observation</w:t>
            </w:r>
          </w:p>
        </w:tc>
      </w:tr>
      <w:tr w:rsidR="001D304D" w:rsidRPr="00D43349" w14:paraId="676E8988" w14:textId="77777777" w:rsidTr="00FA0597">
        <w:trPr>
          <w:trHeight w:val="300"/>
        </w:trPr>
        <w:tc>
          <w:tcPr>
            <w:tcW w:w="1122" w:type="dxa"/>
            <w:vMerge/>
            <w:hideMark/>
          </w:tcPr>
          <w:p w14:paraId="6FFD7676" w14:textId="77777777" w:rsidR="001D304D" w:rsidRPr="00D43349" w:rsidRDefault="001D304D" w:rsidP="00BA05FB">
            <w:pPr>
              <w:pStyle w:val="Body"/>
              <w:spacing w:line="360" w:lineRule="auto"/>
              <w:ind w:left="720" w:hanging="720"/>
              <w:jc w:val="both"/>
              <w:rPr>
                <w:rFonts w:ascii="Book Antiqua" w:hAnsi="Book Antiqua"/>
                <w:szCs w:val="24"/>
              </w:rPr>
            </w:pPr>
          </w:p>
        </w:tc>
        <w:tc>
          <w:tcPr>
            <w:tcW w:w="724" w:type="dxa"/>
            <w:noWrap/>
            <w:hideMark/>
          </w:tcPr>
          <w:p w14:paraId="69B68D5E"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High</w:t>
            </w:r>
          </w:p>
        </w:tc>
        <w:tc>
          <w:tcPr>
            <w:tcW w:w="602" w:type="dxa"/>
            <w:noWrap/>
            <w:hideMark/>
          </w:tcPr>
          <w:p w14:paraId="1B5A3CC5"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&lt; 5 cm</w:t>
            </w:r>
          </w:p>
        </w:tc>
        <w:tc>
          <w:tcPr>
            <w:tcW w:w="1243" w:type="dxa"/>
            <w:noWrap/>
            <w:hideMark/>
          </w:tcPr>
          <w:p w14:paraId="6FDA2170"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Nonmetastatic</w:t>
            </w:r>
          </w:p>
        </w:tc>
        <w:tc>
          <w:tcPr>
            <w:tcW w:w="2346" w:type="dxa"/>
            <w:noWrap/>
            <w:hideMark/>
          </w:tcPr>
          <w:p w14:paraId="1E41B7A8"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With microscopic margin</w:t>
            </w:r>
          </w:p>
        </w:tc>
        <w:tc>
          <w:tcPr>
            <w:tcW w:w="3205" w:type="dxa"/>
            <w:noWrap/>
            <w:hideMark/>
          </w:tcPr>
          <w:p w14:paraId="5A2F6625"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Adjuvant radiation therapy</w:t>
            </w:r>
          </w:p>
        </w:tc>
      </w:tr>
      <w:tr w:rsidR="001D304D" w:rsidRPr="00D43349" w14:paraId="300EC8AE" w14:textId="77777777" w:rsidTr="00FA0597">
        <w:trPr>
          <w:trHeight w:val="600"/>
        </w:trPr>
        <w:tc>
          <w:tcPr>
            <w:tcW w:w="1122" w:type="dxa"/>
            <w:vMerge w:val="restart"/>
            <w:noWrap/>
            <w:hideMark/>
          </w:tcPr>
          <w:p w14:paraId="169F1C6C"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Intermediate</w:t>
            </w:r>
          </w:p>
        </w:tc>
        <w:tc>
          <w:tcPr>
            <w:tcW w:w="724" w:type="dxa"/>
            <w:noWrap/>
            <w:hideMark/>
          </w:tcPr>
          <w:p w14:paraId="711211EE"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High</w:t>
            </w:r>
          </w:p>
        </w:tc>
        <w:tc>
          <w:tcPr>
            <w:tcW w:w="602" w:type="dxa"/>
            <w:noWrap/>
            <w:hideMark/>
          </w:tcPr>
          <w:p w14:paraId="5D46C83A"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&gt; 5 cm</w:t>
            </w:r>
          </w:p>
        </w:tc>
        <w:tc>
          <w:tcPr>
            <w:tcW w:w="1243" w:type="dxa"/>
            <w:noWrap/>
            <w:hideMark/>
          </w:tcPr>
          <w:p w14:paraId="7F7C4124"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Nonmetastatic</w:t>
            </w:r>
          </w:p>
        </w:tc>
        <w:tc>
          <w:tcPr>
            <w:tcW w:w="2346" w:type="dxa"/>
            <w:noWrap/>
            <w:hideMark/>
          </w:tcPr>
          <w:p w14:paraId="5CDC0DBE"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Gross resection</w:t>
            </w:r>
          </w:p>
        </w:tc>
        <w:tc>
          <w:tcPr>
            <w:tcW w:w="3205" w:type="dxa"/>
            <w:hideMark/>
          </w:tcPr>
          <w:p w14:paraId="0108220C"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Adjuvant chemotherapy and radiation therapy</w:t>
            </w:r>
          </w:p>
        </w:tc>
      </w:tr>
      <w:tr w:rsidR="001D304D" w:rsidRPr="00D43349" w14:paraId="55CE9152" w14:textId="77777777" w:rsidTr="00FA0597">
        <w:trPr>
          <w:trHeight w:val="940"/>
        </w:trPr>
        <w:tc>
          <w:tcPr>
            <w:tcW w:w="1122" w:type="dxa"/>
            <w:vMerge/>
            <w:hideMark/>
          </w:tcPr>
          <w:p w14:paraId="42357608" w14:textId="77777777" w:rsidR="001D304D" w:rsidRPr="00D43349" w:rsidRDefault="001D304D" w:rsidP="00BA05FB">
            <w:pPr>
              <w:pStyle w:val="Body"/>
              <w:spacing w:line="360" w:lineRule="auto"/>
              <w:ind w:left="720" w:hanging="720"/>
              <w:jc w:val="both"/>
              <w:rPr>
                <w:rFonts w:ascii="Book Antiqua" w:hAnsi="Book Antiqua"/>
                <w:szCs w:val="24"/>
              </w:rPr>
            </w:pPr>
          </w:p>
        </w:tc>
        <w:tc>
          <w:tcPr>
            <w:tcW w:w="724" w:type="dxa"/>
            <w:noWrap/>
            <w:hideMark/>
          </w:tcPr>
          <w:p w14:paraId="17FDE671"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High</w:t>
            </w:r>
          </w:p>
        </w:tc>
        <w:tc>
          <w:tcPr>
            <w:tcW w:w="602" w:type="dxa"/>
            <w:noWrap/>
            <w:hideMark/>
          </w:tcPr>
          <w:p w14:paraId="027E2A76"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&gt; 5 cm</w:t>
            </w:r>
          </w:p>
        </w:tc>
        <w:tc>
          <w:tcPr>
            <w:tcW w:w="1243" w:type="dxa"/>
            <w:noWrap/>
            <w:hideMark/>
          </w:tcPr>
          <w:p w14:paraId="3D2FA731"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Nonmetastatic</w:t>
            </w:r>
          </w:p>
        </w:tc>
        <w:tc>
          <w:tcPr>
            <w:tcW w:w="2346" w:type="dxa"/>
            <w:noWrap/>
            <w:hideMark/>
          </w:tcPr>
          <w:p w14:paraId="682DD0BA"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Unresected</w:t>
            </w:r>
          </w:p>
        </w:tc>
        <w:tc>
          <w:tcPr>
            <w:tcW w:w="3205" w:type="dxa"/>
            <w:hideMark/>
          </w:tcPr>
          <w:p w14:paraId="40AD5CD1"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Neoadjuvant chemoradiotherapy, surgery, adjuvant chemotherapy with or without radiation therapy</w:t>
            </w:r>
          </w:p>
        </w:tc>
      </w:tr>
      <w:tr w:rsidR="001D304D" w:rsidRPr="00D43349" w14:paraId="3A14DC77" w14:textId="77777777" w:rsidTr="00FA0597">
        <w:trPr>
          <w:trHeight w:val="300"/>
        </w:trPr>
        <w:tc>
          <w:tcPr>
            <w:tcW w:w="1122" w:type="dxa"/>
            <w:vMerge w:val="restart"/>
            <w:noWrap/>
            <w:hideMark/>
          </w:tcPr>
          <w:p w14:paraId="70A9D6FF"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High</w:t>
            </w:r>
          </w:p>
        </w:tc>
        <w:tc>
          <w:tcPr>
            <w:tcW w:w="724" w:type="dxa"/>
            <w:noWrap/>
            <w:hideMark/>
          </w:tcPr>
          <w:p w14:paraId="3EA9D72B"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 xml:space="preserve">Low </w:t>
            </w:r>
          </w:p>
        </w:tc>
        <w:tc>
          <w:tcPr>
            <w:tcW w:w="602" w:type="dxa"/>
            <w:noWrap/>
            <w:hideMark/>
          </w:tcPr>
          <w:p w14:paraId="14B06111"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Any</w:t>
            </w:r>
          </w:p>
        </w:tc>
        <w:tc>
          <w:tcPr>
            <w:tcW w:w="1243" w:type="dxa"/>
            <w:noWrap/>
            <w:hideMark/>
          </w:tcPr>
          <w:p w14:paraId="4D8897DA"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Metastatic</w:t>
            </w:r>
          </w:p>
        </w:tc>
        <w:tc>
          <w:tcPr>
            <w:tcW w:w="2346" w:type="dxa"/>
            <w:noWrap/>
            <w:hideMark/>
          </w:tcPr>
          <w:p w14:paraId="0C365566"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Gross resection</w:t>
            </w:r>
          </w:p>
        </w:tc>
        <w:tc>
          <w:tcPr>
            <w:tcW w:w="3205" w:type="dxa"/>
            <w:noWrap/>
            <w:hideMark/>
          </w:tcPr>
          <w:p w14:paraId="1B76DD4F"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Observation</w:t>
            </w:r>
          </w:p>
        </w:tc>
      </w:tr>
      <w:tr w:rsidR="001D304D" w:rsidRPr="00D43349" w14:paraId="339FF1ED" w14:textId="77777777" w:rsidTr="00FA0597">
        <w:trPr>
          <w:trHeight w:val="600"/>
        </w:trPr>
        <w:tc>
          <w:tcPr>
            <w:tcW w:w="1122" w:type="dxa"/>
            <w:vMerge/>
            <w:hideMark/>
          </w:tcPr>
          <w:p w14:paraId="4D5AA6FC" w14:textId="77777777" w:rsidR="001D304D" w:rsidRPr="00D43349" w:rsidRDefault="001D304D" w:rsidP="00BA05FB">
            <w:pPr>
              <w:pStyle w:val="Body"/>
              <w:spacing w:line="360" w:lineRule="auto"/>
              <w:ind w:left="720" w:hanging="720"/>
              <w:jc w:val="both"/>
              <w:rPr>
                <w:rFonts w:ascii="Book Antiqua" w:hAnsi="Book Antiqua"/>
                <w:szCs w:val="24"/>
              </w:rPr>
            </w:pPr>
          </w:p>
        </w:tc>
        <w:tc>
          <w:tcPr>
            <w:tcW w:w="724" w:type="dxa"/>
            <w:noWrap/>
            <w:hideMark/>
          </w:tcPr>
          <w:p w14:paraId="29C4DEA6"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High</w:t>
            </w:r>
          </w:p>
        </w:tc>
        <w:tc>
          <w:tcPr>
            <w:tcW w:w="602" w:type="dxa"/>
            <w:noWrap/>
            <w:hideMark/>
          </w:tcPr>
          <w:p w14:paraId="009E5CA0"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An</w:t>
            </w:r>
            <w:r w:rsidRPr="00D43349">
              <w:rPr>
                <w:rFonts w:ascii="Book Antiqua" w:hAnsi="Book Antiqua"/>
                <w:szCs w:val="24"/>
              </w:rPr>
              <w:lastRenderedPageBreak/>
              <w:t>y</w:t>
            </w:r>
          </w:p>
        </w:tc>
        <w:tc>
          <w:tcPr>
            <w:tcW w:w="1243" w:type="dxa"/>
            <w:noWrap/>
            <w:hideMark/>
          </w:tcPr>
          <w:p w14:paraId="56542331"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lastRenderedPageBreak/>
              <w:t>Metastatic</w:t>
            </w:r>
          </w:p>
        </w:tc>
        <w:tc>
          <w:tcPr>
            <w:tcW w:w="2346" w:type="dxa"/>
            <w:noWrap/>
            <w:hideMark/>
          </w:tcPr>
          <w:p w14:paraId="74D6EA10"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Gross resection</w:t>
            </w:r>
          </w:p>
        </w:tc>
        <w:tc>
          <w:tcPr>
            <w:tcW w:w="3205" w:type="dxa"/>
            <w:hideMark/>
          </w:tcPr>
          <w:p w14:paraId="73DE5641"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 xml:space="preserve">Adjuvant </w:t>
            </w:r>
            <w:r w:rsidRPr="00D43349">
              <w:rPr>
                <w:rFonts w:ascii="Book Antiqua" w:hAnsi="Book Antiqua"/>
                <w:szCs w:val="24"/>
              </w:rPr>
              <w:lastRenderedPageBreak/>
              <w:t>chemotherapy and radiation therapy</w:t>
            </w:r>
          </w:p>
        </w:tc>
      </w:tr>
      <w:tr w:rsidR="001D304D" w:rsidRPr="00D43349" w14:paraId="1D44EADC" w14:textId="77777777" w:rsidTr="00FA0597">
        <w:trPr>
          <w:trHeight w:val="900"/>
        </w:trPr>
        <w:tc>
          <w:tcPr>
            <w:tcW w:w="1122" w:type="dxa"/>
            <w:vMerge/>
            <w:hideMark/>
          </w:tcPr>
          <w:p w14:paraId="1A10E3BF" w14:textId="77777777" w:rsidR="001D304D" w:rsidRPr="00D43349" w:rsidRDefault="001D304D" w:rsidP="00BA05FB">
            <w:pPr>
              <w:pStyle w:val="Body"/>
              <w:spacing w:line="360" w:lineRule="auto"/>
              <w:ind w:left="720" w:hanging="720"/>
              <w:jc w:val="both"/>
              <w:rPr>
                <w:rFonts w:ascii="Book Antiqua" w:hAnsi="Book Antiqua"/>
                <w:szCs w:val="24"/>
              </w:rPr>
            </w:pPr>
          </w:p>
        </w:tc>
        <w:tc>
          <w:tcPr>
            <w:tcW w:w="724" w:type="dxa"/>
            <w:noWrap/>
            <w:hideMark/>
          </w:tcPr>
          <w:p w14:paraId="14FDD747"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High</w:t>
            </w:r>
          </w:p>
        </w:tc>
        <w:tc>
          <w:tcPr>
            <w:tcW w:w="602" w:type="dxa"/>
            <w:noWrap/>
            <w:hideMark/>
          </w:tcPr>
          <w:p w14:paraId="69387DCE"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Any</w:t>
            </w:r>
          </w:p>
        </w:tc>
        <w:tc>
          <w:tcPr>
            <w:tcW w:w="1243" w:type="dxa"/>
            <w:noWrap/>
            <w:hideMark/>
          </w:tcPr>
          <w:p w14:paraId="373F3ED3"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Metastatic</w:t>
            </w:r>
          </w:p>
        </w:tc>
        <w:tc>
          <w:tcPr>
            <w:tcW w:w="2346" w:type="dxa"/>
            <w:noWrap/>
            <w:hideMark/>
          </w:tcPr>
          <w:p w14:paraId="1059E937"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Unresected</w:t>
            </w:r>
          </w:p>
        </w:tc>
        <w:tc>
          <w:tcPr>
            <w:tcW w:w="3205" w:type="dxa"/>
            <w:hideMark/>
          </w:tcPr>
          <w:p w14:paraId="64549E2C" w14:textId="77777777" w:rsidR="001D304D" w:rsidRPr="00D43349" w:rsidRDefault="001D304D" w:rsidP="00BA05FB">
            <w:pPr>
              <w:pStyle w:val="Body"/>
              <w:spacing w:line="360" w:lineRule="auto"/>
              <w:ind w:left="720" w:hanging="720"/>
              <w:jc w:val="both"/>
              <w:rPr>
                <w:rFonts w:ascii="Book Antiqua" w:hAnsi="Book Antiqua"/>
                <w:szCs w:val="24"/>
              </w:rPr>
            </w:pPr>
            <w:r w:rsidRPr="00D43349">
              <w:rPr>
                <w:rFonts w:ascii="Book Antiqua" w:hAnsi="Book Antiqua"/>
                <w:szCs w:val="24"/>
              </w:rPr>
              <w:t>Neoadjuvant chemoradiotherapy, surgery, adjuvant chemotherapy with or without radiation therapy</w:t>
            </w:r>
          </w:p>
        </w:tc>
      </w:tr>
    </w:tbl>
    <w:p w14:paraId="1F0846A4" w14:textId="77777777" w:rsidR="001D304D" w:rsidRPr="00D43349" w:rsidRDefault="001D304D" w:rsidP="0002685C">
      <w:pPr>
        <w:pStyle w:val="Body"/>
        <w:spacing w:line="360" w:lineRule="auto"/>
        <w:jc w:val="both"/>
        <w:rPr>
          <w:rFonts w:ascii="Book Antiqua" w:hAnsi="Book Antiqua"/>
          <w:color w:val="auto"/>
          <w:szCs w:val="24"/>
          <w:lang w:eastAsia="zh-CN"/>
        </w:rPr>
      </w:pPr>
    </w:p>
    <w:sectPr w:rsidR="001D304D" w:rsidRPr="00D43349" w:rsidSect="000241FA">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507CEAC" w15:done="0"/>
  <w15:commentEx w15:paraId="6DE39A01" w15:done="0"/>
  <w15:commentEx w15:paraId="2921D58A" w15:done="0"/>
  <w15:commentEx w15:paraId="297891EF" w15:done="0"/>
  <w15:commentEx w15:paraId="058C19D6" w15:done="0"/>
  <w15:commentEx w15:paraId="25A1D9C8" w15:done="0"/>
  <w15:commentEx w15:paraId="4DF7C8FE" w15:done="0"/>
  <w15:commentEx w15:paraId="6610A78C" w15:done="0"/>
  <w15:commentEx w15:paraId="0ACC85C0" w15:done="0"/>
  <w15:commentEx w15:paraId="2FF53023" w15:done="0"/>
  <w15:commentEx w15:paraId="49854C9D" w15:done="0"/>
  <w15:commentEx w15:paraId="2E3DF63E" w15:done="0"/>
  <w15:commentEx w15:paraId="71B72B09" w15:done="0"/>
  <w15:commentEx w15:paraId="0487EFC8" w15:done="0"/>
  <w15:commentEx w15:paraId="0B4B166F"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7FCC77" w14:textId="77777777" w:rsidR="004A5736" w:rsidRDefault="004A5736" w:rsidP="00846341">
      <w:r>
        <w:separator/>
      </w:r>
    </w:p>
  </w:endnote>
  <w:endnote w:type="continuationSeparator" w:id="0">
    <w:p w14:paraId="0F98A071" w14:textId="77777777" w:rsidR="004A5736" w:rsidRDefault="004A5736" w:rsidP="00846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宋体">
    <w:charset w:val="50"/>
    <w:family w:val="auto"/>
    <w:pitch w:val="variable"/>
    <w:sig w:usb0="00000001" w:usb1="080E0000" w:usb2="00000010" w:usb3="00000000" w:csb0="00040000"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Book Antiqua">
    <w:panose1 w:val="02040602050305030304"/>
    <w:charset w:val="00"/>
    <w:family w:val="auto"/>
    <w:pitch w:val="variable"/>
    <w:sig w:usb0="00000003" w:usb1="00000000" w:usb2="00000000" w:usb3="00000000" w:csb0="00000001" w:csb1="00000000"/>
  </w:font>
  <w:font w:name="AdvTimes">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charset w:val="80"/>
    <w:family w:val="modern"/>
    <w:pitch w:val="fixed"/>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Light">
    <w:altName w:val="Calibri"/>
    <w:charset w:val="00"/>
    <w:family w:val="swiss"/>
    <w:pitch w:val="variable"/>
    <w:sig w:usb0="00000001" w:usb1="4000207B" w:usb2="00000000" w:usb3="00000000" w:csb0="0000019F" w:csb1="00000000"/>
  </w:font>
  <w:font w:name="ＭＳ 明朝">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147D41D" w14:textId="77777777" w:rsidR="004A5736" w:rsidRDefault="004A5736" w:rsidP="00846341">
      <w:r>
        <w:separator/>
      </w:r>
    </w:p>
  </w:footnote>
  <w:footnote w:type="continuationSeparator" w:id="0">
    <w:p w14:paraId="294A0694" w14:textId="77777777" w:rsidR="004A5736" w:rsidRDefault="004A5736" w:rsidP="00846341">
      <w:r>
        <w:continuationSeparator/>
      </w:r>
    </w:p>
  </w:footnote>
</w:footnotes>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Formatter">
    <w15:presenceInfo w15:providerId="None" w15:userId="Formatt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bordersDoNotSurroundHeader/>
  <w:bordersDoNotSurroundFooter/>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223"/>
    <w:rsid w:val="000126B7"/>
    <w:rsid w:val="000241FA"/>
    <w:rsid w:val="0002685C"/>
    <w:rsid w:val="00056423"/>
    <w:rsid w:val="0010029D"/>
    <w:rsid w:val="00103A47"/>
    <w:rsid w:val="0018042D"/>
    <w:rsid w:val="001D304D"/>
    <w:rsid w:val="002004EB"/>
    <w:rsid w:val="002027F8"/>
    <w:rsid w:val="00235D44"/>
    <w:rsid w:val="00254E6D"/>
    <w:rsid w:val="002A5234"/>
    <w:rsid w:val="002D1915"/>
    <w:rsid w:val="00363A6E"/>
    <w:rsid w:val="004003F1"/>
    <w:rsid w:val="004004EA"/>
    <w:rsid w:val="004756D0"/>
    <w:rsid w:val="004A2F89"/>
    <w:rsid w:val="004A5736"/>
    <w:rsid w:val="00567571"/>
    <w:rsid w:val="0057443A"/>
    <w:rsid w:val="00614A5A"/>
    <w:rsid w:val="00647EE0"/>
    <w:rsid w:val="007A40E9"/>
    <w:rsid w:val="007C7139"/>
    <w:rsid w:val="007D79E0"/>
    <w:rsid w:val="00846341"/>
    <w:rsid w:val="00877AC4"/>
    <w:rsid w:val="008A4F8A"/>
    <w:rsid w:val="008E7643"/>
    <w:rsid w:val="0091748E"/>
    <w:rsid w:val="0092567B"/>
    <w:rsid w:val="00930223"/>
    <w:rsid w:val="009A0387"/>
    <w:rsid w:val="00A01110"/>
    <w:rsid w:val="00A424DA"/>
    <w:rsid w:val="00A825DA"/>
    <w:rsid w:val="00AE6BF3"/>
    <w:rsid w:val="00B215EF"/>
    <w:rsid w:val="00BA05FB"/>
    <w:rsid w:val="00BE1BE1"/>
    <w:rsid w:val="00BE6CC2"/>
    <w:rsid w:val="00BF073C"/>
    <w:rsid w:val="00C0247B"/>
    <w:rsid w:val="00C13418"/>
    <w:rsid w:val="00C85A23"/>
    <w:rsid w:val="00CD512F"/>
    <w:rsid w:val="00D43349"/>
    <w:rsid w:val="00D74B1A"/>
    <w:rsid w:val="00D95286"/>
    <w:rsid w:val="00DB4135"/>
    <w:rsid w:val="00DD1727"/>
    <w:rsid w:val="00DE3B26"/>
    <w:rsid w:val="00DF2A79"/>
    <w:rsid w:val="00E94761"/>
    <w:rsid w:val="00F811FE"/>
    <w:rsid w:val="00FA0597"/>
    <w:rsid w:val="00FA342B"/>
    <w:rsid w:val="00FA78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D4312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276">
    <w:lsdException w:name="Normal" w:uiPriority="0" w:qFormat="1"/>
    <w:lsdException w:name="Default Paragraph Font" w:uiPriority="1"/>
    <w:lsdException w:name="Hyperlink" w:uiPriority="0"/>
    <w:lsdException w:name="Strong" w:uiPriority="0" w:qFormat="1"/>
    <w:lsdException w:name="Emphasis" w:uiPriority="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atentStyles>
  <w:style w:type="paragraph" w:default="1" w:styleId="Normal">
    <w:name w:val="Normal"/>
    <w:qFormat/>
    <w:rsid w:val="007D79E0"/>
    <w:rPr>
      <w:sz w:val="24"/>
      <w:lang w:v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1">
    <w:name w:val="Default Paragraph Font1"/>
    <w:basedOn w:val="Normal"/>
    <w:pPr>
      <w:spacing w:after="200" w:line="276" w:lineRule="auto"/>
    </w:pPr>
  </w:style>
  <w:style w:type="paragraph" w:customStyle="1" w:styleId="NoList1">
    <w:name w:val="No List1"/>
    <w:basedOn w:val="Normal"/>
    <w:pPr>
      <w:spacing w:after="200" w:line="276" w:lineRule="auto"/>
    </w:pPr>
  </w:style>
  <w:style w:type="character" w:styleId="CommentReference">
    <w:name w:val="annotation reference"/>
    <w:rPr>
      <w:sz w:val="16"/>
    </w:rPr>
  </w:style>
  <w:style w:type="character" w:styleId="Hyperlink">
    <w:name w:val="Hyperlink"/>
    <w:rsid w:val="007D79E0"/>
    <w:rPr>
      <w:color w:val="0563C1"/>
      <w:u w:val="single"/>
    </w:rPr>
  </w:style>
  <w:style w:type="paragraph" w:customStyle="1" w:styleId="Body">
    <w:name w:val="Body"/>
    <w:basedOn w:val="Normal"/>
    <w:rsid w:val="007D79E0"/>
    <w:rPr>
      <w:rFonts w:ascii="Helvetica" w:hAnsi="Helvetica"/>
      <w:color w:val="000000"/>
    </w:rPr>
  </w:style>
  <w:style w:type="paragraph" w:customStyle="1" w:styleId="Heading">
    <w:name w:val="Heading"/>
    <w:basedOn w:val="Normal"/>
    <w:next w:val="Normal"/>
    <w:qFormat/>
    <w:rsid w:val="007D79E0"/>
    <w:pPr>
      <w:keepNext/>
      <w:keepLines/>
      <w:outlineLvl w:val="0"/>
    </w:pPr>
    <w:rPr>
      <w:rFonts w:ascii="Helvetica" w:hAnsi="Helvetica"/>
      <w:b/>
      <w:color w:val="000000"/>
      <w:sz w:val="36"/>
    </w:rPr>
  </w:style>
  <w:style w:type="paragraph" w:styleId="CommentText">
    <w:name w:val="annotation text"/>
    <w:basedOn w:val="Normal"/>
  </w:style>
  <w:style w:type="paragraph" w:styleId="BalloonText">
    <w:name w:val="Balloon Text"/>
    <w:basedOn w:val="Normal"/>
    <w:rPr>
      <w:rFonts w:ascii="Tahoma" w:hAnsi="Tahoma" w:cs="Tahoma"/>
      <w:sz w:val="16"/>
      <w:lang w:val="en-US"/>
    </w:rPr>
  </w:style>
  <w:style w:type="paragraph" w:styleId="CommentSubject">
    <w:name w:val="annotation subject"/>
    <w:basedOn w:val="Normal"/>
    <w:next w:val="Normal"/>
    <w:rPr>
      <w:b/>
      <w:sz w:val="20"/>
    </w:rPr>
  </w:style>
  <w:style w:type="paragraph" w:styleId="Revision">
    <w:name w:val="Revision"/>
    <w:basedOn w:val="Normal"/>
  </w:style>
  <w:style w:type="character" w:customStyle="1" w:styleId="st">
    <w:name w:val="st"/>
  </w:style>
  <w:style w:type="character" w:customStyle="1" w:styleId="BibPage">
    <w:name w:val="Bib Page"/>
    <w:rPr>
      <w:color w:val="903C39"/>
    </w:rPr>
  </w:style>
  <w:style w:type="paragraph" w:customStyle="1" w:styleId="List7">
    <w:name w:val="List 7"/>
    <w:basedOn w:val="Normal"/>
    <w:rPr>
      <w:sz w:val="22"/>
    </w:rPr>
  </w:style>
  <w:style w:type="paragraph" w:styleId="List2">
    <w:name w:val="List 2"/>
    <w:basedOn w:val="Normal"/>
    <w:pPr>
      <w:ind w:left="1200" w:hanging="600"/>
      <w:jc w:val="both"/>
    </w:pPr>
    <w:rPr>
      <w:sz w:val="22"/>
    </w:rPr>
  </w:style>
  <w:style w:type="character" w:styleId="EndnoteReference">
    <w:name w:val="endnote reference"/>
    <w:rPr>
      <w:vertAlign w:val="superscript"/>
    </w:rPr>
  </w:style>
  <w:style w:type="character" w:customStyle="1" w:styleId="BibVol">
    <w:name w:val="Bib Vol"/>
    <w:rPr>
      <w:color w:val="2F3699"/>
    </w:rPr>
  </w:style>
  <w:style w:type="paragraph" w:styleId="Subtitle">
    <w:name w:val="Subtitle"/>
    <w:basedOn w:val="Normal"/>
    <w:qFormat/>
    <w:rPr>
      <w:sz w:val="36"/>
    </w:rPr>
  </w:style>
  <w:style w:type="character" w:customStyle="1" w:styleId="BibComment">
    <w:name w:val="Bib Comment"/>
    <w:rPr>
      <w:color w:val="F7B580"/>
    </w:rPr>
  </w:style>
  <w:style w:type="paragraph" w:styleId="List3">
    <w:name w:val="List 3"/>
    <w:basedOn w:val="Normal"/>
    <w:pPr>
      <w:spacing w:line="393" w:lineRule="auto"/>
      <w:ind w:left="1800" w:hanging="600"/>
      <w:jc w:val="both"/>
    </w:pPr>
    <w:rPr>
      <w:sz w:val="22"/>
    </w:rPr>
  </w:style>
  <w:style w:type="character" w:customStyle="1" w:styleId="BibPublisher">
    <w:name w:val="Bib Publisher"/>
    <w:rPr>
      <w:color w:val="6F3198"/>
    </w:rPr>
  </w:style>
  <w:style w:type="paragraph" w:customStyle="1" w:styleId="BibEntry">
    <w:name w:val="Bib Entry"/>
    <w:basedOn w:val="Normal"/>
    <w:pPr>
      <w:spacing w:line="360" w:lineRule="auto"/>
      <w:ind w:left="570" w:hanging="570"/>
      <w:jc w:val="both"/>
    </w:pPr>
    <w:rPr>
      <w:sz w:val="22"/>
    </w:rPr>
  </w:style>
  <w:style w:type="paragraph" w:customStyle="1" w:styleId="Note">
    <w:name w:val="Note"/>
    <w:basedOn w:val="Normal"/>
    <w:pPr>
      <w:spacing w:line="480" w:lineRule="auto"/>
    </w:pPr>
    <w:rPr>
      <w:color w:val="B77540"/>
      <w:sz w:val="18"/>
    </w:rPr>
  </w:style>
  <w:style w:type="paragraph" w:customStyle="1" w:styleId="TableNote">
    <w:name w:val="Table Note"/>
    <w:basedOn w:val="Normal"/>
    <w:rPr>
      <w:sz w:val="18"/>
    </w:rPr>
  </w:style>
  <w:style w:type="character" w:customStyle="1" w:styleId="Cross-reference">
    <w:name w:val="Cross-reference"/>
    <w:rPr>
      <w:color w:val="9900FF"/>
    </w:rPr>
  </w:style>
  <w:style w:type="paragraph" w:customStyle="1" w:styleId="Address">
    <w:name w:val="Address"/>
    <w:basedOn w:val="Normal"/>
    <w:pPr>
      <w:spacing w:after="240" w:line="324" w:lineRule="auto"/>
      <w:ind w:left="720"/>
    </w:pPr>
    <w:rPr>
      <w:color w:val="8064A2"/>
      <w:sz w:val="20"/>
    </w:rPr>
  </w:style>
  <w:style w:type="character" w:customStyle="1" w:styleId="NameOrganization">
    <w:name w:val="Name Organization"/>
    <w:rPr>
      <w:color w:val="22B14C"/>
    </w:rPr>
  </w:style>
  <w:style w:type="paragraph" w:styleId="List4">
    <w:name w:val="List 4"/>
    <w:basedOn w:val="Normal"/>
    <w:pPr>
      <w:spacing w:line="393" w:lineRule="auto"/>
      <w:ind w:left="240" w:hanging="600"/>
    </w:pPr>
    <w:rPr>
      <w:sz w:val="22"/>
    </w:rPr>
  </w:style>
  <w:style w:type="character" w:customStyle="1" w:styleId="BibTitle">
    <w:name w:val="Bib Title"/>
    <w:qFormat/>
    <w:rPr>
      <w:color w:val="00B7EF"/>
    </w:rPr>
  </w:style>
  <w:style w:type="paragraph" w:customStyle="1" w:styleId="Copyright">
    <w:name w:val="Copyright"/>
    <w:basedOn w:val="Normal"/>
    <w:rPr>
      <w:color w:val="F7B580"/>
      <w:sz w:val="18"/>
    </w:rPr>
  </w:style>
  <w:style w:type="paragraph" w:customStyle="1" w:styleId="Glossary">
    <w:name w:val="Glossary"/>
    <w:basedOn w:val="Normal"/>
    <w:pPr>
      <w:spacing w:before="120" w:after="120" w:line="432" w:lineRule="auto"/>
    </w:pPr>
    <w:rPr>
      <w:color w:val="7D7974"/>
      <w:sz w:val="20"/>
    </w:rPr>
  </w:style>
  <w:style w:type="paragraph" w:customStyle="1" w:styleId="Surtitle">
    <w:name w:val="Surtitle"/>
    <w:basedOn w:val="Normal"/>
    <w:qFormat/>
    <w:rPr>
      <w:sz w:val="48"/>
    </w:rPr>
  </w:style>
  <w:style w:type="paragraph" w:customStyle="1" w:styleId="Statement">
    <w:name w:val="Statement"/>
    <w:basedOn w:val="Normal"/>
    <w:pPr>
      <w:ind w:left="900"/>
    </w:pPr>
  </w:style>
  <w:style w:type="character" w:customStyle="1" w:styleId="CommentText1">
    <w:name w:val="Comment Text1"/>
    <w:rPr>
      <w:rFonts w:ascii="Calibri" w:hAnsi="Calibri"/>
      <w:b w:val="0"/>
      <w:i w:val="0"/>
      <w:caps w:val="0"/>
      <w:smallCaps w:val="0"/>
      <w:color w:val="000000"/>
      <w:sz w:val="20"/>
      <w:u w:val="none"/>
      <w:vertAlign w:val="baseline"/>
    </w:rPr>
  </w:style>
  <w:style w:type="character" w:customStyle="1" w:styleId="CaptionLabel">
    <w:name w:val="Caption Label"/>
    <w:rPr>
      <w:color w:val="007CC5"/>
    </w:rPr>
  </w:style>
  <w:style w:type="character" w:styleId="FootnoteReference">
    <w:name w:val="footnote reference"/>
    <w:rPr>
      <w:vertAlign w:val="superscript"/>
    </w:rPr>
  </w:style>
  <w:style w:type="character" w:customStyle="1" w:styleId="GlossaryTerm">
    <w:name w:val="Glossary Term"/>
    <w:rPr>
      <w:color w:val="7030A0"/>
    </w:rPr>
  </w:style>
  <w:style w:type="paragraph" w:customStyle="1" w:styleId="AbstractSubheading">
    <w:name w:val="Abstract Subheading"/>
    <w:basedOn w:val="Normal"/>
    <w:next w:val="Normal"/>
    <w:qFormat/>
    <w:pPr>
      <w:ind w:left="1440"/>
    </w:pPr>
    <w:rPr>
      <w:sz w:val="22"/>
    </w:rPr>
  </w:style>
  <w:style w:type="character" w:customStyle="1" w:styleId="NameScientific">
    <w:name w:val="Name Scientific"/>
    <w:rPr>
      <w:color w:val="6F3198"/>
    </w:rPr>
  </w:style>
  <w:style w:type="paragraph" w:customStyle="1" w:styleId="Abstract">
    <w:name w:val="Abstract"/>
    <w:basedOn w:val="Normal"/>
    <w:pPr>
      <w:spacing w:before="120" w:after="120" w:line="393" w:lineRule="auto"/>
      <w:ind w:left="1440" w:right="1440"/>
      <w:jc w:val="both"/>
    </w:pPr>
    <w:rPr>
      <w:sz w:val="22"/>
    </w:rPr>
  </w:style>
  <w:style w:type="paragraph" w:customStyle="1" w:styleId="TableList">
    <w:name w:val="Table List"/>
    <w:basedOn w:val="Normal"/>
    <w:pPr>
      <w:ind w:left="300" w:hanging="300"/>
    </w:pPr>
    <w:rPr>
      <w:sz w:val="20"/>
    </w:rPr>
  </w:style>
  <w:style w:type="paragraph" w:customStyle="1" w:styleId="ChapterNumber">
    <w:name w:val="Chapter Number"/>
    <w:basedOn w:val="Normal"/>
  </w:style>
  <w:style w:type="paragraph" w:styleId="List">
    <w:name w:val="List"/>
    <w:basedOn w:val="Normal"/>
    <w:pPr>
      <w:spacing w:line="393" w:lineRule="auto"/>
      <w:ind w:left="600" w:hanging="600"/>
      <w:jc w:val="both"/>
    </w:pPr>
    <w:rPr>
      <w:sz w:val="22"/>
    </w:rPr>
  </w:style>
  <w:style w:type="character" w:customStyle="1" w:styleId="BibYear">
    <w:name w:val="Bib Year"/>
    <w:rPr>
      <w:color w:val="B77540"/>
    </w:rPr>
  </w:style>
  <w:style w:type="character" w:customStyle="1" w:styleId="BibIssue">
    <w:name w:val="Bib Issue"/>
    <w:rPr>
      <w:color w:val="FA3232"/>
    </w:rPr>
  </w:style>
  <w:style w:type="paragraph" w:styleId="NormalIndent">
    <w:name w:val="Normal Indent"/>
    <w:basedOn w:val="Normal"/>
    <w:qFormat/>
    <w:pPr>
      <w:spacing w:line="360" w:lineRule="auto"/>
      <w:ind w:firstLine="480"/>
      <w:jc w:val="both"/>
    </w:pPr>
    <w:rPr>
      <w:rFonts w:ascii="Calibri" w:hAnsi="Calibri"/>
      <w:sz w:val="22"/>
    </w:rPr>
  </w:style>
  <w:style w:type="character" w:customStyle="1" w:styleId="BibDocTitle">
    <w:name w:val="Bib DocTitle"/>
    <w:qFormat/>
    <w:rPr>
      <w:color w:val="A29D96"/>
    </w:rPr>
  </w:style>
  <w:style w:type="paragraph" w:customStyle="1" w:styleId="Formula">
    <w:name w:val="Formula"/>
    <w:basedOn w:val="Normal"/>
    <w:pPr>
      <w:spacing w:before="120" w:after="120" w:line="360" w:lineRule="auto"/>
    </w:pPr>
    <w:rPr>
      <w:sz w:val="22"/>
    </w:rPr>
  </w:style>
  <w:style w:type="character" w:customStyle="1" w:styleId="GrantSponsor">
    <w:name w:val="Grant Sponsor"/>
    <w:rPr>
      <w:color w:val="C500C0"/>
    </w:rPr>
  </w:style>
  <w:style w:type="character" w:customStyle="1" w:styleId="NameGiven">
    <w:name w:val="Name Given"/>
    <w:rPr>
      <w:color w:val="FFC20E"/>
    </w:rPr>
  </w:style>
  <w:style w:type="paragraph" w:styleId="Title">
    <w:name w:val="Title"/>
    <w:basedOn w:val="Normal"/>
    <w:qFormat/>
    <w:pPr>
      <w:spacing w:line="309" w:lineRule="auto"/>
    </w:pPr>
    <w:rPr>
      <w:sz w:val="56"/>
    </w:rPr>
  </w:style>
  <w:style w:type="character" w:customStyle="1" w:styleId="Abbreviation">
    <w:name w:val="Abbreviation"/>
    <w:rPr>
      <w:color w:val="7030A0"/>
    </w:rPr>
  </w:style>
  <w:style w:type="paragraph" w:customStyle="1" w:styleId="Quotation">
    <w:name w:val="Quotation"/>
    <w:basedOn w:val="Normal"/>
    <w:pPr>
      <w:spacing w:line="393" w:lineRule="auto"/>
      <w:ind w:left="1440"/>
      <w:jc w:val="both"/>
    </w:pPr>
    <w:rPr>
      <w:sz w:val="22"/>
    </w:rPr>
  </w:style>
  <w:style w:type="character" w:customStyle="1" w:styleId="Name">
    <w:name w:val="Name"/>
    <w:rPr>
      <w:color w:val="22B14C"/>
    </w:rPr>
  </w:style>
  <w:style w:type="paragraph" w:customStyle="1" w:styleId="List8">
    <w:name w:val="List 8"/>
    <w:basedOn w:val="Normal"/>
    <w:rPr>
      <w:sz w:val="22"/>
    </w:rPr>
  </w:style>
  <w:style w:type="character" w:customStyle="1" w:styleId="Grant">
    <w:name w:val="Grant"/>
    <w:rPr>
      <w:color w:val="6F3198"/>
    </w:rPr>
  </w:style>
  <w:style w:type="paragraph" w:styleId="Caption">
    <w:name w:val="caption"/>
    <w:basedOn w:val="Normal"/>
    <w:pPr>
      <w:spacing w:before="240" w:line="393" w:lineRule="auto"/>
      <w:jc w:val="both"/>
    </w:pPr>
    <w:rPr>
      <w:color w:val="B77540"/>
      <w:sz w:val="22"/>
    </w:rPr>
  </w:style>
  <w:style w:type="paragraph" w:customStyle="1" w:styleId="Authors">
    <w:name w:val="Authors"/>
    <w:basedOn w:val="Normal"/>
    <w:pPr>
      <w:spacing w:before="360" w:after="120" w:line="309" w:lineRule="auto"/>
    </w:pPr>
    <w:rPr>
      <w:sz w:val="28"/>
    </w:rPr>
  </w:style>
  <w:style w:type="paragraph" w:customStyle="1" w:styleId="Correspondence">
    <w:name w:val="Correspondence"/>
    <w:basedOn w:val="Normal"/>
    <w:pPr>
      <w:spacing w:line="480" w:lineRule="auto"/>
      <w:ind w:left="480" w:hanging="480"/>
    </w:pPr>
    <w:rPr>
      <w:color w:val="C0504D"/>
      <w:sz w:val="18"/>
    </w:rPr>
  </w:style>
  <w:style w:type="character" w:customStyle="1" w:styleId="FootnoteText1">
    <w:name w:val="Footnote Text1"/>
    <w:rPr>
      <w:vertAlign w:val="baseline"/>
    </w:rPr>
  </w:style>
  <w:style w:type="paragraph" w:styleId="BlockText">
    <w:name w:val="Block Text"/>
    <w:basedOn w:val="Normal"/>
    <w:pPr>
      <w:spacing w:line="393" w:lineRule="auto"/>
      <w:ind w:left="1200"/>
    </w:pPr>
    <w:rPr>
      <w:sz w:val="22"/>
    </w:rPr>
  </w:style>
  <w:style w:type="paragraph" w:customStyle="1" w:styleId="Biography">
    <w:name w:val="Biography"/>
    <w:basedOn w:val="Normal"/>
    <w:pPr>
      <w:spacing w:after="240" w:line="324" w:lineRule="auto"/>
      <w:ind w:left="360"/>
    </w:pPr>
    <w:rPr>
      <w:color w:val="8064A2"/>
      <w:sz w:val="20"/>
    </w:rPr>
  </w:style>
  <w:style w:type="paragraph" w:customStyle="1" w:styleId="Keywords">
    <w:name w:val="Keywords"/>
    <w:basedOn w:val="Normal"/>
    <w:pPr>
      <w:spacing w:line="360" w:lineRule="auto"/>
      <w:ind w:left="1000"/>
    </w:pPr>
    <w:rPr>
      <w:sz w:val="22"/>
    </w:rPr>
  </w:style>
  <w:style w:type="character" w:customStyle="1" w:styleId="Genbank">
    <w:name w:val="Genbank"/>
    <w:rPr>
      <w:color w:val="6F3198"/>
    </w:rPr>
  </w:style>
  <w:style w:type="character" w:customStyle="1" w:styleId="Label">
    <w:name w:val="Label"/>
    <w:rPr>
      <w:color w:val="C0504D"/>
    </w:rPr>
  </w:style>
  <w:style w:type="paragraph" w:customStyle="1" w:styleId="TableHead">
    <w:name w:val="Table Head"/>
    <w:basedOn w:val="Normal"/>
    <w:qFormat/>
    <w:rPr>
      <w:color w:val="5C83B4"/>
      <w:sz w:val="20"/>
    </w:rPr>
  </w:style>
  <w:style w:type="character" w:customStyle="1" w:styleId="Sequence">
    <w:name w:val="Sequence"/>
    <w:rPr>
      <w:color w:val="6F3198"/>
    </w:rPr>
  </w:style>
  <w:style w:type="paragraph" w:styleId="List5">
    <w:name w:val="List 5"/>
    <w:basedOn w:val="Normal"/>
    <w:rPr>
      <w:sz w:val="22"/>
    </w:rPr>
  </w:style>
  <w:style w:type="character" w:customStyle="1" w:styleId="Heading0">
    <w:name w:val="Heading:"/>
    <w:qFormat/>
    <w:rPr>
      <w:b/>
      <w:color w:val="5B89C1"/>
    </w:rPr>
  </w:style>
  <w:style w:type="paragraph" w:customStyle="1" w:styleId="List6">
    <w:name w:val="List 6"/>
    <w:basedOn w:val="Normal"/>
    <w:rPr>
      <w:sz w:val="22"/>
    </w:rPr>
  </w:style>
  <w:style w:type="paragraph" w:customStyle="1" w:styleId="Acknowledgements">
    <w:name w:val="Acknowledgements"/>
    <w:basedOn w:val="Normal"/>
    <w:pPr>
      <w:spacing w:line="432" w:lineRule="auto"/>
      <w:jc w:val="both"/>
    </w:pPr>
    <w:rPr>
      <w:color w:val="0072BC"/>
      <w:sz w:val="20"/>
    </w:rPr>
  </w:style>
  <w:style w:type="paragraph" w:customStyle="1" w:styleId="TableHeadSpan">
    <w:name w:val="Table Head Span"/>
    <w:basedOn w:val="Normal"/>
    <w:qFormat/>
    <w:rPr>
      <w:color w:val="5C83B4"/>
    </w:rPr>
  </w:style>
  <w:style w:type="paragraph" w:customStyle="1" w:styleId="TableBody">
    <w:name w:val="Table Body"/>
    <w:basedOn w:val="Normal"/>
    <w:pPr>
      <w:spacing w:line="432" w:lineRule="auto"/>
    </w:pPr>
    <w:rPr>
      <w:sz w:val="20"/>
    </w:rPr>
  </w:style>
  <w:style w:type="character" w:customStyle="1" w:styleId="EndnoteText1">
    <w:name w:val="Endnote Text1"/>
  </w:style>
  <w:style w:type="paragraph" w:customStyle="1" w:styleId="QuotationSource">
    <w:name w:val="Quotation Source"/>
    <w:basedOn w:val="Normal"/>
    <w:pPr>
      <w:spacing w:line="393" w:lineRule="auto"/>
      <w:ind w:left="1440"/>
    </w:pPr>
    <w:rPr>
      <w:color w:val="000000"/>
      <w:sz w:val="22"/>
    </w:rPr>
  </w:style>
  <w:style w:type="paragraph" w:customStyle="1" w:styleId="SubheadingAbstract">
    <w:name w:val="Subheading Abstract"/>
    <w:basedOn w:val="Normal"/>
    <w:next w:val="Normal"/>
    <w:qFormat/>
  </w:style>
  <w:style w:type="character" w:customStyle="1" w:styleId="name0">
    <w:name w:val="name"/>
    <w:basedOn w:val="DefaultParagraphFont"/>
    <w:rsid w:val="004004EA"/>
  </w:style>
  <w:style w:type="character" w:customStyle="1" w:styleId="xref-sep">
    <w:name w:val="xref-sep"/>
    <w:basedOn w:val="DefaultParagraphFont"/>
    <w:rsid w:val="004004EA"/>
  </w:style>
  <w:style w:type="character" w:customStyle="1" w:styleId="slug-doi-wrapper">
    <w:name w:val="slug-doi-wrapper"/>
    <w:basedOn w:val="DefaultParagraphFont"/>
    <w:rsid w:val="004004EA"/>
  </w:style>
  <w:style w:type="character" w:customStyle="1" w:styleId="slug-doi">
    <w:name w:val="slug-doi"/>
    <w:basedOn w:val="DefaultParagraphFont"/>
    <w:rsid w:val="004004EA"/>
  </w:style>
  <w:style w:type="table" w:styleId="TableGrid">
    <w:name w:val="Table Grid"/>
    <w:basedOn w:val="TableNormal"/>
    <w:uiPriority w:val="99"/>
    <w:rsid w:val="001D30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84634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46341"/>
    <w:rPr>
      <w:sz w:val="18"/>
      <w:szCs w:val="18"/>
      <w:lang w:val=""/>
    </w:rPr>
  </w:style>
  <w:style w:type="paragraph" w:styleId="Footer">
    <w:name w:val="footer"/>
    <w:basedOn w:val="Normal"/>
    <w:link w:val="FooterChar"/>
    <w:uiPriority w:val="99"/>
    <w:rsid w:val="0084634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46341"/>
    <w:rPr>
      <w:sz w:val="18"/>
      <w:szCs w:val="18"/>
      <w:lang w:val=""/>
    </w:rPr>
  </w:style>
  <w:style w:type="character" w:styleId="Strong">
    <w:name w:val="Strong"/>
    <w:qFormat/>
    <w:rsid w:val="00BA05FB"/>
    <w:rPr>
      <w:b/>
      <w:bCs/>
    </w:rPr>
  </w:style>
  <w:style w:type="character" w:styleId="Emphasis">
    <w:name w:val="Emphasis"/>
    <w:qFormat/>
    <w:rsid w:val="00DB4135"/>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en-US" w:bidi="ar-SA"/>
      </w:rPr>
    </w:rPrDefault>
    <w:pPrDefault/>
  </w:docDefaults>
  <w:latentStyles w:defLockedState="0" w:defUIPriority="99" w:defSemiHidden="0" w:defUnhideWhenUsed="0" w:defQFormat="0" w:count="276">
    <w:lsdException w:name="Normal" w:uiPriority="0" w:qFormat="1"/>
    <w:lsdException w:name="Default Paragraph Font" w:uiPriority="1"/>
    <w:lsdException w:name="Hyperlink" w:uiPriority="0"/>
    <w:lsdException w:name="Strong" w:uiPriority="0" w:qFormat="1"/>
    <w:lsdException w:name="Emphasis" w:uiPriority="0"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atentStyles>
  <w:style w:type="paragraph" w:default="1" w:styleId="Normal">
    <w:name w:val="Normal"/>
    <w:qFormat/>
    <w:rsid w:val="007D79E0"/>
    <w:rPr>
      <w:sz w:val="24"/>
      <w:lang w:v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ParagraphFont1">
    <w:name w:val="Default Paragraph Font1"/>
    <w:basedOn w:val="Normal"/>
    <w:pPr>
      <w:spacing w:after="200" w:line="276" w:lineRule="auto"/>
    </w:pPr>
  </w:style>
  <w:style w:type="paragraph" w:customStyle="1" w:styleId="NoList1">
    <w:name w:val="No List1"/>
    <w:basedOn w:val="Normal"/>
    <w:pPr>
      <w:spacing w:after="200" w:line="276" w:lineRule="auto"/>
    </w:pPr>
  </w:style>
  <w:style w:type="character" w:styleId="CommentReference">
    <w:name w:val="annotation reference"/>
    <w:rPr>
      <w:sz w:val="16"/>
    </w:rPr>
  </w:style>
  <w:style w:type="character" w:styleId="Hyperlink">
    <w:name w:val="Hyperlink"/>
    <w:rsid w:val="007D79E0"/>
    <w:rPr>
      <w:color w:val="0563C1"/>
      <w:u w:val="single"/>
    </w:rPr>
  </w:style>
  <w:style w:type="paragraph" w:customStyle="1" w:styleId="Body">
    <w:name w:val="Body"/>
    <w:basedOn w:val="Normal"/>
    <w:rsid w:val="007D79E0"/>
    <w:rPr>
      <w:rFonts w:ascii="Helvetica" w:hAnsi="Helvetica"/>
      <w:color w:val="000000"/>
    </w:rPr>
  </w:style>
  <w:style w:type="paragraph" w:customStyle="1" w:styleId="Heading">
    <w:name w:val="Heading"/>
    <w:basedOn w:val="Normal"/>
    <w:next w:val="Normal"/>
    <w:qFormat/>
    <w:rsid w:val="007D79E0"/>
    <w:pPr>
      <w:keepNext/>
      <w:keepLines/>
      <w:outlineLvl w:val="0"/>
    </w:pPr>
    <w:rPr>
      <w:rFonts w:ascii="Helvetica" w:hAnsi="Helvetica"/>
      <w:b/>
      <w:color w:val="000000"/>
      <w:sz w:val="36"/>
    </w:rPr>
  </w:style>
  <w:style w:type="paragraph" w:styleId="CommentText">
    <w:name w:val="annotation text"/>
    <w:basedOn w:val="Normal"/>
  </w:style>
  <w:style w:type="paragraph" w:styleId="BalloonText">
    <w:name w:val="Balloon Text"/>
    <w:basedOn w:val="Normal"/>
    <w:rPr>
      <w:rFonts w:ascii="Tahoma" w:hAnsi="Tahoma" w:cs="Tahoma"/>
      <w:sz w:val="16"/>
      <w:lang w:val="en-US"/>
    </w:rPr>
  </w:style>
  <w:style w:type="paragraph" w:styleId="CommentSubject">
    <w:name w:val="annotation subject"/>
    <w:basedOn w:val="Normal"/>
    <w:next w:val="Normal"/>
    <w:rPr>
      <w:b/>
      <w:sz w:val="20"/>
    </w:rPr>
  </w:style>
  <w:style w:type="paragraph" w:styleId="Revision">
    <w:name w:val="Revision"/>
    <w:basedOn w:val="Normal"/>
  </w:style>
  <w:style w:type="character" w:customStyle="1" w:styleId="st">
    <w:name w:val="st"/>
  </w:style>
  <w:style w:type="character" w:customStyle="1" w:styleId="BibPage">
    <w:name w:val="Bib Page"/>
    <w:rPr>
      <w:color w:val="903C39"/>
    </w:rPr>
  </w:style>
  <w:style w:type="paragraph" w:customStyle="1" w:styleId="List7">
    <w:name w:val="List 7"/>
    <w:basedOn w:val="Normal"/>
    <w:rPr>
      <w:sz w:val="22"/>
    </w:rPr>
  </w:style>
  <w:style w:type="paragraph" w:styleId="List2">
    <w:name w:val="List 2"/>
    <w:basedOn w:val="Normal"/>
    <w:pPr>
      <w:ind w:left="1200" w:hanging="600"/>
      <w:jc w:val="both"/>
    </w:pPr>
    <w:rPr>
      <w:sz w:val="22"/>
    </w:rPr>
  </w:style>
  <w:style w:type="character" w:styleId="EndnoteReference">
    <w:name w:val="endnote reference"/>
    <w:rPr>
      <w:vertAlign w:val="superscript"/>
    </w:rPr>
  </w:style>
  <w:style w:type="character" w:customStyle="1" w:styleId="BibVol">
    <w:name w:val="Bib Vol"/>
    <w:rPr>
      <w:color w:val="2F3699"/>
    </w:rPr>
  </w:style>
  <w:style w:type="paragraph" w:styleId="Subtitle">
    <w:name w:val="Subtitle"/>
    <w:basedOn w:val="Normal"/>
    <w:qFormat/>
    <w:rPr>
      <w:sz w:val="36"/>
    </w:rPr>
  </w:style>
  <w:style w:type="character" w:customStyle="1" w:styleId="BibComment">
    <w:name w:val="Bib Comment"/>
    <w:rPr>
      <w:color w:val="F7B580"/>
    </w:rPr>
  </w:style>
  <w:style w:type="paragraph" w:styleId="List3">
    <w:name w:val="List 3"/>
    <w:basedOn w:val="Normal"/>
    <w:pPr>
      <w:spacing w:line="393" w:lineRule="auto"/>
      <w:ind w:left="1800" w:hanging="600"/>
      <w:jc w:val="both"/>
    </w:pPr>
    <w:rPr>
      <w:sz w:val="22"/>
    </w:rPr>
  </w:style>
  <w:style w:type="character" w:customStyle="1" w:styleId="BibPublisher">
    <w:name w:val="Bib Publisher"/>
    <w:rPr>
      <w:color w:val="6F3198"/>
    </w:rPr>
  </w:style>
  <w:style w:type="paragraph" w:customStyle="1" w:styleId="BibEntry">
    <w:name w:val="Bib Entry"/>
    <w:basedOn w:val="Normal"/>
    <w:pPr>
      <w:spacing w:line="360" w:lineRule="auto"/>
      <w:ind w:left="570" w:hanging="570"/>
      <w:jc w:val="both"/>
    </w:pPr>
    <w:rPr>
      <w:sz w:val="22"/>
    </w:rPr>
  </w:style>
  <w:style w:type="paragraph" w:customStyle="1" w:styleId="Note">
    <w:name w:val="Note"/>
    <w:basedOn w:val="Normal"/>
    <w:pPr>
      <w:spacing w:line="480" w:lineRule="auto"/>
    </w:pPr>
    <w:rPr>
      <w:color w:val="B77540"/>
      <w:sz w:val="18"/>
    </w:rPr>
  </w:style>
  <w:style w:type="paragraph" w:customStyle="1" w:styleId="TableNote">
    <w:name w:val="Table Note"/>
    <w:basedOn w:val="Normal"/>
    <w:rPr>
      <w:sz w:val="18"/>
    </w:rPr>
  </w:style>
  <w:style w:type="character" w:customStyle="1" w:styleId="Cross-reference">
    <w:name w:val="Cross-reference"/>
    <w:rPr>
      <w:color w:val="9900FF"/>
    </w:rPr>
  </w:style>
  <w:style w:type="paragraph" w:customStyle="1" w:styleId="Address">
    <w:name w:val="Address"/>
    <w:basedOn w:val="Normal"/>
    <w:pPr>
      <w:spacing w:after="240" w:line="324" w:lineRule="auto"/>
      <w:ind w:left="720"/>
    </w:pPr>
    <w:rPr>
      <w:color w:val="8064A2"/>
      <w:sz w:val="20"/>
    </w:rPr>
  </w:style>
  <w:style w:type="character" w:customStyle="1" w:styleId="NameOrganization">
    <w:name w:val="Name Organization"/>
    <w:rPr>
      <w:color w:val="22B14C"/>
    </w:rPr>
  </w:style>
  <w:style w:type="paragraph" w:styleId="List4">
    <w:name w:val="List 4"/>
    <w:basedOn w:val="Normal"/>
    <w:pPr>
      <w:spacing w:line="393" w:lineRule="auto"/>
      <w:ind w:left="240" w:hanging="600"/>
    </w:pPr>
    <w:rPr>
      <w:sz w:val="22"/>
    </w:rPr>
  </w:style>
  <w:style w:type="character" w:customStyle="1" w:styleId="BibTitle">
    <w:name w:val="Bib Title"/>
    <w:qFormat/>
    <w:rPr>
      <w:color w:val="00B7EF"/>
    </w:rPr>
  </w:style>
  <w:style w:type="paragraph" w:customStyle="1" w:styleId="Copyright">
    <w:name w:val="Copyright"/>
    <w:basedOn w:val="Normal"/>
    <w:rPr>
      <w:color w:val="F7B580"/>
      <w:sz w:val="18"/>
    </w:rPr>
  </w:style>
  <w:style w:type="paragraph" w:customStyle="1" w:styleId="Glossary">
    <w:name w:val="Glossary"/>
    <w:basedOn w:val="Normal"/>
    <w:pPr>
      <w:spacing w:before="120" w:after="120" w:line="432" w:lineRule="auto"/>
    </w:pPr>
    <w:rPr>
      <w:color w:val="7D7974"/>
      <w:sz w:val="20"/>
    </w:rPr>
  </w:style>
  <w:style w:type="paragraph" w:customStyle="1" w:styleId="Surtitle">
    <w:name w:val="Surtitle"/>
    <w:basedOn w:val="Normal"/>
    <w:qFormat/>
    <w:rPr>
      <w:sz w:val="48"/>
    </w:rPr>
  </w:style>
  <w:style w:type="paragraph" w:customStyle="1" w:styleId="Statement">
    <w:name w:val="Statement"/>
    <w:basedOn w:val="Normal"/>
    <w:pPr>
      <w:ind w:left="900"/>
    </w:pPr>
  </w:style>
  <w:style w:type="character" w:customStyle="1" w:styleId="CommentText1">
    <w:name w:val="Comment Text1"/>
    <w:rPr>
      <w:rFonts w:ascii="Calibri" w:hAnsi="Calibri"/>
      <w:b w:val="0"/>
      <w:i w:val="0"/>
      <w:caps w:val="0"/>
      <w:smallCaps w:val="0"/>
      <w:color w:val="000000"/>
      <w:sz w:val="20"/>
      <w:u w:val="none"/>
      <w:vertAlign w:val="baseline"/>
    </w:rPr>
  </w:style>
  <w:style w:type="character" w:customStyle="1" w:styleId="CaptionLabel">
    <w:name w:val="Caption Label"/>
    <w:rPr>
      <w:color w:val="007CC5"/>
    </w:rPr>
  </w:style>
  <w:style w:type="character" w:styleId="FootnoteReference">
    <w:name w:val="footnote reference"/>
    <w:rPr>
      <w:vertAlign w:val="superscript"/>
    </w:rPr>
  </w:style>
  <w:style w:type="character" w:customStyle="1" w:styleId="GlossaryTerm">
    <w:name w:val="Glossary Term"/>
    <w:rPr>
      <w:color w:val="7030A0"/>
    </w:rPr>
  </w:style>
  <w:style w:type="paragraph" w:customStyle="1" w:styleId="AbstractSubheading">
    <w:name w:val="Abstract Subheading"/>
    <w:basedOn w:val="Normal"/>
    <w:next w:val="Normal"/>
    <w:qFormat/>
    <w:pPr>
      <w:ind w:left="1440"/>
    </w:pPr>
    <w:rPr>
      <w:sz w:val="22"/>
    </w:rPr>
  </w:style>
  <w:style w:type="character" w:customStyle="1" w:styleId="NameScientific">
    <w:name w:val="Name Scientific"/>
    <w:rPr>
      <w:color w:val="6F3198"/>
    </w:rPr>
  </w:style>
  <w:style w:type="paragraph" w:customStyle="1" w:styleId="Abstract">
    <w:name w:val="Abstract"/>
    <w:basedOn w:val="Normal"/>
    <w:pPr>
      <w:spacing w:before="120" w:after="120" w:line="393" w:lineRule="auto"/>
      <w:ind w:left="1440" w:right="1440"/>
      <w:jc w:val="both"/>
    </w:pPr>
    <w:rPr>
      <w:sz w:val="22"/>
    </w:rPr>
  </w:style>
  <w:style w:type="paragraph" w:customStyle="1" w:styleId="TableList">
    <w:name w:val="Table List"/>
    <w:basedOn w:val="Normal"/>
    <w:pPr>
      <w:ind w:left="300" w:hanging="300"/>
    </w:pPr>
    <w:rPr>
      <w:sz w:val="20"/>
    </w:rPr>
  </w:style>
  <w:style w:type="paragraph" w:customStyle="1" w:styleId="ChapterNumber">
    <w:name w:val="Chapter Number"/>
    <w:basedOn w:val="Normal"/>
  </w:style>
  <w:style w:type="paragraph" w:styleId="List">
    <w:name w:val="List"/>
    <w:basedOn w:val="Normal"/>
    <w:pPr>
      <w:spacing w:line="393" w:lineRule="auto"/>
      <w:ind w:left="600" w:hanging="600"/>
      <w:jc w:val="both"/>
    </w:pPr>
    <w:rPr>
      <w:sz w:val="22"/>
    </w:rPr>
  </w:style>
  <w:style w:type="character" w:customStyle="1" w:styleId="BibYear">
    <w:name w:val="Bib Year"/>
    <w:rPr>
      <w:color w:val="B77540"/>
    </w:rPr>
  </w:style>
  <w:style w:type="character" w:customStyle="1" w:styleId="BibIssue">
    <w:name w:val="Bib Issue"/>
    <w:rPr>
      <w:color w:val="FA3232"/>
    </w:rPr>
  </w:style>
  <w:style w:type="paragraph" w:styleId="NormalIndent">
    <w:name w:val="Normal Indent"/>
    <w:basedOn w:val="Normal"/>
    <w:qFormat/>
    <w:pPr>
      <w:spacing w:line="360" w:lineRule="auto"/>
      <w:ind w:firstLine="480"/>
      <w:jc w:val="both"/>
    </w:pPr>
    <w:rPr>
      <w:rFonts w:ascii="Calibri" w:hAnsi="Calibri"/>
      <w:sz w:val="22"/>
    </w:rPr>
  </w:style>
  <w:style w:type="character" w:customStyle="1" w:styleId="BibDocTitle">
    <w:name w:val="Bib DocTitle"/>
    <w:qFormat/>
    <w:rPr>
      <w:color w:val="A29D96"/>
    </w:rPr>
  </w:style>
  <w:style w:type="paragraph" w:customStyle="1" w:styleId="Formula">
    <w:name w:val="Formula"/>
    <w:basedOn w:val="Normal"/>
    <w:pPr>
      <w:spacing w:before="120" w:after="120" w:line="360" w:lineRule="auto"/>
    </w:pPr>
    <w:rPr>
      <w:sz w:val="22"/>
    </w:rPr>
  </w:style>
  <w:style w:type="character" w:customStyle="1" w:styleId="GrantSponsor">
    <w:name w:val="Grant Sponsor"/>
    <w:rPr>
      <w:color w:val="C500C0"/>
    </w:rPr>
  </w:style>
  <w:style w:type="character" w:customStyle="1" w:styleId="NameGiven">
    <w:name w:val="Name Given"/>
    <w:rPr>
      <w:color w:val="FFC20E"/>
    </w:rPr>
  </w:style>
  <w:style w:type="paragraph" w:styleId="Title">
    <w:name w:val="Title"/>
    <w:basedOn w:val="Normal"/>
    <w:qFormat/>
    <w:pPr>
      <w:spacing w:line="309" w:lineRule="auto"/>
    </w:pPr>
    <w:rPr>
      <w:sz w:val="56"/>
    </w:rPr>
  </w:style>
  <w:style w:type="character" w:customStyle="1" w:styleId="Abbreviation">
    <w:name w:val="Abbreviation"/>
    <w:rPr>
      <w:color w:val="7030A0"/>
    </w:rPr>
  </w:style>
  <w:style w:type="paragraph" w:customStyle="1" w:styleId="Quotation">
    <w:name w:val="Quotation"/>
    <w:basedOn w:val="Normal"/>
    <w:pPr>
      <w:spacing w:line="393" w:lineRule="auto"/>
      <w:ind w:left="1440"/>
      <w:jc w:val="both"/>
    </w:pPr>
    <w:rPr>
      <w:sz w:val="22"/>
    </w:rPr>
  </w:style>
  <w:style w:type="character" w:customStyle="1" w:styleId="Name">
    <w:name w:val="Name"/>
    <w:rPr>
      <w:color w:val="22B14C"/>
    </w:rPr>
  </w:style>
  <w:style w:type="paragraph" w:customStyle="1" w:styleId="List8">
    <w:name w:val="List 8"/>
    <w:basedOn w:val="Normal"/>
    <w:rPr>
      <w:sz w:val="22"/>
    </w:rPr>
  </w:style>
  <w:style w:type="character" w:customStyle="1" w:styleId="Grant">
    <w:name w:val="Grant"/>
    <w:rPr>
      <w:color w:val="6F3198"/>
    </w:rPr>
  </w:style>
  <w:style w:type="paragraph" w:styleId="Caption">
    <w:name w:val="caption"/>
    <w:basedOn w:val="Normal"/>
    <w:pPr>
      <w:spacing w:before="240" w:line="393" w:lineRule="auto"/>
      <w:jc w:val="both"/>
    </w:pPr>
    <w:rPr>
      <w:color w:val="B77540"/>
      <w:sz w:val="22"/>
    </w:rPr>
  </w:style>
  <w:style w:type="paragraph" w:customStyle="1" w:styleId="Authors">
    <w:name w:val="Authors"/>
    <w:basedOn w:val="Normal"/>
    <w:pPr>
      <w:spacing w:before="360" w:after="120" w:line="309" w:lineRule="auto"/>
    </w:pPr>
    <w:rPr>
      <w:sz w:val="28"/>
    </w:rPr>
  </w:style>
  <w:style w:type="paragraph" w:customStyle="1" w:styleId="Correspondence">
    <w:name w:val="Correspondence"/>
    <w:basedOn w:val="Normal"/>
    <w:pPr>
      <w:spacing w:line="480" w:lineRule="auto"/>
      <w:ind w:left="480" w:hanging="480"/>
    </w:pPr>
    <w:rPr>
      <w:color w:val="C0504D"/>
      <w:sz w:val="18"/>
    </w:rPr>
  </w:style>
  <w:style w:type="character" w:customStyle="1" w:styleId="FootnoteText1">
    <w:name w:val="Footnote Text1"/>
    <w:rPr>
      <w:vertAlign w:val="baseline"/>
    </w:rPr>
  </w:style>
  <w:style w:type="paragraph" w:styleId="BlockText">
    <w:name w:val="Block Text"/>
    <w:basedOn w:val="Normal"/>
    <w:pPr>
      <w:spacing w:line="393" w:lineRule="auto"/>
      <w:ind w:left="1200"/>
    </w:pPr>
    <w:rPr>
      <w:sz w:val="22"/>
    </w:rPr>
  </w:style>
  <w:style w:type="paragraph" w:customStyle="1" w:styleId="Biography">
    <w:name w:val="Biography"/>
    <w:basedOn w:val="Normal"/>
    <w:pPr>
      <w:spacing w:after="240" w:line="324" w:lineRule="auto"/>
      <w:ind w:left="360"/>
    </w:pPr>
    <w:rPr>
      <w:color w:val="8064A2"/>
      <w:sz w:val="20"/>
    </w:rPr>
  </w:style>
  <w:style w:type="paragraph" w:customStyle="1" w:styleId="Keywords">
    <w:name w:val="Keywords"/>
    <w:basedOn w:val="Normal"/>
    <w:pPr>
      <w:spacing w:line="360" w:lineRule="auto"/>
      <w:ind w:left="1000"/>
    </w:pPr>
    <w:rPr>
      <w:sz w:val="22"/>
    </w:rPr>
  </w:style>
  <w:style w:type="character" w:customStyle="1" w:styleId="Genbank">
    <w:name w:val="Genbank"/>
    <w:rPr>
      <w:color w:val="6F3198"/>
    </w:rPr>
  </w:style>
  <w:style w:type="character" w:customStyle="1" w:styleId="Label">
    <w:name w:val="Label"/>
    <w:rPr>
      <w:color w:val="C0504D"/>
    </w:rPr>
  </w:style>
  <w:style w:type="paragraph" w:customStyle="1" w:styleId="TableHead">
    <w:name w:val="Table Head"/>
    <w:basedOn w:val="Normal"/>
    <w:qFormat/>
    <w:rPr>
      <w:color w:val="5C83B4"/>
      <w:sz w:val="20"/>
    </w:rPr>
  </w:style>
  <w:style w:type="character" w:customStyle="1" w:styleId="Sequence">
    <w:name w:val="Sequence"/>
    <w:rPr>
      <w:color w:val="6F3198"/>
    </w:rPr>
  </w:style>
  <w:style w:type="paragraph" w:styleId="List5">
    <w:name w:val="List 5"/>
    <w:basedOn w:val="Normal"/>
    <w:rPr>
      <w:sz w:val="22"/>
    </w:rPr>
  </w:style>
  <w:style w:type="character" w:customStyle="1" w:styleId="Heading0">
    <w:name w:val="Heading:"/>
    <w:qFormat/>
    <w:rPr>
      <w:b/>
      <w:color w:val="5B89C1"/>
    </w:rPr>
  </w:style>
  <w:style w:type="paragraph" w:customStyle="1" w:styleId="List6">
    <w:name w:val="List 6"/>
    <w:basedOn w:val="Normal"/>
    <w:rPr>
      <w:sz w:val="22"/>
    </w:rPr>
  </w:style>
  <w:style w:type="paragraph" w:customStyle="1" w:styleId="Acknowledgements">
    <w:name w:val="Acknowledgements"/>
    <w:basedOn w:val="Normal"/>
    <w:pPr>
      <w:spacing w:line="432" w:lineRule="auto"/>
      <w:jc w:val="both"/>
    </w:pPr>
    <w:rPr>
      <w:color w:val="0072BC"/>
      <w:sz w:val="20"/>
    </w:rPr>
  </w:style>
  <w:style w:type="paragraph" w:customStyle="1" w:styleId="TableHeadSpan">
    <w:name w:val="Table Head Span"/>
    <w:basedOn w:val="Normal"/>
    <w:qFormat/>
    <w:rPr>
      <w:color w:val="5C83B4"/>
    </w:rPr>
  </w:style>
  <w:style w:type="paragraph" w:customStyle="1" w:styleId="TableBody">
    <w:name w:val="Table Body"/>
    <w:basedOn w:val="Normal"/>
    <w:pPr>
      <w:spacing w:line="432" w:lineRule="auto"/>
    </w:pPr>
    <w:rPr>
      <w:sz w:val="20"/>
    </w:rPr>
  </w:style>
  <w:style w:type="character" w:customStyle="1" w:styleId="EndnoteText1">
    <w:name w:val="Endnote Text1"/>
  </w:style>
  <w:style w:type="paragraph" w:customStyle="1" w:styleId="QuotationSource">
    <w:name w:val="Quotation Source"/>
    <w:basedOn w:val="Normal"/>
    <w:pPr>
      <w:spacing w:line="393" w:lineRule="auto"/>
      <w:ind w:left="1440"/>
    </w:pPr>
    <w:rPr>
      <w:color w:val="000000"/>
      <w:sz w:val="22"/>
    </w:rPr>
  </w:style>
  <w:style w:type="paragraph" w:customStyle="1" w:styleId="SubheadingAbstract">
    <w:name w:val="Subheading Abstract"/>
    <w:basedOn w:val="Normal"/>
    <w:next w:val="Normal"/>
    <w:qFormat/>
  </w:style>
  <w:style w:type="character" w:customStyle="1" w:styleId="name0">
    <w:name w:val="name"/>
    <w:basedOn w:val="DefaultParagraphFont"/>
    <w:rsid w:val="004004EA"/>
  </w:style>
  <w:style w:type="character" w:customStyle="1" w:styleId="xref-sep">
    <w:name w:val="xref-sep"/>
    <w:basedOn w:val="DefaultParagraphFont"/>
    <w:rsid w:val="004004EA"/>
  </w:style>
  <w:style w:type="character" w:customStyle="1" w:styleId="slug-doi-wrapper">
    <w:name w:val="slug-doi-wrapper"/>
    <w:basedOn w:val="DefaultParagraphFont"/>
    <w:rsid w:val="004004EA"/>
  </w:style>
  <w:style w:type="character" w:customStyle="1" w:styleId="slug-doi">
    <w:name w:val="slug-doi"/>
    <w:basedOn w:val="DefaultParagraphFont"/>
    <w:rsid w:val="004004EA"/>
  </w:style>
  <w:style w:type="table" w:styleId="TableGrid">
    <w:name w:val="Table Grid"/>
    <w:basedOn w:val="TableNormal"/>
    <w:uiPriority w:val="99"/>
    <w:rsid w:val="001D30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846341"/>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846341"/>
    <w:rPr>
      <w:sz w:val="18"/>
      <w:szCs w:val="18"/>
      <w:lang w:val=""/>
    </w:rPr>
  </w:style>
  <w:style w:type="paragraph" w:styleId="Footer">
    <w:name w:val="footer"/>
    <w:basedOn w:val="Normal"/>
    <w:link w:val="FooterChar"/>
    <w:uiPriority w:val="99"/>
    <w:rsid w:val="00846341"/>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846341"/>
    <w:rPr>
      <w:sz w:val="18"/>
      <w:szCs w:val="18"/>
      <w:lang w:val=""/>
    </w:rPr>
  </w:style>
  <w:style w:type="character" w:styleId="Strong">
    <w:name w:val="Strong"/>
    <w:qFormat/>
    <w:rsid w:val="00BA05FB"/>
    <w:rPr>
      <w:b/>
      <w:bCs/>
    </w:rPr>
  </w:style>
  <w:style w:type="character" w:styleId="Emphasis">
    <w:name w:val="Emphasis"/>
    <w:qFormat/>
    <w:rsid w:val="00DB4135"/>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4941728">
      <w:bodyDiv w:val="1"/>
      <w:marLeft w:val="0"/>
      <w:marRight w:val="0"/>
      <w:marTop w:val="0"/>
      <w:marBottom w:val="0"/>
      <w:divBdr>
        <w:top w:val="none" w:sz="0" w:space="0" w:color="auto"/>
        <w:left w:val="none" w:sz="0" w:space="0" w:color="auto"/>
        <w:bottom w:val="none" w:sz="0" w:space="0" w:color="auto"/>
        <w:right w:val="none" w:sz="0" w:space="0" w:color="auto"/>
      </w:divBdr>
    </w:div>
    <w:div w:id="325547938">
      <w:bodyDiv w:val="1"/>
      <w:marLeft w:val="0"/>
      <w:marRight w:val="0"/>
      <w:marTop w:val="0"/>
      <w:marBottom w:val="0"/>
      <w:divBdr>
        <w:top w:val="none" w:sz="0" w:space="0" w:color="auto"/>
        <w:left w:val="none" w:sz="0" w:space="0" w:color="auto"/>
        <w:bottom w:val="none" w:sz="0" w:space="0" w:color="auto"/>
        <w:right w:val="none" w:sz="0" w:space="0" w:color="auto"/>
      </w:divBdr>
    </w:div>
    <w:div w:id="330184669">
      <w:bodyDiv w:val="1"/>
      <w:marLeft w:val="0"/>
      <w:marRight w:val="0"/>
      <w:marTop w:val="0"/>
      <w:marBottom w:val="0"/>
      <w:divBdr>
        <w:top w:val="none" w:sz="0" w:space="0" w:color="auto"/>
        <w:left w:val="none" w:sz="0" w:space="0" w:color="auto"/>
        <w:bottom w:val="none" w:sz="0" w:space="0" w:color="auto"/>
        <w:right w:val="none" w:sz="0" w:space="0" w:color="auto"/>
      </w:divBdr>
    </w:div>
    <w:div w:id="741756593">
      <w:bodyDiv w:val="1"/>
      <w:marLeft w:val="0"/>
      <w:marRight w:val="0"/>
      <w:marTop w:val="0"/>
      <w:marBottom w:val="0"/>
      <w:divBdr>
        <w:top w:val="none" w:sz="0" w:space="0" w:color="auto"/>
        <w:left w:val="none" w:sz="0" w:space="0" w:color="auto"/>
        <w:bottom w:val="none" w:sz="0" w:space="0" w:color="auto"/>
        <w:right w:val="none" w:sz="0" w:space="0" w:color="auto"/>
      </w:divBdr>
    </w:div>
    <w:div w:id="866287581">
      <w:bodyDiv w:val="1"/>
      <w:marLeft w:val="0"/>
      <w:marRight w:val="0"/>
      <w:marTop w:val="0"/>
      <w:marBottom w:val="0"/>
      <w:divBdr>
        <w:top w:val="none" w:sz="0" w:space="0" w:color="auto"/>
        <w:left w:val="none" w:sz="0" w:space="0" w:color="auto"/>
        <w:bottom w:val="none" w:sz="0" w:space="0" w:color="auto"/>
        <w:right w:val="none" w:sz="0" w:space="0" w:color="auto"/>
      </w:divBdr>
    </w:div>
    <w:div w:id="990712903">
      <w:bodyDiv w:val="1"/>
      <w:marLeft w:val="0"/>
      <w:marRight w:val="0"/>
      <w:marTop w:val="0"/>
      <w:marBottom w:val="0"/>
      <w:divBdr>
        <w:top w:val="none" w:sz="0" w:space="0" w:color="auto"/>
        <w:left w:val="none" w:sz="0" w:space="0" w:color="auto"/>
        <w:bottom w:val="none" w:sz="0" w:space="0" w:color="auto"/>
        <w:right w:val="none" w:sz="0" w:space="0" w:color="auto"/>
      </w:divBdr>
    </w:div>
    <w:div w:id="1057122143">
      <w:bodyDiv w:val="1"/>
      <w:marLeft w:val="0"/>
      <w:marRight w:val="0"/>
      <w:marTop w:val="0"/>
      <w:marBottom w:val="0"/>
      <w:divBdr>
        <w:top w:val="none" w:sz="0" w:space="0" w:color="auto"/>
        <w:left w:val="none" w:sz="0" w:space="0" w:color="auto"/>
        <w:bottom w:val="none" w:sz="0" w:space="0" w:color="auto"/>
        <w:right w:val="none" w:sz="0" w:space="0" w:color="auto"/>
      </w:divBdr>
    </w:div>
    <w:div w:id="1556551030">
      <w:bodyDiv w:val="1"/>
      <w:marLeft w:val="0"/>
      <w:marRight w:val="0"/>
      <w:marTop w:val="0"/>
      <w:marBottom w:val="0"/>
      <w:divBdr>
        <w:top w:val="none" w:sz="0" w:space="0" w:color="auto"/>
        <w:left w:val="none" w:sz="0" w:space="0" w:color="auto"/>
        <w:bottom w:val="none" w:sz="0" w:space="0" w:color="auto"/>
        <w:right w:val="none" w:sz="0" w:space="0" w:color="auto"/>
      </w:divBdr>
    </w:div>
    <w:div w:id="169629917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Relationship Id="rId12" Type="http://schemas.openxmlformats.org/officeDocument/2006/relationships/image" Target="media/image3.tif"/><Relationship Id="rId13" Type="http://schemas.openxmlformats.org/officeDocument/2006/relationships/image" Target="media/image4.tif"/><Relationship Id="rId14" Type="http://schemas.openxmlformats.org/officeDocument/2006/relationships/image" Target="media/image5.tif"/><Relationship Id="rId15" Type="http://schemas.openxmlformats.org/officeDocument/2006/relationships/fontTable" Target="fontTable.xml"/><Relationship Id="rId16" Type="http://schemas.openxmlformats.org/officeDocument/2006/relationships/theme" Target="theme/theme1.xml"/><Relationship Id="rId17" Type="http://schemas.microsoft.com/office/2011/relationships/people" Target="people.xml"/><Relationship Id="rId18" Type="http://schemas.microsoft.com/office/2011/relationships/commentsExtended" Target="commentsExtended.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hyperlink" Target="mailto:surasak.sa@psu.ac.th" TargetMode="External"/><Relationship Id="rId10"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EE22FF-69BA-1145-BD40-D4C83397F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41</Pages>
  <Words>9886</Words>
  <Characters>56356</Characters>
  <Application>Microsoft Macintosh Word</Application>
  <DocSecurity>0</DocSecurity>
  <Lines>469</Lines>
  <Paragraphs>132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Amanda Morris</dc:creator>
  <cp:lastModifiedBy>Na Ma</cp:lastModifiedBy>
  <cp:revision>2</cp:revision>
  <dcterms:created xsi:type="dcterms:W3CDTF">2015-09-30T06:02:00Z</dcterms:created>
  <dcterms:modified xsi:type="dcterms:W3CDTF">2015-09-30T06:02:00Z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urnalID">
    <vt:lpwstr/>
  </property>
  <property fmtid="{D5CDD505-2E9C-101B-9397-08002B2CF9AE}" pid="3" name="Source">
    <vt:lpwstr/>
  </property>
  <property fmtid="{D5CDD505-2E9C-101B-9397-08002B2CF9AE}" pid="4" name="Source-short">
    <vt:lpwstr/>
  </property>
  <property fmtid="{D5CDD505-2E9C-101B-9397-08002B2CF9AE}" pid="5" name="Source-abbreviated">
    <vt:lpwstr/>
  </property>
  <property fmtid="{D5CDD505-2E9C-101B-9397-08002B2CF9AE}" pid="6" name="eISSN">
    <vt:lpwstr/>
  </property>
  <property fmtid="{D5CDD505-2E9C-101B-9397-08002B2CF9AE}" pid="7" name="ISSN">
    <vt:lpwstr/>
  </property>
  <property fmtid="{D5CDD505-2E9C-101B-9397-08002B2CF9AE}" pid="8" name="Publisher">
    <vt:lpwstr/>
  </property>
  <property fmtid="{D5CDD505-2E9C-101B-9397-08002B2CF9AE}" pid="9" name="Publisher-location">
    <vt:lpwstr/>
  </property>
  <property fmtid="{D5CDD505-2E9C-101B-9397-08002B2CF9AE}" pid="10" name="Ref Cite Style">
    <vt:lpwstr>numerical</vt:lpwstr>
  </property>
  <property fmtid="{D5CDD505-2E9C-101B-9397-08002B2CF9AE}" pid="11" name="Merops word count">
    <vt:lpwstr>8008</vt:lpwstr>
  </property>
  <property fmtid="{D5CDD505-2E9C-101B-9397-08002B2CF9AE}" pid="12" name="Merops references count">
    <vt:lpwstr>104</vt:lpwstr>
  </property>
  <property fmtid="{D5CDD505-2E9C-101B-9397-08002B2CF9AE}" pid="13" name="Merops tables count">
    <vt:lpwstr>0</vt:lpwstr>
  </property>
  <property fmtid="{D5CDD505-2E9C-101B-9397-08002B2CF9AE}" pid="14" name="Merops figures count">
    <vt:lpwstr>5</vt:lpwstr>
  </property>
  <property fmtid="{D5CDD505-2E9C-101B-9397-08002B2CF9AE}" pid="15" name="Merops graphics count">
    <vt:lpwstr>IN DEVELOPMENT</vt:lpwstr>
  </property>
  <property fmtid="{D5CDD505-2E9C-101B-9397-08002B2CF9AE}" pid="16" name="Merops footnotes and endnotes count">
    <vt:lpwstr>0</vt:lpwstr>
  </property>
  <property fmtid="{D5CDD505-2E9C-101B-9397-08002B2CF9AE}" pid="17" name="Merops email addresses count">
    <vt:lpwstr>0</vt:lpwstr>
  </property>
  <property fmtid="{D5CDD505-2E9C-101B-9397-08002B2CF9AE}" pid="18" name="Merops Standard Set">
    <vt:lpwstr>World J of Clinical Pediactrics based on World J Gastroenterol updated for beta 4 AJM 7_17_15</vt:lpwstr>
  </property>
  <property fmtid="{D5CDD505-2E9C-101B-9397-08002B2CF9AE}" pid="19" name="Merops Standard Set modified">
    <vt:lpwstr>7/17/2015 2:03:22 PM</vt:lpwstr>
  </property>
  <property fmtid="{D5CDD505-2E9C-101B-9397-08002B2CF9AE}" pid="20" name="Merops input file path">
    <vt:lpwstr>C:\Users\Amanda\Desktop\Formatting\7_17_15b\WNSJT9Q1_STS_R1_100715_QCE1_edited_SE_16_07_2015_FM_Merops2.docx</vt:lpwstr>
  </property>
  <property fmtid="{D5CDD505-2E9C-101B-9397-08002B2CF9AE}" pid="21" name="Merops -Original extension">
    <vt:lpwstr>docx</vt:lpwstr>
  </property>
  <property fmtid="{D5CDD505-2E9C-101B-9397-08002B2CF9AE}" pid="22" name="Merops server path">
    <vt:lpwstr>http://merops-shabash.no-ip.org:50082/meropsws/service.asmx</vt:lpwstr>
  </property>
  <property fmtid="{D5CDD505-2E9C-101B-9397-08002B2CF9AE}" pid="23" name="Merops processed date">
    <vt:lpwstr>2015/07/17 08:36:42</vt:lpwstr>
  </property>
  <property fmtid="{D5CDD505-2E9C-101B-9397-08002B2CF9AE}" pid="24" name="Merops comment count">
    <vt:lpwstr>96</vt:lpwstr>
  </property>
  <property fmtid="{D5CDD505-2E9C-101B-9397-08002B2CF9AE}" pid="25" name="Merops change count">
    <vt:lpwstr>5282</vt:lpwstr>
  </property>
</Properties>
</file>