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 xml:space="preserve">Name of </w:t>
      </w:r>
      <w:r w:rsidR="0086069E" w:rsidRPr="00322627">
        <w:rPr>
          <w:rFonts w:ascii="Book Antiqua" w:hAnsi="Book Antiqua" w:cs="Times New Roman"/>
          <w:b/>
          <w:sz w:val="24"/>
          <w:szCs w:val="24"/>
        </w:rPr>
        <w:t>Journal</w:t>
      </w:r>
      <w:r w:rsidRPr="00322627">
        <w:rPr>
          <w:rFonts w:ascii="Book Antiqua" w:hAnsi="Book Antiqua" w:cs="Times New Roman"/>
          <w:b/>
          <w:sz w:val="24"/>
          <w:szCs w:val="24"/>
        </w:rPr>
        <w:t xml:space="preserve">: </w:t>
      </w:r>
      <w:r w:rsidRPr="00B6319A">
        <w:rPr>
          <w:rFonts w:ascii="Book Antiqua" w:hAnsi="Book Antiqua" w:cs="Times New Roman"/>
          <w:b/>
          <w:i/>
          <w:sz w:val="24"/>
          <w:szCs w:val="24"/>
        </w:rPr>
        <w:t>World Journal of Hematology</w:t>
      </w: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ESPS Manuscript NO: 20289</w:t>
      </w: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Manuscript Type: MINIREVIEWS</w:t>
      </w:r>
    </w:p>
    <w:p w:rsidR="006B3604" w:rsidRPr="00322627" w:rsidRDefault="006B3604" w:rsidP="00322627">
      <w:pPr>
        <w:spacing w:line="360" w:lineRule="auto"/>
        <w:rPr>
          <w:rFonts w:ascii="Book Antiqua" w:hAnsi="Book Antiqua" w:cs="Times New Roman"/>
          <w:b/>
          <w:sz w:val="24"/>
          <w:szCs w:val="24"/>
        </w:rPr>
      </w:pP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 xml:space="preserve">Treatment of </w:t>
      </w:r>
      <w:proofErr w:type="spellStart"/>
      <w:r w:rsidR="0086069E" w:rsidRPr="00322627">
        <w:rPr>
          <w:rFonts w:ascii="Book Antiqua" w:hAnsi="Book Antiqua" w:cs="Times New Roman"/>
          <w:b/>
          <w:sz w:val="24"/>
          <w:szCs w:val="24"/>
        </w:rPr>
        <w:t>epstein-barr</w:t>
      </w:r>
      <w:proofErr w:type="spellEnd"/>
      <w:r w:rsidR="0086069E" w:rsidRPr="00322627">
        <w:rPr>
          <w:rFonts w:ascii="Book Antiqua" w:hAnsi="Book Antiqua" w:cs="Times New Roman"/>
          <w:b/>
          <w:sz w:val="24"/>
          <w:szCs w:val="24"/>
        </w:rPr>
        <w:t xml:space="preserve"> virus-related </w:t>
      </w:r>
      <w:proofErr w:type="spellStart"/>
      <w:r w:rsidR="0086069E" w:rsidRPr="00322627">
        <w:rPr>
          <w:rFonts w:ascii="Book Antiqua" w:hAnsi="Book Antiqua" w:cs="Times New Roman"/>
          <w:b/>
          <w:sz w:val="24"/>
          <w:szCs w:val="24"/>
        </w:rPr>
        <w:t>hemophagocytic</w:t>
      </w:r>
      <w:proofErr w:type="spellEnd"/>
      <w:r w:rsidR="0086069E" w:rsidRPr="00322627">
        <w:rPr>
          <w:rFonts w:ascii="Book Antiqua" w:hAnsi="Book Antiqua" w:cs="Times New Roman"/>
          <w:b/>
          <w:sz w:val="24"/>
          <w:szCs w:val="24"/>
        </w:rPr>
        <w:t xml:space="preserve"> </w:t>
      </w:r>
      <w:proofErr w:type="spellStart"/>
      <w:r w:rsidR="0086069E" w:rsidRPr="00322627">
        <w:rPr>
          <w:rFonts w:ascii="Book Antiqua" w:hAnsi="Book Antiqua" w:cs="Times New Roman"/>
          <w:b/>
          <w:sz w:val="24"/>
          <w:szCs w:val="24"/>
        </w:rPr>
        <w:t>lymphohistiocytosis</w:t>
      </w:r>
      <w:proofErr w:type="spellEnd"/>
      <w:r w:rsidRPr="00322627">
        <w:rPr>
          <w:rFonts w:ascii="Book Antiqua" w:hAnsi="Book Antiqua" w:cs="Times New Roman"/>
          <w:b/>
          <w:sz w:val="24"/>
          <w:szCs w:val="24"/>
        </w:rPr>
        <w:t xml:space="preserve">: Study </w:t>
      </w:r>
      <w:r w:rsidR="0086069E" w:rsidRPr="00322627">
        <w:rPr>
          <w:rFonts w:ascii="Book Antiqua" w:hAnsi="Book Antiqua" w:cs="Times New Roman"/>
          <w:b/>
          <w:sz w:val="24"/>
          <w:szCs w:val="24"/>
        </w:rPr>
        <w:t>protocol of a prospective pilot study</w:t>
      </w:r>
    </w:p>
    <w:p w:rsidR="006B3604" w:rsidRPr="00322627" w:rsidRDefault="006B3604" w:rsidP="00322627">
      <w:pPr>
        <w:spacing w:line="360" w:lineRule="auto"/>
        <w:rPr>
          <w:rFonts w:ascii="Book Antiqua" w:hAnsi="Book Antiqua" w:cs="Times New Roman"/>
          <w:b/>
          <w:sz w:val="24"/>
          <w:szCs w:val="24"/>
        </w:rPr>
      </w:pPr>
    </w:p>
    <w:p w:rsidR="006B3604" w:rsidRPr="00322627" w:rsidRDefault="00633576" w:rsidP="00322627">
      <w:pPr>
        <w:spacing w:line="360" w:lineRule="auto"/>
        <w:rPr>
          <w:rFonts w:ascii="Book Antiqua" w:hAnsi="Book Antiqua" w:cs="Times New Roman"/>
          <w:sz w:val="24"/>
          <w:szCs w:val="24"/>
        </w:rPr>
      </w:pPr>
      <w:proofErr w:type="spellStart"/>
      <w:r w:rsidRPr="00322627">
        <w:rPr>
          <w:rFonts w:ascii="Book Antiqua" w:hAnsi="Book Antiqua" w:cs="Times New Roman"/>
          <w:sz w:val="24"/>
          <w:szCs w:val="24"/>
        </w:rPr>
        <w:t>Imashuku</w:t>
      </w:r>
      <w:proofErr w:type="spellEnd"/>
      <w:r w:rsidRPr="00322627">
        <w:rPr>
          <w:rFonts w:ascii="Book Antiqua" w:hAnsi="Book Antiqua" w:cs="Times New Roman"/>
          <w:sz w:val="24"/>
          <w:szCs w:val="24"/>
        </w:rPr>
        <w:t xml:space="preserve"> </w:t>
      </w:r>
      <w:r w:rsidRPr="00322627">
        <w:rPr>
          <w:rFonts w:ascii="Book Antiqua" w:eastAsia="宋体" w:hAnsi="Book Antiqua" w:cs="Times New Roman"/>
          <w:sz w:val="24"/>
          <w:szCs w:val="24"/>
          <w:lang w:eastAsia="zh-CN"/>
        </w:rPr>
        <w:t>S.</w:t>
      </w:r>
      <w:r w:rsidR="00F91558" w:rsidRPr="00322627">
        <w:rPr>
          <w:rFonts w:ascii="Book Antiqua" w:eastAsia="宋体" w:hAnsi="Book Antiqua" w:cs="Times New Roman"/>
          <w:sz w:val="24"/>
          <w:szCs w:val="24"/>
          <w:lang w:eastAsia="zh-CN"/>
        </w:rPr>
        <w:t xml:space="preserve"> </w:t>
      </w:r>
      <w:r w:rsidR="006B3604" w:rsidRPr="00322627">
        <w:rPr>
          <w:rFonts w:ascii="Book Antiqua" w:hAnsi="Book Antiqua" w:cs="Times New Roman"/>
          <w:sz w:val="24"/>
          <w:szCs w:val="24"/>
        </w:rPr>
        <w:t>Treatment of EBV-HLH</w:t>
      </w:r>
    </w:p>
    <w:p w:rsidR="0086069E" w:rsidRPr="00322627" w:rsidRDefault="0086069E" w:rsidP="00322627">
      <w:pPr>
        <w:spacing w:line="360" w:lineRule="auto"/>
        <w:rPr>
          <w:rFonts w:ascii="Book Antiqua" w:eastAsia="宋体" w:hAnsi="Book Antiqua" w:cs="Times New Roman"/>
          <w:sz w:val="24"/>
          <w:szCs w:val="24"/>
          <w:lang w:eastAsia="zh-CN"/>
        </w:rPr>
      </w:pPr>
    </w:p>
    <w:p w:rsidR="006B3604" w:rsidRPr="00B6319A" w:rsidRDefault="0086069E" w:rsidP="00322627">
      <w:pPr>
        <w:spacing w:line="360" w:lineRule="auto"/>
        <w:rPr>
          <w:rFonts w:ascii="Book Antiqua" w:eastAsia="宋体" w:hAnsi="Book Antiqua" w:cs="Times New Roman"/>
          <w:b/>
          <w:sz w:val="24"/>
          <w:szCs w:val="24"/>
          <w:lang w:eastAsia="zh-CN"/>
        </w:rPr>
      </w:pPr>
      <w:proofErr w:type="spellStart"/>
      <w:r w:rsidRPr="00B6319A">
        <w:rPr>
          <w:rFonts w:ascii="Book Antiqua" w:hAnsi="Book Antiqua" w:cs="Times New Roman"/>
          <w:b/>
          <w:sz w:val="24"/>
          <w:szCs w:val="24"/>
        </w:rPr>
        <w:t>Shinsaku</w:t>
      </w:r>
      <w:proofErr w:type="spellEnd"/>
      <w:r w:rsidRPr="00B6319A">
        <w:rPr>
          <w:rFonts w:ascii="Book Antiqua" w:hAnsi="Book Antiqua" w:cs="Times New Roman"/>
          <w:b/>
          <w:sz w:val="24"/>
          <w:szCs w:val="24"/>
        </w:rPr>
        <w:t xml:space="preserve"> </w:t>
      </w:r>
      <w:proofErr w:type="spellStart"/>
      <w:r w:rsidRPr="00B6319A">
        <w:rPr>
          <w:rFonts w:ascii="Book Antiqua" w:hAnsi="Book Antiqua" w:cs="Times New Roman"/>
          <w:b/>
          <w:sz w:val="24"/>
          <w:szCs w:val="24"/>
        </w:rPr>
        <w:t>Imashuku</w:t>
      </w:r>
      <w:proofErr w:type="spellEnd"/>
    </w:p>
    <w:p w:rsidR="0086069E" w:rsidRPr="00322627" w:rsidRDefault="0086069E" w:rsidP="00322627">
      <w:pPr>
        <w:spacing w:line="360" w:lineRule="auto"/>
        <w:rPr>
          <w:rFonts w:ascii="Book Antiqua" w:eastAsia="宋体" w:hAnsi="Book Antiqua" w:cs="Times New Roman"/>
          <w:sz w:val="24"/>
          <w:szCs w:val="24"/>
          <w:lang w:eastAsia="zh-CN"/>
        </w:rPr>
      </w:pPr>
    </w:p>
    <w:p w:rsidR="006B3604" w:rsidRPr="00322627" w:rsidRDefault="006B3604" w:rsidP="00322627">
      <w:pPr>
        <w:autoSpaceDE w:val="0"/>
        <w:autoSpaceDN w:val="0"/>
        <w:adjustRightInd w:val="0"/>
        <w:spacing w:line="360" w:lineRule="auto"/>
        <w:rPr>
          <w:rFonts w:ascii="Book Antiqua" w:hAnsi="Book Antiqua"/>
          <w:b/>
          <w:kern w:val="0"/>
          <w:sz w:val="24"/>
          <w:szCs w:val="24"/>
        </w:rPr>
      </w:pPr>
      <w:proofErr w:type="spellStart"/>
      <w:r w:rsidRPr="00322627">
        <w:rPr>
          <w:rFonts w:ascii="Book Antiqua" w:hAnsi="Book Antiqua" w:cs="Times New Roman"/>
          <w:b/>
          <w:sz w:val="24"/>
          <w:szCs w:val="24"/>
        </w:rPr>
        <w:t>Shinsaku</w:t>
      </w:r>
      <w:proofErr w:type="spellEnd"/>
      <w:r w:rsidRPr="00322627">
        <w:rPr>
          <w:rFonts w:ascii="Book Antiqua" w:hAnsi="Book Antiqua" w:cs="Times New Roman"/>
          <w:b/>
          <w:sz w:val="24"/>
          <w:szCs w:val="24"/>
        </w:rPr>
        <w:t xml:space="preserve"> </w:t>
      </w:r>
      <w:proofErr w:type="spellStart"/>
      <w:r w:rsidRPr="00322627">
        <w:rPr>
          <w:rFonts w:ascii="Book Antiqua" w:hAnsi="Book Antiqua" w:cs="Times New Roman"/>
          <w:b/>
          <w:sz w:val="24"/>
          <w:szCs w:val="24"/>
        </w:rPr>
        <w:t>Imashuku</w:t>
      </w:r>
      <w:proofErr w:type="spellEnd"/>
      <w:r w:rsidRPr="00322627">
        <w:rPr>
          <w:rFonts w:ascii="Book Antiqua" w:hAnsi="Book Antiqua" w:cs="Times New Roman"/>
          <w:b/>
          <w:sz w:val="24"/>
          <w:szCs w:val="24"/>
        </w:rPr>
        <w:t>,</w:t>
      </w:r>
      <w:r w:rsidR="00633576" w:rsidRPr="00322627">
        <w:rPr>
          <w:rFonts w:ascii="Book Antiqua" w:eastAsia="宋体" w:hAnsi="Book Antiqua" w:cs="Times New Roman"/>
          <w:b/>
          <w:sz w:val="24"/>
          <w:szCs w:val="24"/>
          <w:lang w:eastAsia="zh-CN"/>
        </w:rPr>
        <w:t xml:space="preserve"> </w:t>
      </w:r>
      <w:r w:rsidRPr="00322627">
        <w:rPr>
          <w:rFonts w:ascii="Book Antiqua" w:hAnsi="Book Antiqua" w:cs="Times New Roman"/>
          <w:kern w:val="0"/>
          <w:sz w:val="24"/>
          <w:szCs w:val="24"/>
        </w:rPr>
        <w:t xml:space="preserve">Department of Laboratory Medicine, </w:t>
      </w:r>
      <w:proofErr w:type="spellStart"/>
      <w:r w:rsidRPr="00322627">
        <w:rPr>
          <w:rFonts w:ascii="Book Antiqua" w:hAnsi="Book Antiqua" w:cs="Times New Roman"/>
          <w:kern w:val="0"/>
          <w:sz w:val="24"/>
          <w:szCs w:val="24"/>
        </w:rPr>
        <w:t>Uji-Tokushukai</w:t>
      </w:r>
      <w:proofErr w:type="spellEnd"/>
      <w:r w:rsidRPr="00322627">
        <w:rPr>
          <w:rFonts w:ascii="Book Antiqua" w:hAnsi="Book Antiqua" w:cs="Times New Roman"/>
          <w:kern w:val="0"/>
          <w:sz w:val="24"/>
          <w:szCs w:val="24"/>
        </w:rPr>
        <w:t xml:space="preserve"> Medical Center, </w:t>
      </w:r>
      <w:proofErr w:type="spellStart"/>
      <w:r w:rsidRPr="00322627">
        <w:rPr>
          <w:rFonts w:ascii="Book Antiqua" w:hAnsi="Book Antiqua" w:cs="Times New Roman"/>
          <w:kern w:val="0"/>
          <w:sz w:val="24"/>
          <w:szCs w:val="24"/>
        </w:rPr>
        <w:t>Uji</w:t>
      </w:r>
      <w:proofErr w:type="spellEnd"/>
      <w:r w:rsidR="00633576" w:rsidRPr="00322627">
        <w:rPr>
          <w:rFonts w:ascii="Book Antiqua" w:eastAsia="宋体" w:hAnsi="Book Antiqua" w:cs="Times New Roman"/>
          <w:kern w:val="0"/>
          <w:sz w:val="24"/>
          <w:szCs w:val="24"/>
          <w:lang w:eastAsia="zh-CN"/>
        </w:rPr>
        <w:t xml:space="preserve"> </w:t>
      </w:r>
      <w:r w:rsidR="00633576" w:rsidRPr="00322627">
        <w:rPr>
          <w:rFonts w:ascii="Book Antiqua" w:hAnsi="Book Antiqua" w:cs="Times New Roman"/>
          <w:kern w:val="0"/>
          <w:sz w:val="24"/>
          <w:szCs w:val="24"/>
        </w:rPr>
        <w:t>611-0042</w:t>
      </w:r>
      <w:r w:rsidRPr="00322627">
        <w:rPr>
          <w:rFonts w:ascii="Book Antiqua" w:hAnsi="Book Antiqua" w:cs="Times New Roman"/>
          <w:kern w:val="0"/>
          <w:sz w:val="24"/>
          <w:szCs w:val="24"/>
        </w:rPr>
        <w:t>, Japan</w:t>
      </w:r>
    </w:p>
    <w:p w:rsidR="006B3604" w:rsidRPr="00322627" w:rsidRDefault="006B3604" w:rsidP="00322627">
      <w:pPr>
        <w:autoSpaceDE w:val="0"/>
        <w:autoSpaceDN w:val="0"/>
        <w:adjustRightInd w:val="0"/>
        <w:spacing w:line="360" w:lineRule="auto"/>
        <w:rPr>
          <w:rFonts w:ascii="Book Antiqua" w:hAnsi="Book Antiqua"/>
          <w:b/>
          <w:kern w:val="0"/>
          <w:sz w:val="24"/>
          <w:szCs w:val="24"/>
        </w:rPr>
      </w:pPr>
    </w:p>
    <w:p w:rsidR="006B3604" w:rsidRPr="00322627" w:rsidRDefault="006B3604" w:rsidP="00322627">
      <w:pPr>
        <w:autoSpaceDE w:val="0"/>
        <w:autoSpaceDN w:val="0"/>
        <w:adjustRightInd w:val="0"/>
        <w:spacing w:line="360" w:lineRule="auto"/>
        <w:rPr>
          <w:rFonts w:ascii="Book Antiqua" w:eastAsia="宋体" w:hAnsi="Book Antiqua"/>
          <w:b/>
          <w:kern w:val="0"/>
          <w:sz w:val="24"/>
          <w:szCs w:val="24"/>
          <w:lang w:eastAsia="zh-CN"/>
        </w:rPr>
      </w:pPr>
      <w:r w:rsidRPr="00322627">
        <w:rPr>
          <w:rFonts w:ascii="Book Antiqua" w:hAnsi="Book Antiqua"/>
          <w:b/>
          <w:kern w:val="0"/>
          <w:sz w:val="24"/>
          <w:szCs w:val="24"/>
        </w:rPr>
        <w:t>Author contributions</w:t>
      </w:r>
      <w:r w:rsidR="00633576" w:rsidRPr="00322627">
        <w:rPr>
          <w:rFonts w:ascii="Book Antiqua" w:eastAsia="宋体" w:hAnsi="Book Antiqua"/>
          <w:b/>
          <w:kern w:val="0"/>
          <w:sz w:val="24"/>
          <w:szCs w:val="24"/>
          <w:lang w:eastAsia="zh-CN"/>
        </w:rPr>
        <w:t xml:space="preserve">: </w:t>
      </w:r>
      <w:proofErr w:type="spellStart"/>
      <w:r w:rsidRPr="00322627">
        <w:rPr>
          <w:rFonts w:ascii="Book Antiqua" w:hAnsi="Book Antiqua"/>
          <w:kern w:val="0"/>
          <w:sz w:val="24"/>
          <w:szCs w:val="24"/>
        </w:rPr>
        <w:t>Imashuku</w:t>
      </w:r>
      <w:proofErr w:type="spellEnd"/>
      <w:r w:rsidRPr="00322627">
        <w:rPr>
          <w:rFonts w:ascii="Book Antiqua" w:hAnsi="Book Antiqua"/>
          <w:kern w:val="0"/>
          <w:sz w:val="24"/>
          <w:szCs w:val="24"/>
        </w:rPr>
        <w:t xml:space="preserve"> S wrote a paper and designed a pilot study protocol.</w:t>
      </w:r>
    </w:p>
    <w:p w:rsidR="006B3604" w:rsidRPr="00322627" w:rsidRDefault="006B3604" w:rsidP="00322627">
      <w:pPr>
        <w:autoSpaceDE w:val="0"/>
        <w:autoSpaceDN w:val="0"/>
        <w:adjustRightInd w:val="0"/>
        <w:spacing w:line="360" w:lineRule="auto"/>
        <w:rPr>
          <w:rFonts w:ascii="Book Antiqua" w:hAnsi="Book Antiqua"/>
          <w:b/>
          <w:kern w:val="0"/>
          <w:sz w:val="24"/>
          <w:szCs w:val="24"/>
        </w:rPr>
      </w:pPr>
    </w:p>
    <w:p w:rsidR="006B3604" w:rsidRPr="00322627" w:rsidRDefault="00633576" w:rsidP="00322627">
      <w:pPr>
        <w:autoSpaceDE w:val="0"/>
        <w:autoSpaceDN w:val="0"/>
        <w:adjustRightInd w:val="0"/>
        <w:spacing w:line="360" w:lineRule="auto"/>
        <w:rPr>
          <w:rFonts w:ascii="Book Antiqua" w:eastAsia="宋体" w:hAnsi="Book Antiqua"/>
          <w:kern w:val="0"/>
          <w:sz w:val="24"/>
          <w:szCs w:val="24"/>
          <w:lang w:eastAsia="zh-CN"/>
        </w:rPr>
      </w:pPr>
      <w:r w:rsidRPr="00322627">
        <w:rPr>
          <w:rFonts w:ascii="Book Antiqua" w:eastAsia="Times New Roman" w:hAnsi="Book Antiqua" w:cs="Gulim"/>
          <w:b/>
          <w:color w:val="000000"/>
          <w:sz w:val="24"/>
          <w:szCs w:val="24"/>
        </w:rPr>
        <w:t>Conflict-of-interest</w:t>
      </w:r>
      <w:r w:rsidRPr="00322627">
        <w:rPr>
          <w:rFonts w:ascii="Book Antiqua" w:hAnsi="Book Antiqua" w:cs="Gulim"/>
          <w:b/>
          <w:color w:val="000000"/>
          <w:sz w:val="24"/>
          <w:szCs w:val="24"/>
          <w:lang w:eastAsia="zh-CN"/>
        </w:rPr>
        <w:t xml:space="preserve"> statement:</w:t>
      </w:r>
      <w:r w:rsidRPr="00322627">
        <w:rPr>
          <w:rFonts w:ascii="Book Antiqua" w:eastAsia="宋体" w:hAnsi="Book Antiqua" w:cs="Gulim"/>
          <w:b/>
          <w:color w:val="000000"/>
          <w:sz w:val="24"/>
          <w:szCs w:val="24"/>
          <w:lang w:eastAsia="zh-CN"/>
        </w:rPr>
        <w:t xml:space="preserve"> </w:t>
      </w:r>
      <w:r w:rsidR="006B3604" w:rsidRPr="00322627">
        <w:rPr>
          <w:rFonts w:ascii="Book Antiqua" w:hAnsi="Book Antiqua"/>
          <w:kern w:val="0"/>
          <w:sz w:val="24"/>
          <w:szCs w:val="24"/>
        </w:rPr>
        <w:t>The author states no conflict of interest and has received no payment in preparation of this manuscript.</w:t>
      </w:r>
    </w:p>
    <w:p w:rsidR="00633576" w:rsidRPr="00322627" w:rsidRDefault="00633576" w:rsidP="00322627">
      <w:pPr>
        <w:autoSpaceDE w:val="0"/>
        <w:autoSpaceDN w:val="0"/>
        <w:adjustRightInd w:val="0"/>
        <w:spacing w:line="360" w:lineRule="auto"/>
        <w:rPr>
          <w:rFonts w:ascii="Book Antiqua" w:eastAsia="宋体" w:hAnsi="Book Antiqua"/>
          <w:kern w:val="0"/>
          <w:sz w:val="24"/>
          <w:szCs w:val="24"/>
          <w:lang w:eastAsia="zh-CN"/>
        </w:rPr>
      </w:pPr>
    </w:p>
    <w:p w:rsidR="00633576" w:rsidRPr="00322627" w:rsidRDefault="00633576" w:rsidP="00322627">
      <w:pPr>
        <w:widowControl/>
        <w:spacing w:line="360" w:lineRule="auto"/>
        <w:rPr>
          <w:rFonts w:ascii="Book Antiqua" w:eastAsia="宋体" w:hAnsi="Book Antiqua" w:cs="宋体"/>
          <w:color w:val="000000" w:themeColor="text1"/>
          <w:kern w:val="0"/>
          <w:sz w:val="24"/>
          <w:szCs w:val="24"/>
          <w:lang w:eastAsia="zh-CN"/>
        </w:rPr>
      </w:pPr>
      <w:bookmarkStart w:id="0" w:name="OLE_LINK507"/>
      <w:bookmarkStart w:id="1" w:name="OLE_LINK506"/>
      <w:bookmarkStart w:id="2" w:name="OLE_LINK496"/>
      <w:bookmarkStart w:id="3" w:name="OLE_LINK479"/>
      <w:r w:rsidRPr="00322627">
        <w:rPr>
          <w:rFonts w:ascii="Book Antiqua" w:eastAsia="宋体" w:hAnsi="Book Antiqua" w:cs="宋体"/>
          <w:b/>
          <w:color w:val="000000" w:themeColor="text1"/>
          <w:kern w:val="0"/>
          <w:sz w:val="24"/>
          <w:szCs w:val="24"/>
          <w:lang w:eastAsia="zh-CN"/>
        </w:rPr>
        <w:t xml:space="preserve">Open-Access: </w:t>
      </w:r>
      <w:r w:rsidRPr="00322627">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322627">
        <w:rPr>
          <w:rFonts w:ascii="Book Antiqua" w:eastAsia="宋体" w:hAnsi="Book Antiqua" w:cs="宋体"/>
          <w:color w:val="000000" w:themeColor="text1"/>
          <w:kern w:val="0"/>
          <w:sz w:val="24"/>
          <w:szCs w:val="24"/>
          <w:lang w:eastAsia="zh-CN"/>
        </w:rPr>
        <w:lastRenderedPageBreak/>
        <w:t xml:space="preserve">adapt, build upon this work non-commercially, and license their derivative works on different terms, provided the original work is properly cited and the use is non-commercial. See: </w:t>
      </w:r>
      <w:hyperlink r:id="rId8" w:history="1">
        <w:r w:rsidRPr="00322627">
          <w:rPr>
            <w:rFonts w:ascii="Book Antiqua" w:eastAsia="宋体" w:hAnsi="Book Antiqua" w:cs="宋体"/>
            <w:color w:val="000000" w:themeColor="text1"/>
            <w:kern w:val="0"/>
            <w:sz w:val="24"/>
            <w:szCs w:val="24"/>
            <w:u w:val="single"/>
            <w:lang w:eastAsia="zh-CN"/>
          </w:rPr>
          <w:t>http://creativecommons.org/licenses/by-nc/4.0/</w:t>
        </w:r>
      </w:hyperlink>
      <w:bookmarkEnd w:id="0"/>
      <w:bookmarkEnd w:id="1"/>
      <w:bookmarkEnd w:id="2"/>
      <w:bookmarkEnd w:id="3"/>
    </w:p>
    <w:p w:rsidR="006B3604" w:rsidRPr="00322627" w:rsidRDefault="006B3604" w:rsidP="00322627">
      <w:pPr>
        <w:autoSpaceDE w:val="0"/>
        <w:autoSpaceDN w:val="0"/>
        <w:adjustRightInd w:val="0"/>
        <w:spacing w:line="360" w:lineRule="auto"/>
        <w:rPr>
          <w:rFonts w:ascii="Book Antiqua" w:hAnsi="Book Antiqua" w:cs="Times New Roman"/>
          <w:b/>
          <w:kern w:val="0"/>
          <w:sz w:val="24"/>
          <w:szCs w:val="24"/>
        </w:rPr>
      </w:pPr>
    </w:p>
    <w:p w:rsidR="006B3604" w:rsidRPr="00322627" w:rsidRDefault="006B3604" w:rsidP="00322627">
      <w:pPr>
        <w:autoSpaceDE w:val="0"/>
        <w:autoSpaceDN w:val="0"/>
        <w:adjustRightInd w:val="0"/>
        <w:spacing w:line="360" w:lineRule="auto"/>
        <w:rPr>
          <w:rStyle w:val="Hyperlink"/>
          <w:rFonts w:ascii="Book Antiqua" w:eastAsia="宋体" w:hAnsi="Book Antiqua" w:cs="Times New Roman"/>
          <w:color w:val="auto"/>
          <w:kern w:val="0"/>
          <w:sz w:val="24"/>
          <w:szCs w:val="24"/>
          <w:u w:val="none"/>
          <w:lang w:eastAsia="zh-CN"/>
        </w:rPr>
      </w:pPr>
      <w:r w:rsidRPr="00322627">
        <w:rPr>
          <w:rFonts w:ascii="Book Antiqua" w:hAnsi="Book Antiqua" w:cs="Times New Roman"/>
          <w:b/>
          <w:kern w:val="0"/>
          <w:sz w:val="24"/>
          <w:szCs w:val="24"/>
        </w:rPr>
        <w:t>Correspondence to:</w:t>
      </w:r>
      <w:r w:rsidRPr="00322627">
        <w:rPr>
          <w:rFonts w:ascii="Book Antiqua" w:hAnsi="Book Antiqua" w:cs="Times New Roman"/>
          <w:kern w:val="0"/>
          <w:sz w:val="24"/>
          <w:szCs w:val="24"/>
        </w:rPr>
        <w:t xml:space="preserve"> </w:t>
      </w:r>
      <w:proofErr w:type="spellStart"/>
      <w:r w:rsidRPr="00322627">
        <w:rPr>
          <w:rFonts w:ascii="Book Antiqua" w:hAnsi="Book Antiqua" w:cs="Times New Roman"/>
          <w:b/>
          <w:kern w:val="0"/>
          <w:sz w:val="24"/>
          <w:szCs w:val="24"/>
        </w:rPr>
        <w:t>Shinsaku</w:t>
      </w:r>
      <w:proofErr w:type="spellEnd"/>
      <w:r w:rsidRPr="00322627">
        <w:rPr>
          <w:rFonts w:ascii="Book Antiqua" w:hAnsi="Book Antiqua" w:cs="Times New Roman"/>
          <w:b/>
          <w:kern w:val="0"/>
          <w:sz w:val="24"/>
          <w:szCs w:val="24"/>
        </w:rPr>
        <w:t xml:space="preserve"> </w:t>
      </w:r>
      <w:proofErr w:type="spellStart"/>
      <w:r w:rsidRPr="00322627">
        <w:rPr>
          <w:rFonts w:ascii="Book Antiqua" w:hAnsi="Book Antiqua" w:cs="Times New Roman"/>
          <w:b/>
          <w:kern w:val="0"/>
          <w:sz w:val="24"/>
          <w:szCs w:val="24"/>
        </w:rPr>
        <w:t>Imashuku</w:t>
      </w:r>
      <w:proofErr w:type="spellEnd"/>
      <w:r w:rsidRPr="00322627">
        <w:rPr>
          <w:rFonts w:ascii="Book Antiqua" w:hAnsi="Book Antiqua" w:cs="Times New Roman"/>
          <w:b/>
          <w:kern w:val="0"/>
          <w:sz w:val="24"/>
          <w:szCs w:val="24"/>
        </w:rPr>
        <w:t>, MD, PhD</w:t>
      </w:r>
      <w:r w:rsidR="00633576" w:rsidRPr="00322627">
        <w:rPr>
          <w:rFonts w:ascii="Book Antiqua" w:eastAsia="宋体" w:hAnsi="Book Antiqua" w:cs="Times New Roman"/>
          <w:b/>
          <w:kern w:val="0"/>
          <w:sz w:val="24"/>
          <w:szCs w:val="24"/>
          <w:lang w:eastAsia="zh-CN"/>
        </w:rPr>
        <w:t>,</w:t>
      </w:r>
      <w:r w:rsidRPr="00322627">
        <w:rPr>
          <w:rFonts w:ascii="Book Antiqua" w:hAnsi="Book Antiqua" w:cs="Times New Roman"/>
          <w:b/>
          <w:kern w:val="0"/>
          <w:sz w:val="24"/>
          <w:szCs w:val="24"/>
        </w:rPr>
        <w:t xml:space="preserve"> </w:t>
      </w:r>
      <w:r w:rsidRPr="00322627">
        <w:rPr>
          <w:rFonts w:ascii="Book Antiqua" w:hAnsi="Book Antiqua" w:cs="Times New Roman"/>
          <w:kern w:val="0"/>
          <w:sz w:val="24"/>
          <w:szCs w:val="24"/>
        </w:rPr>
        <w:t xml:space="preserve">Department of Laboratory Medicine, </w:t>
      </w:r>
      <w:proofErr w:type="spellStart"/>
      <w:r w:rsidRPr="00322627">
        <w:rPr>
          <w:rFonts w:ascii="Book Antiqua" w:hAnsi="Book Antiqua" w:cs="Times New Roman"/>
          <w:kern w:val="0"/>
          <w:sz w:val="24"/>
          <w:szCs w:val="24"/>
        </w:rPr>
        <w:t>Uji</w:t>
      </w:r>
      <w:r w:rsidR="00633576" w:rsidRPr="00322627">
        <w:rPr>
          <w:rFonts w:ascii="Book Antiqua" w:hAnsi="Book Antiqua" w:cs="Times New Roman"/>
          <w:kern w:val="0"/>
          <w:sz w:val="24"/>
          <w:szCs w:val="24"/>
        </w:rPr>
        <w:t>-Tokushukai</w:t>
      </w:r>
      <w:proofErr w:type="spellEnd"/>
      <w:r w:rsidR="00633576" w:rsidRPr="00322627">
        <w:rPr>
          <w:rFonts w:ascii="Book Antiqua" w:hAnsi="Book Antiqua" w:cs="Times New Roman"/>
          <w:kern w:val="0"/>
          <w:sz w:val="24"/>
          <w:szCs w:val="24"/>
        </w:rPr>
        <w:t xml:space="preserve"> Medical Center, </w:t>
      </w:r>
      <w:proofErr w:type="spellStart"/>
      <w:r w:rsidR="00633576" w:rsidRPr="00322627">
        <w:rPr>
          <w:rFonts w:ascii="Book Antiqua" w:hAnsi="Book Antiqua" w:cs="Times New Roman"/>
          <w:kern w:val="0"/>
          <w:sz w:val="24"/>
          <w:szCs w:val="24"/>
        </w:rPr>
        <w:t>Uji</w:t>
      </w:r>
      <w:proofErr w:type="spellEnd"/>
      <w:r w:rsidRPr="00322627">
        <w:rPr>
          <w:rFonts w:ascii="Book Antiqua" w:hAnsi="Book Antiqua" w:cs="Times New Roman"/>
          <w:kern w:val="0"/>
          <w:sz w:val="24"/>
          <w:szCs w:val="24"/>
        </w:rPr>
        <w:t xml:space="preserve"> 611-0042, </w:t>
      </w:r>
      <w:r w:rsidRPr="00322627">
        <w:rPr>
          <w:rFonts w:ascii="Book Antiqua" w:hAnsi="Book Antiqua" w:cs="Times New Roman"/>
          <w:bCs/>
          <w:sz w:val="24"/>
          <w:szCs w:val="24"/>
        </w:rPr>
        <w:t>Japan</w:t>
      </w:r>
      <w:r w:rsidR="00633576" w:rsidRPr="00322627">
        <w:rPr>
          <w:rFonts w:ascii="Book Antiqua" w:eastAsia="宋体" w:hAnsi="Book Antiqua" w:cs="Times New Roman"/>
          <w:bCs/>
          <w:sz w:val="24"/>
          <w:szCs w:val="24"/>
          <w:lang w:eastAsia="zh-CN"/>
        </w:rPr>
        <w:t xml:space="preserve">. </w:t>
      </w:r>
      <w:hyperlink r:id="rId9" w:history="1">
        <w:r w:rsidRPr="00322627">
          <w:rPr>
            <w:rStyle w:val="Hyperlink"/>
            <w:rFonts w:ascii="Book Antiqua" w:hAnsi="Book Antiqua" w:cs="Times New Roman"/>
            <w:color w:val="auto"/>
            <w:kern w:val="0"/>
            <w:sz w:val="24"/>
            <w:szCs w:val="24"/>
          </w:rPr>
          <w:t>shinim95@mbox.kyoto-inet.or.jp</w:t>
        </w:r>
      </w:hyperlink>
    </w:p>
    <w:p w:rsidR="00633576" w:rsidRPr="00322627" w:rsidRDefault="00633576" w:rsidP="00322627">
      <w:pPr>
        <w:widowControl/>
        <w:spacing w:line="360" w:lineRule="auto"/>
        <w:rPr>
          <w:rFonts w:ascii="Book Antiqua" w:hAnsi="Book Antiqua" w:cs="Times New Roman"/>
          <w:sz w:val="24"/>
          <w:szCs w:val="24"/>
        </w:rPr>
      </w:pPr>
      <w:r w:rsidRPr="00322627">
        <w:rPr>
          <w:rFonts w:ascii="Book Antiqua" w:hAnsi="Book Antiqua" w:cs="Times New Roman"/>
          <w:b/>
          <w:sz w:val="24"/>
          <w:szCs w:val="24"/>
        </w:rPr>
        <w:t>Tel</w:t>
      </w:r>
      <w:r w:rsidRPr="00322627">
        <w:rPr>
          <w:rFonts w:ascii="Book Antiqua" w:eastAsia="宋体" w:hAnsi="Book Antiqua" w:cs="Times New Roman"/>
          <w:b/>
          <w:sz w:val="24"/>
          <w:szCs w:val="24"/>
          <w:lang w:eastAsia="zh-CN"/>
        </w:rPr>
        <w:t>ephone</w:t>
      </w:r>
      <w:r w:rsidRPr="00322627">
        <w:rPr>
          <w:rFonts w:ascii="Book Antiqua" w:hAnsi="Book Antiqua" w:cs="Times New Roman"/>
          <w:b/>
          <w:sz w:val="24"/>
          <w:szCs w:val="24"/>
        </w:rPr>
        <w:t>:</w:t>
      </w:r>
      <w:r w:rsidRPr="00322627">
        <w:rPr>
          <w:rFonts w:ascii="Book Antiqua" w:hAnsi="Book Antiqua" w:cs="Times New Roman"/>
          <w:sz w:val="24"/>
          <w:szCs w:val="24"/>
        </w:rPr>
        <w:t xml:space="preserve"> +81-774-201111</w:t>
      </w:r>
    </w:p>
    <w:p w:rsidR="00F91558" w:rsidRPr="00322627" w:rsidRDefault="00633576" w:rsidP="00322627">
      <w:pPr>
        <w:widowControl/>
        <w:spacing w:line="360" w:lineRule="auto"/>
        <w:rPr>
          <w:rFonts w:ascii="Book Antiqua" w:eastAsia="宋体" w:hAnsi="Book Antiqua" w:cs="Times New Roman"/>
          <w:sz w:val="24"/>
          <w:szCs w:val="24"/>
          <w:lang w:eastAsia="zh-CN"/>
        </w:rPr>
      </w:pPr>
      <w:r w:rsidRPr="00322627">
        <w:rPr>
          <w:rFonts w:ascii="Book Antiqua" w:hAnsi="Book Antiqua" w:cs="Times New Roman"/>
          <w:b/>
          <w:sz w:val="24"/>
          <w:szCs w:val="24"/>
        </w:rPr>
        <w:t>Fax:</w:t>
      </w:r>
      <w:r w:rsidRPr="00322627">
        <w:rPr>
          <w:rFonts w:ascii="Book Antiqua" w:hAnsi="Book Antiqua" w:cs="Times New Roman"/>
          <w:sz w:val="24"/>
          <w:szCs w:val="24"/>
        </w:rPr>
        <w:t xml:space="preserve"> +81-774-202336</w:t>
      </w:r>
    </w:p>
    <w:p w:rsidR="00F91558" w:rsidRPr="00322627" w:rsidRDefault="00F91558" w:rsidP="00322627">
      <w:pPr>
        <w:widowControl/>
        <w:spacing w:line="360" w:lineRule="auto"/>
        <w:rPr>
          <w:rFonts w:ascii="Book Antiqua" w:eastAsia="宋体" w:hAnsi="Book Antiqua" w:cs="Times New Roman"/>
          <w:sz w:val="24"/>
          <w:szCs w:val="24"/>
          <w:lang w:eastAsia="zh-CN"/>
        </w:rPr>
      </w:pPr>
    </w:p>
    <w:p w:rsidR="00F91558" w:rsidRPr="00322627" w:rsidRDefault="00F91558" w:rsidP="00322627">
      <w:pPr>
        <w:spacing w:line="360" w:lineRule="auto"/>
        <w:rPr>
          <w:rFonts w:ascii="Book Antiqua" w:eastAsia="宋体" w:hAnsi="Book Antiqua"/>
          <w:sz w:val="24"/>
          <w:szCs w:val="24"/>
          <w:lang w:eastAsia="zh-CN"/>
        </w:rPr>
      </w:pPr>
      <w:bookmarkStart w:id="4" w:name="OLE_LINK5"/>
      <w:bookmarkStart w:id="5" w:name="OLE_LINK6"/>
      <w:r w:rsidRPr="00322627">
        <w:rPr>
          <w:rFonts w:ascii="Book Antiqua" w:hAnsi="Book Antiqua"/>
          <w:b/>
          <w:sz w:val="24"/>
          <w:szCs w:val="24"/>
        </w:rPr>
        <w:t>Received:</w:t>
      </w:r>
      <w:r w:rsidRPr="00322627">
        <w:rPr>
          <w:rFonts w:ascii="Book Antiqua" w:eastAsia="宋体" w:hAnsi="Book Antiqua"/>
          <w:b/>
          <w:sz w:val="24"/>
          <w:szCs w:val="24"/>
          <w:lang w:eastAsia="zh-CN"/>
        </w:rPr>
        <w:t xml:space="preserve"> </w:t>
      </w:r>
      <w:r w:rsidRPr="00322627">
        <w:rPr>
          <w:rFonts w:ascii="Book Antiqua" w:eastAsia="宋体" w:hAnsi="Book Antiqua"/>
          <w:sz w:val="24"/>
          <w:szCs w:val="24"/>
          <w:lang w:eastAsia="zh-CN"/>
        </w:rPr>
        <w:t>May 31, 2015</w:t>
      </w:r>
    </w:p>
    <w:p w:rsidR="00F91558" w:rsidRPr="00322627" w:rsidRDefault="00F91558" w:rsidP="00322627">
      <w:pPr>
        <w:spacing w:line="360" w:lineRule="auto"/>
        <w:rPr>
          <w:rFonts w:ascii="Book Antiqua" w:eastAsia="宋体" w:hAnsi="Book Antiqua"/>
          <w:sz w:val="24"/>
          <w:szCs w:val="24"/>
          <w:lang w:eastAsia="zh-CN"/>
        </w:rPr>
      </w:pPr>
      <w:r w:rsidRPr="00322627">
        <w:rPr>
          <w:rFonts w:ascii="Book Antiqua" w:hAnsi="Book Antiqua"/>
          <w:b/>
          <w:sz w:val="24"/>
          <w:szCs w:val="24"/>
        </w:rPr>
        <w:t>Peer-review started:</w:t>
      </w:r>
      <w:r w:rsidRPr="00322627">
        <w:rPr>
          <w:rFonts w:ascii="Book Antiqua" w:eastAsia="宋体" w:hAnsi="Book Antiqua"/>
          <w:b/>
          <w:sz w:val="24"/>
          <w:szCs w:val="24"/>
          <w:lang w:eastAsia="zh-CN"/>
        </w:rPr>
        <w:t xml:space="preserve"> </w:t>
      </w:r>
      <w:r w:rsidRPr="00322627">
        <w:rPr>
          <w:rFonts w:ascii="Book Antiqua" w:eastAsia="宋体" w:hAnsi="Book Antiqua"/>
          <w:sz w:val="24"/>
          <w:szCs w:val="24"/>
          <w:lang w:eastAsia="zh-CN"/>
        </w:rPr>
        <w:t>June 4, 2015</w:t>
      </w:r>
    </w:p>
    <w:p w:rsidR="00F91558" w:rsidRPr="00322627" w:rsidRDefault="00F91558" w:rsidP="00322627">
      <w:pPr>
        <w:spacing w:line="360" w:lineRule="auto"/>
        <w:rPr>
          <w:rFonts w:ascii="Book Antiqua" w:eastAsia="宋体" w:hAnsi="Book Antiqua"/>
          <w:sz w:val="24"/>
          <w:szCs w:val="24"/>
          <w:lang w:eastAsia="zh-CN"/>
        </w:rPr>
      </w:pPr>
      <w:bookmarkStart w:id="6" w:name="OLE_LINK21"/>
      <w:bookmarkStart w:id="7" w:name="OLE_LINK22"/>
      <w:r w:rsidRPr="00322627">
        <w:rPr>
          <w:rFonts w:ascii="Book Antiqua" w:hAnsi="Book Antiqua"/>
          <w:b/>
          <w:sz w:val="24"/>
          <w:szCs w:val="24"/>
        </w:rPr>
        <w:t>First decision:</w:t>
      </w:r>
      <w:r w:rsidRPr="00322627">
        <w:rPr>
          <w:rFonts w:ascii="Book Antiqua" w:eastAsia="宋体" w:hAnsi="Book Antiqua"/>
          <w:b/>
          <w:sz w:val="24"/>
          <w:szCs w:val="24"/>
          <w:lang w:eastAsia="zh-CN"/>
        </w:rPr>
        <w:t xml:space="preserve"> </w:t>
      </w:r>
      <w:r w:rsidRPr="00322627">
        <w:rPr>
          <w:rFonts w:ascii="Book Antiqua" w:eastAsia="宋体" w:hAnsi="Book Antiqua"/>
          <w:sz w:val="24"/>
          <w:szCs w:val="24"/>
          <w:lang w:eastAsia="zh-CN"/>
        </w:rPr>
        <w:t>August 14, 2015</w:t>
      </w:r>
    </w:p>
    <w:bookmarkEnd w:id="6"/>
    <w:bookmarkEnd w:id="7"/>
    <w:p w:rsidR="00F91558" w:rsidRPr="00322627" w:rsidRDefault="00F91558" w:rsidP="00322627">
      <w:pPr>
        <w:spacing w:line="360" w:lineRule="auto"/>
        <w:rPr>
          <w:rFonts w:ascii="Book Antiqua" w:eastAsia="宋体" w:hAnsi="Book Antiqua"/>
          <w:sz w:val="24"/>
          <w:szCs w:val="24"/>
          <w:lang w:eastAsia="zh-CN"/>
        </w:rPr>
      </w:pPr>
      <w:r w:rsidRPr="00322627">
        <w:rPr>
          <w:rFonts w:ascii="Book Antiqua" w:hAnsi="Book Antiqua"/>
          <w:b/>
          <w:sz w:val="24"/>
          <w:szCs w:val="24"/>
        </w:rPr>
        <w:t>Revised:</w:t>
      </w:r>
      <w:r w:rsidRPr="00322627">
        <w:rPr>
          <w:rFonts w:ascii="Book Antiqua" w:eastAsia="宋体" w:hAnsi="Book Antiqua"/>
          <w:sz w:val="24"/>
          <w:szCs w:val="24"/>
          <w:lang w:eastAsia="zh-CN"/>
        </w:rPr>
        <w:t xml:space="preserve"> September 6, 2015</w:t>
      </w:r>
    </w:p>
    <w:p w:rsidR="00F91558" w:rsidRPr="004822AF" w:rsidRDefault="00F91558" w:rsidP="004822AF">
      <w:pPr>
        <w:rPr>
          <w:rFonts w:ascii="Book Antiqua" w:hAnsi="Book Antiqua"/>
          <w:iCs/>
          <w:sz w:val="24"/>
        </w:rPr>
      </w:pPr>
      <w:r w:rsidRPr="00322627">
        <w:rPr>
          <w:rFonts w:ascii="Book Antiqua" w:hAnsi="Book Antiqua"/>
          <w:b/>
          <w:sz w:val="24"/>
          <w:szCs w:val="24"/>
        </w:rPr>
        <w:t>Accepted:</w:t>
      </w:r>
      <w:r w:rsidR="004822AF" w:rsidRPr="004822AF">
        <w:rPr>
          <w:rStyle w:val="Emphasis"/>
        </w:rPr>
        <w:t xml:space="preserve"> </w:t>
      </w:r>
      <w:r w:rsidR="004822AF">
        <w:rPr>
          <w:rStyle w:val="Emphasis"/>
        </w:rPr>
        <w:t>October 12</w:t>
      </w:r>
      <w:r w:rsidR="004822AF" w:rsidRPr="00235CD4">
        <w:rPr>
          <w:rStyle w:val="Emphasis"/>
        </w:rPr>
        <w:t>, 2015</w:t>
      </w:r>
      <w:bookmarkStart w:id="8" w:name="_GoBack"/>
      <w:bookmarkEnd w:id="8"/>
      <w:r w:rsidRPr="00322627">
        <w:rPr>
          <w:rFonts w:ascii="Book Antiqua" w:hAnsi="Book Antiqua"/>
          <w:b/>
          <w:sz w:val="24"/>
          <w:szCs w:val="24"/>
        </w:rPr>
        <w:t xml:space="preserve">  </w:t>
      </w:r>
    </w:p>
    <w:p w:rsidR="00F91558" w:rsidRPr="00322627" w:rsidRDefault="00F91558" w:rsidP="00322627">
      <w:pPr>
        <w:spacing w:line="360" w:lineRule="auto"/>
        <w:rPr>
          <w:rFonts w:ascii="Book Antiqua" w:hAnsi="Book Antiqua"/>
          <w:b/>
          <w:sz w:val="24"/>
          <w:szCs w:val="24"/>
        </w:rPr>
      </w:pPr>
      <w:r w:rsidRPr="00322627">
        <w:rPr>
          <w:rFonts w:ascii="Book Antiqua" w:hAnsi="Book Antiqua"/>
          <w:b/>
          <w:sz w:val="24"/>
          <w:szCs w:val="24"/>
        </w:rPr>
        <w:t>Article in press:</w:t>
      </w:r>
    </w:p>
    <w:p w:rsidR="00F91558" w:rsidRPr="00322627" w:rsidRDefault="00F91558" w:rsidP="00322627">
      <w:pPr>
        <w:spacing w:line="360" w:lineRule="auto"/>
        <w:rPr>
          <w:rFonts w:ascii="Book Antiqua" w:hAnsi="Book Antiqua"/>
          <w:b/>
          <w:sz w:val="24"/>
          <w:szCs w:val="24"/>
        </w:rPr>
      </w:pPr>
      <w:r w:rsidRPr="00322627">
        <w:rPr>
          <w:rFonts w:ascii="Book Antiqua" w:hAnsi="Book Antiqua"/>
          <w:b/>
          <w:sz w:val="24"/>
          <w:szCs w:val="24"/>
        </w:rPr>
        <w:t xml:space="preserve">Published online: </w:t>
      </w:r>
    </w:p>
    <w:bookmarkEnd w:id="4"/>
    <w:bookmarkEnd w:id="5"/>
    <w:p w:rsidR="006B3604" w:rsidRPr="00322627" w:rsidRDefault="006B3604" w:rsidP="00322627">
      <w:pPr>
        <w:widowControl/>
        <w:spacing w:line="360" w:lineRule="auto"/>
        <w:rPr>
          <w:rFonts w:ascii="Book Antiqua" w:hAnsi="Book Antiqua" w:cs="Times New Roman"/>
          <w:sz w:val="24"/>
          <w:szCs w:val="24"/>
        </w:rPr>
      </w:pPr>
      <w:r w:rsidRPr="00322627">
        <w:rPr>
          <w:rFonts w:ascii="Book Antiqua" w:hAnsi="Book Antiqua" w:cs="Times New Roman"/>
          <w:sz w:val="24"/>
          <w:szCs w:val="24"/>
        </w:rPr>
        <w:br w:type="page"/>
      </w: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lastRenderedPageBreak/>
        <w:t>Abstract</w:t>
      </w:r>
    </w:p>
    <w:p w:rsidR="006B3604" w:rsidRPr="00322627" w:rsidRDefault="006B3604" w:rsidP="00322627">
      <w:pPr>
        <w:spacing w:line="360" w:lineRule="auto"/>
        <w:rPr>
          <w:rFonts w:ascii="Book Antiqua" w:hAnsi="Book Antiqua" w:cs="Times New Roman"/>
          <w:sz w:val="24"/>
          <w:szCs w:val="24"/>
        </w:rPr>
      </w:pPr>
      <w:r w:rsidRPr="00322627">
        <w:rPr>
          <w:rFonts w:ascii="Book Antiqua" w:hAnsi="Book Antiqua" w:cs="Times New Roman"/>
          <w:sz w:val="24"/>
          <w:szCs w:val="24"/>
        </w:rPr>
        <w:t xml:space="preserve">In this manuscript, a number of debatable issues related to the diagnosis and treatment of Epstein-Barr virus-related </w:t>
      </w:r>
      <w:proofErr w:type="spellStart"/>
      <w:r w:rsidRPr="00322627">
        <w:rPr>
          <w:rFonts w:ascii="Book Antiqua" w:hAnsi="Book Antiqua" w:cs="Times New Roman"/>
          <w:sz w:val="24"/>
          <w:szCs w:val="24"/>
        </w:rPr>
        <w:t>hemophagocytic</w:t>
      </w:r>
      <w:proofErr w:type="spellEnd"/>
      <w:r w:rsidRPr="00322627">
        <w:rPr>
          <w:rFonts w:ascii="Book Antiqua" w:hAnsi="Book Antiqua" w:cs="Times New Roman"/>
          <w:sz w:val="24"/>
          <w:szCs w:val="24"/>
        </w:rPr>
        <w:t xml:space="preserve"> </w:t>
      </w:r>
      <w:proofErr w:type="spellStart"/>
      <w:r w:rsidRPr="00322627">
        <w:rPr>
          <w:rFonts w:ascii="Book Antiqua" w:hAnsi="Book Antiqua" w:cs="Times New Roman"/>
          <w:sz w:val="24"/>
          <w:szCs w:val="24"/>
        </w:rPr>
        <w:t>lymphohistiocytosis</w:t>
      </w:r>
      <w:proofErr w:type="spellEnd"/>
      <w:r w:rsidRPr="00322627">
        <w:rPr>
          <w:rFonts w:ascii="Book Antiqua" w:hAnsi="Book Antiqua" w:cs="Times New Roman"/>
          <w:sz w:val="24"/>
          <w:szCs w:val="24"/>
        </w:rPr>
        <w:t xml:space="preserve"> (EBV-HLH) will be addressed. Considering the heterogeneous nature of EBV-HLH, diagnostic efforts are required to clarify the precise nature of the disease at diagnosis, the number of EBV genome copies in peripheral blood, and localization of the EBV genome in lymphoid cells</w:t>
      </w:r>
      <w:r w:rsidRPr="00322627">
        <w:rPr>
          <w:rFonts w:ascii="Book Antiqua" w:hAnsi="Book Antiqua" w:cs="Times New Roman"/>
          <w:sz w:val="24"/>
          <w:szCs w:val="24"/>
          <w:lang w:val="en-GB"/>
        </w:rPr>
        <w:t xml:space="preserve"> (</w:t>
      </w:r>
      <w:r w:rsidRPr="00322627">
        <w:rPr>
          <w:rFonts w:ascii="Book Antiqua" w:hAnsi="Book Antiqua" w:cs="Times New Roman"/>
          <w:sz w:val="24"/>
          <w:szCs w:val="24"/>
        </w:rPr>
        <w:t>B, T, or natural killer cells). Although the majority of cases of EBV-HLH develop without evidence of immunodeficiency, some cases have been found to be associated with chronic active EBV infection, genetic diseases such as X-linked lymphoproliferative disease (XLP, type 1, or type 2), or familial HLH (FHL, types 2–5). Due to such background heterogeneity, the therapeutic results of EBV-HLH have also been found to vary. Patients have been found to respond to corticosteroids alone or an etoposide-containing regimen, whereas other patients require hematopoietic stem cell transplantation. Thus, decision-making for optimal treatment of EBV-HLH and its eventual outcome requires evaluation in consideration of the precise nature of the disease. A protocol for a pilot study on the treatment of patients with EBV-HLH is presented here.</w:t>
      </w:r>
    </w:p>
    <w:p w:rsidR="006B3604" w:rsidRPr="00322627" w:rsidRDefault="006B3604" w:rsidP="00322627">
      <w:pPr>
        <w:spacing w:line="360" w:lineRule="auto"/>
        <w:rPr>
          <w:rFonts w:ascii="Book Antiqua" w:hAnsi="Book Antiqua" w:cs="Times New Roman"/>
          <w:b/>
          <w:sz w:val="24"/>
          <w:szCs w:val="24"/>
        </w:rPr>
      </w:pPr>
    </w:p>
    <w:p w:rsidR="006B3604" w:rsidRPr="00322627" w:rsidRDefault="006B3604" w:rsidP="00322627">
      <w:pPr>
        <w:spacing w:line="360" w:lineRule="auto"/>
        <w:rPr>
          <w:rFonts w:ascii="Book Antiqua" w:hAnsi="Book Antiqua" w:cs="Times New Roman"/>
          <w:sz w:val="24"/>
          <w:szCs w:val="24"/>
        </w:rPr>
      </w:pPr>
      <w:r w:rsidRPr="00322627">
        <w:rPr>
          <w:rFonts w:ascii="Book Antiqua" w:hAnsi="Book Antiqua" w:cs="Times New Roman"/>
          <w:b/>
          <w:sz w:val="24"/>
          <w:szCs w:val="24"/>
        </w:rPr>
        <w:t>Key words:</w:t>
      </w:r>
      <w:r w:rsidRPr="00322627">
        <w:rPr>
          <w:rFonts w:ascii="Book Antiqua" w:hAnsi="Book Antiqua" w:cs="Times New Roman"/>
          <w:sz w:val="24"/>
          <w:szCs w:val="24"/>
        </w:rPr>
        <w:t xml:space="preserve"> </w:t>
      </w:r>
      <w:proofErr w:type="spellStart"/>
      <w:r w:rsidR="00633576" w:rsidRPr="00322627">
        <w:rPr>
          <w:rFonts w:ascii="Book Antiqua" w:hAnsi="Book Antiqua" w:cs="Times New Roman"/>
          <w:sz w:val="24"/>
          <w:szCs w:val="24"/>
        </w:rPr>
        <w:t>Hemophagocytic</w:t>
      </w:r>
      <w:proofErr w:type="spellEnd"/>
      <w:r w:rsidR="00633576" w:rsidRPr="00322627">
        <w:rPr>
          <w:rFonts w:ascii="Book Antiqua" w:hAnsi="Book Antiqua" w:cs="Times New Roman"/>
          <w:sz w:val="24"/>
          <w:szCs w:val="24"/>
        </w:rPr>
        <w:t xml:space="preserve"> </w:t>
      </w:r>
      <w:proofErr w:type="spellStart"/>
      <w:r w:rsidRPr="00322627">
        <w:rPr>
          <w:rFonts w:ascii="Book Antiqua" w:hAnsi="Book Antiqua" w:cs="Times New Roman"/>
          <w:sz w:val="24"/>
          <w:szCs w:val="24"/>
        </w:rPr>
        <w:t>lymphohistiocytosis</w:t>
      </w:r>
      <w:proofErr w:type="spellEnd"/>
      <w:r w:rsidR="00633576"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 xml:space="preserve"> Epstein-Barr virus</w:t>
      </w:r>
      <w:r w:rsidR="00633576"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 xml:space="preserve"> </w:t>
      </w:r>
      <w:r w:rsidR="00633576" w:rsidRPr="00322627">
        <w:rPr>
          <w:rFonts w:ascii="Book Antiqua" w:hAnsi="Book Antiqua" w:cs="Times New Roman"/>
          <w:sz w:val="24"/>
          <w:szCs w:val="24"/>
        </w:rPr>
        <w:t>Immune</w:t>
      </w:r>
      <w:r w:rsidRPr="00322627">
        <w:rPr>
          <w:rFonts w:ascii="Book Antiqua" w:hAnsi="Book Antiqua" w:cs="Times New Roman"/>
          <w:sz w:val="24"/>
          <w:szCs w:val="24"/>
        </w:rPr>
        <w:t>-chemotherapy</w:t>
      </w:r>
      <w:r w:rsidR="00633576"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 xml:space="preserve"> </w:t>
      </w:r>
      <w:r w:rsidR="00633576" w:rsidRPr="00322627">
        <w:rPr>
          <w:rFonts w:ascii="Book Antiqua" w:hAnsi="Book Antiqua" w:cs="Times New Roman"/>
          <w:sz w:val="24"/>
          <w:szCs w:val="24"/>
        </w:rPr>
        <w:t>Rituximab</w:t>
      </w:r>
      <w:r w:rsidR="00633576"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 xml:space="preserve"> </w:t>
      </w:r>
      <w:r w:rsidR="00633576" w:rsidRPr="00322627">
        <w:rPr>
          <w:rFonts w:ascii="Book Antiqua" w:hAnsi="Book Antiqua" w:cs="Times New Roman"/>
          <w:sz w:val="24"/>
          <w:szCs w:val="24"/>
        </w:rPr>
        <w:t xml:space="preserve">Hematopoietic </w:t>
      </w:r>
      <w:r w:rsidRPr="00322627">
        <w:rPr>
          <w:rFonts w:ascii="Book Antiqua" w:hAnsi="Book Antiqua" w:cs="Times New Roman"/>
          <w:sz w:val="24"/>
          <w:szCs w:val="24"/>
        </w:rPr>
        <w:t>stem cell transplantation</w:t>
      </w:r>
    </w:p>
    <w:p w:rsidR="006B3604" w:rsidRPr="00322627" w:rsidRDefault="006B3604" w:rsidP="00322627">
      <w:pPr>
        <w:spacing w:line="360" w:lineRule="auto"/>
        <w:rPr>
          <w:rFonts w:ascii="Book Antiqua" w:hAnsi="Book Antiqua" w:cs="Times New Roman"/>
          <w:sz w:val="24"/>
          <w:szCs w:val="24"/>
        </w:rPr>
      </w:pPr>
    </w:p>
    <w:p w:rsidR="00F91558" w:rsidRPr="00322627" w:rsidRDefault="00F91558" w:rsidP="00322627">
      <w:pPr>
        <w:spacing w:line="360" w:lineRule="auto"/>
        <w:rPr>
          <w:rFonts w:ascii="Book Antiqua" w:hAnsi="Book Antiqua"/>
          <w:i/>
          <w:iCs/>
          <w:sz w:val="24"/>
          <w:szCs w:val="24"/>
        </w:rPr>
      </w:pPr>
      <w:bookmarkStart w:id="9" w:name="OLE_LINK24"/>
      <w:bookmarkStart w:id="10" w:name="OLE_LINK25"/>
      <w:proofErr w:type="gramStart"/>
      <w:r w:rsidRPr="00322627">
        <w:rPr>
          <w:rFonts w:ascii="Book Antiqua" w:hAnsi="Book Antiqua" w:cs="Tahoma"/>
          <w:b/>
          <w:color w:val="000000"/>
          <w:sz w:val="24"/>
          <w:szCs w:val="24"/>
          <w:lang w:val="en-GB"/>
        </w:rPr>
        <w:t xml:space="preserve">© </w:t>
      </w:r>
      <w:r w:rsidRPr="00322627">
        <w:rPr>
          <w:rFonts w:ascii="Book Antiqua" w:eastAsia="AdvTimes" w:hAnsi="Book Antiqua" w:cs="AdvTimes"/>
          <w:b/>
          <w:color w:val="000000"/>
          <w:sz w:val="24"/>
          <w:szCs w:val="24"/>
          <w:lang w:val="fr-FR"/>
        </w:rPr>
        <w:t>The Author(s) 2015.</w:t>
      </w:r>
      <w:proofErr w:type="gramEnd"/>
      <w:r w:rsidRPr="00322627">
        <w:rPr>
          <w:rFonts w:ascii="Book Antiqua" w:eastAsia="AdvTimes" w:hAnsi="Book Antiqua" w:cs="AdvTimes"/>
          <w:color w:val="000000"/>
          <w:sz w:val="24"/>
          <w:szCs w:val="24"/>
          <w:lang w:val="fr-FR"/>
        </w:rPr>
        <w:t xml:space="preserve"> Published by </w:t>
      </w:r>
      <w:proofErr w:type="spellStart"/>
      <w:r w:rsidRPr="00322627">
        <w:rPr>
          <w:rFonts w:ascii="Book Antiqua" w:hAnsi="Book Antiqua" w:cs="Arial Unicode MS"/>
          <w:color w:val="000000"/>
          <w:sz w:val="24"/>
          <w:szCs w:val="24"/>
          <w:lang w:val="en-GB"/>
        </w:rPr>
        <w:t>Baishideng</w:t>
      </w:r>
      <w:proofErr w:type="spellEnd"/>
      <w:r w:rsidRPr="00322627">
        <w:rPr>
          <w:rFonts w:ascii="Book Antiqua" w:hAnsi="Book Antiqua" w:cs="Arial Unicode MS"/>
          <w:color w:val="000000"/>
          <w:sz w:val="24"/>
          <w:szCs w:val="24"/>
          <w:lang w:val="en-GB"/>
        </w:rPr>
        <w:t xml:space="preserve"> Publishing Group Inc.</w:t>
      </w:r>
      <w:r w:rsidRPr="00322627">
        <w:rPr>
          <w:rFonts w:ascii="Book Antiqua" w:hAnsi="Book Antiqua" w:cs="Arial Unicode MS"/>
          <w:sz w:val="24"/>
          <w:szCs w:val="24"/>
          <w:lang w:val="en-GB"/>
        </w:rPr>
        <w:t xml:space="preserve"> </w:t>
      </w:r>
      <w:r w:rsidRPr="00322627">
        <w:rPr>
          <w:rFonts w:ascii="Book Antiqua" w:hAnsi="Book Antiqua" w:cs="Arial Unicode MS"/>
          <w:sz w:val="24"/>
          <w:szCs w:val="24"/>
          <w:lang w:val="fr-FR"/>
        </w:rPr>
        <w:t>All rights reserved.</w:t>
      </w:r>
    </w:p>
    <w:bookmarkEnd w:id="9"/>
    <w:bookmarkEnd w:id="10"/>
    <w:p w:rsidR="00F91558" w:rsidRPr="00322627" w:rsidRDefault="00F91558" w:rsidP="00322627">
      <w:pPr>
        <w:autoSpaceDE w:val="0"/>
        <w:autoSpaceDN w:val="0"/>
        <w:adjustRightInd w:val="0"/>
        <w:spacing w:line="360" w:lineRule="auto"/>
        <w:rPr>
          <w:rFonts w:ascii="Book Antiqua" w:eastAsia="宋体" w:hAnsi="Book Antiqua"/>
          <w:b/>
          <w:kern w:val="0"/>
          <w:sz w:val="24"/>
          <w:szCs w:val="24"/>
          <w:lang w:eastAsia="zh-CN"/>
        </w:rPr>
      </w:pPr>
    </w:p>
    <w:p w:rsidR="006B3604" w:rsidRPr="00322627" w:rsidRDefault="006B3604" w:rsidP="00322627">
      <w:pPr>
        <w:autoSpaceDE w:val="0"/>
        <w:autoSpaceDN w:val="0"/>
        <w:adjustRightInd w:val="0"/>
        <w:spacing w:line="360" w:lineRule="auto"/>
        <w:rPr>
          <w:rFonts w:ascii="Book Antiqua" w:hAnsi="Book Antiqua" w:cs="Times New Roman"/>
          <w:sz w:val="24"/>
          <w:szCs w:val="24"/>
        </w:rPr>
      </w:pPr>
      <w:r w:rsidRPr="00322627">
        <w:rPr>
          <w:rFonts w:ascii="Book Antiqua" w:hAnsi="Book Antiqua"/>
          <w:b/>
          <w:kern w:val="0"/>
          <w:sz w:val="24"/>
          <w:szCs w:val="24"/>
        </w:rPr>
        <w:t xml:space="preserve">Core tip: </w:t>
      </w:r>
      <w:r w:rsidRPr="00322627">
        <w:rPr>
          <w:rFonts w:ascii="Book Antiqua" w:hAnsi="Book Antiqua" w:cs="Times New Roman"/>
          <w:sz w:val="24"/>
          <w:szCs w:val="24"/>
        </w:rPr>
        <w:t xml:space="preserve">Diagnosis of </w:t>
      </w:r>
      <w:r w:rsidR="00633576" w:rsidRPr="00322627">
        <w:rPr>
          <w:rFonts w:ascii="Book Antiqua" w:hAnsi="Book Antiqua" w:cs="Times New Roman"/>
          <w:sz w:val="24"/>
          <w:szCs w:val="24"/>
        </w:rPr>
        <w:t xml:space="preserve">Epstein-Barr virus-related </w:t>
      </w:r>
      <w:proofErr w:type="spellStart"/>
      <w:r w:rsidR="00633576" w:rsidRPr="00322627">
        <w:rPr>
          <w:rFonts w:ascii="Book Antiqua" w:hAnsi="Book Antiqua" w:cs="Times New Roman"/>
          <w:sz w:val="24"/>
          <w:szCs w:val="24"/>
        </w:rPr>
        <w:t>hemophagocytic</w:t>
      </w:r>
      <w:proofErr w:type="spellEnd"/>
      <w:r w:rsidR="00633576" w:rsidRPr="00322627">
        <w:rPr>
          <w:rFonts w:ascii="Book Antiqua" w:hAnsi="Book Antiqua" w:cs="Times New Roman"/>
          <w:sz w:val="24"/>
          <w:szCs w:val="24"/>
        </w:rPr>
        <w:t xml:space="preserve"> </w:t>
      </w:r>
      <w:proofErr w:type="spellStart"/>
      <w:r w:rsidR="00633576" w:rsidRPr="00322627">
        <w:rPr>
          <w:rFonts w:ascii="Book Antiqua" w:hAnsi="Book Antiqua" w:cs="Times New Roman"/>
          <w:sz w:val="24"/>
          <w:szCs w:val="24"/>
        </w:rPr>
        <w:t>lymphohistiocytosis</w:t>
      </w:r>
      <w:proofErr w:type="spellEnd"/>
      <w:r w:rsidR="00633576" w:rsidRPr="00322627">
        <w:rPr>
          <w:rFonts w:ascii="Book Antiqua" w:hAnsi="Book Antiqua" w:cs="Times New Roman"/>
          <w:sz w:val="24"/>
          <w:szCs w:val="24"/>
        </w:rPr>
        <w:t xml:space="preserve"> (EBV-HLH)</w:t>
      </w:r>
      <w:r w:rsidRPr="00322627">
        <w:rPr>
          <w:rFonts w:ascii="Book Antiqua" w:hAnsi="Book Antiqua" w:cs="Times New Roman"/>
          <w:sz w:val="24"/>
          <w:szCs w:val="24"/>
        </w:rPr>
        <w:t xml:space="preserve"> must fulfill both the evidence of EBV infection and the diagnostic criteria for HLH. EBV-HLH is heterogeneous. The majority of EBV-HLH occurs in apparently immunocompetent subjects, but some are associated with chronic active EBV infec</w:t>
      </w:r>
      <w:r w:rsidR="00633576" w:rsidRPr="00322627">
        <w:rPr>
          <w:rFonts w:ascii="Book Antiqua" w:hAnsi="Book Antiqua" w:cs="Times New Roman"/>
          <w:sz w:val="24"/>
          <w:szCs w:val="24"/>
        </w:rPr>
        <w:t>tion</w:t>
      </w:r>
      <w:r w:rsidRPr="00322627">
        <w:rPr>
          <w:rFonts w:ascii="Book Antiqua" w:hAnsi="Book Antiqua" w:cs="Times New Roman"/>
          <w:sz w:val="24"/>
          <w:szCs w:val="24"/>
        </w:rPr>
        <w:t xml:space="preserve"> status, X-linked lymphoproliferative dise</w:t>
      </w:r>
      <w:r w:rsidR="00633576" w:rsidRPr="00322627">
        <w:rPr>
          <w:rFonts w:ascii="Book Antiqua" w:hAnsi="Book Antiqua" w:cs="Times New Roman"/>
          <w:sz w:val="24"/>
          <w:szCs w:val="24"/>
        </w:rPr>
        <w:t>ase or with familial HLH</w:t>
      </w:r>
      <w:r w:rsidRPr="00322627">
        <w:rPr>
          <w:rFonts w:ascii="Book Antiqua" w:hAnsi="Book Antiqua" w:cs="Times New Roman"/>
          <w:sz w:val="24"/>
          <w:szCs w:val="24"/>
        </w:rPr>
        <w:t>. Thus, treatment and outcome differ significantly depending on the underlying disease. To find out a most appropriate treatment, various laboratory tests are required to clarify the underlying diseases.</w:t>
      </w:r>
    </w:p>
    <w:p w:rsidR="00F91558" w:rsidRPr="00322627" w:rsidRDefault="00F91558" w:rsidP="00322627">
      <w:pPr>
        <w:spacing w:line="360" w:lineRule="auto"/>
        <w:rPr>
          <w:rFonts w:ascii="Book Antiqua" w:hAnsi="Book Antiqua" w:cs="Times New Roman"/>
          <w:b/>
          <w:sz w:val="24"/>
          <w:szCs w:val="24"/>
        </w:rPr>
      </w:pPr>
    </w:p>
    <w:p w:rsidR="00F91558" w:rsidRPr="00322627" w:rsidRDefault="00F91558" w:rsidP="00322627">
      <w:pPr>
        <w:spacing w:line="360" w:lineRule="auto"/>
        <w:rPr>
          <w:rFonts w:ascii="Book Antiqua" w:eastAsia="宋体" w:hAnsi="Book Antiqua" w:cs="Times New Roman"/>
          <w:sz w:val="24"/>
          <w:szCs w:val="24"/>
          <w:lang w:eastAsia="zh-CN"/>
        </w:rPr>
      </w:pPr>
      <w:proofErr w:type="spellStart"/>
      <w:r w:rsidRPr="00322627">
        <w:rPr>
          <w:rFonts w:ascii="Book Antiqua" w:hAnsi="Book Antiqua" w:cs="Times New Roman"/>
          <w:sz w:val="24"/>
          <w:szCs w:val="24"/>
        </w:rPr>
        <w:t>Imashuku</w:t>
      </w:r>
      <w:proofErr w:type="spellEnd"/>
      <w:r w:rsidRPr="00322627">
        <w:rPr>
          <w:rFonts w:ascii="Book Antiqua" w:hAnsi="Book Antiqua" w:cs="Times New Roman"/>
          <w:sz w:val="24"/>
          <w:szCs w:val="24"/>
        </w:rPr>
        <w:t xml:space="preserve"> </w:t>
      </w:r>
      <w:r w:rsidRPr="00322627">
        <w:rPr>
          <w:rFonts w:ascii="Book Antiqua" w:eastAsia="宋体" w:hAnsi="Book Antiqua" w:cs="Times New Roman"/>
          <w:sz w:val="24"/>
          <w:szCs w:val="24"/>
          <w:lang w:eastAsia="zh-CN"/>
        </w:rPr>
        <w:t>S.</w:t>
      </w:r>
      <w:r w:rsidRPr="00322627">
        <w:rPr>
          <w:rFonts w:ascii="Book Antiqua" w:eastAsia="宋体" w:hAnsi="Book Antiqua" w:cs="Times New Roman"/>
          <w:b/>
          <w:sz w:val="24"/>
          <w:szCs w:val="24"/>
          <w:lang w:eastAsia="zh-CN"/>
        </w:rPr>
        <w:t xml:space="preserve"> </w:t>
      </w:r>
      <w:r w:rsidRPr="00322627">
        <w:rPr>
          <w:rFonts w:ascii="Book Antiqua" w:hAnsi="Book Antiqua" w:cs="Times New Roman"/>
          <w:sz w:val="24"/>
          <w:szCs w:val="24"/>
        </w:rPr>
        <w:t xml:space="preserve">Treatment of </w:t>
      </w:r>
      <w:proofErr w:type="spellStart"/>
      <w:r w:rsidRPr="00322627">
        <w:rPr>
          <w:rFonts w:ascii="Book Antiqua" w:hAnsi="Book Antiqua" w:cs="Times New Roman"/>
          <w:sz w:val="24"/>
          <w:szCs w:val="24"/>
        </w:rPr>
        <w:t>epstein-barr</w:t>
      </w:r>
      <w:proofErr w:type="spellEnd"/>
      <w:r w:rsidRPr="00322627">
        <w:rPr>
          <w:rFonts w:ascii="Book Antiqua" w:hAnsi="Book Antiqua" w:cs="Times New Roman"/>
          <w:sz w:val="24"/>
          <w:szCs w:val="24"/>
        </w:rPr>
        <w:t xml:space="preserve"> virus-related </w:t>
      </w:r>
      <w:proofErr w:type="spellStart"/>
      <w:r w:rsidRPr="00322627">
        <w:rPr>
          <w:rFonts w:ascii="Book Antiqua" w:hAnsi="Book Antiqua" w:cs="Times New Roman"/>
          <w:sz w:val="24"/>
          <w:szCs w:val="24"/>
        </w:rPr>
        <w:t>hemophagocytic</w:t>
      </w:r>
      <w:proofErr w:type="spellEnd"/>
      <w:r w:rsidRPr="00322627">
        <w:rPr>
          <w:rFonts w:ascii="Book Antiqua" w:hAnsi="Book Antiqua" w:cs="Times New Roman"/>
          <w:sz w:val="24"/>
          <w:szCs w:val="24"/>
        </w:rPr>
        <w:t xml:space="preserve"> </w:t>
      </w:r>
      <w:proofErr w:type="spellStart"/>
      <w:r w:rsidRPr="00322627">
        <w:rPr>
          <w:rFonts w:ascii="Book Antiqua" w:hAnsi="Book Antiqua" w:cs="Times New Roman"/>
          <w:sz w:val="24"/>
          <w:szCs w:val="24"/>
        </w:rPr>
        <w:t>lymphohistiocytosis</w:t>
      </w:r>
      <w:proofErr w:type="spellEnd"/>
      <w:r w:rsidRPr="00322627">
        <w:rPr>
          <w:rFonts w:ascii="Book Antiqua" w:hAnsi="Book Antiqua" w:cs="Times New Roman"/>
          <w:sz w:val="24"/>
          <w:szCs w:val="24"/>
        </w:rPr>
        <w:t>: Study protocol of a prospective pilot study</w:t>
      </w:r>
      <w:r w:rsidRPr="00322627">
        <w:rPr>
          <w:rFonts w:ascii="Book Antiqua" w:eastAsia="宋体" w:hAnsi="Book Antiqua" w:cs="Times New Roman"/>
          <w:sz w:val="24"/>
          <w:szCs w:val="24"/>
          <w:lang w:eastAsia="zh-CN"/>
        </w:rPr>
        <w:t xml:space="preserve">. </w:t>
      </w:r>
      <w:r w:rsidRPr="00322627">
        <w:rPr>
          <w:rFonts w:ascii="Book Antiqua" w:hAnsi="Book Antiqua"/>
          <w:i/>
          <w:iCs/>
          <w:sz w:val="24"/>
          <w:szCs w:val="24"/>
        </w:rPr>
        <w:t xml:space="preserve">World J </w:t>
      </w:r>
      <w:proofErr w:type="spellStart"/>
      <w:r w:rsidRPr="00322627">
        <w:rPr>
          <w:rFonts w:ascii="Book Antiqua" w:hAnsi="Book Antiqua"/>
          <w:i/>
          <w:iCs/>
          <w:sz w:val="24"/>
          <w:szCs w:val="24"/>
        </w:rPr>
        <w:t>Hematol</w:t>
      </w:r>
      <w:proofErr w:type="spellEnd"/>
      <w:r w:rsidRPr="00322627">
        <w:rPr>
          <w:rFonts w:ascii="Book Antiqua" w:eastAsia="宋体" w:hAnsi="Book Antiqua"/>
          <w:iCs/>
          <w:sz w:val="24"/>
          <w:szCs w:val="24"/>
          <w:lang w:eastAsia="zh-CN"/>
        </w:rPr>
        <w:t xml:space="preserve"> 2015; </w:t>
      </w:r>
      <w:proofErr w:type="gramStart"/>
      <w:r w:rsidRPr="00322627">
        <w:rPr>
          <w:rFonts w:ascii="Book Antiqua" w:eastAsia="宋体" w:hAnsi="Book Antiqua"/>
          <w:iCs/>
          <w:sz w:val="24"/>
          <w:szCs w:val="24"/>
          <w:lang w:eastAsia="zh-CN"/>
        </w:rPr>
        <w:t>In</w:t>
      </w:r>
      <w:proofErr w:type="gramEnd"/>
      <w:r w:rsidRPr="00322627">
        <w:rPr>
          <w:rFonts w:ascii="Book Antiqua" w:eastAsia="宋体" w:hAnsi="Book Antiqua"/>
          <w:iCs/>
          <w:sz w:val="24"/>
          <w:szCs w:val="24"/>
          <w:lang w:eastAsia="zh-CN"/>
        </w:rPr>
        <w:t xml:space="preserve"> press</w:t>
      </w:r>
    </w:p>
    <w:p w:rsidR="006B3604" w:rsidRPr="00322627" w:rsidRDefault="006B3604" w:rsidP="00322627">
      <w:pPr>
        <w:widowControl/>
        <w:spacing w:line="360" w:lineRule="auto"/>
        <w:rPr>
          <w:rFonts w:ascii="Book Antiqua" w:hAnsi="Book Antiqua" w:cs="Times New Roman"/>
          <w:b/>
          <w:sz w:val="24"/>
          <w:szCs w:val="24"/>
        </w:rPr>
      </w:pPr>
      <w:r w:rsidRPr="00322627">
        <w:rPr>
          <w:rFonts w:ascii="Book Antiqua" w:hAnsi="Book Antiqua" w:cs="Times New Roman"/>
          <w:b/>
          <w:sz w:val="24"/>
          <w:szCs w:val="24"/>
        </w:rPr>
        <w:br w:type="page"/>
      </w: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lastRenderedPageBreak/>
        <w:t>INTRODUCTION</w:t>
      </w:r>
    </w:p>
    <w:p w:rsidR="006B3604" w:rsidRPr="00322627" w:rsidRDefault="006B3604" w:rsidP="00322627">
      <w:pPr>
        <w:spacing w:line="360" w:lineRule="auto"/>
        <w:rPr>
          <w:rFonts w:ascii="Book Antiqua" w:hAnsi="Book Antiqua" w:cs="Tahoma"/>
          <w:sz w:val="24"/>
          <w:szCs w:val="24"/>
          <w:lang w:eastAsia="zh-CN"/>
        </w:rPr>
      </w:pPr>
      <w:r w:rsidRPr="00322627">
        <w:rPr>
          <w:rFonts w:ascii="Book Antiqua" w:hAnsi="Book Antiqua" w:cs="Times New Roman"/>
          <w:sz w:val="24"/>
          <w:szCs w:val="24"/>
        </w:rPr>
        <w:t xml:space="preserve">Epstein-Barr virus-related </w:t>
      </w:r>
      <w:proofErr w:type="spellStart"/>
      <w:r w:rsidRPr="00322627">
        <w:rPr>
          <w:rFonts w:ascii="Book Antiqua" w:hAnsi="Book Antiqua" w:cs="Times New Roman"/>
          <w:sz w:val="24"/>
          <w:szCs w:val="24"/>
        </w:rPr>
        <w:t>hemophagocytic</w:t>
      </w:r>
      <w:proofErr w:type="spellEnd"/>
      <w:r w:rsidRPr="00322627">
        <w:rPr>
          <w:rFonts w:ascii="Book Antiqua" w:hAnsi="Book Antiqua" w:cs="Times New Roman"/>
          <w:sz w:val="24"/>
          <w:szCs w:val="24"/>
        </w:rPr>
        <w:t xml:space="preserve"> </w:t>
      </w:r>
      <w:proofErr w:type="spellStart"/>
      <w:r w:rsidRPr="00322627">
        <w:rPr>
          <w:rFonts w:ascii="Book Antiqua" w:hAnsi="Book Antiqua" w:cs="Times New Roman"/>
          <w:sz w:val="24"/>
          <w:szCs w:val="24"/>
        </w:rPr>
        <w:t>lymphohistiocytosis</w:t>
      </w:r>
      <w:proofErr w:type="spellEnd"/>
      <w:r w:rsidRPr="00322627">
        <w:rPr>
          <w:rFonts w:ascii="Book Antiqua" w:hAnsi="Book Antiqua" w:cs="Times New Roman"/>
          <w:sz w:val="24"/>
          <w:szCs w:val="24"/>
        </w:rPr>
        <w:t xml:space="preserve"> (EBV-HLH) is defined as a </w:t>
      </w:r>
      <w:proofErr w:type="spellStart"/>
      <w:r w:rsidRPr="00322627">
        <w:rPr>
          <w:rFonts w:ascii="Book Antiqua" w:hAnsi="Book Antiqua" w:cs="Times New Roman"/>
          <w:sz w:val="24"/>
          <w:szCs w:val="24"/>
        </w:rPr>
        <w:t>hemophagocytic</w:t>
      </w:r>
      <w:proofErr w:type="spellEnd"/>
      <w:r w:rsidRPr="00322627">
        <w:rPr>
          <w:rFonts w:ascii="Book Antiqua" w:hAnsi="Book Antiqua" w:cs="Times New Roman"/>
          <w:sz w:val="24"/>
          <w:szCs w:val="24"/>
        </w:rPr>
        <w:t xml:space="preserve"> syndrome associated with systemic EBV-related T cell or natural killer (NK) cell lymphoproliferative diseases (LPDs)</w:t>
      </w:r>
      <w:r w:rsidR="00633576" w:rsidRPr="00322627">
        <w:rPr>
          <w:rFonts w:ascii="Book Antiqua" w:hAnsi="Book Antiqua" w:cs="Times New Roman"/>
          <w:sz w:val="24"/>
          <w:szCs w:val="24"/>
          <w:vertAlign w:val="superscript"/>
        </w:rPr>
        <w:t>[1]</w:t>
      </w:r>
      <w:r w:rsidRPr="00322627">
        <w:rPr>
          <w:rFonts w:ascii="Book Antiqua" w:hAnsi="Book Antiqua" w:cs="Times New Roman"/>
          <w:sz w:val="24"/>
          <w:szCs w:val="24"/>
        </w:rPr>
        <w:t>.</w:t>
      </w:r>
      <w:r w:rsidRPr="00322627">
        <w:rPr>
          <w:rFonts w:ascii="Book Antiqua" w:hAnsi="Book Antiqua" w:cs="Times New Roman"/>
          <w:b/>
          <w:sz w:val="24"/>
          <w:szCs w:val="24"/>
          <w:vertAlign w:val="superscript"/>
        </w:rPr>
        <w:t xml:space="preserve"> </w:t>
      </w:r>
      <w:r w:rsidRPr="00322627">
        <w:rPr>
          <w:rFonts w:ascii="Book Antiqua" w:hAnsi="Book Antiqua" w:cs="Times New Roman"/>
          <w:sz w:val="24"/>
          <w:szCs w:val="24"/>
        </w:rPr>
        <w:t>There are two main types of HLH, primary (genetic, inherited) and secondary (acquired)</w:t>
      </w:r>
      <w:r w:rsidR="00633576" w:rsidRPr="00322627">
        <w:rPr>
          <w:rFonts w:ascii="Book Antiqua" w:hAnsi="Book Antiqua" w:cs="Times New Roman"/>
          <w:sz w:val="24"/>
          <w:szCs w:val="24"/>
          <w:vertAlign w:val="superscript"/>
        </w:rPr>
        <w:t>[2]</w:t>
      </w:r>
      <w:r w:rsidRPr="00322627">
        <w:rPr>
          <w:rFonts w:ascii="Book Antiqua" w:hAnsi="Book Antiqua" w:cs="Times New Roman"/>
          <w:sz w:val="24"/>
          <w:szCs w:val="24"/>
        </w:rPr>
        <w:t>. EBV-HLH is heterogeneous; the majority of cases of EBV-HLH tend to occur in apparently immunocompetent subjects as secondary disease. However, a number of cases of EBV-HLH have been found to be associated with primary diseases such as familial HLH (FHL)</w:t>
      </w:r>
      <w:r w:rsidR="00633576" w:rsidRPr="00322627">
        <w:rPr>
          <w:rFonts w:ascii="Book Antiqua" w:hAnsi="Book Antiqua" w:cs="Times New Roman"/>
          <w:sz w:val="24"/>
          <w:szCs w:val="24"/>
          <w:vertAlign w:val="superscript"/>
        </w:rPr>
        <w:t>[3,</w:t>
      </w:r>
      <w:r w:rsidRPr="00322627">
        <w:rPr>
          <w:rFonts w:ascii="Book Antiqua" w:hAnsi="Book Antiqua" w:cs="Times New Roman"/>
          <w:sz w:val="24"/>
          <w:szCs w:val="24"/>
          <w:vertAlign w:val="superscript"/>
        </w:rPr>
        <w:t>4]</w:t>
      </w:r>
      <w:r w:rsidRPr="00322627">
        <w:rPr>
          <w:rFonts w:ascii="Book Antiqua" w:hAnsi="Book Antiqua" w:cs="Times New Roman"/>
          <w:sz w:val="24"/>
          <w:szCs w:val="24"/>
        </w:rPr>
        <w:t xml:space="preserve"> or with X-linked lymphoproliferative disease (XLP, type 1, or type 2)</w:t>
      </w:r>
      <w:r w:rsidR="00633576" w:rsidRPr="00322627">
        <w:rPr>
          <w:rFonts w:ascii="Book Antiqua" w:hAnsi="Book Antiqua" w:cs="Times New Roman"/>
          <w:sz w:val="24"/>
          <w:szCs w:val="24"/>
          <w:vertAlign w:val="superscript"/>
        </w:rPr>
        <w:t>[5,6]</w:t>
      </w:r>
      <w:r w:rsidRPr="00322627">
        <w:rPr>
          <w:rFonts w:ascii="Book Antiqua" w:hAnsi="Book Antiqua" w:cs="Times New Roman"/>
          <w:sz w:val="24"/>
          <w:szCs w:val="24"/>
        </w:rPr>
        <w:t xml:space="preserve">. Recently, various types of primary </w:t>
      </w:r>
      <w:proofErr w:type="spellStart"/>
      <w:r w:rsidRPr="00322627">
        <w:rPr>
          <w:rFonts w:ascii="Book Antiqua" w:hAnsi="Book Antiqua" w:cs="Times New Roman"/>
          <w:sz w:val="24"/>
          <w:szCs w:val="24"/>
        </w:rPr>
        <w:t>immunodeficiencies</w:t>
      </w:r>
      <w:proofErr w:type="spellEnd"/>
      <w:r w:rsidRPr="00322627">
        <w:rPr>
          <w:rFonts w:ascii="Book Antiqua" w:hAnsi="Book Antiqua" w:cs="Times New Roman"/>
          <w:sz w:val="24"/>
          <w:szCs w:val="24"/>
        </w:rPr>
        <w:t xml:space="preserve"> were found to correlate with EBV-proliferative </w:t>
      </w:r>
      <w:proofErr w:type="gramStart"/>
      <w:r w:rsidRPr="00322627">
        <w:rPr>
          <w:rFonts w:ascii="Book Antiqua" w:hAnsi="Book Antiqua" w:cs="Times New Roman"/>
          <w:sz w:val="24"/>
          <w:szCs w:val="24"/>
        </w:rPr>
        <w:t>disease</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7]</w:t>
      </w:r>
      <w:r w:rsidRPr="00322627">
        <w:rPr>
          <w:rFonts w:ascii="Book Antiqua" w:hAnsi="Book Antiqua" w:cs="Times New Roman"/>
          <w:sz w:val="24"/>
          <w:szCs w:val="24"/>
        </w:rPr>
        <w:t xml:space="preserve">. In EBV-HLH, EBV resides primarily in T cells or NK cells, and is more frequent in Asia and rarely in Western </w:t>
      </w:r>
      <w:proofErr w:type="gramStart"/>
      <w:r w:rsidRPr="00322627">
        <w:rPr>
          <w:rFonts w:ascii="Book Antiqua" w:hAnsi="Book Antiqua" w:cs="Times New Roman"/>
          <w:sz w:val="24"/>
          <w:szCs w:val="24"/>
        </w:rPr>
        <w:t>countries</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3,8,9]</w:t>
      </w:r>
      <w:r w:rsidRPr="00322627">
        <w:rPr>
          <w:rFonts w:ascii="Book Antiqua" w:hAnsi="Book Antiqua" w:cs="Times New Roman"/>
          <w:sz w:val="24"/>
          <w:szCs w:val="24"/>
        </w:rPr>
        <w:t xml:space="preserve">. The outcome of EBV-HLH has been observed to significantly differ depending on the underlying diseases. Patients with secondary EBV-HLH have been found to respond well to immunotherapy or to </w:t>
      </w:r>
      <w:proofErr w:type="spellStart"/>
      <w:r w:rsidRPr="00322627">
        <w:rPr>
          <w:rFonts w:ascii="Book Antiqua" w:hAnsi="Book Antiqua" w:cs="Times New Roman"/>
          <w:sz w:val="24"/>
          <w:szCs w:val="24"/>
        </w:rPr>
        <w:t>chemoimmunotherapy</w:t>
      </w:r>
      <w:proofErr w:type="spellEnd"/>
      <w:r w:rsidRPr="00322627">
        <w:rPr>
          <w:rFonts w:ascii="Book Antiqua" w:hAnsi="Book Antiqua" w:cs="Times New Roman"/>
          <w:sz w:val="24"/>
          <w:szCs w:val="24"/>
        </w:rPr>
        <w:t xml:space="preserve">, while patients with EBV-HLH associated with primary diseases require hematopoietic stem cell transplantation (HSCT) due to refractoriness to </w:t>
      </w:r>
      <w:proofErr w:type="spellStart"/>
      <w:r w:rsidRPr="00322627">
        <w:rPr>
          <w:rFonts w:ascii="Book Antiqua" w:hAnsi="Book Antiqua" w:cs="Times New Roman"/>
          <w:sz w:val="24"/>
          <w:szCs w:val="24"/>
        </w:rPr>
        <w:t>chemoimmunotherapy</w:t>
      </w:r>
      <w:proofErr w:type="spellEnd"/>
      <w:r w:rsidRPr="00322627">
        <w:rPr>
          <w:rFonts w:ascii="Book Antiqua" w:hAnsi="Book Antiqua" w:cs="Times New Roman"/>
          <w:sz w:val="24"/>
          <w:szCs w:val="24"/>
        </w:rPr>
        <w:t>.</w:t>
      </w:r>
      <w:r w:rsidRPr="00322627">
        <w:rPr>
          <w:rFonts w:ascii="Book Antiqua" w:hAnsi="Book Antiqua" w:cs="Times New Roman"/>
          <w:b/>
          <w:sz w:val="24"/>
          <w:szCs w:val="24"/>
          <w:vertAlign w:val="superscript"/>
        </w:rPr>
        <w:t>[3]</w:t>
      </w:r>
      <w:r w:rsidRPr="00322627">
        <w:rPr>
          <w:rFonts w:ascii="Book Antiqua" w:hAnsi="Book Antiqua" w:cs="Times New Roman"/>
          <w:sz w:val="24"/>
          <w:szCs w:val="24"/>
        </w:rPr>
        <w:t xml:space="preserve"> Thus,</w:t>
      </w:r>
      <w:r w:rsidR="00633576" w:rsidRPr="00322627">
        <w:rPr>
          <w:rFonts w:ascii="Book Antiqua" w:hAnsi="Book Antiqua" w:cs="Times New Roman"/>
          <w:sz w:val="24"/>
          <w:szCs w:val="24"/>
        </w:rPr>
        <w:t xml:space="preserve"> genetic studies on FHL and XLP</w:t>
      </w:r>
      <w:r w:rsidR="00633576" w:rsidRPr="00322627">
        <w:rPr>
          <w:rFonts w:ascii="Book Antiqua" w:hAnsi="Book Antiqua" w:cs="Times New Roman"/>
          <w:sz w:val="24"/>
          <w:szCs w:val="24"/>
          <w:vertAlign w:val="superscript"/>
        </w:rPr>
        <w:t>[2,7,</w:t>
      </w:r>
      <w:r w:rsidRPr="00322627">
        <w:rPr>
          <w:rFonts w:ascii="Book Antiqua" w:hAnsi="Book Antiqua" w:cs="Times New Roman"/>
          <w:sz w:val="24"/>
          <w:szCs w:val="24"/>
          <w:vertAlign w:val="superscript"/>
        </w:rPr>
        <w:t>10]</w:t>
      </w:r>
      <w:r w:rsidRPr="00322627">
        <w:rPr>
          <w:rFonts w:ascii="Book Antiqua" w:hAnsi="Book Antiqua" w:cs="Times New Roman"/>
          <w:b/>
          <w:sz w:val="24"/>
          <w:szCs w:val="24"/>
        </w:rPr>
        <w:t xml:space="preserve"> </w:t>
      </w:r>
      <w:r w:rsidRPr="00322627">
        <w:rPr>
          <w:rFonts w:ascii="Book Antiqua" w:hAnsi="Book Antiqua" w:cs="Times New Roman"/>
          <w:sz w:val="24"/>
          <w:szCs w:val="24"/>
        </w:rPr>
        <w:t xml:space="preserve">are essential to identify whether the patient has a primary condition. In addition, a poor outcome of the patients with chronic active EBV infection (CAEBV)-related HLH has been well recognized in Asia, particularly in </w:t>
      </w:r>
      <w:proofErr w:type="gramStart"/>
      <w:r w:rsidRPr="00322627">
        <w:rPr>
          <w:rFonts w:ascii="Book Antiqua" w:hAnsi="Book Antiqua" w:cs="Times New Roman"/>
          <w:sz w:val="24"/>
          <w:szCs w:val="24"/>
        </w:rPr>
        <w:t>Japan</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11]</w:t>
      </w:r>
      <w:r w:rsidRPr="00322627">
        <w:rPr>
          <w:rFonts w:ascii="Book Antiqua" w:hAnsi="Book Antiqua" w:cs="Times New Roman"/>
          <w:sz w:val="24"/>
          <w:szCs w:val="24"/>
        </w:rPr>
        <w:t xml:space="preserve">. Although CAEBV has occasionally been reported in Western </w:t>
      </w:r>
      <w:proofErr w:type="gramStart"/>
      <w:r w:rsidRPr="00322627">
        <w:rPr>
          <w:rFonts w:ascii="Book Antiqua" w:hAnsi="Book Antiqua" w:cs="Times New Roman"/>
          <w:sz w:val="24"/>
          <w:szCs w:val="24"/>
        </w:rPr>
        <w:t>countries</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12,13]</w:t>
      </w:r>
      <w:r w:rsidRPr="00322627">
        <w:rPr>
          <w:rFonts w:ascii="Book Antiqua" w:hAnsi="Book Antiqua" w:cs="Times New Roman"/>
          <w:sz w:val="24"/>
          <w:szCs w:val="24"/>
        </w:rPr>
        <w:t xml:space="preserve">, the difference between CAEBV in Asia and Western countries remains elusive. It was reported that in Asia, </w:t>
      </w:r>
      <w:r w:rsidRPr="00322627">
        <w:rPr>
          <w:rFonts w:ascii="Book Antiqua" w:hAnsi="Book Antiqua" w:cs="Times New Roman"/>
          <w:sz w:val="24"/>
          <w:szCs w:val="24"/>
        </w:rPr>
        <w:lastRenderedPageBreak/>
        <w:t xml:space="preserve">EBV-infected T cell or NK cells have been found to play a major role in CAEBV, while in Western countries CAEBV primarily involves EBV-infected B </w:t>
      </w:r>
      <w:proofErr w:type="gramStart"/>
      <w:r w:rsidRPr="00322627">
        <w:rPr>
          <w:rFonts w:ascii="Book Antiqua" w:hAnsi="Book Antiqua" w:cs="Times New Roman"/>
          <w:sz w:val="24"/>
          <w:szCs w:val="24"/>
        </w:rPr>
        <w:t>cells</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11,12]</w:t>
      </w:r>
      <w:r w:rsidRPr="00322627">
        <w:rPr>
          <w:rFonts w:ascii="Book Antiqua" w:hAnsi="Book Antiqua" w:cs="Times New Roman"/>
          <w:sz w:val="24"/>
          <w:szCs w:val="24"/>
        </w:rPr>
        <w:t>.</w:t>
      </w:r>
      <w:r w:rsidRPr="00322627">
        <w:rPr>
          <w:rFonts w:ascii="Book Antiqua" w:hAnsi="Book Antiqua" w:cs="Times New Roman"/>
          <w:sz w:val="24"/>
          <w:szCs w:val="24"/>
          <w:vertAlign w:val="superscript"/>
        </w:rPr>
        <w:t xml:space="preserve"> </w:t>
      </w:r>
      <w:r w:rsidRPr="00322627">
        <w:rPr>
          <w:rFonts w:ascii="Book Antiqua" w:hAnsi="Book Antiqua" w:cs="Times New Roman"/>
          <w:sz w:val="24"/>
          <w:szCs w:val="24"/>
        </w:rPr>
        <w:t xml:space="preserve">In terms of EBV tropism in EBV-HLH, </w:t>
      </w:r>
      <w:proofErr w:type="spellStart"/>
      <w:r w:rsidRPr="00322627">
        <w:rPr>
          <w:rFonts w:ascii="Book Antiqua" w:hAnsi="Book Antiqua" w:cs="Times New Roman"/>
          <w:sz w:val="24"/>
          <w:szCs w:val="24"/>
        </w:rPr>
        <w:t>Kasahara</w:t>
      </w:r>
      <w:proofErr w:type="spellEnd"/>
      <w:r w:rsidRPr="00322627">
        <w:rPr>
          <w:rFonts w:ascii="Book Antiqua" w:hAnsi="Book Antiqua" w:cs="Times New Roman"/>
          <w:sz w:val="24"/>
          <w:szCs w:val="24"/>
        </w:rPr>
        <w:t xml:space="preserve"> and colleagues have demonstrated CD8+ T cells to play a major role in acute onset EBV-HLH following initial EBV infection, whereas in CAEBV-HLH, involvement of CD4+ T cells or NK cells were primarily found</w:t>
      </w:r>
      <w:r w:rsidR="00633576" w:rsidRPr="00322627">
        <w:rPr>
          <w:rFonts w:ascii="Book Antiqua" w:hAnsi="Book Antiqua" w:cs="Times New Roman"/>
          <w:sz w:val="24"/>
          <w:szCs w:val="24"/>
          <w:vertAlign w:val="superscript"/>
        </w:rPr>
        <w:t>[14]</w:t>
      </w:r>
      <w:r w:rsidRPr="00322627">
        <w:rPr>
          <w:rFonts w:ascii="Book Antiqua" w:hAnsi="Book Antiqua" w:cs="Times New Roman"/>
          <w:sz w:val="24"/>
          <w:szCs w:val="24"/>
        </w:rPr>
        <w:t xml:space="preserve">. The findings that the outcome of CAEBV-related HLH is poor, but the genetic abnormalities of CAEBV have not been </w:t>
      </w:r>
      <w:proofErr w:type="gramStart"/>
      <w:r w:rsidRPr="00322627">
        <w:rPr>
          <w:rFonts w:ascii="Book Antiqua" w:hAnsi="Book Antiqua" w:cs="Times New Roman"/>
          <w:sz w:val="24"/>
          <w:szCs w:val="24"/>
        </w:rPr>
        <w:t>identified</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3,14,</w:t>
      </w:r>
      <w:r w:rsidRPr="00322627">
        <w:rPr>
          <w:rFonts w:ascii="Book Antiqua" w:hAnsi="Book Antiqua" w:cs="Times New Roman"/>
          <w:sz w:val="24"/>
          <w:szCs w:val="24"/>
          <w:vertAlign w:val="superscript"/>
        </w:rPr>
        <w:t>15]</w:t>
      </w:r>
      <w:r w:rsidRPr="00322627">
        <w:rPr>
          <w:rFonts w:ascii="Book Antiqua" w:hAnsi="Book Antiqua" w:cs="Times New Roman"/>
          <w:b/>
          <w:sz w:val="24"/>
          <w:szCs w:val="24"/>
          <w:vertAlign w:val="superscript"/>
        </w:rPr>
        <w:t xml:space="preserve"> </w:t>
      </w:r>
      <w:r w:rsidRPr="00322627">
        <w:rPr>
          <w:rFonts w:ascii="Book Antiqua" w:hAnsi="Book Antiqua" w:cs="Times New Roman"/>
          <w:sz w:val="24"/>
          <w:szCs w:val="24"/>
        </w:rPr>
        <w:t xml:space="preserve">suggest the importance of the identification of major cell types in patients with EBV-HLH upon diagnosis. In addition, in some patients with CAEBV-related HLH that have chromosome abnormalities of EBV-infected cells, a very poor outcome has been </w:t>
      </w:r>
      <w:proofErr w:type="gramStart"/>
      <w:r w:rsidRPr="00322627">
        <w:rPr>
          <w:rFonts w:ascii="Book Antiqua" w:hAnsi="Book Antiqua" w:cs="Times New Roman"/>
          <w:sz w:val="24"/>
          <w:szCs w:val="24"/>
        </w:rPr>
        <w:t>reported</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16]</w:t>
      </w:r>
      <w:r w:rsidRPr="00322627">
        <w:rPr>
          <w:rFonts w:ascii="Book Antiqua" w:hAnsi="Book Antiqua" w:cs="Times New Roman"/>
          <w:sz w:val="24"/>
          <w:szCs w:val="24"/>
        </w:rPr>
        <w:t>. Thus, determination of karyotypes in the peripheral blood, bone marrow, or biopsied tissue for the prediction of the outcome of patients with EBV-HLH is also desirable. Lastly, viremia is quantitatively identified by determining the EBV genome copy numbers in peripheral blood. Genome copies are obtained per ml of serum/ plasma, or per 10</w:t>
      </w:r>
      <w:r w:rsidRPr="00322627">
        <w:rPr>
          <w:rFonts w:ascii="Book Antiqua" w:hAnsi="Book Antiqua" w:cs="Times New Roman"/>
          <w:sz w:val="24"/>
          <w:szCs w:val="24"/>
          <w:vertAlign w:val="superscript"/>
        </w:rPr>
        <w:t>6</w:t>
      </w:r>
      <w:r w:rsidRPr="00322627">
        <w:rPr>
          <w:rFonts w:ascii="Book Antiqua" w:hAnsi="Book Antiqua" w:cs="Times New Roman"/>
          <w:sz w:val="24"/>
          <w:szCs w:val="24"/>
        </w:rPr>
        <w:t xml:space="preserve"> cells (or</w:t>
      </w:r>
      <w:r w:rsidR="00633576" w:rsidRPr="00322627">
        <w:rPr>
          <w:rFonts w:ascii="Book Antiqua" w:eastAsia="宋体" w:hAnsi="Book Antiqua" w:cs="Times New Roman"/>
          <w:sz w:val="24"/>
          <w:szCs w:val="24"/>
          <w:lang w:eastAsia="zh-CN"/>
        </w:rPr>
        <w:t xml:space="preserve"> </w:t>
      </w:r>
      <w:r w:rsidR="00633576" w:rsidRPr="00322627">
        <w:rPr>
          <w:rFonts w:ascii="Book Antiqua" w:hAnsi="Book Antiqua" w:cs="Tahoma"/>
          <w:sz w:val="24"/>
          <w:szCs w:val="24"/>
          <w:lang w:eastAsia="zh-CN"/>
        </w:rPr>
        <w:t>μ</w:t>
      </w:r>
      <w:r w:rsidRPr="00322627">
        <w:rPr>
          <w:rFonts w:ascii="Book Antiqua" w:hAnsi="Book Antiqua" w:cs="Times New Roman"/>
          <w:sz w:val="24"/>
          <w:szCs w:val="24"/>
        </w:rPr>
        <w:t xml:space="preserve">g DNA); however, the former is more commonly employed. Responsiveness or refractoriness of EBV-HLH against treatment can be evaluated by determining viral genome copy </w:t>
      </w:r>
      <w:proofErr w:type="gramStart"/>
      <w:r w:rsidRPr="00322627">
        <w:rPr>
          <w:rFonts w:ascii="Book Antiqua" w:hAnsi="Book Antiqua" w:cs="Times New Roman"/>
          <w:sz w:val="24"/>
          <w:szCs w:val="24"/>
        </w:rPr>
        <w:t>numbers</w:t>
      </w:r>
      <w:r w:rsidR="00633576" w:rsidRPr="00322627">
        <w:rPr>
          <w:rFonts w:ascii="Book Antiqua" w:hAnsi="Book Antiqua" w:cs="Times New Roman"/>
          <w:sz w:val="24"/>
          <w:szCs w:val="24"/>
          <w:vertAlign w:val="superscript"/>
        </w:rPr>
        <w:t>[</w:t>
      </w:r>
      <w:proofErr w:type="gramEnd"/>
      <w:r w:rsidR="00633576" w:rsidRPr="00322627">
        <w:rPr>
          <w:rFonts w:ascii="Book Antiqua" w:hAnsi="Book Antiqua" w:cs="Times New Roman"/>
          <w:sz w:val="24"/>
          <w:szCs w:val="24"/>
          <w:vertAlign w:val="superscript"/>
        </w:rPr>
        <w:t>17,18]</w:t>
      </w:r>
      <w:r w:rsidRPr="00322627">
        <w:rPr>
          <w:rFonts w:ascii="Book Antiqua" w:hAnsi="Book Antiqua" w:cs="Times New Roman"/>
          <w:sz w:val="24"/>
          <w:szCs w:val="24"/>
        </w:rPr>
        <w:t xml:space="preserve">. Treatment of EBV-HLH has been found to be effective based on the HLH-94 and HLH-2004 type </w:t>
      </w:r>
      <w:proofErr w:type="gramStart"/>
      <w:r w:rsidRPr="00322627">
        <w:rPr>
          <w:rFonts w:ascii="Book Antiqua" w:hAnsi="Book Antiqua" w:cs="Times New Roman"/>
          <w:sz w:val="24"/>
          <w:szCs w:val="24"/>
        </w:rPr>
        <w:t>protocols</w:t>
      </w:r>
      <w:r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19,</w:t>
      </w:r>
      <w:r w:rsidRPr="00322627">
        <w:rPr>
          <w:rFonts w:ascii="Book Antiqua" w:hAnsi="Book Antiqua" w:cs="Times New Roman"/>
          <w:sz w:val="24"/>
          <w:szCs w:val="24"/>
          <w:vertAlign w:val="superscript"/>
        </w:rPr>
        <w:t>20]</w:t>
      </w:r>
      <w:r w:rsidRPr="00322627">
        <w:rPr>
          <w:rFonts w:ascii="Book Antiqua" w:hAnsi="Book Antiqua" w:cs="Times New Roman"/>
          <w:sz w:val="24"/>
          <w:szCs w:val="24"/>
        </w:rPr>
        <w:t xml:space="preserve"> and has been confirmed on a global scale</w:t>
      </w:r>
      <w:r w:rsidR="0079655D" w:rsidRPr="00322627">
        <w:rPr>
          <w:rFonts w:ascii="Book Antiqua" w:hAnsi="Book Antiqua" w:cs="Times New Roman"/>
          <w:sz w:val="24"/>
          <w:szCs w:val="24"/>
          <w:vertAlign w:val="superscript"/>
        </w:rPr>
        <w:t>[21,22]</w:t>
      </w:r>
      <w:r w:rsidRPr="00322627">
        <w:rPr>
          <w:rFonts w:ascii="Book Antiqua" w:hAnsi="Book Antiqua" w:cs="Times New Roman"/>
          <w:sz w:val="24"/>
          <w:szCs w:val="24"/>
        </w:rPr>
        <w:t>. However, this type of treatment is not required for all cases of EBV-</w:t>
      </w:r>
      <w:proofErr w:type="gramStart"/>
      <w:r w:rsidRPr="00322627">
        <w:rPr>
          <w:rFonts w:ascii="Book Antiqua" w:hAnsi="Book Antiqua" w:cs="Times New Roman"/>
          <w:sz w:val="24"/>
          <w:szCs w:val="24"/>
        </w:rPr>
        <w:t>HLH</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23,24]</w:t>
      </w:r>
      <w:r w:rsidRPr="00322627">
        <w:rPr>
          <w:rFonts w:ascii="Book Antiqua" w:hAnsi="Book Antiqua" w:cs="Times New Roman"/>
          <w:sz w:val="24"/>
          <w:szCs w:val="24"/>
        </w:rPr>
        <w:t xml:space="preserve">. In acute EBV-HLH, approximately 40% of patients may respond to prednisolone, cyclosporine, or intravenous immunoglobulin (IVIG) treatment, while 60% of patients require an etoposide-containing </w:t>
      </w:r>
      <w:proofErr w:type="gramStart"/>
      <w:r w:rsidRPr="00322627">
        <w:rPr>
          <w:rFonts w:ascii="Book Antiqua" w:hAnsi="Book Antiqua" w:cs="Times New Roman"/>
          <w:sz w:val="24"/>
          <w:szCs w:val="24"/>
        </w:rPr>
        <w:t>regimen</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24]</w:t>
      </w:r>
      <w:r w:rsidRPr="00322627">
        <w:rPr>
          <w:rFonts w:ascii="Book Antiqua" w:hAnsi="Book Antiqua" w:cs="Times New Roman"/>
          <w:sz w:val="24"/>
          <w:szCs w:val="24"/>
        </w:rPr>
        <w:t xml:space="preserve">. However, </w:t>
      </w:r>
      <w:r w:rsidRPr="00322627">
        <w:rPr>
          <w:rFonts w:ascii="Book Antiqua" w:hAnsi="Book Antiqua" w:cs="Times New Roman"/>
          <w:sz w:val="24"/>
          <w:szCs w:val="24"/>
        </w:rPr>
        <w:lastRenderedPageBreak/>
        <w:t xml:space="preserve">details of the results of etoposide therapy, such as the exact duration of treatment or the total dose of etoposide administered to the patients, are unknown. As the HLH-94 and HLH-2004 protocols were originally proposed for primary (familial) </w:t>
      </w:r>
      <w:proofErr w:type="gramStart"/>
      <w:r w:rsidRPr="00322627">
        <w:rPr>
          <w:rFonts w:ascii="Book Antiqua" w:hAnsi="Book Antiqua" w:cs="Times New Roman"/>
          <w:sz w:val="24"/>
          <w:szCs w:val="24"/>
        </w:rPr>
        <w:t>HLH</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19,20]</w:t>
      </w:r>
      <w:r w:rsidRPr="00322627">
        <w:rPr>
          <w:rFonts w:ascii="Book Antiqua" w:hAnsi="Book Antiqua" w:cs="Times New Roman"/>
          <w:sz w:val="24"/>
          <w:szCs w:val="24"/>
        </w:rPr>
        <w:t xml:space="preserve">, the most appropriate treatment for patients with secondary EBV-HLH remains unknown. </w:t>
      </w:r>
    </w:p>
    <w:p w:rsidR="006B3604" w:rsidRPr="00322627" w:rsidRDefault="006B3604" w:rsidP="00322627">
      <w:pPr>
        <w:spacing w:line="360" w:lineRule="auto"/>
        <w:rPr>
          <w:rFonts w:ascii="Book Antiqua" w:hAnsi="Book Antiqua" w:cs="Times New Roman"/>
          <w:sz w:val="24"/>
          <w:szCs w:val="24"/>
        </w:rPr>
      </w:pP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 xml:space="preserve">DIAGNOSIS OF EBV-HLH </w:t>
      </w:r>
    </w:p>
    <w:p w:rsidR="006B3604" w:rsidRPr="00322627" w:rsidRDefault="006B3604" w:rsidP="00322627">
      <w:pPr>
        <w:spacing w:line="360" w:lineRule="auto"/>
        <w:rPr>
          <w:rFonts w:ascii="Book Antiqua" w:hAnsi="Book Antiqua" w:cs="Times New Roman"/>
          <w:sz w:val="24"/>
          <w:szCs w:val="24"/>
        </w:rPr>
      </w:pPr>
      <w:r w:rsidRPr="00322627">
        <w:rPr>
          <w:rFonts w:ascii="Book Antiqua" w:hAnsi="Book Antiqua" w:cs="Times New Roman"/>
          <w:sz w:val="24"/>
          <w:szCs w:val="24"/>
        </w:rPr>
        <w:t xml:space="preserve">For diagnosis, </w:t>
      </w:r>
      <w:r w:rsidR="0079655D" w:rsidRPr="00322627">
        <w:rPr>
          <w:rFonts w:ascii="Book Antiqua" w:hAnsi="Book Antiqua" w:cs="Times New Roman"/>
          <w:sz w:val="24"/>
          <w:szCs w:val="24"/>
        </w:rPr>
        <w:t xml:space="preserve">the diagnostic criteria for </w:t>
      </w:r>
      <w:proofErr w:type="gramStart"/>
      <w:r w:rsidR="0079655D" w:rsidRPr="00322627">
        <w:rPr>
          <w:rFonts w:ascii="Book Antiqua" w:hAnsi="Book Antiqua" w:cs="Times New Roman"/>
          <w:sz w:val="24"/>
          <w:szCs w:val="24"/>
        </w:rPr>
        <w:t>HLH</w:t>
      </w:r>
      <w:r w:rsidRPr="00322627">
        <w:rPr>
          <w:rFonts w:ascii="Book Antiqua" w:hAnsi="Book Antiqua" w:cs="Times New Roman"/>
          <w:sz w:val="24"/>
          <w:szCs w:val="24"/>
          <w:vertAlign w:val="superscript"/>
        </w:rPr>
        <w:t>[</w:t>
      </w:r>
      <w:proofErr w:type="gramEnd"/>
      <w:r w:rsidRPr="00322627">
        <w:rPr>
          <w:rFonts w:ascii="Book Antiqua" w:hAnsi="Book Antiqua" w:cs="Times New Roman"/>
          <w:sz w:val="24"/>
          <w:szCs w:val="24"/>
          <w:vertAlign w:val="superscript"/>
        </w:rPr>
        <w:t xml:space="preserve">20] </w:t>
      </w:r>
      <w:r w:rsidRPr="00322627">
        <w:rPr>
          <w:rFonts w:ascii="Book Antiqua" w:hAnsi="Book Antiqua" w:cs="Times New Roman"/>
          <w:sz w:val="24"/>
          <w:szCs w:val="24"/>
        </w:rPr>
        <w:t>must be fulfilled. Furthermore, EBV involvement must be verified by a positive anti-VCA-IgM (primary infection or reactivation), viremia (&gt;</w:t>
      </w:r>
      <w:r w:rsidR="0079655D" w:rsidRPr="00322627">
        <w:rPr>
          <w:rFonts w:ascii="Book Antiqua" w:eastAsia="宋体" w:hAnsi="Book Antiqua" w:cs="Times New Roman"/>
          <w:sz w:val="24"/>
          <w:szCs w:val="24"/>
          <w:lang w:eastAsia="zh-CN"/>
        </w:rPr>
        <w:t xml:space="preserve"> </w:t>
      </w:r>
      <w:r w:rsidRPr="00322627">
        <w:rPr>
          <w:rFonts w:ascii="Book Antiqua" w:hAnsi="Book Antiqua" w:cs="Times New Roman"/>
          <w:sz w:val="24"/>
          <w:szCs w:val="24"/>
        </w:rPr>
        <w:t>10</w:t>
      </w:r>
      <w:r w:rsidRPr="00322627">
        <w:rPr>
          <w:rFonts w:ascii="Book Antiqua" w:hAnsi="Book Antiqua" w:cs="Times New Roman"/>
          <w:sz w:val="24"/>
          <w:szCs w:val="24"/>
          <w:vertAlign w:val="superscript"/>
        </w:rPr>
        <w:t>3</w:t>
      </w:r>
      <w:r w:rsidRPr="00322627">
        <w:rPr>
          <w:rFonts w:ascii="Book Antiqua" w:hAnsi="Book Antiqua" w:cs="Times New Roman"/>
          <w:sz w:val="24"/>
          <w:szCs w:val="24"/>
        </w:rPr>
        <w:t xml:space="preserve"> genome copies/m</w:t>
      </w:r>
      <w:r w:rsidR="0079655D" w:rsidRPr="00322627">
        <w:rPr>
          <w:rFonts w:ascii="Book Antiqua" w:hAnsi="Book Antiqua" w:cs="Times New Roman"/>
          <w:sz w:val="24"/>
          <w:szCs w:val="24"/>
        </w:rPr>
        <w:t xml:space="preserve">L </w:t>
      </w:r>
      <w:r w:rsidRPr="00322627">
        <w:rPr>
          <w:rFonts w:ascii="Book Antiqua" w:hAnsi="Book Antiqua" w:cs="Times New Roman"/>
          <w:sz w:val="24"/>
          <w:szCs w:val="24"/>
        </w:rPr>
        <w:t xml:space="preserve">of serum or plasma), or a positive EBER-ISH of the bone marrow clot or biopsied tissue </w:t>
      </w:r>
      <w:proofErr w:type="gramStart"/>
      <w:r w:rsidRPr="00322627">
        <w:rPr>
          <w:rFonts w:ascii="Book Antiqua" w:hAnsi="Book Antiqua" w:cs="Times New Roman"/>
          <w:sz w:val="24"/>
          <w:szCs w:val="24"/>
        </w:rPr>
        <w:t>section</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3]</w:t>
      </w:r>
      <w:r w:rsidRPr="00322627">
        <w:rPr>
          <w:rFonts w:ascii="Book Antiqua" w:hAnsi="Book Antiqua" w:cs="Times New Roman"/>
          <w:sz w:val="24"/>
          <w:szCs w:val="24"/>
        </w:rPr>
        <w:t xml:space="preserve">. </w:t>
      </w:r>
    </w:p>
    <w:p w:rsidR="006B3604" w:rsidRPr="00322627" w:rsidRDefault="006B3604" w:rsidP="00322627">
      <w:pPr>
        <w:spacing w:line="360" w:lineRule="auto"/>
        <w:rPr>
          <w:rFonts w:ascii="Book Antiqua" w:hAnsi="Book Antiqua" w:cs="Times New Roman"/>
          <w:b/>
          <w:sz w:val="24"/>
          <w:szCs w:val="24"/>
        </w:rPr>
      </w:pP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bCs/>
          <w:sz w:val="24"/>
          <w:szCs w:val="24"/>
        </w:rPr>
        <w:t>UNDERLYING DISEASES ASSOCIATED WITH EBV-HLH</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EBV-HLH is a heterogeneous disease and occurs as an acute onset disease upon initial exposure to EBV, or in association with CAEBV, peripheral T cell lymphoma and NK cell leukemia or lymphoma, or a genetic disorder. Genetic disorders associated with EBV-HLH have been identified in patients with XLP (type 1 or type 2), FHL (types 2</w:t>
      </w:r>
      <w:r w:rsidR="0079655D"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5),</w:t>
      </w:r>
      <w:r w:rsidR="0079655D" w:rsidRPr="00322627">
        <w:rPr>
          <w:rFonts w:ascii="Book Antiqua" w:hAnsi="Book Antiqua" w:cs="Times New Roman"/>
          <w:sz w:val="24"/>
          <w:szCs w:val="24"/>
        </w:rPr>
        <w:t xml:space="preserve"> or other rare genetic </w:t>
      </w:r>
      <w:proofErr w:type="gramStart"/>
      <w:r w:rsidR="0079655D" w:rsidRPr="00322627">
        <w:rPr>
          <w:rFonts w:ascii="Book Antiqua" w:hAnsi="Book Antiqua" w:cs="Times New Roman"/>
          <w:sz w:val="24"/>
          <w:szCs w:val="24"/>
        </w:rPr>
        <w:t>diseases</w:t>
      </w:r>
      <w:r w:rsidR="0079655D" w:rsidRPr="00322627">
        <w:rPr>
          <w:rFonts w:ascii="Book Antiqua" w:hAnsi="Book Antiqua" w:cs="Times New Roman"/>
          <w:b/>
          <w:sz w:val="24"/>
          <w:szCs w:val="24"/>
          <w:vertAlign w:val="superscript"/>
        </w:rPr>
        <w:t>[</w:t>
      </w:r>
      <w:proofErr w:type="gramEnd"/>
      <w:r w:rsidR="0079655D" w:rsidRPr="00322627">
        <w:rPr>
          <w:rFonts w:ascii="Book Antiqua" w:hAnsi="Book Antiqua" w:cs="Times New Roman"/>
          <w:sz w:val="24"/>
          <w:szCs w:val="24"/>
          <w:vertAlign w:val="superscript"/>
        </w:rPr>
        <w:t>2,4</w:t>
      </w:r>
      <w:r w:rsidR="0079655D" w:rsidRPr="00322627">
        <w:rPr>
          <w:rFonts w:ascii="Book Antiqua" w:eastAsia="宋体" w:hAnsi="Book Antiqua" w:cs="Times New Roman"/>
          <w:sz w:val="24"/>
          <w:szCs w:val="24"/>
          <w:vertAlign w:val="superscript"/>
          <w:lang w:eastAsia="zh-CN"/>
        </w:rPr>
        <w:t>-</w:t>
      </w:r>
      <w:r w:rsidR="0079655D" w:rsidRPr="00322627">
        <w:rPr>
          <w:rFonts w:ascii="Book Antiqua" w:hAnsi="Book Antiqua" w:cs="Times New Roman"/>
          <w:sz w:val="24"/>
          <w:szCs w:val="24"/>
          <w:vertAlign w:val="superscript"/>
        </w:rPr>
        <w:t>7,19]</w:t>
      </w:r>
      <w:r w:rsidRPr="00322627">
        <w:rPr>
          <w:rFonts w:ascii="Book Antiqua" w:hAnsi="Book Antiqua" w:cs="Times New Roman"/>
          <w:sz w:val="24"/>
          <w:szCs w:val="24"/>
        </w:rPr>
        <w:t xml:space="preserve"> (Figure 1)</w:t>
      </w:r>
      <w:r w:rsidR="0079655D"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 xml:space="preserve"> Diagnostic criteria for CAEBV have been previously </w:t>
      </w:r>
      <w:proofErr w:type="gramStart"/>
      <w:r w:rsidRPr="00322627">
        <w:rPr>
          <w:rFonts w:ascii="Book Antiqua" w:hAnsi="Book Antiqua" w:cs="Times New Roman"/>
          <w:sz w:val="24"/>
          <w:szCs w:val="24"/>
        </w:rPr>
        <w:t>proposed</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25]</w:t>
      </w:r>
      <w:r w:rsidRPr="00322627">
        <w:rPr>
          <w:rFonts w:ascii="Book Antiqua" w:hAnsi="Book Antiqua" w:cs="Times New Roman"/>
          <w:sz w:val="24"/>
          <w:szCs w:val="24"/>
        </w:rPr>
        <w:t xml:space="preserve">. Acute onset EBV-HLH has been defined as the development of HLH following initial exposure to EBV, while CAEBV-related HLH has been defined as the </w:t>
      </w:r>
      <w:r w:rsidR="0079655D" w:rsidRPr="00322627">
        <w:rPr>
          <w:rFonts w:ascii="Book Antiqua" w:hAnsi="Book Antiqua" w:cs="Times New Roman"/>
          <w:sz w:val="24"/>
          <w:szCs w:val="24"/>
        </w:rPr>
        <w:t>development of HLH during CAEBV</w:t>
      </w:r>
      <w:r w:rsidRPr="00322627">
        <w:rPr>
          <w:rFonts w:ascii="Book Antiqua" w:hAnsi="Book Antiqua" w:cs="Times New Roman"/>
          <w:sz w:val="24"/>
          <w:szCs w:val="24"/>
        </w:rPr>
        <w:t xml:space="preserve"> (Figure 2</w:t>
      </w:r>
      <w:r w:rsidR="0079655D" w:rsidRPr="00322627">
        <w:rPr>
          <w:rFonts w:ascii="Book Antiqua" w:hAnsi="Book Antiqua" w:cs="Times New Roman"/>
          <w:sz w:val="24"/>
          <w:szCs w:val="24"/>
        </w:rPr>
        <w:t>)</w:t>
      </w:r>
      <w:r w:rsidR="0079655D" w:rsidRPr="00322627">
        <w:rPr>
          <w:rFonts w:ascii="Book Antiqua" w:eastAsia="宋体" w:hAnsi="Book Antiqua" w:cs="Times New Roman"/>
          <w:sz w:val="24"/>
          <w:szCs w:val="24"/>
          <w:lang w:eastAsia="zh-CN"/>
        </w:rPr>
        <w:t>.</w:t>
      </w:r>
    </w:p>
    <w:p w:rsidR="006B3604" w:rsidRPr="00322627" w:rsidRDefault="006B3604" w:rsidP="00322627">
      <w:pPr>
        <w:spacing w:line="360" w:lineRule="auto"/>
        <w:rPr>
          <w:rFonts w:ascii="Book Antiqua" w:hAnsi="Book Antiqua" w:cs="Times New Roman"/>
          <w:b/>
          <w:sz w:val="24"/>
          <w:szCs w:val="24"/>
        </w:rPr>
      </w:pP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lastRenderedPageBreak/>
        <w:t>TREATMENT RESPONSE CRITERIA IN EBV-HLH</w:t>
      </w:r>
    </w:p>
    <w:p w:rsidR="006B3604" w:rsidRPr="00322627" w:rsidRDefault="006B3604" w:rsidP="00322627">
      <w:pPr>
        <w:spacing w:line="360" w:lineRule="auto"/>
        <w:rPr>
          <w:rFonts w:ascii="Book Antiqua" w:hAnsi="Book Antiqua" w:cs="Times New Roman"/>
          <w:sz w:val="24"/>
          <w:szCs w:val="24"/>
        </w:rPr>
      </w:pPr>
      <w:r w:rsidRPr="00322627">
        <w:rPr>
          <w:rFonts w:ascii="Book Antiqua" w:hAnsi="Book Antiqua" w:cs="Times New Roman"/>
          <w:sz w:val="24"/>
          <w:szCs w:val="24"/>
        </w:rPr>
        <w:t>Response to treatment has been defined as follows: initial good response (GR) has been defined as a complete resolution of fever and reduced serum ferritin values (&lt;</w:t>
      </w:r>
      <w:r w:rsidR="0079655D" w:rsidRPr="00322627">
        <w:rPr>
          <w:rFonts w:ascii="Book Antiqua" w:eastAsia="宋体" w:hAnsi="Book Antiqua" w:cs="Times New Roman"/>
          <w:sz w:val="24"/>
          <w:szCs w:val="24"/>
          <w:lang w:eastAsia="zh-CN"/>
        </w:rPr>
        <w:t xml:space="preserve"> </w:t>
      </w:r>
      <w:r w:rsidRPr="00322627">
        <w:rPr>
          <w:rFonts w:ascii="Book Antiqua" w:hAnsi="Book Antiqua" w:cs="Times New Roman"/>
          <w:sz w:val="24"/>
          <w:szCs w:val="24"/>
        </w:rPr>
        <w:t>500 ng/mL); complete response (CR) has been defined as a complete resolution of fever, serum ferritin levels, and EBV genome copies in peripheral blood; and poor response (PR) has been defined as having no reduction of fever and continued high serum ferritin levels (&gt;</w:t>
      </w:r>
      <w:r w:rsidR="0079655D" w:rsidRPr="00322627">
        <w:rPr>
          <w:rFonts w:ascii="Book Antiqua" w:eastAsia="宋体" w:hAnsi="Book Antiqua" w:cs="Times New Roman"/>
          <w:sz w:val="24"/>
          <w:szCs w:val="24"/>
          <w:lang w:eastAsia="zh-CN"/>
        </w:rPr>
        <w:t xml:space="preserve"> </w:t>
      </w:r>
      <w:r w:rsidRPr="00322627">
        <w:rPr>
          <w:rFonts w:ascii="Book Antiqua" w:hAnsi="Book Antiqua" w:cs="Times New Roman"/>
          <w:sz w:val="24"/>
          <w:szCs w:val="24"/>
        </w:rPr>
        <w:t xml:space="preserve">500 ng/mL). Relapse has been defined as the recurrence of fever associated with both increased serum ferritin levels and EBV genome copies in peripheral blood. Refractory disease has been defined as the presence of active disease following completion of </w:t>
      </w:r>
      <w:proofErr w:type="gramStart"/>
      <w:r w:rsidRPr="00322627">
        <w:rPr>
          <w:rFonts w:ascii="Book Antiqua" w:hAnsi="Book Antiqua" w:cs="Times New Roman"/>
          <w:sz w:val="24"/>
          <w:szCs w:val="24"/>
        </w:rPr>
        <w:t>treatment</w:t>
      </w:r>
      <w:r w:rsidR="0079655D" w:rsidRPr="00322627">
        <w:rPr>
          <w:rFonts w:ascii="Book Antiqua" w:hAnsi="Book Antiqua"/>
          <w:sz w:val="24"/>
          <w:szCs w:val="24"/>
          <w:vertAlign w:val="superscript"/>
        </w:rPr>
        <w:t>[</w:t>
      </w:r>
      <w:proofErr w:type="gramEnd"/>
      <w:r w:rsidR="0079655D" w:rsidRPr="00322627">
        <w:rPr>
          <w:rFonts w:ascii="Book Antiqua" w:hAnsi="Book Antiqua"/>
          <w:sz w:val="24"/>
          <w:szCs w:val="24"/>
          <w:vertAlign w:val="superscript"/>
        </w:rPr>
        <w:t>26]</w:t>
      </w:r>
      <w:r w:rsidRPr="00322627">
        <w:rPr>
          <w:rFonts w:ascii="Book Antiqua" w:hAnsi="Book Antiqua" w:cs="Times New Roman"/>
          <w:sz w:val="24"/>
          <w:szCs w:val="24"/>
        </w:rPr>
        <w:t>.</w:t>
      </w:r>
      <w:r w:rsidRPr="00322627">
        <w:rPr>
          <w:rFonts w:ascii="Book Antiqua" w:hAnsi="Book Antiqua"/>
          <w:b/>
          <w:sz w:val="24"/>
          <w:szCs w:val="24"/>
          <w:vertAlign w:val="superscript"/>
        </w:rPr>
        <w:t xml:space="preserve"> </w:t>
      </w:r>
    </w:p>
    <w:p w:rsidR="006B3604" w:rsidRPr="00322627" w:rsidRDefault="006B3604" w:rsidP="00322627">
      <w:pPr>
        <w:spacing w:line="360" w:lineRule="auto"/>
        <w:rPr>
          <w:rFonts w:ascii="Book Antiqua" w:hAnsi="Book Antiqua" w:cs="Times New Roman"/>
          <w:b/>
          <w:sz w:val="24"/>
          <w:szCs w:val="24"/>
        </w:rPr>
      </w:pP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PROPOSED PILOT PROTOCOL</w:t>
      </w:r>
    </w:p>
    <w:p w:rsidR="006B3604" w:rsidRPr="00322627" w:rsidRDefault="006B3604" w:rsidP="00322627">
      <w:pPr>
        <w:pStyle w:val="Default"/>
        <w:spacing w:line="360" w:lineRule="auto"/>
        <w:jc w:val="both"/>
        <w:rPr>
          <w:rFonts w:ascii="Book Antiqua" w:eastAsia="宋体" w:hAnsi="Book Antiqua"/>
          <w:color w:val="auto"/>
          <w:lang w:eastAsia="zh-CN"/>
        </w:rPr>
      </w:pPr>
      <w:r w:rsidRPr="00322627">
        <w:rPr>
          <w:rFonts w:ascii="Book Antiqua" w:hAnsi="Book Antiqua"/>
          <w:color w:val="auto"/>
        </w:rPr>
        <w:t xml:space="preserve">Diagnosis of EBV-HLH is achieved by performing flow cytometry of peripheral blood, quantification of EBV genome copy numbers, and serological detection of anti-EBV-VCA-IgM. The proposed pilot protocol is depicted in Figure 3. Treatment consists of a window period of 2 </w:t>
      </w:r>
      <w:proofErr w:type="spellStart"/>
      <w:r w:rsidRPr="00322627">
        <w:rPr>
          <w:rFonts w:ascii="Book Antiqua" w:hAnsi="Book Antiqua"/>
          <w:color w:val="auto"/>
        </w:rPr>
        <w:t>w</w:t>
      </w:r>
      <w:r w:rsidR="00F91558" w:rsidRPr="00322627">
        <w:rPr>
          <w:rFonts w:ascii="Book Antiqua" w:hAnsi="Book Antiqua"/>
          <w:color w:val="auto"/>
        </w:rPr>
        <w:t>k</w:t>
      </w:r>
      <w:proofErr w:type="spellEnd"/>
      <w:r w:rsidRPr="00322627">
        <w:rPr>
          <w:rFonts w:ascii="Book Antiqua" w:hAnsi="Book Antiqua"/>
          <w:color w:val="auto"/>
        </w:rPr>
        <w:t xml:space="preserve"> treated with prednisolone (PSL, A1; 2</w:t>
      </w:r>
      <w:r w:rsidR="0079655D" w:rsidRPr="00322627">
        <w:rPr>
          <w:rFonts w:ascii="Book Antiqua" w:eastAsia="宋体" w:hAnsi="Book Antiqua"/>
          <w:color w:val="auto"/>
          <w:lang w:eastAsia="zh-CN"/>
        </w:rPr>
        <w:t xml:space="preserve"> </w:t>
      </w:r>
      <w:r w:rsidRPr="00322627">
        <w:rPr>
          <w:rFonts w:ascii="Book Antiqua" w:hAnsi="Book Antiqua"/>
          <w:color w:val="auto"/>
        </w:rPr>
        <w:t>mg/k</w:t>
      </w:r>
      <w:r w:rsidR="0079655D" w:rsidRPr="00322627">
        <w:rPr>
          <w:rFonts w:ascii="Book Antiqua" w:hAnsi="Book Antiqua"/>
          <w:color w:val="auto"/>
        </w:rPr>
        <w:t>g</w:t>
      </w:r>
      <w:r w:rsidR="0079655D" w:rsidRPr="00322627">
        <w:rPr>
          <w:rFonts w:ascii="Book Antiqua" w:eastAsia="宋体" w:hAnsi="Book Antiqua"/>
          <w:color w:val="auto"/>
          <w:lang w:eastAsia="zh-CN"/>
        </w:rPr>
        <w:t xml:space="preserve"> per </w:t>
      </w:r>
      <w:r w:rsidRPr="00322627">
        <w:rPr>
          <w:rFonts w:ascii="Book Antiqua" w:hAnsi="Book Antiqua"/>
          <w:color w:val="auto"/>
        </w:rPr>
        <w:t xml:space="preserve">day). If a good response (GR) is attained, PSL with tapering (A2) is further given. At the end of 3 </w:t>
      </w:r>
      <w:proofErr w:type="spellStart"/>
      <w:r w:rsidRPr="00322627">
        <w:rPr>
          <w:rFonts w:ascii="Book Antiqua" w:hAnsi="Book Antiqua"/>
          <w:color w:val="auto"/>
        </w:rPr>
        <w:t>w</w:t>
      </w:r>
      <w:r w:rsidR="0079655D" w:rsidRPr="00322627">
        <w:rPr>
          <w:rFonts w:ascii="Book Antiqua" w:eastAsia="宋体" w:hAnsi="Book Antiqua"/>
          <w:color w:val="auto"/>
          <w:lang w:eastAsia="zh-CN"/>
        </w:rPr>
        <w:t>k</w:t>
      </w:r>
      <w:proofErr w:type="spellEnd"/>
      <w:r w:rsidRPr="00322627">
        <w:rPr>
          <w:rFonts w:ascii="Book Antiqua" w:hAnsi="Book Antiqua"/>
          <w:color w:val="auto"/>
        </w:rPr>
        <w:t xml:space="preserve"> of A2 arm treatment, no more treatment is given for patients who attained a complete response (CR). Patients with a PR/NR to A1 arm go to B regimen, which consists of weekly etoposide (100</w:t>
      </w:r>
      <w:r w:rsidR="0079655D" w:rsidRPr="00322627">
        <w:rPr>
          <w:rFonts w:ascii="Book Antiqua" w:eastAsia="宋体" w:hAnsi="Book Antiqua"/>
          <w:color w:val="auto"/>
          <w:lang w:eastAsia="zh-CN"/>
        </w:rPr>
        <w:t xml:space="preserve"> </w:t>
      </w:r>
      <w:r w:rsidRPr="00322627">
        <w:rPr>
          <w:rFonts w:ascii="Book Antiqua" w:hAnsi="Book Antiqua"/>
          <w:color w:val="auto"/>
        </w:rPr>
        <w:t>mg/m</w:t>
      </w:r>
      <w:r w:rsidRPr="00322627">
        <w:rPr>
          <w:rFonts w:ascii="Book Antiqua" w:hAnsi="Book Antiqua"/>
          <w:color w:val="auto"/>
          <w:vertAlign w:val="superscript"/>
        </w:rPr>
        <w:t>2</w:t>
      </w:r>
      <w:r w:rsidRPr="00322627">
        <w:rPr>
          <w:rFonts w:ascii="Book Antiqua" w:hAnsi="Book Antiqua"/>
          <w:color w:val="auto"/>
        </w:rPr>
        <w:t>), PSL (2</w:t>
      </w:r>
      <w:r w:rsidR="0079655D" w:rsidRPr="00322627">
        <w:rPr>
          <w:rFonts w:ascii="Book Antiqua" w:eastAsia="宋体" w:hAnsi="Book Antiqua"/>
          <w:color w:val="auto"/>
          <w:lang w:eastAsia="zh-CN"/>
        </w:rPr>
        <w:t xml:space="preserve"> </w:t>
      </w:r>
      <w:r w:rsidRPr="00322627">
        <w:rPr>
          <w:rFonts w:ascii="Book Antiqua" w:hAnsi="Book Antiqua"/>
          <w:color w:val="auto"/>
        </w:rPr>
        <w:t>mg/kg) and cyclosporine A (CSA; trough levels 80-150)</w:t>
      </w:r>
      <w:r w:rsidR="0079655D" w:rsidRPr="00322627">
        <w:rPr>
          <w:rFonts w:ascii="Book Antiqua" w:hAnsi="Book Antiqua"/>
          <w:color w:val="auto"/>
          <w:vertAlign w:val="superscript"/>
        </w:rPr>
        <w:t>[27]</w:t>
      </w:r>
      <w:r w:rsidRPr="00322627">
        <w:rPr>
          <w:rFonts w:ascii="Book Antiqua" w:hAnsi="Book Antiqua"/>
          <w:color w:val="auto"/>
        </w:rPr>
        <w:t>.</w:t>
      </w:r>
      <w:r w:rsidRPr="00322627">
        <w:rPr>
          <w:rFonts w:ascii="Book Antiqua" w:hAnsi="Book Antiqua"/>
          <w:b/>
          <w:color w:val="auto"/>
          <w:vertAlign w:val="superscript"/>
        </w:rPr>
        <w:t xml:space="preserve"> </w:t>
      </w:r>
      <w:r w:rsidRPr="00322627">
        <w:rPr>
          <w:rFonts w:ascii="Book Antiqua" w:hAnsi="Book Antiqua"/>
          <w:color w:val="auto"/>
        </w:rPr>
        <w:t>If EBV resides in B cells, 3 doses of rituximab (380</w:t>
      </w:r>
      <w:r w:rsidR="0079655D" w:rsidRPr="00322627">
        <w:rPr>
          <w:rFonts w:ascii="Book Antiqua" w:eastAsia="宋体" w:hAnsi="Book Antiqua"/>
          <w:color w:val="auto"/>
          <w:lang w:eastAsia="zh-CN"/>
        </w:rPr>
        <w:t xml:space="preserve"> </w:t>
      </w:r>
      <w:r w:rsidRPr="00322627">
        <w:rPr>
          <w:rFonts w:ascii="Book Antiqua" w:hAnsi="Book Antiqua"/>
          <w:color w:val="auto"/>
        </w:rPr>
        <w:t>mg/m</w:t>
      </w:r>
      <w:r w:rsidRPr="00322627">
        <w:rPr>
          <w:rFonts w:ascii="Book Antiqua" w:hAnsi="Book Antiqua"/>
          <w:color w:val="auto"/>
          <w:vertAlign w:val="superscript"/>
        </w:rPr>
        <w:t>2</w:t>
      </w:r>
      <w:r w:rsidR="0079655D" w:rsidRPr="00322627">
        <w:rPr>
          <w:rFonts w:ascii="Book Antiqua" w:eastAsia="宋体" w:hAnsi="Book Antiqua"/>
          <w:color w:val="auto"/>
          <w:lang w:eastAsia="zh-CN"/>
        </w:rPr>
        <w:t xml:space="preserve"> per </w:t>
      </w:r>
      <w:r w:rsidRPr="00322627">
        <w:rPr>
          <w:rFonts w:ascii="Book Antiqua" w:hAnsi="Book Antiqua"/>
          <w:color w:val="auto"/>
        </w:rPr>
        <w:t xml:space="preserve">dose) could be added in B </w:t>
      </w:r>
      <w:proofErr w:type="gramStart"/>
      <w:r w:rsidRPr="00322627">
        <w:rPr>
          <w:rFonts w:ascii="Book Antiqua" w:hAnsi="Book Antiqua"/>
          <w:color w:val="auto"/>
        </w:rPr>
        <w:t>regimen</w:t>
      </w:r>
      <w:r w:rsidR="0079655D" w:rsidRPr="00322627">
        <w:rPr>
          <w:rFonts w:ascii="Book Antiqua" w:hAnsi="Book Antiqua"/>
          <w:color w:val="auto"/>
          <w:vertAlign w:val="superscript"/>
        </w:rPr>
        <w:t>[</w:t>
      </w:r>
      <w:proofErr w:type="gramEnd"/>
      <w:r w:rsidR="0079655D" w:rsidRPr="00322627">
        <w:rPr>
          <w:rFonts w:ascii="Book Antiqua" w:hAnsi="Book Antiqua"/>
          <w:color w:val="auto"/>
          <w:vertAlign w:val="superscript"/>
        </w:rPr>
        <w:t>28</w:t>
      </w:r>
      <w:r w:rsidR="0079655D" w:rsidRPr="00322627">
        <w:rPr>
          <w:rFonts w:ascii="Book Antiqua" w:eastAsia="宋体" w:hAnsi="Book Antiqua"/>
          <w:color w:val="auto"/>
          <w:vertAlign w:val="superscript"/>
          <w:lang w:eastAsia="zh-CN"/>
        </w:rPr>
        <w:t>-</w:t>
      </w:r>
      <w:r w:rsidR="0079655D" w:rsidRPr="00322627">
        <w:rPr>
          <w:rFonts w:ascii="Book Antiqua" w:hAnsi="Book Antiqua"/>
          <w:color w:val="auto"/>
          <w:vertAlign w:val="superscript"/>
        </w:rPr>
        <w:t>30]</w:t>
      </w:r>
      <w:r w:rsidRPr="00322627">
        <w:rPr>
          <w:rFonts w:ascii="Book Antiqua" w:hAnsi="Book Antiqua"/>
          <w:color w:val="auto"/>
        </w:rPr>
        <w:t xml:space="preserve">. Patients not attaining a CR at the end of B arm treatment go further to C regimen, which consists of once every 2 </w:t>
      </w:r>
      <w:proofErr w:type="spellStart"/>
      <w:r w:rsidR="0079655D" w:rsidRPr="00322627">
        <w:rPr>
          <w:rFonts w:ascii="Book Antiqua" w:eastAsia="宋体" w:hAnsi="Book Antiqua"/>
          <w:color w:val="auto"/>
          <w:lang w:eastAsia="zh-CN"/>
        </w:rPr>
        <w:t>wk</w:t>
      </w:r>
      <w:proofErr w:type="spellEnd"/>
      <w:r w:rsidR="0079655D" w:rsidRPr="00322627">
        <w:rPr>
          <w:rFonts w:ascii="Book Antiqua" w:hAnsi="Book Antiqua"/>
          <w:color w:val="auto"/>
        </w:rPr>
        <w:t xml:space="preserve"> </w:t>
      </w:r>
      <w:r w:rsidRPr="00322627">
        <w:rPr>
          <w:rFonts w:ascii="Book Antiqua" w:hAnsi="Book Antiqua"/>
          <w:color w:val="auto"/>
        </w:rPr>
        <w:t xml:space="preserve">of </w:t>
      </w:r>
      <w:r w:rsidRPr="00322627">
        <w:rPr>
          <w:rFonts w:ascii="Book Antiqua" w:hAnsi="Book Antiqua"/>
          <w:color w:val="auto"/>
        </w:rPr>
        <w:lastRenderedPageBreak/>
        <w:t>etoposide (100</w:t>
      </w:r>
      <w:r w:rsidR="0079655D" w:rsidRPr="00322627">
        <w:rPr>
          <w:rFonts w:ascii="Book Antiqua" w:eastAsia="宋体" w:hAnsi="Book Antiqua"/>
          <w:color w:val="auto"/>
          <w:lang w:eastAsia="zh-CN"/>
        </w:rPr>
        <w:t xml:space="preserve"> </w:t>
      </w:r>
      <w:r w:rsidRPr="00322627">
        <w:rPr>
          <w:rFonts w:ascii="Book Antiqua" w:hAnsi="Book Antiqua"/>
          <w:color w:val="auto"/>
        </w:rPr>
        <w:t>mg/m</w:t>
      </w:r>
      <w:r w:rsidRPr="00322627">
        <w:rPr>
          <w:rFonts w:ascii="Book Antiqua" w:hAnsi="Book Antiqua"/>
          <w:color w:val="auto"/>
          <w:vertAlign w:val="superscript"/>
        </w:rPr>
        <w:t>2</w:t>
      </w:r>
      <w:r w:rsidRPr="00322627">
        <w:rPr>
          <w:rFonts w:ascii="Book Antiqua" w:hAnsi="Book Antiqua"/>
          <w:color w:val="auto"/>
        </w:rPr>
        <w:t>), PSL (2</w:t>
      </w:r>
      <w:r w:rsidR="0079655D" w:rsidRPr="00322627">
        <w:rPr>
          <w:rFonts w:ascii="Book Antiqua" w:eastAsia="宋体" w:hAnsi="Book Antiqua"/>
          <w:color w:val="auto"/>
          <w:lang w:eastAsia="zh-CN"/>
        </w:rPr>
        <w:t xml:space="preserve"> </w:t>
      </w:r>
      <w:r w:rsidRPr="00322627">
        <w:rPr>
          <w:rFonts w:ascii="Book Antiqua" w:hAnsi="Book Antiqua"/>
          <w:color w:val="auto"/>
        </w:rPr>
        <w:t xml:space="preserve">mg/kg) and cyclosporine A (CSA; trough levels 80-150). If the patient attains a CR at the end of 24 </w:t>
      </w:r>
      <w:proofErr w:type="spellStart"/>
      <w:r w:rsidRPr="00322627">
        <w:rPr>
          <w:rFonts w:ascii="Book Antiqua" w:hAnsi="Book Antiqua"/>
          <w:color w:val="auto"/>
        </w:rPr>
        <w:t>w</w:t>
      </w:r>
      <w:r w:rsidR="0079655D" w:rsidRPr="00322627">
        <w:rPr>
          <w:rFonts w:ascii="Book Antiqua" w:eastAsia="宋体" w:hAnsi="Book Antiqua"/>
          <w:color w:val="auto"/>
          <w:lang w:eastAsia="zh-CN"/>
        </w:rPr>
        <w:t>k</w:t>
      </w:r>
      <w:proofErr w:type="spellEnd"/>
      <w:r w:rsidRPr="00322627">
        <w:rPr>
          <w:rFonts w:ascii="Book Antiqua" w:hAnsi="Book Antiqua"/>
          <w:color w:val="auto"/>
        </w:rPr>
        <w:t xml:space="preserve"> from onset of treatment becomes off treatment and a total cumulat</w:t>
      </w:r>
      <w:r w:rsidR="0079655D" w:rsidRPr="00322627">
        <w:rPr>
          <w:rFonts w:ascii="Book Antiqua" w:hAnsi="Book Antiqua"/>
          <w:color w:val="auto"/>
        </w:rPr>
        <w:t>ive dose of etoposide will be 2</w:t>
      </w:r>
      <w:r w:rsidRPr="00322627">
        <w:rPr>
          <w:rFonts w:ascii="Book Antiqua" w:hAnsi="Book Antiqua"/>
          <w:color w:val="auto"/>
        </w:rPr>
        <w:t>200</w:t>
      </w:r>
      <w:r w:rsidR="0079655D" w:rsidRPr="00322627">
        <w:rPr>
          <w:rFonts w:ascii="Book Antiqua" w:eastAsia="宋体" w:hAnsi="Book Antiqua"/>
          <w:color w:val="auto"/>
          <w:lang w:eastAsia="zh-CN"/>
        </w:rPr>
        <w:t xml:space="preserve"> </w:t>
      </w:r>
      <w:r w:rsidRPr="00322627">
        <w:rPr>
          <w:rFonts w:ascii="Book Antiqua" w:hAnsi="Book Antiqua"/>
          <w:color w:val="auto"/>
        </w:rPr>
        <w:t>mg/m</w:t>
      </w:r>
      <w:r w:rsidRPr="00322627">
        <w:rPr>
          <w:rFonts w:ascii="Book Antiqua" w:hAnsi="Book Antiqua"/>
          <w:color w:val="auto"/>
          <w:vertAlign w:val="superscript"/>
        </w:rPr>
        <w:t>2</w:t>
      </w:r>
      <w:r w:rsidRPr="00322627">
        <w:rPr>
          <w:rFonts w:ascii="Book Antiqua" w:hAnsi="Book Antiqua"/>
          <w:color w:val="auto"/>
        </w:rPr>
        <w:t xml:space="preserve">. Patients remain at NR/PR at the end of 24 </w:t>
      </w:r>
      <w:proofErr w:type="spellStart"/>
      <w:r w:rsidR="0079655D" w:rsidRPr="00322627">
        <w:rPr>
          <w:rFonts w:ascii="Book Antiqua" w:eastAsia="宋体" w:hAnsi="Book Antiqua"/>
          <w:color w:val="auto"/>
          <w:lang w:eastAsia="zh-CN"/>
        </w:rPr>
        <w:t>wk</w:t>
      </w:r>
      <w:proofErr w:type="spellEnd"/>
      <w:r w:rsidRPr="00322627">
        <w:rPr>
          <w:rFonts w:ascii="Book Antiqua" w:hAnsi="Book Antiqua"/>
          <w:color w:val="auto"/>
        </w:rPr>
        <w:t xml:space="preserve"> of treatment go to a salvage therapy or to HSCT. During the initial 8 </w:t>
      </w:r>
      <w:proofErr w:type="spellStart"/>
      <w:r w:rsidRPr="00322627">
        <w:rPr>
          <w:rFonts w:ascii="Book Antiqua" w:hAnsi="Book Antiqua"/>
          <w:color w:val="auto"/>
        </w:rPr>
        <w:t>w</w:t>
      </w:r>
      <w:r w:rsidR="00F91558" w:rsidRPr="00322627">
        <w:rPr>
          <w:rFonts w:ascii="Book Antiqua" w:hAnsi="Book Antiqua"/>
          <w:color w:val="auto"/>
        </w:rPr>
        <w:t>k</w:t>
      </w:r>
      <w:proofErr w:type="spellEnd"/>
      <w:r w:rsidRPr="00322627">
        <w:rPr>
          <w:rFonts w:ascii="Book Antiqua" w:hAnsi="Book Antiqua"/>
          <w:color w:val="auto"/>
        </w:rPr>
        <w:t xml:space="preserve"> of treatment, EBV-HLH should be characterized as either acute onset EBV-HLH, CAEBV-related HLH, XLP-related HLH, or FHL-related HLH. Patients demonstrating progressive disease in association with XLP, FHL, or CAEBV should be considered for HSCT as early as possible. Ideally, quantification of the EBV genome copy number should be performed at the onset of treatment, following 4, 8, 24, 28, 72, and 96 </w:t>
      </w:r>
      <w:proofErr w:type="spellStart"/>
      <w:r w:rsidR="0079655D" w:rsidRPr="00322627">
        <w:rPr>
          <w:rFonts w:ascii="Book Antiqua" w:eastAsia="宋体" w:hAnsi="Book Antiqua"/>
          <w:color w:val="auto"/>
          <w:lang w:eastAsia="zh-CN"/>
        </w:rPr>
        <w:t>wk</w:t>
      </w:r>
      <w:proofErr w:type="spellEnd"/>
      <w:r w:rsidRPr="00322627">
        <w:rPr>
          <w:rFonts w:ascii="Book Antiqua" w:hAnsi="Book Antiqua"/>
          <w:color w:val="auto"/>
        </w:rPr>
        <w:t xml:space="preserve"> of treatment, and up to 2 years post-treatment, as indicated in the protocol.</w:t>
      </w:r>
    </w:p>
    <w:p w:rsidR="0079655D" w:rsidRPr="00322627" w:rsidRDefault="0079655D" w:rsidP="00322627">
      <w:pPr>
        <w:pStyle w:val="Default"/>
        <w:spacing w:line="360" w:lineRule="auto"/>
        <w:jc w:val="both"/>
        <w:rPr>
          <w:rFonts w:ascii="Book Antiqua" w:eastAsia="宋体" w:hAnsi="Book Antiqua"/>
          <w:color w:val="auto"/>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Primary aims of the pilot study</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The pilot study treatment protocol will explore the followin</w:t>
      </w:r>
      <w:r w:rsidR="0079655D" w:rsidRPr="00322627">
        <w:rPr>
          <w:rFonts w:ascii="Book Antiqua" w:hAnsi="Book Antiqua" w:cs="Times New Roman"/>
          <w:sz w:val="24"/>
          <w:szCs w:val="24"/>
        </w:rPr>
        <w:t>g questions concerning EBV-HLH:</w:t>
      </w:r>
      <w:r w:rsidR="0079655D" w:rsidRPr="00322627">
        <w:rPr>
          <w:rFonts w:ascii="Book Antiqua" w:eastAsia="宋体" w:hAnsi="Book Antiqua" w:cs="Times New Roman"/>
          <w:sz w:val="24"/>
          <w:szCs w:val="24"/>
          <w:lang w:eastAsia="zh-CN"/>
        </w:rPr>
        <w:t xml:space="preserve"> (1) </w:t>
      </w:r>
      <w:r w:rsidRPr="00322627">
        <w:rPr>
          <w:rFonts w:ascii="Book Antiqua" w:hAnsi="Book Antiqua" w:cs="Times New Roman"/>
          <w:sz w:val="24"/>
          <w:szCs w:val="24"/>
        </w:rPr>
        <w:t>What are the major cell types at the onset of EBV-HLH: B cells, CD4</w:t>
      </w:r>
      <w:r w:rsidRPr="00322627">
        <w:rPr>
          <w:rFonts w:ascii="Book Antiqua" w:hAnsi="Book Antiqua" w:cs="Times New Roman"/>
          <w:sz w:val="24"/>
          <w:szCs w:val="24"/>
          <w:vertAlign w:val="superscript"/>
        </w:rPr>
        <w:t>+</w:t>
      </w:r>
      <w:r w:rsidRPr="00322627">
        <w:rPr>
          <w:rFonts w:ascii="Book Antiqua" w:hAnsi="Book Antiqua" w:cs="Times New Roman"/>
          <w:sz w:val="24"/>
          <w:szCs w:val="24"/>
        </w:rPr>
        <w:t>T cells, CD8</w:t>
      </w:r>
      <w:r w:rsidRPr="00322627">
        <w:rPr>
          <w:rFonts w:ascii="Book Antiqua" w:hAnsi="Book Antiqua" w:cs="Times New Roman"/>
          <w:sz w:val="24"/>
          <w:szCs w:val="24"/>
          <w:vertAlign w:val="superscript"/>
        </w:rPr>
        <w:t>+</w:t>
      </w:r>
      <w:r w:rsidR="0079655D" w:rsidRPr="00322627">
        <w:rPr>
          <w:rFonts w:ascii="Book Antiqua" w:hAnsi="Book Antiqua" w:cs="Times New Roman"/>
          <w:sz w:val="24"/>
          <w:szCs w:val="24"/>
        </w:rPr>
        <w:t>T cells, or NK cells</w:t>
      </w:r>
      <w:r w:rsidR="0079655D" w:rsidRPr="00322627">
        <w:rPr>
          <w:rFonts w:ascii="Book Antiqua" w:eastAsia="宋体" w:hAnsi="Book Antiqua" w:cs="Times New Roman"/>
          <w:sz w:val="24"/>
          <w:szCs w:val="24"/>
          <w:lang w:eastAsia="zh-CN"/>
        </w:rPr>
        <w:t xml:space="preserve">; (2) </w:t>
      </w:r>
      <w:r w:rsidRPr="00322627">
        <w:rPr>
          <w:rFonts w:ascii="Book Antiqua" w:hAnsi="Book Antiqua" w:cs="Times New Roman"/>
          <w:sz w:val="24"/>
          <w:szCs w:val="24"/>
        </w:rPr>
        <w:t xml:space="preserve">How is the CAEBV status initiated? A hypothesis has been previously </w:t>
      </w:r>
      <w:proofErr w:type="gramStart"/>
      <w:r w:rsidRPr="00322627">
        <w:rPr>
          <w:rFonts w:ascii="Book Antiqua" w:hAnsi="Book Antiqua" w:cs="Times New Roman"/>
          <w:sz w:val="24"/>
          <w:szCs w:val="24"/>
        </w:rPr>
        <w:t>proposed</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26]</w:t>
      </w:r>
      <w:r w:rsidRPr="00322627">
        <w:rPr>
          <w:rFonts w:ascii="Book Antiqua" w:hAnsi="Book Antiqua" w:cs="Times New Roman"/>
          <w:sz w:val="24"/>
          <w:szCs w:val="24"/>
        </w:rPr>
        <w:t>. The majority of cases of CAEBV have been suggested to occur insidiously without apparent onset of symptoms, but some cases may develop following initial acute onset EBV-HLH (Figure 2</w:t>
      </w:r>
      <w:r w:rsidR="0079655D" w:rsidRPr="00322627">
        <w:rPr>
          <w:rFonts w:ascii="Book Antiqua" w:hAnsi="Book Antiqua" w:cs="Times New Roman"/>
          <w:sz w:val="24"/>
          <w:szCs w:val="24"/>
        </w:rPr>
        <w:t>)</w:t>
      </w:r>
      <w:r w:rsidR="0079655D" w:rsidRPr="00322627">
        <w:rPr>
          <w:rFonts w:ascii="Book Antiqua" w:eastAsia="宋体" w:hAnsi="Book Antiqua" w:cs="Times New Roman"/>
          <w:sz w:val="24"/>
          <w:szCs w:val="24"/>
          <w:lang w:eastAsia="zh-CN"/>
        </w:rPr>
        <w:t xml:space="preserve">; (3) </w:t>
      </w:r>
      <w:r w:rsidRPr="00322627">
        <w:rPr>
          <w:rFonts w:ascii="Book Antiqua" w:hAnsi="Book Antiqua" w:cs="Times New Roman"/>
          <w:sz w:val="24"/>
          <w:szCs w:val="24"/>
        </w:rPr>
        <w:t>How high is the incidence (%) of CAEBV-related or genetic disease-related HLH among refractory cases of EBV-HLH</w:t>
      </w:r>
      <w:r w:rsidR="0079655D" w:rsidRPr="00322627">
        <w:rPr>
          <w:rFonts w:ascii="Book Antiqua" w:eastAsia="宋体" w:hAnsi="Book Antiqua" w:cs="Times New Roman"/>
          <w:sz w:val="24"/>
          <w:szCs w:val="24"/>
          <w:lang w:eastAsia="zh-CN"/>
        </w:rPr>
        <w:t xml:space="preserve">; (4) </w:t>
      </w:r>
      <w:r w:rsidRPr="00322627">
        <w:rPr>
          <w:rFonts w:ascii="Book Antiqua" w:hAnsi="Book Antiqua" w:cs="Times New Roman"/>
          <w:sz w:val="24"/>
          <w:szCs w:val="24"/>
        </w:rPr>
        <w:t xml:space="preserve">How high is the incidence (%) of patients treated with PSL alone among the CR group? How many patients (%) require treatment using the HLH-94 or HLH-2004 type </w:t>
      </w:r>
      <w:r w:rsidRPr="00322627">
        <w:rPr>
          <w:rFonts w:ascii="Book Antiqua" w:hAnsi="Book Antiqua" w:cs="Times New Roman"/>
          <w:sz w:val="24"/>
          <w:szCs w:val="24"/>
        </w:rPr>
        <w:lastRenderedPageBreak/>
        <w:t xml:space="preserve">regimen? What is the correlation </w:t>
      </w:r>
      <w:r w:rsidR="0079655D" w:rsidRPr="00322627">
        <w:rPr>
          <w:rFonts w:ascii="Book Antiqua" w:hAnsi="Book Antiqua" w:cs="Times New Roman"/>
          <w:sz w:val="24"/>
          <w:szCs w:val="24"/>
        </w:rPr>
        <w:t xml:space="preserve">between disease type (B cell </w:t>
      </w:r>
      <w:r w:rsidR="0079655D" w:rsidRPr="00322627">
        <w:rPr>
          <w:rFonts w:ascii="Book Antiqua" w:hAnsi="Book Antiqua" w:cs="Times New Roman"/>
          <w:i/>
          <w:sz w:val="24"/>
          <w:szCs w:val="24"/>
        </w:rPr>
        <w:t>vs</w:t>
      </w:r>
      <w:r w:rsidRPr="00322627">
        <w:rPr>
          <w:rFonts w:ascii="Book Antiqua" w:hAnsi="Book Antiqua" w:cs="Times New Roman"/>
          <w:sz w:val="24"/>
          <w:szCs w:val="24"/>
        </w:rPr>
        <w:t xml:space="preserve"> T or NK cell, acute o</w:t>
      </w:r>
      <w:r w:rsidR="0079655D" w:rsidRPr="00322627">
        <w:rPr>
          <w:rFonts w:ascii="Book Antiqua" w:hAnsi="Book Antiqua" w:cs="Times New Roman"/>
          <w:sz w:val="24"/>
          <w:szCs w:val="24"/>
        </w:rPr>
        <w:t xml:space="preserve">nset </w:t>
      </w:r>
      <w:r w:rsidR="0079655D" w:rsidRPr="00322627">
        <w:rPr>
          <w:rFonts w:ascii="Book Antiqua" w:hAnsi="Book Antiqua" w:cs="Times New Roman"/>
          <w:i/>
          <w:sz w:val="24"/>
          <w:szCs w:val="24"/>
        </w:rPr>
        <w:t>vs</w:t>
      </w:r>
      <w:r w:rsidR="0079655D" w:rsidRPr="00322627">
        <w:rPr>
          <w:rFonts w:ascii="Book Antiqua" w:hAnsi="Book Antiqua" w:cs="Times New Roman"/>
          <w:sz w:val="24"/>
          <w:szCs w:val="24"/>
        </w:rPr>
        <w:t xml:space="preserve"> others) and treatment response</w:t>
      </w:r>
      <w:r w:rsidR="0079655D" w:rsidRPr="00322627">
        <w:rPr>
          <w:rFonts w:ascii="Book Antiqua" w:eastAsia="宋体" w:hAnsi="Book Antiqua" w:cs="Times New Roman"/>
          <w:sz w:val="24"/>
          <w:szCs w:val="24"/>
          <w:lang w:eastAsia="zh-CN"/>
        </w:rPr>
        <w:t xml:space="preserve">; (5) </w:t>
      </w:r>
      <w:r w:rsidRPr="00322627">
        <w:rPr>
          <w:rFonts w:ascii="Book Antiqua" w:hAnsi="Book Antiqua" w:cs="Times New Roman"/>
          <w:sz w:val="24"/>
          <w:szCs w:val="24"/>
        </w:rPr>
        <w:t>How do changes in EBV genome copy numbers co</w:t>
      </w:r>
      <w:r w:rsidR="0079655D" w:rsidRPr="00322627">
        <w:rPr>
          <w:rFonts w:ascii="Book Antiqua" w:hAnsi="Book Antiqua" w:cs="Times New Roman"/>
          <w:sz w:val="24"/>
          <w:szCs w:val="24"/>
        </w:rPr>
        <w:t>rrelate with treatment response</w:t>
      </w:r>
      <w:r w:rsidR="0079655D" w:rsidRPr="00322627">
        <w:rPr>
          <w:rFonts w:ascii="Book Antiqua" w:eastAsia="宋体" w:hAnsi="Book Antiqua" w:cs="Times New Roman"/>
          <w:sz w:val="24"/>
          <w:szCs w:val="24"/>
          <w:lang w:eastAsia="zh-CN"/>
        </w:rPr>
        <w:t xml:space="preserve">; (6) </w:t>
      </w:r>
      <w:r w:rsidRPr="00322627">
        <w:rPr>
          <w:rFonts w:ascii="Book Antiqua" w:hAnsi="Book Antiqua" w:cs="Times New Roman"/>
          <w:sz w:val="24"/>
          <w:szCs w:val="24"/>
        </w:rPr>
        <w:t>How do changes in serum ferritin levels correlate with clinical sympto</w:t>
      </w:r>
      <w:r w:rsidR="0079655D" w:rsidRPr="00322627">
        <w:rPr>
          <w:rFonts w:ascii="Book Antiqua" w:hAnsi="Book Antiqua" w:cs="Times New Roman"/>
          <w:sz w:val="24"/>
          <w:szCs w:val="24"/>
        </w:rPr>
        <w:t>ms and EBV genome copy numbers</w:t>
      </w:r>
      <w:r w:rsidR="0079655D" w:rsidRPr="00322627">
        <w:rPr>
          <w:rFonts w:ascii="Book Antiqua" w:eastAsia="宋体" w:hAnsi="Book Antiqua" w:cs="Times New Roman"/>
          <w:sz w:val="24"/>
          <w:szCs w:val="24"/>
          <w:lang w:eastAsia="zh-CN"/>
        </w:rPr>
        <w:t xml:space="preserve">; (7) </w:t>
      </w:r>
      <w:r w:rsidRPr="00322627">
        <w:rPr>
          <w:rFonts w:ascii="Book Antiqua" w:hAnsi="Book Antiqua" w:cs="Times New Roman"/>
          <w:sz w:val="24"/>
          <w:szCs w:val="24"/>
        </w:rPr>
        <w:t xml:space="preserve">How many doses of etoposide when necessary are required to attain a CR? When can treatment be discontinued in </w:t>
      </w:r>
      <w:r w:rsidR="0079655D" w:rsidRPr="00322627">
        <w:rPr>
          <w:rFonts w:ascii="Book Antiqua" w:hAnsi="Book Antiqua" w:cs="Times New Roman"/>
          <w:sz w:val="24"/>
          <w:szCs w:val="24"/>
        </w:rPr>
        <w:t>patients with secondary EBV-HLH</w:t>
      </w:r>
      <w:r w:rsidR="0079655D" w:rsidRPr="00322627">
        <w:rPr>
          <w:rFonts w:ascii="Book Antiqua" w:eastAsia="宋体" w:hAnsi="Book Antiqua" w:cs="Times New Roman"/>
          <w:sz w:val="24"/>
          <w:szCs w:val="24"/>
          <w:lang w:eastAsia="zh-CN"/>
        </w:rPr>
        <w:t xml:space="preserve">; (8) </w:t>
      </w:r>
      <w:r w:rsidRPr="00322627">
        <w:rPr>
          <w:rFonts w:ascii="Book Antiqua" w:hAnsi="Book Antiqua" w:cs="Times New Roman"/>
          <w:sz w:val="24"/>
          <w:szCs w:val="24"/>
        </w:rPr>
        <w:t>How many cumulative doses of etoposide can be safely administered without causing therapy-related</w:t>
      </w:r>
      <w:r w:rsidR="0079655D" w:rsidRPr="00322627">
        <w:rPr>
          <w:rFonts w:ascii="Book Antiqua" w:hAnsi="Book Antiqua" w:cs="Times New Roman"/>
          <w:sz w:val="24"/>
          <w:szCs w:val="24"/>
        </w:rPr>
        <w:t xml:space="preserve"> acute myeloid leukemia (t-AML)</w:t>
      </w:r>
      <w:r w:rsidR="0079655D" w:rsidRPr="00322627">
        <w:rPr>
          <w:rFonts w:ascii="Book Antiqua" w:eastAsia="宋体" w:hAnsi="Book Antiqua" w:cs="Times New Roman"/>
          <w:sz w:val="24"/>
          <w:szCs w:val="24"/>
          <w:lang w:eastAsia="zh-CN"/>
        </w:rPr>
        <w:t xml:space="preserve">; and (9) </w:t>
      </w:r>
      <w:r w:rsidRPr="00322627">
        <w:rPr>
          <w:rFonts w:ascii="Book Antiqua" w:hAnsi="Book Antiqua" w:cs="Times New Roman"/>
          <w:sz w:val="24"/>
          <w:szCs w:val="24"/>
        </w:rPr>
        <w:t xml:space="preserve">How does EBV-HLH differ between Asian and Western countries? </w:t>
      </w:r>
    </w:p>
    <w:p w:rsidR="006B3604" w:rsidRPr="00322627" w:rsidRDefault="006B3604" w:rsidP="00322627">
      <w:pPr>
        <w:spacing w:line="360" w:lineRule="auto"/>
        <w:rPr>
          <w:rFonts w:ascii="Book Antiqua" w:hAnsi="Book Antiqua" w:cs="Times New Roman"/>
          <w:sz w:val="24"/>
          <w:szCs w:val="24"/>
        </w:rPr>
      </w:pP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t>DISCUSSION</w:t>
      </w:r>
    </w:p>
    <w:p w:rsidR="006B3604" w:rsidRPr="00322627" w:rsidRDefault="006B3604" w:rsidP="00322627">
      <w:pPr>
        <w:spacing w:line="360" w:lineRule="auto"/>
        <w:rPr>
          <w:rFonts w:ascii="Book Antiqua" w:hAnsi="Book Antiqua" w:cs="Times New Roman"/>
          <w:i/>
          <w:sz w:val="24"/>
          <w:szCs w:val="24"/>
        </w:rPr>
      </w:pPr>
      <w:r w:rsidRPr="00322627">
        <w:rPr>
          <w:rFonts w:ascii="Book Antiqua" w:hAnsi="Book Antiqua" w:cs="Times New Roman"/>
          <w:b/>
          <w:i/>
          <w:sz w:val="24"/>
          <w:szCs w:val="24"/>
        </w:rPr>
        <w:t>EBV-LPDs and EBV-HLH</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 xml:space="preserve">EBV-HLH is a </w:t>
      </w:r>
      <w:proofErr w:type="spellStart"/>
      <w:r w:rsidRPr="00322627">
        <w:rPr>
          <w:rFonts w:ascii="Book Antiqua" w:hAnsi="Book Antiqua" w:cs="Times New Roman"/>
          <w:sz w:val="24"/>
          <w:szCs w:val="24"/>
        </w:rPr>
        <w:t>hemophagocytic</w:t>
      </w:r>
      <w:proofErr w:type="spellEnd"/>
      <w:r w:rsidRPr="00322627">
        <w:rPr>
          <w:rFonts w:ascii="Book Antiqua" w:hAnsi="Book Antiqua" w:cs="Times New Roman"/>
          <w:sz w:val="24"/>
          <w:szCs w:val="24"/>
        </w:rPr>
        <w:t xml:space="preserve"> syndrome occurring in patients with EBV-associated LPDs. The development of EBV-LPD is linked to various hereditary or acquired immune deficiencies</w:t>
      </w:r>
      <w:r w:rsidR="0079655D" w:rsidRPr="00322627">
        <w:rPr>
          <w:rFonts w:ascii="Book Antiqua" w:hAnsi="Book Antiqua" w:cs="Times New Roman"/>
          <w:sz w:val="24"/>
          <w:szCs w:val="24"/>
          <w:vertAlign w:val="superscript"/>
        </w:rPr>
        <w:t>[7]</w:t>
      </w:r>
      <w:r w:rsidRPr="00322627">
        <w:rPr>
          <w:rFonts w:ascii="Book Antiqua" w:hAnsi="Book Antiqua" w:cs="Times New Roman"/>
          <w:sz w:val="24"/>
          <w:szCs w:val="24"/>
        </w:rPr>
        <w:t xml:space="preserve">, such as XLP1, XLP2, interleukin-2-inducible T cell kinase deficiency, CD27 deficiency, or XMEN </w:t>
      </w:r>
      <w:r w:rsidRPr="00322627">
        <w:rPr>
          <w:rFonts w:ascii="Book Antiqua" w:hAnsi="Book Antiqua"/>
          <w:sz w:val="24"/>
          <w:szCs w:val="24"/>
        </w:rPr>
        <w:t>(</w:t>
      </w:r>
      <w:r w:rsidRPr="00322627">
        <w:rPr>
          <w:rFonts w:ascii="Book Antiqua" w:hAnsi="Book Antiqua"/>
          <w:kern w:val="0"/>
          <w:sz w:val="24"/>
          <w:szCs w:val="24"/>
        </w:rPr>
        <w:t>X-linked immunodeficiency with Mg</w:t>
      </w:r>
      <w:r w:rsidRPr="00322627">
        <w:rPr>
          <w:rFonts w:ascii="Book Antiqua" w:hAnsi="Book Antiqua"/>
          <w:kern w:val="0"/>
          <w:sz w:val="24"/>
          <w:szCs w:val="24"/>
          <w:vertAlign w:val="superscript"/>
        </w:rPr>
        <w:t>2+</w:t>
      </w:r>
      <w:r w:rsidRPr="00322627">
        <w:rPr>
          <w:rFonts w:ascii="Book Antiqua" w:hAnsi="Book Antiqua"/>
          <w:kern w:val="0"/>
          <w:sz w:val="24"/>
          <w:szCs w:val="24"/>
        </w:rPr>
        <w:t xml:space="preserve"> defect, EBV infection and neoplasm) </w:t>
      </w:r>
      <w:r w:rsidRPr="00322627">
        <w:rPr>
          <w:rFonts w:ascii="Book Antiqua" w:hAnsi="Book Antiqua" w:cs="Times New Roman"/>
          <w:sz w:val="24"/>
          <w:szCs w:val="24"/>
        </w:rPr>
        <w:t xml:space="preserve">syndrome, or may occur post-transplantation. In a study comprising 108 patients with EBV-associated T/NK cell LPDs in Japan, 80 patients were found to have CAEBV, 15 patients were found to have acute onset HLH, nine patients were found to have a severe mosquito bite allergy, and four patients were found to have </w:t>
      </w:r>
      <w:proofErr w:type="spellStart"/>
      <w:r w:rsidRPr="00322627">
        <w:rPr>
          <w:rFonts w:ascii="Book Antiqua" w:hAnsi="Book Antiqua" w:cs="Times New Roman"/>
          <w:sz w:val="24"/>
          <w:szCs w:val="24"/>
        </w:rPr>
        <w:t>hydroa</w:t>
      </w:r>
      <w:proofErr w:type="spellEnd"/>
      <w:r w:rsidRPr="00322627">
        <w:rPr>
          <w:rFonts w:ascii="Book Antiqua" w:hAnsi="Book Antiqua" w:cs="Times New Roman"/>
          <w:sz w:val="24"/>
          <w:szCs w:val="24"/>
        </w:rPr>
        <w:t xml:space="preserve"> </w:t>
      </w:r>
      <w:proofErr w:type="spellStart"/>
      <w:r w:rsidRPr="00322627">
        <w:rPr>
          <w:rFonts w:ascii="Book Antiqua" w:hAnsi="Book Antiqua" w:cs="Times New Roman"/>
          <w:sz w:val="24"/>
          <w:szCs w:val="24"/>
        </w:rPr>
        <w:t>vacciniforme</w:t>
      </w:r>
      <w:proofErr w:type="spellEnd"/>
      <w:r w:rsidR="0079655D" w:rsidRPr="00322627">
        <w:rPr>
          <w:rFonts w:ascii="Book Antiqua" w:hAnsi="Book Antiqua" w:cs="Times New Roman"/>
          <w:sz w:val="24"/>
          <w:szCs w:val="24"/>
          <w:vertAlign w:val="superscript"/>
        </w:rPr>
        <w:t>[11]</w:t>
      </w:r>
      <w:r w:rsidRPr="00322627">
        <w:rPr>
          <w:rFonts w:ascii="Book Antiqua" w:hAnsi="Book Antiqua" w:cs="Times New Roman"/>
          <w:sz w:val="24"/>
          <w:szCs w:val="24"/>
        </w:rPr>
        <w:t>. It remains unclear how HLH occurs in patients with EBV-LPDs.</w:t>
      </w:r>
      <w:r w:rsidRPr="00322627">
        <w:rPr>
          <w:rFonts w:ascii="Book Antiqua" w:hAnsi="Book Antiqua" w:cs="Times New Roman"/>
          <w:b/>
          <w:sz w:val="24"/>
          <w:szCs w:val="24"/>
        </w:rPr>
        <w:t xml:space="preserve"> </w:t>
      </w:r>
      <w:r w:rsidRPr="00322627">
        <w:rPr>
          <w:rFonts w:ascii="Book Antiqua" w:hAnsi="Book Antiqua" w:cs="Times New Roman"/>
          <w:sz w:val="24"/>
          <w:szCs w:val="24"/>
        </w:rPr>
        <w:t xml:space="preserve">Although EBV-HLH is significantly prevalent in Asia, its incidence and characteristics in Western countries not only require </w:t>
      </w:r>
      <w:r w:rsidRPr="00322627">
        <w:rPr>
          <w:rFonts w:ascii="Book Antiqua" w:hAnsi="Book Antiqua" w:cs="Times New Roman"/>
          <w:sz w:val="24"/>
          <w:szCs w:val="24"/>
        </w:rPr>
        <w:lastRenderedPageBreak/>
        <w:t xml:space="preserve">clarification but also a comparison with those observed in Asia.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Heterogeneity of EBV-HLH</w:t>
      </w:r>
    </w:p>
    <w:p w:rsidR="006B3604" w:rsidRPr="00322627" w:rsidRDefault="006B3604" w:rsidP="00322627">
      <w:pPr>
        <w:spacing w:line="360" w:lineRule="auto"/>
        <w:rPr>
          <w:rFonts w:ascii="Book Antiqua" w:eastAsia="宋体" w:hAnsi="Book Antiqua" w:cs="Times New Roman"/>
          <w:b/>
          <w:sz w:val="24"/>
          <w:szCs w:val="24"/>
          <w:lang w:eastAsia="zh-CN"/>
        </w:rPr>
      </w:pPr>
      <w:r w:rsidRPr="00322627">
        <w:rPr>
          <w:rFonts w:ascii="Book Antiqua" w:hAnsi="Book Antiqua" w:cs="Times New Roman"/>
          <w:sz w:val="24"/>
          <w:szCs w:val="24"/>
        </w:rPr>
        <w:t xml:space="preserve">Although EBV-HLH may primarily appear to be a secondary disease, it is rather heterogeneous, including high risk diseases such as CAEBV and hereditary diseases. In our previous study comprising 94 EBV-HLH patients, 60 patients were found to be anti-VCA-IgM-positive, indicating that no primary infectious EBV serological patterns were detected in approximately one third of the </w:t>
      </w:r>
      <w:proofErr w:type="gramStart"/>
      <w:r w:rsidRPr="00322627">
        <w:rPr>
          <w:rFonts w:ascii="Book Antiqua" w:hAnsi="Book Antiqua" w:cs="Times New Roman"/>
          <w:sz w:val="24"/>
          <w:szCs w:val="24"/>
        </w:rPr>
        <w:t>patients</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3]</w:t>
      </w:r>
      <w:r w:rsidRPr="00322627">
        <w:rPr>
          <w:rFonts w:ascii="Book Antiqua" w:hAnsi="Book Antiqua" w:cs="Times New Roman"/>
          <w:sz w:val="24"/>
          <w:szCs w:val="24"/>
        </w:rPr>
        <w:t xml:space="preserve">. To determine if EBV is found to reside in B cells, CD4+ T cells, CD8+ T cells, or NK cells, assessment of viral tropism is recommended to be performed at the time of diagnosis, </w:t>
      </w:r>
      <w:r w:rsidRPr="00322627">
        <w:rPr>
          <w:rFonts w:ascii="Book Antiqua" w:hAnsi="Book Antiqua" w:cs="Times New Roman"/>
          <w:i/>
          <w:sz w:val="24"/>
          <w:szCs w:val="24"/>
        </w:rPr>
        <w:t>via</w:t>
      </w:r>
      <w:r w:rsidRPr="00322627">
        <w:rPr>
          <w:rFonts w:ascii="Book Antiqua" w:hAnsi="Book Antiqua" w:cs="Times New Roman"/>
          <w:sz w:val="24"/>
          <w:szCs w:val="24"/>
        </w:rPr>
        <w:t xml:space="preserve"> cell sorting and quantification of EBV genome copy counts in each lymphocyte subset. Alternatively, flow cytometry of peripheral blood may be performed to determine the major cell </w:t>
      </w:r>
      <w:r w:rsidR="0079655D" w:rsidRPr="00322627">
        <w:rPr>
          <w:rFonts w:ascii="Book Antiqua" w:hAnsi="Book Antiqua" w:cs="Times New Roman"/>
          <w:sz w:val="24"/>
          <w:szCs w:val="24"/>
        </w:rPr>
        <w:t>types involved in EBV-HLH</w:t>
      </w:r>
      <w:r w:rsidRPr="00322627">
        <w:rPr>
          <w:rFonts w:ascii="Book Antiqua" w:hAnsi="Book Antiqua" w:cs="Times New Roman"/>
          <w:sz w:val="24"/>
          <w:szCs w:val="24"/>
        </w:rPr>
        <w:t xml:space="preserve"> (Figure 2)</w:t>
      </w:r>
      <w:r w:rsidR="0079655D" w:rsidRPr="00322627">
        <w:rPr>
          <w:rFonts w:ascii="Book Antiqua" w:eastAsia="宋体" w:hAnsi="Book Antiqua" w:cs="Times New Roman"/>
          <w:b/>
          <w:sz w:val="24"/>
          <w:szCs w:val="24"/>
          <w:lang w:eastAsia="zh-CN"/>
        </w:rPr>
        <w:t>.</w:t>
      </w:r>
      <w:r w:rsidRPr="00322627">
        <w:rPr>
          <w:rFonts w:ascii="Book Antiqua" w:hAnsi="Book Antiqua" w:cs="Times New Roman"/>
          <w:b/>
          <w:sz w:val="24"/>
          <w:szCs w:val="24"/>
        </w:rPr>
        <w:t xml:space="preserve">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Quantification of EBV genome copy numbers</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 xml:space="preserve">The diagnosis of EBV-HLH may be possible using serology alone in cases of a positive anti-VCA-IgM, although determination of the degree of viremia over time is far more useful to assess the response and determine a correlation with the status of CAEBV. Thus, quantifying EBV genome copy numbers in peripheral blood at the onset of HLH and during the course of treatment is highly </w:t>
      </w:r>
      <w:proofErr w:type="gramStart"/>
      <w:r w:rsidRPr="00322627">
        <w:rPr>
          <w:rFonts w:ascii="Book Antiqua" w:hAnsi="Book Antiqua" w:cs="Times New Roman"/>
          <w:sz w:val="24"/>
          <w:szCs w:val="24"/>
        </w:rPr>
        <w:t>recommended</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17,18]</w:t>
      </w:r>
      <w:r w:rsidRPr="00322627">
        <w:rPr>
          <w:rFonts w:ascii="Book Antiqua" w:hAnsi="Book Antiqua" w:cs="Times New Roman"/>
          <w:sz w:val="24"/>
          <w:szCs w:val="24"/>
        </w:rPr>
        <w:t xml:space="preserve">. Clinically sensitive markers to evaluate EBV-HLH activity include fever, high serum ferritin levels, lactate dehydrogenase, soluble interleukin-2 receptor, and high EBV genome copy numbers. In our previous </w:t>
      </w:r>
      <w:r w:rsidRPr="00322627">
        <w:rPr>
          <w:rFonts w:ascii="Book Antiqua" w:hAnsi="Book Antiqua" w:cs="Times New Roman"/>
          <w:sz w:val="24"/>
          <w:szCs w:val="24"/>
        </w:rPr>
        <w:lastRenderedPageBreak/>
        <w:t xml:space="preserve">study, patients with persistently high EBV genome copy numbers in peripheral blood eventually required HSCT due to refractory </w:t>
      </w:r>
      <w:proofErr w:type="gramStart"/>
      <w:r w:rsidRPr="00322627">
        <w:rPr>
          <w:rFonts w:ascii="Book Antiqua" w:hAnsi="Book Antiqua" w:cs="Times New Roman"/>
          <w:sz w:val="24"/>
          <w:szCs w:val="24"/>
        </w:rPr>
        <w:t>disease</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18]</w:t>
      </w:r>
      <w:r w:rsidRPr="00322627">
        <w:rPr>
          <w:rFonts w:ascii="Book Antiqua" w:hAnsi="Book Antiqua" w:cs="Times New Roman"/>
          <w:sz w:val="24"/>
          <w:szCs w:val="24"/>
        </w:rPr>
        <w:t xml:space="preserve">. However, we recently observed a number of patients who were symptomless and in a stable condition following discontinuation of treatment for EBV-HLH despite persistent viremia </w:t>
      </w:r>
      <w:r w:rsidR="0079655D" w:rsidRPr="00322627">
        <w:rPr>
          <w:rFonts w:ascii="Book Antiqua" w:eastAsia="宋体" w:hAnsi="Book Antiqua" w:cs="Times New Roman"/>
          <w:sz w:val="24"/>
          <w:szCs w:val="24"/>
          <w:lang w:eastAsia="zh-CN"/>
        </w:rPr>
        <w:t>(</w:t>
      </w:r>
      <w:r w:rsidRPr="00322627">
        <w:rPr>
          <w:rFonts w:ascii="Book Antiqua" w:hAnsi="Book Antiqua" w:cs="Times New Roman"/>
          <w:sz w:val="24"/>
          <w:szCs w:val="24"/>
        </w:rPr>
        <w:t>Unpublished observations</w:t>
      </w:r>
      <w:r w:rsidR="0079655D" w:rsidRPr="00322627">
        <w:rPr>
          <w:rFonts w:ascii="Book Antiqua" w:eastAsia="宋体" w:hAnsi="Book Antiqua" w:cs="Times New Roman"/>
          <w:sz w:val="24"/>
          <w:szCs w:val="24"/>
          <w:lang w:eastAsia="zh-CN"/>
        </w:rPr>
        <w:t xml:space="preserve">). </w:t>
      </w:r>
      <w:r w:rsidRPr="00322627">
        <w:rPr>
          <w:rFonts w:ascii="Book Antiqua" w:hAnsi="Book Antiqua" w:cs="Times New Roman"/>
          <w:sz w:val="24"/>
          <w:szCs w:val="24"/>
        </w:rPr>
        <w:t xml:space="preserve">Long-term follow-up may reveal whether these patients relapse as HLH or eventually attain a CAEBV status. There is no consensus on how to best treat these patients.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i/>
          <w:sz w:val="24"/>
          <w:szCs w:val="24"/>
        </w:rPr>
      </w:pPr>
      <w:r w:rsidRPr="00322627">
        <w:rPr>
          <w:rFonts w:ascii="Book Antiqua" w:hAnsi="Book Antiqua" w:cs="Times New Roman"/>
          <w:b/>
          <w:i/>
          <w:sz w:val="24"/>
          <w:szCs w:val="24"/>
        </w:rPr>
        <w:t>Acute onset EBV-HLH and CAEBV-related HLH</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 xml:space="preserve">Previous reports of EBV-HLH potentially comprised a mixture of secondary acute onset HLH, CAEBV-related, or primary/genetic disease-related </w:t>
      </w:r>
      <w:proofErr w:type="gramStart"/>
      <w:r w:rsidRPr="00322627">
        <w:rPr>
          <w:rFonts w:ascii="Book Antiqua" w:hAnsi="Book Antiqua" w:cs="Times New Roman"/>
          <w:sz w:val="24"/>
          <w:szCs w:val="24"/>
        </w:rPr>
        <w:t>HLH</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3,31]</w:t>
      </w:r>
      <w:r w:rsidRPr="00322627">
        <w:rPr>
          <w:rFonts w:ascii="Book Antiqua" w:hAnsi="Book Antiqua" w:cs="Times New Roman"/>
          <w:sz w:val="24"/>
          <w:szCs w:val="24"/>
        </w:rPr>
        <w:t xml:space="preserve">. In addition to genetic diseases, the CAEBV status should be taken into account in cases of EBV-HLH. Patients with CAEBV are accompanied with dermal symptoms defined as hypersensitivity to mosquito bites or </w:t>
      </w:r>
      <w:proofErr w:type="spellStart"/>
      <w:r w:rsidRPr="00322627">
        <w:rPr>
          <w:rFonts w:ascii="Book Antiqua" w:hAnsi="Book Antiqua" w:cs="Times New Roman"/>
          <w:sz w:val="24"/>
          <w:szCs w:val="24"/>
        </w:rPr>
        <w:t>hydroa</w:t>
      </w:r>
      <w:proofErr w:type="spellEnd"/>
      <w:r w:rsidRPr="00322627">
        <w:rPr>
          <w:rFonts w:ascii="Book Antiqua" w:hAnsi="Book Antiqua" w:cs="Times New Roman"/>
          <w:sz w:val="24"/>
          <w:szCs w:val="24"/>
        </w:rPr>
        <w:t xml:space="preserve"> </w:t>
      </w:r>
      <w:proofErr w:type="spellStart"/>
      <w:r w:rsidRPr="00322627">
        <w:rPr>
          <w:rFonts w:ascii="Book Antiqua" w:hAnsi="Book Antiqua" w:cs="Times New Roman"/>
          <w:sz w:val="24"/>
          <w:szCs w:val="24"/>
        </w:rPr>
        <w:t>vacciniforme</w:t>
      </w:r>
      <w:proofErr w:type="spellEnd"/>
      <w:r w:rsidRPr="00322627">
        <w:rPr>
          <w:rFonts w:ascii="Book Antiqua" w:hAnsi="Book Antiqua" w:cs="Times New Roman"/>
          <w:sz w:val="24"/>
          <w:szCs w:val="24"/>
        </w:rPr>
        <w:t xml:space="preserve">, and development of HLH in association with clinical features such as infectious mononucleosis-like symptoms, lymphadenopathy, adult onset Still’s disease-like symptoms, cardiovascular complications, or cerebellar ataxia or </w:t>
      </w:r>
      <w:proofErr w:type="gramStart"/>
      <w:r w:rsidRPr="00322627">
        <w:rPr>
          <w:rFonts w:ascii="Book Antiqua" w:hAnsi="Book Antiqua" w:cs="Times New Roman"/>
          <w:sz w:val="24"/>
          <w:szCs w:val="24"/>
        </w:rPr>
        <w:t>encephalitis</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11,32</w:t>
      </w:r>
      <w:r w:rsidR="0079655D" w:rsidRPr="00322627">
        <w:rPr>
          <w:rFonts w:ascii="Book Antiqua" w:eastAsia="宋体" w:hAnsi="Book Antiqua" w:cs="Times New Roman"/>
          <w:sz w:val="24"/>
          <w:szCs w:val="24"/>
          <w:vertAlign w:val="superscript"/>
          <w:lang w:eastAsia="zh-CN"/>
        </w:rPr>
        <w:t>-</w:t>
      </w:r>
      <w:r w:rsidR="0079655D" w:rsidRPr="00322627">
        <w:rPr>
          <w:rFonts w:ascii="Book Antiqua" w:hAnsi="Book Antiqua" w:cs="Times New Roman"/>
          <w:sz w:val="24"/>
          <w:szCs w:val="24"/>
          <w:vertAlign w:val="superscript"/>
        </w:rPr>
        <w:t>34]</w:t>
      </w:r>
      <w:r w:rsidRPr="00322627">
        <w:rPr>
          <w:rFonts w:ascii="Book Antiqua" w:hAnsi="Book Antiqua" w:cs="Times New Roman"/>
          <w:sz w:val="24"/>
          <w:szCs w:val="24"/>
        </w:rPr>
        <w:t>. In EBV-HLH, classification of secondary HLH as either occurring upon initial exposure to EBV or due to reactivation in association with CAEBV is essential, as the outcome significantly differs between the two</w:t>
      </w:r>
      <w:r w:rsidR="0079655D" w:rsidRPr="00322627">
        <w:rPr>
          <w:rFonts w:ascii="Book Antiqua" w:hAnsi="Book Antiqua" w:cs="Times New Roman"/>
          <w:sz w:val="24"/>
          <w:szCs w:val="24"/>
          <w:vertAlign w:val="superscript"/>
        </w:rPr>
        <w:t>[15,24]</w:t>
      </w:r>
      <w:r w:rsidRPr="00322627">
        <w:rPr>
          <w:rFonts w:ascii="Book Antiqua" w:hAnsi="Book Antiqua" w:cs="Times New Roman"/>
          <w:sz w:val="24"/>
          <w:szCs w:val="24"/>
        </w:rPr>
        <w:t xml:space="preserve">. We have previously observed approximately 85% of patients with EBV-HLH to be treated with </w:t>
      </w:r>
      <w:proofErr w:type="spellStart"/>
      <w:r w:rsidRPr="00322627">
        <w:rPr>
          <w:rFonts w:ascii="Book Antiqua" w:hAnsi="Book Antiqua" w:cs="Times New Roman"/>
          <w:sz w:val="24"/>
          <w:szCs w:val="24"/>
        </w:rPr>
        <w:t>immunochemotherapy</w:t>
      </w:r>
      <w:proofErr w:type="spellEnd"/>
      <w:r w:rsidRPr="00322627">
        <w:rPr>
          <w:rFonts w:ascii="Book Antiqua" w:hAnsi="Book Antiqua" w:cs="Times New Roman"/>
          <w:sz w:val="24"/>
          <w:szCs w:val="24"/>
        </w:rPr>
        <w:t xml:space="preserve"> alone compared with 15% who required HSCT.</w:t>
      </w:r>
      <w:r w:rsidRPr="00322627">
        <w:rPr>
          <w:rFonts w:ascii="Book Antiqua" w:hAnsi="Book Antiqua" w:cs="Times New Roman"/>
          <w:b/>
          <w:sz w:val="24"/>
          <w:szCs w:val="24"/>
          <w:vertAlign w:val="superscript"/>
        </w:rPr>
        <w:t xml:space="preserve">[31] </w:t>
      </w:r>
      <w:r w:rsidRPr="00322627">
        <w:rPr>
          <w:rFonts w:ascii="Book Antiqua" w:hAnsi="Book Antiqua" w:cs="Times New Roman"/>
          <w:sz w:val="24"/>
          <w:szCs w:val="24"/>
        </w:rPr>
        <w:t xml:space="preserve">Patients who underwent HSCT were most likely to comprise high risk groups such as CAEBV-related HLH, XLP-related HLH, or </w:t>
      </w:r>
      <w:r w:rsidRPr="00322627">
        <w:rPr>
          <w:rFonts w:ascii="Book Antiqua" w:hAnsi="Book Antiqua" w:cs="Times New Roman"/>
          <w:sz w:val="24"/>
          <w:szCs w:val="24"/>
        </w:rPr>
        <w:lastRenderedPageBreak/>
        <w:t xml:space="preserve">FHL-related HLH.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i/>
          <w:sz w:val="24"/>
          <w:szCs w:val="24"/>
        </w:rPr>
      </w:pPr>
      <w:r w:rsidRPr="00322627">
        <w:rPr>
          <w:rFonts w:ascii="Book Antiqua" w:hAnsi="Book Antiqua" w:cs="Times New Roman"/>
          <w:b/>
          <w:i/>
          <w:sz w:val="24"/>
          <w:szCs w:val="24"/>
        </w:rPr>
        <w:t>Treatment of EBV-HLH</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 xml:space="preserve">In the treatment of EBV-HLH, administration of an etoposide-based regimen within 4 </w:t>
      </w:r>
      <w:proofErr w:type="spellStart"/>
      <w:r w:rsidR="0079655D" w:rsidRPr="00322627">
        <w:rPr>
          <w:rFonts w:ascii="Book Antiqua" w:eastAsia="宋体" w:hAnsi="Book Antiqua" w:cs="Times New Roman"/>
          <w:sz w:val="24"/>
          <w:szCs w:val="24"/>
          <w:lang w:eastAsia="zh-CN"/>
        </w:rPr>
        <w:t>wk</w:t>
      </w:r>
      <w:proofErr w:type="spellEnd"/>
      <w:r w:rsidRPr="00322627">
        <w:rPr>
          <w:rFonts w:ascii="Book Antiqua" w:hAnsi="Book Antiqua" w:cs="Times New Roman"/>
          <w:sz w:val="24"/>
          <w:szCs w:val="24"/>
        </w:rPr>
        <w:t xml:space="preserve"> of diagnosis has been found to have a beneficial effect</w:t>
      </w:r>
      <w:r w:rsidR="0079655D" w:rsidRPr="00322627">
        <w:rPr>
          <w:rFonts w:ascii="Book Antiqua" w:hAnsi="Book Antiqua" w:cs="Times New Roman"/>
          <w:sz w:val="24"/>
          <w:szCs w:val="24"/>
          <w:vertAlign w:val="superscript"/>
        </w:rPr>
        <w:t>[27]</w:t>
      </w:r>
      <w:r w:rsidRPr="00322627">
        <w:rPr>
          <w:rFonts w:ascii="Book Antiqua" w:hAnsi="Book Antiqua" w:cs="Times New Roman"/>
          <w:sz w:val="24"/>
          <w:szCs w:val="24"/>
        </w:rPr>
        <w:t>, although several studies also have reported a CR in a subset of patients using conventional PSL, CSA, or IVIG alone</w:t>
      </w:r>
      <w:r w:rsidR="0079655D" w:rsidRPr="00322627">
        <w:rPr>
          <w:rFonts w:ascii="Book Antiqua" w:hAnsi="Book Antiqua" w:cs="Times New Roman"/>
          <w:sz w:val="24"/>
          <w:szCs w:val="24"/>
          <w:vertAlign w:val="superscript"/>
        </w:rPr>
        <w:t>[23,24]</w:t>
      </w:r>
      <w:r w:rsidRPr="00322627">
        <w:rPr>
          <w:rFonts w:ascii="Book Antiqua" w:hAnsi="Book Antiqua" w:cs="Times New Roman"/>
          <w:sz w:val="24"/>
          <w:szCs w:val="24"/>
        </w:rPr>
        <w:t xml:space="preserve">. The proposed study herein may clarify the true nature of the disease and whether treatment with etoposide is necessary. Furthermore, treatment with etoposide should be commenced immediately following 2 </w:t>
      </w:r>
      <w:proofErr w:type="spellStart"/>
      <w:r w:rsidR="0079655D" w:rsidRPr="00322627">
        <w:rPr>
          <w:rFonts w:ascii="Book Antiqua" w:eastAsia="宋体" w:hAnsi="Book Antiqua" w:cs="Times New Roman"/>
          <w:sz w:val="24"/>
          <w:szCs w:val="24"/>
          <w:lang w:eastAsia="zh-CN"/>
        </w:rPr>
        <w:t>wk</w:t>
      </w:r>
      <w:proofErr w:type="spellEnd"/>
      <w:r w:rsidRPr="00322627">
        <w:rPr>
          <w:rFonts w:ascii="Book Antiqua" w:hAnsi="Book Antiqua" w:cs="Times New Roman"/>
          <w:sz w:val="24"/>
          <w:szCs w:val="24"/>
        </w:rPr>
        <w:t xml:space="preserve"> of prednisolone therapy in cases where PR/NR is observed.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Cumulative doses of etoposide and t-AML</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hAnsi="Book Antiqua" w:cs="Times New Roman"/>
          <w:sz w:val="24"/>
          <w:szCs w:val="24"/>
        </w:rPr>
        <w:t>The use of etoposide</w:t>
      </w:r>
      <w:r w:rsidRPr="00322627">
        <w:rPr>
          <w:rFonts w:ascii="Book Antiqua" w:hAnsi="Book Antiqua" w:cs="Times New Roman"/>
          <w:b/>
          <w:sz w:val="24"/>
          <w:szCs w:val="24"/>
        </w:rPr>
        <w:t xml:space="preserve"> </w:t>
      </w:r>
      <w:r w:rsidRPr="00322627">
        <w:rPr>
          <w:rFonts w:ascii="Book Antiqua" w:hAnsi="Book Antiqua" w:cs="Times New Roman"/>
          <w:sz w:val="24"/>
          <w:szCs w:val="24"/>
        </w:rPr>
        <w:t>may be</w:t>
      </w:r>
      <w:r w:rsidRPr="00322627">
        <w:rPr>
          <w:rFonts w:ascii="Book Antiqua" w:hAnsi="Book Antiqua" w:cs="Times New Roman"/>
          <w:b/>
          <w:sz w:val="24"/>
          <w:szCs w:val="24"/>
        </w:rPr>
        <w:t xml:space="preserve"> </w:t>
      </w:r>
      <w:r w:rsidRPr="00322627">
        <w:rPr>
          <w:rFonts w:ascii="Book Antiqua" w:hAnsi="Book Antiqua" w:cs="Times New Roman"/>
          <w:sz w:val="24"/>
          <w:szCs w:val="24"/>
        </w:rPr>
        <w:t>of concern to physicians</w:t>
      </w:r>
      <w:r w:rsidRPr="00322627">
        <w:rPr>
          <w:rFonts w:ascii="Book Antiqua" w:hAnsi="Book Antiqua" w:cs="Times New Roman"/>
          <w:b/>
          <w:sz w:val="24"/>
          <w:szCs w:val="24"/>
        </w:rPr>
        <w:t xml:space="preserve"> </w:t>
      </w:r>
      <w:r w:rsidRPr="00322627">
        <w:rPr>
          <w:rFonts w:ascii="Book Antiqua" w:hAnsi="Book Antiqua" w:cs="Times New Roman"/>
          <w:sz w:val="24"/>
          <w:szCs w:val="24"/>
        </w:rPr>
        <w:t>due to the patients’ risk of developing t-AML.</w:t>
      </w:r>
      <w:r w:rsidRPr="00322627">
        <w:rPr>
          <w:rFonts w:ascii="Book Antiqua" w:hAnsi="Book Antiqua" w:cs="Times New Roman"/>
          <w:b/>
          <w:sz w:val="24"/>
          <w:szCs w:val="24"/>
        </w:rPr>
        <w:t xml:space="preserve"> </w:t>
      </w:r>
      <w:r w:rsidRPr="00322627">
        <w:rPr>
          <w:rFonts w:ascii="Book Antiqua" w:hAnsi="Book Antiqua" w:cs="Times New Roman"/>
          <w:sz w:val="24"/>
          <w:szCs w:val="24"/>
        </w:rPr>
        <w:t>In my survey, twelve documented cases of t-AML in HLH have been reported in the literature. [Unpublished observations] The median occurrence of t-AML following HLH treatment has been found to be 26 mo (range, 6 mo to 6 years). Of these 12 cases, the 11q23 abnormality was found in four cases, FAB-M3 leukemia was observed in two cases, FAB-M5 leukemia was found in two cases, and other types of leukemia were observed in four cases. In seven patients, cumulative doses of etoposide were ob</w:t>
      </w:r>
      <w:r w:rsidR="0079655D" w:rsidRPr="00322627">
        <w:rPr>
          <w:rFonts w:ascii="Book Antiqua" w:hAnsi="Book Antiqua" w:cs="Times New Roman"/>
          <w:sz w:val="24"/>
          <w:szCs w:val="24"/>
        </w:rPr>
        <w:t>served to be greater than 3</w:t>
      </w:r>
      <w:r w:rsidRPr="00322627">
        <w:rPr>
          <w:rFonts w:ascii="Book Antiqua" w:hAnsi="Book Antiqua" w:cs="Times New Roman"/>
          <w:sz w:val="24"/>
          <w:szCs w:val="24"/>
        </w:rPr>
        <w:t>000 mg/m</w:t>
      </w:r>
      <w:r w:rsidRPr="00322627">
        <w:rPr>
          <w:rFonts w:ascii="Book Antiqua" w:hAnsi="Book Antiqua" w:cs="Times New Roman"/>
          <w:sz w:val="24"/>
          <w:szCs w:val="24"/>
          <w:vertAlign w:val="superscript"/>
        </w:rPr>
        <w:t>2</w:t>
      </w:r>
      <w:r w:rsidR="0079655D" w:rsidRPr="00322627">
        <w:rPr>
          <w:rFonts w:ascii="Book Antiqua" w:hAnsi="Book Antiqua" w:cs="Times New Roman"/>
          <w:sz w:val="24"/>
          <w:szCs w:val="24"/>
        </w:rPr>
        <w:t>, and doses less than 1</w:t>
      </w:r>
      <w:r w:rsidRPr="00322627">
        <w:rPr>
          <w:rFonts w:ascii="Book Antiqua" w:hAnsi="Book Antiqua" w:cs="Times New Roman"/>
          <w:sz w:val="24"/>
          <w:szCs w:val="24"/>
        </w:rPr>
        <w:t>500 mg/m</w:t>
      </w:r>
      <w:r w:rsidRPr="00322627">
        <w:rPr>
          <w:rFonts w:ascii="Book Antiqua" w:hAnsi="Book Antiqua" w:cs="Times New Roman"/>
          <w:sz w:val="24"/>
          <w:szCs w:val="24"/>
          <w:vertAlign w:val="superscript"/>
        </w:rPr>
        <w:t>2</w:t>
      </w:r>
      <w:r w:rsidRPr="00322627">
        <w:rPr>
          <w:rFonts w:ascii="Book Antiqua" w:hAnsi="Book Antiqua" w:cs="Times New Roman"/>
          <w:sz w:val="24"/>
          <w:szCs w:val="24"/>
        </w:rPr>
        <w:t xml:space="preserve"> were found in five cases. Based on these data, to reduce the incidence of t-AML in HLH treated patients, cumulative doses of etoposide should be pr</w:t>
      </w:r>
      <w:r w:rsidR="0079655D" w:rsidRPr="00322627">
        <w:rPr>
          <w:rFonts w:ascii="Book Antiqua" w:hAnsi="Book Antiqua" w:cs="Times New Roman"/>
          <w:sz w:val="24"/>
          <w:szCs w:val="24"/>
        </w:rPr>
        <w:t>eferably limited to less than 3</w:t>
      </w:r>
      <w:r w:rsidRPr="00322627">
        <w:rPr>
          <w:rFonts w:ascii="Book Antiqua" w:hAnsi="Book Antiqua" w:cs="Times New Roman"/>
          <w:sz w:val="24"/>
          <w:szCs w:val="24"/>
        </w:rPr>
        <w:t xml:space="preserve">000 </w:t>
      </w:r>
      <w:r w:rsidRPr="00322627">
        <w:rPr>
          <w:rFonts w:ascii="Book Antiqua" w:hAnsi="Book Antiqua" w:cs="Times New Roman"/>
          <w:sz w:val="24"/>
          <w:szCs w:val="24"/>
        </w:rPr>
        <w:lastRenderedPageBreak/>
        <w:t>mg/m</w:t>
      </w:r>
      <w:r w:rsidRPr="00322627">
        <w:rPr>
          <w:rFonts w:ascii="Book Antiqua" w:hAnsi="Book Antiqua" w:cs="Times New Roman"/>
          <w:sz w:val="24"/>
          <w:szCs w:val="24"/>
          <w:vertAlign w:val="superscript"/>
        </w:rPr>
        <w:t>2</w:t>
      </w:r>
      <w:r w:rsidRPr="00322627">
        <w:rPr>
          <w:rFonts w:ascii="Book Antiqua" w:hAnsi="Book Antiqua" w:cs="Times New Roman"/>
          <w:sz w:val="24"/>
          <w:szCs w:val="24"/>
        </w:rPr>
        <w:t xml:space="preserve">. In the proposed pilot protocol presented here, upon completion of treatment in patients who undergo the arm B regimen within 8 </w:t>
      </w:r>
      <w:proofErr w:type="spellStart"/>
      <w:r w:rsidR="00F91558" w:rsidRPr="00322627">
        <w:rPr>
          <w:rFonts w:ascii="Book Antiqua" w:eastAsia="宋体" w:hAnsi="Book Antiqua" w:cs="Times New Roman"/>
          <w:sz w:val="24"/>
          <w:szCs w:val="24"/>
          <w:lang w:eastAsia="zh-CN"/>
        </w:rPr>
        <w:t>wk</w:t>
      </w:r>
      <w:proofErr w:type="spellEnd"/>
      <w:r w:rsidRPr="00322627">
        <w:rPr>
          <w:rFonts w:ascii="Book Antiqua" w:hAnsi="Book Antiqua" w:cs="Times New Roman"/>
          <w:sz w:val="24"/>
          <w:szCs w:val="24"/>
        </w:rPr>
        <w:t>, the total etoposide dose comprises 600 mg/m</w:t>
      </w:r>
      <w:r w:rsidRPr="00322627">
        <w:rPr>
          <w:rFonts w:ascii="Book Antiqua" w:hAnsi="Book Antiqua" w:cs="Times New Roman"/>
          <w:sz w:val="24"/>
          <w:szCs w:val="24"/>
          <w:vertAlign w:val="superscript"/>
        </w:rPr>
        <w:t xml:space="preserve">2. </w:t>
      </w:r>
      <w:r w:rsidRPr="00322627">
        <w:rPr>
          <w:rFonts w:ascii="Book Antiqua" w:hAnsi="Book Antiqua" w:cs="Times New Roman"/>
          <w:sz w:val="24"/>
          <w:szCs w:val="24"/>
        </w:rPr>
        <w:t>Even if</w:t>
      </w:r>
      <w:r w:rsidRPr="00322627">
        <w:rPr>
          <w:rFonts w:ascii="Book Antiqua" w:hAnsi="Book Antiqua" w:cs="Times New Roman"/>
          <w:sz w:val="24"/>
          <w:szCs w:val="24"/>
          <w:vertAlign w:val="superscript"/>
        </w:rPr>
        <w:t xml:space="preserve"> </w:t>
      </w:r>
      <w:r w:rsidRPr="00322627">
        <w:rPr>
          <w:rFonts w:ascii="Book Antiqua" w:hAnsi="Book Antiqua" w:cs="Times New Roman"/>
          <w:sz w:val="24"/>
          <w:szCs w:val="24"/>
        </w:rPr>
        <w:t>the patients undergo the arm B and C regimens, the total dose c</w:t>
      </w:r>
      <w:r w:rsidR="0079655D" w:rsidRPr="00322627">
        <w:rPr>
          <w:rFonts w:ascii="Book Antiqua" w:hAnsi="Book Antiqua" w:cs="Times New Roman"/>
          <w:sz w:val="24"/>
          <w:szCs w:val="24"/>
        </w:rPr>
        <w:t>omprises 2</w:t>
      </w:r>
      <w:r w:rsidRPr="00322627">
        <w:rPr>
          <w:rFonts w:ascii="Book Antiqua" w:hAnsi="Book Antiqua" w:cs="Times New Roman"/>
          <w:sz w:val="24"/>
          <w:szCs w:val="24"/>
        </w:rPr>
        <w:t>200 mg/m</w:t>
      </w:r>
      <w:r w:rsidRPr="00322627">
        <w:rPr>
          <w:rFonts w:ascii="Book Antiqua" w:hAnsi="Book Antiqua" w:cs="Times New Roman"/>
          <w:sz w:val="24"/>
          <w:szCs w:val="24"/>
          <w:vertAlign w:val="superscript"/>
        </w:rPr>
        <w:t>2</w:t>
      </w:r>
      <w:r w:rsidRPr="00322627">
        <w:rPr>
          <w:rFonts w:ascii="Book Antiqua" w:hAnsi="Book Antiqua" w:cs="Times New Roman"/>
          <w:sz w:val="24"/>
          <w:szCs w:val="24"/>
        </w:rPr>
        <w:t xml:space="preserve">, which is considered to be in a safe range.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Rituximab treatment</w:t>
      </w:r>
    </w:p>
    <w:p w:rsidR="006B3604" w:rsidRPr="00322627" w:rsidRDefault="006B3604" w:rsidP="00322627">
      <w:pPr>
        <w:spacing w:line="360" w:lineRule="auto"/>
        <w:rPr>
          <w:rFonts w:ascii="Book Antiqua" w:eastAsia="宋体" w:hAnsi="Book Antiqua" w:cs="Times New Roman"/>
          <w:b/>
          <w:sz w:val="24"/>
          <w:szCs w:val="24"/>
          <w:lang w:eastAsia="zh-CN"/>
        </w:rPr>
      </w:pPr>
      <w:r w:rsidRPr="00322627">
        <w:rPr>
          <w:rFonts w:ascii="Book Antiqua" w:hAnsi="Book Antiqua" w:cs="Times New Roman"/>
          <w:sz w:val="24"/>
          <w:szCs w:val="24"/>
        </w:rPr>
        <w:t xml:space="preserve">Rituximab is a pre-emptive B-cell-directed therapy and a candidate for the treatment of EBV-HLH in which EBV resides within B </w:t>
      </w:r>
      <w:proofErr w:type="gramStart"/>
      <w:r w:rsidRPr="00322627">
        <w:rPr>
          <w:rFonts w:ascii="Book Antiqua" w:hAnsi="Book Antiqua" w:cs="Times New Roman"/>
          <w:sz w:val="24"/>
          <w:szCs w:val="24"/>
        </w:rPr>
        <w:t>cells</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28</w:t>
      </w:r>
      <w:r w:rsidR="0079655D" w:rsidRPr="00322627">
        <w:rPr>
          <w:rFonts w:ascii="Book Antiqua" w:eastAsia="宋体" w:hAnsi="Book Antiqua" w:cs="Times New Roman"/>
          <w:sz w:val="24"/>
          <w:szCs w:val="24"/>
          <w:vertAlign w:val="superscript"/>
          <w:lang w:eastAsia="zh-CN"/>
        </w:rPr>
        <w:t>-</w:t>
      </w:r>
      <w:r w:rsidR="0079655D" w:rsidRPr="00322627">
        <w:rPr>
          <w:rFonts w:ascii="Book Antiqua" w:hAnsi="Book Antiqua" w:cs="Times New Roman"/>
          <w:sz w:val="24"/>
          <w:szCs w:val="24"/>
          <w:vertAlign w:val="superscript"/>
        </w:rPr>
        <w:t>30]</w:t>
      </w:r>
      <w:r w:rsidRPr="00322627">
        <w:rPr>
          <w:rFonts w:ascii="Book Antiqua" w:hAnsi="Book Antiqua" w:cs="Times New Roman"/>
          <w:sz w:val="24"/>
          <w:szCs w:val="24"/>
        </w:rPr>
        <w:t xml:space="preserve">. However, in the majority of EBV-HLH cases, EBV resides in T cells or in NK cells. As one of the mechanisms behind why T cells or NK cells that lack a receptor for EBV are infected with the virus, EBV-infected B cells are hypothesized to potentially transfer the virus to T cells or NK cells due to contact between EBV-infected B cells and cytotoxic T cells or NK cells. In consideration of this hypothesis, rituximab may even be effective in the treatment of EBV-HLH involving T cells or NK </w:t>
      </w:r>
      <w:proofErr w:type="gramStart"/>
      <w:r w:rsidRPr="00322627">
        <w:rPr>
          <w:rFonts w:ascii="Book Antiqua" w:hAnsi="Book Antiqua" w:cs="Times New Roman"/>
          <w:sz w:val="24"/>
          <w:szCs w:val="24"/>
        </w:rPr>
        <w:t>cells</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35]</w:t>
      </w:r>
      <w:r w:rsidRPr="00322627">
        <w:rPr>
          <w:rFonts w:ascii="Book Antiqua" w:hAnsi="Book Antiqua" w:cs="Times New Roman"/>
          <w:sz w:val="24"/>
          <w:szCs w:val="24"/>
        </w:rPr>
        <w:t>. Whether rituximab administration is applicable for all cases of EBV-HLH remains to be explored. As</w:t>
      </w:r>
      <w:r w:rsidR="0079655D" w:rsidRPr="00322627">
        <w:rPr>
          <w:rFonts w:ascii="Book Antiqua" w:hAnsi="Book Antiqua" w:cs="Times New Roman"/>
          <w:sz w:val="24"/>
          <w:szCs w:val="24"/>
        </w:rPr>
        <w:t xml:space="preserve"> a salvage therapy, </w:t>
      </w:r>
      <w:proofErr w:type="spellStart"/>
      <w:proofErr w:type="gramStart"/>
      <w:r w:rsidR="0079655D" w:rsidRPr="00322627">
        <w:rPr>
          <w:rFonts w:ascii="Book Antiqua" w:hAnsi="Book Antiqua" w:cs="Times New Roman"/>
          <w:sz w:val="24"/>
          <w:szCs w:val="24"/>
        </w:rPr>
        <w:t>alemtuzumab</w:t>
      </w:r>
      <w:proofErr w:type="spellEnd"/>
      <w:r w:rsidRPr="00322627">
        <w:rPr>
          <w:rFonts w:ascii="Book Antiqua" w:hAnsi="Book Antiqua" w:cs="Times New Roman"/>
          <w:sz w:val="24"/>
          <w:szCs w:val="24"/>
          <w:vertAlign w:val="superscript"/>
        </w:rPr>
        <w:t>[</w:t>
      </w:r>
      <w:proofErr w:type="gramEnd"/>
      <w:r w:rsidRPr="00322627">
        <w:rPr>
          <w:rFonts w:ascii="Book Antiqua" w:hAnsi="Book Antiqua" w:cs="Times New Roman"/>
          <w:sz w:val="24"/>
          <w:szCs w:val="24"/>
          <w:vertAlign w:val="superscript"/>
        </w:rPr>
        <w:t>36]</w:t>
      </w:r>
      <w:r w:rsidRPr="00322627">
        <w:rPr>
          <w:rFonts w:ascii="Book Antiqua" w:hAnsi="Book Antiqua" w:cs="Times New Roman"/>
          <w:sz w:val="24"/>
          <w:szCs w:val="24"/>
        </w:rPr>
        <w:t xml:space="preserve"> and other regimens may also be used. Novel chemotherapeutic agents for the treatment of CAEBV are currently in </w:t>
      </w:r>
      <w:proofErr w:type="gramStart"/>
      <w:r w:rsidRPr="00322627">
        <w:rPr>
          <w:rFonts w:ascii="Book Antiqua" w:hAnsi="Book Antiqua" w:cs="Times New Roman"/>
          <w:sz w:val="24"/>
          <w:szCs w:val="24"/>
        </w:rPr>
        <w:t>progress</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37]</w:t>
      </w:r>
      <w:r w:rsidRPr="00322627">
        <w:rPr>
          <w:rFonts w:ascii="Book Antiqua" w:hAnsi="Book Antiqua" w:cs="Times New Roman"/>
          <w:sz w:val="24"/>
          <w:szCs w:val="24"/>
        </w:rPr>
        <w:t>. It remains unknown if salvage therapy alone may provide a cure for refractory EBV-HLH.</w:t>
      </w:r>
      <w:r w:rsidRPr="00322627">
        <w:rPr>
          <w:rFonts w:ascii="Book Antiqua" w:hAnsi="Book Antiqua" w:cs="Times New Roman"/>
          <w:b/>
          <w:sz w:val="24"/>
          <w:szCs w:val="24"/>
        </w:rPr>
        <w:t xml:space="preserve"> </w:t>
      </w:r>
    </w:p>
    <w:p w:rsidR="0079655D" w:rsidRPr="00322627" w:rsidRDefault="0079655D" w:rsidP="00322627">
      <w:pPr>
        <w:spacing w:line="360" w:lineRule="auto"/>
        <w:rPr>
          <w:rFonts w:ascii="Book Antiqua" w:eastAsia="宋体" w:hAnsi="Book Antiqua" w:cs="Times New Roman"/>
          <w:b/>
          <w:sz w:val="24"/>
          <w:szCs w:val="24"/>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Adoptive cell therapy</w:t>
      </w:r>
    </w:p>
    <w:p w:rsidR="006B3604" w:rsidRPr="00322627" w:rsidRDefault="006B3604" w:rsidP="00322627">
      <w:pPr>
        <w:spacing w:line="360" w:lineRule="auto"/>
        <w:rPr>
          <w:rFonts w:ascii="Book Antiqua" w:eastAsia="宋体" w:hAnsi="Book Antiqua" w:cs="Times New Roman"/>
          <w:sz w:val="24"/>
          <w:szCs w:val="24"/>
          <w:lang w:eastAsia="zh-CN"/>
        </w:rPr>
      </w:pPr>
      <w:r w:rsidRPr="00322627">
        <w:rPr>
          <w:rFonts w:ascii="Book Antiqua" w:eastAsia="MS PGothic" w:hAnsi="Book Antiqua" w:cs="Times New Roman"/>
          <w:kern w:val="0"/>
          <w:sz w:val="24"/>
          <w:szCs w:val="24"/>
        </w:rPr>
        <w:t xml:space="preserve">Adoptive immunotherapy has been shown to be effective in the treatment of </w:t>
      </w:r>
      <w:proofErr w:type="gramStart"/>
      <w:r w:rsidRPr="00322627">
        <w:rPr>
          <w:rFonts w:ascii="Book Antiqua" w:eastAsia="MS PGothic" w:hAnsi="Book Antiqua" w:cs="Times New Roman"/>
          <w:kern w:val="0"/>
          <w:sz w:val="24"/>
          <w:szCs w:val="24"/>
        </w:rPr>
        <w:t>CAEBV</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38,39]</w:t>
      </w:r>
      <w:r w:rsidRPr="00322627">
        <w:rPr>
          <w:rFonts w:ascii="Book Antiqua" w:eastAsia="MS PGothic" w:hAnsi="Book Antiqua" w:cs="Times New Roman"/>
          <w:kern w:val="0"/>
          <w:sz w:val="24"/>
          <w:szCs w:val="24"/>
        </w:rPr>
        <w:t xml:space="preserve">. Similar </w:t>
      </w:r>
      <w:r w:rsidRPr="00322627">
        <w:rPr>
          <w:rFonts w:ascii="Book Antiqua" w:hAnsi="Book Antiqua" w:cs="Times New Roman"/>
          <w:sz w:val="24"/>
          <w:szCs w:val="24"/>
        </w:rPr>
        <w:t xml:space="preserve">adoptive cell therapies are expected to be effective in </w:t>
      </w:r>
      <w:r w:rsidRPr="00322627">
        <w:rPr>
          <w:rFonts w:ascii="Book Antiqua" w:hAnsi="Book Antiqua" w:cs="Times New Roman"/>
          <w:sz w:val="24"/>
          <w:szCs w:val="24"/>
        </w:rPr>
        <w:lastRenderedPageBreak/>
        <w:t xml:space="preserve">refractory EBV-HLH. </w:t>
      </w:r>
      <w:r w:rsidRPr="00322627">
        <w:rPr>
          <w:rFonts w:ascii="Book Antiqua" w:eastAsia="MS PGothic" w:hAnsi="Book Antiqua" w:cs="Times New Roman"/>
          <w:kern w:val="0"/>
          <w:sz w:val="24"/>
          <w:szCs w:val="24"/>
        </w:rPr>
        <w:t xml:space="preserve">Based on fetal-maternal </w:t>
      </w:r>
      <w:proofErr w:type="spellStart"/>
      <w:r w:rsidRPr="00322627">
        <w:rPr>
          <w:rFonts w:ascii="Book Antiqua" w:eastAsia="MS PGothic" w:hAnsi="Book Antiqua" w:cs="Times New Roman"/>
          <w:kern w:val="0"/>
          <w:sz w:val="24"/>
          <w:szCs w:val="24"/>
        </w:rPr>
        <w:t>microchimerism</w:t>
      </w:r>
      <w:proofErr w:type="spellEnd"/>
      <w:r w:rsidRPr="00322627">
        <w:rPr>
          <w:rFonts w:ascii="Book Antiqua" w:eastAsia="MS PGothic" w:hAnsi="Book Antiqua" w:cs="Times New Roman"/>
          <w:kern w:val="0"/>
          <w:sz w:val="24"/>
          <w:szCs w:val="24"/>
        </w:rPr>
        <w:t xml:space="preserve"> tolerance,</w:t>
      </w:r>
      <w:r w:rsidRPr="00322627">
        <w:rPr>
          <w:rFonts w:ascii="Book Antiqua" w:hAnsi="Book Antiqua" w:cs="Times New Roman"/>
          <w:sz w:val="24"/>
          <w:szCs w:val="24"/>
        </w:rPr>
        <w:t xml:space="preserve"> Wang and colleagues infused </w:t>
      </w:r>
      <w:r w:rsidRPr="00322627">
        <w:rPr>
          <w:rFonts w:ascii="Book Antiqua" w:eastAsia="MS PGothic" w:hAnsi="Book Antiqua" w:cs="Times New Roman"/>
          <w:kern w:val="0"/>
          <w:sz w:val="24"/>
          <w:szCs w:val="24"/>
        </w:rPr>
        <w:t>high doses of HLA-</w:t>
      </w:r>
      <w:proofErr w:type="spellStart"/>
      <w:r w:rsidRPr="00322627">
        <w:rPr>
          <w:rFonts w:ascii="Book Antiqua" w:eastAsia="MS PGothic" w:hAnsi="Book Antiqua" w:cs="Times New Roman"/>
          <w:kern w:val="0"/>
          <w:sz w:val="24"/>
          <w:szCs w:val="24"/>
        </w:rPr>
        <w:t>haploidentical</w:t>
      </w:r>
      <w:proofErr w:type="spellEnd"/>
      <w:r w:rsidRPr="00322627">
        <w:rPr>
          <w:rFonts w:ascii="Book Antiqua" w:eastAsia="MS PGothic" w:hAnsi="Book Antiqua" w:cs="Times New Roman"/>
          <w:kern w:val="0"/>
          <w:sz w:val="24"/>
          <w:szCs w:val="24"/>
        </w:rPr>
        <w:t xml:space="preserve"> maternal peripheral blood mononuclear cells (&gt;</w:t>
      </w:r>
      <w:r w:rsidR="0079655D" w:rsidRPr="00322627">
        <w:rPr>
          <w:rFonts w:ascii="Book Antiqua" w:eastAsia="宋体" w:hAnsi="Book Antiqua" w:cs="Times New Roman"/>
          <w:kern w:val="0"/>
          <w:sz w:val="24"/>
          <w:szCs w:val="24"/>
          <w:lang w:eastAsia="zh-CN"/>
        </w:rPr>
        <w:t xml:space="preserve"> </w:t>
      </w:r>
      <w:r w:rsidRPr="00322627">
        <w:rPr>
          <w:rFonts w:ascii="Book Antiqua" w:eastAsia="MS PGothic" w:hAnsi="Book Antiqua" w:cs="Times New Roman"/>
          <w:kern w:val="0"/>
          <w:sz w:val="24"/>
          <w:szCs w:val="24"/>
        </w:rPr>
        <w:t>10</w:t>
      </w:r>
      <w:r w:rsidRPr="00322627">
        <w:rPr>
          <w:rFonts w:ascii="Book Antiqua" w:eastAsia="MS PGothic" w:hAnsi="Book Antiqua" w:cs="Times New Roman"/>
          <w:kern w:val="0"/>
          <w:sz w:val="24"/>
          <w:szCs w:val="24"/>
          <w:vertAlign w:val="superscript"/>
        </w:rPr>
        <w:t>8</w:t>
      </w:r>
      <w:r w:rsidR="0079655D" w:rsidRPr="00322627">
        <w:rPr>
          <w:rFonts w:ascii="Book Antiqua" w:eastAsia="MS PGothic" w:hAnsi="Book Antiqua" w:cs="Times New Roman"/>
          <w:kern w:val="0"/>
          <w:sz w:val="24"/>
          <w:szCs w:val="24"/>
        </w:rPr>
        <w:t>/kg</w:t>
      </w:r>
      <w:r w:rsidR="0079655D" w:rsidRPr="00322627">
        <w:rPr>
          <w:rFonts w:ascii="Book Antiqua" w:eastAsia="宋体" w:hAnsi="Book Antiqua" w:cs="Times New Roman"/>
          <w:kern w:val="0"/>
          <w:sz w:val="24"/>
          <w:szCs w:val="24"/>
          <w:lang w:eastAsia="zh-CN"/>
        </w:rPr>
        <w:t xml:space="preserve"> per </w:t>
      </w:r>
      <w:r w:rsidRPr="00322627">
        <w:rPr>
          <w:rFonts w:ascii="Book Antiqua" w:eastAsia="MS PGothic" w:hAnsi="Book Antiqua" w:cs="Times New Roman"/>
          <w:kern w:val="0"/>
          <w:sz w:val="24"/>
          <w:szCs w:val="24"/>
        </w:rPr>
        <w:t xml:space="preserve">infusion) in five patients with EBV-positive T cell-LPD, with CR observed in three </w:t>
      </w:r>
      <w:proofErr w:type="gramStart"/>
      <w:r w:rsidRPr="00322627">
        <w:rPr>
          <w:rFonts w:ascii="Book Antiqua" w:eastAsia="MS PGothic" w:hAnsi="Book Antiqua" w:cs="Times New Roman"/>
          <w:kern w:val="0"/>
          <w:sz w:val="24"/>
          <w:szCs w:val="24"/>
        </w:rPr>
        <w:t>patients</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40]</w:t>
      </w:r>
      <w:r w:rsidRPr="00322627">
        <w:rPr>
          <w:rFonts w:ascii="Book Antiqua" w:eastAsia="MS PGothic" w:hAnsi="Book Antiqua" w:cs="Times New Roman"/>
          <w:kern w:val="0"/>
          <w:sz w:val="24"/>
          <w:szCs w:val="24"/>
        </w:rPr>
        <w:t>.</w:t>
      </w:r>
      <w:r w:rsidRPr="00322627">
        <w:rPr>
          <w:rFonts w:ascii="Book Antiqua" w:hAnsi="Book Antiqua" w:cs="Times New Roman"/>
          <w:sz w:val="24"/>
          <w:szCs w:val="24"/>
        </w:rPr>
        <w:t xml:space="preserve"> </w:t>
      </w:r>
    </w:p>
    <w:p w:rsidR="0079655D" w:rsidRPr="00322627" w:rsidRDefault="0079655D" w:rsidP="00322627">
      <w:pPr>
        <w:spacing w:line="360" w:lineRule="auto"/>
        <w:rPr>
          <w:rFonts w:ascii="Book Antiqua" w:eastAsia="宋体" w:hAnsi="Book Antiqua" w:cs="Times New Roman"/>
          <w:sz w:val="24"/>
          <w:szCs w:val="24"/>
          <w:lang w:eastAsia="zh-CN"/>
        </w:rPr>
      </w:pPr>
    </w:p>
    <w:p w:rsidR="006B3604" w:rsidRPr="00322627" w:rsidRDefault="006B3604" w:rsidP="00322627">
      <w:pPr>
        <w:spacing w:line="360" w:lineRule="auto"/>
        <w:rPr>
          <w:rFonts w:ascii="Book Antiqua" w:hAnsi="Book Antiqua" w:cs="Times New Roman"/>
          <w:b/>
          <w:i/>
          <w:sz w:val="24"/>
          <w:szCs w:val="24"/>
        </w:rPr>
      </w:pPr>
      <w:r w:rsidRPr="00322627">
        <w:rPr>
          <w:rFonts w:ascii="Book Antiqua" w:hAnsi="Book Antiqua" w:cs="Times New Roman"/>
          <w:b/>
          <w:i/>
          <w:sz w:val="24"/>
          <w:szCs w:val="24"/>
        </w:rPr>
        <w:t>HSCT</w:t>
      </w:r>
    </w:p>
    <w:p w:rsidR="006B3604" w:rsidRPr="00322627" w:rsidRDefault="006B3604" w:rsidP="00322627">
      <w:pPr>
        <w:spacing w:line="360" w:lineRule="auto"/>
        <w:rPr>
          <w:rFonts w:ascii="Book Antiqua" w:hAnsi="Book Antiqua" w:cs="Times New Roman"/>
          <w:sz w:val="24"/>
          <w:szCs w:val="24"/>
        </w:rPr>
      </w:pPr>
      <w:r w:rsidRPr="00322627">
        <w:rPr>
          <w:rFonts w:ascii="Book Antiqua" w:hAnsi="Book Antiqua" w:cs="Times New Roman"/>
          <w:sz w:val="24"/>
          <w:szCs w:val="24"/>
        </w:rPr>
        <w:t xml:space="preserve">In patients with CAEBV-related or genetic disease-related HLH, </w:t>
      </w:r>
      <w:r w:rsidRPr="00322627">
        <w:rPr>
          <w:rFonts w:ascii="Book Antiqua" w:eastAsia="MS PGothic" w:hAnsi="Book Antiqua" w:cs="Times New Roman"/>
          <w:kern w:val="0"/>
          <w:sz w:val="24"/>
          <w:szCs w:val="24"/>
        </w:rPr>
        <w:t xml:space="preserve">allogeneic </w:t>
      </w:r>
      <w:r w:rsidRPr="00322627">
        <w:rPr>
          <w:rFonts w:ascii="Book Antiqua" w:hAnsi="Book Antiqua" w:cs="Times New Roman"/>
          <w:sz w:val="24"/>
          <w:szCs w:val="24"/>
        </w:rPr>
        <w:t>HSCT is essential, although one of the biggest challenges is the timing of the transplant. T</w:t>
      </w:r>
      <w:r w:rsidRPr="00322627">
        <w:rPr>
          <w:rFonts w:ascii="Book Antiqua" w:eastAsia="MS PGothic" w:hAnsi="Book Antiqua" w:cs="Times New Roman"/>
          <w:kern w:val="0"/>
          <w:sz w:val="24"/>
          <w:szCs w:val="24"/>
        </w:rPr>
        <w:t xml:space="preserve">he overall estimated 3-year survival outcome after HSCT has been found to be 62% (+/- 12%) in patients with </w:t>
      </w:r>
      <w:proofErr w:type="gramStart"/>
      <w:r w:rsidRPr="00322627">
        <w:rPr>
          <w:rFonts w:ascii="Book Antiqua" w:eastAsia="MS PGothic" w:hAnsi="Book Antiqua" w:cs="Times New Roman"/>
          <w:kern w:val="0"/>
          <w:sz w:val="24"/>
          <w:szCs w:val="24"/>
        </w:rPr>
        <w:t>FHL</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19]</w:t>
      </w:r>
      <w:r w:rsidRPr="00322627">
        <w:rPr>
          <w:rFonts w:ascii="Book Antiqua" w:eastAsia="MS PGothic" w:hAnsi="Book Antiqua" w:cs="Times New Roman"/>
          <w:kern w:val="0"/>
          <w:sz w:val="24"/>
          <w:szCs w:val="24"/>
        </w:rPr>
        <w:t>.</w:t>
      </w:r>
      <w:r w:rsidRPr="00322627">
        <w:rPr>
          <w:rFonts w:ascii="Book Antiqua" w:hAnsi="Book Antiqua" w:cs="Times New Roman"/>
          <w:sz w:val="24"/>
          <w:szCs w:val="24"/>
        </w:rPr>
        <w:t xml:space="preserve"> In 2008, Sato and co-workers surveyed 74 cases of </w:t>
      </w:r>
      <w:r w:rsidRPr="00322627">
        <w:rPr>
          <w:rFonts w:ascii="Book Antiqua" w:eastAsia="MS PGothic" w:hAnsi="Book Antiqua" w:cs="Times New Roman"/>
          <w:kern w:val="0"/>
          <w:sz w:val="24"/>
          <w:szCs w:val="24"/>
        </w:rPr>
        <w:t xml:space="preserve">HSCT in EBV-associated T cell or NK cell-LPDs in Japan that comprised </w:t>
      </w:r>
      <w:r w:rsidRPr="00322627">
        <w:rPr>
          <w:rFonts w:ascii="Book Antiqua" w:hAnsi="Book Antiqua" w:cs="Times New Roman"/>
          <w:sz w:val="24"/>
          <w:szCs w:val="24"/>
        </w:rPr>
        <w:t>42 cases of CAEBV, ten cases of EBV-HLH, and 22 cases of EBV-associated leukemia or lymphoma. In the study, t</w:t>
      </w:r>
      <w:r w:rsidRPr="00322627">
        <w:rPr>
          <w:rFonts w:ascii="Book Antiqua" w:eastAsia="MS PGothic" w:hAnsi="Book Antiqua" w:cs="Times New Roman"/>
          <w:kern w:val="0"/>
          <w:sz w:val="24"/>
          <w:szCs w:val="24"/>
        </w:rPr>
        <w:t xml:space="preserve">he event-free survival (EFS) rate was found to be 0.561 +/- 0.086 for CAEBV, 0.614 +/- 0.186 for EBV-HLH, and 0.309 +/- 0.107 for EBV-lymphoma or </w:t>
      </w:r>
      <w:proofErr w:type="gramStart"/>
      <w:r w:rsidRPr="00322627">
        <w:rPr>
          <w:rFonts w:ascii="Book Antiqua" w:eastAsia="MS PGothic" w:hAnsi="Book Antiqua" w:cs="Times New Roman"/>
          <w:kern w:val="0"/>
          <w:sz w:val="24"/>
          <w:szCs w:val="24"/>
        </w:rPr>
        <w:t>leukemia</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41]</w:t>
      </w:r>
      <w:r w:rsidRPr="00322627">
        <w:rPr>
          <w:rFonts w:ascii="Book Antiqua" w:eastAsia="MS PGothic" w:hAnsi="Book Antiqua" w:cs="Times New Roman"/>
          <w:kern w:val="0"/>
          <w:sz w:val="24"/>
          <w:szCs w:val="24"/>
        </w:rPr>
        <w:t>.</w:t>
      </w:r>
      <w:r w:rsidRPr="00322627">
        <w:rPr>
          <w:rFonts w:ascii="Book Antiqua" w:hAnsi="Book Antiqua" w:cs="Times New Roman"/>
          <w:sz w:val="24"/>
          <w:szCs w:val="24"/>
        </w:rPr>
        <w:t xml:space="preserve"> In 2010, </w:t>
      </w:r>
      <w:proofErr w:type="spellStart"/>
      <w:r w:rsidRPr="00322627">
        <w:rPr>
          <w:rFonts w:ascii="Book Antiqua" w:hAnsi="Book Antiqua" w:cs="Times New Roman"/>
          <w:sz w:val="24"/>
          <w:szCs w:val="24"/>
        </w:rPr>
        <w:t>Ohga</w:t>
      </w:r>
      <w:proofErr w:type="spellEnd"/>
      <w:r w:rsidRPr="00322627">
        <w:rPr>
          <w:rFonts w:ascii="Book Antiqua" w:hAnsi="Book Antiqua" w:cs="Times New Roman"/>
          <w:i/>
          <w:sz w:val="24"/>
          <w:szCs w:val="24"/>
        </w:rPr>
        <w:t xml:space="preserve"> et </w:t>
      </w:r>
      <w:proofErr w:type="gramStart"/>
      <w:r w:rsidRPr="00322627">
        <w:rPr>
          <w:rFonts w:ascii="Book Antiqua" w:hAnsi="Book Antiqua" w:cs="Times New Roman"/>
          <w:i/>
          <w:sz w:val="24"/>
          <w:szCs w:val="24"/>
        </w:rPr>
        <w:t>al</w:t>
      </w:r>
      <w:r w:rsidR="0079655D" w:rsidRPr="00322627">
        <w:rPr>
          <w:rFonts w:ascii="Book Antiqua" w:hAnsi="Book Antiqua" w:cs="Times New Roman"/>
          <w:sz w:val="24"/>
          <w:szCs w:val="24"/>
          <w:vertAlign w:val="superscript"/>
        </w:rPr>
        <w:t>[</w:t>
      </w:r>
      <w:proofErr w:type="gramEnd"/>
      <w:r w:rsidR="0079655D" w:rsidRPr="00322627">
        <w:rPr>
          <w:rFonts w:ascii="Book Antiqua" w:hAnsi="Book Antiqua" w:cs="Times New Roman"/>
          <w:sz w:val="24"/>
          <w:szCs w:val="24"/>
          <w:vertAlign w:val="superscript"/>
        </w:rPr>
        <w:t>42]</w:t>
      </w:r>
      <w:r w:rsidRPr="00322627">
        <w:rPr>
          <w:rFonts w:ascii="Book Antiqua" w:hAnsi="Book Antiqua" w:cs="Times New Roman"/>
          <w:sz w:val="24"/>
          <w:szCs w:val="24"/>
        </w:rPr>
        <w:t xml:space="preserve"> analyzed the outcomes of HSCT on 43 FHL and 14 EBV-HLH patients, in which </w:t>
      </w:r>
      <w:r w:rsidRPr="00322627">
        <w:rPr>
          <w:rFonts w:ascii="Book Antiqua" w:eastAsia="MS PGothic" w:hAnsi="Book Antiqua" w:cs="Times New Roman"/>
          <w:kern w:val="0"/>
          <w:sz w:val="24"/>
          <w:szCs w:val="24"/>
        </w:rPr>
        <w:t>the 10-year overall survival rates were found to be 65.0 +/- 7.9% in FHL and 85.7 +/- 9.4% in EBV-HLH patients.</w:t>
      </w:r>
      <w:r w:rsidRPr="00322627">
        <w:rPr>
          <w:rFonts w:ascii="Book Antiqua" w:hAnsi="Book Antiqua" w:cs="Times New Roman"/>
          <w:sz w:val="24"/>
          <w:szCs w:val="24"/>
        </w:rPr>
        <w:t xml:space="preserve"> Another retrospective study has been performed on CAEBV patients (</w:t>
      </w:r>
      <w:r w:rsidRPr="00322627">
        <w:rPr>
          <w:rFonts w:ascii="Book Antiqua" w:hAnsi="Book Antiqua" w:cs="Times New Roman"/>
          <w:i/>
          <w:sz w:val="24"/>
          <w:szCs w:val="24"/>
        </w:rPr>
        <w:t>n</w:t>
      </w:r>
      <w:r w:rsidR="00C7016C" w:rsidRPr="00322627">
        <w:rPr>
          <w:rFonts w:ascii="Book Antiqua" w:eastAsia="宋体" w:hAnsi="Book Antiqua" w:cs="Times New Roman"/>
          <w:i/>
          <w:sz w:val="24"/>
          <w:szCs w:val="24"/>
          <w:lang w:eastAsia="zh-CN"/>
        </w:rPr>
        <w:t xml:space="preserve"> </w:t>
      </w:r>
      <w:r w:rsidRPr="00322627">
        <w:rPr>
          <w:rFonts w:ascii="Book Antiqua" w:hAnsi="Book Antiqua" w:cs="Times New Roman"/>
          <w:sz w:val="24"/>
          <w:szCs w:val="24"/>
        </w:rPr>
        <w:t>=</w:t>
      </w:r>
      <w:r w:rsidR="00C7016C" w:rsidRPr="00322627">
        <w:rPr>
          <w:rFonts w:ascii="Book Antiqua" w:eastAsia="宋体" w:hAnsi="Book Antiqua" w:cs="Times New Roman"/>
          <w:sz w:val="24"/>
          <w:szCs w:val="24"/>
          <w:lang w:eastAsia="zh-CN"/>
        </w:rPr>
        <w:t xml:space="preserve"> </w:t>
      </w:r>
      <w:r w:rsidRPr="00322627">
        <w:rPr>
          <w:rFonts w:ascii="Book Antiqua" w:hAnsi="Book Antiqua" w:cs="Times New Roman"/>
          <w:sz w:val="24"/>
          <w:szCs w:val="24"/>
        </w:rPr>
        <w:t xml:space="preserve">17) who underwent HSCT </w:t>
      </w:r>
      <w:r w:rsidRPr="00322627">
        <w:rPr>
          <w:rFonts w:ascii="Book Antiqua" w:eastAsia="MS PGothic" w:hAnsi="Book Antiqua" w:cs="Times New Roman"/>
          <w:kern w:val="0"/>
          <w:sz w:val="24"/>
          <w:szCs w:val="24"/>
        </w:rPr>
        <w:t>with a reduced intensified conditioning regimen (RIC) followed by bone marrow transplantation (RIC-BMT), and in patients (</w:t>
      </w:r>
      <w:r w:rsidR="00C7016C" w:rsidRPr="00322627">
        <w:rPr>
          <w:rFonts w:ascii="Book Antiqua" w:hAnsi="Book Antiqua" w:cs="Times New Roman"/>
          <w:i/>
          <w:sz w:val="24"/>
          <w:szCs w:val="24"/>
        </w:rPr>
        <w:t>n</w:t>
      </w:r>
      <w:r w:rsidR="00C7016C" w:rsidRPr="00322627">
        <w:rPr>
          <w:rFonts w:ascii="Book Antiqua" w:eastAsia="MS PGothic" w:hAnsi="Book Antiqua" w:cs="Times New Roman"/>
          <w:kern w:val="0"/>
          <w:sz w:val="24"/>
          <w:szCs w:val="24"/>
        </w:rPr>
        <w:t xml:space="preserve"> </w:t>
      </w:r>
      <w:r w:rsidRPr="00322627">
        <w:rPr>
          <w:rFonts w:ascii="Book Antiqua" w:eastAsia="MS PGothic" w:hAnsi="Book Antiqua" w:cs="Times New Roman"/>
          <w:kern w:val="0"/>
          <w:sz w:val="24"/>
          <w:szCs w:val="24"/>
        </w:rPr>
        <w:t>=</w:t>
      </w:r>
      <w:r w:rsidR="00C7016C" w:rsidRPr="00322627">
        <w:rPr>
          <w:rFonts w:ascii="Book Antiqua" w:eastAsia="宋体" w:hAnsi="Book Antiqua" w:cs="Times New Roman"/>
          <w:kern w:val="0"/>
          <w:sz w:val="24"/>
          <w:szCs w:val="24"/>
          <w:lang w:eastAsia="zh-CN"/>
        </w:rPr>
        <w:t xml:space="preserve"> </w:t>
      </w:r>
      <w:r w:rsidRPr="00322627">
        <w:rPr>
          <w:rFonts w:ascii="Book Antiqua" w:eastAsia="MS PGothic" w:hAnsi="Book Antiqua" w:cs="Times New Roman"/>
          <w:kern w:val="0"/>
          <w:sz w:val="24"/>
          <w:szCs w:val="24"/>
        </w:rPr>
        <w:t>15) who underwent RIC followed by unrelated cord blood transplantation (RIC-UCBT). Excellent overall survival rates were obtained with RIC-BMT (92.9% ± 6.9%) and RIC-CBT (93.3% ± 6.4%) (</w:t>
      </w:r>
      <w:r w:rsidRPr="00322627">
        <w:rPr>
          <w:rFonts w:ascii="Book Antiqua" w:eastAsia="MS PGothic" w:hAnsi="Book Antiqua" w:cs="Times New Roman"/>
          <w:i/>
          <w:kern w:val="0"/>
          <w:sz w:val="24"/>
          <w:szCs w:val="24"/>
        </w:rPr>
        <w:t>P</w:t>
      </w:r>
      <w:r w:rsidRPr="00322627">
        <w:rPr>
          <w:rFonts w:ascii="Book Antiqua" w:eastAsia="MS PGothic" w:hAnsi="Book Antiqua" w:cs="Times New Roman"/>
          <w:kern w:val="0"/>
          <w:sz w:val="24"/>
          <w:szCs w:val="24"/>
        </w:rPr>
        <w:t xml:space="preserve"> = 0.87)</w:t>
      </w:r>
      <w:r w:rsidR="00C7016C" w:rsidRPr="00322627">
        <w:rPr>
          <w:rFonts w:ascii="Book Antiqua" w:hAnsi="Book Antiqua" w:cs="Times New Roman"/>
          <w:sz w:val="24"/>
          <w:szCs w:val="24"/>
          <w:vertAlign w:val="superscript"/>
        </w:rPr>
        <w:t>[43]</w:t>
      </w:r>
      <w:r w:rsidRPr="00322627">
        <w:rPr>
          <w:rFonts w:ascii="Book Antiqua" w:eastAsia="MS PGothic" w:hAnsi="Book Antiqua" w:cs="Times New Roman"/>
          <w:kern w:val="0"/>
          <w:sz w:val="24"/>
          <w:szCs w:val="24"/>
        </w:rPr>
        <w:t>.</w:t>
      </w:r>
      <w:r w:rsidRPr="00322627">
        <w:rPr>
          <w:rFonts w:ascii="Book Antiqua" w:hAnsi="Book Antiqua" w:cs="Times New Roman"/>
          <w:sz w:val="24"/>
          <w:szCs w:val="24"/>
        </w:rPr>
        <w:t xml:space="preserve"> In a more recent study</w:t>
      </w:r>
      <w:r w:rsidRPr="00322627">
        <w:rPr>
          <w:rFonts w:ascii="Book Antiqua" w:eastAsia="MS PGothic" w:hAnsi="Book Antiqua" w:cs="Times New Roman"/>
          <w:kern w:val="0"/>
          <w:sz w:val="24"/>
          <w:szCs w:val="24"/>
        </w:rPr>
        <w:t xml:space="preserve">, </w:t>
      </w:r>
      <w:r w:rsidRPr="00322627">
        <w:rPr>
          <w:rFonts w:ascii="Book Antiqua" w:hAnsi="Book Antiqua" w:cs="Times New Roman"/>
          <w:sz w:val="24"/>
          <w:szCs w:val="24"/>
        </w:rPr>
        <w:t xml:space="preserve">all five CAEBV </w:t>
      </w:r>
      <w:r w:rsidRPr="00322627">
        <w:rPr>
          <w:rFonts w:ascii="Book Antiqua" w:hAnsi="Book Antiqua" w:cs="Times New Roman"/>
          <w:sz w:val="24"/>
          <w:szCs w:val="24"/>
        </w:rPr>
        <w:lastRenderedPageBreak/>
        <w:t>patients who underwent HSCT have been reported to be alive without any serious regimen-relat</w:t>
      </w:r>
      <w:r w:rsidR="00C7016C" w:rsidRPr="00322627">
        <w:rPr>
          <w:rFonts w:ascii="Book Antiqua" w:hAnsi="Book Antiqua" w:cs="Times New Roman"/>
          <w:sz w:val="24"/>
          <w:szCs w:val="24"/>
        </w:rPr>
        <w:t>ed toxicity for more than 16 mo</w:t>
      </w:r>
      <w:r w:rsidRPr="00322627">
        <w:rPr>
          <w:rFonts w:ascii="Book Antiqua" w:hAnsi="Book Antiqua" w:cs="Times New Roman"/>
          <w:sz w:val="24"/>
          <w:szCs w:val="24"/>
        </w:rPr>
        <w:t xml:space="preserve"> following </w:t>
      </w:r>
      <w:proofErr w:type="gramStart"/>
      <w:r w:rsidRPr="00322627">
        <w:rPr>
          <w:rFonts w:ascii="Book Antiqua" w:hAnsi="Book Antiqua" w:cs="Times New Roman"/>
          <w:sz w:val="24"/>
          <w:szCs w:val="24"/>
        </w:rPr>
        <w:t>HSCT</w:t>
      </w:r>
      <w:r w:rsidR="00C7016C" w:rsidRPr="00322627">
        <w:rPr>
          <w:rFonts w:ascii="Book Antiqua" w:hAnsi="Book Antiqua" w:cs="Times New Roman"/>
          <w:sz w:val="24"/>
          <w:szCs w:val="24"/>
          <w:vertAlign w:val="superscript"/>
        </w:rPr>
        <w:t>[</w:t>
      </w:r>
      <w:proofErr w:type="gramEnd"/>
      <w:r w:rsidR="00C7016C" w:rsidRPr="00322627">
        <w:rPr>
          <w:rFonts w:ascii="Book Antiqua" w:hAnsi="Book Antiqua" w:cs="Times New Roman"/>
          <w:sz w:val="24"/>
          <w:szCs w:val="24"/>
          <w:vertAlign w:val="superscript"/>
        </w:rPr>
        <w:t>44]</w:t>
      </w:r>
      <w:r w:rsidRPr="00322627">
        <w:rPr>
          <w:rFonts w:ascii="Book Antiqua" w:hAnsi="Book Antiqua" w:cs="Times New Roman"/>
          <w:sz w:val="24"/>
          <w:szCs w:val="24"/>
        </w:rPr>
        <w:t xml:space="preserve">. In consideration of these results, HSCT may be safely performed in patients to obtain a cure for refractory EBV-HLH or CAEBV. In addition, the efficacy of </w:t>
      </w:r>
      <w:r w:rsidRPr="00322627">
        <w:rPr>
          <w:rFonts w:ascii="Book Antiqua" w:eastAsia="MS PGothic" w:hAnsi="Book Antiqua" w:cs="Times New Roman"/>
          <w:kern w:val="0"/>
          <w:sz w:val="24"/>
          <w:szCs w:val="24"/>
        </w:rPr>
        <w:t xml:space="preserve">UCBT in combination with the </w:t>
      </w:r>
      <w:r w:rsidRPr="00322627">
        <w:rPr>
          <w:rFonts w:ascii="Book Antiqua" w:hAnsi="Book Antiqua" w:cs="Times New Roman"/>
          <w:sz w:val="24"/>
          <w:szCs w:val="24"/>
        </w:rPr>
        <w:t xml:space="preserve">RIC regimen has been confirmed in the treatment of EBV-HLH and CAEBV. However, decision-making concerning the determination of the optimal time to perform transplantation at a particular stage of the disease is often difficult in patients that remain in a stable condition, although HSCT may be a curable measure for CAEBV-related HLH and other hereditary disease-related EBV-HLH. </w:t>
      </w:r>
    </w:p>
    <w:p w:rsidR="006B3604" w:rsidRPr="00322627" w:rsidRDefault="006B3604" w:rsidP="00322627">
      <w:pPr>
        <w:spacing w:line="360" w:lineRule="auto"/>
        <w:rPr>
          <w:rFonts w:ascii="Book Antiqua" w:hAnsi="Book Antiqua" w:cs="Times New Roman"/>
          <w:sz w:val="24"/>
          <w:szCs w:val="24"/>
        </w:rPr>
      </w:pPr>
    </w:p>
    <w:p w:rsidR="006B3604" w:rsidRPr="00322627" w:rsidRDefault="006B3604" w:rsidP="00322627">
      <w:pPr>
        <w:widowControl/>
        <w:spacing w:line="360" w:lineRule="auto"/>
        <w:rPr>
          <w:rFonts w:ascii="Book Antiqua" w:hAnsi="Book Antiqua" w:cs="Times New Roman"/>
          <w:sz w:val="24"/>
          <w:szCs w:val="24"/>
        </w:rPr>
      </w:pPr>
      <w:r w:rsidRPr="00322627">
        <w:rPr>
          <w:rFonts w:ascii="Book Antiqua" w:hAnsi="Book Antiqua" w:cs="Times New Roman"/>
          <w:sz w:val="24"/>
          <w:szCs w:val="24"/>
        </w:rPr>
        <w:br w:type="page"/>
      </w:r>
    </w:p>
    <w:p w:rsidR="006B3604" w:rsidRPr="00322627" w:rsidRDefault="006B3604" w:rsidP="00322627">
      <w:pPr>
        <w:spacing w:line="360" w:lineRule="auto"/>
        <w:rPr>
          <w:rFonts w:ascii="Book Antiqua" w:hAnsi="Book Antiqua" w:cs="Times New Roman"/>
          <w:b/>
          <w:sz w:val="24"/>
          <w:szCs w:val="24"/>
        </w:rPr>
      </w:pPr>
      <w:r w:rsidRPr="00322627">
        <w:rPr>
          <w:rFonts w:ascii="Book Antiqua" w:hAnsi="Book Antiqua" w:cs="Times New Roman"/>
          <w:b/>
          <w:sz w:val="24"/>
          <w:szCs w:val="24"/>
        </w:rPr>
        <w:lastRenderedPageBreak/>
        <w:t>REFERENCES</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Treatment of Epstein-Barr virus-related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(EBV-HLH); update 2010. </w:t>
      </w:r>
      <w:r w:rsidRPr="00322627">
        <w:rPr>
          <w:rFonts w:ascii="Book Antiqua" w:eastAsia="宋体" w:hAnsi="Book Antiqua" w:cs="宋体"/>
          <w:i/>
          <w:iCs/>
          <w:kern w:val="0"/>
          <w:sz w:val="24"/>
          <w:szCs w:val="24"/>
        </w:rPr>
        <w:t xml:space="preserve">J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Oncol</w:t>
      </w:r>
      <w:proofErr w:type="spellEnd"/>
      <w:r w:rsidRPr="00322627">
        <w:rPr>
          <w:rFonts w:ascii="Book Antiqua" w:eastAsia="宋体" w:hAnsi="Book Antiqua" w:cs="宋体"/>
          <w:kern w:val="0"/>
          <w:sz w:val="24"/>
          <w:szCs w:val="24"/>
        </w:rPr>
        <w:t xml:space="preserve"> 2011; </w:t>
      </w:r>
      <w:r w:rsidRPr="00322627">
        <w:rPr>
          <w:rFonts w:ascii="Book Antiqua" w:eastAsia="宋体" w:hAnsi="Book Antiqua" w:cs="宋体"/>
          <w:b/>
          <w:bCs/>
          <w:kern w:val="0"/>
          <w:sz w:val="24"/>
          <w:szCs w:val="24"/>
        </w:rPr>
        <w:t>33</w:t>
      </w:r>
      <w:r w:rsidRPr="00322627">
        <w:rPr>
          <w:rFonts w:ascii="Book Antiqua" w:eastAsia="宋体" w:hAnsi="Book Antiqua" w:cs="宋体"/>
          <w:kern w:val="0"/>
          <w:sz w:val="24"/>
          <w:szCs w:val="24"/>
        </w:rPr>
        <w:t>: 35-39 [PMID: 21088619 DOI: 10.1097/MPH.0b013e3181f84a52]</w:t>
      </w:r>
    </w:p>
    <w:p w:rsidR="002F197E" w:rsidRPr="00322627" w:rsidRDefault="002F197E" w:rsidP="00322627">
      <w:pPr>
        <w:widowControl/>
        <w:spacing w:line="360" w:lineRule="auto"/>
        <w:rPr>
          <w:rFonts w:ascii="Book Antiqua" w:eastAsia="宋体" w:hAnsi="Book Antiqua" w:cs="宋体"/>
          <w:kern w:val="0"/>
          <w:sz w:val="24"/>
          <w:szCs w:val="24"/>
        </w:rPr>
      </w:pPr>
      <w:proofErr w:type="gramStart"/>
      <w:r w:rsidRPr="00322627">
        <w:rPr>
          <w:rFonts w:ascii="Book Antiqua" w:eastAsia="宋体" w:hAnsi="Book Antiqua" w:cs="宋体"/>
          <w:kern w:val="0"/>
          <w:sz w:val="24"/>
          <w:szCs w:val="24"/>
        </w:rPr>
        <w:t xml:space="preserve">2 </w:t>
      </w:r>
      <w:proofErr w:type="spellStart"/>
      <w:r w:rsidRPr="00322627">
        <w:rPr>
          <w:rFonts w:ascii="Book Antiqua" w:eastAsia="宋体" w:hAnsi="Book Antiqua" w:cs="宋体"/>
          <w:b/>
          <w:bCs/>
          <w:kern w:val="0"/>
          <w:sz w:val="24"/>
          <w:szCs w:val="24"/>
        </w:rPr>
        <w:t>Janka</w:t>
      </w:r>
      <w:proofErr w:type="spellEnd"/>
      <w:r w:rsidRPr="00322627">
        <w:rPr>
          <w:rFonts w:ascii="Book Antiqua" w:eastAsia="宋体" w:hAnsi="Book Antiqua" w:cs="宋体"/>
          <w:b/>
          <w:bCs/>
          <w:kern w:val="0"/>
          <w:sz w:val="24"/>
          <w:szCs w:val="24"/>
        </w:rPr>
        <w:t xml:space="preserve"> GE</w:t>
      </w:r>
      <w:r w:rsidRPr="00322627">
        <w:rPr>
          <w:rFonts w:ascii="Book Antiqua" w:eastAsia="宋体" w:hAnsi="Book Antiqua" w:cs="宋体"/>
          <w:kern w:val="0"/>
          <w:sz w:val="24"/>
          <w:szCs w:val="24"/>
        </w:rPr>
        <w:t>.</w:t>
      </w:r>
      <w:proofErr w:type="gramEnd"/>
      <w:r w:rsidRPr="00322627">
        <w:rPr>
          <w:rFonts w:ascii="Book Antiqua" w:eastAsia="宋体" w:hAnsi="Book Antiqua" w:cs="宋体"/>
          <w:kern w:val="0"/>
          <w:sz w:val="24"/>
          <w:szCs w:val="24"/>
        </w:rPr>
        <w:t xml:space="preserve"> </w:t>
      </w:r>
      <w:proofErr w:type="gramStart"/>
      <w:r w:rsidRPr="00322627">
        <w:rPr>
          <w:rFonts w:ascii="Book Antiqua" w:eastAsia="宋体" w:hAnsi="Book Antiqua" w:cs="宋体"/>
          <w:kern w:val="0"/>
          <w:sz w:val="24"/>
          <w:szCs w:val="24"/>
        </w:rPr>
        <w:t xml:space="preserve">Familial and acquired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w:t>
      </w:r>
      <w:proofErr w:type="gram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Annu</w:t>
      </w:r>
      <w:proofErr w:type="spellEnd"/>
      <w:r w:rsidRPr="00322627">
        <w:rPr>
          <w:rFonts w:ascii="Book Antiqua" w:eastAsia="宋体" w:hAnsi="Book Antiqua" w:cs="宋体"/>
          <w:i/>
          <w:iCs/>
          <w:kern w:val="0"/>
          <w:sz w:val="24"/>
          <w:szCs w:val="24"/>
        </w:rPr>
        <w:t xml:space="preserve"> Rev Med</w:t>
      </w:r>
      <w:r w:rsidRPr="00322627">
        <w:rPr>
          <w:rFonts w:ascii="Book Antiqua" w:eastAsia="宋体" w:hAnsi="Book Antiqua" w:cs="宋体"/>
          <w:kern w:val="0"/>
          <w:sz w:val="24"/>
          <w:szCs w:val="24"/>
        </w:rPr>
        <w:t xml:space="preserve"> 2012; </w:t>
      </w:r>
      <w:r w:rsidRPr="00322627">
        <w:rPr>
          <w:rFonts w:ascii="Book Antiqua" w:eastAsia="宋体" w:hAnsi="Book Antiqua" w:cs="宋体"/>
          <w:b/>
          <w:bCs/>
          <w:kern w:val="0"/>
          <w:sz w:val="24"/>
          <w:szCs w:val="24"/>
        </w:rPr>
        <w:t>63</w:t>
      </w:r>
      <w:r w:rsidRPr="00322627">
        <w:rPr>
          <w:rFonts w:ascii="Book Antiqua" w:eastAsia="宋体" w:hAnsi="Book Antiqua" w:cs="宋体"/>
          <w:kern w:val="0"/>
          <w:sz w:val="24"/>
          <w:szCs w:val="24"/>
        </w:rPr>
        <w:t>: 233-246 [PMID: 22248322 DOI: 10.1146/</w:t>
      </w:r>
      <w:r w:rsidRPr="00322627">
        <w:rPr>
          <w:rFonts w:ascii="Book Antiqua" w:hAnsi="Book Antiqua"/>
          <w:sz w:val="24"/>
          <w:szCs w:val="24"/>
        </w:rPr>
        <w:t xml:space="preserve"> </w:t>
      </w:r>
      <w:r w:rsidRPr="00322627">
        <w:rPr>
          <w:rFonts w:ascii="Book Antiqua" w:eastAsia="宋体" w:hAnsi="Book Antiqua" w:cs="宋体"/>
          <w:kern w:val="0"/>
          <w:sz w:val="24"/>
          <w:szCs w:val="24"/>
        </w:rPr>
        <w:t>annurev-med-041610-134208]</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Clinical features and treatment strategies of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Crit</w:t>
      </w:r>
      <w:proofErr w:type="spellEnd"/>
      <w:r w:rsidRPr="00322627">
        <w:rPr>
          <w:rFonts w:ascii="Book Antiqua" w:eastAsia="宋体" w:hAnsi="Book Antiqua" w:cs="宋体"/>
          <w:i/>
          <w:iCs/>
          <w:kern w:val="0"/>
          <w:sz w:val="24"/>
          <w:szCs w:val="24"/>
        </w:rPr>
        <w:t xml:space="preserve"> Rev </w:t>
      </w:r>
      <w:proofErr w:type="spellStart"/>
      <w:r w:rsidRPr="00322627">
        <w:rPr>
          <w:rFonts w:ascii="Book Antiqua" w:eastAsia="宋体" w:hAnsi="Book Antiqua" w:cs="宋体"/>
          <w:i/>
          <w:iCs/>
          <w:kern w:val="0"/>
          <w:sz w:val="24"/>
          <w:szCs w:val="24"/>
        </w:rPr>
        <w:t>Oncol</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kern w:val="0"/>
          <w:sz w:val="24"/>
          <w:szCs w:val="24"/>
        </w:rPr>
        <w:t xml:space="preserve"> 2002; </w:t>
      </w:r>
      <w:r w:rsidRPr="00322627">
        <w:rPr>
          <w:rFonts w:ascii="Book Antiqua" w:eastAsia="宋体" w:hAnsi="Book Antiqua" w:cs="宋体"/>
          <w:b/>
          <w:bCs/>
          <w:kern w:val="0"/>
          <w:sz w:val="24"/>
          <w:szCs w:val="24"/>
        </w:rPr>
        <w:t>44</w:t>
      </w:r>
      <w:r w:rsidRPr="00322627">
        <w:rPr>
          <w:rFonts w:ascii="Book Antiqua" w:eastAsia="宋体" w:hAnsi="Book Antiqua" w:cs="宋体"/>
          <w:kern w:val="0"/>
          <w:sz w:val="24"/>
          <w:szCs w:val="24"/>
        </w:rPr>
        <w:t>: 259-272 [PMID: 12467966 DOI: 10.1016/S1040-8428(02)00117-8]</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4 </w:t>
      </w:r>
      <w:r w:rsidRPr="00322627">
        <w:rPr>
          <w:rFonts w:ascii="Book Antiqua" w:eastAsia="宋体" w:hAnsi="Book Antiqua" w:cs="宋体"/>
          <w:b/>
          <w:bCs/>
          <w:kern w:val="0"/>
          <w:sz w:val="24"/>
          <w:szCs w:val="24"/>
        </w:rPr>
        <w:t>Rohr J</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Beutel</w:t>
      </w:r>
      <w:proofErr w:type="spellEnd"/>
      <w:r w:rsidRPr="00322627">
        <w:rPr>
          <w:rFonts w:ascii="Book Antiqua" w:eastAsia="宋体" w:hAnsi="Book Antiqua" w:cs="宋体"/>
          <w:kern w:val="0"/>
          <w:sz w:val="24"/>
          <w:szCs w:val="24"/>
        </w:rPr>
        <w:t xml:space="preserve"> K, Maul-</w:t>
      </w:r>
      <w:proofErr w:type="spellStart"/>
      <w:r w:rsidRPr="00322627">
        <w:rPr>
          <w:rFonts w:ascii="Book Antiqua" w:eastAsia="宋体" w:hAnsi="Book Antiqua" w:cs="宋体"/>
          <w:kern w:val="0"/>
          <w:sz w:val="24"/>
          <w:szCs w:val="24"/>
        </w:rPr>
        <w:t>Pavicic</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Vraetz</w:t>
      </w:r>
      <w:proofErr w:type="spellEnd"/>
      <w:r w:rsidRPr="00322627">
        <w:rPr>
          <w:rFonts w:ascii="Book Antiqua" w:eastAsia="宋体" w:hAnsi="Book Antiqua" w:cs="宋体"/>
          <w:kern w:val="0"/>
          <w:sz w:val="24"/>
          <w:szCs w:val="24"/>
        </w:rPr>
        <w:t xml:space="preserve"> T, Thiel J, </w:t>
      </w:r>
      <w:proofErr w:type="spellStart"/>
      <w:r w:rsidRPr="00322627">
        <w:rPr>
          <w:rFonts w:ascii="Book Antiqua" w:eastAsia="宋体" w:hAnsi="Book Antiqua" w:cs="宋体"/>
          <w:kern w:val="0"/>
          <w:sz w:val="24"/>
          <w:szCs w:val="24"/>
        </w:rPr>
        <w:t>Warnatz</w:t>
      </w:r>
      <w:proofErr w:type="spellEnd"/>
      <w:r w:rsidRPr="00322627">
        <w:rPr>
          <w:rFonts w:ascii="Book Antiqua" w:eastAsia="宋体" w:hAnsi="Book Antiqua" w:cs="宋体"/>
          <w:kern w:val="0"/>
          <w:sz w:val="24"/>
          <w:szCs w:val="24"/>
        </w:rPr>
        <w:t xml:space="preserve"> K, </w:t>
      </w:r>
      <w:proofErr w:type="spellStart"/>
      <w:r w:rsidRPr="00322627">
        <w:rPr>
          <w:rFonts w:ascii="Book Antiqua" w:eastAsia="宋体" w:hAnsi="Book Antiqua" w:cs="宋体"/>
          <w:kern w:val="0"/>
          <w:sz w:val="24"/>
          <w:szCs w:val="24"/>
        </w:rPr>
        <w:t>Bondzio</w:t>
      </w:r>
      <w:proofErr w:type="spellEnd"/>
      <w:r w:rsidRPr="00322627">
        <w:rPr>
          <w:rFonts w:ascii="Book Antiqua" w:eastAsia="宋体" w:hAnsi="Book Antiqua" w:cs="宋体"/>
          <w:kern w:val="0"/>
          <w:sz w:val="24"/>
          <w:szCs w:val="24"/>
        </w:rPr>
        <w:t xml:space="preserve"> I, Gross-</w:t>
      </w:r>
      <w:proofErr w:type="spellStart"/>
      <w:r w:rsidRPr="00322627">
        <w:rPr>
          <w:rFonts w:ascii="Book Antiqua" w:eastAsia="宋体" w:hAnsi="Book Antiqua" w:cs="宋体"/>
          <w:kern w:val="0"/>
          <w:sz w:val="24"/>
          <w:szCs w:val="24"/>
        </w:rPr>
        <w:t>Wieltsch</w:t>
      </w:r>
      <w:proofErr w:type="spellEnd"/>
      <w:r w:rsidRPr="00322627">
        <w:rPr>
          <w:rFonts w:ascii="Book Antiqua" w:eastAsia="宋体" w:hAnsi="Book Antiqua" w:cs="宋体"/>
          <w:kern w:val="0"/>
          <w:sz w:val="24"/>
          <w:szCs w:val="24"/>
        </w:rPr>
        <w:t xml:space="preserve"> U, </w:t>
      </w:r>
      <w:proofErr w:type="spellStart"/>
      <w:r w:rsidRPr="00322627">
        <w:rPr>
          <w:rFonts w:ascii="Book Antiqua" w:eastAsia="宋体" w:hAnsi="Book Antiqua" w:cs="宋体"/>
          <w:kern w:val="0"/>
          <w:sz w:val="24"/>
          <w:szCs w:val="24"/>
        </w:rPr>
        <w:t>Schündeln</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Schütz</w:t>
      </w:r>
      <w:proofErr w:type="spellEnd"/>
      <w:r w:rsidRPr="00322627">
        <w:rPr>
          <w:rFonts w:ascii="Book Antiqua" w:eastAsia="宋体" w:hAnsi="Book Antiqua" w:cs="宋体"/>
          <w:kern w:val="0"/>
          <w:sz w:val="24"/>
          <w:szCs w:val="24"/>
        </w:rPr>
        <w:t xml:space="preserve"> B, </w:t>
      </w:r>
      <w:proofErr w:type="spellStart"/>
      <w:r w:rsidRPr="00322627">
        <w:rPr>
          <w:rFonts w:ascii="Book Antiqua" w:eastAsia="宋体" w:hAnsi="Book Antiqua" w:cs="宋体"/>
          <w:kern w:val="0"/>
          <w:sz w:val="24"/>
          <w:szCs w:val="24"/>
        </w:rPr>
        <w:t>Woessmann</w:t>
      </w:r>
      <w:proofErr w:type="spellEnd"/>
      <w:r w:rsidRPr="00322627">
        <w:rPr>
          <w:rFonts w:ascii="Book Antiqua" w:eastAsia="宋体" w:hAnsi="Book Antiqua" w:cs="宋体"/>
          <w:kern w:val="0"/>
          <w:sz w:val="24"/>
          <w:szCs w:val="24"/>
        </w:rPr>
        <w:t xml:space="preserve"> W, </w:t>
      </w:r>
      <w:proofErr w:type="spellStart"/>
      <w:r w:rsidRPr="00322627">
        <w:rPr>
          <w:rFonts w:ascii="Book Antiqua" w:eastAsia="宋体" w:hAnsi="Book Antiqua" w:cs="宋体"/>
          <w:kern w:val="0"/>
          <w:sz w:val="24"/>
          <w:szCs w:val="24"/>
        </w:rPr>
        <w:t>Groll</w:t>
      </w:r>
      <w:proofErr w:type="spellEnd"/>
      <w:r w:rsidRPr="00322627">
        <w:rPr>
          <w:rFonts w:ascii="Book Antiqua" w:eastAsia="宋体" w:hAnsi="Book Antiqua" w:cs="宋体"/>
          <w:kern w:val="0"/>
          <w:sz w:val="24"/>
          <w:szCs w:val="24"/>
        </w:rPr>
        <w:t xml:space="preserve"> AH, </w:t>
      </w:r>
      <w:proofErr w:type="spellStart"/>
      <w:r w:rsidRPr="00322627">
        <w:rPr>
          <w:rFonts w:ascii="Book Antiqua" w:eastAsia="宋体" w:hAnsi="Book Antiqua" w:cs="宋体"/>
          <w:kern w:val="0"/>
          <w:sz w:val="24"/>
          <w:szCs w:val="24"/>
        </w:rPr>
        <w:t>Strahm</w:t>
      </w:r>
      <w:proofErr w:type="spellEnd"/>
      <w:r w:rsidRPr="00322627">
        <w:rPr>
          <w:rFonts w:ascii="Book Antiqua" w:eastAsia="宋体" w:hAnsi="Book Antiqua" w:cs="宋体"/>
          <w:kern w:val="0"/>
          <w:sz w:val="24"/>
          <w:szCs w:val="24"/>
        </w:rPr>
        <w:t xml:space="preserve"> B, </w:t>
      </w:r>
      <w:proofErr w:type="spellStart"/>
      <w:r w:rsidRPr="00322627">
        <w:rPr>
          <w:rFonts w:ascii="Book Antiqua" w:eastAsia="宋体" w:hAnsi="Book Antiqua" w:cs="宋体"/>
          <w:kern w:val="0"/>
          <w:sz w:val="24"/>
          <w:szCs w:val="24"/>
        </w:rPr>
        <w:t>Pagel</w:t>
      </w:r>
      <w:proofErr w:type="spellEnd"/>
      <w:r w:rsidRPr="00322627">
        <w:rPr>
          <w:rFonts w:ascii="Book Antiqua" w:eastAsia="宋体" w:hAnsi="Book Antiqua" w:cs="宋体"/>
          <w:kern w:val="0"/>
          <w:sz w:val="24"/>
          <w:szCs w:val="24"/>
        </w:rPr>
        <w:t xml:space="preserve"> J, </w:t>
      </w:r>
      <w:proofErr w:type="spellStart"/>
      <w:r w:rsidRPr="00322627">
        <w:rPr>
          <w:rFonts w:ascii="Book Antiqua" w:eastAsia="宋体" w:hAnsi="Book Antiqua" w:cs="宋体"/>
          <w:kern w:val="0"/>
          <w:sz w:val="24"/>
          <w:szCs w:val="24"/>
        </w:rPr>
        <w:t>Speckmann</w:t>
      </w:r>
      <w:proofErr w:type="spellEnd"/>
      <w:r w:rsidRPr="00322627">
        <w:rPr>
          <w:rFonts w:ascii="Book Antiqua" w:eastAsia="宋体" w:hAnsi="Book Antiqua" w:cs="宋体"/>
          <w:kern w:val="0"/>
          <w:sz w:val="24"/>
          <w:szCs w:val="24"/>
        </w:rPr>
        <w:t xml:space="preserve"> C, </w:t>
      </w:r>
      <w:proofErr w:type="spellStart"/>
      <w:r w:rsidRPr="00322627">
        <w:rPr>
          <w:rFonts w:ascii="Book Antiqua" w:eastAsia="宋体" w:hAnsi="Book Antiqua" w:cs="宋体"/>
          <w:kern w:val="0"/>
          <w:sz w:val="24"/>
          <w:szCs w:val="24"/>
        </w:rPr>
        <w:t>Janka</w:t>
      </w:r>
      <w:proofErr w:type="spellEnd"/>
      <w:r w:rsidRPr="00322627">
        <w:rPr>
          <w:rFonts w:ascii="Book Antiqua" w:eastAsia="宋体" w:hAnsi="Book Antiqua" w:cs="宋体"/>
          <w:kern w:val="0"/>
          <w:sz w:val="24"/>
          <w:szCs w:val="24"/>
        </w:rPr>
        <w:t xml:space="preserve"> G, Griffiths G, Schwarz K, </w:t>
      </w:r>
      <w:proofErr w:type="spellStart"/>
      <w:r w:rsidRPr="00322627">
        <w:rPr>
          <w:rFonts w:ascii="Book Antiqua" w:eastAsia="宋体" w:hAnsi="Book Antiqua" w:cs="宋体"/>
          <w:kern w:val="0"/>
          <w:sz w:val="24"/>
          <w:szCs w:val="24"/>
        </w:rPr>
        <w:t>zur</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Stadt</w:t>
      </w:r>
      <w:proofErr w:type="spellEnd"/>
      <w:r w:rsidRPr="00322627">
        <w:rPr>
          <w:rFonts w:ascii="Book Antiqua" w:eastAsia="宋体" w:hAnsi="Book Antiqua" w:cs="宋体"/>
          <w:kern w:val="0"/>
          <w:sz w:val="24"/>
          <w:szCs w:val="24"/>
        </w:rPr>
        <w:t xml:space="preserve"> U, </w:t>
      </w:r>
      <w:proofErr w:type="spellStart"/>
      <w:r w:rsidRPr="00322627">
        <w:rPr>
          <w:rFonts w:ascii="Book Antiqua" w:eastAsia="宋体" w:hAnsi="Book Antiqua" w:cs="宋体"/>
          <w:kern w:val="0"/>
          <w:sz w:val="24"/>
          <w:szCs w:val="24"/>
        </w:rPr>
        <w:t>Ehl</w:t>
      </w:r>
      <w:proofErr w:type="spellEnd"/>
      <w:r w:rsidRPr="00322627">
        <w:rPr>
          <w:rFonts w:ascii="Book Antiqua" w:eastAsia="宋体" w:hAnsi="Book Antiqua" w:cs="宋体"/>
          <w:kern w:val="0"/>
          <w:sz w:val="24"/>
          <w:szCs w:val="24"/>
        </w:rPr>
        <w:t xml:space="preserve"> S. Atypical familial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due to mutations in UNC13D and STXBP2 overlaps with primary immunodeficiency diseases. </w:t>
      </w:r>
      <w:proofErr w:type="spellStart"/>
      <w:r w:rsidRPr="00322627">
        <w:rPr>
          <w:rFonts w:ascii="Book Antiqua" w:eastAsia="宋体" w:hAnsi="Book Antiqua" w:cs="宋体"/>
          <w:i/>
          <w:iCs/>
          <w:kern w:val="0"/>
          <w:sz w:val="24"/>
          <w:szCs w:val="24"/>
        </w:rPr>
        <w:t>Haematologica</w:t>
      </w:r>
      <w:proofErr w:type="spellEnd"/>
      <w:r w:rsidRPr="00322627">
        <w:rPr>
          <w:rFonts w:ascii="Book Antiqua" w:eastAsia="宋体" w:hAnsi="Book Antiqua" w:cs="宋体"/>
          <w:kern w:val="0"/>
          <w:sz w:val="24"/>
          <w:szCs w:val="24"/>
        </w:rPr>
        <w:t xml:space="preserve"> 2010; </w:t>
      </w:r>
      <w:r w:rsidRPr="00322627">
        <w:rPr>
          <w:rFonts w:ascii="Book Antiqua" w:eastAsia="宋体" w:hAnsi="Book Antiqua" w:cs="宋体"/>
          <w:b/>
          <w:bCs/>
          <w:kern w:val="0"/>
          <w:sz w:val="24"/>
          <w:szCs w:val="24"/>
        </w:rPr>
        <w:t>95</w:t>
      </w:r>
      <w:r w:rsidRPr="00322627">
        <w:rPr>
          <w:rFonts w:ascii="Book Antiqua" w:eastAsia="宋体" w:hAnsi="Book Antiqua" w:cs="宋体"/>
          <w:kern w:val="0"/>
          <w:sz w:val="24"/>
          <w:szCs w:val="24"/>
        </w:rPr>
        <w:t>: 2080-2087 [PMID: 20823128 DOI: 10.3324/haematol.2010.029389]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5 </w:t>
      </w:r>
      <w:r w:rsidRPr="00322627">
        <w:rPr>
          <w:rFonts w:ascii="Book Antiqua" w:eastAsia="宋体" w:hAnsi="Book Antiqua" w:cs="宋体"/>
          <w:b/>
          <w:bCs/>
          <w:kern w:val="0"/>
          <w:sz w:val="24"/>
          <w:szCs w:val="24"/>
        </w:rPr>
        <w:t>Booth C</w:t>
      </w:r>
      <w:r w:rsidRPr="00322627">
        <w:rPr>
          <w:rFonts w:ascii="Book Antiqua" w:eastAsia="宋体" w:hAnsi="Book Antiqua" w:cs="宋体"/>
          <w:kern w:val="0"/>
          <w:sz w:val="24"/>
          <w:szCs w:val="24"/>
        </w:rPr>
        <w:t xml:space="preserve">, Gilmour KC, </w:t>
      </w:r>
      <w:proofErr w:type="spellStart"/>
      <w:r w:rsidRPr="00322627">
        <w:rPr>
          <w:rFonts w:ascii="Book Antiqua" w:eastAsia="宋体" w:hAnsi="Book Antiqua" w:cs="宋体"/>
          <w:kern w:val="0"/>
          <w:sz w:val="24"/>
          <w:szCs w:val="24"/>
        </w:rPr>
        <w:t>Veys</w:t>
      </w:r>
      <w:proofErr w:type="spellEnd"/>
      <w:r w:rsidRPr="00322627">
        <w:rPr>
          <w:rFonts w:ascii="Book Antiqua" w:eastAsia="宋体" w:hAnsi="Book Antiqua" w:cs="宋体"/>
          <w:kern w:val="0"/>
          <w:sz w:val="24"/>
          <w:szCs w:val="24"/>
        </w:rPr>
        <w:t xml:space="preserve"> P, </w:t>
      </w:r>
      <w:proofErr w:type="spellStart"/>
      <w:r w:rsidRPr="00322627">
        <w:rPr>
          <w:rFonts w:ascii="Book Antiqua" w:eastAsia="宋体" w:hAnsi="Book Antiqua" w:cs="宋体"/>
          <w:kern w:val="0"/>
          <w:sz w:val="24"/>
          <w:szCs w:val="24"/>
        </w:rPr>
        <w:t>Gennery</w:t>
      </w:r>
      <w:proofErr w:type="spellEnd"/>
      <w:r w:rsidRPr="00322627">
        <w:rPr>
          <w:rFonts w:ascii="Book Antiqua" w:eastAsia="宋体" w:hAnsi="Book Antiqua" w:cs="宋体"/>
          <w:kern w:val="0"/>
          <w:sz w:val="24"/>
          <w:szCs w:val="24"/>
        </w:rPr>
        <w:t xml:space="preserve"> AR, </w:t>
      </w:r>
      <w:proofErr w:type="spellStart"/>
      <w:r w:rsidRPr="00322627">
        <w:rPr>
          <w:rFonts w:ascii="Book Antiqua" w:eastAsia="宋体" w:hAnsi="Book Antiqua" w:cs="宋体"/>
          <w:kern w:val="0"/>
          <w:sz w:val="24"/>
          <w:szCs w:val="24"/>
        </w:rPr>
        <w:t>Slatter</w:t>
      </w:r>
      <w:proofErr w:type="spellEnd"/>
      <w:r w:rsidRPr="00322627">
        <w:rPr>
          <w:rFonts w:ascii="Book Antiqua" w:eastAsia="宋体" w:hAnsi="Book Antiqua" w:cs="宋体"/>
          <w:kern w:val="0"/>
          <w:sz w:val="24"/>
          <w:szCs w:val="24"/>
        </w:rPr>
        <w:t xml:space="preserve"> MA, Chapel H, Heath PT, Steward CG, Smith O, O'Meara A, Kerrigan H, </w:t>
      </w:r>
      <w:proofErr w:type="spellStart"/>
      <w:r w:rsidRPr="00322627">
        <w:rPr>
          <w:rFonts w:ascii="Book Antiqua" w:eastAsia="宋体" w:hAnsi="Book Antiqua" w:cs="宋体"/>
          <w:kern w:val="0"/>
          <w:sz w:val="24"/>
          <w:szCs w:val="24"/>
        </w:rPr>
        <w:t>Mahlaoui</w:t>
      </w:r>
      <w:proofErr w:type="spellEnd"/>
      <w:r w:rsidRPr="00322627">
        <w:rPr>
          <w:rFonts w:ascii="Book Antiqua" w:eastAsia="宋体" w:hAnsi="Book Antiqua" w:cs="宋体"/>
          <w:kern w:val="0"/>
          <w:sz w:val="24"/>
          <w:szCs w:val="24"/>
        </w:rPr>
        <w:t xml:space="preserve"> N, </w:t>
      </w:r>
      <w:proofErr w:type="spellStart"/>
      <w:r w:rsidRPr="00322627">
        <w:rPr>
          <w:rFonts w:ascii="Book Antiqua" w:eastAsia="宋体" w:hAnsi="Book Antiqua" w:cs="宋体"/>
          <w:kern w:val="0"/>
          <w:sz w:val="24"/>
          <w:szCs w:val="24"/>
        </w:rPr>
        <w:t>Cavazzana-Calvo</w:t>
      </w:r>
      <w:proofErr w:type="spellEnd"/>
      <w:r w:rsidRPr="00322627">
        <w:rPr>
          <w:rFonts w:ascii="Book Antiqua" w:eastAsia="宋体" w:hAnsi="Book Antiqua" w:cs="宋体"/>
          <w:kern w:val="0"/>
          <w:sz w:val="24"/>
          <w:szCs w:val="24"/>
        </w:rPr>
        <w:t xml:space="preserve"> M, Fischer A, </w:t>
      </w:r>
      <w:proofErr w:type="spellStart"/>
      <w:r w:rsidRPr="00322627">
        <w:rPr>
          <w:rFonts w:ascii="Book Antiqua" w:eastAsia="宋体" w:hAnsi="Book Antiqua" w:cs="宋体"/>
          <w:kern w:val="0"/>
          <w:sz w:val="24"/>
          <w:szCs w:val="24"/>
        </w:rPr>
        <w:t>Moshous</w:t>
      </w:r>
      <w:proofErr w:type="spellEnd"/>
      <w:r w:rsidRPr="00322627">
        <w:rPr>
          <w:rFonts w:ascii="Book Antiqua" w:eastAsia="宋体" w:hAnsi="Book Antiqua" w:cs="宋体"/>
          <w:kern w:val="0"/>
          <w:sz w:val="24"/>
          <w:szCs w:val="24"/>
        </w:rPr>
        <w:t xml:space="preserve"> D, Blanche S, </w:t>
      </w:r>
      <w:proofErr w:type="spellStart"/>
      <w:r w:rsidRPr="00322627">
        <w:rPr>
          <w:rFonts w:ascii="Book Antiqua" w:eastAsia="宋体" w:hAnsi="Book Antiqua" w:cs="宋体"/>
          <w:kern w:val="0"/>
          <w:sz w:val="24"/>
          <w:szCs w:val="24"/>
        </w:rPr>
        <w:t>Pachlopnik</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Schmid</w:t>
      </w:r>
      <w:proofErr w:type="spellEnd"/>
      <w:r w:rsidRPr="00322627">
        <w:rPr>
          <w:rFonts w:ascii="Book Antiqua" w:eastAsia="宋体" w:hAnsi="Book Antiqua" w:cs="宋体"/>
          <w:kern w:val="0"/>
          <w:sz w:val="24"/>
          <w:szCs w:val="24"/>
        </w:rPr>
        <w:t xml:space="preserve"> J, </w:t>
      </w:r>
      <w:proofErr w:type="spellStart"/>
      <w:r w:rsidRPr="00322627">
        <w:rPr>
          <w:rFonts w:ascii="Book Antiqua" w:eastAsia="宋体" w:hAnsi="Book Antiqua" w:cs="宋体"/>
          <w:kern w:val="0"/>
          <w:sz w:val="24"/>
          <w:szCs w:val="24"/>
        </w:rPr>
        <w:t>Latour</w:t>
      </w:r>
      <w:proofErr w:type="spellEnd"/>
      <w:r w:rsidRPr="00322627">
        <w:rPr>
          <w:rFonts w:ascii="Book Antiqua" w:eastAsia="宋体" w:hAnsi="Book Antiqua" w:cs="宋体"/>
          <w:kern w:val="0"/>
          <w:sz w:val="24"/>
          <w:szCs w:val="24"/>
        </w:rPr>
        <w:t xml:space="preserve"> S, de Saint-</w:t>
      </w:r>
      <w:proofErr w:type="spellStart"/>
      <w:r w:rsidRPr="00322627">
        <w:rPr>
          <w:rFonts w:ascii="Book Antiqua" w:eastAsia="宋体" w:hAnsi="Book Antiqua" w:cs="宋体"/>
          <w:kern w:val="0"/>
          <w:sz w:val="24"/>
          <w:szCs w:val="24"/>
        </w:rPr>
        <w:t>Basile</w:t>
      </w:r>
      <w:proofErr w:type="spellEnd"/>
      <w:r w:rsidRPr="00322627">
        <w:rPr>
          <w:rFonts w:ascii="Book Antiqua" w:eastAsia="宋体" w:hAnsi="Book Antiqua" w:cs="宋体"/>
          <w:kern w:val="0"/>
          <w:sz w:val="24"/>
          <w:szCs w:val="24"/>
        </w:rPr>
        <w:t xml:space="preserve"> G, Albert M, </w:t>
      </w:r>
      <w:proofErr w:type="spellStart"/>
      <w:r w:rsidRPr="00322627">
        <w:rPr>
          <w:rFonts w:ascii="Book Antiqua" w:eastAsia="宋体" w:hAnsi="Book Antiqua" w:cs="宋体"/>
          <w:kern w:val="0"/>
          <w:sz w:val="24"/>
          <w:szCs w:val="24"/>
        </w:rPr>
        <w:t>Notheis</w:t>
      </w:r>
      <w:proofErr w:type="spellEnd"/>
      <w:r w:rsidRPr="00322627">
        <w:rPr>
          <w:rFonts w:ascii="Book Antiqua" w:eastAsia="宋体" w:hAnsi="Book Antiqua" w:cs="宋体"/>
          <w:kern w:val="0"/>
          <w:sz w:val="24"/>
          <w:szCs w:val="24"/>
        </w:rPr>
        <w:t xml:space="preserve"> G, </w:t>
      </w:r>
      <w:proofErr w:type="spellStart"/>
      <w:r w:rsidRPr="00322627">
        <w:rPr>
          <w:rFonts w:ascii="Book Antiqua" w:eastAsia="宋体" w:hAnsi="Book Antiqua" w:cs="宋体"/>
          <w:kern w:val="0"/>
          <w:sz w:val="24"/>
          <w:szCs w:val="24"/>
        </w:rPr>
        <w:t>Rieber</w:t>
      </w:r>
      <w:proofErr w:type="spellEnd"/>
      <w:r w:rsidRPr="00322627">
        <w:rPr>
          <w:rFonts w:ascii="Book Antiqua" w:eastAsia="宋体" w:hAnsi="Book Antiqua" w:cs="宋体"/>
          <w:kern w:val="0"/>
          <w:sz w:val="24"/>
          <w:szCs w:val="24"/>
        </w:rPr>
        <w:t xml:space="preserve"> N, </w:t>
      </w:r>
      <w:proofErr w:type="spellStart"/>
      <w:r w:rsidRPr="00322627">
        <w:rPr>
          <w:rFonts w:ascii="Book Antiqua" w:eastAsia="宋体" w:hAnsi="Book Antiqua" w:cs="宋体"/>
          <w:kern w:val="0"/>
          <w:sz w:val="24"/>
          <w:szCs w:val="24"/>
        </w:rPr>
        <w:t>Strahm</w:t>
      </w:r>
      <w:proofErr w:type="spellEnd"/>
      <w:r w:rsidRPr="00322627">
        <w:rPr>
          <w:rFonts w:ascii="Book Antiqua" w:eastAsia="宋体" w:hAnsi="Book Antiqua" w:cs="宋体"/>
          <w:kern w:val="0"/>
          <w:sz w:val="24"/>
          <w:szCs w:val="24"/>
        </w:rPr>
        <w:t xml:space="preserve"> B, </w:t>
      </w:r>
      <w:proofErr w:type="spellStart"/>
      <w:r w:rsidRPr="00322627">
        <w:rPr>
          <w:rFonts w:ascii="Book Antiqua" w:eastAsia="宋体" w:hAnsi="Book Antiqua" w:cs="宋体"/>
          <w:kern w:val="0"/>
          <w:sz w:val="24"/>
          <w:szCs w:val="24"/>
        </w:rPr>
        <w:t>Ritterbusch</w:t>
      </w:r>
      <w:proofErr w:type="spellEnd"/>
      <w:r w:rsidRPr="00322627">
        <w:rPr>
          <w:rFonts w:ascii="Book Antiqua" w:eastAsia="宋体" w:hAnsi="Book Antiqua" w:cs="宋体"/>
          <w:kern w:val="0"/>
          <w:sz w:val="24"/>
          <w:szCs w:val="24"/>
        </w:rPr>
        <w:t xml:space="preserve"> H, </w:t>
      </w:r>
      <w:proofErr w:type="spellStart"/>
      <w:r w:rsidRPr="00322627">
        <w:rPr>
          <w:rFonts w:ascii="Book Antiqua" w:eastAsia="宋体" w:hAnsi="Book Antiqua" w:cs="宋体"/>
          <w:kern w:val="0"/>
          <w:sz w:val="24"/>
          <w:szCs w:val="24"/>
        </w:rPr>
        <w:t>Lankester</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Hartwig</w:t>
      </w:r>
      <w:proofErr w:type="spellEnd"/>
      <w:r w:rsidRPr="00322627">
        <w:rPr>
          <w:rFonts w:ascii="Book Antiqua" w:eastAsia="宋体" w:hAnsi="Book Antiqua" w:cs="宋体"/>
          <w:kern w:val="0"/>
          <w:sz w:val="24"/>
          <w:szCs w:val="24"/>
        </w:rPr>
        <w:t xml:space="preserve"> NG, </w:t>
      </w:r>
      <w:proofErr w:type="spellStart"/>
      <w:r w:rsidRPr="00322627">
        <w:rPr>
          <w:rFonts w:ascii="Book Antiqua" w:eastAsia="宋体" w:hAnsi="Book Antiqua" w:cs="宋体"/>
          <w:kern w:val="0"/>
          <w:sz w:val="24"/>
          <w:szCs w:val="24"/>
        </w:rPr>
        <w:t>Meyts</w:t>
      </w:r>
      <w:proofErr w:type="spellEnd"/>
      <w:r w:rsidRPr="00322627">
        <w:rPr>
          <w:rFonts w:ascii="Book Antiqua" w:eastAsia="宋体" w:hAnsi="Book Antiqua" w:cs="宋体"/>
          <w:kern w:val="0"/>
          <w:sz w:val="24"/>
          <w:szCs w:val="24"/>
        </w:rPr>
        <w:t xml:space="preserve"> I, </w:t>
      </w:r>
      <w:proofErr w:type="spellStart"/>
      <w:r w:rsidRPr="00322627">
        <w:rPr>
          <w:rFonts w:ascii="Book Antiqua" w:eastAsia="宋体" w:hAnsi="Book Antiqua" w:cs="宋体"/>
          <w:kern w:val="0"/>
          <w:sz w:val="24"/>
          <w:szCs w:val="24"/>
        </w:rPr>
        <w:t>Plebani</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Soresina</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Finocchi</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Pignata</w:t>
      </w:r>
      <w:proofErr w:type="spellEnd"/>
      <w:r w:rsidRPr="00322627">
        <w:rPr>
          <w:rFonts w:ascii="Book Antiqua" w:eastAsia="宋体" w:hAnsi="Book Antiqua" w:cs="宋体"/>
          <w:kern w:val="0"/>
          <w:sz w:val="24"/>
          <w:szCs w:val="24"/>
        </w:rPr>
        <w:t xml:space="preserve"> C, </w:t>
      </w:r>
      <w:proofErr w:type="spellStart"/>
      <w:r w:rsidRPr="00322627">
        <w:rPr>
          <w:rFonts w:ascii="Book Antiqua" w:eastAsia="宋体" w:hAnsi="Book Antiqua" w:cs="宋体"/>
          <w:kern w:val="0"/>
          <w:sz w:val="24"/>
          <w:szCs w:val="24"/>
        </w:rPr>
        <w:t>Cirillo</w:t>
      </w:r>
      <w:proofErr w:type="spellEnd"/>
      <w:r w:rsidRPr="00322627">
        <w:rPr>
          <w:rFonts w:ascii="Book Antiqua" w:eastAsia="宋体" w:hAnsi="Book Antiqua" w:cs="宋体"/>
          <w:kern w:val="0"/>
          <w:sz w:val="24"/>
          <w:szCs w:val="24"/>
        </w:rPr>
        <w:t xml:space="preserve"> E, </w:t>
      </w:r>
      <w:proofErr w:type="spellStart"/>
      <w:r w:rsidRPr="00322627">
        <w:rPr>
          <w:rFonts w:ascii="Book Antiqua" w:eastAsia="宋体" w:hAnsi="Book Antiqua" w:cs="宋体"/>
          <w:kern w:val="0"/>
          <w:sz w:val="24"/>
          <w:szCs w:val="24"/>
        </w:rPr>
        <w:t>Bonanomi</w:t>
      </w:r>
      <w:proofErr w:type="spellEnd"/>
      <w:r w:rsidRPr="00322627">
        <w:rPr>
          <w:rFonts w:ascii="Book Antiqua" w:eastAsia="宋体" w:hAnsi="Book Antiqua" w:cs="宋体"/>
          <w:kern w:val="0"/>
          <w:sz w:val="24"/>
          <w:szCs w:val="24"/>
        </w:rPr>
        <w:t xml:space="preserve"> S, Peters C, </w:t>
      </w:r>
      <w:proofErr w:type="spellStart"/>
      <w:r w:rsidRPr="00322627">
        <w:rPr>
          <w:rFonts w:ascii="Book Antiqua" w:eastAsia="宋体" w:hAnsi="Book Antiqua" w:cs="宋体"/>
          <w:kern w:val="0"/>
          <w:sz w:val="24"/>
          <w:szCs w:val="24"/>
        </w:rPr>
        <w:t>Kalwak</w:t>
      </w:r>
      <w:proofErr w:type="spellEnd"/>
      <w:r w:rsidRPr="00322627">
        <w:rPr>
          <w:rFonts w:ascii="Book Antiqua" w:eastAsia="宋体" w:hAnsi="Book Antiqua" w:cs="宋体"/>
          <w:kern w:val="0"/>
          <w:sz w:val="24"/>
          <w:szCs w:val="24"/>
        </w:rPr>
        <w:t xml:space="preserve"> K, Pasic S, </w:t>
      </w:r>
      <w:proofErr w:type="spellStart"/>
      <w:r w:rsidRPr="00322627">
        <w:rPr>
          <w:rFonts w:ascii="Book Antiqua" w:eastAsia="宋体" w:hAnsi="Book Antiqua" w:cs="宋体"/>
          <w:kern w:val="0"/>
          <w:sz w:val="24"/>
          <w:szCs w:val="24"/>
        </w:rPr>
        <w:t>Sedlacek</w:t>
      </w:r>
      <w:proofErr w:type="spellEnd"/>
      <w:r w:rsidRPr="00322627">
        <w:rPr>
          <w:rFonts w:ascii="Book Antiqua" w:eastAsia="宋体" w:hAnsi="Book Antiqua" w:cs="宋体"/>
          <w:kern w:val="0"/>
          <w:sz w:val="24"/>
          <w:szCs w:val="24"/>
        </w:rPr>
        <w:t xml:space="preserve"> P, </w:t>
      </w:r>
      <w:proofErr w:type="spellStart"/>
      <w:r w:rsidRPr="00322627">
        <w:rPr>
          <w:rFonts w:ascii="Book Antiqua" w:eastAsia="宋体" w:hAnsi="Book Antiqua" w:cs="宋体"/>
          <w:kern w:val="0"/>
          <w:sz w:val="24"/>
          <w:szCs w:val="24"/>
        </w:rPr>
        <w:t>Jazbec</w:t>
      </w:r>
      <w:proofErr w:type="spellEnd"/>
      <w:r w:rsidRPr="00322627">
        <w:rPr>
          <w:rFonts w:ascii="Book Antiqua" w:eastAsia="宋体" w:hAnsi="Book Antiqua" w:cs="宋体"/>
          <w:kern w:val="0"/>
          <w:sz w:val="24"/>
          <w:szCs w:val="24"/>
        </w:rPr>
        <w:t xml:space="preserve"> J, </w:t>
      </w:r>
      <w:proofErr w:type="spellStart"/>
      <w:r w:rsidRPr="00322627">
        <w:rPr>
          <w:rFonts w:ascii="Book Antiqua" w:eastAsia="宋体" w:hAnsi="Book Antiqua" w:cs="宋体"/>
          <w:kern w:val="0"/>
          <w:sz w:val="24"/>
          <w:szCs w:val="24"/>
        </w:rPr>
        <w:t>Kanegane</w:t>
      </w:r>
      <w:proofErr w:type="spellEnd"/>
      <w:r w:rsidRPr="00322627">
        <w:rPr>
          <w:rFonts w:ascii="Book Antiqua" w:eastAsia="宋体" w:hAnsi="Book Antiqua" w:cs="宋体"/>
          <w:kern w:val="0"/>
          <w:sz w:val="24"/>
          <w:szCs w:val="24"/>
        </w:rPr>
        <w:t xml:space="preserve"> H, Nichols KE, Hanson IC, Kapoor N, Haddad E, Cowan M, Choo S, </w:t>
      </w:r>
      <w:r w:rsidRPr="00322627">
        <w:rPr>
          <w:rFonts w:ascii="Book Antiqua" w:eastAsia="宋体" w:hAnsi="Book Antiqua" w:cs="宋体"/>
          <w:kern w:val="0"/>
          <w:sz w:val="24"/>
          <w:szCs w:val="24"/>
        </w:rPr>
        <w:lastRenderedPageBreak/>
        <w:t xml:space="preserve">Smart J, Arkwright PD, Gaspar HB. X-linked lymphoproliferative disease due to SAP/SH2D1A deficiency: a multicenter study on the manifestations, management and outcome of the disease.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2011; </w:t>
      </w:r>
      <w:r w:rsidRPr="00322627">
        <w:rPr>
          <w:rFonts w:ascii="Book Antiqua" w:eastAsia="宋体" w:hAnsi="Book Antiqua" w:cs="宋体"/>
          <w:b/>
          <w:bCs/>
          <w:kern w:val="0"/>
          <w:sz w:val="24"/>
          <w:szCs w:val="24"/>
        </w:rPr>
        <w:t>117</w:t>
      </w:r>
      <w:r w:rsidRPr="00322627">
        <w:rPr>
          <w:rFonts w:ascii="Book Antiqua" w:eastAsia="宋体" w:hAnsi="Book Antiqua" w:cs="宋体"/>
          <w:kern w:val="0"/>
          <w:sz w:val="24"/>
          <w:szCs w:val="24"/>
        </w:rPr>
        <w:t>: 53-62 [PMID: 20926771 DOI: 10.1182/blood-2010-06-284935]</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6 </w:t>
      </w:r>
      <w:r w:rsidRPr="00322627">
        <w:rPr>
          <w:rFonts w:ascii="Book Antiqua" w:eastAsia="宋体" w:hAnsi="Book Antiqua" w:cs="宋体"/>
          <w:b/>
          <w:bCs/>
          <w:kern w:val="0"/>
          <w:sz w:val="24"/>
          <w:szCs w:val="24"/>
        </w:rPr>
        <w:t>Marsh RA</w:t>
      </w:r>
      <w:r w:rsidRPr="00322627">
        <w:rPr>
          <w:rFonts w:ascii="Book Antiqua" w:eastAsia="宋体" w:hAnsi="Book Antiqua" w:cs="宋体"/>
          <w:kern w:val="0"/>
          <w:sz w:val="24"/>
          <w:szCs w:val="24"/>
        </w:rPr>
        <w:t xml:space="preserve">, Madden L, Kitchen BJ, </w:t>
      </w:r>
      <w:proofErr w:type="spellStart"/>
      <w:r w:rsidRPr="00322627">
        <w:rPr>
          <w:rFonts w:ascii="Book Antiqua" w:eastAsia="宋体" w:hAnsi="Book Antiqua" w:cs="宋体"/>
          <w:kern w:val="0"/>
          <w:sz w:val="24"/>
          <w:szCs w:val="24"/>
        </w:rPr>
        <w:t>Mody</w:t>
      </w:r>
      <w:proofErr w:type="spellEnd"/>
      <w:r w:rsidRPr="00322627">
        <w:rPr>
          <w:rFonts w:ascii="Book Antiqua" w:eastAsia="宋体" w:hAnsi="Book Antiqua" w:cs="宋体"/>
          <w:kern w:val="0"/>
          <w:sz w:val="24"/>
          <w:szCs w:val="24"/>
        </w:rPr>
        <w:t xml:space="preserve"> R, </w:t>
      </w:r>
      <w:proofErr w:type="spellStart"/>
      <w:r w:rsidRPr="00322627">
        <w:rPr>
          <w:rFonts w:ascii="Book Antiqua" w:eastAsia="宋体" w:hAnsi="Book Antiqua" w:cs="宋体"/>
          <w:kern w:val="0"/>
          <w:sz w:val="24"/>
          <w:szCs w:val="24"/>
        </w:rPr>
        <w:t>McClimon</w:t>
      </w:r>
      <w:proofErr w:type="spellEnd"/>
      <w:r w:rsidRPr="00322627">
        <w:rPr>
          <w:rFonts w:ascii="Book Antiqua" w:eastAsia="宋体" w:hAnsi="Book Antiqua" w:cs="宋体"/>
          <w:kern w:val="0"/>
          <w:sz w:val="24"/>
          <w:szCs w:val="24"/>
        </w:rPr>
        <w:t xml:space="preserve"> B, Jordan MB, </w:t>
      </w:r>
      <w:proofErr w:type="spellStart"/>
      <w:r w:rsidRPr="00322627">
        <w:rPr>
          <w:rFonts w:ascii="Book Antiqua" w:eastAsia="宋体" w:hAnsi="Book Antiqua" w:cs="宋体"/>
          <w:kern w:val="0"/>
          <w:sz w:val="24"/>
          <w:szCs w:val="24"/>
        </w:rPr>
        <w:t>Bleesing</w:t>
      </w:r>
      <w:proofErr w:type="spellEnd"/>
      <w:r w:rsidRPr="00322627">
        <w:rPr>
          <w:rFonts w:ascii="Book Antiqua" w:eastAsia="宋体" w:hAnsi="Book Antiqua" w:cs="宋体"/>
          <w:kern w:val="0"/>
          <w:sz w:val="24"/>
          <w:szCs w:val="24"/>
        </w:rPr>
        <w:t xml:space="preserve"> JJ, Zhang K, </w:t>
      </w:r>
      <w:proofErr w:type="spellStart"/>
      <w:r w:rsidRPr="00322627">
        <w:rPr>
          <w:rFonts w:ascii="Book Antiqua" w:eastAsia="宋体" w:hAnsi="Book Antiqua" w:cs="宋体"/>
          <w:kern w:val="0"/>
          <w:sz w:val="24"/>
          <w:szCs w:val="24"/>
        </w:rPr>
        <w:t>Filipovich</w:t>
      </w:r>
      <w:proofErr w:type="spellEnd"/>
      <w:r w:rsidRPr="00322627">
        <w:rPr>
          <w:rFonts w:ascii="Book Antiqua" w:eastAsia="宋体" w:hAnsi="Book Antiqua" w:cs="宋体"/>
          <w:kern w:val="0"/>
          <w:sz w:val="24"/>
          <w:szCs w:val="24"/>
        </w:rPr>
        <w:t xml:space="preserve"> AH. XIAP deficiency: a unique primary immunodeficiency best classified as X-linked familial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and not as X-linked lymphoproliferative disease.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2010; </w:t>
      </w:r>
      <w:r w:rsidRPr="00322627">
        <w:rPr>
          <w:rFonts w:ascii="Book Antiqua" w:eastAsia="宋体" w:hAnsi="Book Antiqua" w:cs="宋体"/>
          <w:b/>
          <w:bCs/>
          <w:kern w:val="0"/>
          <w:sz w:val="24"/>
          <w:szCs w:val="24"/>
        </w:rPr>
        <w:t>116</w:t>
      </w:r>
      <w:r w:rsidRPr="00322627">
        <w:rPr>
          <w:rFonts w:ascii="Book Antiqua" w:eastAsia="宋体" w:hAnsi="Book Antiqua" w:cs="宋体"/>
          <w:kern w:val="0"/>
          <w:sz w:val="24"/>
          <w:szCs w:val="24"/>
        </w:rPr>
        <w:t>: 1079-1082 [PMID: 20489057 DOI: 10.1182/blood-2010-01-256099]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7 </w:t>
      </w:r>
      <w:proofErr w:type="spellStart"/>
      <w:r w:rsidRPr="00322627">
        <w:rPr>
          <w:rFonts w:ascii="Book Antiqua" w:eastAsia="宋体" w:hAnsi="Book Antiqua" w:cs="宋体"/>
          <w:b/>
          <w:bCs/>
          <w:kern w:val="0"/>
          <w:sz w:val="24"/>
          <w:szCs w:val="24"/>
        </w:rPr>
        <w:t>Parvaneh</w:t>
      </w:r>
      <w:proofErr w:type="spellEnd"/>
      <w:r w:rsidRPr="00322627">
        <w:rPr>
          <w:rFonts w:ascii="Book Antiqua" w:eastAsia="宋体" w:hAnsi="Book Antiqua" w:cs="宋体"/>
          <w:b/>
          <w:bCs/>
          <w:kern w:val="0"/>
          <w:sz w:val="24"/>
          <w:szCs w:val="24"/>
        </w:rPr>
        <w:t xml:space="preserve"> N</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Filipovich</w:t>
      </w:r>
      <w:proofErr w:type="spellEnd"/>
      <w:r w:rsidRPr="00322627">
        <w:rPr>
          <w:rFonts w:ascii="Book Antiqua" w:eastAsia="宋体" w:hAnsi="Book Antiqua" w:cs="宋体"/>
          <w:kern w:val="0"/>
          <w:sz w:val="24"/>
          <w:szCs w:val="24"/>
        </w:rPr>
        <w:t xml:space="preserve"> AH, </w:t>
      </w:r>
      <w:proofErr w:type="spellStart"/>
      <w:r w:rsidRPr="00322627">
        <w:rPr>
          <w:rFonts w:ascii="Book Antiqua" w:eastAsia="宋体" w:hAnsi="Book Antiqua" w:cs="宋体"/>
          <w:kern w:val="0"/>
          <w:sz w:val="24"/>
          <w:szCs w:val="24"/>
        </w:rPr>
        <w:t>Borkhardt</w:t>
      </w:r>
      <w:proofErr w:type="spellEnd"/>
      <w:r w:rsidRPr="00322627">
        <w:rPr>
          <w:rFonts w:ascii="Book Antiqua" w:eastAsia="宋体" w:hAnsi="Book Antiqua" w:cs="宋体"/>
          <w:kern w:val="0"/>
          <w:sz w:val="24"/>
          <w:szCs w:val="24"/>
        </w:rPr>
        <w:t xml:space="preserve"> A. Primary </w:t>
      </w:r>
      <w:proofErr w:type="spellStart"/>
      <w:r w:rsidRPr="00322627">
        <w:rPr>
          <w:rFonts w:ascii="Book Antiqua" w:eastAsia="宋体" w:hAnsi="Book Antiqua" w:cs="宋体"/>
          <w:kern w:val="0"/>
          <w:sz w:val="24"/>
          <w:szCs w:val="24"/>
        </w:rPr>
        <w:t>immunodeficiencies</w:t>
      </w:r>
      <w:proofErr w:type="spellEnd"/>
      <w:r w:rsidRPr="00322627">
        <w:rPr>
          <w:rFonts w:ascii="Book Antiqua" w:eastAsia="宋体" w:hAnsi="Book Antiqua" w:cs="宋体"/>
          <w:kern w:val="0"/>
          <w:sz w:val="24"/>
          <w:szCs w:val="24"/>
        </w:rPr>
        <w:t xml:space="preserve"> predisposed to Epstein-Barr virus-driven </w:t>
      </w:r>
      <w:proofErr w:type="spellStart"/>
      <w:r w:rsidRPr="00322627">
        <w:rPr>
          <w:rFonts w:ascii="Book Antiqua" w:eastAsia="宋体" w:hAnsi="Book Antiqua" w:cs="宋体"/>
          <w:kern w:val="0"/>
          <w:sz w:val="24"/>
          <w:szCs w:val="24"/>
        </w:rPr>
        <w:t>haematological</w:t>
      </w:r>
      <w:proofErr w:type="spellEnd"/>
      <w:r w:rsidRPr="00322627">
        <w:rPr>
          <w:rFonts w:ascii="Book Antiqua" w:eastAsia="宋体" w:hAnsi="Book Antiqua" w:cs="宋体"/>
          <w:kern w:val="0"/>
          <w:sz w:val="24"/>
          <w:szCs w:val="24"/>
        </w:rPr>
        <w:t xml:space="preserve"> diseases. </w:t>
      </w:r>
      <w:r w:rsidRPr="00322627">
        <w:rPr>
          <w:rFonts w:ascii="Book Antiqua" w:eastAsia="宋体" w:hAnsi="Book Antiqua" w:cs="宋体"/>
          <w:i/>
          <w:iCs/>
          <w:kern w:val="0"/>
          <w:sz w:val="24"/>
          <w:szCs w:val="24"/>
        </w:rPr>
        <w:t xml:space="preserve">Br J </w:t>
      </w:r>
      <w:proofErr w:type="spellStart"/>
      <w:r w:rsidRPr="00322627">
        <w:rPr>
          <w:rFonts w:ascii="Book Antiqua" w:eastAsia="宋体" w:hAnsi="Book Antiqua" w:cs="宋体"/>
          <w:i/>
          <w:iCs/>
          <w:kern w:val="0"/>
          <w:sz w:val="24"/>
          <w:szCs w:val="24"/>
        </w:rPr>
        <w:t>Haematol</w:t>
      </w:r>
      <w:proofErr w:type="spellEnd"/>
      <w:r w:rsidRPr="00322627">
        <w:rPr>
          <w:rFonts w:ascii="Book Antiqua" w:eastAsia="宋体" w:hAnsi="Book Antiqua" w:cs="宋体"/>
          <w:kern w:val="0"/>
          <w:sz w:val="24"/>
          <w:szCs w:val="24"/>
        </w:rPr>
        <w:t xml:space="preserve"> 2013; </w:t>
      </w:r>
      <w:r w:rsidRPr="00322627">
        <w:rPr>
          <w:rFonts w:ascii="Book Antiqua" w:eastAsia="宋体" w:hAnsi="Book Antiqua" w:cs="宋体"/>
          <w:b/>
          <w:bCs/>
          <w:kern w:val="0"/>
          <w:sz w:val="24"/>
          <w:szCs w:val="24"/>
        </w:rPr>
        <w:t>162</w:t>
      </w:r>
      <w:r w:rsidRPr="00322627">
        <w:rPr>
          <w:rFonts w:ascii="Book Antiqua" w:eastAsia="宋体" w:hAnsi="Book Antiqua" w:cs="宋体"/>
          <w:kern w:val="0"/>
          <w:sz w:val="24"/>
          <w:szCs w:val="24"/>
        </w:rPr>
        <w:t>: 573-586 [PMID: 23758097 DOI: 10.1111/bjh.12422]</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8 </w:t>
      </w:r>
      <w:proofErr w:type="spellStart"/>
      <w:r w:rsidRPr="00322627">
        <w:rPr>
          <w:rFonts w:ascii="Book Antiqua" w:eastAsia="宋体" w:hAnsi="Book Antiqua" w:cs="宋体"/>
          <w:b/>
          <w:bCs/>
          <w:kern w:val="0"/>
          <w:sz w:val="24"/>
          <w:szCs w:val="24"/>
        </w:rPr>
        <w:t>Beutel</w:t>
      </w:r>
      <w:proofErr w:type="spellEnd"/>
      <w:r w:rsidRPr="00322627">
        <w:rPr>
          <w:rFonts w:ascii="Book Antiqua" w:eastAsia="宋体" w:hAnsi="Book Antiqua" w:cs="宋体"/>
          <w:b/>
          <w:bCs/>
          <w:kern w:val="0"/>
          <w:sz w:val="24"/>
          <w:szCs w:val="24"/>
        </w:rPr>
        <w:t xml:space="preserve"> K</w:t>
      </w:r>
      <w:r w:rsidRPr="00322627">
        <w:rPr>
          <w:rFonts w:ascii="Book Antiqua" w:eastAsia="宋体" w:hAnsi="Book Antiqua" w:cs="宋体"/>
          <w:kern w:val="0"/>
          <w:sz w:val="24"/>
          <w:szCs w:val="24"/>
        </w:rPr>
        <w:t>, Gross-</w:t>
      </w:r>
      <w:proofErr w:type="spellStart"/>
      <w:r w:rsidRPr="00322627">
        <w:rPr>
          <w:rFonts w:ascii="Book Antiqua" w:eastAsia="宋体" w:hAnsi="Book Antiqua" w:cs="宋体"/>
          <w:kern w:val="0"/>
          <w:sz w:val="24"/>
          <w:szCs w:val="24"/>
        </w:rPr>
        <w:t>Wieltsch</w:t>
      </w:r>
      <w:proofErr w:type="spellEnd"/>
      <w:r w:rsidRPr="00322627">
        <w:rPr>
          <w:rFonts w:ascii="Book Antiqua" w:eastAsia="宋体" w:hAnsi="Book Antiqua" w:cs="宋体"/>
          <w:kern w:val="0"/>
          <w:sz w:val="24"/>
          <w:szCs w:val="24"/>
        </w:rPr>
        <w:t xml:space="preserve"> U, Wiesel T, </w:t>
      </w:r>
      <w:proofErr w:type="spellStart"/>
      <w:r w:rsidRPr="00322627">
        <w:rPr>
          <w:rFonts w:ascii="Book Antiqua" w:eastAsia="宋体" w:hAnsi="Book Antiqua" w:cs="宋体"/>
          <w:kern w:val="0"/>
          <w:sz w:val="24"/>
          <w:szCs w:val="24"/>
        </w:rPr>
        <w:t>Stadt</w:t>
      </w:r>
      <w:proofErr w:type="spellEnd"/>
      <w:r w:rsidRPr="00322627">
        <w:rPr>
          <w:rFonts w:ascii="Book Antiqua" w:eastAsia="宋体" w:hAnsi="Book Antiqua" w:cs="宋体"/>
          <w:kern w:val="0"/>
          <w:sz w:val="24"/>
          <w:szCs w:val="24"/>
        </w:rPr>
        <w:t xml:space="preserve"> UZ, </w:t>
      </w:r>
      <w:proofErr w:type="spellStart"/>
      <w:r w:rsidRPr="00322627">
        <w:rPr>
          <w:rFonts w:ascii="Book Antiqua" w:eastAsia="宋体" w:hAnsi="Book Antiqua" w:cs="宋体"/>
          <w:kern w:val="0"/>
          <w:sz w:val="24"/>
          <w:szCs w:val="24"/>
        </w:rPr>
        <w:t>Janka</w:t>
      </w:r>
      <w:proofErr w:type="spellEnd"/>
      <w:r w:rsidRPr="00322627">
        <w:rPr>
          <w:rFonts w:ascii="Book Antiqua" w:eastAsia="宋体" w:hAnsi="Book Antiqua" w:cs="宋体"/>
          <w:kern w:val="0"/>
          <w:sz w:val="24"/>
          <w:szCs w:val="24"/>
        </w:rPr>
        <w:t xml:space="preserve"> G, Wagner HJ. </w:t>
      </w:r>
      <w:proofErr w:type="gramStart"/>
      <w:r w:rsidRPr="00322627">
        <w:rPr>
          <w:rFonts w:ascii="Book Antiqua" w:eastAsia="宋体" w:hAnsi="Book Antiqua" w:cs="宋体"/>
          <w:kern w:val="0"/>
          <w:sz w:val="24"/>
          <w:szCs w:val="24"/>
        </w:rPr>
        <w:t xml:space="preserve">Infection of T lymphocytes in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in children of non-Asian origin.</w:t>
      </w:r>
      <w:proofErr w:type="gram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Blood Cancer</w:t>
      </w:r>
      <w:r w:rsidRPr="00322627">
        <w:rPr>
          <w:rFonts w:ascii="Book Antiqua" w:eastAsia="宋体" w:hAnsi="Book Antiqua" w:cs="宋体"/>
          <w:kern w:val="0"/>
          <w:sz w:val="24"/>
          <w:szCs w:val="24"/>
        </w:rPr>
        <w:t xml:space="preserve"> 2009; </w:t>
      </w:r>
      <w:r w:rsidRPr="00322627">
        <w:rPr>
          <w:rFonts w:ascii="Book Antiqua" w:eastAsia="宋体" w:hAnsi="Book Antiqua" w:cs="宋体"/>
          <w:b/>
          <w:bCs/>
          <w:kern w:val="0"/>
          <w:sz w:val="24"/>
          <w:szCs w:val="24"/>
        </w:rPr>
        <w:t>53</w:t>
      </w:r>
      <w:r w:rsidRPr="00322627">
        <w:rPr>
          <w:rFonts w:ascii="Book Antiqua" w:eastAsia="宋体" w:hAnsi="Book Antiqua" w:cs="宋体"/>
          <w:kern w:val="0"/>
          <w:sz w:val="24"/>
          <w:szCs w:val="24"/>
        </w:rPr>
        <w:t>: 184-190 [PMID: 19353621 DOI: 10.1002/pbc.22037]</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9 </w:t>
      </w:r>
      <w:r w:rsidRPr="00322627">
        <w:rPr>
          <w:rFonts w:ascii="Book Antiqua" w:eastAsia="宋体" w:hAnsi="Book Antiqua" w:cs="宋体"/>
          <w:b/>
          <w:bCs/>
          <w:kern w:val="0"/>
          <w:sz w:val="24"/>
          <w:szCs w:val="24"/>
        </w:rPr>
        <w:t>Fox CP</w:t>
      </w:r>
      <w:r w:rsidRPr="00322627">
        <w:rPr>
          <w:rFonts w:ascii="Book Antiqua" w:eastAsia="宋体" w:hAnsi="Book Antiqua" w:cs="宋体"/>
          <w:kern w:val="0"/>
          <w:sz w:val="24"/>
          <w:szCs w:val="24"/>
        </w:rPr>
        <w:t xml:space="preserve">, Shannon-Lowe C, </w:t>
      </w:r>
      <w:proofErr w:type="spellStart"/>
      <w:r w:rsidRPr="00322627">
        <w:rPr>
          <w:rFonts w:ascii="Book Antiqua" w:eastAsia="宋体" w:hAnsi="Book Antiqua" w:cs="宋体"/>
          <w:kern w:val="0"/>
          <w:sz w:val="24"/>
          <w:szCs w:val="24"/>
        </w:rPr>
        <w:t>Gothard</w:t>
      </w:r>
      <w:proofErr w:type="spellEnd"/>
      <w:r w:rsidRPr="00322627">
        <w:rPr>
          <w:rFonts w:ascii="Book Antiqua" w:eastAsia="宋体" w:hAnsi="Book Antiqua" w:cs="宋体"/>
          <w:kern w:val="0"/>
          <w:sz w:val="24"/>
          <w:szCs w:val="24"/>
        </w:rPr>
        <w:t xml:space="preserve"> P, Kishore B, Neilson J, O'Connor N, Rowe M.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in adults characterized by high viral genome load within circulating natural killer cells. </w:t>
      </w:r>
      <w:proofErr w:type="spellStart"/>
      <w:r w:rsidRPr="00322627">
        <w:rPr>
          <w:rFonts w:ascii="Book Antiqua" w:eastAsia="宋体" w:hAnsi="Book Antiqua" w:cs="宋体"/>
          <w:i/>
          <w:iCs/>
          <w:kern w:val="0"/>
          <w:sz w:val="24"/>
          <w:szCs w:val="24"/>
        </w:rPr>
        <w:t>Clin</w:t>
      </w:r>
      <w:proofErr w:type="spellEnd"/>
      <w:r w:rsidRPr="00322627">
        <w:rPr>
          <w:rFonts w:ascii="Book Antiqua" w:eastAsia="宋体" w:hAnsi="Book Antiqua" w:cs="宋体"/>
          <w:i/>
          <w:iCs/>
          <w:kern w:val="0"/>
          <w:sz w:val="24"/>
          <w:szCs w:val="24"/>
        </w:rPr>
        <w:t xml:space="preserve"> Infect Dis</w:t>
      </w:r>
      <w:r w:rsidRPr="00322627">
        <w:rPr>
          <w:rFonts w:ascii="Book Antiqua" w:eastAsia="宋体" w:hAnsi="Book Antiqua" w:cs="宋体"/>
          <w:kern w:val="0"/>
          <w:sz w:val="24"/>
          <w:szCs w:val="24"/>
        </w:rPr>
        <w:t xml:space="preserve"> 2010; </w:t>
      </w:r>
      <w:r w:rsidRPr="00322627">
        <w:rPr>
          <w:rFonts w:ascii="Book Antiqua" w:eastAsia="宋体" w:hAnsi="Book Antiqua" w:cs="宋体"/>
          <w:b/>
          <w:bCs/>
          <w:kern w:val="0"/>
          <w:sz w:val="24"/>
          <w:szCs w:val="24"/>
        </w:rPr>
        <w:t>51</w:t>
      </w:r>
      <w:r w:rsidRPr="00322627">
        <w:rPr>
          <w:rFonts w:ascii="Book Antiqua" w:eastAsia="宋体" w:hAnsi="Book Antiqua" w:cs="宋体"/>
          <w:kern w:val="0"/>
          <w:sz w:val="24"/>
          <w:szCs w:val="24"/>
        </w:rPr>
        <w:t>: 66-69 [PMID: 20504238 DOI: 10.1086/653424]</w:t>
      </w:r>
    </w:p>
    <w:p w:rsidR="002F197E" w:rsidRPr="00322627" w:rsidRDefault="002F197E" w:rsidP="00322627">
      <w:pPr>
        <w:widowControl/>
        <w:spacing w:line="360" w:lineRule="auto"/>
        <w:rPr>
          <w:rFonts w:ascii="Book Antiqua" w:eastAsia="宋体" w:hAnsi="Book Antiqua" w:cs="宋体"/>
          <w:kern w:val="0"/>
          <w:sz w:val="24"/>
          <w:szCs w:val="24"/>
        </w:rPr>
      </w:pPr>
      <w:proofErr w:type="gramStart"/>
      <w:r w:rsidRPr="00322627">
        <w:rPr>
          <w:rFonts w:ascii="Book Antiqua" w:eastAsia="宋体" w:hAnsi="Book Antiqua" w:cs="宋体"/>
          <w:kern w:val="0"/>
          <w:sz w:val="24"/>
          <w:szCs w:val="24"/>
        </w:rPr>
        <w:t xml:space="preserve">10 </w:t>
      </w:r>
      <w:r w:rsidRPr="00322627">
        <w:rPr>
          <w:rFonts w:ascii="Book Antiqua" w:eastAsia="宋体" w:hAnsi="Book Antiqua" w:cs="宋体"/>
          <w:b/>
          <w:bCs/>
          <w:kern w:val="0"/>
          <w:sz w:val="24"/>
          <w:szCs w:val="24"/>
        </w:rPr>
        <w:t>Jordan MB</w:t>
      </w:r>
      <w:r w:rsidRPr="00322627">
        <w:rPr>
          <w:rFonts w:ascii="Book Antiqua" w:eastAsia="宋体" w:hAnsi="Book Antiqua" w:cs="宋体"/>
          <w:kern w:val="0"/>
          <w:sz w:val="24"/>
          <w:szCs w:val="24"/>
        </w:rPr>
        <w:t xml:space="preserve">, Allen CE, Weitzman S, </w:t>
      </w:r>
      <w:proofErr w:type="spellStart"/>
      <w:r w:rsidRPr="00322627">
        <w:rPr>
          <w:rFonts w:ascii="Book Antiqua" w:eastAsia="宋体" w:hAnsi="Book Antiqua" w:cs="宋体"/>
          <w:kern w:val="0"/>
          <w:sz w:val="24"/>
          <w:szCs w:val="24"/>
        </w:rPr>
        <w:t>Filipovich</w:t>
      </w:r>
      <w:proofErr w:type="spellEnd"/>
      <w:r w:rsidRPr="00322627">
        <w:rPr>
          <w:rFonts w:ascii="Book Antiqua" w:eastAsia="宋体" w:hAnsi="Book Antiqua" w:cs="宋体"/>
          <w:kern w:val="0"/>
          <w:sz w:val="24"/>
          <w:szCs w:val="24"/>
        </w:rPr>
        <w:t xml:space="preserve"> AH, McClain KL.</w:t>
      </w:r>
      <w:proofErr w:type="gramEnd"/>
      <w:r w:rsidRPr="00322627">
        <w:rPr>
          <w:rFonts w:ascii="Book Antiqua" w:eastAsia="宋体" w:hAnsi="Book Antiqua" w:cs="宋体"/>
          <w:kern w:val="0"/>
          <w:sz w:val="24"/>
          <w:szCs w:val="24"/>
        </w:rPr>
        <w:t xml:space="preserve"> How I treat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2011; </w:t>
      </w:r>
      <w:r w:rsidRPr="00322627">
        <w:rPr>
          <w:rFonts w:ascii="Book Antiqua" w:eastAsia="宋体" w:hAnsi="Book Antiqua" w:cs="宋体"/>
          <w:b/>
          <w:bCs/>
          <w:kern w:val="0"/>
          <w:sz w:val="24"/>
          <w:szCs w:val="24"/>
        </w:rPr>
        <w:t>118</w:t>
      </w:r>
      <w:r w:rsidRPr="00322627">
        <w:rPr>
          <w:rFonts w:ascii="Book Antiqua" w:eastAsia="宋体" w:hAnsi="Book Antiqua" w:cs="宋体"/>
          <w:kern w:val="0"/>
          <w:sz w:val="24"/>
          <w:szCs w:val="24"/>
        </w:rPr>
        <w:t>: 4041-4052 [PMID: 21828139 DOI: 10.1182/blood-2011-03-278127]</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lastRenderedPageBreak/>
        <w:t xml:space="preserve">11 </w:t>
      </w:r>
      <w:r w:rsidRPr="00322627">
        <w:rPr>
          <w:rFonts w:ascii="Book Antiqua" w:eastAsia="宋体" w:hAnsi="Book Antiqua" w:cs="宋体"/>
          <w:b/>
          <w:bCs/>
          <w:kern w:val="0"/>
          <w:sz w:val="24"/>
          <w:szCs w:val="24"/>
        </w:rPr>
        <w:t>Kimura H</w:t>
      </w:r>
      <w:r w:rsidRPr="00322627">
        <w:rPr>
          <w:rFonts w:ascii="Book Antiqua" w:eastAsia="宋体" w:hAnsi="Book Antiqua" w:cs="宋体"/>
          <w:kern w:val="0"/>
          <w:sz w:val="24"/>
          <w:szCs w:val="24"/>
        </w:rPr>
        <w:t xml:space="preserve">, Ito Y, </w:t>
      </w:r>
      <w:proofErr w:type="spellStart"/>
      <w:r w:rsidRPr="00322627">
        <w:rPr>
          <w:rFonts w:ascii="Book Antiqua" w:eastAsia="宋体" w:hAnsi="Book Antiqua" w:cs="宋体"/>
          <w:kern w:val="0"/>
          <w:sz w:val="24"/>
          <w:szCs w:val="24"/>
        </w:rPr>
        <w:t>Kawabe</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Gotoh</w:t>
      </w:r>
      <w:proofErr w:type="spellEnd"/>
      <w:r w:rsidRPr="00322627">
        <w:rPr>
          <w:rFonts w:ascii="Book Antiqua" w:eastAsia="宋体" w:hAnsi="Book Antiqua" w:cs="宋体"/>
          <w:kern w:val="0"/>
          <w:sz w:val="24"/>
          <w:szCs w:val="24"/>
        </w:rPr>
        <w:t xml:space="preserve"> K, Takahashi Y, Kojima S, </w:t>
      </w:r>
      <w:proofErr w:type="spellStart"/>
      <w:r w:rsidRPr="00322627">
        <w:rPr>
          <w:rFonts w:ascii="Book Antiqua" w:eastAsia="宋体" w:hAnsi="Book Antiqua" w:cs="宋体"/>
          <w:kern w:val="0"/>
          <w:sz w:val="24"/>
          <w:szCs w:val="24"/>
        </w:rPr>
        <w:t>Naoe</w:t>
      </w:r>
      <w:proofErr w:type="spellEnd"/>
      <w:r w:rsidRPr="00322627">
        <w:rPr>
          <w:rFonts w:ascii="Book Antiqua" w:eastAsia="宋体" w:hAnsi="Book Antiqua" w:cs="宋体"/>
          <w:kern w:val="0"/>
          <w:sz w:val="24"/>
          <w:szCs w:val="24"/>
        </w:rPr>
        <w:t xml:space="preserve"> T, Esaki S, </w:t>
      </w:r>
      <w:proofErr w:type="spellStart"/>
      <w:r w:rsidRPr="00322627">
        <w:rPr>
          <w:rFonts w:ascii="Book Antiqua" w:eastAsia="宋体" w:hAnsi="Book Antiqua" w:cs="宋体"/>
          <w:kern w:val="0"/>
          <w:sz w:val="24"/>
          <w:szCs w:val="24"/>
        </w:rPr>
        <w:t>Kikuta</w:t>
      </w:r>
      <w:proofErr w:type="spellEnd"/>
      <w:r w:rsidRPr="00322627">
        <w:rPr>
          <w:rFonts w:ascii="Book Antiqua" w:eastAsia="宋体" w:hAnsi="Book Antiqua" w:cs="宋体"/>
          <w:kern w:val="0"/>
          <w:sz w:val="24"/>
          <w:szCs w:val="24"/>
        </w:rPr>
        <w:t xml:space="preserve"> A, Sawada A, Kawa K, Ohshima K, Nakamura S. EBV-associated T/NK-cell lymphoproliferative diseases in </w:t>
      </w:r>
      <w:proofErr w:type="spellStart"/>
      <w:r w:rsidRPr="00322627">
        <w:rPr>
          <w:rFonts w:ascii="Book Antiqua" w:eastAsia="宋体" w:hAnsi="Book Antiqua" w:cs="宋体"/>
          <w:kern w:val="0"/>
          <w:sz w:val="24"/>
          <w:szCs w:val="24"/>
        </w:rPr>
        <w:t>nonimmunocompromised</w:t>
      </w:r>
      <w:proofErr w:type="spellEnd"/>
      <w:r w:rsidRPr="00322627">
        <w:rPr>
          <w:rFonts w:ascii="Book Antiqua" w:eastAsia="宋体" w:hAnsi="Book Antiqua" w:cs="宋体"/>
          <w:kern w:val="0"/>
          <w:sz w:val="24"/>
          <w:szCs w:val="24"/>
        </w:rPr>
        <w:t xml:space="preserve"> hosts: prospective analysis of 108 cases.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2012; </w:t>
      </w:r>
      <w:r w:rsidRPr="00322627">
        <w:rPr>
          <w:rFonts w:ascii="Book Antiqua" w:eastAsia="宋体" w:hAnsi="Book Antiqua" w:cs="宋体"/>
          <w:b/>
          <w:bCs/>
          <w:kern w:val="0"/>
          <w:sz w:val="24"/>
          <w:szCs w:val="24"/>
        </w:rPr>
        <w:t>119</w:t>
      </w:r>
      <w:r w:rsidRPr="00322627">
        <w:rPr>
          <w:rFonts w:ascii="Book Antiqua" w:eastAsia="宋体" w:hAnsi="Book Antiqua" w:cs="宋体"/>
          <w:kern w:val="0"/>
          <w:sz w:val="24"/>
          <w:szCs w:val="24"/>
        </w:rPr>
        <w:t>: 673-686 [PMID: 22096243 DOI: 10.1182/blood-2011-10-381921]</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12 </w:t>
      </w:r>
      <w:r w:rsidRPr="00322627">
        <w:rPr>
          <w:rFonts w:ascii="Book Antiqua" w:eastAsia="宋体" w:hAnsi="Book Antiqua" w:cs="宋体"/>
          <w:b/>
          <w:bCs/>
          <w:kern w:val="0"/>
          <w:sz w:val="24"/>
          <w:szCs w:val="24"/>
        </w:rPr>
        <w:t>Cohen JI</w:t>
      </w:r>
      <w:r w:rsidRPr="00322627">
        <w:rPr>
          <w:rFonts w:ascii="Book Antiqua" w:eastAsia="宋体" w:hAnsi="Book Antiqua" w:cs="宋体"/>
          <w:kern w:val="0"/>
          <w:sz w:val="24"/>
          <w:szCs w:val="24"/>
        </w:rPr>
        <w:t xml:space="preserve">, Jaffe ES, Dale JK, </w:t>
      </w:r>
      <w:proofErr w:type="spellStart"/>
      <w:r w:rsidRPr="00322627">
        <w:rPr>
          <w:rFonts w:ascii="Book Antiqua" w:eastAsia="宋体" w:hAnsi="Book Antiqua" w:cs="宋体"/>
          <w:kern w:val="0"/>
          <w:sz w:val="24"/>
          <w:szCs w:val="24"/>
        </w:rPr>
        <w:t>Pittaluga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Heslop</w:t>
      </w:r>
      <w:proofErr w:type="spellEnd"/>
      <w:r w:rsidRPr="00322627">
        <w:rPr>
          <w:rFonts w:ascii="Book Antiqua" w:eastAsia="宋体" w:hAnsi="Book Antiqua" w:cs="宋体"/>
          <w:kern w:val="0"/>
          <w:sz w:val="24"/>
          <w:szCs w:val="24"/>
        </w:rPr>
        <w:t xml:space="preserve"> HE, Rooney CM, Gottschalk S, Bollard CM, Rao VK, Marques A, </w:t>
      </w:r>
      <w:proofErr w:type="spellStart"/>
      <w:r w:rsidRPr="00322627">
        <w:rPr>
          <w:rFonts w:ascii="Book Antiqua" w:eastAsia="宋体" w:hAnsi="Book Antiqua" w:cs="宋体"/>
          <w:kern w:val="0"/>
          <w:sz w:val="24"/>
          <w:szCs w:val="24"/>
        </w:rPr>
        <w:t>Burbelo</w:t>
      </w:r>
      <w:proofErr w:type="spellEnd"/>
      <w:r w:rsidRPr="00322627">
        <w:rPr>
          <w:rFonts w:ascii="Book Antiqua" w:eastAsia="宋体" w:hAnsi="Book Antiqua" w:cs="宋体"/>
          <w:kern w:val="0"/>
          <w:sz w:val="24"/>
          <w:szCs w:val="24"/>
        </w:rPr>
        <w:t xml:space="preserve"> PD, Turk SP, Fulton R, Wayne AS, Little RF, Cairo MS, El-</w:t>
      </w:r>
      <w:proofErr w:type="spellStart"/>
      <w:r w:rsidRPr="00322627">
        <w:rPr>
          <w:rFonts w:ascii="Book Antiqua" w:eastAsia="宋体" w:hAnsi="Book Antiqua" w:cs="宋体"/>
          <w:kern w:val="0"/>
          <w:sz w:val="24"/>
          <w:szCs w:val="24"/>
        </w:rPr>
        <w:t>Mallawany</w:t>
      </w:r>
      <w:proofErr w:type="spellEnd"/>
      <w:r w:rsidRPr="00322627">
        <w:rPr>
          <w:rFonts w:ascii="Book Antiqua" w:eastAsia="宋体" w:hAnsi="Book Antiqua" w:cs="宋体"/>
          <w:kern w:val="0"/>
          <w:sz w:val="24"/>
          <w:szCs w:val="24"/>
        </w:rPr>
        <w:t xml:space="preserve"> NK, Fowler D, </w:t>
      </w:r>
      <w:proofErr w:type="spellStart"/>
      <w:r w:rsidRPr="00322627">
        <w:rPr>
          <w:rFonts w:ascii="Book Antiqua" w:eastAsia="宋体" w:hAnsi="Book Antiqua" w:cs="宋体"/>
          <w:kern w:val="0"/>
          <w:sz w:val="24"/>
          <w:szCs w:val="24"/>
        </w:rPr>
        <w:t>Sportes</w:t>
      </w:r>
      <w:proofErr w:type="spellEnd"/>
      <w:r w:rsidRPr="00322627">
        <w:rPr>
          <w:rFonts w:ascii="Book Antiqua" w:eastAsia="宋体" w:hAnsi="Book Antiqua" w:cs="宋体"/>
          <w:kern w:val="0"/>
          <w:sz w:val="24"/>
          <w:szCs w:val="24"/>
        </w:rPr>
        <w:t xml:space="preserve"> C, Bishop MR, Wilson W, Straus SE. Characterization and treatment of chronic active Epstein-Barr virus disease: a 28-year experience in the United States.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2011; </w:t>
      </w:r>
      <w:r w:rsidRPr="00322627">
        <w:rPr>
          <w:rFonts w:ascii="Book Antiqua" w:eastAsia="宋体" w:hAnsi="Book Antiqua" w:cs="宋体"/>
          <w:b/>
          <w:bCs/>
          <w:kern w:val="0"/>
          <w:sz w:val="24"/>
          <w:szCs w:val="24"/>
        </w:rPr>
        <w:t>117</w:t>
      </w:r>
      <w:r w:rsidRPr="00322627">
        <w:rPr>
          <w:rFonts w:ascii="Book Antiqua" w:eastAsia="宋体" w:hAnsi="Book Antiqua" w:cs="宋体"/>
          <w:kern w:val="0"/>
          <w:sz w:val="24"/>
          <w:szCs w:val="24"/>
        </w:rPr>
        <w:t>: 5835-5849 [PMID: 21454450 DOI: 10.1182/blood-2010-11-316745]</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13 </w:t>
      </w:r>
      <w:proofErr w:type="spellStart"/>
      <w:r w:rsidRPr="00322627">
        <w:rPr>
          <w:rFonts w:ascii="Book Antiqua" w:eastAsia="宋体" w:hAnsi="Book Antiqua" w:cs="宋体"/>
          <w:b/>
          <w:bCs/>
          <w:kern w:val="0"/>
          <w:sz w:val="24"/>
          <w:szCs w:val="24"/>
        </w:rPr>
        <w:t>Sonke</w:t>
      </w:r>
      <w:proofErr w:type="spellEnd"/>
      <w:r w:rsidRPr="00322627">
        <w:rPr>
          <w:rFonts w:ascii="Book Antiqua" w:eastAsia="宋体" w:hAnsi="Book Antiqua" w:cs="宋体"/>
          <w:b/>
          <w:bCs/>
          <w:kern w:val="0"/>
          <w:sz w:val="24"/>
          <w:szCs w:val="24"/>
        </w:rPr>
        <w:t xml:space="preserve"> GS</w:t>
      </w:r>
      <w:r w:rsidRPr="00322627">
        <w:rPr>
          <w:rFonts w:ascii="Book Antiqua" w:eastAsia="宋体" w:hAnsi="Book Antiqua" w:cs="宋体"/>
          <w:kern w:val="0"/>
          <w:sz w:val="24"/>
          <w:szCs w:val="24"/>
        </w:rPr>
        <w:t xml:space="preserve">, Ludwig I, van </w:t>
      </w:r>
      <w:proofErr w:type="spellStart"/>
      <w:r w:rsidRPr="00322627">
        <w:rPr>
          <w:rFonts w:ascii="Book Antiqua" w:eastAsia="宋体" w:hAnsi="Book Antiqua" w:cs="宋体"/>
          <w:kern w:val="0"/>
          <w:sz w:val="24"/>
          <w:szCs w:val="24"/>
        </w:rPr>
        <w:t>Oosten</w:t>
      </w:r>
      <w:proofErr w:type="spellEnd"/>
      <w:r w:rsidRPr="00322627">
        <w:rPr>
          <w:rFonts w:ascii="Book Antiqua" w:eastAsia="宋体" w:hAnsi="Book Antiqua" w:cs="宋体"/>
          <w:kern w:val="0"/>
          <w:sz w:val="24"/>
          <w:szCs w:val="24"/>
        </w:rPr>
        <w:t xml:space="preserve"> H, </w:t>
      </w:r>
      <w:proofErr w:type="spellStart"/>
      <w:r w:rsidRPr="00322627">
        <w:rPr>
          <w:rFonts w:ascii="Book Antiqua" w:eastAsia="宋体" w:hAnsi="Book Antiqua" w:cs="宋体"/>
          <w:kern w:val="0"/>
          <w:sz w:val="24"/>
          <w:szCs w:val="24"/>
        </w:rPr>
        <w:t>Baars</w:t>
      </w:r>
      <w:proofErr w:type="spellEnd"/>
      <w:r w:rsidRPr="00322627">
        <w:rPr>
          <w:rFonts w:ascii="Book Antiqua" w:eastAsia="宋体" w:hAnsi="Book Antiqua" w:cs="宋体"/>
          <w:kern w:val="0"/>
          <w:sz w:val="24"/>
          <w:szCs w:val="24"/>
        </w:rPr>
        <w:t xml:space="preserve"> JW, Meijer E, </w:t>
      </w:r>
      <w:proofErr w:type="spellStart"/>
      <w:r w:rsidRPr="00322627">
        <w:rPr>
          <w:rFonts w:ascii="Book Antiqua" w:eastAsia="宋体" w:hAnsi="Book Antiqua" w:cs="宋体"/>
          <w:kern w:val="0"/>
          <w:sz w:val="24"/>
          <w:szCs w:val="24"/>
        </w:rPr>
        <w:t>Kater</w:t>
      </w:r>
      <w:proofErr w:type="spellEnd"/>
      <w:r w:rsidRPr="00322627">
        <w:rPr>
          <w:rFonts w:ascii="Book Antiqua" w:eastAsia="宋体" w:hAnsi="Book Antiqua" w:cs="宋体"/>
          <w:kern w:val="0"/>
          <w:sz w:val="24"/>
          <w:szCs w:val="24"/>
        </w:rPr>
        <w:t xml:space="preserve"> AP, de Jong D. Poor outcomes of chronic active Epstein-Barr virus infection and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in non-Japanese adult patients. </w:t>
      </w:r>
      <w:proofErr w:type="spellStart"/>
      <w:r w:rsidRPr="00322627">
        <w:rPr>
          <w:rFonts w:ascii="Book Antiqua" w:eastAsia="宋体" w:hAnsi="Book Antiqua" w:cs="宋体"/>
          <w:i/>
          <w:iCs/>
          <w:kern w:val="0"/>
          <w:sz w:val="24"/>
          <w:szCs w:val="24"/>
        </w:rPr>
        <w:t>Clin</w:t>
      </w:r>
      <w:proofErr w:type="spellEnd"/>
      <w:r w:rsidRPr="00322627">
        <w:rPr>
          <w:rFonts w:ascii="Book Antiqua" w:eastAsia="宋体" w:hAnsi="Book Antiqua" w:cs="宋体"/>
          <w:i/>
          <w:iCs/>
          <w:kern w:val="0"/>
          <w:sz w:val="24"/>
          <w:szCs w:val="24"/>
        </w:rPr>
        <w:t xml:space="preserve"> Infect Dis</w:t>
      </w:r>
      <w:r w:rsidRPr="00322627">
        <w:rPr>
          <w:rFonts w:ascii="Book Antiqua" w:eastAsia="宋体" w:hAnsi="Book Antiqua" w:cs="宋体"/>
          <w:kern w:val="0"/>
          <w:sz w:val="24"/>
          <w:szCs w:val="24"/>
        </w:rPr>
        <w:t xml:space="preserve"> 2008; </w:t>
      </w:r>
      <w:r w:rsidRPr="00322627">
        <w:rPr>
          <w:rFonts w:ascii="Book Antiqua" w:eastAsia="宋体" w:hAnsi="Book Antiqua" w:cs="宋体"/>
          <w:b/>
          <w:bCs/>
          <w:kern w:val="0"/>
          <w:sz w:val="24"/>
          <w:szCs w:val="24"/>
        </w:rPr>
        <w:t>47</w:t>
      </w:r>
      <w:r w:rsidRPr="00322627">
        <w:rPr>
          <w:rFonts w:ascii="Book Antiqua" w:eastAsia="宋体" w:hAnsi="Book Antiqua" w:cs="宋体"/>
          <w:kern w:val="0"/>
          <w:sz w:val="24"/>
          <w:szCs w:val="24"/>
        </w:rPr>
        <w:t>: 105-108 [PMID: 18491961 DOI: 10.1086/588790]</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14 </w:t>
      </w:r>
      <w:proofErr w:type="spellStart"/>
      <w:r w:rsidRPr="00322627">
        <w:rPr>
          <w:rFonts w:ascii="Book Antiqua" w:eastAsia="宋体" w:hAnsi="Book Antiqua" w:cs="宋体"/>
          <w:b/>
          <w:bCs/>
          <w:kern w:val="0"/>
          <w:sz w:val="24"/>
          <w:szCs w:val="24"/>
        </w:rPr>
        <w:t>Kasahara</w:t>
      </w:r>
      <w:proofErr w:type="spellEnd"/>
      <w:r w:rsidRPr="00322627">
        <w:rPr>
          <w:rFonts w:ascii="Book Antiqua" w:eastAsia="宋体" w:hAnsi="Book Antiqua" w:cs="宋体"/>
          <w:b/>
          <w:bCs/>
          <w:kern w:val="0"/>
          <w:sz w:val="24"/>
          <w:szCs w:val="24"/>
        </w:rPr>
        <w:t xml:space="preserve"> Y</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Yachie</w:t>
      </w:r>
      <w:proofErr w:type="spellEnd"/>
      <w:r w:rsidRPr="00322627">
        <w:rPr>
          <w:rFonts w:ascii="Book Antiqua" w:eastAsia="宋体" w:hAnsi="Book Antiqua" w:cs="宋体"/>
          <w:kern w:val="0"/>
          <w:sz w:val="24"/>
          <w:szCs w:val="24"/>
        </w:rPr>
        <w:t xml:space="preserve"> A. Cell type specific infection of Epstein-Barr virus (EBV) in EBV-associated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and chronic active EBV infection. </w:t>
      </w:r>
      <w:proofErr w:type="spellStart"/>
      <w:r w:rsidRPr="00322627">
        <w:rPr>
          <w:rFonts w:ascii="Book Antiqua" w:eastAsia="宋体" w:hAnsi="Book Antiqua" w:cs="宋体"/>
          <w:i/>
          <w:iCs/>
          <w:kern w:val="0"/>
          <w:sz w:val="24"/>
          <w:szCs w:val="24"/>
        </w:rPr>
        <w:t>Crit</w:t>
      </w:r>
      <w:proofErr w:type="spellEnd"/>
      <w:r w:rsidRPr="00322627">
        <w:rPr>
          <w:rFonts w:ascii="Book Antiqua" w:eastAsia="宋体" w:hAnsi="Book Antiqua" w:cs="宋体"/>
          <w:i/>
          <w:iCs/>
          <w:kern w:val="0"/>
          <w:sz w:val="24"/>
          <w:szCs w:val="24"/>
        </w:rPr>
        <w:t xml:space="preserve"> Rev </w:t>
      </w:r>
      <w:proofErr w:type="spellStart"/>
      <w:r w:rsidRPr="00322627">
        <w:rPr>
          <w:rFonts w:ascii="Book Antiqua" w:eastAsia="宋体" w:hAnsi="Book Antiqua" w:cs="宋体"/>
          <w:i/>
          <w:iCs/>
          <w:kern w:val="0"/>
          <w:sz w:val="24"/>
          <w:szCs w:val="24"/>
        </w:rPr>
        <w:t>Oncol</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kern w:val="0"/>
          <w:sz w:val="24"/>
          <w:szCs w:val="24"/>
        </w:rPr>
        <w:t xml:space="preserve"> 2002; </w:t>
      </w:r>
      <w:r w:rsidRPr="00322627">
        <w:rPr>
          <w:rFonts w:ascii="Book Antiqua" w:eastAsia="宋体" w:hAnsi="Book Antiqua" w:cs="宋体"/>
          <w:b/>
          <w:bCs/>
          <w:kern w:val="0"/>
          <w:sz w:val="24"/>
          <w:szCs w:val="24"/>
        </w:rPr>
        <w:t>44</w:t>
      </w:r>
      <w:r w:rsidRPr="00322627">
        <w:rPr>
          <w:rFonts w:ascii="Book Antiqua" w:eastAsia="宋体" w:hAnsi="Book Antiqua" w:cs="宋体"/>
          <w:kern w:val="0"/>
          <w:sz w:val="24"/>
          <w:szCs w:val="24"/>
        </w:rPr>
        <w:t>: 283-294 [PMID: 12467968 DOI: 10.1016/S1040-8428(02)00119-1]</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15 </w:t>
      </w:r>
      <w:r w:rsidRPr="00322627">
        <w:rPr>
          <w:rFonts w:ascii="Book Antiqua" w:eastAsia="宋体" w:hAnsi="Book Antiqua" w:cs="宋体"/>
          <w:b/>
          <w:bCs/>
          <w:kern w:val="0"/>
          <w:sz w:val="24"/>
          <w:szCs w:val="24"/>
        </w:rPr>
        <w:t>Kimura H</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Morishima</w:t>
      </w:r>
      <w:proofErr w:type="spellEnd"/>
      <w:r w:rsidRPr="00322627">
        <w:rPr>
          <w:rFonts w:ascii="Book Antiqua" w:eastAsia="宋体" w:hAnsi="Book Antiqua" w:cs="宋体"/>
          <w:kern w:val="0"/>
          <w:sz w:val="24"/>
          <w:szCs w:val="24"/>
        </w:rPr>
        <w:t xml:space="preserve"> T, </w:t>
      </w:r>
      <w:proofErr w:type="spellStart"/>
      <w:r w:rsidRPr="00322627">
        <w:rPr>
          <w:rFonts w:ascii="Book Antiqua" w:eastAsia="宋体" w:hAnsi="Book Antiqua" w:cs="宋体"/>
          <w:kern w:val="0"/>
          <w:sz w:val="24"/>
          <w:szCs w:val="24"/>
        </w:rPr>
        <w:t>Kanegane</w:t>
      </w:r>
      <w:proofErr w:type="spellEnd"/>
      <w:r w:rsidRPr="00322627">
        <w:rPr>
          <w:rFonts w:ascii="Book Antiqua" w:eastAsia="宋体" w:hAnsi="Book Antiqua" w:cs="宋体"/>
          <w:kern w:val="0"/>
          <w:sz w:val="24"/>
          <w:szCs w:val="24"/>
        </w:rPr>
        <w:t xml:space="preserve"> H, </w:t>
      </w:r>
      <w:proofErr w:type="spellStart"/>
      <w:r w:rsidRPr="00322627">
        <w:rPr>
          <w:rFonts w:ascii="Book Antiqua" w:eastAsia="宋体" w:hAnsi="Book Antiqua" w:cs="宋体"/>
          <w:kern w:val="0"/>
          <w:sz w:val="24"/>
          <w:szCs w:val="24"/>
        </w:rPr>
        <w:t>Ohga</w:t>
      </w:r>
      <w:proofErr w:type="spellEnd"/>
      <w:r w:rsidRPr="00322627">
        <w:rPr>
          <w:rFonts w:ascii="Book Antiqua" w:eastAsia="宋体" w:hAnsi="Book Antiqua" w:cs="宋体"/>
          <w:kern w:val="0"/>
          <w:sz w:val="24"/>
          <w:szCs w:val="24"/>
        </w:rPr>
        <w:t xml:space="preserve"> S, Hoshino Y, Maeda A, Imai S, Okano M, </w:t>
      </w:r>
      <w:proofErr w:type="spellStart"/>
      <w:r w:rsidRPr="00322627">
        <w:rPr>
          <w:rFonts w:ascii="Book Antiqua" w:eastAsia="宋体" w:hAnsi="Book Antiqua" w:cs="宋体"/>
          <w:kern w:val="0"/>
          <w:sz w:val="24"/>
          <w:szCs w:val="24"/>
        </w:rPr>
        <w:t>Morio</w:t>
      </w:r>
      <w:proofErr w:type="spellEnd"/>
      <w:r w:rsidRPr="00322627">
        <w:rPr>
          <w:rFonts w:ascii="Book Antiqua" w:eastAsia="宋体" w:hAnsi="Book Antiqua" w:cs="宋体"/>
          <w:kern w:val="0"/>
          <w:sz w:val="24"/>
          <w:szCs w:val="24"/>
        </w:rPr>
        <w:t xml:space="preserve"> T, Yokota S, Tsuchiya S, </w:t>
      </w:r>
      <w:proofErr w:type="spellStart"/>
      <w:r w:rsidRPr="00322627">
        <w:rPr>
          <w:rFonts w:ascii="Book Antiqua" w:eastAsia="宋体" w:hAnsi="Book Antiqua" w:cs="宋体"/>
          <w:kern w:val="0"/>
          <w:sz w:val="24"/>
          <w:szCs w:val="24"/>
        </w:rPr>
        <w:t>Yachie</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Kawa K, </w:t>
      </w:r>
      <w:proofErr w:type="spellStart"/>
      <w:r w:rsidRPr="00322627">
        <w:rPr>
          <w:rFonts w:ascii="Book Antiqua" w:eastAsia="宋体" w:hAnsi="Book Antiqua" w:cs="宋体"/>
          <w:kern w:val="0"/>
          <w:sz w:val="24"/>
          <w:szCs w:val="24"/>
        </w:rPr>
        <w:t>Wakiguchi</w:t>
      </w:r>
      <w:proofErr w:type="spellEnd"/>
      <w:r w:rsidRPr="00322627">
        <w:rPr>
          <w:rFonts w:ascii="Book Antiqua" w:eastAsia="宋体" w:hAnsi="Book Antiqua" w:cs="宋体"/>
          <w:kern w:val="0"/>
          <w:sz w:val="24"/>
          <w:szCs w:val="24"/>
        </w:rPr>
        <w:t xml:space="preserve"> H. Prognostic factors for chronic active Epstein-Barr virus infection. </w:t>
      </w:r>
      <w:r w:rsidRPr="00322627">
        <w:rPr>
          <w:rFonts w:ascii="Book Antiqua" w:eastAsia="宋体" w:hAnsi="Book Antiqua" w:cs="宋体"/>
          <w:i/>
          <w:iCs/>
          <w:kern w:val="0"/>
          <w:sz w:val="24"/>
          <w:szCs w:val="24"/>
        </w:rPr>
        <w:t>J Infect Dis</w:t>
      </w:r>
      <w:r w:rsidRPr="00322627">
        <w:rPr>
          <w:rFonts w:ascii="Book Antiqua" w:eastAsia="宋体" w:hAnsi="Book Antiqua" w:cs="宋体"/>
          <w:kern w:val="0"/>
          <w:sz w:val="24"/>
          <w:szCs w:val="24"/>
        </w:rPr>
        <w:t xml:space="preserve"> 2003; </w:t>
      </w:r>
      <w:r w:rsidRPr="00322627">
        <w:rPr>
          <w:rFonts w:ascii="Book Antiqua" w:eastAsia="宋体" w:hAnsi="Book Antiqua" w:cs="宋体"/>
          <w:b/>
          <w:bCs/>
          <w:kern w:val="0"/>
          <w:sz w:val="24"/>
          <w:szCs w:val="24"/>
        </w:rPr>
        <w:t>187</w:t>
      </w:r>
      <w:r w:rsidRPr="00322627">
        <w:rPr>
          <w:rFonts w:ascii="Book Antiqua" w:eastAsia="宋体" w:hAnsi="Book Antiqua" w:cs="宋体"/>
          <w:kern w:val="0"/>
          <w:sz w:val="24"/>
          <w:szCs w:val="24"/>
        </w:rPr>
        <w:t>: 527-533 [PMID: 12599068]</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lastRenderedPageBreak/>
        <w:t xml:space="preserve">16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Hibi</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Tabata</w:t>
      </w:r>
      <w:proofErr w:type="spellEnd"/>
      <w:r w:rsidRPr="00322627">
        <w:rPr>
          <w:rFonts w:ascii="Book Antiqua" w:eastAsia="宋体" w:hAnsi="Book Antiqua" w:cs="宋体"/>
          <w:kern w:val="0"/>
          <w:sz w:val="24"/>
          <w:szCs w:val="24"/>
        </w:rPr>
        <w:t xml:space="preserve"> Y, Itoh E, </w:t>
      </w:r>
      <w:proofErr w:type="spellStart"/>
      <w:r w:rsidRPr="00322627">
        <w:rPr>
          <w:rFonts w:ascii="Book Antiqua" w:eastAsia="宋体" w:hAnsi="Book Antiqua" w:cs="宋体"/>
          <w:kern w:val="0"/>
          <w:sz w:val="24"/>
          <w:szCs w:val="24"/>
        </w:rPr>
        <w:t>Hashida</w:t>
      </w:r>
      <w:proofErr w:type="spellEnd"/>
      <w:r w:rsidRPr="00322627">
        <w:rPr>
          <w:rFonts w:ascii="Book Antiqua" w:eastAsia="宋体" w:hAnsi="Book Antiqua" w:cs="宋体"/>
          <w:kern w:val="0"/>
          <w:sz w:val="24"/>
          <w:szCs w:val="24"/>
        </w:rPr>
        <w:t xml:space="preserve"> T, </w:t>
      </w:r>
      <w:proofErr w:type="spellStart"/>
      <w:r w:rsidRPr="00322627">
        <w:rPr>
          <w:rFonts w:ascii="Book Antiqua" w:eastAsia="宋体" w:hAnsi="Book Antiqua" w:cs="宋体"/>
          <w:kern w:val="0"/>
          <w:sz w:val="24"/>
          <w:szCs w:val="24"/>
        </w:rPr>
        <w:t>Tsunamoto</w:t>
      </w:r>
      <w:proofErr w:type="spellEnd"/>
      <w:r w:rsidRPr="00322627">
        <w:rPr>
          <w:rFonts w:ascii="Book Antiqua" w:eastAsia="宋体" w:hAnsi="Book Antiqua" w:cs="宋体"/>
          <w:kern w:val="0"/>
          <w:sz w:val="24"/>
          <w:szCs w:val="24"/>
        </w:rPr>
        <w:t xml:space="preserve"> K, Ishimoto K, Kawano F. Outcome of clonal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analysis of 32 cases. </w:t>
      </w:r>
      <w:proofErr w:type="spellStart"/>
      <w:r w:rsidRPr="00322627">
        <w:rPr>
          <w:rFonts w:ascii="Book Antiqua" w:eastAsia="宋体" w:hAnsi="Book Antiqua" w:cs="宋体"/>
          <w:i/>
          <w:iCs/>
          <w:kern w:val="0"/>
          <w:sz w:val="24"/>
          <w:szCs w:val="24"/>
        </w:rPr>
        <w:t>Leuk</w:t>
      </w:r>
      <w:proofErr w:type="spellEnd"/>
      <w:r w:rsidRPr="00322627">
        <w:rPr>
          <w:rFonts w:ascii="Book Antiqua" w:eastAsia="宋体" w:hAnsi="Book Antiqua" w:cs="宋体"/>
          <w:i/>
          <w:iCs/>
          <w:kern w:val="0"/>
          <w:sz w:val="24"/>
          <w:szCs w:val="24"/>
        </w:rPr>
        <w:t xml:space="preserve"> Lymphoma</w:t>
      </w:r>
      <w:r w:rsidRPr="00322627">
        <w:rPr>
          <w:rFonts w:ascii="Book Antiqua" w:eastAsia="宋体" w:hAnsi="Book Antiqua" w:cs="宋体"/>
          <w:kern w:val="0"/>
          <w:sz w:val="24"/>
          <w:szCs w:val="24"/>
        </w:rPr>
        <w:t xml:space="preserve"> 2000; </w:t>
      </w:r>
      <w:r w:rsidRPr="00322627">
        <w:rPr>
          <w:rFonts w:ascii="Book Antiqua" w:eastAsia="宋体" w:hAnsi="Book Antiqua" w:cs="宋体"/>
          <w:b/>
          <w:bCs/>
          <w:kern w:val="0"/>
          <w:sz w:val="24"/>
          <w:szCs w:val="24"/>
        </w:rPr>
        <w:t>37</w:t>
      </w:r>
      <w:r w:rsidRPr="00322627">
        <w:rPr>
          <w:rFonts w:ascii="Book Antiqua" w:eastAsia="宋体" w:hAnsi="Book Antiqua" w:cs="宋体"/>
          <w:kern w:val="0"/>
          <w:sz w:val="24"/>
          <w:szCs w:val="24"/>
        </w:rPr>
        <w:t>: 577-584 [PMID: 11042518 DOI: 10.3109/10428190009058510]</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17 </w:t>
      </w:r>
      <w:r w:rsidRPr="00322627">
        <w:rPr>
          <w:rFonts w:ascii="Book Antiqua" w:eastAsia="宋体" w:hAnsi="Book Antiqua" w:cs="宋体"/>
          <w:b/>
          <w:bCs/>
          <w:kern w:val="0"/>
          <w:sz w:val="24"/>
          <w:szCs w:val="24"/>
        </w:rPr>
        <w:t>Kimura H</w:t>
      </w:r>
      <w:r w:rsidRPr="00322627">
        <w:rPr>
          <w:rFonts w:ascii="Book Antiqua" w:eastAsia="宋体" w:hAnsi="Book Antiqua" w:cs="宋体"/>
          <w:kern w:val="0"/>
          <w:sz w:val="24"/>
          <w:szCs w:val="24"/>
        </w:rPr>
        <w:t xml:space="preserve">, Morita M, </w:t>
      </w:r>
      <w:proofErr w:type="spellStart"/>
      <w:r w:rsidRPr="00322627">
        <w:rPr>
          <w:rFonts w:ascii="Book Antiqua" w:eastAsia="宋体" w:hAnsi="Book Antiqua" w:cs="宋体"/>
          <w:kern w:val="0"/>
          <w:sz w:val="24"/>
          <w:szCs w:val="24"/>
        </w:rPr>
        <w:t>Yabuta</w:t>
      </w:r>
      <w:proofErr w:type="spellEnd"/>
      <w:r w:rsidRPr="00322627">
        <w:rPr>
          <w:rFonts w:ascii="Book Antiqua" w:eastAsia="宋体" w:hAnsi="Book Antiqua" w:cs="宋体"/>
          <w:kern w:val="0"/>
          <w:sz w:val="24"/>
          <w:szCs w:val="24"/>
        </w:rPr>
        <w:t xml:space="preserve"> Y, </w:t>
      </w:r>
      <w:proofErr w:type="spellStart"/>
      <w:r w:rsidRPr="00322627">
        <w:rPr>
          <w:rFonts w:ascii="Book Antiqua" w:eastAsia="宋体" w:hAnsi="Book Antiqua" w:cs="宋体"/>
          <w:kern w:val="0"/>
          <w:sz w:val="24"/>
          <w:szCs w:val="24"/>
        </w:rPr>
        <w:t>Kuzushima</w:t>
      </w:r>
      <w:proofErr w:type="spellEnd"/>
      <w:r w:rsidRPr="00322627">
        <w:rPr>
          <w:rFonts w:ascii="Book Antiqua" w:eastAsia="宋体" w:hAnsi="Book Antiqua" w:cs="宋体"/>
          <w:kern w:val="0"/>
          <w:sz w:val="24"/>
          <w:szCs w:val="24"/>
        </w:rPr>
        <w:t xml:space="preserve"> K, Kato K, Kojima S, Matsuyama T, </w:t>
      </w:r>
      <w:proofErr w:type="spellStart"/>
      <w:r w:rsidRPr="00322627">
        <w:rPr>
          <w:rFonts w:ascii="Book Antiqua" w:eastAsia="宋体" w:hAnsi="Book Antiqua" w:cs="宋体"/>
          <w:kern w:val="0"/>
          <w:sz w:val="24"/>
          <w:szCs w:val="24"/>
        </w:rPr>
        <w:t>Morishima</w:t>
      </w:r>
      <w:proofErr w:type="spellEnd"/>
      <w:r w:rsidRPr="00322627">
        <w:rPr>
          <w:rFonts w:ascii="Book Antiqua" w:eastAsia="宋体" w:hAnsi="Book Antiqua" w:cs="宋体"/>
          <w:kern w:val="0"/>
          <w:sz w:val="24"/>
          <w:szCs w:val="24"/>
        </w:rPr>
        <w:t xml:space="preserve"> T. Quantitative analysis of Epstein-Barr virus load by using a real-time PCR assay. </w:t>
      </w:r>
      <w:r w:rsidRPr="00322627">
        <w:rPr>
          <w:rFonts w:ascii="Book Antiqua" w:eastAsia="宋体" w:hAnsi="Book Antiqua" w:cs="宋体"/>
          <w:i/>
          <w:iCs/>
          <w:kern w:val="0"/>
          <w:sz w:val="24"/>
          <w:szCs w:val="24"/>
        </w:rPr>
        <w:t xml:space="preserve">J </w:t>
      </w:r>
      <w:proofErr w:type="spellStart"/>
      <w:r w:rsidRPr="00322627">
        <w:rPr>
          <w:rFonts w:ascii="Book Antiqua" w:eastAsia="宋体" w:hAnsi="Book Antiqua" w:cs="宋体"/>
          <w:i/>
          <w:iCs/>
          <w:kern w:val="0"/>
          <w:sz w:val="24"/>
          <w:szCs w:val="24"/>
        </w:rPr>
        <w:t>Clin</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Microbiol</w:t>
      </w:r>
      <w:proofErr w:type="spellEnd"/>
      <w:r w:rsidRPr="00322627">
        <w:rPr>
          <w:rFonts w:ascii="Book Antiqua" w:eastAsia="宋体" w:hAnsi="Book Antiqua" w:cs="宋体"/>
          <w:kern w:val="0"/>
          <w:sz w:val="24"/>
          <w:szCs w:val="24"/>
        </w:rPr>
        <w:t xml:space="preserve"> 1999; </w:t>
      </w:r>
      <w:r w:rsidRPr="00322627">
        <w:rPr>
          <w:rFonts w:ascii="Book Antiqua" w:eastAsia="宋体" w:hAnsi="Book Antiqua" w:cs="宋体"/>
          <w:b/>
          <w:bCs/>
          <w:kern w:val="0"/>
          <w:sz w:val="24"/>
          <w:szCs w:val="24"/>
        </w:rPr>
        <w:t>37</w:t>
      </w:r>
      <w:r w:rsidRPr="00322627">
        <w:rPr>
          <w:rFonts w:ascii="Book Antiqua" w:eastAsia="宋体" w:hAnsi="Book Antiqua" w:cs="宋体"/>
          <w:kern w:val="0"/>
          <w:sz w:val="24"/>
          <w:szCs w:val="24"/>
        </w:rPr>
        <w:t>: 132-136 [PMID: 9854077]</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18 </w:t>
      </w:r>
      <w:proofErr w:type="spellStart"/>
      <w:r w:rsidRPr="00322627">
        <w:rPr>
          <w:rFonts w:ascii="Book Antiqua" w:eastAsia="宋体" w:hAnsi="Book Antiqua" w:cs="宋体"/>
          <w:b/>
          <w:bCs/>
          <w:kern w:val="0"/>
          <w:sz w:val="24"/>
          <w:szCs w:val="24"/>
        </w:rPr>
        <w:t>Teramura</w:t>
      </w:r>
      <w:proofErr w:type="spellEnd"/>
      <w:r w:rsidRPr="00322627">
        <w:rPr>
          <w:rFonts w:ascii="Book Antiqua" w:eastAsia="宋体" w:hAnsi="Book Antiqua" w:cs="宋体"/>
          <w:b/>
          <w:bCs/>
          <w:kern w:val="0"/>
          <w:sz w:val="24"/>
          <w:szCs w:val="24"/>
        </w:rPr>
        <w:t xml:space="preserve"> T</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Tabata</w:t>
      </w:r>
      <w:proofErr w:type="spellEnd"/>
      <w:r w:rsidRPr="00322627">
        <w:rPr>
          <w:rFonts w:ascii="Book Antiqua" w:eastAsia="宋体" w:hAnsi="Book Antiqua" w:cs="宋体"/>
          <w:kern w:val="0"/>
          <w:sz w:val="24"/>
          <w:szCs w:val="24"/>
        </w:rPr>
        <w:t xml:space="preserve"> Y, Yagi T, Morimoto A, </w:t>
      </w:r>
      <w:proofErr w:type="spellStart"/>
      <w:r w:rsidRPr="00322627">
        <w:rPr>
          <w:rFonts w:ascii="Book Antiqua" w:eastAsia="宋体" w:hAnsi="Book Antiqua" w:cs="宋体"/>
          <w:kern w:val="0"/>
          <w:sz w:val="24"/>
          <w:szCs w:val="24"/>
        </w:rPr>
        <w:t>Hibi</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Quantitative analysis of cell-free Epstein-Barr virus genome copy number in patients with EBV-associated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Leuk</w:t>
      </w:r>
      <w:proofErr w:type="spellEnd"/>
      <w:r w:rsidRPr="00322627">
        <w:rPr>
          <w:rFonts w:ascii="Book Antiqua" w:eastAsia="宋体" w:hAnsi="Book Antiqua" w:cs="宋体"/>
          <w:i/>
          <w:iCs/>
          <w:kern w:val="0"/>
          <w:sz w:val="24"/>
          <w:szCs w:val="24"/>
        </w:rPr>
        <w:t xml:space="preserve"> Lymphoma</w:t>
      </w:r>
      <w:r w:rsidRPr="00322627">
        <w:rPr>
          <w:rFonts w:ascii="Book Antiqua" w:eastAsia="宋体" w:hAnsi="Book Antiqua" w:cs="宋体"/>
          <w:kern w:val="0"/>
          <w:sz w:val="24"/>
          <w:szCs w:val="24"/>
        </w:rPr>
        <w:t xml:space="preserve"> 2002; </w:t>
      </w:r>
      <w:r w:rsidRPr="00322627">
        <w:rPr>
          <w:rFonts w:ascii="Book Antiqua" w:eastAsia="宋体" w:hAnsi="Book Antiqua" w:cs="宋体"/>
          <w:b/>
          <w:bCs/>
          <w:kern w:val="0"/>
          <w:sz w:val="24"/>
          <w:szCs w:val="24"/>
        </w:rPr>
        <w:t>43</w:t>
      </w:r>
      <w:r w:rsidRPr="00322627">
        <w:rPr>
          <w:rFonts w:ascii="Book Antiqua" w:eastAsia="宋体" w:hAnsi="Book Antiqua" w:cs="宋体"/>
          <w:kern w:val="0"/>
          <w:sz w:val="24"/>
          <w:szCs w:val="24"/>
        </w:rPr>
        <w:t>: 173-179 [PMID: 11908724 DOI: 10.1080/10428190210176]</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19 </w:t>
      </w:r>
      <w:proofErr w:type="spellStart"/>
      <w:r w:rsidRPr="00322627">
        <w:rPr>
          <w:rFonts w:ascii="Book Antiqua" w:eastAsia="宋体" w:hAnsi="Book Antiqua" w:cs="宋体"/>
          <w:b/>
          <w:bCs/>
          <w:kern w:val="0"/>
          <w:sz w:val="24"/>
          <w:szCs w:val="24"/>
        </w:rPr>
        <w:t>Henter</w:t>
      </w:r>
      <w:proofErr w:type="spellEnd"/>
      <w:r w:rsidRPr="00322627">
        <w:rPr>
          <w:rFonts w:ascii="Book Antiqua" w:eastAsia="宋体" w:hAnsi="Book Antiqua" w:cs="宋体"/>
          <w:b/>
          <w:bCs/>
          <w:kern w:val="0"/>
          <w:sz w:val="24"/>
          <w:szCs w:val="24"/>
        </w:rPr>
        <w:t xml:space="preserve"> JI</w:t>
      </w:r>
      <w:r w:rsidRPr="00322627">
        <w:rPr>
          <w:rFonts w:ascii="Book Antiqua" w:eastAsia="宋体" w:hAnsi="Book Antiqua" w:cs="宋体"/>
          <w:kern w:val="0"/>
          <w:sz w:val="24"/>
          <w:szCs w:val="24"/>
        </w:rPr>
        <w:t xml:space="preserve">, Samuelsson-Horne A, </w:t>
      </w:r>
      <w:proofErr w:type="spellStart"/>
      <w:r w:rsidRPr="00322627">
        <w:rPr>
          <w:rFonts w:ascii="Book Antiqua" w:eastAsia="宋体" w:hAnsi="Book Antiqua" w:cs="宋体"/>
          <w:kern w:val="0"/>
          <w:sz w:val="24"/>
          <w:szCs w:val="24"/>
        </w:rPr>
        <w:t>Aricò</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Egeler</w:t>
      </w:r>
      <w:proofErr w:type="spellEnd"/>
      <w:r w:rsidRPr="00322627">
        <w:rPr>
          <w:rFonts w:ascii="Book Antiqua" w:eastAsia="宋体" w:hAnsi="Book Antiqua" w:cs="宋体"/>
          <w:kern w:val="0"/>
          <w:sz w:val="24"/>
          <w:szCs w:val="24"/>
        </w:rPr>
        <w:t xml:space="preserve"> RM, </w:t>
      </w:r>
      <w:proofErr w:type="spellStart"/>
      <w:r w:rsidRPr="00322627">
        <w:rPr>
          <w:rFonts w:ascii="Book Antiqua" w:eastAsia="宋体" w:hAnsi="Book Antiqua" w:cs="宋体"/>
          <w:kern w:val="0"/>
          <w:sz w:val="24"/>
          <w:szCs w:val="24"/>
        </w:rPr>
        <w:t>Elinder</w:t>
      </w:r>
      <w:proofErr w:type="spellEnd"/>
      <w:r w:rsidRPr="00322627">
        <w:rPr>
          <w:rFonts w:ascii="Book Antiqua" w:eastAsia="宋体" w:hAnsi="Book Antiqua" w:cs="宋体"/>
          <w:kern w:val="0"/>
          <w:sz w:val="24"/>
          <w:szCs w:val="24"/>
        </w:rPr>
        <w:t xml:space="preserve"> G, </w:t>
      </w:r>
      <w:proofErr w:type="spellStart"/>
      <w:r w:rsidRPr="00322627">
        <w:rPr>
          <w:rFonts w:ascii="Book Antiqua" w:eastAsia="宋体" w:hAnsi="Book Antiqua" w:cs="宋体"/>
          <w:kern w:val="0"/>
          <w:sz w:val="24"/>
          <w:szCs w:val="24"/>
        </w:rPr>
        <w:t>Filipovich</w:t>
      </w:r>
      <w:proofErr w:type="spellEnd"/>
      <w:r w:rsidRPr="00322627">
        <w:rPr>
          <w:rFonts w:ascii="Book Antiqua" w:eastAsia="宋体" w:hAnsi="Book Antiqua" w:cs="宋体"/>
          <w:kern w:val="0"/>
          <w:sz w:val="24"/>
          <w:szCs w:val="24"/>
        </w:rPr>
        <w:t xml:space="preserve"> AH, </w:t>
      </w:r>
      <w:proofErr w:type="spellStart"/>
      <w:r w:rsidRPr="00322627">
        <w:rPr>
          <w:rFonts w:ascii="Book Antiqua" w:eastAsia="宋体" w:hAnsi="Book Antiqua" w:cs="宋体"/>
          <w:kern w:val="0"/>
          <w:sz w:val="24"/>
          <w:szCs w:val="24"/>
        </w:rPr>
        <w:t>Gadner</w:t>
      </w:r>
      <w:proofErr w:type="spellEnd"/>
      <w:r w:rsidRPr="00322627">
        <w:rPr>
          <w:rFonts w:ascii="Book Antiqua" w:eastAsia="宋体" w:hAnsi="Book Antiqua" w:cs="宋体"/>
          <w:kern w:val="0"/>
          <w:sz w:val="24"/>
          <w:szCs w:val="24"/>
        </w:rPr>
        <w:t xml:space="preserve"> H,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Komp</w:t>
      </w:r>
      <w:proofErr w:type="spellEnd"/>
      <w:r w:rsidRPr="00322627">
        <w:rPr>
          <w:rFonts w:ascii="Book Antiqua" w:eastAsia="宋体" w:hAnsi="Book Antiqua" w:cs="宋体"/>
          <w:kern w:val="0"/>
          <w:sz w:val="24"/>
          <w:szCs w:val="24"/>
        </w:rPr>
        <w:t xml:space="preserve"> D, </w:t>
      </w:r>
      <w:proofErr w:type="spellStart"/>
      <w:r w:rsidRPr="00322627">
        <w:rPr>
          <w:rFonts w:ascii="Book Antiqua" w:eastAsia="宋体" w:hAnsi="Book Antiqua" w:cs="宋体"/>
          <w:kern w:val="0"/>
          <w:sz w:val="24"/>
          <w:szCs w:val="24"/>
        </w:rPr>
        <w:t>Ladisch</w:t>
      </w:r>
      <w:proofErr w:type="spellEnd"/>
      <w:r w:rsidRPr="00322627">
        <w:rPr>
          <w:rFonts w:ascii="Book Antiqua" w:eastAsia="宋体" w:hAnsi="Book Antiqua" w:cs="宋体"/>
          <w:kern w:val="0"/>
          <w:sz w:val="24"/>
          <w:szCs w:val="24"/>
        </w:rPr>
        <w:t xml:space="preserve"> S, Webb D, </w:t>
      </w:r>
      <w:proofErr w:type="spellStart"/>
      <w:r w:rsidRPr="00322627">
        <w:rPr>
          <w:rFonts w:ascii="Book Antiqua" w:eastAsia="宋体" w:hAnsi="Book Antiqua" w:cs="宋体"/>
          <w:kern w:val="0"/>
          <w:sz w:val="24"/>
          <w:szCs w:val="24"/>
        </w:rPr>
        <w:t>Janka</w:t>
      </w:r>
      <w:proofErr w:type="spellEnd"/>
      <w:r w:rsidRPr="00322627">
        <w:rPr>
          <w:rFonts w:ascii="Book Antiqua" w:eastAsia="宋体" w:hAnsi="Book Antiqua" w:cs="宋体"/>
          <w:kern w:val="0"/>
          <w:sz w:val="24"/>
          <w:szCs w:val="24"/>
        </w:rPr>
        <w:t xml:space="preserve"> G. Treatment of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with HLH-94 </w:t>
      </w:r>
      <w:proofErr w:type="spellStart"/>
      <w:r w:rsidRPr="00322627">
        <w:rPr>
          <w:rFonts w:ascii="Book Antiqua" w:eastAsia="宋体" w:hAnsi="Book Antiqua" w:cs="宋体"/>
          <w:kern w:val="0"/>
          <w:sz w:val="24"/>
          <w:szCs w:val="24"/>
        </w:rPr>
        <w:t>immunochemotherapy</w:t>
      </w:r>
      <w:proofErr w:type="spellEnd"/>
      <w:r w:rsidRPr="00322627">
        <w:rPr>
          <w:rFonts w:ascii="Book Antiqua" w:eastAsia="宋体" w:hAnsi="Book Antiqua" w:cs="宋体"/>
          <w:kern w:val="0"/>
          <w:sz w:val="24"/>
          <w:szCs w:val="24"/>
        </w:rPr>
        <w:t xml:space="preserve"> and bone marrow transplantation.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2002; </w:t>
      </w:r>
      <w:r w:rsidRPr="00322627">
        <w:rPr>
          <w:rFonts w:ascii="Book Antiqua" w:eastAsia="宋体" w:hAnsi="Book Antiqua" w:cs="宋体"/>
          <w:b/>
          <w:bCs/>
          <w:kern w:val="0"/>
          <w:sz w:val="24"/>
          <w:szCs w:val="24"/>
        </w:rPr>
        <w:t>100</w:t>
      </w:r>
      <w:r w:rsidRPr="00322627">
        <w:rPr>
          <w:rFonts w:ascii="Book Antiqua" w:eastAsia="宋体" w:hAnsi="Book Antiqua" w:cs="宋体"/>
          <w:kern w:val="0"/>
          <w:sz w:val="24"/>
          <w:szCs w:val="24"/>
        </w:rPr>
        <w:t>: 2367-2373 [PMID: 12239144 DOI: 10.1182/blood-2002-01-0172]</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20 </w:t>
      </w:r>
      <w:proofErr w:type="spellStart"/>
      <w:r w:rsidRPr="00322627">
        <w:rPr>
          <w:rFonts w:ascii="Book Antiqua" w:eastAsia="宋体" w:hAnsi="Book Antiqua" w:cs="宋体"/>
          <w:b/>
          <w:bCs/>
          <w:kern w:val="0"/>
          <w:sz w:val="24"/>
          <w:szCs w:val="24"/>
        </w:rPr>
        <w:t>Henter</w:t>
      </w:r>
      <w:proofErr w:type="spellEnd"/>
      <w:r w:rsidRPr="00322627">
        <w:rPr>
          <w:rFonts w:ascii="Book Antiqua" w:eastAsia="宋体" w:hAnsi="Book Antiqua" w:cs="宋体"/>
          <w:b/>
          <w:bCs/>
          <w:kern w:val="0"/>
          <w:sz w:val="24"/>
          <w:szCs w:val="24"/>
        </w:rPr>
        <w:t xml:space="preserve"> JI</w:t>
      </w:r>
      <w:r w:rsidRPr="00322627">
        <w:rPr>
          <w:rFonts w:ascii="Book Antiqua" w:eastAsia="宋体" w:hAnsi="Book Antiqua" w:cs="宋体"/>
          <w:kern w:val="0"/>
          <w:sz w:val="24"/>
          <w:szCs w:val="24"/>
        </w:rPr>
        <w:t xml:space="preserve">, Horne A, </w:t>
      </w:r>
      <w:proofErr w:type="spellStart"/>
      <w:r w:rsidRPr="00322627">
        <w:rPr>
          <w:rFonts w:ascii="Book Antiqua" w:eastAsia="宋体" w:hAnsi="Book Antiqua" w:cs="宋体"/>
          <w:kern w:val="0"/>
          <w:sz w:val="24"/>
          <w:szCs w:val="24"/>
        </w:rPr>
        <w:t>Aricó</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Egeler</w:t>
      </w:r>
      <w:proofErr w:type="spellEnd"/>
      <w:r w:rsidRPr="00322627">
        <w:rPr>
          <w:rFonts w:ascii="Book Antiqua" w:eastAsia="宋体" w:hAnsi="Book Antiqua" w:cs="宋体"/>
          <w:kern w:val="0"/>
          <w:sz w:val="24"/>
          <w:szCs w:val="24"/>
        </w:rPr>
        <w:t xml:space="preserve"> RM, </w:t>
      </w:r>
      <w:proofErr w:type="spellStart"/>
      <w:r w:rsidRPr="00322627">
        <w:rPr>
          <w:rFonts w:ascii="Book Antiqua" w:eastAsia="宋体" w:hAnsi="Book Antiqua" w:cs="宋体"/>
          <w:kern w:val="0"/>
          <w:sz w:val="24"/>
          <w:szCs w:val="24"/>
        </w:rPr>
        <w:t>Filipovich</w:t>
      </w:r>
      <w:proofErr w:type="spellEnd"/>
      <w:r w:rsidRPr="00322627">
        <w:rPr>
          <w:rFonts w:ascii="Book Antiqua" w:eastAsia="宋体" w:hAnsi="Book Antiqua" w:cs="宋体"/>
          <w:kern w:val="0"/>
          <w:sz w:val="24"/>
          <w:szCs w:val="24"/>
        </w:rPr>
        <w:t xml:space="preserve"> AH,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Ladisch</w:t>
      </w:r>
      <w:proofErr w:type="spellEnd"/>
      <w:r w:rsidRPr="00322627">
        <w:rPr>
          <w:rFonts w:ascii="Book Antiqua" w:eastAsia="宋体" w:hAnsi="Book Antiqua" w:cs="宋体"/>
          <w:kern w:val="0"/>
          <w:sz w:val="24"/>
          <w:szCs w:val="24"/>
        </w:rPr>
        <w:t xml:space="preserve"> S, McClain K, Webb D, </w:t>
      </w:r>
      <w:proofErr w:type="spellStart"/>
      <w:r w:rsidRPr="00322627">
        <w:rPr>
          <w:rFonts w:ascii="Book Antiqua" w:eastAsia="宋体" w:hAnsi="Book Antiqua" w:cs="宋体"/>
          <w:kern w:val="0"/>
          <w:sz w:val="24"/>
          <w:szCs w:val="24"/>
        </w:rPr>
        <w:t>Winiarski</w:t>
      </w:r>
      <w:proofErr w:type="spellEnd"/>
      <w:r w:rsidRPr="00322627">
        <w:rPr>
          <w:rFonts w:ascii="Book Antiqua" w:eastAsia="宋体" w:hAnsi="Book Antiqua" w:cs="宋体"/>
          <w:kern w:val="0"/>
          <w:sz w:val="24"/>
          <w:szCs w:val="24"/>
        </w:rPr>
        <w:t xml:space="preserve"> J, </w:t>
      </w:r>
      <w:proofErr w:type="spellStart"/>
      <w:r w:rsidRPr="00322627">
        <w:rPr>
          <w:rFonts w:ascii="Book Antiqua" w:eastAsia="宋体" w:hAnsi="Book Antiqua" w:cs="宋体"/>
          <w:kern w:val="0"/>
          <w:sz w:val="24"/>
          <w:szCs w:val="24"/>
        </w:rPr>
        <w:t>Janka</w:t>
      </w:r>
      <w:proofErr w:type="spellEnd"/>
      <w:r w:rsidRPr="00322627">
        <w:rPr>
          <w:rFonts w:ascii="Book Antiqua" w:eastAsia="宋体" w:hAnsi="Book Antiqua" w:cs="宋体"/>
          <w:kern w:val="0"/>
          <w:sz w:val="24"/>
          <w:szCs w:val="24"/>
        </w:rPr>
        <w:t xml:space="preserve"> G. HLH-2004: Diagnostic and therapeutic guidelines for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Blood Cancer</w:t>
      </w:r>
      <w:r w:rsidRPr="00322627">
        <w:rPr>
          <w:rFonts w:ascii="Book Antiqua" w:eastAsia="宋体" w:hAnsi="Book Antiqua" w:cs="宋体"/>
          <w:kern w:val="0"/>
          <w:sz w:val="24"/>
          <w:szCs w:val="24"/>
        </w:rPr>
        <w:t xml:space="preserve"> 2007; </w:t>
      </w:r>
      <w:r w:rsidRPr="00322627">
        <w:rPr>
          <w:rFonts w:ascii="Book Antiqua" w:eastAsia="宋体" w:hAnsi="Book Antiqua" w:cs="宋体"/>
          <w:b/>
          <w:bCs/>
          <w:kern w:val="0"/>
          <w:sz w:val="24"/>
          <w:szCs w:val="24"/>
        </w:rPr>
        <w:t>48</w:t>
      </w:r>
      <w:r w:rsidRPr="00322627">
        <w:rPr>
          <w:rFonts w:ascii="Book Antiqua" w:eastAsia="宋体" w:hAnsi="Book Antiqua" w:cs="宋体"/>
          <w:kern w:val="0"/>
          <w:sz w:val="24"/>
          <w:szCs w:val="24"/>
        </w:rPr>
        <w:t>: 124-131 [PMID: 16937360 DOI: 10.1002/pbc.21039]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21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Hibi</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Ohara</w:t>
      </w:r>
      <w:proofErr w:type="spellEnd"/>
      <w:r w:rsidRPr="00322627">
        <w:rPr>
          <w:rFonts w:ascii="Book Antiqua" w:eastAsia="宋体" w:hAnsi="Book Antiqua" w:cs="宋体"/>
          <w:kern w:val="0"/>
          <w:sz w:val="24"/>
          <w:szCs w:val="24"/>
        </w:rPr>
        <w:t xml:space="preserve"> T, Iwai A, </w:t>
      </w:r>
      <w:proofErr w:type="spellStart"/>
      <w:r w:rsidRPr="00322627">
        <w:rPr>
          <w:rFonts w:ascii="Book Antiqua" w:eastAsia="宋体" w:hAnsi="Book Antiqua" w:cs="宋体"/>
          <w:kern w:val="0"/>
          <w:sz w:val="24"/>
          <w:szCs w:val="24"/>
        </w:rPr>
        <w:t>Sako</w:t>
      </w:r>
      <w:proofErr w:type="spellEnd"/>
      <w:r w:rsidRPr="00322627">
        <w:rPr>
          <w:rFonts w:ascii="Book Antiqua" w:eastAsia="宋体" w:hAnsi="Book Antiqua" w:cs="宋体"/>
          <w:kern w:val="0"/>
          <w:sz w:val="24"/>
          <w:szCs w:val="24"/>
        </w:rPr>
        <w:t xml:space="preserve"> M, Kato M, Arakawa H, </w:t>
      </w:r>
      <w:proofErr w:type="spellStart"/>
      <w:r w:rsidRPr="00322627">
        <w:rPr>
          <w:rFonts w:ascii="Book Antiqua" w:eastAsia="宋体" w:hAnsi="Book Antiqua" w:cs="宋体"/>
          <w:kern w:val="0"/>
          <w:sz w:val="24"/>
          <w:szCs w:val="24"/>
        </w:rPr>
        <w:t>Sotomatsu</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Kataoka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Asami</w:t>
      </w:r>
      <w:proofErr w:type="spellEnd"/>
      <w:r w:rsidRPr="00322627">
        <w:rPr>
          <w:rFonts w:ascii="Book Antiqua" w:eastAsia="宋体" w:hAnsi="Book Antiqua" w:cs="宋体"/>
          <w:kern w:val="0"/>
          <w:sz w:val="24"/>
          <w:szCs w:val="24"/>
        </w:rPr>
        <w:t xml:space="preserve"> K, Hasegawa D, </w:t>
      </w:r>
      <w:proofErr w:type="spellStart"/>
      <w:r w:rsidRPr="00322627">
        <w:rPr>
          <w:rFonts w:ascii="Book Antiqua" w:eastAsia="宋体" w:hAnsi="Book Antiqua" w:cs="宋体"/>
          <w:kern w:val="0"/>
          <w:sz w:val="24"/>
          <w:szCs w:val="24"/>
        </w:rPr>
        <w:t>Kosaka</w:t>
      </w:r>
      <w:proofErr w:type="spellEnd"/>
      <w:r w:rsidRPr="00322627">
        <w:rPr>
          <w:rFonts w:ascii="Book Antiqua" w:eastAsia="宋体" w:hAnsi="Book Antiqua" w:cs="宋体"/>
          <w:kern w:val="0"/>
          <w:sz w:val="24"/>
          <w:szCs w:val="24"/>
        </w:rPr>
        <w:t xml:space="preserve"> Y, Sano K, Igarashi N, </w:t>
      </w:r>
      <w:proofErr w:type="spellStart"/>
      <w:r w:rsidRPr="00322627">
        <w:rPr>
          <w:rFonts w:ascii="Book Antiqua" w:eastAsia="宋体" w:hAnsi="Book Antiqua" w:cs="宋体"/>
          <w:kern w:val="0"/>
          <w:sz w:val="24"/>
          <w:szCs w:val="24"/>
        </w:rPr>
        <w:t>Maruhashi</w:t>
      </w:r>
      <w:proofErr w:type="spellEnd"/>
      <w:r w:rsidRPr="00322627">
        <w:rPr>
          <w:rFonts w:ascii="Book Antiqua" w:eastAsia="宋体" w:hAnsi="Book Antiqua" w:cs="宋体"/>
          <w:kern w:val="0"/>
          <w:sz w:val="24"/>
          <w:szCs w:val="24"/>
        </w:rPr>
        <w:t xml:space="preserve"> K, </w:t>
      </w:r>
      <w:proofErr w:type="spellStart"/>
      <w:r w:rsidRPr="00322627">
        <w:rPr>
          <w:rFonts w:ascii="Book Antiqua" w:eastAsia="宋体" w:hAnsi="Book Antiqua" w:cs="宋体"/>
          <w:kern w:val="0"/>
          <w:sz w:val="24"/>
          <w:szCs w:val="24"/>
        </w:rPr>
        <w:t>Ichimi</w:t>
      </w:r>
      <w:proofErr w:type="spellEnd"/>
      <w:r w:rsidRPr="00322627">
        <w:rPr>
          <w:rFonts w:ascii="Book Antiqua" w:eastAsia="宋体" w:hAnsi="Book Antiqua" w:cs="宋体"/>
          <w:kern w:val="0"/>
          <w:sz w:val="24"/>
          <w:szCs w:val="24"/>
        </w:rPr>
        <w:t xml:space="preserve"> R, Kawasaki H, Maeda N, </w:t>
      </w:r>
      <w:proofErr w:type="spellStart"/>
      <w:r w:rsidRPr="00322627">
        <w:rPr>
          <w:rFonts w:ascii="Book Antiqua" w:eastAsia="宋体" w:hAnsi="Book Antiqua" w:cs="宋体"/>
          <w:kern w:val="0"/>
          <w:sz w:val="24"/>
          <w:szCs w:val="24"/>
        </w:rPr>
        <w:t>Tanizawa</w:t>
      </w:r>
      <w:proofErr w:type="spellEnd"/>
      <w:r w:rsidRPr="00322627">
        <w:rPr>
          <w:rFonts w:ascii="Book Antiqua" w:eastAsia="宋体" w:hAnsi="Book Antiqua" w:cs="宋体"/>
          <w:kern w:val="0"/>
          <w:sz w:val="24"/>
          <w:szCs w:val="24"/>
        </w:rPr>
        <w:t xml:space="preserve"> A, Arai K, Abe T, </w:t>
      </w:r>
      <w:proofErr w:type="spellStart"/>
      <w:r w:rsidRPr="00322627">
        <w:rPr>
          <w:rFonts w:ascii="Book Antiqua" w:eastAsia="宋体" w:hAnsi="Book Antiqua" w:cs="宋体"/>
          <w:kern w:val="0"/>
          <w:sz w:val="24"/>
          <w:szCs w:val="24"/>
        </w:rPr>
        <w:t>Hisakawa</w:t>
      </w:r>
      <w:proofErr w:type="spellEnd"/>
      <w:r w:rsidRPr="00322627">
        <w:rPr>
          <w:rFonts w:ascii="Book Antiqua" w:eastAsia="宋体" w:hAnsi="Book Antiqua" w:cs="宋体"/>
          <w:kern w:val="0"/>
          <w:sz w:val="24"/>
          <w:szCs w:val="24"/>
        </w:rPr>
        <w:t xml:space="preserve"> H, Miyashita H, </w:t>
      </w:r>
      <w:proofErr w:type="spellStart"/>
      <w:r w:rsidRPr="00322627">
        <w:rPr>
          <w:rFonts w:ascii="Book Antiqua" w:eastAsia="宋体" w:hAnsi="Book Antiqua" w:cs="宋体"/>
          <w:kern w:val="0"/>
          <w:sz w:val="24"/>
          <w:szCs w:val="24"/>
        </w:rPr>
        <w:t>Henter</w:t>
      </w:r>
      <w:proofErr w:type="spellEnd"/>
      <w:r w:rsidRPr="00322627">
        <w:rPr>
          <w:rFonts w:ascii="Book Antiqua" w:eastAsia="宋体" w:hAnsi="Book Antiqua" w:cs="宋体"/>
          <w:kern w:val="0"/>
          <w:sz w:val="24"/>
          <w:szCs w:val="24"/>
        </w:rPr>
        <w:t xml:space="preserve"> JI. </w:t>
      </w:r>
      <w:proofErr w:type="gramStart"/>
      <w:r w:rsidRPr="00322627">
        <w:rPr>
          <w:rFonts w:ascii="Book Antiqua" w:eastAsia="宋体" w:hAnsi="Book Antiqua" w:cs="宋体"/>
          <w:kern w:val="0"/>
          <w:sz w:val="24"/>
          <w:szCs w:val="24"/>
        </w:rPr>
        <w:t xml:space="preserve">Effective control of Epstein-Barr </w:t>
      </w:r>
      <w:r w:rsidRPr="00322627">
        <w:rPr>
          <w:rFonts w:ascii="Book Antiqua" w:eastAsia="宋体" w:hAnsi="Book Antiqua" w:cs="宋体"/>
          <w:kern w:val="0"/>
          <w:sz w:val="24"/>
          <w:szCs w:val="24"/>
        </w:rPr>
        <w:lastRenderedPageBreak/>
        <w:t xml:space="preserve">virus-related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with </w:t>
      </w:r>
      <w:proofErr w:type="spellStart"/>
      <w:r w:rsidRPr="00322627">
        <w:rPr>
          <w:rFonts w:ascii="Book Antiqua" w:eastAsia="宋体" w:hAnsi="Book Antiqua" w:cs="宋体"/>
          <w:kern w:val="0"/>
          <w:sz w:val="24"/>
          <w:szCs w:val="24"/>
        </w:rPr>
        <w:t>immunochemotherapy</w:t>
      </w:r>
      <w:proofErr w:type="spellEnd"/>
      <w:r w:rsidRPr="00322627">
        <w:rPr>
          <w:rFonts w:ascii="Book Antiqua" w:eastAsia="宋体" w:hAnsi="Book Antiqua" w:cs="宋体"/>
          <w:kern w:val="0"/>
          <w:sz w:val="24"/>
          <w:szCs w:val="24"/>
        </w:rPr>
        <w:t>.</w:t>
      </w:r>
      <w:proofErr w:type="gram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Histiocyte</w:t>
      </w:r>
      <w:proofErr w:type="spellEnd"/>
      <w:r w:rsidRPr="00322627">
        <w:rPr>
          <w:rFonts w:ascii="Book Antiqua" w:eastAsia="宋体" w:hAnsi="Book Antiqua" w:cs="宋体"/>
          <w:kern w:val="0"/>
          <w:sz w:val="24"/>
          <w:szCs w:val="24"/>
        </w:rPr>
        <w:t xml:space="preserve"> Society.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1999; </w:t>
      </w:r>
      <w:r w:rsidRPr="00322627">
        <w:rPr>
          <w:rFonts w:ascii="Book Antiqua" w:eastAsia="宋体" w:hAnsi="Book Antiqua" w:cs="宋体"/>
          <w:b/>
          <w:bCs/>
          <w:kern w:val="0"/>
          <w:sz w:val="24"/>
          <w:szCs w:val="24"/>
        </w:rPr>
        <w:t>93</w:t>
      </w:r>
      <w:r w:rsidRPr="00322627">
        <w:rPr>
          <w:rFonts w:ascii="Book Antiqua" w:eastAsia="宋体" w:hAnsi="Book Antiqua" w:cs="宋体"/>
          <w:kern w:val="0"/>
          <w:sz w:val="24"/>
          <w:szCs w:val="24"/>
        </w:rPr>
        <w:t>: 1869-1874 [PMID: 10068659]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22 </w:t>
      </w:r>
      <w:r w:rsidRPr="00322627">
        <w:rPr>
          <w:rFonts w:ascii="Book Antiqua" w:eastAsia="宋体" w:hAnsi="Book Antiqua" w:cs="宋体"/>
          <w:b/>
          <w:bCs/>
          <w:kern w:val="0"/>
          <w:sz w:val="24"/>
          <w:szCs w:val="24"/>
        </w:rPr>
        <w:t>Lee JS</w:t>
      </w:r>
      <w:r w:rsidRPr="00322627">
        <w:rPr>
          <w:rFonts w:ascii="Book Antiqua" w:eastAsia="宋体" w:hAnsi="Book Antiqua" w:cs="宋体"/>
          <w:kern w:val="0"/>
          <w:sz w:val="24"/>
          <w:szCs w:val="24"/>
        </w:rPr>
        <w:t xml:space="preserve">, Kang JH, Lee GK, Park HJ. </w:t>
      </w:r>
      <w:proofErr w:type="gramStart"/>
      <w:r w:rsidRPr="00322627">
        <w:rPr>
          <w:rFonts w:ascii="Book Antiqua" w:eastAsia="宋体" w:hAnsi="Book Antiqua" w:cs="宋体"/>
          <w:kern w:val="0"/>
          <w:sz w:val="24"/>
          <w:szCs w:val="24"/>
        </w:rPr>
        <w:t xml:space="preserve">Successful treatment of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with HLH-94 protocol.</w:t>
      </w:r>
      <w:proofErr w:type="gramEnd"/>
      <w:r w:rsidRPr="00322627">
        <w:rPr>
          <w:rFonts w:ascii="Book Antiqua" w:eastAsia="宋体" w:hAnsi="Book Antiqua" w:cs="宋体"/>
          <w:kern w:val="0"/>
          <w:sz w:val="24"/>
          <w:szCs w:val="24"/>
        </w:rPr>
        <w:t xml:space="preserve"> </w:t>
      </w:r>
      <w:r w:rsidRPr="00322627">
        <w:rPr>
          <w:rFonts w:ascii="Book Antiqua" w:eastAsia="宋体" w:hAnsi="Book Antiqua" w:cs="宋体"/>
          <w:i/>
          <w:iCs/>
          <w:kern w:val="0"/>
          <w:sz w:val="24"/>
          <w:szCs w:val="24"/>
        </w:rPr>
        <w:t xml:space="preserve">J Korean Med </w:t>
      </w:r>
      <w:proofErr w:type="spellStart"/>
      <w:r w:rsidRPr="00322627">
        <w:rPr>
          <w:rFonts w:ascii="Book Antiqua" w:eastAsia="宋体" w:hAnsi="Book Antiqua" w:cs="宋体"/>
          <w:i/>
          <w:iCs/>
          <w:kern w:val="0"/>
          <w:sz w:val="24"/>
          <w:szCs w:val="24"/>
        </w:rPr>
        <w:t>Sci</w:t>
      </w:r>
      <w:proofErr w:type="spellEnd"/>
      <w:r w:rsidRPr="00322627">
        <w:rPr>
          <w:rFonts w:ascii="Book Antiqua" w:eastAsia="宋体" w:hAnsi="Book Antiqua" w:cs="宋体"/>
          <w:kern w:val="0"/>
          <w:sz w:val="24"/>
          <w:szCs w:val="24"/>
        </w:rPr>
        <w:t xml:space="preserve"> 2005; </w:t>
      </w:r>
      <w:r w:rsidRPr="00322627">
        <w:rPr>
          <w:rFonts w:ascii="Book Antiqua" w:eastAsia="宋体" w:hAnsi="Book Antiqua" w:cs="宋体"/>
          <w:b/>
          <w:bCs/>
          <w:kern w:val="0"/>
          <w:sz w:val="24"/>
          <w:szCs w:val="24"/>
        </w:rPr>
        <w:t>20</w:t>
      </w:r>
      <w:r w:rsidRPr="00322627">
        <w:rPr>
          <w:rFonts w:ascii="Book Antiqua" w:eastAsia="宋体" w:hAnsi="Book Antiqua" w:cs="宋体"/>
          <w:kern w:val="0"/>
          <w:sz w:val="24"/>
          <w:szCs w:val="24"/>
        </w:rPr>
        <w:t>: 209-214 [PMID: 15831988 DOI: 10.3346/jkms.2005.20.2.209]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23 </w:t>
      </w:r>
      <w:proofErr w:type="spellStart"/>
      <w:r w:rsidRPr="00322627">
        <w:rPr>
          <w:rFonts w:ascii="Book Antiqua" w:eastAsia="宋体" w:hAnsi="Book Antiqua" w:cs="宋体"/>
          <w:b/>
          <w:bCs/>
          <w:kern w:val="0"/>
          <w:sz w:val="24"/>
          <w:szCs w:val="24"/>
        </w:rPr>
        <w:t>Shiraishi</w:t>
      </w:r>
      <w:proofErr w:type="spellEnd"/>
      <w:r w:rsidRPr="00322627">
        <w:rPr>
          <w:rFonts w:ascii="Book Antiqua" w:eastAsia="宋体" w:hAnsi="Book Antiqua" w:cs="宋体"/>
          <w:b/>
          <w:bCs/>
          <w:kern w:val="0"/>
          <w:sz w:val="24"/>
          <w:szCs w:val="24"/>
        </w:rPr>
        <w:t xml:space="preserve"> A</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Ohga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Doi</w:t>
      </w:r>
      <w:proofErr w:type="spellEnd"/>
      <w:r w:rsidRPr="00322627">
        <w:rPr>
          <w:rFonts w:ascii="Book Antiqua" w:eastAsia="宋体" w:hAnsi="Book Antiqua" w:cs="宋体"/>
          <w:kern w:val="0"/>
          <w:sz w:val="24"/>
          <w:szCs w:val="24"/>
        </w:rPr>
        <w:t xml:space="preserve"> T, </w:t>
      </w:r>
      <w:proofErr w:type="spellStart"/>
      <w:r w:rsidRPr="00322627">
        <w:rPr>
          <w:rFonts w:ascii="Book Antiqua" w:eastAsia="宋体" w:hAnsi="Book Antiqua" w:cs="宋体"/>
          <w:kern w:val="0"/>
          <w:sz w:val="24"/>
          <w:szCs w:val="24"/>
        </w:rPr>
        <w:t>Ishimura</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Takimoto</w:t>
      </w:r>
      <w:proofErr w:type="spellEnd"/>
      <w:r w:rsidRPr="00322627">
        <w:rPr>
          <w:rFonts w:ascii="Book Antiqua" w:eastAsia="宋体" w:hAnsi="Book Antiqua" w:cs="宋体"/>
          <w:kern w:val="0"/>
          <w:sz w:val="24"/>
          <w:szCs w:val="24"/>
        </w:rPr>
        <w:t xml:space="preserve"> T, Takada H, Miyamoto T, Abe Y, Hara T. Treatment choice of immunotherapy or further chemotherapy for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Blood Cancer</w:t>
      </w:r>
      <w:r w:rsidRPr="00322627">
        <w:rPr>
          <w:rFonts w:ascii="Book Antiqua" w:eastAsia="宋体" w:hAnsi="Book Antiqua" w:cs="宋体"/>
          <w:kern w:val="0"/>
          <w:sz w:val="24"/>
          <w:szCs w:val="24"/>
        </w:rPr>
        <w:t xml:space="preserve"> 2012; </w:t>
      </w:r>
      <w:r w:rsidRPr="00322627">
        <w:rPr>
          <w:rFonts w:ascii="Book Antiqua" w:eastAsia="宋体" w:hAnsi="Book Antiqua" w:cs="宋体"/>
          <w:b/>
          <w:bCs/>
          <w:kern w:val="0"/>
          <w:sz w:val="24"/>
          <w:szCs w:val="24"/>
        </w:rPr>
        <w:t>59</w:t>
      </w:r>
      <w:r w:rsidRPr="00322627">
        <w:rPr>
          <w:rFonts w:ascii="Book Antiqua" w:eastAsia="宋体" w:hAnsi="Book Antiqua" w:cs="宋体"/>
          <w:kern w:val="0"/>
          <w:sz w:val="24"/>
          <w:szCs w:val="24"/>
        </w:rPr>
        <w:t>: 265-270 [PMID: 22183955 DOI: 10.1002/pbc.24039]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24 </w:t>
      </w:r>
      <w:proofErr w:type="spellStart"/>
      <w:r w:rsidRPr="00322627">
        <w:rPr>
          <w:rFonts w:ascii="Book Antiqua" w:eastAsia="宋体" w:hAnsi="Book Antiqua" w:cs="宋体"/>
          <w:b/>
          <w:bCs/>
          <w:kern w:val="0"/>
          <w:sz w:val="24"/>
          <w:szCs w:val="24"/>
        </w:rPr>
        <w:t>Kogawa</w:t>
      </w:r>
      <w:proofErr w:type="spellEnd"/>
      <w:r w:rsidRPr="00322627">
        <w:rPr>
          <w:rFonts w:ascii="Book Antiqua" w:eastAsia="宋体" w:hAnsi="Book Antiqua" w:cs="宋体"/>
          <w:b/>
          <w:bCs/>
          <w:kern w:val="0"/>
          <w:sz w:val="24"/>
          <w:szCs w:val="24"/>
        </w:rPr>
        <w:t xml:space="preserve"> K</w:t>
      </w:r>
      <w:r w:rsidRPr="00322627">
        <w:rPr>
          <w:rFonts w:ascii="Book Antiqua" w:eastAsia="宋体" w:hAnsi="Book Antiqua" w:cs="宋体"/>
          <w:kern w:val="0"/>
          <w:sz w:val="24"/>
          <w:szCs w:val="24"/>
        </w:rPr>
        <w:t xml:space="preserve">, Sato H, Asano T, </w:t>
      </w:r>
      <w:proofErr w:type="spellStart"/>
      <w:r w:rsidRPr="00322627">
        <w:rPr>
          <w:rFonts w:ascii="Book Antiqua" w:eastAsia="宋体" w:hAnsi="Book Antiqua" w:cs="宋体"/>
          <w:kern w:val="0"/>
          <w:sz w:val="24"/>
          <w:szCs w:val="24"/>
        </w:rPr>
        <w:t>Ohga</w:t>
      </w:r>
      <w:proofErr w:type="spellEnd"/>
      <w:r w:rsidRPr="00322627">
        <w:rPr>
          <w:rFonts w:ascii="Book Antiqua" w:eastAsia="宋体" w:hAnsi="Book Antiqua" w:cs="宋体"/>
          <w:kern w:val="0"/>
          <w:sz w:val="24"/>
          <w:szCs w:val="24"/>
        </w:rPr>
        <w:t xml:space="preserve"> S, Kudo K, Morimoto A, </w:t>
      </w:r>
      <w:proofErr w:type="spellStart"/>
      <w:r w:rsidRPr="00322627">
        <w:rPr>
          <w:rFonts w:ascii="Book Antiqua" w:eastAsia="宋体" w:hAnsi="Book Antiqua" w:cs="宋体"/>
          <w:kern w:val="0"/>
          <w:sz w:val="24"/>
          <w:szCs w:val="24"/>
        </w:rPr>
        <w:t>Ohta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Wakiguchi</w:t>
      </w:r>
      <w:proofErr w:type="spellEnd"/>
      <w:r w:rsidRPr="00322627">
        <w:rPr>
          <w:rFonts w:ascii="Book Antiqua" w:eastAsia="宋体" w:hAnsi="Book Antiqua" w:cs="宋体"/>
          <w:kern w:val="0"/>
          <w:sz w:val="24"/>
          <w:szCs w:val="24"/>
        </w:rPr>
        <w:t xml:space="preserve"> H, </w:t>
      </w:r>
      <w:proofErr w:type="spellStart"/>
      <w:r w:rsidRPr="00322627">
        <w:rPr>
          <w:rFonts w:ascii="Book Antiqua" w:eastAsia="宋体" w:hAnsi="Book Antiqua" w:cs="宋体"/>
          <w:kern w:val="0"/>
          <w:sz w:val="24"/>
          <w:szCs w:val="24"/>
        </w:rPr>
        <w:t>Kanegane</w:t>
      </w:r>
      <w:proofErr w:type="spellEnd"/>
      <w:r w:rsidRPr="00322627">
        <w:rPr>
          <w:rFonts w:ascii="Book Antiqua" w:eastAsia="宋体" w:hAnsi="Book Antiqua" w:cs="宋体"/>
          <w:kern w:val="0"/>
          <w:sz w:val="24"/>
          <w:szCs w:val="24"/>
        </w:rPr>
        <w:t xml:space="preserve"> H, Oda M, Ishii E. Prognostic factors of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in children: report of the Japan </w:t>
      </w:r>
      <w:proofErr w:type="spellStart"/>
      <w:r w:rsidRPr="00322627">
        <w:rPr>
          <w:rFonts w:ascii="Book Antiqua" w:eastAsia="宋体" w:hAnsi="Book Antiqua" w:cs="宋体"/>
          <w:kern w:val="0"/>
          <w:sz w:val="24"/>
          <w:szCs w:val="24"/>
        </w:rPr>
        <w:t>Histiocytosis</w:t>
      </w:r>
      <w:proofErr w:type="spellEnd"/>
      <w:r w:rsidRPr="00322627">
        <w:rPr>
          <w:rFonts w:ascii="Book Antiqua" w:eastAsia="宋体" w:hAnsi="Book Antiqua" w:cs="宋体"/>
          <w:kern w:val="0"/>
          <w:sz w:val="24"/>
          <w:szCs w:val="24"/>
        </w:rPr>
        <w:t xml:space="preserve"> Study Group.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Blood Cancer</w:t>
      </w:r>
      <w:r w:rsidRPr="00322627">
        <w:rPr>
          <w:rFonts w:ascii="Book Antiqua" w:eastAsia="宋体" w:hAnsi="Book Antiqua" w:cs="宋体"/>
          <w:kern w:val="0"/>
          <w:sz w:val="24"/>
          <w:szCs w:val="24"/>
        </w:rPr>
        <w:t xml:space="preserve"> 2014; </w:t>
      </w:r>
      <w:r w:rsidRPr="00322627">
        <w:rPr>
          <w:rFonts w:ascii="Book Antiqua" w:eastAsia="宋体" w:hAnsi="Book Antiqua" w:cs="宋体"/>
          <w:b/>
          <w:bCs/>
          <w:kern w:val="0"/>
          <w:sz w:val="24"/>
          <w:szCs w:val="24"/>
        </w:rPr>
        <w:t>61</w:t>
      </w:r>
      <w:r w:rsidRPr="00322627">
        <w:rPr>
          <w:rFonts w:ascii="Book Antiqua" w:eastAsia="宋体" w:hAnsi="Book Antiqua" w:cs="宋体"/>
          <w:kern w:val="0"/>
          <w:sz w:val="24"/>
          <w:szCs w:val="24"/>
        </w:rPr>
        <w:t>: 1257-1262 [PMID: 24535916 DOI: 10.1002/pbc.24980]</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25 </w:t>
      </w:r>
      <w:r w:rsidRPr="00322627">
        <w:rPr>
          <w:rFonts w:ascii="Book Antiqua" w:eastAsia="宋体" w:hAnsi="Book Antiqua" w:cs="宋体"/>
          <w:b/>
          <w:bCs/>
          <w:kern w:val="0"/>
          <w:sz w:val="24"/>
          <w:szCs w:val="24"/>
        </w:rPr>
        <w:t>Okano M</w:t>
      </w:r>
      <w:r w:rsidRPr="00322627">
        <w:rPr>
          <w:rFonts w:ascii="Book Antiqua" w:eastAsia="宋体" w:hAnsi="Book Antiqua" w:cs="宋体"/>
          <w:kern w:val="0"/>
          <w:sz w:val="24"/>
          <w:szCs w:val="24"/>
        </w:rPr>
        <w:t xml:space="preserve">, Kawa K, Kimura H, </w:t>
      </w:r>
      <w:proofErr w:type="spellStart"/>
      <w:r w:rsidRPr="00322627">
        <w:rPr>
          <w:rFonts w:ascii="Book Antiqua" w:eastAsia="宋体" w:hAnsi="Book Antiqua" w:cs="宋体"/>
          <w:kern w:val="0"/>
          <w:sz w:val="24"/>
          <w:szCs w:val="24"/>
        </w:rPr>
        <w:t>Yachie</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Wakiguchi</w:t>
      </w:r>
      <w:proofErr w:type="spellEnd"/>
      <w:r w:rsidRPr="00322627">
        <w:rPr>
          <w:rFonts w:ascii="Book Antiqua" w:eastAsia="宋体" w:hAnsi="Book Antiqua" w:cs="宋体"/>
          <w:kern w:val="0"/>
          <w:sz w:val="24"/>
          <w:szCs w:val="24"/>
        </w:rPr>
        <w:t xml:space="preserve"> H, Maeda A, Imai S, </w:t>
      </w:r>
      <w:proofErr w:type="spellStart"/>
      <w:r w:rsidRPr="00322627">
        <w:rPr>
          <w:rFonts w:ascii="Book Antiqua" w:eastAsia="宋体" w:hAnsi="Book Antiqua" w:cs="宋体"/>
          <w:kern w:val="0"/>
          <w:sz w:val="24"/>
          <w:szCs w:val="24"/>
        </w:rPr>
        <w:t>Ohga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Kanegane</w:t>
      </w:r>
      <w:proofErr w:type="spellEnd"/>
      <w:r w:rsidRPr="00322627">
        <w:rPr>
          <w:rFonts w:ascii="Book Antiqua" w:eastAsia="宋体" w:hAnsi="Book Antiqua" w:cs="宋体"/>
          <w:kern w:val="0"/>
          <w:sz w:val="24"/>
          <w:szCs w:val="24"/>
        </w:rPr>
        <w:t xml:space="preserve"> H, Tsuchiya S, </w:t>
      </w:r>
      <w:proofErr w:type="spellStart"/>
      <w:r w:rsidRPr="00322627">
        <w:rPr>
          <w:rFonts w:ascii="Book Antiqua" w:eastAsia="宋体" w:hAnsi="Book Antiqua" w:cs="宋体"/>
          <w:kern w:val="0"/>
          <w:sz w:val="24"/>
          <w:szCs w:val="24"/>
        </w:rPr>
        <w:t>Morio</w:t>
      </w:r>
      <w:proofErr w:type="spellEnd"/>
      <w:r w:rsidRPr="00322627">
        <w:rPr>
          <w:rFonts w:ascii="Book Antiqua" w:eastAsia="宋体" w:hAnsi="Book Antiqua" w:cs="宋体"/>
          <w:kern w:val="0"/>
          <w:sz w:val="24"/>
          <w:szCs w:val="24"/>
        </w:rPr>
        <w:t xml:space="preserve"> T, Mori M, Yokota S,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Proposed guidelines for diagnosing chronic active Epstein-Barr virus infection. </w:t>
      </w:r>
      <w:r w:rsidRPr="00322627">
        <w:rPr>
          <w:rFonts w:ascii="Book Antiqua" w:eastAsia="宋体" w:hAnsi="Book Antiqua" w:cs="宋体"/>
          <w:i/>
          <w:iCs/>
          <w:kern w:val="0"/>
          <w:sz w:val="24"/>
          <w:szCs w:val="24"/>
        </w:rPr>
        <w:t xml:space="preserve">Am J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kern w:val="0"/>
          <w:sz w:val="24"/>
          <w:szCs w:val="24"/>
        </w:rPr>
        <w:t xml:space="preserve"> 2005; </w:t>
      </w:r>
      <w:r w:rsidRPr="00322627">
        <w:rPr>
          <w:rFonts w:ascii="Book Antiqua" w:eastAsia="宋体" w:hAnsi="Book Antiqua" w:cs="宋体"/>
          <w:b/>
          <w:bCs/>
          <w:kern w:val="0"/>
          <w:sz w:val="24"/>
          <w:szCs w:val="24"/>
        </w:rPr>
        <w:t>80</w:t>
      </w:r>
      <w:r w:rsidRPr="00322627">
        <w:rPr>
          <w:rFonts w:ascii="Book Antiqua" w:eastAsia="宋体" w:hAnsi="Book Antiqua" w:cs="宋体"/>
          <w:kern w:val="0"/>
          <w:sz w:val="24"/>
          <w:szCs w:val="24"/>
        </w:rPr>
        <w:t>: 64-69 [PMID: 16138335 DOI: 10.1002/ajh.20398]</w:t>
      </w:r>
    </w:p>
    <w:p w:rsidR="002F197E" w:rsidRPr="00322627" w:rsidRDefault="002F197E" w:rsidP="00322627">
      <w:pPr>
        <w:widowControl/>
        <w:spacing w:line="360" w:lineRule="auto"/>
        <w:rPr>
          <w:rFonts w:ascii="Book Antiqua" w:eastAsia="宋体" w:hAnsi="Book Antiqua" w:cs="宋体"/>
          <w:kern w:val="0"/>
          <w:sz w:val="24"/>
          <w:szCs w:val="24"/>
        </w:rPr>
      </w:pPr>
      <w:proofErr w:type="gramStart"/>
      <w:r w:rsidRPr="00322627">
        <w:rPr>
          <w:rFonts w:ascii="Book Antiqua" w:eastAsia="宋体" w:hAnsi="Book Antiqua" w:cs="宋体"/>
          <w:kern w:val="0"/>
          <w:sz w:val="24"/>
          <w:szCs w:val="24"/>
        </w:rPr>
        <w:t>26</w:t>
      </w:r>
      <w:r w:rsidRPr="00322627">
        <w:rPr>
          <w:rFonts w:ascii="Book Antiqua" w:eastAsia="宋体" w:hAnsi="Book Antiqua" w:cs="宋体"/>
          <w:b/>
          <w:kern w:val="0"/>
          <w:sz w:val="24"/>
          <w:szCs w:val="24"/>
        </w:rPr>
        <w:t xml:space="preserve"> </w:t>
      </w:r>
      <w:proofErr w:type="spellStart"/>
      <w:r w:rsidRPr="00322627">
        <w:rPr>
          <w:rFonts w:ascii="Book Antiqua" w:eastAsia="宋体" w:hAnsi="Book Antiqua" w:cs="宋体"/>
          <w:b/>
          <w:kern w:val="0"/>
          <w:sz w:val="24"/>
          <w:szCs w:val="24"/>
        </w:rPr>
        <w:t>Janka</w:t>
      </w:r>
      <w:proofErr w:type="spellEnd"/>
      <w:r w:rsidRPr="00322627">
        <w:rPr>
          <w:rFonts w:ascii="Book Antiqua" w:eastAsia="宋体" w:hAnsi="Book Antiqua" w:cs="宋体"/>
          <w:b/>
          <w:kern w:val="0"/>
          <w:sz w:val="24"/>
          <w:szCs w:val="24"/>
        </w:rPr>
        <w:t xml:space="preserve"> G,</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Henter</w:t>
      </w:r>
      <w:proofErr w:type="spellEnd"/>
      <w:r w:rsidRPr="00322627">
        <w:rPr>
          <w:rFonts w:ascii="Book Antiqua" w:eastAsia="宋体" w:hAnsi="Book Antiqua" w:cs="宋体"/>
          <w:kern w:val="0"/>
          <w:sz w:val="24"/>
          <w:szCs w:val="24"/>
        </w:rPr>
        <w:t xml:space="preserve"> JI,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Clinical aspects and therapy of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w:t>
      </w:r>
      <w:proofErr w:type="gramEnd"/>
      <w:r w:rsidRPr="00322627">
        <w:rPr>
          <w:rFonts w:ascii="Book Antiqua" w:eastAsia="宋体" w:hAnsi="Book Antiqua" w:cs="宋体"/>
          <w:kern w:val="0"/>
          <w:sz w:val="24"/>
          <w:szCs w:val="24"/>
        </w:rPr>
        <w:t xml:space="preserve"> Weitzman S, </w:t>
      </w:r>
      <w:proofErr w:type="spellStart"/>
      <w:r w:rsidRPr="00322627">
        <w:rPr>
          <w:rFonts w:ascii="Book Antiqua" w:eastAsia="宋体" w:hAnsi="Book Antiqua" w:cs="宋体"/>
          <w:kern w:val="0"/>
          <w:sz w:val="24"/>
          <w:szCs w:val="24"/>
        </w:rPr>
        <w:t>Egeler</w:t>
      </w:r>
      <w:proofErr w:type="spellEnd"/>
      <w:r w:rsidRPr="00322627">
        <w:rPr>
          <w:rFonts w:ascii="Book Antiqua" w:eastAsia="宋体" w:hAnsi="Book Antiqua" w:cs="宋体"/>
          <w:kern w:val="0"/>
          <w:sz w:val="24"/>
          <w:szCs w:val="24"/>
        </w:rPr>
        <w:t xml:space="preserve"> RM, editors. In: Histiocytic Disorders of Children and Adults; Basic Science, Clinical Features and Therapy. UK: Cambridge University Press, 2005: 154-173</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lastRenderedPageBreak/>
        <w:t xml:space="preserve">27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Kuriyama</w:t>
      </w:r>
      <w:proofErr w:type="spellEnd"/>
      <w:r w:rsidRPr="00322627">
        <w:rPr>
          <w:rFonts w:ascii="Book Antiqua" w:eastAsia="宋体" w:hAnsi="Book Antiqua" w:cs="宋体"/>
          <w:kern w:val="0"/>
          <w:sz w:val="24"/>
          <w:szCs w:val="24"/>
        </w:rPr>
        <w:t xml:space="preserve"> K, </w:t>
      </w:r>
      <w:proofErr w:type="spellStart"/>
      <w:r w:rsidRPr="00322627">
        <w:rPr>
          <w:rFonts w:ascii="Book Antiqua" w:eastAsia="宋体" w:hAnsi="Book Antiqua" w:cs="宋体"/>
          <w:kern w:val="0"/>
          <w:sz w:val="24"/>
          <w:szCs w:val="24"/>
        </w:rPr>
        <w:t>Teramura</w:t>
      </w:r>
      <w:proofErr w:type="spellEnd"/>
      <w:r w:rsidRPr="00322627">
        <w:rPr>
          <w:rFonts w:ascii="Book Antiqua" w:eastAsia="宋体" w:hAnsi="Book Antiqua" w:cs="宋体"/>
          <w:kern w:val="0"/>
          <w:sz w:val="24"/>
          <w:szCs w:val="24"/>
        </w:rPr>
        <w:t xml:space="preserve"> T, Ishii E, Kinugawa N, Kato M, </w:t>
      </w:r>
      <w:proofErr w:type="spellStart"/>
      <w:r w:rsidRPr="00322627">
        <w:rPr>
          <w:rFonts w:ascii="Book Antiqua" w:eastAsia="宋体" w:hAnsi="Book Antiqua" w:cs="宋体"/>
          <w:kern w:val="0"/>
          <w:sz w:val="24"/>
          <w:szCs w:val="24"/>
        </w:rPr>
        <w:t>Sako</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Hibi</w:t>
      </w:r>
      <w:proofErr w:type="spellEnd"/>
      <w:r w:rsidRPr="00322627">
        <w:rPr>
          <w:rFonts w:ascii="Book Antiqua" w:eastAsia="宋体" w:hAnsi="Book Antiqua" w:cs="宋体"/>
          <w:kern w:val="0"/>
          <w:sz w:val="24"/>
          <w:szCs w:val="24"/>
        </w:rPr>
        <w:t xml:space="preserve"> S. Requirement for etoposide in the treatment of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r w:rsidRPr="00322627">
        <w:rPr>
          <w:rFonts w:ascii="Book Antiqua" w:eastAsia="宋体" w:hAnsi="Book Antiqua" w:cs="宋体"/>
          <w:i/>
          <w:iCs/>
          <w:kern w:val="0"/>
          <w:sz w:val="24"/>
          <w:szCs w:val="24"/>
        </w:rPr>
        <w:t xml:space="preserve">J </w:t>
      </w:r>
      <w:proofErr w:type="spellStart"/>
      <w:r w:rsidRPr="00322627">
        <w:rPr>
          <w:rFonts w:ascii="Book Antiqua" w:eastAsia="宋体" w:hAnsi="Book Antiqua" w:cs="宋体"/>
          <w:i/>
          <w:iCs/>
          <w:kern w:val="0"/>
          <w:sz w:val="24"/>
          <w:szCs w:val="24"/>
        </w:rPr>
        <w:t>Clin</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Oncol</w:t>
      </w:r>
      <w:proofErr w:type="spellEnd"/>
      <w:r w:rsidRPr="00322627">
        <w:rPr>
          <w:rFonts w:ascii="Book Antiqua" w:eastAsia="宋体" w:hAnsi="Book Antiqua" w:cs="宋体"/>
          <w:kern w:val="0"/>
          <w:sz w:val="24"/>
          <w:szCs w:val="24"/>
        </w:rPr>
        <w:t xml:space="preserve"> 2001; </w:t>
      </w:r>
      <w:r w:rsidRPr="00322627">
        <w:rPr>
          <w:rFonts w:ascii="Book Antiqua" w:eastAsia="宋体" w:hAnsi="Book Antiqua" w:cs="宋体"/>
          <w:b/>
          <w:bCs/>
          <w:kern w:val="0"/>
          <w:sz w:val="24"/>
          <w:szCs w:val="24"/>
        </w:rPr>
        <w:t>19</w:t>
      </w:r>
      <w:r w:rsidRPr="00322627">
        <w:rPr>
          <w:rFonts w:ascii="Book Antiqua" w:eastAsia="宋体" w:hAnsi="Book Antiqua" w:cs="宋体"/>
          <w:kern w:val="0"/>
          <w:sz w:val="24"/>
          <w:szCs w:val="24"/>
        </w:rPr>
        <w:t>: 2665-2673 [PMID: 11352958]</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28 </w:t>
      </w:r>
      <w:proofErr w:type="spellStart"/>
      <w:r w:rsidRPr="00322627">
        <w:rPr>
          <w:rFonts w:ascii="Book Antiqua" w:eastAsia="宋体" w:hAnsi="Book Antiqua" w:cs="宋体"/>
          <w:b/>
          <w:bCs/>
          <w:kern w:val="0"/>
          <w:sz w:val="24"/>
          <w:szCs w:val="24"/>
        </w:rPr>
        <w:t>Milone</w:t>
      </w:r>
      <w:proofErr w:type="spellEnd"/>
      <w:r w:rsidRPr="00322627">
        <w:rPr>
          <w:rFonts w:ascii="Book Antiqua" w:eastAsia="宋体" w:hAnsi="Book Antiqua" w:cs="宋体"/>
          <w:b/>
          <w:bCs/>
          <w:kern w:val="0"/>
          <w:sz w:val="24"/>
          <w:szCs w:val="24"/>
        </w:rPr>
        <w:t xml:space="preserve"> MC</w:t>
      </w:r>
      <w:r w:rsidRPr="00322627">
        <w:rPr>
          <w:rFonts w:ascii="Book Antiqua" w:eastAsia="宋体" w:hAnsi="Book Antiqua" w:cs="宋体"/>
          <w:kern w:val="0"/>
          <w:sz w:val="24"/>
          <w:szCs w:val="24"/>
        </w:rPr>
        <w:t xml:space="preserve">, Tsai DE, </w:t>
      </w:r>
      <w:proofErr w:type="spellStart"/>
      <w:r w:rsidRPr="00322627">
        <w:rPr>
          <w:rFonts w:ascii="Book Antiqua" w:eastAsia="宋体" w:hAnsi="Book Antiqua" w:cs="宋体"/>
          <w:kern w:val="0"/>
          <w:sz w:val="24"/>
          <w:szCs w:val="24"/>
        </w:rPr>
        <w:t>Hodinka</w:t>
      </w:r>
      <w:proofErr w:type="spellEnd"/>
      <w:r w:rsidRPr="00322627">
        <w:rPr>
          <w:rFonts w:ascii="Book Antiqua" w:eastAsia="宋体" w:hAnsi="Book Antiqua" w:cs="宋体"/>
          <w:kern w:val="0"/>
          <w:sz w:val="24"/>
          <w:szCs w:val="24"/>
        </w:rPr>
        <w:t xml:space="preserve"> RL, Silverman LB, </w:t>
      </w:r>
      <w:proofErr w:type="spellStart"/>
      <w:r w:rsidRPr="00322627">
        <w:rPr>
          <w:rFonts w:ascii="Book Antiqua" w:eastAsia="宋体" w:hAnsi="Book Antiqua" w:cs="宋体"/>
          <w:kern w:val="0"/>
          <w:sz w:val="24"/>
          <w:szCs w:val="24"/>
        </w:rPr>
        <w:t>Malbran</w:t>
      </w:r>
      <w:proofErr w:type="spellEnd"/>
      <w:r w:rsidRPr="00322627">
        <w:rPr>
          <w:rFonts w:ascii="Book Antiqua" w:eastAsia="宋体" w:hAnsi="Book Antiqua" w:cs="宋体"/>
          <w:kern w:val="0"/>
          <w:sz w:val="24"/>
          <w:szCs w:val="24"/>
        </w:rPr>
        <w:t xml:space="preserve"> A, </w:t>
      </w:r>
      <w:proofErr w:type="spellStart"/>
      <w:r w:rsidRPr="00322627">
        <w:rPr>
          <w:rFonts w:ascii="Book Antiqua" w:eastAsia="宋体" w:hAnsi="Book Antiqua" w:cs="宋体"/>
          <w:kern w:val="0"/>
          <w:sz w:val="24"/>
          <w:szCs w:val="24"/>
        </w:rPr>
        <w:t>Wasik</w:t>
      </w:r>
      <w:proofErr w:type="spellEnd"/>
      <w:r w:rsidRPr="00322627">
        <w:rPr>
          <w:rFonts w:ascii="Book Antiqua" w:eastAsia="宋体" w:hAnsi="Book Antiqua" w:cs="宋体"/>
          <w:kern w:val="0"/>
          <w:sz w:val="24"/>
          <w:szCs w:val="24"/>
        </w:rPr>
        <w:t xml:space="preserve"> MA, Nichols KE. </w:t>
      </w:r>
      <w:proofErr w:type="gramStart"/>
      <w:r w:rsidRPr="00322627">
        <w:rPr>
          <w:rFonts w:ascii="Book Antiqua" w:eastAsia="宋体" w:hAnsi="Book Antiqua" w:cs="宋体"/>
          <w:kern w:val="0"/>
          <w:sz w:val="24"/>
          <w:szCs w:val="24"/>
        </w:rPr>
        <w:t>Treatment of primary Epstein-Barr virus infection in patients with X-linked lymphoproliferative disease using B-cell-directed therapy.</w:t>
      </w:r>
      <w:proofErr w:type="gramEnd"/>
      <w:r w:rsidRPr="00322627">
        <w:rPr>
          <w:rFonts w:ascii="Book Antiqua" w:eastAsia="宋体" w:hAnsi="Book Antiqua" w:cs="宋体"/>
          <w:kern w:val="0"/>
          <w:sz w:val="24"/>
          <w:szCs w:val="24"/>
        </w:rPr>
        <w:t xml:space="preserve">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2005; </w:t>
      </w:r>
      <w:r w:rsidRPr="00322627">
        <w:rPr>
          <w:rFonts w:ascii="Book Antiqua" w:eastAsia="宋体" w:hAnsi="Book Antiqua" w:cs="宋体"/>
          <w:b/>
          <w:bCs/>
          <w:kern w:val="0"/>
          <w:sz w:val="24"/>
          <w:szCs w:val="24"/>
        </w:rPr>
        <w:t>105</w:t>
      </w:r>
      <w:r w:rsidRPr="00322627">
        <w:rPr>
          <w:rFonts w:ascii="Book Antiqua" w:eastAsia="宋体" w:hAnsi="Book Antiqua" w:cs="宋体"/>
          <w:kern w:val="0"/>
          <w:sz w:val="24"/>
          <w:szCs w:val="24"/>
        </w:rPr>
        <w:t>: 994-996 [PMID: 15494422 DOI: 10.1182/blood-2004-07-2965]</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29 </w:t>
      </w:r>
      <w:proofErr w:type="spellStart"/>
      <w:r w:rsidRPr="00322627">
        <w:rPr>
          <w:rFonts w:ascii="Book Antiqua" w:eastAsia="宋体" w:hAnsi="Book Antiqua" w:cs="宋体"/>
          <w:b/>
          <w:bCs/>
          <w:kern w:val="0"/>
          <w:sz w:val="24"/>
          <w:szCs w:val="24"/>
        </w:rPr>
        <w:t>Balamuth</w:t>
      </w:r>
      <w:proofErr w:type="spellEnd"/>
      <w:r w:rsidRPr="00322627">
        <w:rPr>
          <w:rFonts w:ascii="Book Antiqua" w:eastAsia="宋体" w:hAnsi="Book Antiqua" w:cs="宋体"/>
          <w:b/>
          <w:bCs/>
          <w:kern w:val="0"/>
          <w:sz w:val="24"/>
          <w:szCs w:val="24"/>
        </w:rPr>
        <w:t xml:space="preserve"> NJ</w:t>
      </w:r>
      <w:r w:rsidRPr="00322627">
        <w:rPr>
          <w:rFonts w:ascii="Book Antiqua" w:eastAsia="宋体" w:hAnsi="Book Antiqua" w:cs="宋体"/>
          <w:kern w:val="0"/>
          <w:sz w:val="24"/>
          <w:szCs w:val="24"/>
        </w:rPr>
        <w:t xml:space="preserve">, Nichols KE, </w:t>
      </w:r>
      <w:proofErr w:type="spellStart"/>
      <w:r w:rsidRPr="00322627">
        <w:rPr>
          <w:rFonts w:ascii="Book Antiqua" w:eastAsia="宋体" w:hAnsi="Book Antiqua" w:cs="宋体"/>
          <w:kern w:val="0"/>
          <w:sz w:val="24"/>
          <w:szCs w:val="24"/>
        </w:rPr>
        <w:t>Paessler</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Teachey</w:t>
      </w:r>
      <w:proofErr w:type="spellEnd"/>
      <w:r w:rsidRPr="00322627">
        <w:rPr>
          <w:rFonts w:ascii="Book Antiqua" w:eastAsia="宋体" w:hAnsi="Book Antiqua" w:cs="宋体"/>
          <w:kern w:val="0"/>
          <w:sz w:val="24"/>
          <w:szCs w:val="24"/>
        </w:rPr>
        <w:t xml:space="preserve"> DT. Use of rituximab in conjunction with immunosuppressive chemotherapy as a novel therapy for Epstein 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r w:rsidRPr="00322627">
        <w:rPr>
          <w:rFonts w:ascii="Book Antiqua" w:eastAsia="宋体" w:hAnsi="Book Antiqua" w:cs="宋体"/>
          <w:i/>
          <w:iCs/>
          <w:kern w:val="0"/>
          <w:sz w:val="24"/>
          <w:szCs w:val="24"/>
        </w:rPr>
        <w:t xml:space="preserve">J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Oncol</w:t>
      </w:r>
      <w:proofErr w:type="spellEnd"/>
      <w:r w:rsidRPr="00322627">
        <w:rPr>
          <w:rFonts w:ascii="Book Antiqua" w:eastAsia="宋体" w:hAnsi="Book Antiqua" w:cs="宋体"/>
          <w:kern w:val="0"/>
          <w:sz w:val="24"/>
          <w:szCs w:val="24"/>
        </w:rPr>
        <w:t xml:space="preserve"> 2007; </w:t>
      </w:r>
      <w:r w:rsidRPr="00322627">
        <w:rPr>
          <w:rFonts w:ascii="Book Antiqua" w:eastAsia="宋体" w:hAnsi="Book Antiqua" w:cs="宋体"/>
          <w:b/>
          <w:bCs/>
          <w:kern w:val="0"/>
          <w:sz w:val="24"/>
          <w:szCs w:val="24"/>
        </w:rPr>
        <w:t>29</w:t>
      </w:r>
      <w:r w:rsidRPr="00322627">
        <w:rPr>
          <w:rFonts w:ascii="Book Antiqua" w:eastAsia="宋体" w:hAnsi="Book Antiqua" w:cs="宋体"/>
          <w:kern w:val="0"/>
          <w:sz w:val="24"/>
          <w:szCs w:val="24"/>
        </w:rPr>
        <w:t>: 569-573 [PMID: 17762500 DOI: 10.1097/MPH.0b013e3180f61be3]</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30 </w:t>
      </w:r>
      <w:proofErr w:type="spellStart"/>
      <w:r w:rsidRPr="00322627">
        <w:rPr>
          <w:rFonts w:ascii="Book Antiqua" w:eastAsia="宋体" w:hAnsi="Book Antiqua" w:cs="宋体"/>
          <w:b/>
          <w:bCs/>
          <w:kern w:val="0"/>
          <w:sz w:val="24"/>
          <w:szCs w:val="24"/>
        </w:rPr>
        <w:t>Chellapandian</w:t>
      </w:r>
      <w:proofErr w:type="spellEnd"/>
      <w:r w:rsidRPr="00322627">
        <w:rPr>
          <w:rFonts w:ascii="Book Antiqua" w:eastAsia="宋体" w:hAnsi="Book Antiqua" w:cs="宋体"/>
          <w:b/>
          <w:bCs/>
          <w:kern w:val="0"/>
          <w:sz w:val="24"/>
          <w:szCs w:val="24"/>
        </w:rPr>
        <w:t xml:space="preserve"> D</w:t>
      </w:r>
      <w:r w:rsidRPr="00322627">
        <w:rPr>
          <w:rFonts w:ascii="Book Antiqua" w:eastAsia="宋体" w:hAnsi="Book Antiqua" w:cs="宋体"/>
          <w:kern w:val="0"/>
          <w:sz w:val="24"/>
          <w:szCs w:val="24"/>
        </w:rPr>
        <w:t xml:space="preserve">, Das R, </w:t>
      </w:r>
      <w:proofErr w:type="spellStart"/>
      <w:r w:rsidRPr="00322627">
        <w:rPr>
          <w:rFonts w:ascii="Book Antiqua" w:eastAsia="宋体" w:hAnsi="Book Antiqua" w:cs="宋体"/>
          <w:kern w:val="0"/>
          <w:sz w:val="24"/>
          <w:szCs w:val="24"/>
        </w:rPr>
        <w:t>Zelley</w:t>
      </w:r>
      <w:proofErr w:type="spellEnd"/>
      <w:r w:rsidRPr="00322627">
        <w:rPr>
          <w:rFonts w:ascii="Book Antiqua" w:eastAsia="宋体" w:hAnsi="Book Antiqua" w:cs="宋体"/>
          <w:kern w:val="0"/>
          <w:sz w:val="24"/>
          <w:szCs w:val="24"/>
        </w:rPr>
        <w:t xml:space="preserve"> K, Wiener SJ, Zhao H, </w:t>
      </w:r>
      <w:proofErr w:type="spellStart"/>
      <w:r w:rsidRPr="00322627">
        <w:rPr>
          <w:rFonts w:ascii="Book Antiqua" w:eastAsia="宋体" w:hAnsi="Book Antiqua" w:cs="宋体"/>
          <w:kern w:val="0"/>
          <w:sz w:val="24"/>
          <w:szCs w:val="24"/>
        </w:rPr>
        <w:t>Teachey</w:t>
      </w:r>
      <w:proofErr w:type="spellEnd"/>
      <w:r w:rsidRPr="00322627">
        <w:rPr>
          <w:rFonts w:ascii="Book Antiqua" w:eastAsia="宋体" w:hAnsi="Book Antiqua" w:cs="宋体"/>
          <w:kern w:val="0"/>
          <w:sz w:val="24"/>
          <w:szCs w:val="24"/>
        </w:rPr>
        <w:t xml:space="preserve"> DT, Nichols KE. </w:t>
      </w:r>
      <w:proofErr w:type="gramStart"/>
      <w:r w:rsidRPr="00322627">
        <w:rPr>
          <w:rFonts w:ascii="Book Antiqua" w:eastAsia="宋体" w:hAnsi="Book Antiqua" w:cs="宋体"/>
          <w:kern w:val="0"/>
          <w:sz w:val="24"/>
          <w:szCs w:val="24"/>
        </w:rPr>
        <w:t xml:space="preserve">Treatment of Epstein Barr virus-induced </w:t>
      </w:r>
      <w:proofErr w:type="spellStart"/>
      <w:r w:rsidRPr="00322627">
        <w:rPr>
          <w:rFonts w:ascii="Book Antiqua" w:eastAsia="宋体" w:hAnsi="Book Antiqua" w:cs="宋体"/>
          <w:kern w:val="0"/>
          <w:sz w:val="24"/>
          <w:szCs w:val="24"/>
        </w:rPr>
        <w:t>haemophagocytic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with rituximab-containing chemo-immunotherapeutic regimens.</w:t>
      </w:r>
      <w:proofErr w:type="gramEnd"/>
      <w:r w:rsidRPr="00322627">
        <w:rPr>
          <w:rFonts w:ascii="Book Antiqua" w:eastAsia="宋体" w:hAnsi="Book Antiqua" w:cs="宋体"/>
          <w:kern w:val="0"/>
          <w:sz w:val="24"/>
          <w:szCs w:val="24"/>
        </w:rPr>
        <w:t xml:space="preserve"> </w:t>
      </w:r>
      <w:r w:rsidRPr="00322627">
        <w:rPr>
          <w:rFonts w:ascii="Book Antiqua" w:eastAsia="宋体" w:hAnsi="Book Antiqua" w:cs="宋体"/>
          <w:i/>
          <w:iCs/>
          <w:kern w:val="0"/>
          <w:sz w:val="24"/>
          <w:szCs w:val="24"/>
        </w:rPr>
        <w:t xml:space="preserve">Br J </w:t>
      </w:r>
      <w:proofErr w:type="spellStart"/>
      <w:r w:rsidRPr="00322627">
        <w:rPr>
          <w:rFonts w:ascii="Book Antiqua" w:eastAsia="宋体" w:hAnsi="Book Antiqua" w:cs="宋体"/>
          <w:i/>
          <w:iCs/>
          <w:kern w:val="0"/>
          <w:sz w:val="24"/>
          <w:szCs w:val="24"/>
        </w:rPr>
        <w:t>Haematol</w:t>
      </w:r>
      <w:proofErr w:type="spellEnd"/>
      <w:r w:rsidRPr="00322627">
        <w:rPr>
          <w:rFonts w:ascii="Book Antiqua" w:eastAsia="宋体" w:hAnsi="Book Antiqua" w:cs="宋体"/>
          <w:kern w:val="0"/>
          <w:sz w:val="24"/>
          <w:szCs w:val="24"/>
        </w:rPr>
        <w:t xml:space="preserve"> 2013; </w:t>
      </w:r>
      <w:r w:rsidRPr="00322627">
        <w:rPr>
          <w:rFonts w:ascii="Book Antiqua" w:eastAsia="宋体" w:hAnsi="Book Antiqua" w:cs="宋体"/>
          <w:b/>
          <w:bCs/>
          <w:kern w:val="0"/>
          <w:sz w:val="24"/>
          <w:szCs w:val="24"/>
        </w:rPr>
        <w:t>162</w:t>
      </w:r>
      <w:r w:rsidRPr="00322627">
        <w:rPr>
          <w:rFonts w:ascii="Book Antiqua" w:eastAsia="宋体" w:hAnsi="Book Antiqua" w:cs="宋体"/>
          <w:kern w:val="0"/>
          <w:sz w:val="24"/>
          <w:szCs w:val="24"/>
        </w:rPr>
        <w:t>: 376-382 [PMID: 23692048 DOI: 10.1111/bjh.12386]</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31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Teramura</w:t>
      </w:r>
      <w:proofErr w:type="spellEnd"/>
      <w:r w:rsidRPr="00322627">
        <w:rPr>
          <w:rFonts w:ascii="Book Antiqua" w:eastAsia="宋体" w:hAnsi="Book Antiqua" w:cs="宋体"/>
          <w:kern w:val="0"/>
          <w:sz w:val="24"/>
          <w:szCs w:val="24"/>
        </w:rPr>
        <w:t xml:space="preserve"> T, </w:t>
      </w:r>
      <w:proofErr w:type="spellStart"/>
      <w:r w:rsidRPr="00322627">
        <w:rPr>
          <w:rFonts w:ascii="Book Antiqua" w:eastAsia="宋体" w:hAnsi="Book Antiqua" w:cs="宋体"/>
          <w:kern w:val="0"/>
          <w:sz w:val="24"/>
          <w:szCs w:val="24"/>
        </w:rPr>
        <w:t>Tauchi</w:t>
      </w:r>
      <w:proofErr w:type="spellEnd"/>
      <w:r w:rsidRPr="00322627">
        <w:rPr>
          <w:rFonts w:ascii="Book Antiqua" w:eastAsia="宋体" w:hAnsi="Book Antiqua" w:cs="宋体"/>
          <w:kern w:val="0"/>
          <w:sz w:val="24"/>
          <w:szCs w:val="24"/>
        </w:rPr>
        <w:t xml:space="preserve"> H, Ishida Y, Otoh Y, Sawada M, Tanaka H, Watanabe A, </w:t>
      </w:r>
      <w:proofErr w:type="spellStart"/>
      <w:r w:rsidRPr="00322627">
        <w:rPr>
          <w:rFonts w:ascii="Book Antiqua" w:eastAsia="宋体" w:hAnsi="Book Antiqua" w:cs="宋体"/>
          <w:kern w:val="0"/>
          <w:sz w:val="24"/>
          <w:szCs w:val="24"/>
        </w:rPr>
        <w:t>Tabata</w:t>
      </w:r>
      <w:proofErr w:type="spellEnd"/>
      <w:r w:rsidRPr="00322627">
        <w:rPr>
          <w:rFonts w:ascii="Book Antiqua" w:eastAsia="宋体" w:hAnsi="Book Antiqua" w:cs="宋体"/>
          <w:kern w:val="0"/>
          <w:sz w:val="24"/>
          <w:szCs w:val="24"/>
        </w:rPr>
        <w:t xml:space="preserve"> Y, Morimoto A, </w:t>
      </w:r>
      <w:proofErr w:type="spellStart"/>
      <w:r w:rsidRPr="00322627">
        <w:rPr>
          <w:rFonts w:ascii="Book Antiqua" w:eastAsia="宋体" w:hAnsi="Book Antiqua" w:cs="宋体"/>
          <w:kern w:val="0"/>
          <w:sz w:val="24"/>
          <w:szCs w:val="24"/>
        </w:rPr>
        <w:t>Hibi</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Henter</w:t>
      </w:r>
      <w:proofErr w:type="spellEnd"/>
      <w:r w:rsidRPr="00322627">
        <w:rPr>
          <w:rFonts w:ascii="Book Antiqua" w:eastAsia="宋体" w:hAnsi="Book Antiqua" w:cs="宋体"/>
          <w:kern w:val="0"/>
          <w:sz w:val="24"/>
          <w:szCs w:val="24"/>
        </w:rPr>
        <w:t xml:space="preserve"> JI. </w:t>
      </w:r>
      <w:proofErr w:type="gramStart"/>
      <w:r w:rsidRPr="00322627">
        <w:rPr>
          <w:rFonts w:ascii="Book Antiqua" w:eastAsia="宋体" w:hAnsi="Book Antiqua" w:cs="宋体"/>
          <w:kern w:val="0"/>
          <w:sz w:val="24"/>
          <w:szCs w:val="24"/>
        </w:rPr>
        <w:t xml:space="preserve">Longitudinal follow-up of patients with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w:t>
      </w:r>
      <w:proofErr w:type="gram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Haematologica</w:t>
      </w:r>
      <w:proofErr w:type="spellEnd"/>
      <w:r w:rsidRPr="00322627">
        <w:rPr>
          <w:rFonts w:ascii="Book Antiqua" w:eastAsia="宋体" w:hAnsi="Book Antiqua" w:cs="宋体"/>
          <w:kern w:val="0"/>
          <w:sz w:val="24"/>
          <w:szCs w:val="24"/>
        </w:rPr>
        <w:t xml:space="preserve"> 2004; </w:t>
      </w:r>
      <w:r w:rsidRPr="00322627">
        <w:rPr>
          <w:rFonts w:ascii="Book Antiqua" w:eastAsia="宋体" w:hAnsi="Book Antiqua" w:cs="宋体"/>
          <w:b/>
          <w:bCs/>
          <w:kern w:val="0"/>
          <w:sz w:val="24"/>
          <w:szCs w:val="24"/>
        </w:rPr>
        <w:t>89</w:t>
      </w:r>
      <w:r w:rsidRPr="00322627">
        <w:rPr>
          <w:rFonts w:ascii="Book Antiqua" w:eastAsia="宋体" w:hAnsi="Book Antiqua" w:cs="宋体"/>
          <w:kern w:val="0"/>
          <w:sz w:val="24"/>
          <w:szCs w:val="24"/>
        </w:rPr>
        <w:t>: 183-188 [PMID: 15003893]</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32 </w:t>
      </w:r>
      <w:r w:rsidRPr="00322627">
        <w:rPr>
          <w:rFonts w:ascii="Book Antiqua" w:eastAsia="宋体" w:hAnsi="Book Antiqua" w:cs="宋体"/>
          <w:b/>
          <w:bCs/>
          <w:kern w:val="0"/>
          <w:sz w:val="24"/>
          <w:szCs w:val="24"/>
        </w:rPr>
        <w:t>Yamashita S</w:t>
      </w:r>
      <w:r w:rsidRPr="00322627">
        <w:rPr>
          <w:rFonts w:ascii="Book Antiqua" w:eastAsia="宋体" w:hAnsi="Book Antiqua" w:cs="宋体"/>
          <w:kern w:val="0"/>
          <w:sz w:val="24"/>
          <w:szCs w:val="24"/>
        </w:rPr>
        <w:t xml:space="preserve">, Murakami C, Izumi Y, Sawada H, Yamazaki Y, Yokota TA, Matsumoto N, </w:t>
      </w:r>
      <w:proofErr w:type="spellStart"/>
      <w:r w:rsidRPr="00322627">
        <w:rPr>
          <w:rFonts w:ascii="Book Antiqua" w:eastAsia="宋体" w:hAnsi="Book Antiqua" w:cs="宋体"/>
          <w:kern w:val="0"/>
          <w:sz w:val="24"/>
          <w:szCs w:val="24"/>
        </w:rPr>
        <w:t>Matsukura</w:t>
      </w:r>
      <w:proofErr w:type="spellEnd"/>
      <w:r w:rsidRPr="00322627">
        <w:rPr>
          <w:rFonts w:ascii="Book Antiqua" w:eastAsia="宋体" w:hAnsi="Book Antiqua" w:cs="宋体"/>
          <w:kern w:val="0"/>
          <w:sz w:val="24"/>
          <w:szCs w:val="24"/>
        </w:rPr>
        <w:t xml:space="preserve"> S. Severe chronic active Epstein-Barr virus infection </w:t>
      </w:r>
      <w:r w:rsidRPr="00322627">
        <w:rPr>
          <w:rFonts w:ascii="Book Antiqua" w:eastAsia="宋体" w:hAnsi="Book Antiqua" w:cs="宋体"/>
          <w:kern w:val="0"/>
          <w:sz w:val="24"/>
          <w:szCs w:val="24"/>
        </w:rPr>
        <w:lastRenderedPageBreak/>
        <w:t xml:space="preserve">accompanied by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syndrome, cerebellar ataxia and encephalitis. </w:t>
      </w:r>
      <w:r w:rsidRPr="00322627">
        <w:rPr>
          <w:rFonts w:ascii="Book Antiqua" w:eastAsia="宋体" w:hAnsi="Book Antiqua" w:cs="宋体"/>
          <w:i/>
          <w:iCs/>
          <w:kern w:val="0"/>
          <w:sz w:val="24"/>
          <w:szCs w:val="24"/>
        </w:rPr>
        <w:t xml:space="preserve">Psychiatry </w:t>
      </w:r>
      <w:proofErr w:type="spellStart"/>
      <w:r w:rsidRPr="00322627">
        <w:rPr>
          <w:rFonts w:ascii="Book Antiqua" w:eastAsia="宋体" w:hAnsi="Book Antiqua" w:cs="宋体"/>
          <w:i/>
          <w:iCs/>
          <w:kern w:val="0"/>
          <w:sz w:val="24"/>
          <w:szCs w:val="24"/>
        </w:rPr>
        <w:t>Clin</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Neurosci</w:t>
      </w:r>
      <w:proofErr w:type="spellEnd"/>
      <w:r w:rsidRPr="00322627">
        <w:rPr>
          <w:rFonts w:ascii="Book Antiqua" w:eastAsia="宋体" w:hAnsi="Book Antiqua" w:cs="宋体"/>
          <w:kern w:val="0"/>
          <w:sz w:val="24"/>
          <w:szCs w:val="24"/>
        </w:rPr>
        <w:t xml:space="preserve"> 1998; </w:t>
      </w:r>
      <w:r w:rsidRPr="00322627">
        <w:rPr>
          <w:rFonts w:ascii="Book Antiqua" w:eastAsia="宋体" w:hAnsi="Book Antiqua" w:cs="宋体"/>
          <w:b/>
          <w:bCs/>
          <w:kern w:val="0"/>
          <w:sz w:val="24"/>
          <w:szCs w:val="24"/>
        </w:rPr>
        <w:t>52</w:t>
      </w:r>
      <w:r w:rsidRPr="00322627">
        <w:rPr>
          <w:rFonts w:ascii="Book Antiqua" w:eastAsia="宋体" w:hAnsi="Book Antiqua" w:cs="宋体"/>
          <w:kern w:val="0"/>
          <w:sz w:val="24"/>
          <w:szCs w:val="24"/>
        </w:rPr>
        <w:t>: 449-452 [PMID: 9766697 DOI: 10.1046/j.1440-1819.1998.00406.x]</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33 </w:t>
      </w:r>
      <w:r w:rsidRPr="00322627">
        <w:rPr>
          <w:rFonts w:ascii="Book Antiqua" w:eastAsia="宋体" w:hAnsi="Book Antiqua" w:cs="宋体"/>
          <w:b/>
          <w:bCs/>
          <w:kern w:val="0"/>
          <w:sz w:val="24"/>
          <w:szCs w:val="24"/>
        </w:rPr>
        <w:t>Ishikawa N</w:t>
      </w:r>
      <w:r w:rsidRPr="00322627">
        <w:rPr>
          <w:rFonts w:ascii="Book Antiqua" w:eastAsia="宋体" w:hAnsi="Book Antiqua" w:cs="宋体"/>
          <w:kern w:val="0"/>
          <w:sz w:val="24"/>
          <w:szCs w:val="24"/>
        </w:rPr>
        <w:t xml:space="preserve">, Kawaguchi H, Nakamura K, Kobayashi M. Central nervous system complications and </w:t>
      </w:r>
      <w:proofErr w:type="spellStart"/>
      <w:r w:rsidRPr="00322627">
        <w:rPr>
          <w:rFonts w:ascii="Book Antiqua" w:eastAsia="宋体" w:hAnsi="Book Antiqua" w:cs="宋体"/>
          <w:kern w:val="0"/>
          <w:sz w:val="24"/>
          <w:szCs w:val="24"/>
        </w:rPr>
        <w:t>neuroradiological</w:t>
      </w:r>
      <w:proofErr w:type="spellEnd"/>
      <w:r w:rsidRPr="00322627">
        <w:rPr>
          <w:rFonts w:ascii="Book Antiqua" w:eastAsia="宋体" w:hAnsi="Book Antiqua" w:cs="宋体"/>
          <w:kern w:val="0"/>
          <w:sz w:val="24"/>
          <w:szCs w:val="24"/>
        </w:rPr>
        <w:t xml:space="preserve"> findings in children with chronic active Epstein-Barr virus infection.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Int</w:t>
      </w:r>
      <w:proofErr w:type="spellEnd"/>
      <w:r w:rsidRPr="00322627">
        <w:rPr>
          <w:rFonts w:ascii="Book Antiqua" w:eastAsia="宋体" w:hAnsi="Book Antiqua" w:cs="宋体"/>
          <w:kern w:val="0"/>
          <w:sz w:val="24"/>
          <w:szCs w:val="24"/>
        </w:rPr>
        <w:t xml:space="preserve"> 2013; </w:t>
      </w:r>
      <w:r w:rsidRPr="00322627">
        <w:rPr>
          <w:rFonts w:ascii="Book Antiqua" w:eastAsia="宋体" w:hAnsi="Book Antiqua" w:cs="宋体"/>
          <w:b/>
          <w:bCs/>
          <w:kern w:val="0"/>
          <w:sz w:val="24"/>
          <w:szCs w:val="24"/>
        </w:rPr>
        <w:t>55</w:t>
      </w:r>
      <w:r w:rsidRPr="00322627">
        <w:rPr>
          <w:rFonts w:ascii="Book Antiqua" w:eastAsia="宋体" w:hAnsi="Book Antiqua" w:cs="宋体"/>
          <w:kern w:val="0"/>
          <w:sz w:val="24"/>
          <w:szCs w:val="24"/>
        </w:rPr>
        <w:t>: 72-78 [PMID: 23240920 DOI: 10.1111/ped.12024]</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34 </w:t>
      </w:r>
      <w:proofErr w:type="spellStart"/>
      <w:r w:rsidRPr="00322627">
        <w:rPr>
          <w:rFonts w:ascii="Book Antiqua" w:eastAsia="宋体" w:hAnsi="Book Antiqua" w:cs="宋体"/>
          <w:b/>
          <w:bCs/>
          <w:kern w:val="0"/>
          <w:sz w:val="24"/>
          <w:szCs w:val="24"/>
        </w:rPr>
        <w:t>Muneuchi</w:t>
      </w:r>
      <w:proofErr w:type="spellEnd"/>
      <w:r w:rsidRPr="00322627">
        <w:rPr>
          <w:rFonts w:ascii="Book Antiqua" w:eastAsia="宋体" w:hAnsi="Book Antiqua" w:cs="宋体"/>
          <w:b/>
          <w:bCs/>
          <w:kern w:val="0"/>
          <w:sz w:val="24"/>
          <w:szCs w:val="24"/>
        </w:rPr>
        <w:t xml:space="preserve"> J</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Ohga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Ishimura</w:t>
      </w:r>
      <w:proofErr w:type="spellEnd"/>
      <w:r w:rsidRPr="00322627">
        <w:rPr>
          <w:rFonts w:ascii="Book Antiqua" w:eastAsia="宋体" w:hAnsi="Book Antiqua" w:cs="宋体"/>
          <w:kern w:val="0"/>
          <w:sz w:val="24"/>
          <w:szCs w:val="24"/>
        </w:rPr>
        <w:t xml:space="preserve"> M, Ikeda K, Yamaguchi K, Nomura A, Takada H, Abe Y, Hara T. Cardiovascular complications associated with chronic active Epstein-Barr virus infection.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Cardiol</w:t>
      </w:r>
      <w:proofErr w:type="spellEnd"/>
      <w:r w:rsidRPr="00322627">
        <w:rPr>
          <w:rFonts w:ascii="Book Antiqua" w:eastAsia="宋体" w:hAnsi="Book Antiqua" w:cs="宋体"/>
          <w:kern w:val="0"/>
          <w:sz w:val="24"/>
          <w:szCs w:val="24"/>
        </w:rPr>
        <w:t xml:space="preserve"> 2009; </w:t>
      </w:r>
      <w:r w:rsidRPr="00322627">
        <w:rPr>
          <w:rFonts w:ascii="Book Antiqua" w:eastAsia="宋体" w:hAnsi="Book Antiqua" w:cs="宋体"/>
          <w:b/>
          <w:bCs/>
          <w:kern w:val="0"/>
          <w:sz w:val="24"/>
          <w:szCs w:val="24"/>
        </w:rPr>
        <w:t>30</w:t>
      </w:r>
      <w:r w:rsidRPr="00322627">
        <w:rPr>
          <w:rFonts w:ascii="Book Antiqua" w:eastAsia="宋体" w:hAnsi="Book Antiqua" w:cs="宋体"/>
          <w:kern w:val="0"/>
          <w:sz w:val="24"/>
          <w:szCs w:val="24"/>
        </w:rPr>
        <w:t>: 274-281 [PMID: 19184184 DOI: 10.1007/s00246-008-9343-8]</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35 </w:t>
      </w:r>
      <w:proofErr w:type="spellStart"/>
      <w:r w:rsidRPr="00322627">
        <w:rPr>
          <w:rFonts w:ascii="Book Antiqua" w:eastAsia="宋体" w:hAnsi="Book Antiqua" w:cs="宋体"/>
          <w:b/>
          <w:bCs/>
          <w:kern w:val="0"/>
          <w:sz w:val="24"/>
          <w:szCs w:val="24"/>
        </w:rPr>
        <w:t>Imashuku</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Kudo N, Kubo K, </w:t>
      </w:r>
      <w:proofErr w:type="spellStart"/>
      <w:r w:rsidRPr="00322627">
        <w:rPr>
          <w:rFonts w:ascii="Book Antiqua" w:eastAsia="宋体" w:hAnsi="Book Antiqua" w:cs="宋体"/>
          <w:kern w:val="0"/>
          <w:sz w:val="24"/>
          <w:szCs w:val="24"/>
        </w:rPr>
        <w:t>Yachie</w:t>
      </w:r>
      <w:proofErr w:type="spellEnd"/>
      <w:r w:rsidRPr="00322627">
        <w:rPr>
          <w:rFonts w:ascii="Book Antiqua" w:eastAsia="宋体" w:hAnsi="Book Antiqua" w:cs="宋体"/>
          <w:kern w:val="0"/>
          <w:sz w:val="24"/>
          <w:szCs w:val="24"/>
        </w:rPr>
        <w:t xml:space="preserve"> A. Are regimens containing rituximab effective in the initial treatment of Epstein-Barr virus-positive natural killer cell lymphoproliferative disease-associated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Int</w:t>
      </w:r>
      <w:proofErr w:type="spellEnd"/>
      <w:r w:rsidRPr="00322627">
        <w:rPr>
          <w:rFonts w:ascii="Book Antiqua" w:eastAsia="宋体" w:hAnsi="Book Antiqua" w:cs="宋体"/>
          <w:i/>
          <w:iCs/>
          <w:kern w:val="0"/>
          <w:sz w:val="24"/>
          <w:szCs w:val="24"/>
        </w:rPr>
        <w:t xml:space="preserve"> J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kern w:val="0"/>
          <w:sz w:val="24"/>
          <w:szCs w:val="24"/>
        </w:rPr>
        <w:t xml:space="preserve"> 2013; </w:t>
      </w:r>
      <w:r w:rsidRPr="00322627">
        <w:rPr>
          <w:rFonts w:ascii="Book Antiqua" w:eastAsia="宋体" w:hAnsi="Book Antiqua" w:cs="宋体"/>
          <w:b/>
          <w:bCs/>
          <w:kern w:val="0"/>
          <w:sz w:val="24"/>
          <w:szCs w:val="24"/>
        </w:rPr>
        <w:t>98</w:t>
      </w:r>
      <w:r w:rsidRPr="00322627">
        <w:rPr>
          <w:rFonts w:ascii="Book Antiqua" w:eastAsia="宋体" w:hAnsi="Book Antiqua" w:cs="宋体"/>
          <w:kern w:val="0"/>
          <w:sz w:val="24"/>
          <w:szCs w:val="24"/>
        </w:rPr>
        <w:t>: 375-377 [PMID: 23975519 DOI: 10.1007/s12185-013-1419-4]</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36 </w:t>
      </w:r>
      <w:r w:rsidRPr="00322627">
        <w:rPr>
          <w:rFonts w:ascii="Book Antiqua" w:eastAsia="宋体" w:hAnsi="Book Antiqua" w:cs="宋体"/>
          <w:b/>
          <w:bCs/>
          <w:kern w:val="0"/>
          <w:sz w:val="24"/>
          <w:szCs w:val="24"/>
        </w:rPr>
        <w:t>Marsh RA</w:t>
      </w:r>
      <w:r w:rsidRPr="00322627">
        <w:rPr>
          <w:rFonts w:ascii="Book Antiqua" w:eastAsia="宋体" w:hAnsi="Book Antiqua" w:cs="宋体"/>
          <w:kern w:val="0"/>
          <w:sz w:val="24"/>
          <w:szCs w:val="24"/>
        </w:rPr>
        <w:t xml:space="preserve">, Allen CE, McClain KL, Weinstein JL, </w:t>
      </w:r>
      <w:proofErr w:type="spellStart"/>
      <w:r w:rsidRPr="00322627">
        <w:rPr>
          <w:rFonts w:ascii="Book Antiqua" w:eastAsia="宋体" w:hAnsi="Book Antiqua" w:cs="宋体"/>
          <w:kern w:val="0"/>
          <w:sz w:val="24"/>
          <w:szCs w:val="24"/>
        </w:rPr>
        <w:t>Kanter</w:t>
      </w:r>
      <w:proofErr w:type="spellEnd"/>
      <w:r w:rsidRPr="00322627">
        <w:rPr>
          <w:rFonts w:ascii="Book Antiqua" w:eastAsia="宋体" w:hAnsi="Book Antiqua" w:cs="宋体"/>
          <w:kern w:val="0"/>
          <w:sz w:val="24"/>
          <w:szCs w:val="24"/>
        </w:rPr>
        <w:t xml:space="preserve"> J, Skiles J, Lee ND, Khan SP, Lawrence J, Mo JQ, </w:t>
      </w:r>
      <w:proofErr w:type="spellStart"/>
      <w:r w:rsidRPr="00322627">
        <w:rPr>
          <w:rFonts w:ascii="Book Antiqua" w:eastAsia="宋体" w:hAnsi="Book Antiqua" w:cs="宋体"/>
          <w:kern w:val="0"/>
          <w:sz w:val="24"/>
          <w:szCs w:val="24"/>
        </w:rPr>
        <w:t>Bleesing</w:t>
      </w:r>
      <w:proofErr w:type="spellEnd"/>
      <w:r w:rsidRPr="00322627">
        <w:rPr>
          <w:rFonts w:ascii="Book Antiqua" w:eastAsia="宋体" w:hAnsi="Book Antiqua" w:cs="宋体"/>
          <w:kern w:val="0"/>
          <w:sz w:val="24"/>
          <w:szCs w:val="24"/>
        </w:rPr>
        <w:t xml:space="preserve"> JJ, </w:t>
      </w:r>
      <w:proofErr w:type="spellStart"/>
      <w:r w:rsidRPr="00322627">
        <w:rPr>
          <w:rFonts w:ascii="Book Antiqua" w:eastAsia="宋体" w:hAnsi="Book Antiqua" w:cs="宋体"/>
          <w:kern w:val="0"/>
          <w:sz w:val="24"/>
          <w:szCs w:val="24"/>
        </w:rPr>
        <w:t>Filipovich</w:t>
      </w:r>
      <w:proofErr w:type="spellEnd"/>
      <w:r w:rsidRPr="00322627">
        <w:rPr>
          <w:rFonts w:ascii="Book Antiqua" w:eastAsia="宋体" w:hAnsi="Book Antiqua" w:cs="宋体"/>
          <w:kern w:val="0"/>
          <w:sz w:val="24"/>
          <w:szCs w:val="24"/>
        </w:rPr>
        <w:t xml:space="preserve"> AH, Jordan MB. Salvage therapy of refractory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with </w:t>
      </w:r>
      <w:proofErr w:type="spellStart"/>
      <w:r w:rsidRPr="00322627">
        <w:rPr>
          <w:rFonts w:ascii="Book Antiqua" w:eastAsia="宋体" w:hAnsi="Book Antiqua" w:cs="宋体"/>
          <w:kern w:val="0"/>
          <w:sz w:val="24"/>
          <w:szCs w:val="24"/>
        </w:rPr>
        <w:t>alemtuzumab</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Blood Cancer</w:t>
      </w:r>
      <w:r w:rsidRPr="00322627">
        <w:rPr>
          <w:rFonts w:ascii="Book Antiqua" w:eastAsia="宋体" w:hAnsi="Book Antiqua" w:cs="宋体"/>
          <w:kern w:val="0"/>
          <w:sz w:val="24"/>
          <w:szCs w:val="24"/>
        </w:rPr>
        <w:t xml:space="preserve"> 2013; </w:t>
      </w:r>
      <w:r w:rsidRPr="00322627">
        <w:rPr>
          <w:rFonts w:ascii="Book Antiqua" w:eastAsia="宋体" w:hAnsi="Book Antiqua" w:cs="宋体"/>
          <w:b/>
          <w:bCs/>
          <w:kern w:val="0"/>
          <w:sz w:val="24"/>
          <w:szCs w:val="24"/>
        </w:rPr>
        <w:t>60</w:t>
      </w:r>
      <w:r w:rsidRPr="00322627">
        <w:rPr>
          <w:rFonts w:ascii="Book Antiqua" w:eastAsia="宋体" w:hAnsi="Book Antiqua" w:cs="宋体"/>
          <w:kern w:val="0"/>
          <w:sz w:val="24"/>
          <w:szCs w:val="24"/>
        </w:rPr>
        <w:t>: 101-109 [PMID: 22522603 DOI: 10.1002/pbc.24188]</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37 </w:t>
      </w:r>
      <w:r w:rsidRPr="00322627">
        <w:rPr>
          <w:rFonts w:ascii="Book Antiqua" w:eastAsia="宋体" w:hAnsi="Book Antiqua" w:cs="宋体"/>
          <w:b/>
          <w:bCs/>
          <w:kern w:val="0"/>
          <w:sz w:val="24"/>
          <w:szCs w:val="24"/>
        </w:rPr>
        <w:t>Fujiwara S</w:t>
      </w:r>
      <w:r w:rsidRPr="00322627">
        <w:rPr>
          <w:rFonts w:ascii="Book Antiqua" w:eastAsia="宋体" w:hAnsi="Book Antiqua" w:cs="宋体"/>
          <w:kern w:val="0"/>
          <w:sz w:val="24"/>
          <w:szCs w:val="24"/>
        </w:rPr>
        <w:t xml:space="preserve">, Kimura H, </w:t>
      </w:r>
      <w:proofErr w:type="spellStart"/>
      <w:r w:rsidRPr="00322627">
        <w:rPr>
          <w:rFonts w:ascii="Book Antiqua" w:eastAsia="宋体" w:hAnsi="Book Antiqua" w:cs="宋体"/>
          <w:kern w:val="0"/>
          <w:sz w:val="24"/>
          <w:szCs w:val="24"/>
        </w:rPr>
        <w:t>Imadome</w:t>
      </w:r>
      <w:proofErr w:type="spellEnd"/>
      <w:r w:rsidRPr="00322627">
        <w:rPr>
          <w:rFonts w:ascii="Book Antiqua" w:eastAsia="宋体" w:hAnsi="Book Antiqua" w:cs="宋体"/>
          <w:kern w:val="0"/>
          <w:sz w:val="24"/>
          <w:szCs w:val="24"/>
        </w:rPr>
        <w:t xml:space="preserve"> K, Arai A, Kodama E, </w:t>
      </w:r>
      <w:proofErr w:type="spellStart"/>
      <w:r w:rsidRPr="00322627">
        <w:rPr>
          <w:rFonts w:ascii="Book Antiqua" w:eastAsia="宋体" w:hAnsi="Book Antiqua" w:cs="宋体"/>
          <w:kern w:val="0"/>
          <w:sz w:val="24"/>
          <w:szCs w:val="24"/>
        </w:rPr>
        <w:t>Morio</w:t>
      </w:r>
      <w:proofErr w:type="spellEnd"/>
      <w:r w:rsidRPr="00322627">
        <w:rPr>
          <w:rFonts w:ascii="Book Antiqua" w:eastAsia="宋体" w:hAnsi="Book Antiqua" w:cs="宋体"/>
          <w:kern w:val="0"/>
          <w:sz w:val="24"/>
          <w:szCs w:val="24"/>
        </w:rPr>
        <w:t xml:space="preserve"> T, Shimizu N, </w:t>
      </w:r>
      <w:proofErr w:type="spellStart"/>
      <w:r w:rsidRPr="00322627">
        <w:rPr>
          <w:rFonts w:ascii="Book Antiqua" w:eastAsia="宋体" w:hAnsi="Book Antiqua" w:cs="宋体"/>
          <w:kern w:val="0"/>
          <w:sz w:val="24"/>
          <w:szCs w:val="24"/>
        </w:rPr>
        <w:t>Wakiguchi</w:t>
      </w:r>
      <w:proofErr w:type="spellEnd"/>
      <w:r w:rsidRPr="00322627">
        <w:rPr>
          <w:rFonts w:ascii="Book Antiqua" w:eastAsia="宋体" w:hAnsi="Book Antiqua" w:cs="宋体"/>
          <w:kern w:val="0"/>
          <w:sz w:val="24"/>
          <w:szCs w:val="24"/>
        </w:rPr>
        <w:t xml:space="preserve"> H. Current research on chronic active Epstein-Barr virus infection in Japan.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w:t>
      </w:r>
      <w:proofErr w:type="spellStart"/>
      <w:r w:rsidRPr="00322627">
        <w:rPr>
          <w:rFonts w:ascii="Book Antiqua" w:eastAsia="宋体" w:hAnsi="Book Antiqua" w:cs="宋体"/>
          <w:i/>
          <w:iCs/>
          <w:kern w:val="0"/>
          <w:sz w:val="24"/>
          <w:szCs w:val="24"/>
        </w:rPr>
        <w:t>Int</w:t>
      </w:r>
      <w:proofErr w:type="spellEnd"/>
      <w:r w:rsidRPr="00322627">
        <w:rPr>
          <w:rFonts w:ascii="Book Antiqua" w:eastAsia="宋体" w:hAnsi="Book Antiqua" w:cs="宋体"/>
          <w:kern w:val="0"/>
          <w:sz w:val="24"/>
          <w:szCs w:val="24"/>
        </w:rPr>
        <w:t xml:space="preserve"> 2014; </w:t>
      </w:r>
      <w:r w:rsidRPr="00322627">
        <w:rPr>
          <w:rFonts w:ascii="Book Antiqua" w:eastAsia="宋体" w:hAnsi="Book Antiqua" w:cs="宋体"/>
          <w:b/>
          <w:bCs/>
          <w:kern w:val="0"/>
          <w:sz w:val="24"/>
          <w:szCs w:val="24"/>
        </w:rPr>
        <w:t>56</w:t>
      </w:r>
      <w:r w:rsidRPr="00322627">
        <w:rPr>
          <w:rFonts w:ascii="Book Antiqua" w:eastAsia="宋体" w:hAnsi="Book Antiqua" w:cs="宋体"/>
          <w:kern w:val="0"/>
          <w:sz w:val="24"/>
          <w:szCs w:val="24"/>
        </w:rPr>
        <w:t>: 159-166 [PMID: 24528553 DOI: 10.1111/ped.12314]</w:t>
      </w:r>
    </w:p>
    <w:p w:rsidR="002F197E" w:rsidRPr="00322627" w:rsidRDefault="002F197E" w:rsidP="00322627">
      <w:pPr>
        <w:widowControl/>
        <w:spacing w:line="360" w:lineRule="auto"/>
        <w:rPr>
          <w:rFonts w:ascii="Book Antiqua" w:eastAsia="宋体" w:hAnsi="Book Antiqua" w:cs="宋体"/>
          <w:kern w:val="0"/>
          <w:sz w:val="24"/>
          <w:szCs w:val="24"/>
        </w:rPr>
      </w:pPr>
      <w:proofErr w:type="gramStart"/>
      <w:r w:rsidRPr="00322627">
        <w:rPr>
          <w:rFonts w:ascii="Book Antiqua" w:eastAsia="宋体" w:hAnsi="Book Antiqua" w:cs="宋体"/>
          <w:kern w:val="0"/>
          <w:sz w:val="24"/>
          <w:szCs w:val="24"/>
        </w:rPr>
        <w:lastRenderedPageBreak/>
        <w:t xml:space="preserve">38 </w:t>
      </w:r>
      <w:r w:rsidRPr="00322627">
        <w:rPr>
          <w:rFonts w:ascii="Book Antiqua" w:eastAsia="宋体" w:hAnsi="Book Antiqua" w:cs="宋体"/>
          <w:b/>
          <w:bCs/>
          <w:kern w:val="0"/>
          <w:sz w:val="24"/>
          <w:szCs w:val="24"/>
        </w:rPr>
        <w:t>Babel N</w:t>
      </w:r>
      <w:r w:rsidRPr="00322627">
        <w:rPr>
          <w:rFonts w:ascii="Book Antiqua" w:eastAsia="宋体" w:hAnsi="Book Antiqua" w:cs="宋体"/>
          <w:kern w:val="0"/>
          <w:sz w:val="24"/>
          <w:szCs w:val="24"/>
        </w:rPr>
        <w:t xml:space="preserve">, Hammer MH, </w:t>
      </w:r>
      <w:proofErr w:type="spellStart"/>
      <w:r w:rsidRPr="00322627">
        <w:rPr>
          <w:rFonts w:ascii="Book Antiqua" w:eastAsia="宋体" w:hAnsi="Book Antiqua" w:cs="宋体"/>
          <w:kern w:val="0"/>
          <w:sz w:val="24"/>
          <w:szCs w:val="24"/>
        </w:rPr>
        <w:t>Reinke</w:t>
      </w:r>
      <w:proofErr w:type="spellEnd"/>
      <w:r w:rsidRPr="00322627">
        <w:rPr>
          <w:rFonts w:ascii="Book Antiqua" w:eastAsia="宋体" w:hAnsi="Book Antiqua" w:cs="宋体"/>
          <w:kern w:val="0"/>
          <w:sz w:val="24"/>
          <w:szCs w:val="24"/>
        </w:rPr>
        <w:t xml:space="preserve"> P. [Adoptive transfer of Epstein-Barr virus-specific T-lymphocytes in chronic active Epstein-Barr infection].</w:t>
      </w:r>
      <w:proofErr w:type="gram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i/>
          <w:iCs/>
          <w:kern w:val="0"/>
          <w:sz w:val="24"/>
          <w:szCs w:val="24"/>
        </w:rPr>
        <w:t>Dtsch</w:t>
      </w:r>
      <w:proofErr w:type="spellEnd"/>
      <w:r w:rsidRPr="00322627">
        <w:rPr>
          <w:rFonts w:ascii="Book Antiqua" w:eastAsia="宋体" w:hAnsi="Book Antiqua" w:cs="宋体"/>
          <w:i/>
          <w:iCs/>
          <w:kern w:val="0"/>
          <w:sz w:val="24"/>
          <w:szCs w:val="24"/>
        </w:rPr>
        <w:t xml:space="preserve"> Med </w:t>
      </w:r>
      <w:proofErr w:type="spellStart"/>
      <w:r w:rsidRPr="00322627">
        <w:rPr>
          <w:rFonts w:ascii="Book Antiqua" w:eastAsia="宋体" w:hAnsi="Book Antiqua" w:cs="宋体"/>
          <w:i/>
          <w:iCs/>
          <w:kern w:val="0"/>
          <w:sz w:val="24"/>
          <w:szCs w:val="24"/>
        </w:rPr>
        <w:t>Wochenschr</w:t>
      </w:r>
      <w:proofErr w:type="spellEnd"/>
      <w:r w:rsidRPr="00322627">
        <w:rPr>
          <w:rFonts w:ascii="Book Antiqua" w:eastAsia="宋体" w:hAnsi="Book Antiqua" w:cs="宋体"/>
          <w:kern w:val="0"/>
          <w:sz w:val="24"/>
          <w:szCs w:val="24"/>
        </w:rPr>
        <w:t xml:space="preserve"> 2003; </w:t>
      </w:r>
      <w:r w:rsidRPr="00322627">
        <w:rPr>
          <w:rFonts w:ascii="Book Antiqua" w:eastAsia="宋体" w:hAnsi="Book Antiqua" w:cs="宋体"/>
          <w:b/>
          <w:bCs/>
          <w:kern w:val="0"/>
          <w:sz w:val="24"/>
          <w:szCs w:val="24"/>
        </w:rPr>
        <w:t>128</w:t>
      </w:r>
      <w:r w:rsidRPr="00322627">
        <w:rPr>
          <w:rFonts w:ascii="Book Antiqua" w:eastAsia="宋体" w:hAnsi="Book Antiqua" w:cs="宋体"/>
          <w:kern w:val="0"/>
          <w:sz w:val="24"/>
          <w:szCs w:val="24"/>
        </w:rPr>
        <w:t>: 548-550 [PMID: 12635027]</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39 </w:t>
      </w:r>
      <w:proofErr w:type="spellStart"/>
      <w:r w:rsidRPr="00322627">
        <w:rPr>
          <w:rFonts w:ascii="Book Antiqua" w:eastAsia="宋体" w:hAnsi="Book Antiqua" w:cs="宋体"/>
          <w:b/>
          <w:bCs/>
          <w:kern w:val="0"/>
          <w:sz w:val="24"/>
          <w:szCs w:val="24"/>
        </w:rPr>
        <w:t>Savoldo</w:t>
      </w:r>
      <w:proofErr w:type="spellEnd"/>
      <w:r w:rsidRPr="00322627">
        <w:rPr>
          <w:rFonts w:ascii="Book Antiqua" w:eastAsia="宋体" w:hAnsi="Book Antiqua" w:cs="宋体"/>
          <w:b/>
          <w:bCs/>
          <w:kern w:val="0"/>
          <w:sz w:val="24"/>
          <w:szCs w:val="24"/>
        </w:rPr>
        <w:t xml:space="preserve"> B</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Huls</w:t>
      </w:r>
      <w:proofErr w:type="spellEnd"/>
      <w:r w:rsidRPr="00322627">
        <w:rPr>
          <w:rFonts w:ascii="Book Antiqua" w:eastAsia="宋体" w:hAnsi="Book Antiqua" w:cs="宋体"/>
          <w:kern w:val="0"/>
          <w:sz w:val="24"/>
          <w:szCs w:val="24"/>
        </w:rPr>
        <w:t xml:space="preserve"> MH, Liu Z, Okamura T, Volk HD, </w:t>
      </w:r>
      <w:proofErr w:type="spellStart"/>
      <w:r w:rsidRPr="00322627">
        <w:rPr>
          <w:rFonts w:ascii="Book Antiqua" w:eastAsia="宋体" w:hAnsi="Book Antiqua" w:cs="宋体"/>
          <w:kern w:val="0"/>
          <w:sz w:val="24"/>
          <w:szCs w:val="24"/>
        </w:rPr>
        <w:t>Reinke</w:t>
      </w:r>
      <w:proofErr w:type="spellEnd"/>
      <w:r w:rsidRPr="00322627">
        <w:rPr>
          <w:rFonts w:ascii="Book Antiqua" w:eastAsia="宋体" w:hAnsi="Book Antiqua" w:cs="宋体"/>
          <w:kern w:val="0"/>
          <w:sz w:val="24"/>
          <w:szCs w:val="24"/>
        </w:rPr>
        <w:t xml:space="preserve"> P, </w:t>
      </w:r>
      <w:proofErr w:type="spellStart"/>
      <w:r w:rsidRPr="00322627">
        <w:rPr>
          <w:rFonts w:ascii="Book Antiqua" w:eastAsia="宋体" w:hAnsi="Book Antiqua" w:cs="宋体"/>
          <w:kern w:val="0"/>
          <w:sz w:val="24"/>
          <w:szCs w:val="24"/>
        </w:rPr>
        <w:t>Sabat</w:t>
      </w:r>
      <w:proofErr w:type="spellEnd"/>
      <w:r w:rsidRPr="00322627">
        <w:rPr>
          <w:rFonts w:ascii="Book Antiqua" w:eastAsia="宋体" w:hAnsi="Book Antiqua" w:cs="宋体"/>
          <w:kern w:val="0"/>
          <w:sz w:val="24"/>
          <w:szCs w:val="24"/>
        </w:rPr>
        <w:t xml:space="preserve"> R, Babel N, Jones JF, Webster-</w:t>
      </w:r>
      <w:proofErr w:type="spellStart"/>
      <w:r w:rsidRPr="00322627">
        <w:rPr>
          <w:rFonts w:ascii="Book Antiqua" w:eastAsia="宋体" w:hAnsi="Book Antiqua" w:cs="宋体"/>
          <w:kern w:val="0"/>
          <w:sz w:val="24"/>
          <w:szCs w:val="24"/>
        </w:rPr>
        <w:t>Cyriaque</w:t>
      </w:r>
      <w:proofErr w:type="spellEnd"/>
      <w:r w:rsidRPr="00322627">
        <w:rPr>
          <w:rFonts w:ascii="Book Antiqua" w:eastAsia="宋体" w:hAnsi="Book Antiqua" w:cs="宋体"/>
          <w:kern w:val="0"/>
          <w:sz w:val="24"/>
          <w:szCs w:val="24"/>
        </w:rPr>
        <w:t xml:space="preserve"> J, Gee AP, Brenner MK, </w:t>
      </w:r>
      <w:proofErr w:type="spellStart"/>
      <w:r w:rsidRPr="00322627">
        <w:rPr>
          <w:rFonts w:ascii="Book Antiqua" w:eastAsia="宋体" w:hAnsi="Book Antiqua" w:cs="宋体"/>
          <w:kern w:val="0"/>
          <w:sz w:val="24"/>
          <w:szCs w:val="24"/>
        </w:rPr>
        <w:t>Heslop</w:t>
      </w:r>
      <w:proofErr w:type="spellEnd"/>
      <w:r w:rsidRPr="00322627">
        <w:rPr>
          <w:rFonts w:ascii="Book Antiqua" w:eastAsia="宋体" w:hAnsi="Book Antiqua" w:cs="宋体"/>
          <w:kern w:val="0"/>
          <w:sz w:val="24"/>
          <w:szCs w:val="24"/>
        </w:rPr>
        <w:t xml:space="preserve"> HE, Rooney CM. Autologous Epstein-Barr virus (EBV)-specific cytotoxic T cells for the treatment of persistent active EBV infection.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2002; </w:t>
      </w:r>
      <w:r w:rsidRPr="00322627">
        <w:rPr>
          <w:rFonts w:ascii="Book Antiqua" w:eastAsia="宋体" w:hAnsi="Book Antiqua" w:cs="宋体"/>
          <w:b/>
          <w:bCs/>
          <w:kern w:val="0"/>
          <w:sz w:val="24"/>
          <w:szCs w:val="24"/>
        </w:rPr>
        <w:t>100</w:t>
      </w:r>
      <w:r w:rsidRPr="00322627">
        <w:rPr>
          <w:rFonts w:ascii="Book Antiqua" w:eastAsia="宋体" w:hAnsi="Book Antiqua" w:cs="宋体"/>
          <w:kern w:val="0"/>
          <w:sz w:val="24"/>
          <w:szCs w:val="24"/>
        </w:rPr>
        <w:t>: 4059-4066 [PMID: 12393655 DOI: 10.1182/blood-2002-01-0039]</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40 </w:t>
      </w:r>
      <w:r w:rsidRPr="00322627">
        <w:rPr>
          <w:rFonts w:ascii="Book Antiqua" w:eastAsia="宋体" w:hAnsi="Book Antiqua" w:cs="宋体"/>
          <w:b/>
          <w:bCs/>
          <w:kern w:val="0"/>
          <w:sz w:val="24"/>
          <w:szCs w:val="24"/>
        </w:rPr>
        <w:t>Wang Q</w:t>
      </w:r>
      <w:r w:rsidRPr="00322627">
        <w:rPr>
          <w:rFonts w:ascii="Book Antiqua" w:eastAsia="宋体" w:hAnsi="Book Antiqua" w:cs="宋体"/>
          <w:kern w:val="0"/>
          <w:sz w:val="24"/>
          <w:szCs w:val="24"/>
        </w:rPr>
        <w:t xml:space="preserve">, Liu H, Zhang X, Liu Q, Xing Y, Zhou X, Tong C, Zhu P. High doses of mother's lymphocyte infusion to treat EBV-positive T-cell lymphoproliferative disorders in childhood. </w:t>
      </w:r>
      <w:r w:rsidRPr="00322627">
        <w:rPr>
          <w:rFonts w:ascii="Book Antiqua" w:eastAsia="宋体" w:hAnsi="Book Antiqua" w:cs="宋体"/>
          <w:i/>
          <w:iCs/>
          <w:kern w:val="0"/>
          <w:sz w:val="24"/>
          <w:szCs w:val="24"/>
        </w:rPr>
        <w:t>Blood</w:t>
      </w:r>
      <w:r w:rsidRPr="00322627">
        <w:rPr>
          <w:rFonts w:ascii="Book Antiqua" w:eastAsia="宋体" w:hAnsi="Book Antiqua" w:cs="宋体"/>
          <w:kern w:val="0"/>
          <w:sz w:val="24"/>
          <w:szCs w:val="24"/>
        </w:rPr>
        <w:t xml:space="preserve"> 2010; </w:t>
      </w:r>
      <w:r w:rsidRPr="00322627">
        <w:rPr>
          <w:rFonts w:ascii="Book Antiqua" w:eastAsia="宋体" w:hAnsi="Book Antiqua" w:cs="宋体"/>
          <w:b/>
          <w:bCs/>
          <w:kern w:val="0"/>
          <w:sz w:val="24"/>
          <w:szCs w:val="24"/>
        </w:rPr>
        <w:t>116</w:t>
      </w:r>
      <w:r w:rsidRPr="00322627">
        <w:rPr>
          <w:rFonts w:ascii="Book Antiqua" w:eastAsia="宋体" w:hAnsi="Book Antiqua" w:cs="宋体"/>
          <w:kern w:val="0"/>
          <w:sz w:val="24"/>
          <w:szCs w:val="24"/>
        </w:rPr>
        <w:t>: 5941-5947 [PMID: 20926772 DOI: 10.1182/blood-2010-01-262311]</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41 </w:t>
      </w:r>
      <w:r w:rsidRPr="00322627">
        <w:rPr>
          <w:rFonts w:ascii="Book Antiqua" w:eastAsia="宋体" w:hAnsi="Book Antiqua" w:cs="宋体"/>
          <w:b/>
          <w:bCs/>
          <w:kern w:val="0"/>
          <w:sz w:val="24"/>
          <w:szCs w:val="24"/>
        </w:rPr>
        <w:t>Sato E</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Ohga</w:t>
      </w:r>
      <w:proofErr w:type="spellEnd"/>
      <w:r w:rsidRPr="00322627">
        <w:rPr>
          <w:rFonts w:ascii="Book Antiqua" w:eastAsia="宋体" w:hAnsi="Book Antiqua" w:cs="宋体"/>
          <w:kern w:val="0"/>
          <w:sz w:val="24"/>
          <w:szCs w:val="24"/>
        </w:rPr>
        <w:t xml:space="preserve"> S, Kuroda H, </w:t>
      </w:r>
      <w:proofErr w:type="spellStart"/>
      <w:r w:rsidRPr="00322627">
        <w:rPr>
          <w:rFonts w:ascii="Book Antiqua" w:eastAsia="宋体" w:hAnsi="Book Antiqua" w:cs="宋体"/>
          <w:kern w:val="0"/>
          <w:sz w:val="24"/>
          <w:szCs w:val="24"/>
        </w:rPr>
        <w:t>Yoshiba</w:t>
      </w:r>
      <w:proofErr w:type="spellEnd"/>
      <w:r w:rsidRPr="00322627">
        <w:rPr>
          <w:rFonts w:ascii="Book Antiqua" w:eastAsia="宋体" w:hAnsi="Book Antiqua" w:cs="宋体"/>
          <w:kern w:val="0"/>
          <w:sz w:val="24"/>
          <w:szCs w:val="24"/>
        </w:rPr>
        <w:t xml:space="preserve"> F, Nishimura M, </w:t>
      </w:r>
      <w:proofErr w:type="spellStart"/>
      <w:r w:rsidRPr="00322627">
        <w:rPr>
          <w:rFonts w:ascii="Book Antiqua" w:eastAsia="宋体" w:hAnsi="Book Antiqua" w:cs="宋体"/>
          <w:kern w:val="0"/>
          <w:sz w:val="24"/>
          <w:szCs w:val="24"/>
        </w:rPr>
        <w:t>Nagasawa</w:t>
      </w:r>
      <w:proofErr w:type="spellEnd"/>
      <w:r w:rsidRPr="00322627">
        <w:rPr>
          <w:rFonts w:ascii="Book Antiqua" w:eastAsia="宋体" w:hAnsi="Book Antiqua" w:cs="宋体"/>
          <w:kern w:val="0"/>
          <w:sz w:val="24"/>
          <w:szCs w:val="24"/>
        </w:rPr>
        <w:t xml:space="preserve"> M, Inoue M, Kawa K. Allogeneic hematopoietic stem cell transplantation for Epstein-Barr virus-associated T/natural killer-cell lymphoproliferative disease in Japan. </w:t>
      </w:r>
      <w:r w:rsidRPr="00322627">
        <w:rPr>
          <w:rFonts w:ascii="Book Antiqua" w:eastAsia="宋体" w:hAnsi="Book Antiqua" w:cs="宋体"/>
          <w:i/>
          <w:iCs/>
          <w:kern w:val="0"/>
          <w:sz w:val="24"/>
          <w:szCs w:val="24"/>
        </w:rPr>
        <w:t xml:space="preserve">Am J </w:t>
      </w:r>
      <w:proofErr w:type="spellStart"/>
      <w:r w:rsidRPr="00322627">
        <w:rPr>
          <w:rFonts w:ascii="Book Antiqua" w:eastAsia="宋体" w:hAnsi="Book Antiqua" w:cs="宋体"/>
          <w:i/>
          <w:iCs/>
          <w:kern w:val="0"/>
          <w:sz w:val="24"/>
          <w:szCs w:val="24"/>
        </w:rPr>
        <w:t>Hematol</w:t>
      </w:r>
      <w:proofErr w:type="spellEnd"/>
      <w:r w:rsidRPr="00322627">
        <w:rPr>
          <w:rFonts w:ascii="Book Antiqua" w:eastAsia="宋体" w:hAnsi="Book Antiqua" w:cs="宋体"/>
          <w:kern w:val="0"/>
          <w:sz w:val="24"/>
          <w:szCs w:val="24"/>
        </w:rPr>
        <w:t xml:space="preserve"> 2008; </w:t>
      </w:r>
      <w:r w:rsidRPr="00322627">
        <w:rPr>
          <w:rFonts w:ascii="Book Antiqua" w:eastAsia="宋体" w:hAnsi="Book Antiqua" w:cs="宋体"/>
          <w:b/>
          <w:bCs/>
          <w:kern w:val="0"/>
          <w:sz w:val="24"/>
          <w:szCs w:val="24"/>
        </w:rPr>
        <w:t>83</w:t>
      </w:r>
      <w:r w:rsidRPr="00322627">
        <w:rPr>
          <w:rFonts w:ascii="Book Antiqua" w:eastAsia="宋体" w:hAnsi="Book Antiqua" w:cs="宋体"/>
          <w:kern w:val="0"/>
          <w:sz w:val="24"/>
          <w:szCs w:val="24"/>
        </w:rPr>
        <w:t>: 721-727 [PMID: 18626884 DOI: 10.1002/ajh.21247]</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42 </w:t>
      </w:r>
      <w:proofErr w:type="spellStart"/>
      <w:r w:rsidRPr="00322627">
        <w:rPr>
          <w:rFonts w:ascii="Book Antiqua" w:eastAsia="宋体" w:hAnsi="Book Antiqua" w:cs="宋体"/>
          <w:b/>
          <w:bCs/>
          <w:kern w:val="0"/>
          <w:sz w:val="24"/>
          <w:szCs w:val="24"/>
        </w:rPr>
        <w:t>Ohga</w:t>
      </w:r>
      <w:proofErr w:type="spellEnd"/>
      <w:r w:rsidRPr="00322627">
        <w:rPr>
          <w:rFonts w:ascii="Book Antiqua" w:eastAsia="宋体" w:hAnsi="Book Antiqua" w:cs="宋体"/>
          <w:b/>
          <w:bCs/>
          <w:kern w:val="0"/>
          <w:sz w:val="24"/>
          <w:szCs w:val="24"/>
        </w:rPr>
        <w:t xml:space="preserve"> S</w:t>
      </w:r>
      <w:r w:rsidRPr="00322627">
        <w:rPr>
          <w:rFonts w:ascii="Book Antiqua" w:eastAsia="宋体" w:hAnsi="Book Antiqua" w:cs="宋体"/>
          <w:kern w:val="0"/>
          <w:sz w:val="24"/>
          <w:szCs w:val="24"/>
        </w:rPr>
        <w:t xml:space="preserve">, Kudo K, Ishii E, </w:t>
      </w:r>
      <w:proofErr w:type="spellStart"/>
      <w:r w:rsidRPr="00322627">
        <w:rPr>
          <w:rFonts w:ascii="Book Antiqua" w:eastAsia="宋体" w:hAnsi="Book Antiqua" w:cs="宋体"/>
          <w:kern w:val="0"/>
          <w:sz w:val="24"/>
          <w:szCs w:val="24"/>
        </w:rPr>
        <w:t>Honjo</w:t>
      </w:r>
      <w:proofErr w:type="spellEnd"/>
      <w:r w:rsidRPr="00322627">
        <w:rPr>
          <w:rFonts w:ascii="Book Antiqua" w:eastAsia="宋体" w:hAnsi="Book Antiqua" w:cs="宋体"/>
          <w:kern w:val="0"/>
          <w:sz w:val="24"/>
          <w:szCs w:val="24"/>
        </w:rPr>
        <w:t xml:space="preserve"> S, Morimoto A, </w:t>
      </w:r>
      <w:proofErr w:type="spellStart"/>
      <w:r w:rsidRPr="00322627">
        <w:rPr>
          <w:rFonts w:ascii="Book Antiqua" w:eastAsia="宋体" w:hAnsi="Book Antiqua" w:cs="宋体"/>
          <w:kern w:val="0"/>
          <w:sz w:val="24"/>
          <w:szCs w:val="24"/>
        </w:rPr>
        <w:t>Osugi</w:t>
      </w:r>
      <w:proofErr w:type="spellEnd"/>
      <w:r w:rsidRPr="00322627">
        <w:rPr>
          <w:rFonts w:ascii="Book Antiqua" w:eastAsia="宋体" w:hAnsi="Book Antiqua" w:cs="宋体"/>
          <w:kern w:val="0"/>
          <w:sz w:val="24"/>
          <w:szCs w:val="24"/>
        </w:rPr>
        <w:t xml:space="preserve"> Y, Sawada A, Inoue M, </w:t>
      </w:r>
      <w:proofErr w:type="spellStart"/>
      <w:r w:rsidRPr="00322627">
        <w:rPr>
          <w:rFonts w:ascii="Book Antiqua" w:eastAsia="宋体" w:hAnsi="Book Antiqua" w:cs="宋体"/>
          <w:kern w:val="0"/>
          <w:sz w:val="24"/>
          <w:szCs w:val="24"/>
        </w:rPr>
        <w:t>Tabuchi</w:t>
      </w:r>
      <w:proofErr w:type="spellEnd"/>
      <w:r w:rsidRPr="00322627">
        <w:rPr>
          <w:rFonts w:ascii="Book Antiqua" w:eastAsia="宋体" w:hAnsi="Book Antiqua" w:cs="宋体"/>
          <w:kern w:val="0"/>
          <w:sz w:val="24"/>
          <w:szCs w:val="24"/>
        </w:rPr>
        <w:t xml:space="preserve"> K, Suzuki N, Ishida Y, </w:t>
      </w:r>
      <w:proofErr w:type="spellStart"/>
      <w:r w:rsidRPr="00322627">
        <w:rPr>
          <w:rFonts w:ascii="Book Antiqua" w:eastAsia="宋体" w:hAnsi="Book Antiqua" w:cs="宋体"/>
          <w:kern w:val="0"/>
          <w:sz w:val="24"/>
          <w:szCs w:val="24"/>
        </w:rPr>
        <w:t>Imashuku</w:t>
      </w:r>
      <w:proofErr w:type="spellEnd"/>
      <w:r w:rsidRPr="00322627">
        <w:rPr>
          <w:rFonts w:ascii="Book Antiqua" w:eastAsia="宋体" w:hAnsi="Book Antiqua" w:cs="宋体"/>
          <w:kern w:val="0"/>
          <w:sz w:val="24"/>
          <w:szCs w:val="24"/>
        </w:rPr>
        <w:t xml:space="preserve"> S, Kato S, Hara T. Hematopoietic stem cell transplantation for familial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and Epstein-Barr virus-associated </w:t>
      </w:r>
      <w:proofErr w:type="spellStart"/>
      <w:r w:rsidRPr="00322627">
        <w:rPr>
          <w:rFonts w:ascii="Book Antiqua" w:eastAsia="宋体" w:hAnsi="Book Antiqua" w:cs="宋体"/>
          <w:kern w:val="0"/>
          <w:sz w:val="24"/>
          <w:szCs w:val="24"/>
        </w:rPr>
        <w:t>hemophagocytic</w:t>
      </w:r>
      <w:proofErr w:type="spellEnd"/>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lymphohistiocytosis</w:t>
      </w:r>
      <w:proofErr w:type="spellEnd"/>
      <w:r w:rsidRPr="00322627">
        <w:rPr>
          <w:rFonts w:ascii="Book Antiqua" w:eastAsia="宋体" w:hAnsi="Book Antiqua" w:cs="宋体"/>
          <w:kern w:val="0"/>
          <w:sz w:val="24"/>
          <w:szCs w:val="24"/>
        </w:rPr>
        <w:t xml:space="preserve"> in Japan. </w:t>
      </w:r>
      <w:proofErr w:type="spellStart"/>
      <w:r w:rsidRPr="00322627">
        <w:rPr>
          <w:rFonts w:ascii="Book Antiqua" w:eastAsia="宋体" w:hAnsi="Book Antiqua" w:cs="宋体"/>
          <w:i/>
          <w:iCs/>
          <w:kern w:val="0"/>
          <w:sz w:val="24"/>
          <w:szCs w:val="24"/>
        </w:rPr>
        <w:t>Pediatr</w:t>
      </w:r>
      <w:proofErr w:type="spellEnd"/>
      <w:r w:rsidRPr="00322627">
        <w:rPr>
          <w:rFonts w:ascii="Book Antiqua" w:eastAsia="宋体" w:hAnsi="Book Antiqua" w:cs="宋体"/>
          <w:i/>
          <w:iCs/>
          <w:kern w:val="0"/>
          <w:sz w:val="24"/>
          <w:szCs w:val="24"/>
        </w:rPr>
        <w:t xml:space="preserve"> Blood Cancer</w:t>
      </w:r>
      <w:r w:rsidRPr="00322627">
        <w:rPr>
          <w:rFonts w:ascii="Book Antiqua" w:eastAsia="宋体" w:hAnsi="Book Antiqua" w:cs="宋体"/>
          <w:kern w:val="0"/>
          <w:sz w:val="24"/>
          <w:szCs w:val="24"/>
        </w:rPr>
        <w:t xml:space="preserve"> 2010; </w:t>
      </w:r>
      <w:r w:rsidRPr="00322627">
        <w:rPr>
          <w:rFonts w:ascii="Book Antiqua" w:eastAsia="宋体" w:hAnsi="Book Antiqua" w:cs="宋体"/>
          <w:b/>
          <w:bCs/>
          <w:kern w:val="0"/>
          <w:sz w:val="24"/>
          <w:szCs w:val="24"/>
        </w:rPr>
        <w:t>54</w:t>
      </w:r>
      <w:r w:rsidRPr="00322627">
        <w:rPr>
          <w:rFonts w:ascii="Book Antiqua" w:eastAsia="宋体" w:hAnsi="Book Antiqua" w:cs="宋体"/>
          <w:kern w:val="0"/>
          <w:sz w:val="24"/>
          <w:szCs w:val="24"/>
        </w:rPr>
        <w:t>: 299-306 [PMID: 19827139 DOI: 10.1002/pbc.22310]</w:t>
      </w:r>
    </w:p>
    <w:p w:rsidR="002F197E" w:rsidRPr="00322627" w:rsidRDefault="002F197E" w:rsidP="00322627">
      <w:pPr>
        <w:widowControl/>
        <w:spacing w:line="360" w:lineRule="auto"/>
        <w:rPr>
          <w:rFonts w:ascii="Book Antiqua" w:eastAsia="宋体" w:hAnsi="Book Antiqua" w:cs="宋体"/>
          <w:kern w:val="0"/>
          <w:sz w:val="24"/>
          <w:szCs w:val="24"/>
        </w:rPr>
      </w:pPr>
      <w:r w:rsidRPr="00322627">
        <w:rPr>
          <w:rFonts w:ascii="Book Antiqua" w:eastAsia="宋体" w:hAnsi="Book Antiqua" w:cs="宋体"/>
          <w:kern w:val="0"/>
          <w:sz w:val="24"/>
          <w:szCs w:val="24"/>
        </w:rPr>
        <w:t xml:space="preserve">43 </w:t>
      </w:r>
      <w:r w:rsidRPr="00322627">
        <w:rPr>
          <w:rFonts w:ascii="Book Antiqua" w:eastAsia="宋体" w:hAnsi="Book Antiqua" w:cs="宋体"/>
          <w:b/>
          <w:bCs/>
          <w:kern w:val="0"/>
          <w:sz w:val="24"/>
          <w:szCs w:val="24"/>
        </w:rPr>
        <w:t>Sawada A</w:t>
      </w:r>
      <w:r w:rsidRPr="00322627">
        <w:rPr>
          <w:rFonts w:ascii="Book Antiqua" w:eastAsia="宋体" w:hAnsi="Book Antiqua" w:cs="宋体"/>
          <w:kern w:val="0"/>
          <w:sz w:val="24"/>
          <w:szCs w:val="24"/>
        </w:rPr>
        <w:t xml:space="preserve">, Inoue M, Koyama-Sato M, Kondo O, Yamada K, Shimizu M, </w:t>
      </w:r>
      <w:proofErr w:type="spellStart"/>
      <w:r w:rsidRPr="00322627">
        <w:rPr>
          <w:rFonts w:ascii="Book Antiqua" w:eastAsia="宋体" w:hAnsi="Book Antiqua" w:cs="宋体"/>
          <w:kern w:val="0"/>
          <w:sz w:val="24"/>
          <w:szCs w:val="24"/>
        </w:rPr>
        <w:t>Isaka</w:t>
      </w:r>
      <w:proofErr w:type="spellEnd"/>
      <w:r w:rsidRPr="00322627">
        <w:rPr>
          <w:rFonts w:ascii="Book Antiqua" w:eastAsia="宋体" w:hAnsi="Book Antiqua" w:cs="宋体"/>
          <w:kern w:val="0"/>
          <w:sz w:val="24"/>
          <w:szCs w:val="24"/>
        </w:rPr>
        <w:t xml:space="preserve"> K, Kimoto T, Kikuchi H, </w:t>
      </w:r>
      <w:proofErr w:type="spellStart"/>
      <w:r w:rsidRPr="00322627">
        <w:rPr>
          <w:rFonts w:ascii="Book Antiqua" w:eastAsia="宋体" w:hAnsi="Book Antiqua" w:cs="宋体"/>
          <w:kern w:val="0"/>
          <w:sz w:val="24"/>
          <w:szCs w:val="24"/>
        </w:rPr>
        <w:t>Tokimasa</w:t>
      </w:r>
      <w:proofErr w:type="spellEnd"/>
      <w:r w:rsidRPr="00322627">
        <w:rPr>
          <w:rFonts w:ascii="Book Antiqua" w:eastAsia="宋体" w:hAnsi="Book Antiqua" w:cs="宋体"/>
          <w:kern w:val="0"/>
          <w:sz w:val="24"/>
          <w:szCs w:val="24"/>
        </w:rPr>
        <w:t xml:space="preserve"> S, </w:t>
      </w:r>
      <w:proofErr w:type="spellStart"/>
      <w:r w:rsidRPr="00322627">
        <w:rPr>
          <w:rFonts w:ascii="Book Antiqua" w:eastAsia="宋体" w:hAnsi="Book Antiqua" w:cs="宋体"/>
          <w:kern w:val="0"/>
          <w:sz w:val="24"/>
          <w:szCs w:val="24"/>
        </w:rPr>
        <w:t>Yasui</w:t>
      </w:r>
      <w:proofErr w:type="spellEnd"/>
      <w:r w:rsidRPr="00322627">
        <w:rPr>
          <w:rFonts w:ascii="Book Antiqua" w:eastAsia="宋体" w:hAnsi="Book Antiqua" w:cs="宋体"/>
          <w:kern w:val="0"/>
          <w:sz w:val="24"/>
          <w:szCs w:val="24"/>
        </w:rPr>
        <w:t xml:space="preserve"> M, Kawa K. Umbilical cord blood as an alternative source of reduced-intensity hematopoietic stem cell </w:t>
      </w:r>
      <w:r w:rsidRPr="00322627">
        <w:rPr>
          <w:rFonts w:ascii="Book Antiqua" w:eastAsia="宋体" w:hAnsi="Book Antiqua" w:cs="宋体"/>
          <w:kern w:val="0"/>
          <w:sz w:val="24"/>
          <w:szCs w:val="24"/>
        </w:rPr>
        <w:lastRenderedPageBreak/>
        <w:t xml:space="preserve">transplantation for chronic Epstein-Barr virus-associated T or natural killer cell lymphoproliferative diseases. </w:t>
      </w:r>
      <w:proofErr w:type="spellStart"/>
      <w:r w:rsidRPr="00322627">
        <w:rPr>
          <w:rFonts w:ascii="Book Antiqua" w:eastAsia="宋体" w:hAnsi="Book Antiqua" w:cs="宋体"/>
          <w:i/>
          <w:iCs/>
          <w:kern w:val="0"/>
          <w:sz w:val="24"/>
          <w:szCs w:val="24"/>
        </w:rPr>
        <w:t>Biol</w:t>
      </w:r>
      <w:proofErr w:type="spellEnd"/>
      <w:r w:rsidRPr="00322627">
        <w:rPr>
          <w:rFonts w:ascii="Book Antiqua" w:eastAsia="宋体" w:hAnsi="Book Antiqua" w:cs="宋体"/>
          <w:i/>
          <w:iCs/>
          <w:kern w:val="0"/>
          <w:sz w:val="24"/>
          <w:szCs w:val="24"/>
        </w:rPr>
        <w:t xml:space="preserve"> Blood Marrow Transplant</w:t>
      </w:r>
      <w:r w:rsidRPr="00322627">
        <w:rPr>
          <w:rFonts w:ascii="Book Antiqua" w:eastAsia="宋体" w:hAnsi="Book Antiqua" w:cs="宋体"/>
          <w:kern w:val="0"/>
          <w:sz w:val="24"/>
          <w:szCs w:val="24"/>
        </w:rPr>
        <w:t xml:space="preserve"> 2014; </w:t>
      </w:r>
      <w:r w:rsidRPr="00322627">
        <w:rPr>
          <w:rFonts w:ascii="Book Antiqua" w:eastAsia="宋体" w:hAnsi="Book Antiqua" w:cs="宋体"/>
          <w:b/>
          <w:bCs/>
          <w:kern w:val="0"/>
          <w:sz w:val="24"/>
          <w:szCs w:val="24"/>
        </w:rPr>
        <w:t>20</w:t>
      </w:r>
      <w:r w:rsidRPr="00322627">
        <w:rPr>
          <w:rFonts w:ascii="Book Antiqua" w:eastAsia="宋体" w:hAnsi="Book Antiqua" w:cs="宋体"/>
          <w:kern w:val="0"/>
          <w:sz w:val="24"/>
          <w:szCs w:val="24"/>
        </w:rPr>
        <w:t>: 214-221 [PMID: 24188918 DOI: 10.1016/j.bbmt.2013.10.026]</w:t>
      </w:r>
    </w:p>
    <w:p w:rsidR="002F197E" w:rsidRPr="00322627" w:rsidRDefault="002F197E" w:rsidP="00322627">
      <w:pPr>
        <w:widowControl/>
        <w:spacing w:line="360" w:lineRule="auto"/>
        <w:rPr>
          <w:rFonts w:ascii="Book Antiqua" w:eastAsia="宋体" w:hAnsi="Book Antiqua" w:cs="宋体"/>
          <w:kern w:val="0"/>
          <w:sz w:val="24"/>
          <w:szCs w:val="24"/>
          <w:lang w:eastAsia="zh-CN"/>
        </w:rPr>
      </w:pPr>
      <w:r w:rsidRPr="00322627">
        <w:rPr>
          <w:rFonts w:ascii="Book Antiqua" w:eastAsia="宋体" w:hAnsi="Book Antiqua" w:cs="宋体"/>
          <w:kern w:val="0"/>
          <w:sz w:val="24"/>
          <w:szCs w:val="24"/>
        </w:rPr>
        <w:t xml:space="preserve">44 </w:t>
      </w:r>
      <w:r w:rsidRPr="00322627">
        <w:rPr>
          <w:rFonts w:ascii="Book Antiqua" w:eastAsia="宋体" w:hAnsi="Book Antiqua" w:cs="宋体"/>
          <w:b/>
          <w:bCs/>
          <w:kern w:val="0"/>
          <w:sz w:val="24"/>
          <w:szCs w:val="24"/>
        </w:rPr>
        <w:t>Watanabe Y</w:t>
      </w:r>
      <w:r w:rsidRPr="00322627">
        <w:rPr>
          <w:rFonts w:ascii="Book Antiqua" w:eastAsia="宋体" w:hAnsi="Book Antiqua" w:cs="宋体"/>
          <w:kern w:val="0"/>
          <w:sz w:val="24"/>
          <w:szCs w:val="24"/>
        </w:rPr>
        <w:t xml:space="preserve">, </w:t>
      </w:r>
      <w:proofErr w:type="spellStart"/>
      <w:r w:rsidRPr="00322627">
        <w:rPr>
          <w:rFonts w:ascii="Book Antiqua" w:eastAsia="宋体" w:hAnsi="Book Antiqua" w:cs="宋体"/>
          <w:kern w:val="0"/>
          <w:sz w:val="24"/>
          <w:szCs w:val="24"/>
        </w:rPr>
        <w:t>Sasahara</w:t>
      </w:r>
      <w:proofErr w:type="spellEnd"/>
      <w:r w:rsidRPr="00322627">
        <w:rPr>
          <w:rFonts w:ascii="Book Antiqua" w:eastAsia="宋体" w:hAnsi="Book Antiqua" w:cs="宋体"/>
          <w:kern w:val="0"/>
          <w:sz w:val="24"/>
          <w:szCs w:val="24"/>
        </w:rPr>
        <w:t xml:space="preserve"> Y, Satoh M, </w:t>
      </w:r>
      <w:proofErr w:type="spellStart"/>
      <w:r w:rsidRPr="00322627">
        <w:rPr>
          <w:rFonts w:ascii="Book Antiqua" w:eastAsia="宋体" w:hAnsi="Book Antiqua" w:cs="宋体"/>
          <w:kern w:val="0"/>
          <w:sz w:val="24"/>
          <w:szCs w:val="24"/>
        </w:rPr>
        <w:t>Looi</w:t>
      </w:r>
      <w:proofErr w:type="spellEnd"/>
      <w:r w:rsidRPr="00322627">
        <w:rPr>
          <w:rFonts w:ascii="Book Antiqua" w:eastAsia="宋体" w:hAnsi="Book Antiqua" w:cs="宋体"/>
          <w:kern w:val="0"/>
          <w:sz w:val="24"/>
          <w:szCs w:val="24"/>
        </w:rPr>
        <w:t xml:space="preserve"> CY, Katayama S, Suzuki T, Suzuki N, </w:t>
      </w:r>
      <w:proofErr w:type="spellStart"/>
      <w:r w:rsidRPr="00322627">
        <w:rPr>
          <w:rFonts w:ascii="Book Antiqua" w:eastAsia="宋体" w:hAnsi="Book Antiqua" w:cs="宋体"/>
          <w:kern w:val="0"/>
          <w:sz w:val="24"/>
          <w:szCs w:val="24"/>
        </w:rPr>
        <w:t>Ouchi</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Horino</w:t>
      </w:r>
      <w:proofErr w:type="spellEnd"/>
      <w:r w:rsidRPr="00322627">
        <w:rPr>
          <w:rFonts w:ascii="Book Antiqua" w:eastAsia="宋体" w:hAnsi="Book Antiqua" w:cs="宋体"/>
          <w:kern w:val="0"/>
          <w:sz w:val="24"/>
          <w:szCs w:val="24"/>
        </w:rPr>
        <w:t xml:space="preserve"> S, Moriya K, Nanjyo Y, </w:t>
      </w:r>
      <w:proofErr w:type="spellStart"/>
      <w:r w:rsidRPr="00322627">
        <w:rPr>
          <w:rFonts w:ascii="Book Antiqua" w:eastAsia="宋体" w:hAnsi="Book Antiqua" w:cs="宋体"/>
          <w:kern w:val="0"/>
          <w:sz w:val="24"/>
          <w:szCs w:val="24"/>
        </w:rPr>
        <w:t>Onuma</w:t>
      </w:r>
      <w:proofErr w:type="spellEnd"/>
      <w:r w:rsidRPr="00322627">
        <w:rPr>
          <w:rFonts w:ascii="Book Antiqua" w:eastAsia="宋体" w:hAnsi="Book Antiqua" w:cs="宋体"/>
          <w:kern w:val="0"/>
          <w:sz w:val="24"/>
          <w:szCs w:val="24"/>
        </w:rPr>
        <w:t xml:space="preserve"> M, Kitazawa H, </w:t>
      </w:r>
      <w:proofErr w:type="spellStart"/>
      <w:r w:rsidRPr="00322627">
        <w:rPr>
          <w:rFonts w:ascii="Book Antiqua" w:eastAsia="宋体" w:hAnsi="Book Antiqua" w:cs="宋体"/>
          <w:kern w:val="0"/>
          <w:sz w:val="24"/>
          <w:szCs w:val="24"/>
        </w:rPr>
        <w:t>Irie</w:t>
      </w:r>
      <w:proofErr w:type="spellEnd"/>
      <w:r w:rsidRPr="00322627">
        <w:rPr>
          <w:rFonts w:ascii="Book Antiqua" w:eastAsia="宋体" w:hAnsi="Book Antiqua" w:cs="宋体"/>
          <w:kern w:val="0"/>
          <w:sz w:val="24"/>
          <w:szCs w:val="24"/>
        </w:rPr>
        <w:t xml:space="preserve"> M, </w:t>
      </w:r>
      <w:proofErr w:type="spellStart"/>
      <w:r w:rsidRPr="00322627">
        <w:rPr>
          <w:rFonts w:ascii="Book Antiqua" w:eastAsia="宋体" w:hAnsi="Book Antiqua" w:cs="宋体"/>
          <w:kern w:val="0"/>
          <w:sz w:val="24"/>
          <w:szCs w:val="24"/>
        </w:rPr>
        <w:t>Niizuma</w:t>
      </w:r>
      <w:proofErr w:type="spellEnd"/>
      <w:r w:rsidRPr="00322627">
        <w:rPr>
          <w:rFonts w:ascii="Book Antiqua" w:eastAsia="宋体" w:hAnsi="Book Antiqua" w:cs="宋体"/>
          <w:kern w:val="0"/>
          <w:sz w:val="24"/>
          <w:szCs w:val="24"/>
        </w:rPr>
        <w:t xml:space="preserve"> H, Uchiyama T, </w:t>
      </w:r>
      <w:proofErr w:type="spellStart"/>
      <w:r w:rsidRPr="00322627">
        <w:rPr>
          <w:rFonts w:ascii="Book Antiqua" w:eastAsia="宋体" w:hAnsi="Book Antiqua" w:cs="宋体"/>
          <w:kern w:val="0"/>
          <w:sz w:val="24"/>
          <w:szCs w:val="24"/>
        </w:rPr>
        <w:t>Rikiishi</w:t>
      </w:r>
      <w:proofErr w:type="spellEnd"/>
      <w:r w:rsidRPr="00322627">
        <w:rPr>
          <w:rFonts w:ascii="Book Antiqua" w:eastAsia="宋体" w:hAnsi="Book Antiqua" w:cs="宋体"/>
          <w:kern w:val="0"/>
          <w:sz w:val="24"/>
          <w:szCs w:val="24"/>
        </w:rPr>
        <w:t xml:space="preserve"> T, </w:t>
      </w:r>
      <w:proofErr w:type="spellStart"/>
      <w:r w:rsidRPr="00322627">
        <w:rPr>
          <w:rFonts w:ascii="Book Antiqua" w:eastAsia="宋体" w:hAnsi="Book Antiqua" w:cs="宋体"/>
          <w:kern w:val="0"/>
          <w:sz w:val="24"/>
          <w:szCs w:val="24"/>
        </w:rPr>
        <w:t>Kumaki</w:t>
      </w:r>
      <w:proofErr w:type="spellEnd"/>
      <w:r w:rsidRPr="00322627">
        <w:rPr>
          <w:rFonts w:ascii="Book Antiqua" w:eastAsia="宋体" w:hAnsi="Book Antiqua" w:cs="宋体"/>
          <w:kern w:val="0"/>
          <w:sz w:val="24"/>
          <w:szCs w:val="24"/>
        </w:rPr>
        <w:t xml:space="preserve"> S, Minegishi M, Wada T, </w:t>
      </w:r>
      <w:proofErr w:type="spellStart"/>
      <w:r w:rsidRPr="00322627">
        <w:rPr>
          <w:rFonts w:ascii="Book Antiqua" w:eastAsia="宋体" w:hAnsi="Book Antiqua" w:cs="宋体"/>
          <w:kern w:val="0"/>
          <w:sz w:val="24"/>
          <w:szCs w:val="24"/>
        </w:rPr>
        <w:t>Yachie</w:t>
      </w:r>
      <w:proofErr w:type="spellEnd"/>
      <w:r w:rsidRPr="00322627">
        <w:rPr>
          <w:rFonts w:ascii="Book Antiqua" w:eastAsia="宋体" w:hAnsi="Book Antiqua" w:cs="宋体"/>
          <w:kern w:val="0"/>
          <w:sz w:val="24"/>
          <w:szCs w:val="24"/>
        </w:rPr>
        <w:t xml:space="preserve"> A, Tsuchiya S, Kure S. A case series of CAEBV of children and young adults treated with reduced-intensity conditioning and allogeneic bone marrow transplantation: a single-center study. </w:t>
      </w:r>
      <w:proofErr w:type="spellStart"/>
      <w:r w:rsidRPr="00322627">
        <w:rPr>
          <w:rFonts w:ascii="Book Antiqua" w:eastAsia="宋体" w:hAnsi="Book Antiqua" w:cs="宋体"/>
          <w:i/>
          <w:iCs/>
          <w:kern w:val="0"/>
          <w:sz w:val="24"/>
          <w:szCs w:val="24"/>
        </w:rPr>
        <w:t>Eur</w:t>
      </w:r>
      <w:proofErr w:type="spellEnd"/>
      <w:r w:rsidRPr="00322627">
        <w:rPr>
          <w:rFonts w:ascii="Book Antiqua" w:eastAsia="宋体" w:hAnsi="Book Antiqua" w:cs="宋体"/>
          <w:i/>
          <w:iCs/>
          <w:kern w:val="0"/>
          <w:sz w:val="24"/>
          <w:szCs w:val="24"/>
        </w:rPr>
        <w:t xml:space="preserve"> J </w:t>
      </w:r>
      <w:proofErr w:type="spellStart"/>
      <w:r w:rsidRPr="00322627">
        <w:rPr>
          <w:rFonts w:ascii="Book Antiqua" w:eastAsia="宋体" w:hAnsi="Book Antiqua" w:cs="宋体"/>
          <w:i/>
          <w:iCs/>
          <w:kern w:val="0"/>
          <w:sz w:val="24"/>
          <w:szCs w:val="24"/>
        </w:rPr>
        <w:t>Haematol</w:t>
      </w:r>
      <w:proofErr w:type="spellEnd"/>
      <w:r w:rsidRPr="00322627">
        <w:rPr>
          <w:rFonts w:ascii="Book Antiqua" w:eastAsia="宋体" w:hAnsi="Book Antiqua" w:cs="宋体"/>
          <w:kern w:val="0"/>
          <w:sz w:val="24"/>
          <w:szCs w:val="24"/>
        </w:rPr>
        <w:t xml:space="preserve"> 2013; </w:t>
      </w:r>
      <w:r w:rsidRPr="00322627">
        <w:rPr>
          <w:rFonts w:ascii="Book Antiqua" w:eastAsia="宋体" w:hAnsi="Book Antiqua" w:cs="宋体"/>
          <w:b/>
          <w:bCs/>
          <w:kern w:val="0"/>
          <w:sz w:val="24"/>
          <w:szCs w:val="24"/>
        </w:rPr>
        <w:t>91</w:t>
      </w:r>
      <w:r w:rsidRPr="00322627">
        <w:rPr>
          <w:rFonts w:ascii="Book Antiqua" w:eastAsia="宋体" w:hAnsi="Book Antiqua" w:cs="宋体"/>
          <w:kern w:val="0"/>
          <w:sz w:val="24"/>
          <w:szCs w:val="24"/>
        </w:rPr>
        <w:t>: 242-248 [PMID: 23734904 DOI: 10.1111/ejh.12151]</w:t>
      </w:r>
    </w:p>
    <w:p w:rsidR="00F91558" w:rsidRPr="00322627" w:rsidRDefault="00F91558" w:rsidP="00322627">
      <w:pPr>
        <w:adjustRightInd w:val="0"/>
        <w:snapToGrid w:val="0"/>
        <w:spacing w:line="360" w:lineRule="auto"/>
        <w:ind w:right="239"/>
        <w:jc w:val="right"/>
        <w:rPr>
          <w:rFonts w:ascii="Book Antiqua" w:hAnsi="Book Antiqua"/>
          <w:b/>
          <w:bCs/>
          <w:sz w:val="24"/>
          <w:szCs w:val="24"/>
          <w:lang w:val="en-GB"/>
        </w:rPr>
      </w:pPr>
      <w:r w:rsidRPr="00322627">
        <w:rPr>
          <w:rStyle w:val="Strong"/>
          <w:rFonts w:ascii="Book Antiqua" w:hAnsi="Book Antiqua" w:cs="Arial"/>
          <w:noProof/>
          <w:sz w:val="24"/>
          <w:szCs w:val="24"/>
          <w:lang w:val="en-GB"/>
        </w:rPr>
        <w:t>P-Reviewer:</w:t>
      </w:r>
      <w:r w:rsidRPr="00322627">
        <w:rPr>
          <w:rFonts w:ascii="Book Antiqua" w:hAnsi="Book Antiqua"/>
          <w:color w:val="000000"/>
          <w:sz w:val="24"/>
          <w:szCs w:val="24"/>
          <w:lang w:val="en-GB"/>
        </w:rPr>
        <w:t xml:space="preserve"> Andres </w:t>
      </w:r>
      <w:proofErr w:type="gramStart"/>
      <w:r w:rsidRPr="00322627">
        <w:rPr>
          <w:rFonts w:ascii="Book Antiqua" w:hAnsi="Book Antiqua"/>
          <w:color w:val="000000"/>
          <w:sz w:val="24"/>
          <w:szCs w:val="24"/>
          <w:lang w:val="en-GB"/>
        </w:rPr>
        <w:t xml:space="preserve">E </w:t>
      </w:r>
      <w:r w:rsidRPr="00322627">
        <w:rPr>
          <w:rFonts w:ascii="Book Antiqua" w:hAnsi="Book Antiqua"/>
          <w:bCs/>
          <w:sz w:val="24"/>
          <w:szCs w:val="24"/>
          <w:lang w:val="en-GB"/>
        </w:rPr>
        <w:t xml:space="preserve"> </w:t>
      </w:r>
      <w:r w:rsidRPr="00322627">
        <w:rPr>
          <w:rFonts w:ascii="Book Antiqua" w:hAnsi="Book Antiqua"/>
          <w:b/>
          <w:bCs/>
          <w:sz w:val="24"/>
          <w:szCs w:val="24"/>
          <w:lang w:val="en-GB"/>
        </w:rPr>
        <w:t>S</w:t>
      </w:r>
      <w:proofErr w:type="gramEnd"/>
      <w:r w:rsidRPr="00322627">
        <w:rPr>
          <w:rFonts w:ascii="Book Antiqua" w:hAnsi="Book Antiqua"/>
          <w:b/>
          <w:bCs/>
          <w:sz w:val="24"/>
          <w:szCs w:val="24"/>
          <w:lang w:val="en-GB"/>
        </w:rPr>
        <w:t>-Editor:</w:t>
      </w:r>
      <w:r w:rsidRPr="00322627">
        <w:rPr>
          <w:rFonts w:ascii="Book Antiqua" w:hAnsi="Book Antiqua"/>
          <w:bCs/>
          <w:sz w:val="24"/>
          <w:szCs w:val="24"/>
          <w:lang w:val="en-GB"/>
        </w:rPr>
        <w:t xml:space="preserve"> Tian YL</w:t>
      </w:r>
    </w:p>
    <w:p w:rsidR="00F91558" w:rsidRPr="00322627" w:rsidRDefault="00F91558" w:rsidP="00322627">
      <w:pPr>
        <w:adjustRightInd w:val="0"/>
        <w:snapToGrid w:val="0"/>
        <w:spacing w:line="360" w:lineRule="auto"/>
        <w:ind w:right="239"/>
        <w:jc w:val="right"/>
        <w:rPr>
          <w:rFonts w:ascii="Book Antiqua" w:eastAsia="宋体" w:hAnsi="Book Antiqua"/>
          <w:bCs/>
          <w:sz w:val="24"/>
          <w:szCs w:val="24"/>
          <w:lang w:eastAsia="zh-CN"/>
        </w:rPr>
      </w:pPr>
      <w:r w:rsidRPr="00322627">
        <w:rPr>
          <w:rFonts w:ascii="Book Antiqua" w:hAnsi="Book Antiqua"/>
          <w:b/>
          <w:bCs/>
          <w:sz w:val="24"/>
          <w:szCs w:val="24"/>
        </w:rPr>
        <w:t>L-Editor:   E-Editor:</w:t>
      </w:r>
    </w:p>
    <w:p w:rsidR="006B3604" w:rsidRPr="00322627" w:rsidRDefault="006B3604" w:rsidP="00322627">
      <w:pPr>
        <w:widowControl/>
        <w:spacing w:line="360" w:lineRule="auto"/>
        <w:rPr>
          <w:rFonts w:ascii="Book Antiqua" w:hAnsi="Book Antiqua" w:cs="Times New Roman"/>
          <w:b/>
          <w:kern w:val="0"/>
          <w:sz w:val="24"/>
          <w:szCs w:val="24"/>
        </w:rPr>
      </w:pPr>
      <w:r w:rsidRPr="00322627">
        <w:rPr>
          <w:rFonts w:ascii="Book Antiqua" w:hAnsi="Book Antiqua" w:cs="Times New Roman"/>
          <w:b/>
          <w:sz w:val="24"/>
          <w:szCs w:val="24"/>
        </w:rPr>
        <w:br w:type="page"/>
      </w:r>
    </w:p>
    <w:p w:rsidR="00C7016C" w:rsidRPr="00322627" w:rsidRDefault="00C7016C" w:rsidP="00322627">
      <w:pPr>
        <w:pStyle w:val="Default"/>
        <w:spacing w:line="360" w:lineRule="auto"/>
        <w:jc w:val="both"/>
        <w:rPr>
          <w:rFonts w:ascii="Book Antiqua" w:eastAsia="宋体" w:hAnsi="Book Antiqua"/>
          <w:b/>
          <w:color w:val="auto"/>
          <w:lang w:eastAsia="zh-CN"/>
        </w:rPr>
      </w:pPr>
      <w:r w:rsidRPr="00322627">
        <w:rPr>
          <w:rFonts w:ascii="Book Antiqua" w:hAnsi="Book Antiqua"/>
          <w:noProof/>
          <w:lang w:eastAsia="en-US"/>
        </w:rPr>
        <w:lastRenderedPageBreak/>
        <w:drawing>
          <wp:inline distT="0" distB="0" distL="0" distR="0" wp14:anchorId="5CF10060" wp14:editId="24A8597D">
            <wp:extent cx="5400040" cy="23700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370018"/>
                    </a:xfrm>
                    <a:prstGeom prst="rect">
                      <a:avLst/>
                    </a:prstGeom>
                  </pic:spPr>
                </pic:pic>
              </a:graphicData>
            </a:graphic>
          </wp:inline>
        </w:drawing>
      </w:r>
    </w:p>
    <w:p w:rsidR="006B3604" w:rsidRPr="00322627" w:rsidRDefault="00C7016C" w:rsidP="00322627">
      <w:pPr>
        <w:pStyle w:val="Default"/>
        <w:spacing w:line="360" w:lineRule="auto"/>
        <w:jc w:val="both"/>
        <w:rPr>
          <w:rFonts w:ascii="Book Antiqua" w:eastAsia="宋体" w:hAnsi="Book Antiqua"/>
          <w:b/>
          <w:color w:val="auto"/>
          <w:lang w:eastAsia="zh-CN"/>
        </w:rPr>
      </w:pPr>
      <w:r w:rsidRPr="00322627">
        <w:rPr>
          <w:rFonts w:ascii="Book Antiqua" w:hAnsi="Book Antiqua"/>
          <w:b/>
          <w:color w:val="auto"/>
        </w:rPr>
        <w:t>Figure 1</w:t>
      </w:r>
      <w:r w:rsidRPr="00322627">
        <w:rPr>
          <w:rFonts w:ascii="Book Antiqua" w:eastAsia="宋体" w:hAnsi="Book Antiqua"/>
          <w:b/>
          <w:color w:val="auto"/>
          <w:lang w:eastAsia="zh-CN"/>
        </w:rPr>
        <w:t xml:space="preserve"> </w:t>
      </w:r>
      <w:r w:rsidR="006B3604" w:rsidRPr="00322627">
        <w:rPr>
          <w:rFonts w:ascii="Book Antiqua" w:hAnsi="Book Antiqua"/>
          <w:b/>
          <w:bCs/>
          <w:color w:val="auto"/>
        </w:rPr>
        <w:t>Underlying or other diseases overlapping with EBV-HLH</w:t>
      </w:r>
      <w:r w:rsidRPr="00322627">
        <w:rPr>
          <w:rFonts w:ascii="Book Antiqua" w:eastAsia="宋体" w:hAnsi="Book Antiqua"/>
          <w:bCs/>
          <w:color w:val="auto"/>
          <w:lang w:eastAsia="zh-CN"/>
        </w:rPr>
        <w:t xml:space="preserve">. </w:t>
      </w:r>
      <w:r w:rsidR="006B3604" w:rsidRPr="00322627">
        <w:rPr>
          <w:rFonts w:ascii="Book Antiqua" w:hAnsi="Book Antiqua"/>
          <w:bCs/>
          <w:color w:val="auto"/>
        </w:rPr>
        <w:t>Although the majority of cases of EBV-HLH due to secondary HLH develop without any apparent immunodeficiency, some cases may develop in association with CAEBV (see also Figure 2), XLP (type 1 or type 2), FHL (types 2</w:t>
      </w:r>
      <w:r w:rsidRPr="00322627">
        <w:rPr>
          <w:rFonts w:ascii="Book Antiqua" w:eastAsia="宋体" w:hAnsi="Book Antiqua"/>
          <w:bCs/>
          <w:color w:val="auto"/>
          <w:lang w:eastAsia="zh-CN"/>
        </w:rPr>
        <w:t>-</w:t>
      </w:r>
      <w:r w:rsidR="006B3604" w:rsidRPr="00322627">
        <w:rPr>
          <w:rFonts w:ascii="Book Antiqua" w:hAnsi="Book Antiqua"/>
          <w:bCs/>
          <w:color w:val="auto"/>
        </w:rPr>
        <w:t>5), or EBV-positive peripheral T cell lymphoma, or NK cell leukemia or lymphoma. EBV-HLH</w:t>
      </w:r>
      <w:r w:rsidRPr="00322627">
        <w:rPr>
          <w:rFonts w:ascii="Book Antiqua" w:eastAsia="宋体" w:hAnsi="Book Antiqua"/>
          <w:bCs/>
          <w:color w:val="auto"/>
          <w:lang w:eastAsia="zh-CN"/>
        </w:rPr>
        <w:t>:</w:t>
      </w:r>
      <w:r w:rsidR="006B3604" w:rsidRPr="00322627">
        <w:rPr>
          <w:rFonts w:ascii="Book Antiqua" w:hAnsi="Book Antiqua"/>
          <w:bCs/>
          <w:color w:val="auto"/>
        </w:rPr>
        <w:t xml:space="preserve"> </w:t>
      </w:r>
      <w:r w:rsidR="006B3604" w:rsidRPr="00322627">
        <w:rPr>
          <w:rFonts w:ascii="Book Antiqua" w:hAnsi="Book Antiqua"/>
          <w:color w:val="auto"/>
        </w:rPr>
        <w:t xml:space="preserve">Epstein-Barr virus-related </w:t>
      </w:r>
      <w:proofErr w:type="spellStart"/>
      <w:r w:rsidR="006B3604" w:rsidRPr="00322627">
        <w:rPr>
          <w:rFonts w:ascii="Book Antiqua" w:hAnsi="Book Antiqua"/>
          <w:color w:val="auto"/>
        </w:rPr>
        <w:t>hemophagocytic</w:t>
      </w:r>
      <w:proofErr w:type="spellEnd"/>
      <w:r w:rsidR="006B3604" w:rsidRPr="00322627">
        <w:rPr>
          <w:rFonts w:ascii="Book Antiqua" w:hAnsi="Book Antiqua"/>
          <w:color w:val="auto"/>
        </w:rPr>
        <w:t xml:space="preserve"> </w:t>
      </w:r>
      <w:proofErr w:type="spellStart"/>
      <w:r w:rsidR="006B3604" w:rsidRPr="00322627">
        <w:rPr>
          <w:rFonts w:ascii="Book Antiqua" w:hAnsi="Book Antiqua"/>
          <w:color w:val="auto"/>
        </w:rPr>
        <w:t>lymphohistiocytosis</w:t>
      </w:r>
      <w:proofErr w:type="spellEnd"/>
      <w:r w:rsidR="006B3604" w:rsidRPr="00322627">
        <w:rPr>
          <w:rFonts w:ascii="Book Antiqua" w:hAnsi="Book Antiqua"/>
          <w:color w:val="auto"/>
        </w:rPr>
        <w:t>; CAEBV</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 xml:space="preserve">Chronic </w:t>
      </w:r>
      <w:r w:rsidR="006B3604" w:rsidRPr="00322627">
        <w:rPr>
          <w:rFonts w:ascii="Book Antiqua" w:hAnsi="Book Antiqua"/>
          <w:color w:val="auto"/>
        </w:rPr>
        <w:t>active EBV infection; XLP</w:t>
      </w:r>
      <w:r w:rsidRPr="00322627">
        <w:rPr>
          <w:rFonts w:ascii="Book Antiqua" w:eastAsia="宋体" w:hAnsi="Book Antiqua"/>
          <w:color w:val="auto"/>
          <w:lang w:eastAsia="zh-CN"/>
        </w:rPr>
        <w:t>:</w:t>
      </w:r>
      <w:r w:rsidR="006B3604" w:rsidRPr="00322627">
        <w:rPr>
          <w:rFonts w:ascii="Book Antiqua" w:hAnsi="Book Antiqua"/>
          <w:color w:val="auto"/>
        </w:rPr>
        <w:t xml:space="preserve"> X-linked lymphoproliferative disease; FHL</w:t>
      </w:r>
      <w:r w:rsidRPr="00322627">
        <w:rPr>
          <w:rFonts w:ascii="Book Antiqua" w:eastAsia="宋体" w:hAnsi="Book Antiqua"/>
          <w:color w:val="auto"/>
          <w:lang w:eastAsia="zh-CN"/>
        </w:rPr>
        <w:t xml:space="preserve">: </w:t>
      </w:r>
      <w:r w:rsidRPr="00322627">
        <w:rPr>
          <w:rFonts w:ascii="Book Antiqua" w:hAnsi="Book Antiqua"/>
          <w:color w:val="auto"/>
        </w:rPr>
        <w:t xml:space="preserve">Familial </w:t>
      </w:r>
      <w:r w:rsidR="006B3604" w:rsidRPr="00322627">
        <w:rPr>
          <w:rFonts w:ascii="Book Antiqua" w:hAnsi="Book Antiqua"/>
          <w:color w:val="auto"/>
        </w:rPr>
        <w:t>HLH; NK</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 xml:space="preserve">Natural </w:t>
      </w:r>
      <w:r w:rsidR="006B3604" w:rsidRPr="00322627">
        <w:rPr>
          <w:rFonts w:ascii="Book Antiqua" w:hAnsi="Book Antiqua"/>
          <w:color w:val="auto"/>
        </w:rPr>
        <w:t>killer.</w:t>
      </w:r>
    </w:p>
    <w:p w:rsidR="00C7016C" w:rsidRPr="00322627" w:rsidRDefault="00C7016C" w:rsidP="00322627">
      <w:pPr>
        <w:widowControl/>
        <w:spacing w:line="360" w:lineRule="auto"/>
        <w:jc w:val="left"/>
        <w:rPr>
          <w:rFonts w:ascii="Book Antiqua" w:hAnsi="Book Antiqua" w:cs="Times New Roman"/>
          <w:b/>
          <w:kern w:val="0"/>
          <w:sz w:val="24"/>
          <w:szCs w:val="24"/>
        </w:rPr>
      </w:pPr>
      <w:r w:rsidRPr="00322627">
        <w:rPr>
          <w:rFonts w:ascii="Book Antiqua" w:hAnsi="Book Antiqua"/>
          <w:b/>
          <w:sz w:val="24"/>
          <w:szCs w:val="24"/>
        </w:rPr>
        <w:br w:type="page"/>
      </w:r>
    </w:p>
    <w:p w:rsidR="006B3604" w:rsidRPr="00322627" w:rsidRDefault="00C7016C" w:rsidP="00322627">
      <w:pPr>
        <w:pStyle w:val="Default"/>
        <w:spacing w:line="360" w:lineRule="auto"/>
        <w:jc w:val="both"/>
        <w:rPr>
          <w:rFonts w:ascii="Book Antiqua" w:hAnsi="Book Antiqua"/>
          <w:b/>
          <w:color w:val="auto"/>
        </w:rPr>
      </w:pPr>
      <w:r w:rsidRPr="00322627">
        <w:rPr>
          <w:rFonts w:ascii="Book Antiqua" w:hAnsi="Book Antiqua"/>
          <w:noProof/>
          <w:lang w:eastAsia="en-US"/>
        </w:rPr>
        <w:lastRenderedPageBreak/>
        <w:drawing>
          <wp:inline distT="0" distB="0" distL="0" distR="0" wp14:anchorId="697DD87D" wp14:editId="1BE72993">
            <wp:extent cx="5400040" cy="344127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441275"/>
                    </a:xfrm>
                    <a:prstGeom prst="rect">
                      <a:avLst/>
                    </a:prstGeom>
                  </pic:spPr>
                </pic:pic>
              </a:graphicData>
            </a:graphic>
          </wp:inline>
        </w:drawing>
      </w:r>
    </w:p>
    <w:p w:rsidR="006B3604" w:rsidRPr="00322627" w:rsidRDefault="00C7016C" w:rsidP="00322627">
      <w:pPr>
        <w:pStyle w:val="Default"/>
        <w:spacing w:line="360" w:lineRule="auto"/>
        <w:jc w:val="both"/>
        <w:rPr>
          <w:rFonts w:ascii="Book Antiqua" w:eastAsia="宋体" w:hAnsi="Book Antiqua"/>
          <w:b/>
          <w:color w:val="auto"/>
          <w:lang w:eastAsia="zh-CN"/>
        </w:rPr>
      </w:pPr>
      <w:r w:rsidRPr="00322627">
        <w:rPr>
          <w:rFonts w:ascii="Book Antiqua" w:hAnsi="Book Antiqua"/>
          <w:b/>
          <w:color w:val="auto"/>
        </w:rPr>
        <w:t>Figure 2</w:t>
      </w:r>
      <w:r w:rsidRPr="00322627">
        <w:rPr>
          <w:rFonts w:ascii="Book Antiqua" w:eastAsia="宋体" w:hAnsi="Book Antiqua"/>
          <w:b/>
          <w:lang w:eastAsia="zh-CN"/>
        </w:rPr>
        <w:t xml:space="preserve"> </w:t>
      </w:r>
      <w:r w:rsidRPr="00322627">
        <w:rPr>
          <w:rFonts w:ascii="Book Antiqua" w:hAnsi="Book Antiqua"/>
          <w:b/>
        </w:rPr>
        <w:t>Correlation</w:t>
      </w:r>
      <w:r w:rsidRPr="00322627">
        <w:rPr>
          <w:rFonts w:ascii="Book Antiqua" w:eastAsia="宋体" w:hAnsi="Book Antiqua"/>
          <w:b/>
          <w:lang w:eastAsia="zh-CN"/>
        </w:rPr>
        <w:t>s</w:t>
      </w:r>
      <w:r w:rsidRPr="00322627">
        <w:rPr>
          <w:rFonts w:ascii="Book Antiqua" w:hAnsi="Book Antiqua"/>
          <w:b/>
        </w:rPr>
        <w:t xml:space="preserve"> </w:t>
      </w:r>
      <w:r w:rsidR="006B3604" w:rsidRPr="00322627">
        <w:rPr>
          <w:rFonts w:ascii="Book Antiqua" w:hAnsi="Book Antiqua"/>
          <w:b/>
        </w:rPr>
        <w:t>betwe</w:t>
      </w:r>
      <w:r w:rsidRPr="00322627">
        <w:rPr>
          <w:rFonts w:ascii="Book Antiqua" w:hAnsi="Book Antiqua"/>
          <w:b/>
        </w:rPr>
        <w:t>en HLH and CAEBV status</w:t>
      </w:r>
      <w:r w:rsidRPr="00322627">
        <w:rPr>
          <w:rFonts w:ascii="Book Antiqua" w:eastAsia="宋体" w:hAnsi="Book Antiqua"/>
          <w:b/>
          <w:lang w:eastAsia="zh-CN"/>
        </w:rPr>
        <w:t xml:space="preserve">. </w:t>
      </w:r>
      <w:r w:rsidR="006B3604" w:rsidRPr="00322627">
        <w:rPr>
          <w:rFonts w:ascii="Book Antiqua" w:hAnsi="Book Antiqua"/>
        </w:rPr>
        <w:t>CAEBV status may occur without apparent onset of symptoms or may develop following initial acute onset EBV-HLH. During the course of CAEBV, HLH episodes may develop, and if it is not adequately treated by transplantation, most patients eventually succumb to terminal HLH or to lymphoid malignancies. CD8+ T cells play a major role in initial acute onset HLH, whereas CD4+ T cells or NK cells play a role in the status of CAEBV and in CAEBV-related HLH. CAEBV</w:t>
      </w:r>
      <w:r w:rsidRPr="00322627">
        <w:rPr>
          <w:rFonts w:ascii="Book Antiqua" w:eastAsia="宋体" w:hAnsi="Book Antiqua"/>
          <w:lang w:eastAsia="zh-CN"/>
        </w:rPr>
        <w:t>:</w:t>
      </w:r>
      <w:r w:rsidR="006B3604" w:rsidRPr="00322627">
        <w:rPr>
          <w:rFonts w:ascii="Book Antiqua" w:hAnsi="Book Antiqua"/>
        </w:rPr>
        <w:t xml:space="preserve"> </w:t>
      </w:r>
      <w:r w:rsidRPr="00322627">
        <w:rPr>
          <w:rFonts w:ascii="Book Antiqua" w:hAnsi="Book Antiqua"/>
        </w:rPr>
        <w:t xml:space="preserve">Chronic </w:t>
      </w:r>
      <w:r w:rsidR="006B3604" w:rsidRPr="00322627">
        <w:rPr>
          <w:rFonts w:ascii="Book Antiqua" w:hAnsi="Book Antiqua"/>
        </w:rPr>
        <w:t xml:space="preserve">active EBV infection; </w:t>
      </w:r>
      <w:r w:rsidR="006B3604" w:rsidRPr="00322627">
        <w:rPr>
          <w:rFonts w:ascii="Book Antiqua" w:hAnsi="Book Antiqua"/>
          <w:bCs/>
        </w:rPr>
        <w:t>EBV-HLH</w:t>
      </w:r>
      <w:r w:rsidRPr="00322627">
        <w:rPr>
          <w:rFonts w:ascii="Book Antiqua" w:eastAsia="宋体" w:hAnsi="Book Antiqua"/>
          <w:bCs/>
          <w:lang w:eastAsia="zh-CN"/>
        </w:rPr>
        <w:t>:</w:t>
      </w:r>
      <w:r w:rsidR="006B3604" w:rsidRPr="00322627">
        <w:rPr>
          <w:rFonts w:ascii="Book Antiqua" w:hAnsi="Book Antiqua"/>
          <w:bCs/>
        </w:rPr>
        <w:t xml:space="preserve"> </w:t>
      </w:r>
      <w:r w:rsidR="006B3604" w:rsidRPr="00322627">
        <w:rPr>
          <w:rFonts w:ascii="Book Antiqua" w:hAnsi="Book Antiqua"/>
        </w:rPr>
        <w:t xml:space="preserve">Epstein-Barr virus-related </w:t>
      </w:r>
      <w:proofErr w:type="spellStart"/>
      <w:r w:rsidR="006B3604" w:rsidRPr="00322627">
        <w:rPr>
          <w:rFonts w:ascii="Book Antiqua" w:hAnsi="Book Antiqua"/>
        </w:rPr>
        <w:t>hemophagocytic</w:t>
      </w:r>
      <w:proofErr w:type="spellEnd"/>
      <w:r w:rsidR="006B3604" w:rsidRPr="00322627">
        <w:rPr>
          <w:rFonts w:ascii="Book Antiqua" w:hAnsi="Book Antiqua"/>
        </w:rPr>
        <w:t xml:space="preserve"> </w:t>
      </w:r>
      <w:proofErr w:type="spellStart"/>
      <w:r w:rsidR="006B3604" w:rsidRPr="00322627">
        <w:rPr>
          <w:rFonts w:ascii="Book Antiqua" w:hAnsi="Book Antiqua"/>
        </w:rPr>
        <w:t>lymphohistiocytosis</w:t>
      </w:r>
      <w:proofErr w:type="spellEnd"/>
      <w:r w:rsidR="006B3604" w:rsidRPr="00322627">
        <w:rPr>
          <w:rFonts w:ascii="Book Antiqua" w:hAnsi="Book Antiqua"/>
        </w:rPr>
        <w:t>; NK</w:t>
      </w:r>
      <w:r w:rsidRPr="00322627">
        <w:rPr>
          <w:rFonts w:ascii="Book Antiqua" w:eastAsia="宋体" w:hAnsi="Book Antiqua"/>
          <w:lang w:eastAsia="zh-CN"/>
        </w:rPr>
        <w:t>:</w:t>
      </w:r>
      <w:r w:rsidR="006B3604" w:rsidRPr="00322627">
        <w:rPr>
          <w:rFonts w:ascii="Book Antiqua" w:hAnsi="Book Antiqua"/>
        </w:rPr>
        <w:t xml:space="preserve"> </w:t>
      </w:r>
      <w:r w:rsidRPr="00322627">
        <w:rPr>
          <w:rFonts w:ascii="Book Antiqua" w:hAnsi="Book Antiqua"/>
        </w:rPr>
        <w:t xml:space="preserve">Natural </w:t>
      </w:r>
      <w:r w:rsidR="006B3604" w:rsidRPr="00322627">
        <w:rPr>
          <w:rFonts w:ascii="Book Antiqua" w:hAnsi="Book Antiqua"/>
        </w:rPr>
        <w:t>killer.</w:t>
      </w:r>
    </w:p>
    <w:p w:rsidR="00C7016C" w:rsidRPr="00322627" w:rsidRDefault="00C7016C" w:rsidP="00322627">
      <w:pPr>
        <w:widowControl/>
        <w:spacing w:line="360" w:lineRule="auto"/>
        <w:jc w:val="left"/>
        <w:rPr>
          <w:rFonts w:ascii="Book Antiqua" w:hAnsi="Book Antiqua" w:cs="Times New Roman"/>
          <w:b/>
          <w:kern w:val="0"/>
          <w:sz w:val="24"/>
          <w:szCs w:val="24"/>
        </w:rPr>
      </w:pPr>
      <w:r w:rsidRPr="00322627">
        <w:rPr>
          <w:rFonts w:ascii="Book Antiqua" w:hAnsi="Book Antiqua"/>
          <w:b/>
          <w:sz w:val="24"/>
          <w:szCs w:val="24"/>
        </w:rPr>
        <w:br w:type="page"/>
      </w:r>
    </w:p>
    <w:p w:rsidR="006B3604" w:rsidRPr="00322627" w:rsidRDefault="00C7016C" w:rsidP="00322627">
      <w:pPr>
        <w:pStyle w:val="Default"/>
        <w:spacing w:line="360" w:lineRule="auto"/>
        <w:jc w:val="both"/>
        <w:rPr>
          <w:rFonts w:ascii="Book Antiqua" w:hAnsi="Book Antiqua"/>
          <w:b/>
          <w:color w:val="auto"/>
        </w:rPr>
      </w:pPr>
      <w:r w:rsidRPr="00322627">
        <w:rPr>
          <w:rFonts w:ascii="Book Antiqua" w:hAnsi="Book Antiqua"/>
          <w:noProof/>
          <w:lang w:eastAsia="en-US"/>
        </w:rPr>
        <w:lastRenderedPageBreak/>
        <w:drawing>
          <wp:inline distT="0" distB="0" distL="0" distR="0" wp14:anchorId="0E32B10A" wp14:editId="49BE8ECB">
            <wp:extent cx="5400040" cy="28968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2896896"/>
                    </a:xfrm>
                    <a:prstGeom prst="rect">
                      <a:avLst/>
                    </a:prstGeom>
                  </pic:spPr>
                </pic:pic>
              </a:graphicData>
            </a:graphic>
          </wp:inline>
        </w:drawing>
      </w:r>
    </w:p>
    <w:p w:rsidR="006B3604" w:rsidRPr="00322627" w:rsidRDefault="00C7016C" w:rsidP="00322627">
      <w:pPr>
        <w:pStyle w:val="Default"/>
        <w:spacing w:line="360" w:lineRule="auto"/>
        <w:jc w:val="both"/>
        <w:rPr>
          <w:rFonts w:ascii="Book Antiqua" w:eastAsia="宋体" w:hAnsi="Book Antiqua"/>
          <w:b/>
          <w:color w:val="auto"/>
          <w:lang w:eastAsia="zh-CN"/>
        </w:rPr>
      </w:pPr>
      <w:r w:rsidRPr="00322627">
        <w:rPr>
          <w:rFonts w:ascii="Book Antiqua" w:hAnsi="Book Antiqua"/>
          <w:b/>
          <w:color w:val="auto"/>
        </w:rPr>
        <w:t>Figure 3</w:t>
      </w:r>
      <w:r w:rsidRPr="00322627">
        <w:rPr>
          <w:rFonts w:ascii="Book Antiqua" w:eastAsia="宋体" w:hAnsi="Book Antiqua"/>
          <w:b/>
          <w:color w:val="auto"/>
          <w:lang w:eastAsia="zh-CN"/>
        </w:rPr>
        <w:t xml:space="preserve"> </w:t>
      </w:r>
      <w:r w:rsidR="006B3604" w:rsidRPr="00322627">
        <w:rPr>
          <w:rFonts w:ascii="Book Antiqua" w:hAnsi="Book Antiqua"/>
          <w:b/>
          <w:color w:val="auto"/>
        </w:rPr>
        <w:t>Treatment regimens for EBV-HLH</w:t>
      </w:r>
      <w:r w:rsidRPr="00322627">
        <w:rPr>
          <w:rFonts w:ascii="Book Antiqua" w:eastAsia="宋体" w:hAnsi="Book Antiqua"/>
          <w:b/>
          <w:color w:val="auto"/>
          <w:lang w:eastAsia="zh-CN"/>
        </w:rPr>
        <w:t xml:space="preserve">. </w:t>
      </w:r>
      <w:r w:rsidR="006B3604" w:rsidRPr="00322627">
        <w:rPr>
          <w:rFonts w:ascii="Book Antiqua" w:hAnsi="Book Antiqua"/>
          <w:color w:val="auto"/>
        </w:rPr>
        <w:t>Prior to commencement of treatment, determination of EBV genome copy numbers (</w:t>
      </w:r>
      <w:r w:rsidRPr="00322627">
        <w:rPr>
          <w:rFonts w:ascii="Book Antiqua" w:eastAsia="宋体" w:hAnsi="Book Antiqua"/>
          <w:color w:val="auto"/>
          <w:lang w:eastAsia="zh-CN"/>
        </w:rPr>
        <w:t>D</w:t>
      </w:r>
      <w:r w:rsidR="006B3604" w:rsidRPr="00322627">
        <w:rPr>
          <w:rFonts w:ascii="Book Antiqua" w:hAnsi="Book Antiqua"/>
          <w:color w:val="auto"/>
        </w:rPr>
        <w:t>), EBV serology (anti-VCA-IgM, -IgG, -EADR-IgG, and anti-EBNA), flow cytometry (</w:t>
      </w:r>
      <w:r w:rsidRPr="00322627">
        <w:rPr>
          <w:rFonts w:ascii="Book Antiqua" w:eastAsia="宋体" w:hAnsi="Book Antiqua"/>
          <w:color w:val="auto"/>
          <w:lang w:eastAsia="zh-CN"/>
        </w:rPr>
        <w:t>F</w:t>
      </w:r>
      <w:r w:rsidR="006B3604" w:rsidRPr="00322627">
        <w:rPr>
          <w:rFonts w:ascii="Book Antiqua" w:hAnsi="Book Antiqua"/>
          <w:color w:val="auto"/>
        </w:rPr>
        <w:t>), and, if possible, EBV tropism in subsets (</w:t>
      </w:r>
      <w:r w:rsidRPr="00322627">
        <w:rPr>
          <w:rFonts w:ascii="Book Antiqua" w:eastAsia="宋体" w:hAnsi="Book Antiqua"/>
          <w:color w:val="auto"/>
          <w:lang w:eastAsia="zh-CN"/>
        </w:rPr>
        <w:t>G</w:t>
      </w:r>
      <w:r w:rsidR="006B3604" w:rsidRPr="00322627">
        <w:rPr>
          <w:rFonts w:ascii="Book Antiqua" w:hAnsi="Book Antiqua"/>
          <w:color w:val="auto"/>
        </w:rPr>
        <w:t>) of PB are required. Furthermore, cytogenetics (</w:t>
      </w:r>
      <w:r w:rsidRPr="00322627">
        <w:rPr>
          <w:rFonts w:ascii="Book Antiqua" w:eastAsia="宋体" w:hAnsi="Book Antiqua"/>
          <w:color w:val="auto"/>
          <w:lang w:eastAsia="zh-CN"/>
        </w:rPr>
        <w:t>H</w:t>
      </w:r>
      <w:r w:rsidR="006B3604" w:rsidRPr="00322627">
        <w:rPr>
          <w:rFonts w:ascii="Book Antiqua" w:hAnsi="Book Antiqua"/>
          <w:color w:val="auto"/>
        </w:rPr>
        <w:t xml:space="preserve">) of PB or bone marrow cells </w:t>
      </w:r>
      <w:proofErr w:type="gramStart"/>
      <w:r w:rsidR="006B3604" w:rsidRPr="00322627">
        <w:rPr>
          <w:rFonts w:ascii="Book Antiqua" w:hAnsi="Book Antiqua"/>
          <w:color w:val="auto"/>
        </w:rPr>
        <w:t>are</w:t>
      </w:r>
      <w:proofErr w:type="gramEnd"/>
      <w:r w:rsidR="006B3604" w:rsidRPr="00322627">
        <w:rPr>
          <w:rFonts w:ascii="Book Antiqua" w:hAnsi="Book Antiqua"/>
          <w:color w:val="auto"/>
        </w:rPr>
        <w:t xml:space="preserve"> recommended. It is also recommended to determine EBV genome copy numbers</w:t>
      </w:r>
      <w:r w:rsidRPr="00322627">
        <w:rPr>
          <w:rFonts w:ascii="Book Antiqua" w:eastAsia="宋体" w:hAnsi="Book Antiqua"/>
          <w:color w:val="auto"/>
          <w:lang w:eastAsia="zh-CN"/>
        </w:rPr>
        <w:t xml:space="preserve"> </w:t>
      </w:r>
      <w:r w:rsidR="006B3604" w:rsidRPr="00322627">
        <w:rPr>
          <w:rFonts w:ascii="Book Antiqua" w:hAnsi="Book Antiqua"/>
          <w:color w:val="auto"/>
        </w:rPr>
        <w:t>(</w:t>
      </w:r>
      <w:r w:rsidRPr="00322627">
        <w:rPr>
          <w:rFonts w:ascii="Book Antiqua" w:eastAsia="宋体" w:hAnsi="Book Antiqua"/>
          <w:color w:val="auto"/>
          <w:lang w:eastAsia="zh-CN"/>
        </w:rPr>
        <w:t>D</w:t>
      </w:r>
      <w:r w:rsidR="006B3604" w:rsidRPr="00322627">
        <w:rPr>
          <w:rFonts w:ascii="Book Antiqua" w:hAnsi="Book Antiqua"/>
          <w:color w:val="auto"/>
        </w:rPr>
        <w:t xml:space="preserve">) following 4, 8, and 24 </w:t>
      </w:r>
      <w:proofErr w:type="spellStart"/>
      <w:r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of treatment to observe treatment response, and following 24 </w:t>
      </w:r>
      <w:proofErr w:type="spellStart"/>
      <w:r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12 </w:t>
      </w:r>
      <w:proofErr w:type="spellStart"/>
      <w:r w:rsidR="006B3604" w:rsidRPr="00322627">
        <w:rPr>
          <w:rFonts w:ascii="Book Antiqua" w:hAnsi="Book Antiqua"/>
          <w:color w:val="auto"/>
        </w:rPr>
        <w:t>mo</w:t>
      </w:r>
      <w:proofErr w:type="spellEnd"/>
      <w:r w:rsidR="006B3604" w:rsidRPr="00322627">
        <w:rPr>
          <w:rFonts w:ascii="Book Antiqua" w:hAnsi="Book Antiqua"/>
          <w:color w:val="auto"/>
        </w:rPr>
        <w:t xml:space="preserve">, 18 mo, and 24 mo of treatment to determine whether the disease progresses to the status of CAEBV. Screening tests for XLP or FHL are ideally required for any cases demonstrating a PR/NR to the A1 and B regimens until 8 </w:t>
      </w:r>
      <w:proofErr w:type="spellStart"/>
      <w:r w:rsidRPr="00322627">
        <w:rPr>
          <w:rFonts w:ascii="Book Antiqua" w:eastAsia="宋体" w:hAnsi="Book Antiqua"/>
          <w:color w:val="auto"/>
          <w:lang w:eastAsia="zh-CN"/>
        </w:rPr>
        <w:t>wk</w:t>
      </w:r>
      <w:proofErr w:type="spellEnd"/>
      <w:r w:rsidRPr="00322627">
        <w:rPr>
          <w:rFonts w:ascii="Book Antiqua" w:hAnsi="Book Antiqua"/>
          <w:color w:val="auto"/>
        </w:rPr>
        <w:t xml:space="preserve"> </w:t>
      </w:r>
      <w:r w:rsidR="006B3604" w:rsidRPr="00322627">
        <w:rPr>
          <w:rFonts w:ascii="Book Antiqua" w:hAnsi="Book Antiqua"/>
          <w:color w:val="auto"/>
        </w:rPr>
        <w:t>of treatment (</w:t>
      </w:r>
      <w:r w:rsidRPr="00322627">
        <w:rPr>
          <w:rFonts w:ascii="Book Antiqua" w:eastAsia="宋体" w:hAnsi="Book Antiqua"/>
          <w:color w:val="auto"/>
          <w:lang w:eastAsia="zh-CN"/>
        </w:rPr>
        <w:t>H</w:t>
      </w:r>
      <w:r w:rsidR="006B3604" w:rsidRPr="00322627">
        <w:rPr>
          <w:rFonts w:ascii="Book Antiqua" w:hAnsi="Book Antiqua"/>
          <w:color w:val="auto"/>
        </w:rPr>
        <w:t xml:space="preserve">). Treatment comprises a window period of 2 </w:t>
      </w:r>
      <w:proofErr w:type="spellStart"/>
      <w:r w:rsidR="00F91558"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c</w:t>
      </w:r>
      <w:r w:rsidRPr="00322627">
        <w:rPr>
          <w:rFonts w:ascii="Book Antiqua" w:hAnsi="Book Antiqua"/>
          <w:color w:val="auto"/>
        </w:rPr>
        <w:t>ommencing with PSL (A1; 2 mg/kg</w:t>
      </w:r>
      <w:r w:rsidRPr="00322627">
        <w:rPr>
          <w:rFonts w:ascii="Book Antiqua" w:eastAsia="宋体" w:hAnsi="Book Antiqua"/>
          <w:color w:val="auto"/>
          <w:lang w:eastAsia="zh-CN"/>
        </w:rPr>
        <w:t xml:space="preserve"> per </w:t>
      </w:r>
      <w:r w:rsidR="006B3604" w:rsidRPr="00322627">
        <w:rPr>
          <w:rFonts w:ascii="Book Antiqua" w:hAnsi="Book Antiqua"/>
          <w:color w:val="auto"/>
        </w:rPr>
        <w:t xml:space="preserve">day). Once a GR is attained, PSL with tapering (A2) is administered. Following 5 </w:t>
      </w:r>
      <w:proofErr w:type="spellStart"/>
      <w:r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of PSL given, treatment is discontinued in patients who attain a CR. Patients with a PR/NR to A1 and those relapsed with A2 are to commence the B regimen, which comprises a weekly dose of </w:t>
      </w:r>
      <w:r w:rsidR="006B3604" w:rsidRPr="00322627">
        <w:rPr>
          <w:rFonts w:ascii="Book Antiqua" w:hAnsi="Book Antiqua"/>
          <w:color w:val="auto"/>
        </w:rPr>
        <w:lastRenderedPageBreak/>
        <w:t>etoposide (100 mg/m</w:t>
      </w:r>
      <w:r w:rsidR="006B3604" w:rsidRPr="00322627">
        <w:rPr>
          <w:rFonts w:ascii="Book Antiqua" w:hAnsi="Book Antiqua"/>
          <w:color w:val="auto"/>
          <w:vertAlign w:val="superscript"/>
        </w:rPr>
        <w:t>2</w:t>
      </w:r>
      <w:r w:rsidR="006B3604" w:rsidRPr="00322627">
        <w:rPr>
          <w:rFonts w:ascii="Book Antiqua" w:hAnsi="Book Antiqua"/>
          <w:color w:val="auto"/>
        </w:rPr>
        <w:t>), PSL (2 mg/kg), and CSA (trough levels, 80</w:t>
      </w:r>
      <w:r w:rsidRPr="00322627">
        <w:rPr>
          <w:rFonts w:ascii="Book Antiqua" w:eastAsia="宋体" w:hAnsi="Book Antiqua"/>
          <w:color w:val="auto"/>
          <w:lang w:eastAsia="zh-CN"/>
        </w:rPr>
        <w:t>-</w:t>
      </w:r>
      <w:r w:rsidR="006B3604" w:rsidRPr="00322627">
        <w:rPr>
          <w:rFonts w:ascii="Book Antiqua" w:hAnsi="Book Antiqua"/>
          <w:color w:val="auto"/>
        </w:rPr>
        <w:t>150). If EBV is found to reside in B cells, three doses of rituximab (380 mg/m</w:t>
      </w:r>
      <w:r w:rsidR="006B3604" w:rsidRPr="00322627">
        <w:rPr>
          <w:rFonts w:ascii="Book Antiqua" w:hAnsi="Book Antiqua"/>
          <w:color w:val="auto"/>
          <w:vertAlign w:val="superscript"/>
        </w:rPr>
        <w:t>2</w:t>
      </w:r>
      <w:r w:rsidRPr="00322627">
        <w:rPr>
          <w:rFonts w:ascii="Book Antiqua" w:eastAsia="宋体" w:hAnsi="Book Antiqua"/>
          <w:color w:val="auto"/>
          <w:lang w:eastAsia="zh-CN"/>
        </w:rPr>
        <w:t xml:space="preserve"> per </w:t>
      </w:r>
      <w:r w:rsidR="006B3604" w:rsidRPr="00322627">
        <w:rPr>
          <w:rFonts w:ascii="Book Antiqua" w:hAnsi="Book Antiqua"/>
          <w:color w:val="auto"/>
        </w:rPr>
        <w:t xml:space="preserve">dose) are then added to the B regimen. Patients that do attain a CR becomes off therapy at the end of 8 </w:t>
      </w:r>
      <w:proofErr w:type="spellStart"/>
      <w:r w:rsidR="00F91558"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while who do not attain a CR with B arm treatment are to commence the C regimen, which comprises a once every 2 </w:t>
      </w:r>
      <w:proofErr w:type="spellStart"/>
      <w:r w:rsidR="00F91558"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dose of etoposide (100 mg/m</w:t>
      </w:r>
      <w:r w:rsidR="006B3604" w:rsidRPr="00322627">
        <w:rPr>
          <w:rFonts w:ascii="Book Antiqua" w:hAnsi="Book Antiqua"/>
          <w:color w:val="auto"/>
          <w:vertAlign w:val="superscript"/>
        </w:rPr>
        <w:t>2</w:t>
      </w:r>
      <w:r w:rsidR="006B3604" w:rsidRPr="00322627">
        <w:rPr>
          <w:rFonts w:ascii="Book Antiqua" w:hAnsi="Book Antiqua"/>
          <w:color w:val="auto"/>
        </w:rPr>
        <w:t>), PSL (2 mg/kg), and CSA (trough levels, 80</w:t>
      </w:r>
      <w:r w:rsidRPr="00322627">
        <w:rPr>
          <w:rFonts w:ascii="Book Antiqua" w:eastAsia="宋体" w:hAnsi="Book Antiqua"/>
          <w:color w:val="auto"/>
          <w:lang w:eastAsia="zh-CN"/>
        </w:rPr>
        <w:t>-</w:t>
      </w:r>
      <w:r w:rsidR="006B3604" w:rsidRPr="00322627">
        <w:rPr>
          <w:rFonts w:ascii="Book Antiqua" w:hAnsi="Book Antiqua"/>
          <w:color w:val="auto"/>
        </w:rPr>
        <w:t xml:space="preserve">150). Patients who relapse after CR with B arm also go to C regimen. If the patient attains a CR following 24 </w:t>
      </w:r>
      <w:proofErr w:type="spellStart"/>
      <w:r w:rsidR="006B3604" w:rsidRPr="00322627">
        <w:rPr>
          <w:rFonts w:ascii="Book Antiqua" w:hAnsi="Book Antiqua"/>
          <w:color w:val="auto"/>
        </w:rPr>
        <w:t>w</w:t>
      </w:r>
      <w:r w:rsidRPr="00322627">
        <w:rPr>
          <w:rFonts w:ascii="Book Antiqua" w:hAnsi="Book Antiqua"/>
          <w:color w:val="auto"/>
        </w:rPr>
        <w:t>k</w:t>
      </w:r>
      <w:proofErr w:type="spellEnd"/>
      <w:r w:rsidR="006B3604" w:rsidRPr="00322627">
        <w:rPr>
          <w:rFonts w:ascii="Book Antiqua" w:hAnsi="Book Antiqua"/>
          <w:color w:val="auto"/>
        </w:rPr>
        <w:t xml:space="preserve"> of treatment, the total cumulative dose of </w:t>
      </w:r>
      <w:r w:rsidRPr="00322627">
        <w:rPr>
          <w:rFonts w:ascii="Book Antiqua" w:hAnsi="Book Antiqua"/>
          <w:color w:val="auto"/>
        </w:rPr>
        <w:t>etoposide is 2</w:t>
      </w:r>
      <w:r w:rsidR="006B3604" w:rsidRPr="00322627">
        <w:rPr>
          <w:rFonts w:ascii="Book Antiqua" w:hAnsi="Book Antiqua"/>
          <w:color w:val="auto"/>
        </w:rPr>
        <w:t>200 mg/m</w:t>
      </w:r>
      <w:r w:rsidR="006B3604" w:rsidRPr="00322627">
        <w:rPr>
          <w:rFonts w:ascii="Book Antiqua" w:hAnsi="Book Antiqua"/>
          <w:color w:val="auto"/>
          <w:vertAlign w:val="superscript"/>
        </w:rPr>
        <w:t>2</w:t>
      </w:r>
      <w:r w:rsidR="006B3604" w:rsidRPr="00322627">
        <w:rPr>
          <w:rFonts w:ascii="Book Antiqua" w:hAnsi="Book Antiqua"/>
          <w:color w:val="auto"/>
        </w:rPr>
        <w:t xml:space="preserve">. Patients that remain at PR/NR following a total 24 </w:t>
      </w:r>
      <w:proofErr w:type="spellStart"/>
      <w:r w:rsidRPr="00322627">
        <w:rPr>
          <w:rFonts w:ascii="Book Antiqua" w:eastAsia="宋体" w:hAnsi="Book Antiqua"/>
          <w:color w:val="auto"/>
          <w:lang w:eastAsia="zh-CN"/>
        </w:rPr>
        <w:t>wk</w:t>
      </w:r>
      <w:proofErr w:type="spellEnd"/>
      <w:r w:rsidR="006B3604" w:rsidRPr="00322627">
        <w:rPr>
          <w:rFonts w:ascii="Book Antiqua" w:hAnsi="Book Antiqua"/>
          <w:color w:val="auto"/>
        </w:rPr>
        <w:t xml:space="preserve"> of treatment are to undergo salvage therapy or HSCT. GR</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 xml:space="preserve">Good </w:t>
      </w:r>
      <w:r w:rsidR="006B3604" w:rsidRPr="00322627">
        <w:rPr>
          <w:rFonts w:ascii="Book Antiqua" w:hAnsi="Book Antiqua"/>
          <w:color w:val="auto"/>
        </w:rPr>
        <w:t>response; PR</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 xml:space="preserve">Poor </w:t>
      </w:r>
      <w:r w:rsidR="006B3604" w:rsidRPr="00322627">
        <w:rPr>
          <w:rFonts w:ascii="Book Antiqua" w:hAnsi="Book Antiqua"/>
          <w:color w:val="auto"/>
        </w:rPr>
        <w:t>response; NR</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 xml:space="preserve">No </w:t>
      </w:r>
      <w:r w:rsidR="006B3604" w:rsidRPr="00322627">
        <w:rPr>
          <w:rFonts w:ascii="Book Antiqua" w:hAnsi="Book Antiqua"/>
          <w:color w:val="auto"/>
        </w:rPr>
        <w:t>response; CR</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 xml:space="preserve">Complete </w:t>
      </w:r>
      <w:r w:rsidR="006B3604" w:rsidRPr="00322627">
        <w:rPr>
          <w:rFonts w:ascii="Book Antiqua" w:hAnsi="Book Antiqua"/>
          <w:color w:val="auto"/>
        </w:rPr>
        <w:t>response; HSCT</w:t>
      </w:r>
      <w:r w:rsidRPr="00322627">
        <w:rPr>
          <w:rFonts w:ascii="Book Antiqua" w:eastAsia="宋体" w:hAnsi="Book Antiqua"/>
          <w:color w:val="auto"/>
          <w:lang w:eastAsia="zh-CN"/>
        </w:rPr>
        <w:t xml:space="preserve">: </w:t>
      </w:r>
      <w:r w:rsidRPr="00322627">
        <w:rPr>
          <w:rFonts w:ascii="Book Antiqua" w:hAnsi="Book Antiqua"/>
          <w:color w:val="auto"/>
        </w:rPr>
        <w:t xml:space="preserve">Hematopoietic </w:t>
      </w:r>
      <w:r w:rsidR="006B3604" w:rsidRPr="00322627">
        <w:rPr>
          <w:rFonts w:ascii="Book Antiqua" w:hAnsi="Book Antiqua"/>
          <w:color w:val="auto"/>
        </w:rPr>
        <w:t>stem cell transplantation</w:t>
      </w:r>
      <w:r w:rsidRPr="00322627">
        <w:rPr>
          <w:rFonts w:ascii="Book Antiqua" w:eastAsia="宋体" w:hAnsi="Book Antiqua"/>
          <w:color w:val="auto"/>
          <w:lang w:eastAsia="zh-CN"/>
        </w:rPr>
        <w:t>;</w:t>
      </w:r>
      <w:r w:rsidR="006B3604" w:rsidRPr="00322627">
        <w:rPr>
          <w:rFonts w:ascii="Book Antiqua" w:hAnsi="Book Antiqua"/>
          <w:color w:val="auto"/>
        </w:rPr>
        <w:t xml:space="preserve"> PSL</w:t>
      </w:r>
      <w:r w:rsidRPr="00322627">
        <w:rPr>
          <w:rFonts w:ascii="Book Antiqua" w:eastAsia="宋体" w:hAnsi="Book Antiqua"/>
          <w:color w:val="auto"/>
          <w:lang w:eastAsia="zh-CN"/>
        </w:rPr>
        <w:t>:</w:t>
      </w:r>
      <w:r w:rsidR="006B3604" w:rsidRPr="00322627">
        <w:rPr>
          <w:rFonts w:ascii="Book Antiqua" w:hAnsi="Book Antiqua"/>
          <w:color w:val="auto"/>
        </w:rPr>
        <w:t xml:space="preserve"> </w:t>
      </w:r>
      <w:r w:rsidRPr="00322627">
        <w:rPr>
          <w:rFonts w:ascii="Book Antiqua" w:hAnsi="Book Antiqua"/>
          <w:color w:val="auto"/>
        </w:rPr>
        <w:t>Prednisolone</w:t>
      </w:r>
      <w:r w:rsidR="006B3604" w:rsidRPr="00322627">
        <w:rPr>
          <w:rFonts w:ascii="Book Antiqua" w:hAnsi="Book Antiqua"/>
          <w:color w:val="auto"/>
        </w:rPr>
        <w:t>; CSA</w:t>
      </w:r>
      <w:r w:rsidRPr="00322627">
        <w:rPr>
          <w:rFonts w:ascii="Book Antiqua" w:eastAsia="宋体" w:hAnsi="Book Antiqua"/>
          <w:color w:val="auto"/>
          <w:lang w:eastAsia="zh-CN"/>
        </w:rPr>
        <w:t>:</w:t>
      </w:r>
      <w:r w:rsidR="006B3604" w:rsidRPr="00322627">
        <w:rPr>
          <w:rFonts w:ascii="Book Antiqua" w:hAnsi="Book Antiqua"/>
          <w:color w:val="auto"/>
        </w:rPr>
        <w:t xml:space="preserve"> </w:t>
      </w:r>
      <w:proofErr w:type="spellStart"/>
      <w:r w:rsidRPr="00322627">
        <w:rPr>
          <w:rFonts w:ascii="Book Antiqua" w:hAnsi="Book Antiqua"/>
          <w:color w:val="auto"/>
        </w:rPr>
        <w:t>Cyclosphorin</w:t>
      </w:r>
      <w:proofErr w:type="spellEnd"/>
      <w:r w:rsidRPr="00322627">
        <w:rPr>
          <w:rFonts w:ascii="Book Antiqua" w:hAnsi="Book Antiqua"/>
          <w:color w:val="auto"/>
        </w:rPr>
        <w:t xml:space="preserve"> </w:t>
      </w:r>
      <w:r w:rsidR="006B3604" w:rsidRPr="00322627">
        <w:rPr>
          <w:rFonts w:ascii="Book Antiqua" w:hAnsi="Book Antiqua"/>
          <w:color w:val="auto"/>
        </w:rPr>
        <w:t>A.</w:t>
      </w:r>
    </w:p>
    <w:p w:rsidR="006B3604" w:rsidRPr="00322627" w:rsidRDefault="006B3604" w:rsidP="00322627">
      <w:pPr>
        <w:widowControl/>
        <w:spacing w:line="360" w:lineRule="auto"/>
        <w:rPr>
          <w:rFonts w:ascii="Book Antiqua" w:hAnsi="Book Antiqua"/>
          <w:sz w:val="24"/>
          <w:szCs w:val="24"/>
        </w:rPr>
      </w:pPr>
    </w:p>
    <w:sectPr w:rsidR="006B3604" w:rsidRPr="00322627">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6A" w:rsidRDefault="00D7736A">
      <w:r>
        <w:separator/>
      </w:r>
    </w:p>
  </w:endnote>
  <w:endnote w:type="continuationSeparator" w:id="0">
    <w:p w:rsidR="00D7736A" w:rsidRDefault="00D7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01798"/>
      <w:docPartObj>
        <w:docPartGallery w:val="Page Numbers (Bottom of Page)"/>
        <w:docPartUnique/>
      </w:docPartObj>
    </w:sdtPr>
    <w:sdtEndPr/>
    <w:sdtContent>
      <w:p w:rsidR="00633576" w:rsidRDefault="00633576">
        <w:pPr>
          <w:pStyle w:val="Footer"/>
          <w:jc w:val="center"/>
        </w:pPr>
        <w:r>
          <w:fldChar w:fldCharType="begin"/>
        </w:r>
        <w:r>
          <w:instrText>PAGE   \* MERGEFORMAT</w:instrText>
        </w:r>
        <w:r>
          <w:fldChar w:fldCharType="separate"/>
        </w:r>
        <w:r w:rsidR="004822AF" w:rsidRPr="004822AF">
          <w:rPr>
            <w:noProof/>
            <w:lang w:val="ja-JP"/>
          </w:rPr>
          <w:t>29</w:t>
        </w:r>
        <w:r>
          <w:fldChar w:fldCharType="end"/>
        </w:r>
      </w:p>
    </w:sdtContent>
  </w:sdt>
  <w:p w:rsidR="00633576" w:rsidRDefault="006335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6A" w:rsidRDefault="00D7736A">
      <w:r>
        <w:separator/>
      </w:r>
    </w:p>
  </w:footnote>
  <w:footnote w:type="continuationSeparator" w:id="0">
    <w:p w:rsidR="00D7736A" w:rsidRDefault="00D77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626711"/>
      <w:docPartObj>
        <w:docPartGallery w:val="Page Numbers (Top of Page)"/>
        <w:docPartUnique/>
      </w:docPartObj>
    </w:sdtPr>
    <w:sdtEndPr/>
    <w:sdtContent>
      <w:p w:rsidR="00633576" w:rsidRDefault="00633576">
        <w:pPr>
          <w:pStyle w:val="Header"/>
          <w:jc w:val="center"/>
        </w:pPr>
        <w:r>
          <w:fldChar w:fldCharType="begin"/>
        </w:r>
        <w:r>
          <w:instrText>PAGE   \* MERGEFORMAT</w:instrText>
        </w:r>
        <w:r>
          <w:fldChar w:fldCharType="separate"/>
        </w:r>
        <w:r w:rsidR="004822AF" w:rsidRPr="004822AF">
          <w:rPr>
            <w:noProof/>
            <w:lang w:val="ja-JP"/>
          </w:rPr>
          <w:t>29</w:t>
        </w:r>
        <w:r>
          <w:fldChar w:fldCharType="end"/>
        </w:r>
      </w:p>
    </w:sdtContent>
  </w:sdt>
  <w:p w:rsidR="00633576" w:rsidRDefault="006335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86C"/>
    <w:multiLevelType w:val="hybridMultilevel"/>
    <w:tmpl w:val="74D0EBA6"/>
    <w:lvl w:ilvl="0" w:tplc="2A4E6FE0">
      <w:start w:val="1"/>
      <w:numFmt w:val="decimal"/>
      <w:lvlText w:val="%1."/>
      <w:lvlJc w:val="left"/>
      <w:pPr>
        <w:ind w:left="502"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636A4C"/>
    <w:multiLevelType w:val="hybridMultilevel"/>
    <w:tmpl w:val="823E1F2E"/>
    <w:lvl w:ilvl="0" w:tplc="1012C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BA7B95"/>
    <w:multiLevelType w:val="hybridMultilevel"/>
    <w:tmpl w:val="6B02C1BC"/>
    <w:lvl w:ilvl="0" w:tplc="2CC265CA">
      <w:start w:val="8"/>
      <w:numFmt w:val="decimal"/>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1521F"/>
    <w:multiLevelType w:val="hybridMultilevel"/>
    <w:tmpl w:val="BEDA63CC"/>
    <w:lvl w:ilvl="0" w:tplc="2746F7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F8580D"/>
    <w:multiLevelType w:val="hybridMultilevel"/>
    <w:tmpl w:val="EAF42D14"/>
    <w:lvl w:ilvl="0" w:tplc="AC1C5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04"/>
    <w:rsid w:val="002F197E"/>
    <w:rsid w:val="00322627"/>
    <w:rsid w:val="004822AF"/>
    <w:rsid w:val="00633576"/>
    <w:rsid w:val="006B3604"/>
    <w:rsid w:val="006D5AED"/>
    <w:rsid w:val="0079655D"/>
    <w:rsid w:val="0086069E"/>
    <w:rsid w:val="00A66E1D"/>
    <w:rsid w:val="00B6319A"/>
    <w:rsid w:val="00C7016C"/>
    <w:rsid w:val="00D32724"/>
    <w:rsid w:val="00D7736A"/>
    <w:rsid w:val="00F91558"/>
    <w:rsid w:val="00FE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04"/>
    <w:pPr>
      <w:widowControl w:val="0"/>
      <w:jc w:val="both"/>
    </w:pPr>
  </w:style>
  <w:style w:type="paragraph" w:styleId="Heading1">
    <w:name w:val="heading 1"/>
    <w:basedOn w:val="Normal"/>
    <w:link w:val="Heading1Char"/>
    <w:uiPriority w:val="9"/>
    <w:qFormat/>
    <w:rsid w:val="006B3604"/>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604"/>
    <w:rPr>
      <w:rFonts w:ascii="MS PGothic" w:eastAsia="MS PGothic" w:hAnsi="MS PGothic" w:cs="MS PGothic"/>
      <w:b/>
      <w:bCs/>
      <w:color w:val="000000"/>
      <w:kern w:val="36"/>
      <w:sz w:val="33"/>
      <w:szCs w:val="33"/>
    </w:rPr>
  </w:style>
  <w:style w:type="paragraph" w:styleId="ListParagraph">
    <w:name w:val="List Paragraph"/>
    <w:basedOn w:val="Normal"/>
    <w:qFormat/>
    <w:rsid w:val="006B3604"/>
    <w:pPr>
      <w:ind w:leftChars="400" w:left="840"/>
    </w:pPr>
  </w:style>
  <w:style w:type="paragraph" w:customStyle="1" w:styleId="Default">
    <w:name w:val="Default"/>
    <w:rsid w:val="006B3604"/>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B3604"/>
    <w:rPr>
      <w:color w:val="0000FF" w:themeColor="hyperlink"/>
      <w:u w:val="single"/>
    </w:rPr>
  </w:style>
  <w:style w:type="paragraph" w:styleId="Header">
    <w:name w:val="header"/>
    <w:basedOn w:val="Normal"/>
    <w:link w:val="HeaderChar"/>
    <w:uiPriority w:val="99"/>
    <w:unhideWhenUsed/>
    <w:rsid w:val="006B3604"/>
    <w:pPr>
      <w:tabs>
        <w:tab w:val="center" w:pos="4252"/>
        <w:tab w:val="right" w:pos="8504"/>
      </w:tabs>
      <w:snapToGrid w:val="0"/>
    </w:pPr>
  </w:style>
  <w:style w:type="character" w:customStyle="1" w:styleId="HeaderChar">
    <w:name w:val="Header Char"/>
    <w:basedOn w:val="DefaultParagraphFont"/>
    <w:link w:val="Header"/>
    <w:uiPriority w:val="99"/>
    <w:rsid w:val="006B3604"/>
  </w:style>
  <w:style w:type="paragraph" w:styleId="Footer">
    <w:name w:val="footer"/>
    <w:basedOn w:val="Normal"/>
    <w:link w:val="FooterChar"/>
    <w:uiPriority w:val="99"/>
    <w:unhideWhenUsed/>
    <w:rsid w:val="006B3604"/>
    <w:pPr>
      <w:tabs>
        <w:tab w:val="center" w:pos="4252"/>
        <w:tab w:val="right" w:pos="8504"/>
      </w:tabs>
      <w:snapToGrid w:val="0"/>
    </w:pPr>
  </w:style>
  <w:style w:type="character" w:customStyle="1" w:styleId="FooterChar">
    <w:name w:val="Footer Char"/>
    <w:basedOn w:val="DefaultParagraphFont"/>
    <w:link w:val="Footer"/>
    <w:uiPriority w:val="99"/>
    <w:rsid w:val="006B3604"/>
  </w:style>
  <w:style w:type="character" w:customStyle="1" w:styleId="highlight2">
    <w:name w:val="highlight2"/>
    <w:basedOn w:val="DefaultParagraphFont"/>
    <w:rsid w:val="006B3604"/>
  </w:style>
  <w:style w:type="character" w:customStyle="1" w:styleId="highlight">
    <w:name w:val="highlight"/>
    <w:basedOn w:val="DefaultParagraphFont"/>
    <w:rsid w:val="006B3604"/>
  </w:style>
  <w:style w:type="character" w:customStyle="1" w:styleId="BalloonTextChar">
    <w:name w:val="Balloon Text Char"/>
    <w:basedOn w:val="DefaultParagraphFont"/>
    <w:link w:val="BalloonText"/>
    <w:uiPriority w:val="99"/>
    <w:semiHidden/>
    <w:rsid w:val="006B3604"/>
    <w:rPr>
      <w:rFonts w:ascii="Tahoma" w:hAnsi="Tahoma" w:cs="Tahoma"/>
      <w:sz w:val="16"/>
      <w:szCs w:val="16"/>
    </w:rPr>
  </w:style>
  <w:style w:type="paragraph" w:styleId="BalloonText">
    <w:name w:val="Balloon Text"/>
    <w:basedOn w:val="Normal"/>
    <w:link w:val="BalloonTextChar"/>
    <w:uiPriority w:val="99"/>
    <w:semiHidden/>
    <w:unhideWhenUsed/>
    <w:rsid w:val="006B3604"/>
    <w:rPr>
      <w:rFonts w:ascii="Tahoma" w:hAnsi="Tahoma" w:cs="Tahoma"/>
      <w:sz w:val="16"/>
      <w:szCs w:val="16"/>
    </w:rPr>
  </w:style>
  <w:style w:type="character" w:customStyle="1" w:styleId="1">
    <w:name w:val="吹き出し (文字)1"/>
    <w:basedOn w:val="DefaultParagraphFont"/>
    <w:uiPriority w:val="99"/>
    <w:semiHidden/>
    <w:rsid w:val="006B3604"/>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B3604"/>
    <w:rPr>
      <w:sz w:val="16"/>
      <w:szCs w:val="16"/>
    </w:rPr>
  </w:style>
  <w:style w:type="paragraph" w:styleId="CommentText">
    <w:name w:val="annotation text"/>
    <w:basedOn w:val="Normal"/>
    <w:link w:val="CommentTextChar"/>
    <w:uiPriority w:val="99"/>
    <w:semiHidden/>
    <w:unhideWhenUsed/>
    <w:rsid w:val="006B3604"/>
    <w:rPr>
      <w:sz w:val="20"/>
      <w:szCs w:val="20"/>
    </w:rPr>
  </w:style>
  <w:style w:type="character" w:customStyle="1" w:styleId="CommentTextChar">
    <w:name w:val="Comment Text Char"/>
    <w:basedOn w:val="DefaultParagraphFont"/>
    <w:link w:val="CommentText"/>
    <w:uiPriority w:val="99"/>
    <w:semiHidden/>
    <w:rsid w:val="006B3604"/>
    <w:rPr>
      <w:sz w:val="20"/>
      <w:szCs w:val="20"/>
    </w:rPr>
  </w:style>
  <w:style w:type="character" w:customStyle="1" w:styleId="CommentSubjectChar">
    <w:name w:val="Comment Subject Char"/>
    <w:basedOn w:val="CommentTextChar"/>
    <w:link w:val="CommentSubject"/>
    <w:uiPriority w:val="99"/>
    <w:semiHidden/>
    <w:rsid w:val="006B3604"/>
    <w:rPr>
      <w:b/>
      <w:bCs/>
      <w:sz w:val="20"/>
      <w:szCs w:val="20"/>
    </w:rPr>
  </w:style>
  <w:style w:type="paragraph" w:styleId="CommentSubject">
    <w:name w:val="annotation subject"/>
    <w:basedOn w:val="CommentText"/>
    <w:next w:val="CommentText"/>
    <w:link w:val="CommentSubjectChar"/>
    <w:uiPriority w:val="99"/>
    <w:semiHidden/>
    <w:unhideWhenUsed/>
    <w:rsid w:val="006B3604"/>
    <w:rPr>
      <w:b/>
      <w:bCs/>
    </w:rPr>
  </w:style>
  <w:style w:type="character" w:customStyle="1" w:styleId="10">
    <w:name w:val="コメント内容 (文字)1"/>
    <w:basedOn w:val="CommentTextChar"/>
    <w:uiPriority w:val="99"/>
    <w:semiHidden/>
    <w:rsid w:val="006B3604"/>
    <w:rPr>
      <w:b/>
      <w:bCs/>
      <w:sz w:val="20"/>
      <w:szCs w:val="20"/>
    </w:rPr>
  </w:style>
  <w:style w:type="character" w:styleId="Strong">
    <w:name w:val="Strong"/>
    <w:qFormat/>
    <w:rsid w:val="00F91558"/>
    <w:rPr>
      <w:b/>
      <w:bCs/>
    </w:rPr>
  </w:style>
  <w:style w:type="character" w:styleId="Emphasis">
    <w:name w:val="Emphasis"/>
    <w:qFormat/>
    <w:rsid w:val="004822A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04"/>
    <w:pPr>
      <w:widowControl w:val="0"/>
      <w:jc w:val="both"/>
    </w:pPr>
  </w:style>
  <w:style w:type="paragraph" w:styleId="Heading1">
    <w:name w:val="heading 1"/>
    <w:basedOn w:val="Normal"/>
    <w:link w:val="Heading1Char"/>
    <w:uiPriority w:val="9"/>
    <w:qFormat/>
    <w:rsid w:val="006B3604"/>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604"/>
    <w:rPr>
      <w:rFonts w:ascii="MS PGothic" w:eastAsia="MS PGothic" w:hAnsi="MS PGothic" w:cs="MS PGothic"/>
      <w:b/>
      <w:bCs/>
      <w:color w:val="000000"/>
      <w:kern w:val="36"/>
      <w:sz w:val="33"/>
      <w:szCs w:val="33"/>
    </w:rPr>
  </w:style>
  <w:style w:type="paragraph" w:styleId="ListParagraph">
    <w:name w:val="List Paragraph"/>
    <w:basedOn w:val="Normal"/>
    <w:qFormat/>
    <w:rsid w:val="006B3604"/>
    <w:pPr>
      <w:ind w:leftChars="400" w:left="840"/>
    </w:pPr>
  </w:style>
  <w:style w:type="paragraph" w:customStyle="1" w:styleId="Default">
    <w:name w:val="Default"/>
    <w:rsid w:val="006B3604"/>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B3604"/>
    <w:rPr>
      <w:color w:val="0000FF" w:themeColor="hyperlink"/>
      <w:u w:val="single"/>
    </w:rPr>
  </w:style>
  <w:style w:type="paragraph" w:styleId="Header">
    <w:name w:val="header"/>
    <w:basedOn w:val="Normal"/>
    <w:link w:val="HeaderChar"/>
    <w:uiPriority w:val="99"/>
    <w:unhideWhenUsed/>
    <w:rsid w:val="006B3604"/>
    <w:pPr>
      <w:tabs>
        <w:tab w:val="center" w:pos="4252"/>
        <w:tab w:val="right" w:pos="8504"/>
      </w:tabs>
      <w:snapToGrid w:val="0"/>
    </w:pPr>
  </w:style>
  <w:style w:type="character" w:customStyle="1" w:styleId="HeaderChar">
    <w:name w:val="Header Char"/>
    <w:basedOn w:val="DefaultParagraphFont"/>
    <w:link w:val="Header"/>
    <w:uiPriority w:val="99"/>
    <w:rsid w:val="006B3604"/>
  </w:style>
  <w:style w:type="paragraph" w:styleId="Footer">
    <w:name w:val="footer"/>
    <w:basedOn w:val="Normal"/>
    <w:link w:val="FooterChar"/>
    <w:uiPriority w:val="99"/>
    <w:unhideWhenUsed/>
    <w:rsid w:val="006B3604"/>
    <w:pPr>
      <w:tabs>
        <w:tab w:val="center" w:pos="4252"/>
        <w:tab w:val="right" w:pos="8504"/>
      </w:tabs>
      <w:snapToGrid w:val="0"/>
    </w:pPr>
  </w:style>
  <w:style w:type="character" w:customStyle="1" w:styleId="FooterChar">
    <w:name w:val="Footer Char"/>
    <w:basedOn w:val="DefaultParagraphFont"/>
    <w:link w:val="Footer"/>
    <w:uiPriority w:val="99"/>
    <w:rsid w:val="006B3604"/>
  </w:style>
  <w:style w:type="character" w:customStyle="1" w:styleId="highlight2">
    <w:name w:val="highlight2"/>
    <w:basedOn w:val="DefaultParagraphFont"/>
    <w:rsid w:val="006B3604"/>
  </w:style>
  <w:style w:type="character" w:customStyle="1" w:styleId="highlight">
    <w:name w:val="highlight"/>
    <w:basedOn w:val="DefaultParagraphFont"/>
    <w:rsid w:val="006B3604"/>
  </w:style>
  <w:style w:type="character" w:customStyle="1" w:styleId="BalloonTextChar">
    <w:name w:val="Balloon Text Char"/>
    <w:basedOn w:val="DefaultParagraphFont"/>
    <w:link w:val="BalloonText"/>
    <w:uiPriority w:val="99"/>
    <w:semiHidden/>
    <w:rsid w:val="006B3604"/>
    <w:rPr>
      <w:rFonts w:ascii="Tahoma" w:hAnsi="Tahoma" w:cs="Tahoma"/>
      <w:sz w:val="16"/>
      <w:szCs w:val="16"/>
    </w:rPr>
  </w:style>
  <w:style w:type="paragraph" w:styleId="BalloonText">
    <w:name w:val="Balloon Text"/>
    <w:basedOn w:val="Normal"/>
    <w:link w:val="BalloonTextChar"/>
    <w:uiPriority w:val="99"/>
    <w:semiHidden/>
    <w:unhideWhenUsed/>
    <w:rsid w:val="006B3604"/>
    <w:rPr>
      <w:rFonts w:ascii="Tahoma" w:hAnsi="Tahoma" w:cs="Tahoma"/>
      <w:sz w:val="16"/>
      <w:szCs w:val="16"/>
    </w:rPr>
  </w:style>
  <w:style w:type="character" w:customStyle="1" w:styleId="1">
    <w:name w:val="吹き出し (文字)1"/>
    <w:basedOn w:val="DefaultParagraphFont"/>
    <w:uiPriority w:val="99"/>
    <w:semiHidden/>
    <w:rsid w:val="006B3604"/>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B3604"/>
    <w:rPr>
      <w:sz w:val="16"/>
      <w:szCs w:val="16"/>
    </w:rPr>
  </w:style>
  <w:style w:type="paragraph" w:styleId="CommentText">
    <w:name w:val="annotation text"/>
    <w:basedOn w:val="Normal"/>
    <w:link w:val="CommentTextChar"/>
    <w:uiPriority w:val="99"/>
    <w:semiHidden/>
    <w:unhideWhenUsed/>
    <w:rsid w:val="006B3604"/>
    <w:rPr>
      <w:sz w:val="20"/>
      <w:szCs w:val="20"/>
    </w:rPr>
  </w:style>
  <w:style w:type="character" w:customStyle="1" w:styleId="CommentTextChar">
    <w:name w:val="Comment Text Char"/>
    <w:basedOn w:val="DefaultParagraphFont"/>
    <w:link w:val="CommentText"/>
    <w:uiPriority w:val="99"/>
    <w:semiHidden/>
    <w:rsid w:val="006B3604"/>
    <w:rPr>
      <w:sz w:val="20"/>
      <w:szCs w:val="20"/>
    </w:rPr>
  </w:style>
  <w:style w:type="character" w:customStyle="1" w:styleId="CommentSubjectChar">
    <w:name w:val="Comment Subject Char"/>
    <w:basedOn w:val="CommentTextChar"/>
    <w:link w:val="CommentSubject"/>
    <w:uiPriority w:val="99"/>
    <w:semiHidden/>
    <w:rsid w:val="006B3604"/>
    <w:rPr>
      <w:b/>
      <w:bCs/>
      <w:sz w:val="20"/>
      <w:szCs w:val="20"/>
    </w:rPr>
  </w:style>
  <w:style w:type="paragraph" w:styleId="CommentSubject">
    <w:name w:val="annotation subject"/>
    <w:basedOn w:val="CommentText"/>
    <w:next w:val="CommentText"/>
    <w:link w:val="CommentSubjectChar"/>
    <w:uiPriority w:val="99"/>
    <w:semiHidden/>
    <w:unhideWhenUsed/>
    <w:rsid w:val="006B3604"/>
    <w:rPr>
      <w:b/>
      <w:bCs/>
    </w:rPr>
  </w:style>
  <w:style w:type="character" w:customStyle="1" w:styleId="10">
    <w:name w:val="コメント内容 (文字)1"/>
    <w:basedOn w:val="CommentTextChar"/>
    <w:uiPriority w:val="99"/>
    <w:semiHidden/>
    <w:rsid w:val="006B3604"/>
    <w:rPr>
      <w:b/>
      <w:bCs/>
      <w:sz w:val="20"/>
      <w:szCs w:val="20"/>
    </w:rPr>
  </w:style>
  <w:style w:type="character" w:styleId="Strong">
    <w:name w:val="Strong"/>
    <w:qFormat/>
    <w:rsid w:val="00F91558"/>
    <w:rPr>
      <w:b/>
      <w:bCs/>
    </w:rPr>
  </w:style>
  <w:style w:type="character" w:styleId="Emphasis">
    <w:name w:val="Emphasis"/>
    <w:qFormat/>
    <w:rsid w:val="004822A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hinim95@mbox.kyoto-inet.or.jp"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5805</Words>
  <Characters>33095</Characters>
  <Application>Microsoft Macintosh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Na Ma</cp:lastModifiedBy>
  <cp:revision>2</cp:revision>
  <dcterms:created xsi:type="dcterms:W3CDTF">2015-10-13T03:02:00Z</dcterms:created>
  <dcterms:modified xsi:type="dcterms:W3CDTF">2015-10-13T03:02:00Z</dcterms:modified>
</cp:coreProperties>
</file>