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31955" w14:textId="77777777" w:rsidR="006138C7" w:rsidRPr="00390EBD" w:rsidRDefault="006138C7" w:rsidP="00954CEE">
      <w:pPr>
        <w:adjustRightInd w:val="0"/>
        <w:snapToGrid w:val="0"/>
        <w:spacing w:after="0" w:line="360" w:lineRule="auto"/>
        <w:jc w:val="both"/>
        <w:rPr>
          <w:rFonts w:ascii="Book Antiqua" w:hAnsi="Book Antiqua" w:cs="Book Antiqua"/>
          <w:b/>
          <w:bCs/>
          <w:color w:val="222222"/>
          <w:sz w:val="24"/>
          <w:szCs w:val="24"/>
          <w:shd w:val="clear" w:color="auto" w:fill="FFFFFF"/>
          <w:lang w:val="en-GB"/>
        </w:rPr>
      </w:pPr>
      <w:r w:rsidRPr="00390EBD">
        <w:rPr>
          <w:rFonts w:ascii="Book Antiqua" w:hAnsi="Book Antiqua" w:cs="Book Antiqua"/>
          <w:b/>
          <w:bCs/>
          <w:color w:val="222222"/>
          <w:sz w:val="24"/>
          <w:szCs w:val="24"/>
          <w:shd w:val="clear" w:color="auto" w:fill="FFFFFF"/>
          <w:lang w:val="en-GB"/>
        </w:rPr>
        <w:t>Name of journal: World Journal of Gastroenterology</w:t>
      </w:r>
    </w:p>
    <w:p w14:paraId="1D4FBA7B" w14:textId="77777777" w:rsidR="006138C7" w:rsidRPr="00390EBD" w:rsidRDefault="006138C7" w:rsidP="00954CEE">
      <w:pPr>
        <w:adjustRightInd w:val="0"/>
        <w:snapToGrid w:val="0"/>
        <w:spacing w:after="0" w:line="360" w:lineRule="auto"/>
        <w:jc w:val="both"/>
        <w:rPr>
          <w:rFonts w:ascii="Book Antiqua" w:hAnsi="Book Antiqua" w:cs="Book Antiqua"/>
          <w:b/>
          <w:bCs/>
          <w:color w:val="222222"/>
          <w:sz w:val="24"/>
          <w:szCs w:val="24"/>
          <w:shd w:val="clear" w:color="auto" w:fill="FFFFFF"/>
          <w:lang w:val="en-GB"/>
        </w:rPr>
      </w:pPr>
      <w:r w:rsidRPr="00390EBD">
        <w:rPr>
          <w:rFonts w:ascii="Book Antiqua" w:hAnsi="Book Antiqua" w:cs="Book Antiqua"/>
          <w:b/>
          <w:bCs/>
          <w:color w:val="222222"/>
          <w:sz w:val="24"/>
          <w:szCs w:val="24"/>
          <w:shd w:val="clear" w:color="auto" w:fill="FFFFFF"/>
          <w:lang w:val="en-GB"/>
        </w:rPr>
        <w:t>ESPS Manuscript NO: 20318</w:t>
      </w:r>
    </w:p>
    <w:p w14:paraId="16B1CA0B" w14:textId="6E383FDE" w:rsidR="006138C7" w:rsidRPr="00390EBD" w:rsidRDefault="006138C7" w:rsidP="00954CEE">
      <w:pPr>
        <w:adjustRightInd w:val="0"/>
        <w:snapToGrid w:val="0"/>
        <w:spacing w:after="0" w:line="360" w:lineRule="auto"/>
        <w:jc w:val="both"/>
        <w:rPr>
          <w:rFonts w:ascii="Book Antiqua" w:hAnsi="Book Antiqua" w:cs="Book Antiqua"/>
          <w:b/>
          <w:bCs/>
          <w:caps/>
          <w:color w:val="222222"/>
          <w:sz w:val="24"/>
          <w:szCs w:val="24"/>
          <w:shd w:val="clear" w:color="auto" w:fill="FFFFFF"/>
          <w:lang w:val="en-GB" w:eastAsia="zh-CN"/>
        </w:rPr>
      </w:pPr>
      <w:r w:rsidRPr="00390EBD">
        <w:rPr>
          <w:rFonts w:ascii="Book Antiqua" w:hAnsi="Book Antiqua" w:cs="Book Antiqua"/>
          <w:b/>
          <w:bCs/>
          <w:color w:val="222222"/>
          <w:sz w:val="24"/>
          <w:szCs w:val="24"/>
          <w:shd w:val="clear" w:color="auto" w:fill="FFFFFF"/>
          <w:lang w:val="en-GB"/>
        </w:rPr>
        <w:t xml:space="preserve">Columns: </w:t>
      </w:r>
      <w:r w:rsidRPr="00390EBD">
        <w:rPr>
          <w:rFonts w:ascii="Book Antiqua" w:hAnsi="Book Antiqua" w:cs="Book Antiqua"/>
          <w:b/>
          <w:bCs/>
          <w:caps/>
          <w:color w:val="222222"/>
          <w:sz w:val="24"/>
          <w:szCs w:val="24"/>
          <w:shd w:val="clear" w:color="auto" w:fill="FFFFFF"/>
          <w:lang w:val="en-GB"/>
        </w:rPr>
        <w:t>Topic Highlight</w:t>
      </w:r>
      <w:r w:rsidR="00390EBD">
        <w:rPr>
          <w:rFonts w:ascii="Book Antiqua" w:hAnsi="Book Antiqua" w:cs="Book Antiqua" w:hint="eastAsia"/>
          <w:b/>
          <w:bCs/>
          <w:caps/>
          <w:color w:val="222222"/>
          <w:sz w:val="24"/>
          <w:szCs w:val="24"/>
          <w:shd w:val="clear" w:color="auto" w:fill="FFFFFF"/>
          <w:lang w:val="en-GB" w:eastAsia="zh-CN"/>
        </w:rPr>
        <w:t>S</w:t>
      </w:r>
    </w:p>
    <w:p w14:paraId="3DA0B4CE" w14:textId="77777777" w:rsidR="006138C7" w:rsidRDefault="006138C7" w:rsidP="00954CEE">
      <w:pPr>
        <w:adjustRightInd w:val="0"/>
        <w:snapToGrid w:val="0"/>
        <w:spacing w:after="0" w:line="360" w:lineRule="auto"/>
        <w:jc w:val="both"/>
        <w:rPr>
          <w:rFonts w:ascii="Book Antiqua" w:hAnsi="Book Antiqua" w:cs="Book Antiqua"/>
          <w:b/>
          <w:bCs/>
          <w:color w:val="000000"/>
          <w:sz w:val="24"/>
          <w:szCs w:val="24"/>
          <w:lang w:val="en-GB" w:eastAsia="zh-CN"/>
        </w:rPr>
      </w:pPr>
    </w:p>
    <w:p w14:paraId="43743AD7" w14:textId="23CB95C7" w:rsidR="00BB5B43" w:rsidRDefault="00BB5B43" w:rsidP="00954CEE">
      <w:pPr>
        <w:adjustRightInd w:val="0"/>
        <w:snapToGrid w:val="0"/>
        <w:spacing w:after="0" w:line="360" w:lineRule="auto"/>
        <w:jc w:val="both"/>
        <w:rPr>
          <w:rFonts w:ascii="Book Antiqua" w:hAnsi="Book Antiqua" w:cs="Book Antiqua"/>
          <w:b/>
          <w:bCs/>
          <w:color w:val="000000"/>
          <w:sz w:val="24"/>
          <w:szCs w:val="24"/>
          <w:lang w:val="en-GB" w:eastAsia="zh-CN"/>
        </w:rPr>
      </w:pPr>
      <w:r w:rsidRPr="00BB5B43">
        <w:rPr>
          <w:rFonts w:ascii="Book Antiqua" w:hAnsi="Book Antiqua" w:cs="Book Antiqua"/>
          <w:b/>
          <w:bCs/>
          <w:color w:val="000000"/>
          <w:sz w:val="24"/>
          <w:szCs w:val="24"/>
          <w:lang w:val="en-GB" w:eastAsia="zh-CN"/>
        </w:rPr>
        <w:t>2015 Advances in Inflammatory Bowel Disease</w:t>
      </w:r>
    </w:p>
    <w:p w14:paraId="543DC44A" w14:textId="77777777" w:rsidR="00BB5B43" w:rsidRPr="00D113E8" w:rsidRDefault="00BB5B43" w:rsidP="00954CEE">
      <w:pPr>
        <w:adjustRightInd w:val="0"/>
        <w:snapToGrid w:val="0"/>
        <w:spacing w:after="0" w:line="360" w:lineRule="auto"/>
        <w:jc w:val="both"/>
        <w:rPr>
          <w:rFonts w:ascii="Book Antiqua" w:hAnsi="Book Antiqua" w:cs="Book Antiqua"/>
          <w:b/>
          <w:bCs/>
          <w:color w:val="000000"/>
          <w:sz w:val="24"/>
          <w:szCs w:val="24"/>
          <w:lang w:val="en-GB" w:eastAsia="zh-CN"/>
        </w:rPr>
      </w:pPr>
    </w:p>
    <w:p w14:paraId="59450E23" w14:textId="3506CC94" w:rsidR="006138C7" w:rsidRPr="00390EBD" w:rsidRDefault="006138C7" w:rsidP="00954CEE">
      <w:pPr>
        <w:adjustRightInd w:val="0"/>
        <w:snapToGrid w:val="0"/>
        <w:spacing w:after="0" w:line="360" w:lineRule="auto"/>
        <w:jc w:val="both"/>
        <w:rPr>
          <w:rFonts w:ascii="Book Antiqua" w:hAnsi="Book Antiqua" w:cs="Book Antiqua"/>
          <w:b/>
          <w:bCs/>
          <w:color w:val="000000"/>
          <w:sz w:val="24"/>
          <w:szCs w:val="24"/>
          <w:lang w:val="en-US" w:eastAsia="zh-CN"/>
        </w:rPr>
      </w:pPr>
      <w:r w:rsidRPr="00390EBD">
        <w:rPr>
          <w:rFonts w:ascii="Book Antiqua" w:hAnsi="Book Antiqua" w:cs="Book Antiqua"/>
          <w:b/>
          <w:bCs/>
          <w:color w:val="000000"/>
          <w:sz w:val="24"/>
          <w:szCs w:val="24"/>
          <w:lang w:val="en-US"/>
        </w:rPr>
        <w:t>Current stage in inflammatory bowel disease</w:t>
      </w:r>
      <w:r w:rsidR="00D113E8">
        <w:rPr>
          <w:rFonts w:ascii="Book Antiqua" w:hAnsi="Book Antiqua" w:cs="Book Antiqua" w:hint="eastAsia"/>
          <w:b/>
          <w:bCs/>
          <w:color w:val="000000"/>
          <w:sz w:val="24"/>
          <w:szCs w:val="24"/>
          <w:lang w:val="en-US" w:eastAsia="zh-CN"/>
        </w:rPr>
        <w:t>:</w:t>
      </w:r>
      <w:r w:rsidRPr="00390EBD">
        <w:rPr>
          <w:rFonts w:ascii="Book Antiqua" w:hAnsi="Book Antiqua" w:cs="Book Antiqua"/>
          <w:b/>
          <w:bCs/>
          <w:color w:val="000000"/>
          <w:sz w:val="24"/>
          <w:szCs w:val="24"/>
          <w:lang w:val="en-US"/>
        </w:rPr>
        <w:t xml:space="preserve"> What is next?</w:t>
      </w:r>
    </w:p>
    <w:p w14:paraId="493C439C" w14:textId="77777777" w:rsidR="006138C7" w:rsidRPr="00D95AD7" w:rsidRDefault="006138C7" w:rsidP="00954CEE">
      <w:pPr>
        <w:adjustRightInd w:val="0"/>
        <w:snapToGrid w:val="0"/>
        <w:spacing w:after="0" w:line="360" w:lineRule="auto"/>
        <w:jc w:val="both"/>
        <w:rPr>
          <w:rFonts w:ascii="Book Antiqua" w:hAnsi="Book Antiqua" w:cs="Book Antiqua"/>
          <w:b/>
          <w:bCs/>
          <w:sz w:val="24"/>
          <w:szCs w:val="24"/>
          <w:lang w:val="en-US" w:eastAsia="zh-CN"/>
        </w:rPr>
      </w:pPr>
    </w:p>
    <w:p w14:paraId="27FA8AEB" w14:textId="08962879" w:rsidR="006138C7" w:rsidRDefault="00BB5B43" w:rsidP="00954CEE">
      <w:pPr>
        <w:adjustRightInd w:val="0"/>
        <w:snapToGrid w:val="0"/>
        <w:spacing w:after="0" w:line="360" w:lineRule="auto"/>
        <w:jc w:val="both"/>
        <w:rPr>
          <w:rFonts w:ascii="Book Antiqua" w:hAnsi="Book Antiqua" w:cs="Book Antiqua"/>
          <w:color w:val="000000"/>
          <w:sz w:val="24"/>
          <w:szCs w:val="24"/>
          <w:lang w:val="en-US" w:eastAsia="zh-CN"/>
        </w:rPr>
      </w:pPr>
      <w:r w:rsidRPr="00390EBD">
        <w:rPr>
          <w:rFonts w:ascii="Book Antiqua" w:hAnsi="Book Antiqua" w:cs="Book Antiqua"/>
          <w:sz w:val="24"/>
          <w:szCs w:val="24"/>
          <w:lang w:eastAsia="zh-CN"/>
        </w:rPr>
        <w:t>Gómez-Gómez</w:t>
      </w:r>
      <w:r>
        <w:rPr>
          <w:rFonts w:ascii="Book Antiqua" w:hAnsi="Book Antiqua" w:cs="Book Antiqua" w:hint="eastAsia"/>
          <w:color w:val="000000"/>
          <w:sz w:val="24"/>
          <w:szCs w:val="24"/>
          <w:lang w:val="en-US" w:eastAsia="zh-CN"/>
        </w:rPr>
        <w:t xml:space="preserve"> GJ </w:t>
      </w:r>
      <w:r w:rsidR="009046D6" w:rsidRPr="009046D6">
        <w:rPr>
          <w:rFonts w:ascii="Book Antiqua" w:hAnsi="Book Antiqua" w:cs="Book Antiqua"/>
          <w:i/>
          <w:color w:val="000000"/>
          <w:sz w:val="24"/>
          <w:szCs w:val="24"/>
          <w:lang w:val="en-US" w:eastAsia="zh-CN"/>
        </w:rPr>
        <w:t>et al</w:t>
      </w:r>
      <w:r w:rsidR="00745205">
        <w:rPr>
          <w:rFonts w:ascii="Book Antiqua" w:hAnsi="Book Antiqua" w:cs="Book Antiqua" w:hint="eastAsia"/>
          <w:i/>
          <w:color w:val="000000"/>
          <w:sz w:val="24"/>
          <w:szCs w:val="24"/>
          <w:lang w:val="en-US" w:eastAsia="zh-CN"/>
        </w:rPr>
        <w:t>.</w:t>
      </w:r>
      <w:r>
        <w:rPr>
          <w:rFonts w:ascii="Book Antiqua" w:hAnsi="Book Antiqua" w:cs="Book Antiqua" w:hint="eastAsia"/>
          <w:color w:val="000000"/>
          <w:sz w:val="24"/>
          <w:szCs w:val="24"/>
          <w:lang w:val="en-US" w:eastAsia="zh-CN"/>
        </w:rPr>
        <w:t xml:space="preserve"> </w:t>
      </w:r>
      <w:r w:rsidR="006138C7" w:rsidRPr="00390EBD">
        <w:rPr>
          <w:rFonts w:ascii="Book Antiqua" w:hAnsi="Book Antiqua" w:cs="Book Antiqua"/>
          <w:color w:val="000000"/>
          <w:sz w:val="24"/>
          <w:szCs w:val="24"/>
          <w:lang w:val="en-US"/>
        </w:rPr>
        <w:t>Current direction</w:t>
      </w:r>
      <w:r w:rsidR="00D95AD7">
        <w:rPr>
          <w:rFonts w:ascii="Book Antiqua" w:hAnsi="Book Antiqua" w:cs="Book Antiqua"/>
          <w:color w:val="000000"/>
          <w:sz w:val="24"/>
          <w:szCs w:val="24"/>
          <w:lang w:val="en-US"/>
        </w:rPr>
        <w:t>s in inflammatory bowel disease</w:t>
      </w:r>
    </w:p>
    <w:p w14:paraId="550D1963" w14:textId="77777777" w:rsidR="00D95AD7" w:rsidRPr="00D95AD7" w:rsidRDefault="00D95AD7" w:rsidP="00954CEE">
      <w:pPr>
        <w:adjustRightInd w:val="0"/>
        <w:snapToGrid w:val="0"/>
        <w:spacing w:after="0" w:line="360" w:lineRule="auto"/>
        <w:jc w:val="both"/>
        <w:rPr>
          <w:rFonts w:ascii="Book Antiqua" w:hAnsi="Book Antiqua" w:cs="Book Antiqua"/>
          <w:sz w:val="24"/>
          <w:szCs w:val="24"/>
          <w:lang w:val="en-US" w:eastAsia="zh-CN"/>
        </w:rPr>
      </w:pPr>
    </w:p>
    <w:p w14:paraId="51B02BA4" w14:textId="1608414E" w:rsidR="006138C7" w:rsidRDefault="006138C7" w:rsidP="00954CEE">
      <w:pPr>
        <w:adjustRightInd w:val="0"/>
        <w:snapToGrid w:val="0"/>
        <w:spacing w:after="0" w:line="360" w:lineRule="auto"/>
        <w:jc w:val="both"/>
        <w:rPr>
          <w:rFonts w:ascii="Book Antiqua" w:hAnsi="Book Antiqua" w:cs="Book Antiqua"/>
          <w:sz w:val="24"/>
          <w:szCs w:val="24"/>
          <w:lang w:eastAsia="zh-CN"/>
        </w:rPr>
      </w:pPr>
      <w:r w:rsidRPr="00390EBD">
        <w:rPr>
          <w:rFonts w:ascii="Book Antiqua" w:hAnsi="Book Antiqua" w:cs="Book Antiqua"/>
          <w:sz w:val="24"/>
          <w:szCs w:val="24"/>
          <w:lang w:eastAsia="zh-CN"/>
        </w:rPr>
        <w:t>Gonzalo Jesús Gómez-Gómez, Ángeles Masedo, Carmen Yela, Maria del</w:t>
      </w:r>
      <w:r w:rsidR="00D95AD7">
        <w:rPr>
          <w:rFonts w:ascii="Book Antiqua" w:hAnsi="Book Antiqua" w:cs="Book Antiqua"/>
          <w:sz w:val="24"/>
          <w:szCs w:val="24"/>
          <w:lang w:eastAsia="zh-CN"/>
        </w:rPr>
        <w:t xml:space="preserve"> </w:t>
      </w:r>
      <w:r w:rsidRPr="00390EBD">
        <w:rPr>
          <w:rFonts w:ascii="Book Antiqua" w:hAnsi="Book Antiqua" w:cs="Book Antiqua"/>
          <w:sz w:val="24"/>
          <w:szCs w:val="24"/>
          <w:lang w:eastAsia="zh-CN"/>
        </w:rPr>
        <w:t>Pilar Martínez-Montiel, Begoña Casís</w:t>
      </w:r>
    </w:p>
    <w:p w14:paraId="297C09D0" w14:textId="77777777" w:rsidR="00D95AD7" w:rsidRPr="00390EBD" w:rsidRDefault="00D95AD7" w:rsidP="00954CEE">
      <w:pPr>
        <w:adjustRightInd w:val="0"/>
        <w:snapToGrid w:val="0"/>
        <w:spacing w:after="0" w:line="360" w:lineRule="auto"/>
        <w:jc w:val="both"/>
        <w:rPr>
          <w:rFonts w:ascii="Book Antiqua" w:hAnsi="Book Antiqua" w:cs="Book Antiqua"/>
          <w:sz w:val="24"/>
          <w:szCs w:val="24"/>
          <w:lang w:eastAsia="zh-CN"/>
        </w:rPr>
      </w:pPr>
    </w:p>
    <w:p w14:paraId="6E871D59" w14:textId="5C10E6EB" w:rsidR="006138C7" w:rsidRPr="00BB5B43" w:rsidRDefault="00BB5B43" w:rsidP="00954CEE">
      <w:pPr>
        <w:adjustRightInd w:val="0"/>
        <w:snapToGrid w:val="0"/>
        <w:spacing w:after="0" w:line="360" w:lineRule="auto"/>
        <w:jc w:val="both"/>
        <w:rPr>
          <w:rFonts w:ascii="Book Antiqua" w:hAnsi="Book Antiqua" w:cs="Book Antiqua"/>
          <w:sz w:val="24"/>
          <w:szCs w:val="24"/>
          <w:lang w:eastAsia="zh-CN"/>
        </w:rPr>
      </w:pPr>
      <w:r w:rsidRPr="00BB5B43">
        <w:rPr>
          <w:rFonts w:ascii="Book Antiqua" w:hAnsi="Book Antiqua" w:cs="Book Antiqua"/>
          <w:b/>
          <w:sz w:val="24"/>
          <w:szCs w:val="24"/>
          <w:lang w:eastAsia="zh-CN"/>
        </w:rPr>
        <w:t>Gonzalo Jesús Gómez-Gómez, Ángeles Masedo, Carmen Yela, Maria del Pilar Martínez-Montiel, Begoña Casís</w:t>
      </w:r>
      <w:r w:rsidRPr="00BB5B43">
        <w:rPr>
          <w:rFonts w:ascii="Book Antiqua" w:hAnsi="Book Antiqua" w:cs="Book Antiqua" w:hint="eastAsia"/>
          <w:b/>
          <w:sz w:val="24"/>
          <w:szCs w:val="24"/>
          <w:lang w:eastAsia="zh-CN"/>
        </w:rPr>
        <w:t>,</w:t>
      </w:r>
      <w:r>
        <w:rPr>
          <w:rFonts w:ascii="Book Antiqua" w:hAnsi="Book Antiqua" w:cs="Book Antiqua" w:hint="eastAsia"/>
          <w:sz w:val="24"/>
          <w:szCs w:val="24"/>
          <w:lang w:eastAsia="zh-CN"/>
        </w:rPr>
        <w:t xml:space="preserve"> </w:t>
      </w:r>
      <w:r w:rsidR="00B56EBE" w:rsidRPr="00390EBD">
        <w:rPr>
          <w:rFonts w:ascii="Book Antiqua" w:hAnsi="Book Antiqua" w:cs="Book Antiqua"/>
          <w:sz w:val="24"/>
          <w:szCs w:val="24"/>
          <w:lang w:eastAsia="es-ES"/>
        </w:rPr>
        <w:t xml:space="preserve">Unidad de Enfermedad Inflamatoria Intestinal, </w:t>
      </w:r>
      <w:r w:rsidR="006138C7" w:rsidRPr="00390EBD">
        <w:rPr>
          <w:rFonts w:ascii="Book Antiqua" w:hAnsi="Book Antiqua" w:cs="Book Antiqua"/>
          <w:sz w:val="24"/>
          <w:szCs w:val="24"/>
          <w:lang w:val="en-GB" w:eastAsia="zh-CN"/>
        </w:rPr>
        <w:t xml:space="preserve">Hospital 12 de Octubre, </w:t>
      </w:r>
      <w:r w:rsidRPr="00390EBD">
        <w:rPr>
          <w:rFonts w:ascii="Book Antiqua" w:hAnsi="Book Antiqua" w:cs="Book Antiqua"/>
          <w:sz w:val="24"/>
          <w:szCs w:val="24"/>
          <w:lang w:val="en-US" w:eastAsia="zh-CN"/>
        </w:rPr>
        <w:t>28045</w:t>
      </w:r>
      <w:r>
        <w:rPr>
          <w:rFonts w:ascii="Book Antiqua" w:hAnsi="Book Antiqua" w:cs="Book Antiqua" w:hint="eastAsia"/>
          <w:sz w:val="24"/>
          <w:szCs w:val="24"/>
          <w:lang w:val="en-US" w:eastAsia="zh-CN"/>
        </w:rPr>
        <w:t xml:space="preserve"> </w:t>
      </w:r>
      <w:r w:rsidR="006138C7" w:rsidRPr="00390EBD">
        <w:rPr>
          <w:rFonts w:ascii="Book Antiqua" w:hAnsi="Book Antiqua" w:cs="Book Antiqua"/>
          <w:sz w:val="24"/>
          <w:szCs w:val="24"/>
          <w:lang w:val="en-US" w:eastAsia="zh-CN"/>
        </w:rPr>
        <w:t>Madrid, Spain</w:t>
      </w:r>
    </w:p>
    <w:p w14:paraId="55BE1351" w14:textId="77777777" w:rsidR="00D95AD7" w:rsidRPr="00390EBD" w:rsidRDefault="00D95AD7" w:rsidP="00954CEE">
      <w:pPr>
        <w:adjustRightInd w:val="0"/>
        <w:snapToGrid w:val="0"/>
        <w:spacing w:after="0" w:line="360" w:lineRule="auto"/>
        <w:jc w:val="both"/>
        <w:rPr>
          <w:rFonts w:ascii="Book Antiqua" w:hAnsi="Book Antiqua" w:cs="Book Antiqua"/>
          <w:sz w:val="24"/>
          <w:szCs w:val="24"/>
          <w:lang w:val="en-US" w:eastAsia="zh-CN"/>
        </w:rPr>
      </w:pPr>
    </w:p>
    <w:p w14:paraId="507DD951" w14:textId="0B55E123"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eastAsia="zh-CN"/>
        </w:rPr>
      </w:pPr>
      <w:r w:rsidRPr="00390EBD">
        <w:rPr>
          <w:rFonts w:ascii="Book Antiqua" w:hAnsi="Book Antiqua" w:cs="Book Antiqua"/>
          <w:b/>
          <w:bCs/>
          <w:sz w:val="24"/>
          <w:szCs w:val="24"/>
          <w:lang w:val="en-GB" w:eastAsia="es-ES"/>
        </w:rPr>
        <w:t>Author contributions</w:t>
      </w:r>
      <w:r w:rsidRPr="00390EBD">
        <w:rPr>
          <w:rFonts w:ascii="Book Antiqua" w:hAnsi="Book Antiqua" w:cs="Book Antiqua"/>
          <w:sz w:val="24"/>
          <w:szCs w:val="24"/>
          <w:lang w:val="en-GB" w:eastAsia="es-ES"/>
        </w:rPr>
        <w:t xml:space="preserve">: </w:t>
      </w:r>
      <w:r w:rsidR="00B56EBE" w:rsidRPr="00B56EBE">
        <w:rPr>
          <w:rFonts w:ascii="Book Antiqua" w:hAnsi="Book Antiqua" w:cs="Book Antiqua"/>
          <w:sz w:val="24"/>
          <w:szCs w:val="24"/>
          <w:lang w:val="en-GB" w:eastAsia="es-ES"/>
        </w:rPr>
        <w:t>Gómez-Gómez</w:t>
      </w:r>
      <w:r w:rsidRPr="00390EBD">
        <w:rPr>
          <w:rFonts w:ascii="Book Antiqua" w:hAnsi="Book Antiqua" w:cs="Book Antiqua"/>
          <w:sz w:val="24"/>
          <w:szCs w:val="24"/>
          <w:lang w:val="en-GB" w:eastAsia="es-ES"/>
        </w:rPr>
        <w:t xml:space="preserve"> G</w:t>
      </w:r>
      <w:r w:rsidR="00B56EBE">
        <w:rPr>
          <w:rFonts w:ascii="Book Antiqua" w:hAnsi="Book Antiqua" w:cs="Book Antiqua" w:hint="eastAsia"/>
          <w:sz w:val="24"/>
          <w:szCs w:val="24"/>
          <w:lang w:val="en-GB" w:eastAsia="zh-CN"/>
        </w:rPr>
        <w:t>J</w:t>
      </w:r>
      <w:r w:rsidR="00B56EBE">
        <w:rPr>
          <w:rFonts w:ascii="Book Antiqua" w:hAnsi="Book Antiqua" w:cs="Book Antiqua"/>
          <w:sz w:val="24"/>
          <w:szCs w:val="24"/>
          <w:lang w:val="en-GB" w:eastAsia="es-ES"/>
        </w:rPr>
        <w:t xml:space="preserve">, Masedo A, Yela C, </w:t>
      </w:r>
      <w:r w:rsidR="00B56EBE" w:rsidRPr="00390EBD">
        <w:rPr>
          <w:rFonts w:ascii="Book Antiqua" w:hAnsi="Book Antiqua" w:cs="Book Antiqua"/>
          <w:sz w:val="24"/>
          <w:szCs w:val="24"/>
          <w:lang w:eastAsia="zh-CN"/>
        </w:rPr>
        <w:t>Martínez-Montiel</w:t>
      </w:r>
      <w:r w:rsidR="00B56EBE">
        <w:rPr>
          <w:rFonts w:ascii="Book Antiqua" w:hAnsi="Book Antiqua" w:cs="Book Antiqua"/>
          <w:sz w:val="24"/>
          <w:szCs w:val="24"/>
          <w:lang w:val="en-GB" w:eastAsia="es-ES"/>
        </w:rPr>
        <w:t xml:space="preserve"> </w:t>
      </w:r>
      <w:r w:rsidR="00B56EBE">
        <w:rPr>
          <w:rFonts w:ascii="Book Antiqua" w:hAnsi="Book Antiqua" w:cs="Book Antiqua" w:hint="eastAsia"/>
          <w:sz w:val="24"/>
          <w:szCs w:val="24"/>
          <w:lang w:val="en-GB" w:eastAsia="zh-CN"/>
        </w:rPr>
        <w:t>M</w:t>
      </w:r>
      <w:r w:rsidR="00B56EBE">
        <w:rPr>
          <w:rFonts w:ascii="Book Antiqua" w:hAnsi="Book Antiqua" w:cs="Book Antiqua"/>
          <w:sz w:val="24"/>
          <w:szCs w:val="24"/>
          <w:lang w:val="en-GB" w:eastAsia="es-ES"/>
        </w:rPr>
        <w:t>P</w:t>
      </w:r>
      <w:r w:rsidR="00B56EBE">
        <w:rPr>
          <w:rFonts w:ascii="Book Antiqua" w:hAnsi="Book Antiqua" w:cs="Book Antiqua" w:hint="eastAsia"/>
          <w:sz w:val="24"/>
          <w:szCs w:val="24"/>
          <w:lang w:val="en-GB" w:eastAsia="zh-CN"/>
        </w:rPr>
        <w:t xml:space="preserve"> and</w:t>
      </w:r>
      <w:r w:rsidRPr="00390EBD">
        <w:rPr>
          <w:rFonts w:ascii="Book Antiqua" w:hAnsi="Book Antiqua" w:cs="Book Antiqua"/>
          <w:sz w:val="24"/>
          <w:szCs w:val="24"/>
          <w:lang w:val="en-GB" w:eastAsia="es-ES"/>
        </w:rPr>
        <w:t xml:space="preserve"> Casís B analyzed the literature and wrote the manuscript.</w:t>
      </w:r>
    </w:p>
    <w:p w14:paraId="0706C72E" w14:textId="77777777" w:rsidR="006138C7" w:rsidRPr="00390EBD" w:rsidRDefault="006138C7" w:rsidP="00954CEE">
      <w:pPr>
        <w:adjustRightInd w:val="0"/>
        <w:snapToGrid w:val="0"/>
        <w:spacing w:after="0" w:line="360" w:lineRule="auto"/>
        <w:jc w:val="both"/>
        <w:rPr>
          <w:rFonts w:ascii="Book Antiqua" w:hAnsi="Book Antiqua" w:cs="Book Antiqua"/>
          <w:b/>
          <w:bCs/>
          <w:sz w:val="24"/>
          <w:szCs w:val="24"/>
          <w:lang w:val="en-GB" w:eastAsia="es-ES"/>
        </w:rPr>
      </w:pPr>
    </w:p>
    <w:p w14:paraId="2A13DF84" w14:textId="77777777" w:rsidR="006138C7" w:rsidRPr="00390EBD" w:rsidRDefault="006138C7" w:rsidP="00954CEE">
      <w:pPr>
        <w:adjustRightInd w:val="0"/>
        <w:snapToGrid w:val="0"/>
        <w:spacing w:after="0" w:line="360" w:lineRule="auto"/>
        <w:jc w:val="both"/>
        <w:rPr>
          <w:rFonts w:ascii="Book Antiqua" w:hAnsi="Book Antiqua" w:cs="Book Antiqua"/>
          <w:sz w:val="24"/>
          <w:szCs w:val="24"/>
          <w:lang w:val="en-GB" w:eastAsia="zh-CN"/>
        </w:rPr>
      </w:pPr>
      <w:r w:rsidRPr="00390EBD">
        <w:rPr>
          <w:rFonts w:ascii="Book Antiqua" w:hAnsi="Book Antiqua" w:cs="Book Antiqua"/>
          <w:b/>
          <w:bCs/>
          <w:sz w:val="24"/>
          <w:szCs w:val="24"/>
          <w:lang w:val="en-GB" w:eastAsia="es-ES"/>
        </w:rPr>
        <w:t>Conflict-of-interest statement:</w:t>
      </w:r>
      <w:r w:rsidRPr="00390EBD">
        <w:rPr>
          <w:rFonts w:ascii="Book Antiqua" w:hAnsi="Book Antiqua" w:cs="Book Antiqua"/>
          <w:sz w:val="24"/>
          <w:szCs w:val="24"/>
          <w:lang w:val="en-GB" w:eastAsia="es-ES"/>
        </w:rPr>
        <w:t xml:space="preserve"> The authors have no conflict of interest to report.</w:t>
      </w:r>
    </w:p>
    <w:p w14:paraId="5772A072" w14:textId="77777777" w:rsidR="006138C7" w:rsidRDefault="006138C7" w:rsidP="00954CEE">
      <w:pPr>
        <w:adjustRightInd w:val="0"/>
        <w:snapToGrid w:val="0"/>
        <w:spacing w:after="0" w:line="360" w:lineRule="auto"/>
        <w:jc w:val="both"/>
        <w:rPr>
          <w:rFonts w:ascii="Book Antiqua" w:hAnsi="Book Antiqua" w:cs="Book Antiqua"/>
          <w:b/>
          <w:bCs/>
          <w:sz w:val="24"/>
          <w:szCs w:val="24"/>
          <w:lang w:val="en-US" w:eastAsia="zh-CN"/>
        </w:rPr>
      </w:pPr>
    </w:p>
    <w:p w14:paraId="1F586D6C" w14:textId="77777777" w:rsidR="00B56EBE" w:rsidRPr="009652B7" w:rsidRDefault="00B56EBE" w:rsidP="00954CEE">
      <w:pPr>
        <w:adjustRightInd w:val="0"/>
        <w:snapToGrid w:val="0"/>
        <w:spacing w:after="0" w:line="360" w:lineRule="auto"/>
        <w:jc w:val="both"/>
        <w:rPr>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78AAB45C" w14:textId="77777777" w:rsidR="00B56EBE" w:rsidRPr="00390EBD" w:rsidRDefault="00B56EBE" w:rsidP="00954CEE">
      <w:pPr>
        <w:adjustRightInd w:val="0"/>
        <w:snapToGrid w:val="0"/>
        <w:spacing w:after="0" w:line="360" w:lineRule="auto"/>
        <w:jc w:val="both"/>
        <w:rPr>
          <w:rFonts w:ascii="Book Antiqua" w:hAnsi="Book Antiqua" w:cs="Book Antiqua"/>
          <w:b/>
          <w:bCs/>
          <w:sz w:val="24"/>
          <w:szCs w:val="24"/>
          <w:lang w:val="en-US" w:eastAsia="zh-CN"/>
        </w:rPr>
      </w:pPr>
    </w:p>
    <w:p w14:paraId="638218EB" w14:textId="75A34FAD" w:rsidR="006138C7" w:rsidRPr="00390EBD" w:rsidRDefault="006138C7" w:rsidP="00954CEE">
      <w:pPr>
        <w:adjustRightInd w:val="0"/>
        <w:snapToGrid w:val="0"/>
        <w:spacing w:after="0" w:line="360" w:lineRule="auto"/>
        <w:jc w:val="both"/>
        <w:rPr>
          <w:rFonts w:ascii="Book Antiqua" w:hAnsi="Book Antiqua" w:cs="Book Antiqua"/>
          <w:sz w:val="24"/>
          <w:szCs w:val="24"/>
          <w:lang w:eastAsia="es-ES"/>
        </w:rPr>
      </w:pPr>
      <w:r w:rsidRPr="00390EBD">
        <w:rPr>
          <w:rFonts w:ascii="Book Antiqua" w:hAnsi="Book Antiqua" w:cs="Book Antiqua"/>
          <w:b/>
          <w:bCs/>
          <w:sz w:val="24"/>
          <w:szCs w:val="24"/>
          <w:lang w:eastAsia="es-ES"/>
        </w:rPr>
        <w:lastRenderedPageBreak/>
        <w:t>Correspondence to</w:t>
      </w:r>
      <w:r w:rsidRPr="00390EBD">
        <w:rPr>
          <w:rFonts w:ascii="Book Antiqua" w:hAnsi="Book Antiqua" w:cs="Book Antiqua"/>
          <w:sz w:val="24"/>
          <w:szCs w:val="24"/>
          <w:lang w:eastAsia="es-ES"/>
        </w:rPr>
        <w:t xml:space="preserve">: </w:t>
      </w:r>
      <w:r w:rsidR="00B56EBE">
        <w:rPr>
          <w:rFonts w:ascii="Book Antiqua" w:hAnsi="Book Antiqua" w:cs="Book Antiqua"/>
          <w:b/>
          <w:sz w:val="24"/>
          <w:szCs w:val="24"/>
          <w:lang w:eastAsia="es-ES"/>
        </w:rPr>
        <w:t>Dr</w:t>
      </w:r>
      <w:r w:rsidRPr="00B56EBE">
        <w:rPr>
          <w:rFonts w:ascii="Book Antiqua" w:hAnsi="Book Antiqua" w:cs="Book Antiqua"/>
          <w:b/>
          <w:sz w:val="24"/>
          <w:szCs w:val="24"/>
          <w:lang w:eastAsia="es-ES"/>
        </w:rPr>
        <w:t>. Maria del Pilar Martínez Montiel,</w:t>
      </w:r>
      <w:r w:rsidRPr="00BD2C06">
        <w:rPr>
          <w:rFonts w:ascii="Book Antiqua" w:hAnsi="Book Antiqua" w:cs="Book Antiqua"/>
          <w:b/>
          <w:sz w:val="24"/>
          <w:szCs w:val="24"/>
          <w:lang w:eastAsia="es-ES"/>
        </w:rPr>
        <w:t xml:space="preserve"> </w:t>
      </w:r>
      <w:r w:rsidR="00BD2C06" w:rsidRPr="00BD2C06">
        <w:rPr>
          <w:rFonts w:ascii="Book Antiqua" w:hAnsi="Book Antiqua" w:cs="Book Antiqua" w:hint="eastAsia"/>
          <w:b/>
          <w:sz w:val="24"/>
          <w:szCs w:val="24"/>
          <w:lang w:eastAsia="zh-CN"/>
        </w:rPr>
        <w:t xml:space="preserve">PhD, </w:t>
      </w:r>
      <w:r w:rsidRPr="00390EBD">
        <w:rPr>
          <w:rFonts w:ascii="Book Antiqua" w:hAnsi="Book Antiqua" w:cs="Book Antiqua"/>
          <w:sz w:val="24"/>
          <w:szCs w:val="24"/>
          <w:lang w:eastAsia="es-ES"/>
        </w:rPr>
        <w:t xml:space="preserve">Unidad de Enfermedad Inflamatoria Intestinal, Hospital 12 de Octubre, Av\ Córdoba s/n, </w:t>
      </w:r>
      <w:r w:rsidR="00B56EBE" w:rsidRPr="00390EBD">
        <w:rPr>
          <w:rFonts w:ascii="Book Antiqua" w:hAnsi="Book Antiqua" w:cs="Book Antiqua"/>
          <w:sz w:val="24"/>
          <w:szCs w:val="24"/>
          <w:lang w:eastAsia="es-ES"/>
        </w:rPr>
        <w:t>28045</w:t>
      </w:r>
      <w:r w:rsidR="00B56EBE">
        <w:rPr>
          <w:rFonts w:ascii="Book Antiqua" w:hAnsi="Book Antiqua" w:cs="Book Antiqua" w:hint="eastAsia"/>
          <w:sz w:val="24"/>
          <w:szCs w:val="24"/>
          <w:lang w:eastAsia="zh-CN"/>
        </w:rPr>
        <w:t xml:space="preserve"> </w:t>
      </w:r>
      <w:r w:rsidRPr="00390EBD">
        <w:rPr>
          <w:rFonts w:ascii="Book Antiqua" w:hAnsi="Book Antiqua" w:cs="Book Antiqua"/>
          <w:sz w:val="24"/>
          <w:szCs w:val="24"/>
          <w:lang w:eastAsia="es-ES"/>
        </w:rPr>
        <w:t>Madrid, Spain</w:t>
      </w:r>
      <w:r w:rsidR="00B56EBE">
        <w:rPr>
          <w:rFonts w:ascii="Book Antiqua" w:hAnsi="Book Antiqua" w:cs="Book Antiqua" w:hint="eastAsia"/>
          <w:sz w:val="24"/>
          <w:szCs w:val="24"/>
          <w:lang w:eastAsia="zh-CN"/>
        </w:rPr>
        <w:t>.</w:t>
      </w:r>
      <w:r w:rsidRPr="00390EBD">
        <w:rPr>
          <w:rFonts w:ascii="Book Antiqua" w:hAnsi="Book Antiqua" w:cs="Book Antiqua"/>
          <w:sz w:val="24"/>
          <w:szCs w:val="24"/>
          <w:lang w:eastAsia="es-ES"/>
        </w:rPr>
        <w:t xml:space="preserve"> </w:t>
      </w:r>
      <w:r w:rsidRPr="00B56EBE">
        <w:rPr>
          <w:rFonts w:ascii="Book Antiqua" w:hAnsi="Book Antiqua" w:cs="Book Antiqua"/>
          <w:sz w:val="24"/>
          <w:szCs w:val="24"/>
          <w:lang w:eastAsia="es-ES"/>
        </w:rPr>
        <w:t>pilarmarmon123@telefonica.net</w:t>
      </w:r>
    </w:p>
    <w:p w14:paraId="1102D19B" w14:textId="306BD540" w:rsidR="006138C7" w:rsidRPr="00390EBD" w:rsidRDefault="006138C7" w:rsidP="00954CEE">
      <w:pPr>
        <w:adjustRightInd w:val="0"/>
        <w:snapToGrid w:val="0"/>
        <w:spacing w:after="0" w:line="360" w:lineRule="auto"/>
        <w:jc w:val="both"/>
        <w:rPr>
          <w:rFonts w:ascii="Book Antiqua" w:hAnsi="Book Antiqua" w:cs="Book Antiqua"/>
          <w:b/>
          <w:bCs/>
          <w:sz w:val="24"/>
          <w:szCs w:val="24"/>
          <w:lang w:val="en-US"/>
        </w:rPr>
      </w:pPr>
      <w:r w:rsidRPr="0045116B">
        <w:rPr>
          <w:rFonts w:ascii="Book Antiqua" w:hAnsi="Book Antiqua" w:cs="Book Antiqua"/>
          <w:b/>
          <w:sz w:val="24"/>
          <w:szCs w:val="24"/>
          <w:lang w:val="en-US" w:eastAsia="es-ES"/>
        </w:rPr>
        <w:t xml:space="preserve">Telephone: </w:t>
      </w:r>
      <w:r w:rsidRPr="00390EBD">
        <w:rPr>
          <w:rFonts w:ascii="Book Antiqua" w:hAnsi="Book Antiqua" w:cs="Book Antiqua"/>
          <w:sz w:val="24"/>
          <w:szCs w:val="24"/>
          <w:lang w:val="en-US" w:eastAsia="es-ES"/>
        </w:rPr>
        <w:t>+34</w:t>
      </w:r>
      <w:r w:rsidR="0045116B">
        <w:rPr>
          <w:rFonts w:ascii="Book Antiqua" w:hAnsi="Book Antiqua" w:cs="Book Antiqua" w:hint="eastAsia"/>
          <w:sz w:val="24"/>
          <w:szCs w:val="24"/>
          <w:lang w:val="en-US" w:eastAsia="zh-CN"/>
        </w:rPr>
        <w:t>-</w:t>
      </w:r>
      <w:r w:rsidRPr="00390EBD">
        <w:rPr>
          <w:rFonts w:ascii="Book Antiqua" w:hAnsi="Book Antiqua" w:cs="Book Antiqua"/>
          <w:sz w:val="24"/>
          <w:szCs w:val="24"/>
          <w:lang w:val="en-US" w:eastAsia="es-ES"/>
        </w:rPr>
        <w:t>91</w:t>
      </w:r>
      <w:r w:rsidR="0045116B">
        <w:rPr>
          <w:rFonts w:ascii="Book Antiqua" w:hAnsi="Book Antiqua" w:cs="Book Antiqua" w:hint="eastAsia"/>
          <w:sz w:val="24"/>
          <w:szCs w:val="24"/>
          <w:lang w:val="en-US" w:eastAsia="zh-CN"/>
        </w:rPr>
        <w:t>-</w:t>
      </w:r>
      <w:r w:rsidRPr="00390EBD">
        <w:rPr>
          <w:rFonts w:ascii="Book Antiqua" w:hAnsi="Book Antiqua" w:cs="Book Antiqua"/>
          <w:sz w:val="24"/>
          <w:szCs w:val="24"/>
          <w:lang w:val="en-US" w:eastAsia="es-ES"/>
        </w:rPr>
        <w:t>7792667</w:t>
      </w:r>
    </w:p>
    <w:p w14:paraId="6DA16F8C" w14:textId="77777777" w:rsidR="0045116B" w:rsidRDefault="0045116B" w:rsidP="00954CEE">
      <w:pPr>
        <w:adjustRightInd w:val="0"/>
        <w:snapToGrid w:val="0"/>
        <w:spacing w:after="0" w:line="360" w:lineRule="auto"/>
        <w:rPr>
          <w:rFonts w:ascii="Book Antiqua" w:hAnsi="Book Antiqua"/>
          <w:b/>
          <w:sz w:val="24"/>
        </w:rPr>
      </w:pPr>
    </w:p>
    <w:p w14:paraId="6541466B" w14:textId="29260664" w:rsidR="0045116B" w:rsidRPr="00867A3A" w:rsidRDefault="0045116B" w:rsidP="00954CEE">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4A74B3" w:rsidRPr="00A11C75">
        <w:rPr>
          <w:rFonts w:ascii="Book Antiqua" w:hAnsi="Book Antiqua"/>
          <w:sz w:val="24"/>
        </w:rPr>
        <w:t>June</w:t>
      </w:r>
      <w:r w:rsidR="004A74B3">
        <w:rPr>
          <w:rFonts w:ascii="Book Antiqua" w:hAnsi="Book Antiqua" w:hint="eastAsia"/>
          <w:sz w:val="24"/>
          <w:lang w:eastAsia="zh-CN"/>
        </w:rPr>
        <w:t xml:space="preserve"> 1, 2015</w:t>
      </w:r>
      <w:r w:rsidR="0020336D" w:rsidRPr="0020336D">
        <w:rPr>
          <w:rFonts w:ascii="Book Antiqua" w:hAnsi="Book Antiqua"/>
          <w:b/>
          <w:i/>
          <w:sz w:val="24"/>
        </w:rPr>
        <w:t xml:space="preserve"> </w:t>
      </w:r>
    </w:p>
    <w:p w14:paraId="14375AC1" w14:textId="4BA232FA" w:rsidR="0045116B" w:rsidRPr="00867A3A" w:rsidRDefault="0045116B" w:rsidP="00954CEE">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4A74B3">
        <w:rPr>
          <w:rFonts w:ascii="Book Antiqua" w:hAnsi="Book Antiqua" w:hint="eastAsia"/>
          <w:b/>
          <w:sz w:val="24"/>
          <w:lang w:eastAsia="zh-CN"/>
        </w:rPr>
        <w:t xml:space="preserve"> </w:t>
      </w:r>
      <w:r w:rsidR="004A74B3" w:rsidRPr="00A11C75">
        <w:rPr>
          <w:rFonts w:ascii="Book Antiqua" w:hAnsi="Book Antiqua"/>
          <w:sz w:val="24"/>
        </w:rPr>
        <w:t>June</w:t>
      </w:r>
      <w:r w:rsidR="004A74B3">
        <w:rPr>
          <w:rFonts w:ascii="Book Antiqua" w:hAnsi="Book Antiqua" w:hint="eastAsia"/>
          <w:sz w:val="24"/>
          <w:lang w:eastAsia="zh-CN"/>
        </w:rPr>
        <w:t xml:space="preserve"> 2, 2015</w:t>
      </w:r>
    </w:p>
    <w:p w14:paraId="2AA15676" w14:textId="6CE4EE77" w:rsidR="0045116B" w:rsidRPr="00867A3A" w:rsidRDefault="0045116B" w:rsidP="00954CEE">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4A74B3">
        <w:rPr>
          <w:rFonts w:ascii="Book Antiqua" w:hAnsi="Book Antiqua" w:hint="eastAsia"/>
          <w:b/>
          <w:sz w:val="24"/>
          <w:lang w:eastAsia="zh-CN"/>
        </w:rPr>
        <w:t xml:space="preserve"> </w:t>
      </w:r>
      <w:r w:rsidR="004A74B3" w:rsidRPr="00A11C75">
        <w:rPr>
          <w:rFonts w:ascii="Book Antiqua" w:hAnsi="Book Antiqua"/>
          <w:sz w:val="24"/>
        </w:rPr>
        <w:t>June</w:t>
      </w:r>
      <w:r w:rsidR="004A74B3">
        <w:rPr>
          <w:rFonts w:ascii="Book Antiqua" w:hAnsi="Book Antiqua" w:hint="eastAsia"/>
          <w:sz w:val="24"/>
          <w:lang w:eastAsia="zh-CN"/>
        </w:rPr>
        <w:t xml:space="preserve"> 23, 2015</w:t>
      </w:r>
    </w:p>
    <w:p w14:paraId="0A7EB720" w14:textId="1FEF183D" w:rsidR="0045116B" w:rsidRPr="00867A3A" w:rsidRDefault="004A74B3" w:rsidP="00954CEE">
      <w:pPr>
        <w:adjustRightInd w:val="0"/>
        <w:snapToGrid w:val="0"/>
        <w:spacing w:after="0" w:line="360" w:lineRule="auto"/>
        <w:rPr>
          <w:rFonts w:ascii="Book Antiqua" w:hAnsi="Book Antiqua"/>
          <w:b/>
          <w:sz w:val="24"/>
          <w:lang w:eastAsia="zh-CN"/>
        </w:rPr>
      </w:pPr>
      <w:r>
        <w:rPr>
          <w:rFonts w:ascii="Book Antiqua" w:hAnsi="Book Antiqua"/>
          <w:b/>
          <w:sz w:val="24"/>
        </w:rPr>
        <w:t>Revised:</w:t>
      </w:r>
      <w:r>
        <w:rPr>
          <w:rFonts w:ascii="Book Antiqua" w:hAnsi="Book Antiqua" w:hint="eastAsia"/>
          <w:b/>
          <w:sz w:val="24"/>
          <w:lang w:eastAsia="zh-CN"/>
        </w:rPr>
        <w:t xml:space="preserve"> </w:t>
      </w:r>
      <w:r w:rsidRPr="00A11C75">
        <w:rPr>
          <w:rFonts w:ascii="Book Antiqua" w:hAnsi="Book Antiqua"/>
          <w:sz w:val="24"/>
        </w:rPr>
        <w:t>July</w:t>
      </w:r>
      <w:r>
        <w:rPr>
          <w:rFonts w:ascii="Book Antiqua" w:hAnsi="Book Antiqua" w:hint="eastAsia"/>
          <w:sz w:val="24"/>
          <w:lang w:eastAsia="zh-CN"/>
        </w:rPr>
        <w:t xml:space="preserve"> 12, 2015</w:t>
      </w:r>
    </w:p>
    <w:p w14:paraId="3A43FA54" w14:textId="4F2C2E9F" w:rsidR="0045116B" w:rsidRPr="00867A3A" w:rsidRDefault="0045116B" w:rsidP="00954CEE">
      <w:pPr>
        <w:adjustRightInd w:val="0"/>
        <w:snapToGrid w:val="0"/>
        <w:spacing w:after="0" w:line="360" w:lineRule="auto"/>
        <w:rPr>
          <w:rFonts w:ascii="Book Antiqua" w:hAnsi="Book Antiqua"/>
          <w:b/>
          <w:sz w:val="24"/>
        </w:rPr>
      </w:pPr>
      <w:r w:rsidRPr="00867A3A">
        <w:rPr>
          <w:rFonts w:ascii="Book Antiqua" w:hAnsi="Book Antiqua"/>
          <w:b/>
          <w:sz w:val="24"/>
        </w:rPr>
        <w:t>Accepted:</w:t>
      </w:r>
      <w:r w:rsidR="00EC4C3E" w:rsidRPr="00EC4C3E">
        <w:rPr>
          <w:rFonts w:ascii="Book Antiqua" w:hAnsi="Book Antiqua"/>
          <w:color w:val="000000" w:themeColor="text1"/>
          <w:sz w:val="24"/>
        </w:rPr>
        <w:t xml:space="preserve"> </w:t>
      </w:r>
      <w:r w:rsidR="00EC4C3E" w:rsidRPr="00A0537D">
        <w:rPr>
          <w:rFonts w:ascii="Book Antiqua" w:hAnsi="Book Antiqua"/>
          <w:color w:val="000000" w:themeColor="text1"/>
          <w:sz w:val="24"/>
        </w:rPr>
        <w:t>September 2, 2015</w:t>
      </w:r>
      <w:bookmarkStart w:id="4" w:name="_GoBack"/>
      <w:bookmarkEnd w:id="4"/>
      <w:r w:rsidR="0020336D" w:rsidRPr="0020336D">
        <w:rPr>
          <w:rFonts w:ascii="Book Antiqua" w:hAnsi="Book Antiqua"/>
          <w:b/>
          <w:i/>
          <w:sz w:val="24"/>
        </w:rPr>
        <w:t xml:space="preserve"> </w:t>
      </w:r>
    </w:p>
    <w:p w14:paraId="5CE728BA" w14:textId="77777777" w:rsidR="0045116B" w:rsidRPr="00867A3A" w:rsidRDefault="0045116B" w:rsidP="00954CEE">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14:paraId="2B125AF6" w14:textId="77777777" w:rsidR="0045116B" w:rsidRPr="009E3692" w:rsidRDefault="0045116B" w:rsidP="00954CEE">
      <w:pPr>
        <w:adjustRightInd w:val="0"/>
        <w:snapToGrid w:val="0"/>
        <w:spacing w:after="0" w:line="360" w:lineRule="auto"/>
        <w:rPr>
          <w:rFonts w:ascii="Book Antiqua" w:hAnsi="Book Antiqua"/>
          <w:sz w:val="24"/>
        </w:rPr>
      </w:pPr>
      <w:r w:rsidRPr="00867A3A">
        <w:rPr>
          <w:rFonts w:ascii="Book Antiqua" w:hAnsi="Book Antiqua"/>
          <w:b/>
          <w:sz w:val="24"/>
        </w:rPr>
        <w:t>Published online:</w:t>
      </w:r>
    </w:p>
    <w:p w14:paraId="342FDFCE" w14:textId="34163C59" w:rsidR="004A74B3" w:rsidRDefault="004A74B3" w:rsidP="00954CEE">
      <w:pPr>
        <w:adjustRightInd w:val="0"/>
        <w:snapToGrid w:val="0"/>
        <w:spacing w:after="0" w:line="360" w:lineRule="auto"/>
        <w:jc w:val="both"/>
        <w:rPr>
          <w:rFonts w:ascii="Book Antiqua" w:hAnsi="Book Antiqua" w:cs="Book Antiqua"/>
          <w:b/>
          <w:bCs/>
          <w:sz w:val="24"/>
          <w:szCs w:val="24"/>
          <w:lang w:val="en-US"/>
        </w:rPr>
      </w:pPr>
      <w:r>
        <w:rPr>
          <w:rFonts w:ascii="Book Antiqua" w:hAnsi="Book Antiqua" w:cs="Book Antiqua"/>
          <w:b/>
          <w:bCs/>
          <w:sz w:val="24"/>
          <w:szCs w:val="24"/>
          <w:lang w:val="en-US"/>
        </w:rPr>
        <w:br w:type="page"/>
      </w:r>
    </w:p>
    <w:p w14:paraId="4A67BC09" w14:textId="77777777" w:rsidR="006138C7" w:rsidRPr="00390EBD" w:rsidRDefault="006138C7" w:rsidP="00954CEE">
      <w:pPr>
        <w:adjustRightInd w:val="0"/>
        <w:snapToGrid w:val="0"/>
        <w:spacing w:after="0" w:line="360" w:lineRule="auto"/>
        <w:jc w:val="both"/>
        <w:rPr>
          <w:rFonts w:ascii="Book Antiqua" w:hAnsi="Book Antiqua" w:cs="Book Antiqua"/>
          <w:b/>
          <w:bCs/>
          <w:sz w:val="24"/>
          <w:szCs w:val="24"/>
          <w:lang w:val="en-US" w:eastAsia="zh-CN"/>
        </w:rPr>
      </w:pPr>
      <w:r w:rsidRPr="00390EBD">
        <w:rPr>
          <w:rFonts w:ascii="Book Antiqua" w:hAnsi="Book Antiqua" w:cs="Book Antiqua"/>
          <w:b/>
          <w:bCs/>
          <w:sz w:val="24"/>
          <w:szCs w:val="24"/>
          <w:lang w:val="en-US"/>
        </w:rPr>
        <w:lastRenderedPageBreak/>
        <w:t>Abstract</w:t>
      </w:r>
    </w:p>
    <w:p w14:paraId="4E5EA2FE" w14:textId="67AF15BA" w:rsidR="006138C7" w:rsidRPr="00390EBD" w:rsidRDefault="006138C7" w:rsidP="00954CEE">
      <w:pPr>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In recent years, inflammatory bowel disease has experienced an increase in incidence - extending to countries where it was infrequent in the past. As a result, the gap</w:t>
      </w:r>
      <w:r w:rsidR="007A1542" w:rsidRPr="00390EBD">
        <w:rPr>
          <w:rFonts w:ascii="Book Antiqua" w:hAnsi="Book Antiqua" w:cs="Book Antiqua"/>
          <w:sz w:val="24"/>
          <w:szCs w:val="24"/>
          <w:lang w:val="en-US"/>
        </w:rPr>
        <w:t xml:space="preserve"> between high and low incidence </w:t>
      </w:r>
      <w:r w:rsidRPr="00390EBD">
        <w:rPr>
          <w:rFonts w:ascii="Book Antiqua" w:hAnsi="Book Antiqua" w:cs="Book Antiqua"/>
          <w:sz w:val="24"/>
          <w:szCs w:val="24"/>
          <w:lang w:val="en-US"/>
        </w:rPr>
        <w:t>countries is decreasing. The disease therefore has an important economic impact for the healthcare systems.</w:t>
      </w:r>
      <w:r w:rsidR="00D95AD7" w:rsidRPr="00390EBD">
        <w:rPr>
          <w:rFonts w:ascii="Book Antiqua" w:hAnsi="Book Antiqua" w:cs="Book Antiqua"/>
          <w:sz w:val="24"/>
          <w:szCs w:val="24"/>
          <w:lang w:val="en-US"/>
        </w:rPr>
        <w:t xml:space="preserve"> </w:t>
      </w:r>
      <w:r w:rsidRPr="00390EBD">
        <w:rPr>
          <w:rFonts w:ascii="Book Antiqua" w:hAnsi="Book Antiqua" w:cs="Book Antiqua"/>
          <w:sz w:val="24"/>
          <w:szCs w:val="24"/>
          <w:lang w:val="en-US"/>
        </w:rPr>
        <w:t>There have been advances in recent years in pharmacogenetics and clinical pharmacology, with the search for treatment optimization adjusted to the patient profile. At the same time, new drugs aimed at inflammatory targets have been developed that may expand the future treatment options. This review examines the advances in optimizing the existing drug treatment options and the treatment options that are currently under investigation.</w:t>
      </w:r>
    </w:p>
    <w:p w14:paraId="1F9FC3AA" w14:textId="77777777" w:rsidR="006138C7" w:rsidRPr="00390EBD" w:rsidRDefault="006138C7" w:rsidP="00954CEE">
      <w:pPr>
        <w:adjustRightInd w:val="0"/>
        <w:snapToGrid w:val="0"/>
        <w:spacing w:after="0" w:line="360" w:lineRule="auto"/>
        <w:jc w:val="both"/>
        <w:rPr>
          <w:rFonts w:ascii="Book Antiqua" w:hAnsi="Book Antiqua" w:cs="Book Antiqua"/>
          <w:b/>
          <w:bCs/>
          <w:sz w:val="24"/>
          <w:szCs w:val="24"/>
          <w:u w:val="single"/>
          <w:lang w:val="en-US" w:eastAsia="zh-CN"/>
        </w:rPr>
      </w:pPr>
    </w:p>
    <w:p w14:paraId="6B0B754C" w14:textId="47D1E5D3" w:rsidR="006138C7" w:rsidRDefault="006138C7" w:rsidP="00954CEE">
      <w:pPr>
        <w:adjustRightInd w:val="0"/>
        <w:snapToGrid w:val="0"/>
        <w:spacing w:after="0" w:line="360" w:lineRule="auto"/>
        <w:jc w:val="both"/>
        <w:rPr>
          <w:rFonts w:ascii="Book Antiqua" w:hAnsi="Book Antiqua" w:cs="Book Antiqua"/>
          <w:sz w:val="24"/>
          <w:szCs w:val="24"/>
          <w:lang w:val="en-US" w:eastAsia="zh-CN"/>
        </w:rPr>
      </w:pPr>
      <w:r w:rsidRPr="00390EBD">
        <w:rPr>
          <w:rFonts w:ascii="Book Antiqua" w:hAnsi="Book Antiqua" w:cs="Book Antiqua"/>
          <w:b/>
          <w:bCs/>
          <w:sz w:val="24"/>
          <w:szCs w:val="24"/>
          <w:lang w:val="en-US"/>
        </w:rPr>
        <w:t>Key words:</w:t>
      </w:r>
      <w:r w:rsidR="00D95AD7">
        <w:rPr>
          <w:rFonts w:ascii="Book Antiqua" w:hAnsi="Book Antiqua" w:cs="Book Antiqua" w:hint="eastAsia"/>
          <w:b/>
          <w:bCs/>
          <w:sz w:val="24"/>
          <w:szCs w:val="24"/>
          <w:lang w:val="en-US" w:eastAsia="zh-CN"/>
        </w:rPr>
        <w:t xml:space="preserve"> </w:t>
      </w:r>
      <w:r w:rsidR="007A1542" w:rsidRPr="00390EBD">
        <w:rPr>
          <w:rFonts w:ascii="Book Antiqua" w:hAnsi="Book Antiqua" w:cs="Book Antiqua"/>
          <w:sz w:val="24"/>
          <w:szCs w:val="24"/>
          <w:lang w:val="en-US"/>
        </w:rPr>
        <w:t xml:space="preserve">Inflammatory </w:t>
      </w:r>
      <w:r w:rsidRPr="00390EBD">
        <w:rPr>
          <w:rFonts w:ascii="Book Antiqua" w:hAnsi="Book Antiqua" w:cs="Book Antiqua"/>
          <w:sz w:val="24"/>
          <w:szCs w:val="24"/>
          <w:lang w:val="en-US"/>
        </w:rPr>
        <w:t xml:space="preserve">bowel disease; </w:t>
      </w:r>
      <w:r w:rsidR="00D95AD7" w:rsidRPr="00390EBD">
        <w:rPr>
          <w:rFonts w:ascii="Book Antiqua" w:hAnsi="Book Antiqua" w:cs="Book Antiqua"/>
          <w:sz w:val="24"/>
          <w:szCs w:val="24"/>
          <w:lang w:val="en-US"/>
        </w:rPr>
        <w:t xml:space="preserve">Future </w:t>
      </w:r>
      <w:r w:rsidRPr="00390EBD">
        <w:rPr>
          <w:rFonts w:ascii="Book Antiqua" w:hAnsi="Book Antiqua" w:cs="Book Antiqua"/>
          <w:sz w:val="24"/>
          <w:szCs w:val="24"/>
          <w:lang w:val="en-US"/>
        </w:rPr>
        <w:t xml:space="preserve">directions; </w:t>
      </w:r>
      <w:r w:rsidR="00D95AD7" w:rsidRPr="00390EBD">
        <w:rPr>
          <w:rFonts w:ascii="Book Antiqua" w:hAnsi="Book Antiqua" w:cs="Book Antiqua"/>
          <w:sz w:val="24"/>
          <w:szCs w:val="24"/>
          <w:lang w:val="en-US"/>
        </w:rPr>
        <w:t>Pharmacogenetic</w:t>
      </w:r>
      <w:r w:rsidRPr="00390EBD">
        <w:rPr>
          <w:rFonts w:ascii="Book Antiqua" w:hAnsi="Book Antiqua" w:cs="Book Antiqua"/>
          <w:sz w:val="24"/>
          <w:szCs w:val="24"/>
          <w:lang w:val="en-US"/>
        </w:rPr>
        <w:t xml:space="preserve">; </w:t>
      </w:r>
      <w:r w:rsidR="00D95AD7">
        <w:rPr>
          <w:rFonts w:ascii="Book Antiqua" w:hAnsi="Book Antiqua" w:cs="Book Antiqua"/>
          <w:sz w:val="24"/>
          <w:szCs w:val="24"/>
          <w:lang w:val="en-US"/>
        </w:rPr>
        <w:t>Pharmacokinetics; New drugs</w:t>
      </w:r>
    </w:p>
    <w:p w14:paraId="5A6AB3D5" w14:textId="77777777" w:rsidR="00D95AD7" w:rsidRPr="00D95AD7" w:rsidRDefault="00D95AD7" w:rsidP="00954CEE">
      <w:pPr>
        <w:adjustRightInd w:val="0"/>
        <w:snapToGrid w:val="0"/>
        <w:spacing w:after="0" w:line="360" w:lineRule="auto"/>
        <w:jc w:val="both"/>
        <w:rPr>
          <w:rFonts w:ascii="Book Antiqua" w:hAnsi="Book Antiqua" w:cs="Book Antiqua"/>
          <w:b/>
          <w:bCs/>
          <w:sz w:val="24"/>
          <w:szCs w:val="24"/>
          <w:lang w:val="en-US" w:eastAsia="zh-CN"/>
        </w:rPr>
      </w:pPr>
    </w:p>
    <w:p w14:paraId="319FD6F3"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GB" w:eastAsia="es-ES"/>
        </w:rPr>
      </w:pPr>
      <w:r w:rsidRPr="00D95AD7">
        <w:rPr>
          <w:rFonts w:ascii="Book Antiqua" w:hAnsi="Book Antiqua" w:cs="Book Antiqua"/>
          <w:b/>
          <w:sz w:val="24"/>
          <w:szCs w:val="24"/>
          <w:lang w:val="en-GB" w:eastAsia="es-ES"/>
        </w:rPr>
        <w:t>© The Author(s) 2015.</w:t>
      </w:r>
      <w:r w:rsidRPr="00390EBD">
        <w:rPr>
          <w:rFonts w:ascii="Book Antiqua" w:hAnsi="Book Antiqua" w:cs="Book Antiqua"/>
          <w:sz w:val="24"/>
          <w:szCs w:val="24"/>
          <w:lang w:val="en-GB" w:eastAsia="es-ES"/>
        </w:rPr>
        <w:t xml:space="preserve"> Published </w:t>
      </w:r>
      <w:r w:rsidR="007A1542" w:rsidRPr="00390EBD">
        <w:rPr>
          <w:rFonts w:ascii="Book Antiqua" w:hAnsi="Book Antiqua" w:cs="Book Antiqua"/>
          <w:sz w:val="24"/>
          <w:szCs w:val="24"/>
          <w:lang w:val="en-GB" w:eastAsia="es-ES"/>
        </w:rPr>
        <w:t>by Bai</w:t>
      </w:r>
      <w:r w:rsidRPr="00390EBD">
        <w:rPr>
          <w:rFonts w:ascii="Book Antiqua" w:hAnsi="Book Antiqua" w:cs="Book Antiqua"/>
          <w:sz w:val="24"/>
          <w:szCs w:val="24"/>
          <w:lang w:val="en-GB" w:eastAsia="es-ES"/>
        </w:rPr>
        <w:t>shideng Publishing Group Inc. All rights reserved.</w:t>
      </w:r>
    </w:p>
    <w:p w14:paraId="6E9FFE27"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b/>
          <w:bCs/>
          <w:sz w:val="24"/>
          <w:szCs w:val="24"/>
          <w:u w:val="single"/>
          <w:lang w:val="en-GB" w:eastAsia="zh-CN"/>
        </w:rPr>
      </w:pPr>
    </w:p>
    <w:p w14:paraId="374AC9BA" w14:textId="2D0E797D" w:rsidR="006138C7" w:rsidRPr="00D95AD7" w:rsidRDefault="00D95AD7" w:rsidP="00954CEE">
      <w:pPr>
        <w:adjustRightInd w:val="0"/>
        <w:snapToGrid w:val="0"/>
        <w:spacing w:after="0" w:line="360" w:lineRule="auto"/>
        <w:jc w:val="both"/>
        <w:rPr>
          <w:rFonts w:ascii="Book Antiqua" w:hAnsi="Book Antiqua" w:cs="Book Antiqua"/>
          <w:b/>
          <w:bCs/>
          <w:sz w:val="24"/>
          <w:szCs w:val="24"/>
          <w:lang w:val="en-US"/>
        </w:rPr>
      </w:pPr>
      <w:r w:rsidRPr="00390EBD">
        <w:rPr>
          <w:rFonts w:ascii="Book Antiqua" w:hAnsi="Book Antiqua" w:cs="Book Antiqua"/>
          <w:b/>
          <w:bCs/>
          <w:sz w:val="24"/>
          <w:szCs w:val="24"/>
          <w:lang w:val="en-US"/>
        </w:rPr>
        <w:t>Core tip:</w:t>
      </w:r>
      <w:r>
        <w:rPr>
          <w:rFonts w:ascii="Book Antiqua" w:hAnsi="Book Antiqua" w:cs="Book Antiqua" w:hint="eastAsia"/>
          <w:b/>
          <w:bCs/>
          <w:sz w:val="24"/>
          <w:szCs w:val="24"/>
          <w:lang w:val="en-US" w:eastAsia="zh-CN"/>
        </w:rPr>
        <w:t xml:space="preserve"> </w:t>
      </w:r>
      <w:r w:rsidR="006138C7" w:rsidRPr="00390EBD">
        <w:rPr>
          <w:rFonts w:ascii="Book Antiqua" w:hAnsi="Book Antiqua" w:cs="Book Antiqua"/>
          <w:sz w:val="24"/>
          <w:szCs w:val="24"/>
          <w:lang w:val="en-US"/>
        </w:rPr>
        <w:t xml:space="preserve">Inflammatory bowel disease (IBD) is a disease with an increasing incidence and prevalence. In recent years there have been changes in the treatment objectives, in the monitoring of IBD, and in the drug treatments for controlling the disorder. This review analyzes the developments referred to pharmacogenetics, clinical pharmacology and the new drug molecules which may expand our treatment options in the future. </w:t>
      </w:r>
    </w:p>
    <w:p w14:paraId="36CBFC35" w14:textId="77777777" w:rsidR="006138C7" w:rsidRPr="00390EBD" w:rsidRDefault="006138C7" w:rsidP="00954CEE">
      <w:pPr>
        <w:adjustRightInd w:val="0"/>
        <w:snapToGrid w:val="0"/>
        <w:spacing w:after="0" w:line="360" w:lineRule="auto"/>
        <w:jc w:val="both"/>
        <w:rPr>
          <w:rFonts w:ascii="Book Antiqua" w:hAnsi="Book Antiqua" w:cs="Book Antiqua"/>
          <w:b/>
          <w:bCs/>
          <w:sz w:val="24"/>
          <w:szCs w:val="24"/>
          <w:u w:val="single"/>
          <w:lang w:eastAsia="zh-CN"/>
        </w:rPr>
      </w:pPr>
    </w:p>
    <w:p w14:paraId="4A974BDA" w14:textId="63AFE7AC" w:rsidR="004A74B3" w:rsidRDefault="006138C7" w:rsidP="00954CEE">
      <w:pPr>
        <w:adjustRightInd w:val="0"/>
        <w:snapToGrid w:val="0"/>
        <w:spacing w:after="0" w:line="360" w:lineRule="auto"/>
        <w:jc w:val="both"/>
        <w:rPr>
          <w:rFonts w:ascii="Book Antiqua" w:hAnsi="Book Antiqua" w:cs="Book Antiqua"/>
          <w:sz w:val="24"/>
          <w:szCs w:val="24"/>
          <w:lang w:val="en-GB" w:eastAsia="es-ES"/>
        </w:rPr>
      </w:pPr>
      <w:r w:rsidRPr="00390EBD">
        <w:rPr>
          <w:rFonts w:ascii="Book Antiqua" w:hAnsi="Book Antiqua" w:cs="Book Antiqua"/>
          <w:sz w:val="24"/>
          <w:szCs w:val="24"/>
          <w:lang w:eastAsia="es-ES"/>
        </w:rPr>
        <w:t>Gómez-Gómez</w:t>
      </w:r>
      <w:r w:rsidR="004A74B3">
        <w:rPr>
          <w:rFonts w:ascii="Book Antiqua" w:hAnsi="Book Antiqua" w:cs="Book Antiqua" w:hint="eastAsia"/>
          <w:sz w:val="24"/>
          <w:szCs w:val="24"/>
          <w:lang w:eastAsia="zh-CN"/>
        </w:rPr>
        <w:t xml:space="preserve"> </w:t>
      </w:r>
      <w:r w:rsidR="004A74B3" w:rsidRPr="004A74B3">
        <w:rPr>
          <w:rFonts w:ascii="Book Antiqua" w:hAnsi="Book Antiqua" w:cs="Book Antiqua" w:hint="eastAsia"/>
          <w:caps/>
          <w:sz w:val="24"/>
          <w:szCs w:val="24"/>
          <w:lang w:eastAsia="zh-CN"/>
        </w:rPr>
        <w:t>gj</w:t>
      </w:r>
      <w:r w:rsidRPr="00390EBD">
        <w:rPr>
          <w:rFonts w:ascii="Book Antiqua" w:hAnsi="Book Antiqua" w:cs="Book Antiqua"/>
          <w:sz w:val="24"/>
          <w:szCs w:val="24"/>
          <w:lang w:eastAsia="es-ES"/>
        </w:rPr>
        <w:t>, Masedo</w:t>
      </w:r>
      <w:r w:rsidR="004A74B3">
        <w:rPr>
          <w:rFonts w:ascii="Book Antiqua" w:hAnsi="Book Antiqua" w:cs="Book Antiqua" w:hint="eastAsia"/>
          <w:sz w:val="24"/>
          <w:szCs w:val="24"/>
          <w:lang w:eastAsia="zh-CN"/>
        </w:rPr>
        <w:t xml:space="preserve"> A</w:t>
      </w:r>
      <w:r w:rsidRPr="00390EBD">
        <w:rPr>
          <w:rFonts w:ascii="Book Antiqua" w:hAnsi="Book Antiqua" w:cs="Book Antiqua"/>
          <w:sz w:val="24"/>
          <w:szCs w:val="24"/>
          <w:lang w:eastAsia="es-ES"/>
        </w:rPr>
        <w:t>, Yela</w:t>
      </w:r>
      <w:r w:rsidR="004A74B3">
        <w:rPr>
          <w:rFonts w:ascii="Book Antiqua" w:hAnsi="Book Antiqua" w:cs="Book Antiqua" w:hint="eastAsia"/>
          <w:sz w:val="24"/>
          <w:szCs w:val="24"/>
          <w:lang w:eastAsia="zh-CN"/>
        </w:rPr>
        <w:t xml:space="preserve"> C</w:t>
      </w:r>
      <w:r w:rsidRPr="00390EBD">
        <w:rPr>
          <w:rFonts w:ascii="Book Antiqua" w:hAnsi="Book Antiqua" w:cs="Book Antiqua"/>
          <w:sz w:val="24"/>
          <w:szCs w:val="24"/>
          <w:lang w:eastAsia="es-ES"/>
        </w:rPr>
        <w:t>, Martínez-Montiel</w:t>
      </w:r>
      <w:r w:rsidR="004A74B3">
        <w:rPr>
          <w:rFonts w:ascii="Book Antiqua" w:hAnsi="Book Antiqua" w:cs="Book Antiqua" w:hint="eastAsia"/>
          <w:sz w:val="24"/>
          <w:szCs w:val="24"/>
          <w:lang w:eastAsia="zh-CN"/>
        </w:rPr>
        <w:t xml:space="preserve"> MP</w:t>
      </w:r>
      <w:r w:rsidRPr="00390EBD">
        <w:rPr>
          <w:rFonts w:ascii="Book Antiqua" w:hAnsi="Book Antiqua" w:cs="Book Antiqua"/>
          <w:sz w:val="24"/>
          <w:szCs w:val="24"/>
          <w:lang w:eastAsia="es-ES"/>
        </w:rPr>
        <w:t>, Casís</w:t>
      </w:r>
      <w:r w:rsidR="004A74B3">
        <w:rPr>
          <w:rFonts w:ascii="Book Antiqua" w:hAnsi="Book Antiqua" w:cs="Book Antiqua" w:hint="eastAsia"/>
          <w:sz w:val="24"/>
          <w:szCs w:val="24"/>
          <w:lang w:eastAsia="zh-CN"/>
        </w:rPr>
        <w:t xml:space="preserve"> B</w:t>
      </w:r>
      <w:r w:rsidRPr="00390EBD">
        <w:rPr>
          <w:rFonts w:ascii="Book Antiqua" w:hAnsi="Book Antiqua" w:cs="Book Antiqua"/>
          <w:sz w:val="24"/>
          <w:szCs w:val="24"/>
          <w:lang w:eastAsia="es-ES"/>
        </w:rPr>
        <w:t xml:space="preserve">. </w:t>
      </w:r>
      <w:r w:rsidR="004A74B3" w:rsidRPr="004A74B3">
        <w:rPr>
          <w:rFonts w:ascii="Book Antiqua" w:hAnsi="Book Antiqua" w:cs="Book Antiqua"/>
          <w:color w:val="000000"/>
          <w:sz w:val="24"/>
          <w:szCs w:val="24"/>
          <w:lang w:val="en-US"/>
        </w:rPr>
        <w:t>Current stage in inflammatory bowel disease: What is next?</w:t>
      </w:r>
      <w:r w:rsidR="004A74B3">
        <w:rPr>
          <w:rFonts w:ascii="Book Antiqua" w:hAnsi="Book Antiqua" w:cs="Book Antiqua" w:hint="eastAsia"/>
          <w:color w:val="000000"/>
          <w:sz w:val="24"/>
          <w:szCs w:val="24"/>
          <w:lang w:val="en-US" w:eastAsia="zh-CN"/>
        </w:rPr>
        <w:t xml:space="preserve"> </w:t>
      </w:r>
      <w:r w:rsidRPr="00390EBD">
        <w:rPr>
          <w:rFonts w:ascii="Book Antiqua" w:hAnsi="Book Antiqua" w:cs="Book Antiqua"/>
          <w:i/>
          <w:iCs/>
          <w:sz w:val="24"/>
          <w:szCs w:val="24"/>
          <w:lang w:val="en-GB" w:eastAsia="es-ES"/>
        </w:rPr>
        <w:t xml:space="preserve">World J Gastroenterol </w:t>
      </w:r>
      <w:r w:rsidRPr="00390EBD">
        <w:rPr>
          <w:rFonts w:ascii="Book Antiqua" w:hAnsi="Book Antiqua" w:cs="Book Antiqua"/>
          <w:sz w:val="24"/>
          <w:szCs w:val="24"/>
          <w:lang w:val="en-GB" w:eastAsia="es-ES"/>
        </w:rPr>
        <w:t>2015; In press</w:t>
      </w:r>
      <w:r w:rsidR="004A74B3">
        <w:rPr>
          <w:rFonts w:ascii="Book Antiqua" w:hAnsi="Book Antiqua" w:cs="Book Antiqua"/>
          <w:sz w:val="24"/>
          <w:szCs w:val="24"/>
          <w:lang w:val="en-GB" w:eastAsia="es-ES"/>
        </w:rPr>
        <w:br w:type="page"/>
      </w:r>
    </w:p>
    <w:p w14:paraId="779A9B1D" w14:textId="77777777" w:rsidR="006138C7" w:rsidRPr="00D95AD7" w:rsidRDefault="006138C7" w:rsidP="00954CEE">
      <w:pPr>
        <w:adjustRightInd w:val="0"/>
        <w:snapToGrid w:val="0"/>
        <w:spacing w:after="0" w:line="360" w:lineRule="auto"/>
        <w:jc w:val="both"/>
        <w:rPr>
          <w:rFonts w:ascii="Book Antiqua" w:hAnsi="Book Antiqua" w:cs="Book Antiqua"/>
          <w:b/>
          <w:bCs/>
          <w:sz w:val="24"/>
          <w:szCs w:val="24"/>
          <w:lang w:val="en-US"/>
        </w:rPr>
      </w:pPr>
      <w:r w:rsidRPr="00D95AD7">
        <w:rPr>
          <w:rFonts w:ascii="Book Antiqua" w:hAnsi="Book Antiqua" w:cs="Book Antiqua"/>
          <w:b/>
          <w:bCs/>
          <w:sz w:val="24"/>
          <w:szCs w:val="24"/>
          <w:lang w:val="en-US"/>
        </w:rPr>
        <w:lastRenderedPageBreak/>
        <w:t>INTRODUCTION</w:t>
      </w:r>
    </w:p>
    <w:p w14:paraId="013DB0A8" w14:textId="1ACE5B76" w:rsidR="006138C7" w:rsidRPr="00390EBD" w:rsidRDefault="006138C7" w:rsidP="00954CEE">
      <w:pPr>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 xml:space="preserve">Inflammatory bowel disease (IBD), Crohn's disease (CD) and ulcerative colitis (UC) are an important public health problem. According to recent studies, the annual incidence of UC varies </w:t>
      </w:r>
      <w:r w:rsidR="004A74B3">
        <w:rPr>
          <w:rFonts w:ascii="Book Antiqua" w:hAnsi="Book Antiqua" w:cs="Book Antiqua"/>
          <w:sz w:val="24"/>
          <w:szCs w:val="24"/>
          <w:lang w:val="en-US"/>
        </w:rPr>
        <w:t>between 19.2</w:t>
      </w:r>
      <w:r w:rsidR="004A74B3">
        <w:rPr>
          <w:rFonts w:ascii="Book Antiqua" w:hAnsi="Book Antiqua" w:cs="Book Antiqua" w:hint="eastAsia"/>
          <w:sz w:val="24"/>
          <w:szCs w:val="24"/>
          <w:lang w:val="en-US" w:eastAsia="zh-CN"/>
        </w:rPr>
        <w:t>-</w:t>
      </w:r>
      <w:r w:rsidR="004A74B3">
        <w:rPr>
          <w:rFonts w:ascii="Book Antiqua" w:hAnsi="Book Antiqua" w:cs="Book Antiqua"/>
          <w:sz w:val="24"/>
          <w:szCs w:val="24"/>
          <w:lang w:val="en-US"/>
        </w:rPr>
        <w:t>24.3 cases per 100</w:t>
      </w:r>
      <w:r w:rsidRPr="00390EBD">
        <w:rPr>
          <w:rFonts w:ascii="Book Antiqua" w:hAnsi="Book Antiqua" w:cs="Book Antiqua"/>
          <w:sz w:val="24"/>
          <w:szCs w:val="24"/>
          <w:lang w:val="en-US"/>
        </w:rPr>
        <w:t xml:space="preserve">000 inhabitants </w:t>
      </w:r>
      <w:r w:rsidR="004A74B3">
        <w:rPr>
          <w:rFonts w:ascii="Book Antiqua" w:hAnsi="Book Antiqua" w:cs="Book Antiqua"/>
          <w:sz w:val="24"/>
          <w:szCs w:val="24"/>
          <w:lang w:val="en-US"/>
        </w:rPr>
        <w:t>in Europe and 6.3 cases per 100</w:t>
      </w:r>
      <w:r w:rsidRPr="00390EBD">
        <w:rPr>
          <w:rFonts w:ascii="Book Antiqua" w:hAnsi="Book Antiqua" w:cs="Book Antiqua"/>
          <w:sz w:val="24"/>
          <w:szCs w:val="24"/>
          <w:lang w:val="en-US"/>
        </w:rPr>
        <w:t>000 inhabitants in Asia and the middle East</w:t>
      </w:r>
      <w:r w:rsidRPr="00390EBD">
        <w:rPr>
          <w:rFonts w:ascii="Book Antiqua" w:hAnsi="Book Antiqua" w:cs="Book Antiqua"/>
          <w:sz w:val="24"/>
          <w:szCs w:val="24"/>
          <w:vertAlign w:val="superscript"/>
          <w:lang w:val="en-US"/>
        </w:rPr>
        <w:t>[1]</w:t>
      </w:r>
      <w:r w:rsidRPr="00390EBD">
        <w:rPr>
          <w:rFonts w:ascii="Book Antiqua" w:hAnsi="Book Antiqua" w:cs="Book Antiqua"/>
          <w:sz w:val="24"/>
          <w:szCs w:val="24"/>
          <w:lang w:val="en-US"/>
        </w:rPr>
        <w:t>. In the case of CD the estimated incid</w:t>
      </w:r>
      <w:r w:rsidR="004A74B3">
        <w:rPr>
          <w:rFonts w:ascii="Book Antiqua" w:hAnsi="Book Antiqua" w:cs="Book Antiqua"/>
          <w:sz w:val="24"/>
          <w:szCs w:val="24"/>
          <w:lang w:val="en-US"/>
        </w:rPr>
        <w:t>ence is 12.7</w:t>
      </w:r>
      <w:r w:rsidR="004A74B3">
        <w:rPr>
          <w:rFonts w:ascii="Book Antiqua" w:hAnsi="Book Antiqua" w:cs="Book Antiqua" w:hint="eastAsia"/>
          <w:sz w:val="24"/>
          <w:szCs w:val="24"/>
          <w:lang w:val="en-US" w:eastAsia="zh-CN"/>
        </w:rPr>
        <w:t>-</w:t>
      </w:r>
      <w:r w:rsidR="004A74B3">
        <w:rPr>
          <w:rFonts w:ascii="Book Antiqua" w:hAnsi="Book Antiqua" w:cs="Book Antiqua"/>
          <w:sz w:val="24"/>
          <w:szCs w:val="24"/>
          <w:lang w:val="en-US"/>
        </w:rPr>
        <w:t>20.2 cases per 100</w:t>
      </w:r>
      <w:r w:rsidRPr="00390EBD">
        <w:rPr>
          <w:rFonts w:ascii="Book Antiqua" w:hAnsi="Book Antiqua" w:cs="Book Antiqua"/>
          <w:sz w:val="24"/>
          <w:szCs w:val="24"/>
          <w:lang w:val="en-US"/>
        </w:rPr>
        <w:t>000 inhabitants in Europe and the Unite</w:t>
      </w:r>
      <w:r w:rsidR="004A74B3">
        <w:rPr>
          <w:rFonts w:ascii="Book Antiqua" w:hAnsi="Book Antiqua" w:cs="Book Antiqua"/>
          <w:sz w:val="24"/>
          <w:szCs w:val="24"/>
          <w:lang w:val="en-US"/>
        </w:rPr>
        <w:t xml:space="preserve">d States </w:t>
      </w:r>
      <w:r w:rsidR="0020336D" w:rsidRPr="0020336D">
        <w:rPr>
          <w:rFonts w:ascii="Book Antiqua" w:hAnsi="Book Antiqua" w:cs="Book Antiqua"/>
          <w:i/>
          <w:sz w:val="24"/>
          <w:szCs w:val="24"/>
          <w:lang w:val="en-US"/>
        </w:rPr>
        <w:t>vs</w:t>
      </w:r>
      <w:r w:rsidR="004A74B3">
        <w:rPr>
          <w:rFonts w:ascii="Book Antiqua" w:hAnsi="Book Antiqua" w:cs="Book Antiqua"/>
          <w:sz w:val="24"/>
          <w:szCs w:val="24"/>
          <w:lang w:val="en-US"/>
        </w:rPr>
        <w:t xml:space="preserve"> 5 cases per 100</w:t>
      </w:r>
      <w:r w:rsidRPr="00390EBD">
        <w:rPr>
          <w:rFonts w:ascii="Book Antiqua" w:hAnsi="Book Antiqua" w:cs="Book Antiqua"/>
          <w:sz w:val="24"/>
          <w:szCs w:val="24"/>
          <w:lang w:val="en-US"/>
        </w:rPr>
        <w:t>000 inhabitants in Asia and the middle East. An increase in the incidence of IBD is currently being seen in areas where the disease was infrequent in the past. As a result, the gap between high</w:t>
      </w:r>
      <w:r w:rsidRPr="00390EBD">
        <w:rPr>
          <w:rFonts w:ascii="Book Antiqua" w:hAnsi="Book Antiqua" w:cs="Book Antiqua"/>
          <w:sz w:val="24"/>
          <w:szCs w:val="24"/>
          <w:lang w:val="en-US"/>
        </w:rPr>
        <w:noBreakHyphen/>
        <w:t xml:space="preserve"> and low</w:t>
      </w:r>
      <w:r w:rsidRPr="00390EBD">
        <w:rPr>
          <w:rFonts w:ascii="Book Antiqua" w:hAnsi="Book Antiqua" w:cs="Book Antiqua"/>
          <w:sz w:val="24"/>
          <w:szCs w:val="24"/>
          <w:lang w:val="en-US"/>
        </w:rPr>
        <w:noBreakHyphen/>
        <w:t>incidence countries is closing</w:t>
      </w:r>
      <w:r w:rsidRPr="00390EBD">
        <w:rPr>
          <w:rFonts w:ascii="Book Antiqua" w:hAnsi="Book Antiqua" w:cs="Book Antiqua"/>
          <w:sz w:val="24"/>
          <w:szCs w:val="24"/>
          <w:vertAlign w:val="superscript"/>
          <w:lang w:val="en-US"/>
        </w:rPr>
        <w:t>[2]</w:t>
      </w:r>
      <w:r w:rsidRPr="00390EBD">
        <w:rPr>
          <w:rFonts w:ascii="Book Antiqua" w:hAnsi="Book Antiqua" w:cs="Book Antiqua"/>
          <w:sz w:val="24"/>
          <w:szCs w:val="24"/>
          <w:lang w:val="en-US"/>
        </w:rPr>
        <w:t>. This rising trend runs parallel to technological development, improved living standards, and a greater interest in this disease among physicians</w:t>
      </w:r>
      <w:r w:rsidRPr="00390EBD">
        <w:rPr>
          <w:rFonts w:ascii="Book Antiqua" w:hAnsi="Book Antiqua" w:cs="Book Antiqua"/>
          <w:sz w:val="24"/>
          <w:szCs w:val="24"/>
          <w:vertAlign w:val="superscript"/>
          <w:lang w:val="en-US"/>
        </w:rPr>
        <w:t>[3]</w:t>
      </w:r>
      <w:r w:rsidRPr="00390EBD">
        <w:rPr>
          <w:rFonts w:ascii="Book Antiqua" w:hAnsi="Book Antiqua" w:cs="Book Antiqua"/>
          <w:sz w:val="24"/>
          <w:szCs w:val="24"/>
          <w:lang w:val="en-US"/>
        </w:rPr>
        <w:t>. The underlying pathogenesis remains uncertain, though the most widely accepted theory refers to an alteration of the host immune response to the intestinal microbiota in genetically susceptible individuals, triggered by environmental stimuli. None of these alterations alone are able to cause the disease, and the interactions among these four factors cause the pathogenesis to be very complex. In recent decades there have been important advances in reference to each of these factors. Progress in the field of genetics has resulted from the conduction of genome</w:t>
      </w:r>
      <w:r w:rsidRPr="00390EBD">
        <w:rPr>
          <w:rFonts w:ascii="Book Antiqua" w:hAnsi="Book Antiqua" w:cs="Book Antiqua"/>
          <w:sz w:val="24"/>
          <w:szCs w:val="24"/>
          <w:lang w:val="en-US"/>
        </w:rPr>
        <w:noBreakHyphen/>
        <w:t>wide association studies (GWAS), though they are only able to account for 20</w:t>
      </w:r>
      <w:r w:rsidR="004A74B3">
        <w:rPr>
          <w:rFonts w:ascii="Book Antiqua" w:hAnsi="Book Antiqua" w:cs="Book Antiqua" w:hint="eastAsia"/>
          <w:sz w:val="24"/>
          <w:szCs w:val="24"/>
          <w:lang w:val="en-US" w:eastAsia="zh-CN"/>
        </w:rPr>
        <w:t>%-</w:t>
      </w:r>
      <w:r w:rsidRPr="00390EBD">
        <w:rPr>
          <w:rFonts w:ascii="Book Antiqua" w:hAnsi="Book Antiqua" w:cs="Book Antiqua"/>
          <w:sz w:val="24"/>
          <w:szCs w:val="24"/>
          <w:lang w:val="en-US"/>
        </w:rPr>
        <w:t>25% of the cases of IBD</w:t>
      </w:r>
      <w:r w:rsidRPr="00390EBD">
        <w:rPr>
          <w:rFonts w:ascii="Book Antiqua" w:hAnsi="Book Antiqua" w:cs="Book Antiqua"/>
          <w:sz w:val="24"/>
          <w:szCs w:val="24"/>
          <w:vertAlign w:val="superscript"/>
          <w:lang w:val="en-US"/>
        </w:rPr>
        <w:t>[4]</w:t>
      </w:r>
      <w:r w:rsidRPr="00390EBD">
        <w:rPr>
          <w:rFonts w:ascii="Book Antiqua" w:hAnsi="Book Antiqua" w:cs="Book Antiqua"/>
          <w:sz w:val="24"/>
          <w:szCs w:val="24"/>
          <w:lang w:val="en-US"/>
        </w:rPr>
        <w:t>. Knowledge of the epigenetic mechanisms could explain the influence of environmental factors and the microbiota upon IBD and the low correlation to concrete genes</w:t>
      </w:r>
      <w:r w:rsidRPr="00390EBD">
        <w:rPr>
          <w:rFonts w:ascii="Book Antiqua" w:hAnsi="Book Antiqua" w:cs="Book Antiqua"/>
          <w:sz w:val="24"/>
          <w:szCs w:val="24"/>
          <w:vertAlign w:val="superscript"/>
          <w:lang w:val="en-US"/>
        </w:rPr>
        <w:t>[5,6]</w:t>
      </w:r>
      <w:r w:rsidRPr="00390EBD">
        <w:rPr>
          <w:rFonts w:ascii="Book Antiqua" w:hAnsi="Book Antiqua" w:cs="Book Antiqua"/>
          <w:sz w:val="24"/>
          <w:szCs w:val="24"/>
          <w:lang w:val="en-US"/>
        </w:rPr>
        <w:t>. These developments have opened the door to personalized medicine</w:t>
      </w:r>
      <w:r w:rsidRPr="00390EBD">
        <w:rPr>
          <w:rFonts w:ascii="Book Antiqua" w:hAnsi="Book Antiqua" w:cs="Book Antiqua"/>
          <w:sz w:val="24"/>
          <w:szCs w:val="24"/>
          <w:vertAlign w:val="superscript"/>
          <w:lang w:val="en-US"/>
        </w:rPr>
        <w:t>[7]</w:t>
      </w:r>
      <w:r w:rsidRPr="00390EBD">
        <w:rPr>
          <w:rFonts w:ascii="Book Antiqua" w:hAnsi="Book Antiqua" w:cs="Book Antiqua"/>
          <w:sz w:val="24"/>
          <w:szCs w:val="24"/>
          <w:lang w:val="en-US"/>
        </w:rPr>
        <w:t>.</w:t>
      </w:r>
    </w:p>
    <w:p w14:paraId="36AEE018" w14:textId="6EE2E36E" w:rsidR="006138C7" w:rsidRPr="00390EBD" w:rsidRDefault="006138C7" w:rsidP="00954CEE">
      <w:pPr>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Knowledge of the immunological mechanisms involved in the appearance of IBD has led to the development of new biological drugs. The first major advance was represented by the anti</w:t>
      </w:r>
      <w:r w:rsidRPr="00390EBD">
        <w:rPr>
          <w:rFonts w:ascii="Book Antiqua" w:hAnsi="Book Antiqua" w:cs="Book Antiqua"/>
          <w:sz w:val="24"/>
          <w:szCs w:val="24"/>
          <w:lang w:val="en-US"/>
        </w:rPr>
        <w:noBreakHyphen/>
        <w:t>TNF</w:t>
      </w:r>
      <w:r w:rsidR="004A74B3">
        <w:rPr>
          <w:rFonts w:ascii="Book Antiqua" w:hAnsi="Book Antiqua" w:cs="Book Antiqua" w:hint="eastAsia"/>
          <w:sz w:val="24"/>
          <w:szCs w:val="24"/>
          <w:lang w:val="en-US" w:eastAsia="zh-CN"/>
        </w:rPr>
        <w:t>-</w:t>
      </w:r>
      <w:r w:rsidRPr="00390EBD">
        <w:rPr>
          <w:rFonts w:ascii="Book Antiqua" w:hAnsi="Book Antiqua" w:cs="Book Antiqua"/>
          <w:sz w:val="24"/>
          <w:szCs w:val="24"/>
        </w:rPr>
        <w:t>α</w:t>
      </w:r>
      <w:r w:rsidRPr="00390EBD">
        <w:rPr>
          <w:rFonts w:ascii="Book Antiqua" w:hAnsi="Book Antiqua" w:cs="Book Antiqua"/>
          <w:sz w:val="24"/>
          <w:szCs w:val="24"/>
          <w:lang w:val="en-US"/>
        </w:rPr>
        <w:t xml:space="preserve"> drugs, which have revolutionized the treatment of IBD, since they are able to induce and maintain mucosal healing of the disease</w:t>
      </w:r>
      <w:r w:rsidRPr="00390EBD">
        <w:rPr>
          <w:rFonts w:ascii="Book Antiqua" w:hAnsi="Book Antiqua" w:cs="Book Antiqua"/>
          <w:sz w:val="24"/>
          <w:szCs w:val="24"/>
          <w:vertAlign w:val="superscript"/>
          <w:lang w:val="en-US"/>
        </w:rPr>
        <w:t>[8]</w:t>
      </w:r>
      <w:r w:rsidRPr="00390EBD">
        <w:rPr>
          <w:rFonts w:ascii="Book Antiqua" w:hAnsi="Book Antiqua" w:cs="Book Antiqua"/>
          <w:sz w:val="24"/>
          <w:szCs w:val="24"/>
          <w:lang w:val="en-US"/>
        </w:rPr>
        <w:t xml:space="preserve"> this being a key factor for modifying the natural course of the disorder</w:t>
      </w:r>
      <w:r w:rsidRPr="00390EBD">
        <w:rPr>
          <w:rFonts w:ascii="Book Antiqua" w:hAnsi="Book Antiqua" w:cs="Book Antiqua"/>
          <w:sz w:val="24"/>
          <w:szCs w:val="24"/>
          <w:vertAlign w:val="superscript"/>
          <w:lang w:val="en-US"/>
        </w:rPr>
        <w:t>[9,10]</w:t>
      </w:r>
      <w:r w:rsidRPr="00390EBD">
        <w:rPr>
          <w:rFonts w:ascii="Book Antiqua" w:hAnsi="Book Antiqua" w:cs="Book Antiqua"/>
          <w:sz w:val="24"/>
          <w:szCs w:val="24"/>
          <w:lang w:val="en-US"/>
        </w:rPr>
        <w:t>. Nevertheless, despite the advances in the treatment of these diseases, one</w:t>
      </w:r>
      <w:r w:rsidRPr="00390EBD">
        <w:rPr>
          <w:rFonts w:ascii="Book Antiqua" w:hAnsi="Book Antiqua" w:cs="Book Antiqua"/>
          <w:sz w:val="24"/>
          <w:szCs w:val="24"/>
          <w:lang w:val="en-US"/>
        </w:rPr>
        <w:noBreakHyphen/>
        <w:t>third of all patients with CD fail to respond to anti</w:t>
      </w:r>
      <w:r w:rsidR="004A74B3">
        <w:rPr>
          <w:rFonts w:ascii="Book Antiqua" w:hAnsi="Book Antiqua" w:cs="Book Antiqua" w:hint="eastAsia"/>
          <w:sz w:val="24"/>
          <w:szCs w:val="24"/>
          <w:lang w:val="en-US" w:eastAsia="zh-CN"/>
        </w:rPr>
        <w:t>-</w:t>
      </w:r>
      <w:r w:rsidRPr="00390EBD">
        <w:rPr>
          <w:rFonts w:ascii="Book Antiqua" w:hAnsi="Book Antiqua" w:cs="Book Antiqua"/>
          <w:sz w:val="24"/>
          <w:szCs w:val="24"/>
          <w:lang w:val="en-US"/>
        </w:rPr>
        <w:t>TNF</w:t>
      </w:r>
      <w:r w:rsidR="004A74B3">
        <w:rPr>
          <w:rFonts w:ascii="Book Antiqua" w:hAnsi="Book Antiqua" w:cs="Book Antiqua" w:hint="eastAsia"/>
          <w:sz w:val="24"/>
          <w:szCs w:val="24"/>
          <w:lang w:val="en-US" w:eastAsia="zh-CN"/>
        </w:rPr>
        <w:t>-</w:t>
      </w:r>
      <w:r w:rsidRPr="00390EBD">
        <w:rPr>
          <w:rFonts w:ascii="Book Antiqua" w:hAnsi="Book Antiqua" w:cs="Book Antiqua"/>
          <w:sz w:val="24"/>
          <w:szCs w:val="24"/>
        </w:rPr>
        <w:t>α</w:t>
      </w:r>
      <w:r w:rsidRPr="00390EBD">
        <w:rPr>
          <w:rFonts w:ascii="Book Antiqua" w:hAnsi="Book Antiqua" w:cs="Book Antiqua"/>
          <w:sz w:val="24"/>
          <w:szCs w:val="24"/>
          <w:lang w:val="en-US"/>
        </w:rPr>
        <w:t xml:space="preserve"> therapy </w:t>
      </w:r>
      <w:r w:rsidRPr="00390EBD">
        <w:rPr>
          <w:rFonts w:ascii="Book Antiqua" w:hAnsi="Book Antiqua" w:cs="Book Antiqua"/>
          <w:sz w:val="24"/>
          <w:szCs w:val="24"/>
          <w:lang w:val="en-US"/>
        </w:rPr>
        <w:lastRenderedPageBreak/>
        <w:t>(primary non</w:t>
      </w:r>
      <w:r w:rsidRPr="00390EBD">
        <w:rPr>
          <w:rFonts w:ascii="Book Antiqua" w:hAnsi="Book Antiqua" w:cs="Book Antiqua"/>
          <w:sz w:val="24"/>
          <w:szCs w:val="24"/>
          <w:lang w:val="en-US"/>
        </w:rPr>
        <w:noBreakHyphen/>
        <w:t>responders), and 10% do not tolerate or do not respond to any of the drugs used to treat CD</w:t>
      </w:r>
      <w:r w:rsidRPr="00390EBD">
        <w:rPr>
          <w:rFonts w:ascii="Book Antiqua" w:hAnsi="Book Antiqua" w:cs="Book Antiqua"/>
          <w:sz w:val="24"/>
          <w:szCs w:val="24"/>
          <w:vertAlign w:val="superscript"/>
          <w:lang w:val="en-US"/>
        </w:rPr>
        <w:t>[11,12]</w:t>
      </w:r>
      <w:r w:rsidRPr="00390EBD">
        <w:rPr>
          <w:rFonts w:ascii="Book Antiqua" w:hAnsi="Book Antiqua" w:cs="Book Antiqua"/>
          <w:sz w:val="24"/>
          <w:szCs w:val="24"/>
          <w:lang w:val="en-US"/>
        </w:rPr>
        <w:t>. In the case of UC, the reported colectomy rate reaches 21% after an initial response to anti</w:t>
      </w:r>
      <w:r w:rsidRPr="00390EBD">
        <w:rPr>
          <w:rFonts w:ascii="Book Antiqua" w:hAnsi="Book Antiqua" w:cs="Book Antiqua"/>
          <w:sz w:val="24"/>
          <w:szCs w:val="24"/>
          <w:lang w:val="en-US"/>
        </w:rPr>
        <w:noBreakHyphen/>
        <w:t>TNF</w:t>
      </w:r>
      <w:r w:rsidRPr="00390EBD">
        <w:rPr>
          <w:rFonts w:ascii="Book Antiqua" w:hAnsi="Book Antiqua" w:cs="Book Antiqua"/>
          <w:sz w:val="24"/>
          <w:szCs w:val="24"/>
          <w:lang w:val="en-US"/>
        </w:rPr>
        <w:noBreakHyphen/>
      </w:r>
      <w:r w:rsidRPr="00390EBD">
        <w:rPr>
          <w:rFonts w:ascii="Book Antiqua" w:hAnsi="Book Antiqua" w:cs="Book Antiqua"/>
          <w:sz w:val="24"/>
          <w:szCs w:val="24"/>
        </w:rPr>
        <w:t>α</w:t>
      </w:r>
      <w:r w:rsidRPr="00390EBD">
        <w:rPr>
          <w:rFonts w:ascii="Book Antiqua" w:hAnsi="Book Antiqua" w:cs="Book Antiqua"/>
          <w:sz w:val="24"/>
          <w:szCs w:val="24"/>
          <w:lang w:val="en-US"/>
        </w:rPr>
        <w:t xml:space="preserve"> drugs</w:t>
      </w:r>
      <w:r w:rsidRPr="00390EBD">
        <w:rPr>
          <w:rFonts w:ascii="Book Antiqua" w:hAnsi="Book Antiqua" w:cs="Book Antiqua"/>
          <w:sz w:val="24"/>
          <w:szCs w:val="24"/>
          <w:vertAlign w:val="superscript"/>
          <w:lang w:val="en-US"/>
        </w:rPr>
        <w:t>[13]</w:t>
      </w:r>
      <w:r w:rsidRPr="00390EBD">
        <w:rPr>
          <w:rFonts w:ascii="Book Antiqua" w:hAnsi="Book Antiqua" w:cs="Book Antiqua"/>
          <w:sz w:val="24"/>
          <w:szCs w:val="24"/>
          <w:lang w:val="en-US"/>
        </w:rPr>
        <w:t>. This has led to the search for new therapeutic targets and further optimization of the existing treatment options. Clinical pharmacology allows us to determine the therapeutic drug concentrations (thiopurine agents and anti</w:t>
      </w:r>
      <w:r w:rsidR="004A74B3">
        <w:rPr>
          <w:rFonts w:ascii="Book Antiqua" w:hAnsi="Book Antiqua" w:cs="Book Antiqua" w:hint="eastAsia"/>
          <w:sz w:val="24"/>
          <w:szCs w:val="24"/>
          <w:lang w:val="en-US" w:eastAsia="zh-CN"/>
        </w:rPr>
        <w:t>-</w:t>
      </w:r>
      <w:r w:rsidRPr="00390EBD">
        <w:rPr>
          <w:rFonts w:ascii="Book Antiqua" w:hAnsi="Book Antiqua" w:cs="Book Antiqua"/>
          <w:sz w:val="24"/>
          <w:szCs w:val="24"/>
          <w:lang w:val="en-US"/>
        </w:rPr>
        <w:t>TNF</w:t>
      </w:r>
      <w:r w:rsidR="004A74B3">
        <w:rPr>
          <w:rFonts w:ascii="Book Antiqua" w:hAnsi="Book Antiqua" w:cs="Book Antiqua" w:hint="eastAsia"/>
          <w:sz w:val="24"/>
          <w:szCs w:val="24"/>
          <w:lang w:val="en-US" w:eastAsia="zh-CN"/>
        </w:rPr>
        <w:t>-</w:t>
      </w:r>
      <w:r w:rsidRPr="00390EBD">
        <w:rPr>
          <w:rFonts w:ascii="Book Antiqua" w:hAnsi="Book Antiqua" w:cs="Book Antiqua"/>
          <w:sz w:val="24"/>
          <w:szCs w:val="24"/>
        </w:rPr>
        <w:t>α</w:t>
      </w:r>
      <w:r w:rsidRPr="00390EBD">
        <w:rPr>
          <w:rFonts w:ascii="Book Antiqua" w:hAnsi="Book Antiqua" w:cs="Book Antiqua"/>
          <w:sz w:val="24"/>
          <w:szCs w:val="24"/>
          <w:lang w:val="en-US"/>
        </w:rPr>
        <w:t xml:space="preserve"> drugs), explain their loss of response and the adverse effects. In the coming years we will see personalized medicine in which the treatments will be prescribed according to the risk factors in each individual patient and the probability of achieving response to a given drug substance. At the same time there have been changes in the way in which IBD is monitored, with the adoption of reliable and scantly aggressive techniques such as noninvasive imaging tests, stool markers, breath tests, </w:t>
      </w:r>
      <w:r w:rsidRPr="00BB5B43">
        <w:rPr>
          <w:rFonts w:ascii="Book Antiqua" w:hAnsi="Book Antiqua" w:cs="Book Antiqua"/>
          <w:i/>
          <w:sz w:val="24"/>
          <w:szCs w:val="24"/>
          <w:lang w:val="en-US"/>
        </w:rPr>
        <w:t>etc</w:t>
      </w:r>
      <w:r w:rsidR="00BB5B43">
        <w:rPr>
          <w:rFonts w:ascii="Book Antiqua" w:hAnsi="Book Antiqua" w:cs="Book Antiqua" w:hint="eastAsia"/>
          <w:sz w:val="24"/>
          <w:szCs w:val="24"/>
          <w:lang w:val="en-US" w:eastAsia="zh-CN"/>
        </w:rPr>
        <w:t>.</w:t>
      </w:r>
      <w:r w:rsidRPr="00390EBD">
        <w:rPr>
          <w:rFonts w:ascii="Book Antiqua" w:hAnsi="Book Antiqua" w:cs="Book Antiqua"/>
          <w:sz w:val="24"/>
          <w:szCs w:val="24"/>
          <w:vertAlign w:val="superscript"/>
          <w:lang w:val="en-US"/>
        </w:rPr>
        <w:t>[14]</w:t>
      </w:r>
      <w:r w:rsidRPr="00390EBD">
        <w:rPr>
          <w:rFonts w:ascii="Book Antiqua" w:hAnsi="Book Antiqua" w:cs="Book Antiqua"/>
          <w:sz w:val="24"/>
          <w:szCs w:val="24"/>
          <w:lang w:val="en-US"/>
        </w:rPr>
        <w:t>, which fall beyond the scope of this review. A description is provided below of the current advances in pharmacogenetics and possible new drug substances.</w:t>
      </w:r>
    </w:p>
    <w:p w14:paraId="751B0684" w14:textId="77777777" w:rsidR="004A74B3" w:rsidRDefault="004A74B3" w:rsidP="00954CEE">
      <w:pPr>
        <w:adjustRightInd w:val="0"/>
        <w:snapToGrid w:val="0"/>
        <w:spacing w:after="0" w:line="360" w:lineRule="auto"/>
        <w:jc w:val="both"/>
        <w:rPr>
          <w:rFonts w:ascii="Book Antiqua" w:hAnsi="Book Antiqua" w:cs="Book Antiqua"/>
          <w:b/>
          <w:bCs/>
          <w:sz w:val="24"/>
          <w:szCs w:val="24"/>
          <w:u w:val="single"/>
          <w:lang w:val="en-US" w:eastAsia="zh-CN"/>
        </w:rPr>
      </w:pPr>
    </w:p>
    <w:p w14:paraId="6DD7C1FF" w14:textId="77777777" w:rsidR="006138C7" w:rsidRPr="004A74B3" w:rsidRDefault="006138C7" w:rsidP="00954CEE">
      <w:pPr>
        <w:adjustRightInd w:val="0"/>
        <w:snapToGrid w:val="0"/>
        <w:spacing w:after="0" w:line="360" w:lineRule="auto"/>
        <w:jc w:val="both"/>
        <w:rPr>
          <w:rFonts w:ascii="Book Antiqua" w:hAnsi="Book Antiqua" w:cs="Book Antiqua"/>
          <w:b/>
          <w:bCs/>
          <w:sz w:val="24"/>
          <w:szCs w:val="24"/>
          <w:lang w:val="en-US"/>
        </w:rPr>
      </w:pPr>
      <w:r w:rsidRPr="004A74B3">
        <w:rPr>
          <w:rFonts w:ascii="Book Antiqua" w:hAnsi="Book Antiqua" w:cs="Book Antiqua"/>
          <w:b/>
          <w:bCs/>
          <w:sz w:val="24"/>
          <w:szCs w:val="24"/>
          <w:lang w:val="en-US"/>
        </w:rPr>
        <w:t>PHARMACOGENETICS</w:t>
      </w:r>
    </w:p>
    <w:p w14:paraId="093A51AB" w14:textId="77777777" w:rsidR="006138C7" w:rsidRPr="00390EBD" w:rsidRDefault="006138C7" w:rsidP="00954CEE">
      <w:pPr>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 xml:space="preserve"> Personalized medicine seeks to find the ideal drug for each individual patient, at the appropriate dose, and administered </w:t>
      </w:r>
      <w:r w:rsidRPr="00BB5B43">
        <w:rPr>
          <w:rFonts w:ascii="Book Antiqua" w:hAnsi="Book Antiqua" w:cs="Book Antiqua"/>
          <w:i/>
          <w:sz w:val="24"/>
          <w:szCs w:val="24"/>
          <w:lang w:val="en-US"/>
        </w:rPr>
        <w:t>via</w:t>
      </w:r>
      <w:r w:rsidRPr="00390EBD">
        <w:rPr>
          <w:rFonts w:ascii="Book Antiqua" w:hAnsi="Book Antiqua" w:cs="Book Antiqua"/>
          <w:sz w:val="24"/>
          <w:szCs w:val="24"/>
          <w:lang w:val="en-US"/>
        </w:rPr>
        <w:t xml:space="preserve"> the best possible route. This approach allows for increased effectiveness, with the least risk of side effects, and at the lowest possible cost. Physicians try to identify patients with more serious disease, with a view to introducing early and more effective treatment in order to prevent long</w:t>
      </w:r>
      <w:r w:rsidRPr="00390EBD">
        <w:rPr>
          <w:rFonts w:ascii="Book Antiqua" w:hAnsi="Book Antiqua" w:cs="Book Antiqua"/>
          <w:sz w:val="24"/>
          <w:szCs w:val="24"/>
          <w:lang w:val="en-US"/>
        </w:rPr>
        <w:noBreakHyphen/>
        <w:t xml:space="preserve">term complications, distinguishing them from those individuals with less severe disease and a more favorable prognosis in which aggressive treatment poses a higher risk of undesired effects. Patient response to drug treatment is dependent upon many factors, including the severity of the disease and genetic and environmental factors. </w:t>
      </w:r>
    </w:p>
    <w:p w14:paraId="1D5BD4AE" w14:textId="40836D57" w:rsidR="006138C7" w:rsidRPr="00390EBD" w:rsidRDefault="006138C7" w:rsidP="00954CEE">
      <w:pPr>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Pharmacogenetics studies the association between the different polymorphisms of a gene and the variability of response to treatment with a given drug or its toxicity. It has been estimated that polymorphisms can account for 20</w:t>
      </w:r>
      <w:r w:rsidR="004A74B3">
        <w:rPr>
          <w:rFonts w:ascii="Book Antiqua" w:hAnsi="Book Antiqua" w:cs="Book Antiqua" w:hint="eastAsia"/>
          <w:sz w:val="24"/>
          <w:szCs w:val="24"/>
          <w:lang w:val="en-US" w:eastAsia="zh-CN"/>
        </w:rPr>
        <w:t>%-</w:t>
      </w:r>
      <w:r w:rsidRPr="00390EBD">
        <w:rPr>
          <w:rFonts w:ascii="Book Antiqua" w:hAnsi="Book Antiqua" w:cs="Book Antiqua"/>
          <w:sz w:val="24"/>
          <w:szCs w:val="24"/>
          <w:lang w:val="en-US"/>
        </w:rPr>
        <w:t>95% of the variability of response to a given drug</w:t>
      </w:r>
      <w:r w:rsidRPr="00390EBD">
        <w:rPr>
          <w:rFonts w:ascii="Book Antiqua" w:hAnsi="Book Antiqua" w:cs="Book Antiqua"/>
          <w:sz w:val="24"/>
          <w:szCs w:val="24"/>
          <w:vertAlign w:val="superscript"/>
          <w:lang w:val="en-US"/>
        </w:rPr>
        <w:t>[15]</w:t>
      </w:r>
      <w:r w:rsidRPr="00390EBD">
        <w:rPr>
          <w:rFonts w:ascii="Book Antiqua" w:hAnsi="Book Antiqua" w:cs="Book Antiqua"/>
          <w:sz w:val="24"/>
          <w:szCs w:val="24"/>
          <w:lang w:val="en-US"/>
        </w:rPr>
        <w:t xml:space="preserve">. </w:t>
      </w:r>
    </w:p>
    <w:p w14:paraId="66FADC98" w14:textId="6C430FF6" w:rsidR="006138C7" w:rsidRDefault="006138C7" w:rsidP="00954CEE">
      <w:pPr>
        <w:adjustRightInd w:val="0"/>
        <w:snapToGrid w:val="0"/>
        <w:spacing w:after="0" w:line="360" w:lineRule="auto"/>
        <w:ind w:firstLineChars="200" w:firstLine="480"/>
        <w:jc w:val="both"/>
        <w:rPr>
          <w:rFonts w:ascii="Book Antiqua" w:hAnsi="Book Antiqua" w:cs="Book Antiqua"/>
          <w:sz w:val="24"/>
          <w:szCs w:val="24"/>
          <w:lang w:val="en-US" w:eastAsia="zh-CN"/>
        </w:rPr>
      </w:pPr>
      <w:r w:rsidRPr="00390EBD">
        <w:rPr>
          <w:rFonts w:ascii="Book Antiqua" w:hAnsi="Book Antiqua" w:cs="Book Antiqua"/>
          <w:sz w:val="24"/>
          <w:szCs w:val="24"/>
          <w:lang w:val="en-US"/>
        </w:rPr>
        <w:lastRenderedPageBreak/>
        <w:t>A number of drugs are currently available for the treatment of IBD: 5</w:t>
      </w:r>
      <w:r w:rsidRPr="00390EBD">
        <w:rPr>
          <w:rFonts w:ascii="Book Antiqua" w:hAnsi="Book Antiqua" w:cs="Book Antiqua"/>
          <w:sz w:val="24"/>
          <w:szCs w:val="24"/>
          <w:lang w:val="en-US"/>
        </w:rPr>
        <w:noBreakHyphen/>
        <w:t>aminosalicylates, corticosteroids, immunosuppressors (thiopurine drugs, calcineurinic agents, methotrexate) and biological agents (anti</w:t>
      </w:r>
      <w:r w:rsidR="004A74B3">
        <w:rPr>
          <w:rFonts w:ascii="Book Antiqua" w:hAnsi="Book Antiqua" w:cs="Book Antiqua" w:hint="eastAsia"/>
          <w:sz w:val="24"/>
          <w:szCs w:val="24"/>
          <w:lang w:val="en-US" w:eastAsia="zh-CN"/>
        </w:rPr>
        <w:t>-</w:t>
      </w:r>
      <w:r w:rsidRPr="00390EBD">
        <w:rPr>
          <w:rFonts w:ascii="Book Antiqua" w:hAnsi="Book Antiqua" w:cs="Book Antiqua"/>
          <w:sz w:val="24"/>
          <w:szCs w:val="24"/>
          <w:lang w:val="en-US"/>
        </w:rPr>
        <w:t>TNF</w:t>
      </w:r>
      <w:r w:rsidR="004A74B3">
        <w:rPr>
          <w:rFonts w:ascii="Book Antiqua" w:hAnsi="Book Antiqua" w:cs="Book Antiqua" w:hint="eastAsia"/>
          <w:sz w:val="24"/>
          <w:szCs w:val="24"/>
          <w:lang w:val="en-US" w:eastAsia="zh-CN"/>
        </w:rPr>
        <w:t>-</w:t>
      </w:r>
      <w:r w:rsidRPr="00390EBD">
        <w:rPr>
          <w:rFonts w:ascii="Book Antiqua" w:hAnsi="Book Antiqua" w:cs="Book Antiqua"/>
          <w:sz w:val="24"/>
          <w:szCs w:val="24"/>
        </w:rPr>
        <w:t>α</w:t>
      </w:r>
      <w:r w:rsidRPr="00390EBD">
        <w:rPr>
          <w:rFonts w:ascii="Book Antiqua" w:hAnsi="Book Antiqua" w:cs="Book Antiqua"/>
          <w:sz w:val="24"/>
          <w:szCs w:val="24"/>
          <w:lang w:val="en-US"/>
        </w:rPr>
        <w:t xml:space="preserve"> drugs). </w:t>
      </w:r>
    </w:p>
    <w:p w14:paraId="0D067D32" w14:textId="77777777" w:rsidR="004A74B3" w:rsidRPr="00390EBD" w:rsidRDefault="004A74B3" w:rsidP="00954CEE">
      <w:pPr>
        <w:adjustRightInd w:val="0"/>
        <w:snapToGrid w:val="0"/>
        <w:spacing w:after="0" w:line="360" w:lineRule="auto"/>
        <w:ind w:firstLineChars="200" w:firstLine="480"/>
        <w:jc w:val="both"/>
        <w:rPr>
          <w:rFonts w:ascii="Book Antiqua" w:hAnsi="Book Antiqua" w:cs="Book Antiqua"/>
          <w:sz w:val="24"/>
          <w:szCs w:val="24"/>
          <w:lang w:val="en-US" w:eastAsia="zh-CN"/>
        </w:rPr>
      </w:pPr>
    </w:p>
    <w:p w14:paraId="40ED94B3" w14:textId="77777777" w:rsidR="006138C7" w:rsidRPr="00390EBD" w:rsidRDefault="006138C7" w:rsidP="00954CEE">
      <w:pPr>
        <w:adjustRightInd w:val="0"/>
        <w:snapToGrid w:val="0"/>
        <w:spacing w:after="0" w:line="360" w:lineRule="auto"/>
        <w:jc w:val="both"/>
        <w:rPr>
          <w:rFonts w:ascii="Book Antiqua" w:hAnsi="Book Antiqua" w:cs="Book Antiqua"/>
          <w:b/>
          <w:bCs/>
          <w:sz w:val="24"/>
          <w:szCs w:val="24"/>
          <w:lang w:val="en-US"/>
        </w:rPr>
      </w:pPr>
      <w:r w:rsidRPr="00390EBD">
        <w:rPr>
          <w:rFonts w:ascii="Book Antiqua" w:hAnsi="Book Antiqua" w:cs="Book Antiqua"/>
          <w:b/>
          <w:bCs/>
          <w:sz w:val="24"/>
          <w:szCs w:val="24"/>
          <w:lang w:val="en-US"/>
        </w:rPr>
        <w:t>AMINOSALICYLATES</w:t>
      </w:r>
    </w:p>
    <w:p w14:paraId="756E7CED" w14:textId="18C6F3EB" w:rsidR="006138C7" w:rsidRDefault="006138C7" w:rsidP="00954CEE">
      <w:pPr>
        <w:autoSpaceDE w:val="0"/>
        <w:autoSpaceDN w:val="0"/>
        <w:adjustRightInd w:val="0"/>
        <w:snapToGrid w:val="0"/>
        <w:spacing w:after="0" w:line="360" w:lineRule="auto"/>
        <w:jc w:val="both"/>
        <w:rPr>
          <w:rFonts w:ascii="Book Antiqua" w:hAnsi="Book Antiqua" w:cs="Book Antiqua"/>
          <w:color w:val="231F20"/>
          <w:sz w:val="24"/>
          <w:szCs w:val="24"/>
          <w:lang w:val="en-US" w:eastAsia="zh-CN"/>
        </w:rPr>
      </w:pPr>
      <w:r w:rsidRPr="00390EBD">
        <w:rPr>
          <w:rFonts w:ascii="Book Antiqua" w:hAnsi="Book Antiqua" w:cs="Book Antiqua"/>
          <w:color w:val="231F20"/>
          <w:sz w:val="24"/>
          <w:szCs w:val="24"/>
          <w:lang w:val="en-US"/>
        </w:rPr>
        <w:t>The aminosalicylates are among the main agents used to treat patients with UC, and their colon cancer chemoprophylactic effect causes them to be used in UC with pancolonic disease involvement. The metabolization of both sulfasalazine and mesalazine is mediated by an enzyme (N</w:t>
      </w:r>
      <w:r w:rsidR="004A74B3">
        <w:rPr>
          <w:rFonts w:ascii="Book Antiqua" w:hAnsi="Book Antiqua" w:cs="Book Antiqua" w:hint="eastAsia"/>
          <w:color w:val="231F20"/>
          <w:sz w:val="24"/>
          <w:szCs w:val="24"/>
          <w:lang w:val="en-US" w:eastAsia="zh-CN"/>
        </w:rPr>
        <w:t>-</w:t>
      </w:r>
      <w:r w:rsidRPr="00390EBD">
        <w:rPr>
          <w:rFonts w:ascii="Book Antiqua" w:hAnsi="Book Antiqua" w:cs="Book Antiqua"/>
          <w:color w:val="231F20"/>
          <w:sz w:val="24"/>
          <w:szCs w:val="24"/>
          <w:lang w:val="en-US"/>
        </w:rPr>
        <w:t>acetyltransferase, NAT). For almost 6 decades the population has been divided into fast and slow acetylators. There are two NAT isoenzymes (NAT1 and NAT2), and different polymorphisms have been described in different ethnic groups</w:t>
      </w:r>
      <w:r w:rsidRPr="00390EBD">
        <w:rPr>
          <w:rFonts w:ascii="Book Antiqua" w:hAnsi="Book Antiqua" w:cs="Book Antiqua"/>
          <w:sz w:val="24"/>
          <w:szCs w:val="24"/>
          <w:vertAlign w:val="superscript"/>
          <w:lang w:val="en-US"/>
        </w:rPr>
        <w:t>[16]</w:t>
      </w:r>
      <w:r w:rsidRPr="00390EBD">
        <w:rPr>
          <w:rFonts w:ascii="Book Antiqua" w:hAnsi="Book Antiqua" w:cs="Book Antiqua"/>
          <w:sz w:val="24"/>
          <w:szCs w:val="24"/>
          <w:lang w:val="en-US"/>
        </w:rPr>
        <w:t>.</w:t>
      </w:r>
      <w:r w:rsidRPr="00390EBD">
        <w:rPr>
          <w:rFonts w:ascii="Book Antiqua" w:hAnsi="Book Antiqua" w:cs="Book Antiqua"/>
          <w:color w:val="231F20"/>
          <w:sz w:val="24"/>
          <w:szCs w:val="24"/>
          <w:lang w:val="en-US"/>
        </w:rPr>
        <w:t xml:space="preserve"> NAT1 metabolizes mesalazine, and no associations to clinical effects have been demonstrated. NAT2 metabolizes salazopyrin derived from sulfasalazine breakdown. As early as 1983 an association was described between NAT2 slow acetylators (which therefore accumulate higher drug levels in blood) and an increased number of side effects. </w:t>
      </w:r>
      <w:r w:rsidRPr="00390EBD">
        <w:rPr>
          <w:rFonts w:ascii="Book Antiqua" w:hAnsi="Book Antiqua" w:cs="Book Antiqua"/>
          <w:sz w:val="24"/>
          <w:szCs w:val="24"/>
          <w:lang w:val="en-US"/>
        </w:rPr>
        <w:t>Twenty</w:t>
      </w:r>
      <w:r w:rsidR="004A74B3">
        <w:rPr>
          <w:rFonts w:ascii="Book Antiqua" w:hAnsi="Book Antiqua" w:cs="Book Antiqua" w:hint="eastAsia"/>
          <w:sz w:val="24"/>
          <w:szCs w:val="24"/>
          <w:lang w:val="en-US" w:eastAsia="zh-CN"/>
        </w:rPr>
        <w:t>-</w:t>
      </w:r>
      <w:r w:rsidRPr="00390EBD">
        <w:rPr>
          <w:rFonts w:ascii="Book Antiqua" w:hAnsi="Book Antiqua" w:cs="Book Antiqua"/>
          <w:sz w:val="24"/>
          <w:szCs w:val="24"/>
          <w:lang w:val="en-US"/>
        </w:rPr>
        <w:t>five years later, and thanks to our knowledge of single nucleotide polymorphisms (SNPs), it has been possible to confirm the association between NAT2 with a slow acetylator phenotype and dose</w:t>
      </w:r>
      <w:r w:rsidRPr="00390EBD">
        <w:rPr>
          <w:rFonts w:ascii="Book Antiqua" w:hAnsi="Book Antiqua" w:cs="Book Antiqua"/>
          <w:sz w:val="24"/>
          <w:szCs w:val="24"/>
          <w:lang w:val="en-US"/>
        </w:rPr>
        <w:noBreakHyphen/>
        <w:t>dependent side effects</w:t>
      </w:r>
      <w:r w:rsidRPr="00390EBD">
        <w:rPr>
          <w:rFonts w:ascii="Book Antiqua" w:hAnsi="Book Antiqua" w:cs="Book Antiqua"/>
          <w:sz w:val="24"/>
          <w:szCs w:val="24"/>
          <w:vertAlign w:val="superscript"/>
          <w:lang w:val="en-US"/>
        </w:rPr>
        <w:t>[17]</w:t>
      </w:r>
      <w:r w:rsidRPr="00390EBD">
        <w:rPr>
          <w:rFonts w:ascii="Book Antiqua" w:hAnsi="Book Antiqua" w:cs="Book Antiqua"/>
          <w:sz w:val="24"/>
          <w:szCs w:val="24"/>
          <w:lang w:val="en-US"/>
        </w:rPr>
        <w:t>.</w:t>
      </w:r>
      <w:r w:rsidRPr="00390EBD">
        <w:rPr>
          <w:rFonts w:ascii="Book Antiqua" w:hAnsi="Book Antiqua" w:cs="Book Antiqua"/>
          <w:color w:val="231F20"/>
          <w:sz w:val="24"/>
          <w:szCs w:val="24"/>
          <w:lang w:val="en-US"/>
        </w:rPr>
        <w:t xml:space="preserve"> There are fewer studies on 5</w:t>
      </w:r>
      <w:r w:rsidR="004A74B3">
        <w:rPr>
          <w:rFonts w:ascii="Book Antiqua" w:hAnsi="Book Antiqua" w:cs="Book Antiqua" w:hint="eastAsia"/>
          <w:color w:val="231F20"/>
          <w:sz w:val="24"/>
          <w:szCs w:val="24"/>
          <w:lang w:val="en-US" w:eastAsia="zh-CN"/>
        </w:rPr>
        <w:t>-</w:t>
      </w:r>
      <w:r w:rsidRPr="00390EBD">
        <w:rPr>
          <w:rFonts w:ascii="Book Antiqua" w:hAnsi="Book Antiqua" w:cs="Book Antiqua"/>
          <w:color w:val="231F20"/>
          <w:sz w:val="24"/>
          <w:szCs w:val="24"/>
          <w:lang w:val="en-US"/>
        </w:rPr>
        <w:t>acetylsalicylic acid (5</w:t>
      </w:r>
      <w:r w:rsidR="004A74B3">
        <w:rPr>
          <w:rFonts w:ascii="Book Antiqua" w:hAnsi="Book Antiqua" w:cs="Book Antiqua" w:hint="eastAsia"/>
          <w:color w:val="231F20"/>
          <w:sz w:val="24"/>
          <w:szCs w:val="24"/>
          <w:lang w:val="en-US" w:eastAsia="zh-CN"/>
        </w:rPr>
        <w:t>-</w:t>
      </w:r>
      <w:r w:rsidRPr="00390EBD">
        <w:rPr>
          <w:rFonts w:ascii="Book Antiqua" w:hAnsi="Book Antiqua" w:cs="Book Antiqua"/>
          <w:color w:val="231F20"/>
          <w:sz w:val="24"/>
          <w:szCs w:val="24"/>
          <w:lang w:val="en-US"/>
        </w:rPr>
        <w:t>ASA) than with immunosuppressors and biological drugs, since 5</w:t>
      </w:r>
      <w:r w:rsidR="004A74B3">
        <w:rPr>
          <w:rFonts w:ascii="Book Antiqua" w:hAnsi="Book Antiqua" w:cs="Book Antiqua" w:hint="eastAsia"/>
          <w:color w:val="231F20"/>
          <w:sz w:val="24"/>
          <w:szCs w:val="24"/>
          <w:lang w:val="en-US" w:eastAsia="zh-CN"/>
        </w:rPr>
        <w:t>-</w:t>
      </w:r>
      <w:r w:rsidRPr="00390EBD">
        <w:rPr>
          <w:rFonts w:ascii="Book Antiqua" w:hAnsi="Book Antiqua" w:cs="Book Antiqua"/>
          <w:color w:val="231F20"/>
          <w:sz w:val="24"/>
          <w:szCs w:val="24"/>
          <w:lang w:val="en-US"/>
        </w:rPr>
        <w:t>ASA is only used to reduce side effects that are usually not serious. However, since more prolonged treatment with 5</w:t>
      </w:r>
      <w:r w:rsidR="004A74B3">
        <w:rPr>
          <w:rFonts w:ascii="Book Antiqua" w:hAnsi="Book Antiqua" w:cs="Book Antiqua" w:hint="eastAsia"/>
          <w:color w:val="231F20"/>
          <w:sz w:val="24"/>
          <w:szCs w:val="24"/>
          <w:lang w:val="en-US" w:eastAsia="zh-CN"/>
        </w:rPr>
        <w:t>-</w:t>
      </w:r>
      <w:r w:rsidRPr="00390EBD">
        <w:rPr>
          <w:rFonts w:ascii="Book Antiqua" w:hAnsi="Book Antiqua" w:cs="Book Antiqua"/>
          <w:color w:val="231F20"/>
          <w:sz w:val="24"/>
          <w:szCs w:val="24"/>
          <w:lang w:val="en-US"/>
        </w:rPr>
        <w:t xml:space="preserve">ASA was proposed due to its chemoprotective effect against colon cancer, the pharmacogenetic studies have become more important. </w:t>
      </w:r>
    </w:p>
    <w:p w14:paraId="4CFDB1CB" w14:textId="77777777" w:rsidR="004A74B3" w:rsidRPr="00390EBD" w:rsidRDefault="004A74B3" w:rsidP="00954CEE">
      <w:pPr>
        <w:autoSpaceDE w:val="0"/>
        <w:autoSpaceDN w:val="0"/>
        <w:adjustRightInd w:val="0"/>
        <w:snapToGrid w:val="0"/>
        <w:spacing w:after="0" w:line="360" w:lineRule="auto"/>
        <w:jc w:val="both"/>
        <w:rPr>
          <w:rFonts w:ascii="Book Antiqua" w:hAnsi="Book Antiqua" w:cs="Book Antiqua"/>
          <w:color w:val="231F20"/>
          <w:sz w:val="24"/>
          <w:szCs w:val="24"/>
          <w:lang w:val="en-US" w:eastAsia="zh-CN"/>
        </w:rPr>
      </w:pPr>
    </w:p>
    <w:p w14:paraId="2ABB9180"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b/>
          <w:bCs/>
          <w:sz w:val="24"/>
          <w:szCs w:val="24"/>
          <w:lang w:val="en-US"/>
        </w:rPr>
      </w:pPr>
      <w:r w:rsidRPr="00390EBD">
        <w:rPr>
          <w:rFonts w:ascii="Book Antiqua" w:hAnsi="Book Antiqua" w:cs="Book Antiqua"/>
          <w:b/>
          <w:bCs/>
          <w:sz w:val="24"/>
          <w:szCs w:val="24"/>
          <w:lang w:val="en-US"/>
        </w:rPr>
        <w:t>GLUCOCORTICOIDS</w:t>
      </w:r>
    </w:p>
    <w:p w14:paraId="78C9A9A6" w14:textId="202D5C5B"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4F81BD"/>
          <w:sz w:val="24"/>
          <w:szCs w:val="24"/>
          <w:lang w:val="en-US"/>
        </w:rPr>
      </w:pPr>
      <w:r w:rsidRPr="00390EBD">
        <w:rPr>
          <w:rFonts w:ascii="Book Antiqua" w:hAnsi="Book Antiqua" w:cs="Book Antiqua"/>
          <w:sz w:val="24"/>
          <w:szCs w:val="24"/>
          <w:lang w:val="en-US"/>
        </w:rPr>
        <w:t>Glucocorticoids (GLCs) are used in moderate and severe flare</w:t>
      </w:r>
      <w:r w:rsidRPr="00390EBD">
        <w:rPr>
          <w:rFonts w:ascii="Book Antiqua" w:hAnsi="Book Antiqua" w:cs="Book Antiqua"/>
          <w:sz w:val="24"/>
          <w:szCs w:val="24"/>
          <w:lang w:val="en-US"/>
        </w:rPr>
        <w:noBreakHyphen/>
        <w:t>ups of IBD, and although they are very effective, 16</w:t>
      </w:r>
      <w:r w:rsidR="004A74B3">
        <w:rPr>
          <w:rFonts w:ascii="Book Antiqua" w:hAnsi="Book Antiqua" w:cs="Book Antiqua" w:hint="eastAsia"/>
          <w:sz w:val="24"/>
          <w:szCs w:val="24"/>
          <w:lang w:val="en-US" w:eastAsia="zh-CN"/>
        </w:rPr>
        <w:t>%-</w:t>
      </w:r>
      <w:r w:rsidRPr="00390EBD">
        <w:rPr>
          <w:rFonts w:ascii="Book Antiqua" w:hAnsi="Book Antiqua" w:cs="Book Antiqua"/>
          <w:sz w:val="24"/>
          <w:szCs w:val="24"/>
          <w:lang w:val="en-US"/>
        </w:rPr>
        <w:t>20% of all patients are refractory to GLCs in the Caucasian population, and 28</w:t>
      </w:r>
      <w:r w:rsidR="004A74B3">
        <w:rPr>
          <w:rFonts w:ascii="Book Antiqua" w:hAnsi="Book Antiqua" w:cs="Book Antiqua" w:hint="eastAsia"/>
          <w:sz w:val="24"/>
          <w:szCs w:val="24"/>
          <w:lang w:val="en-US" w:eastAsia="zh-CN"/>
        </w:rPr>
        <w:t>%-</w:t>
      </w:r>
      <w:r w:rsidRPr="00390EBD">
        <w:rPr>
          <w:rFonts w:ascii="Book Antiqua" w:hAnsi="Book Antiqua" w:cs="Book Antiqua"/>
          <w:sz w:val="24"/>
          <w:szCs w:val="24"/>
          <w:lang w:val="en-US"/>
        </w:rPr>
        <w:t>36% are corticodependent</w:t>
      </w:r>
      <w:r w:rsidRPr="00390EBD">
        <w:rPr>
          <w:rFonts w:ascii="Book Antiqua" w:hAnsi="Book Antiqua" w:cs="Book Antiqua"/>
          <w:sz w:val="24"/>
          <w:szCs w:val="24"/>
          <w:vertAlign w:val="superscript"/>
          <w:lang w:val="en-US"/>
        </w:rPr>
        <w:t>[18-20]</w:t>
      </w:r>
      <w:r w:rsidRPr="00390EBD">
        <w:rPr>
          <w:rFonts w:ascii="Book Antiqua" w:hAnsi="Book Antiqua" w:cs="Book Antiqua"/>
          <w:sz w:val="24"/>
          <w:szCs w:val="24"/>
          <w:lang w:val="en-US"/>
        </w:rPr>
        <w:t>.</w:t>
      </w:r>
      <w:r w:rsidRPr="00390EBD">
        <w:rPr>
          <w:rFonts w:ascii="Book Antiqua" w:hAnsi="Book Antiqua" w:cs="Book Antiqua"/>
          <w:color w:val="0070C0"/>
          <w:sz w:val="24"/>
          <w:szCs w:val="24"/>
          <w:lang w:val="en-US"/>
        </w:rPr>
        <w:t xml:space="preserve"> </w:t>
      </w:r>
      <w:r w:rsidRPr="00390EBD">
        <w:rPr>
          <w:rFonts w:ascii="Book Antiqua" w:hAnsi="Book Antiqua" w:cs="Book Antiqua"/>
          <w:sz w:val="24"/>
          <w:szCs w:val="24"/>
          <w:lang w:val="en-US"/>
        </w:rPr>
        <w:t xml:space="preserve">The GLCs exert their antiinflammatory effect by inhibiting T cell activation and </w:t>
      </w:r>
      <w:r w:rsidRPr="00390EBD">
        <w:rPr>
          <w:rFonts w:ascii="Book Antiqua" w:hAnsi="Book Antiqua" w:cs="Book Antiqua"/>
          <w:sz w:val="24"/>
          <w:szCs w:val="24"/>
          <w:lang w:val="en-US"/>
        </w:rPr>
        <w:lastRenderedPageBreak/>
        <w:t>cytokine secretion, following binding of the drug to the intracellular glucocorticoid receptors (GR</w:t>
      </w:r>
      <w:r w:rsidR="004A74B3">
        <w:rPr>
          <w:rFonts w:ascii="Book Antiqua" w:hAnsi="Book Antiqua" w:cs="Book Antiqua" w:hint="eastAsia"/>
          <w:sz w:val="24"/>
          <w:szCs w:val="24"/>
          <w:lang w:val="en-US" w:eastAsia="zh-CN"/>
        </w:rPr>
        <w:t>-</w:t>
      </w:r>
      <w:r w:rsidRPr="00390EBD">
        <w:rPr>
          <w:rFonts w:ascii="Book Antiqua" w:hAnsi="Book Antiqua" w:cs="Book Antiqua"/>
          <w:sz w:val="24"/>
          <w:szCs w:val="24"/>
          <w:lang w:val="en-US"/>
        </w:rPr>
        <w:t>alpha), which modify their structural conformation as a result. Three potential mechanisms can cause GLCS treatment to be ineffective: inadequate receptor function; an excess of proinflammatory cytokines, which would reduce affinity between the drug and its intracellular receptor; and a decrease in intracellular corticosteroids secondary to expulsion from the cell</w:t>
      </w:r>
      <w:r w:rsidRPr="00390EBD">
        <w:rPr>
          <w:rFonts w:ascii="Book Antiqua" w:hAnsi="Book Antiqua" w:cs="Book Antiqua"/>
          <w:sz w:val="24"/>
          <w:szCs w:val="24"/>
          <w:vertAlign w:val="superscript"/>
          <w:lang w:val="en-US"/>
        </w:rPr>
        <w:t>[21]</w:t>
      </w:r>
      <w:r w:rsidRPr="00390EBD">
        <w:rPr>
          <w:rFonts w:ascii="Book Antiqua" w:hAnsi="Book Antiqua" w:cs="Book Antiqua"/>
          <w:sz w:val="24"/>
          <w:szCs w:val="24"/>
          <w:lang w:val="en-US"/>
        </w:rPr>
        <w:t>. This latter mechanism is dependent upon glycoprotein P</w:t>
      </w:r>
      <w:r w:rsidR="004A74B3">
        <w:rPr>
          <w:rFonts w:ascii="Book Antiqua" w:hAnsi="Book Antiqua" w:cs="Book Antiqua" w:hint="eastAsia"/>
          <w:sz w:val="24"/>
          <w:szCs w:val="24"/>
          <w:lang w:val="en-US" w:eastAsia="zh-CN"/>
        </w:rPr>
        <w:t>-</w:t>
      </w:r>
      <w:r w:rsidRPr="00390EBD">
        <w:rPr>
          <w:rFonts w:ascii="Book Antiqua" w:hAnsi="Book Antiqua" w:cs="Book Antiqua"/>
          <w:sz w:val="24"/>
          <w:szCs w:val="24"/>
          <w:lang w:val="en-US"/>
        </w:rPr>
        <w:t>170 (P</w:t>
      </w:r>
      <w:r w:rsidR="004A74B3">
        <w:rPr>
          <w:rFonts w:ascii="Book Antiqua" w:hAnsi="Book Antiqua" w:cs="Book Antiqua" w:hint="eastAsia"/>
          <w:sz w:val="24"/>
          <w:szCs w:val="24"/>
          <w:lang w:val="en-US" w:eastAsia="zh-CN"/>
        </w:rPr>
        <w:t>-</w:t>
      </w:r>
      <w:r w:rsidRPr="00390EBD">
        <w:rPr>
          <w:rFonts w:ascii="Book Antiqua" w:hAnsi="Book Antiqua" w:cs="Book Antiqua"/>
          <w:sz w:val="24"/>
          <w:szCs w:val="24"/>
          <w:lang w:val="en-US"/>
        </w:rPr>
        <w:t>gp), which is found in lymphocytes and in the apical membrane of the enterocytes, among other locations. An increase in P</w:t>
      </w:r>
      <w:r w:rsidRPr="00390EBD">
        <w:rPr>
          <w:rFonts w:ascii="Book Antiqua" w:hAnsi="Book Antiqua" w:cs="Book Antiqua"/>
          <w:sz w:val="24"/>
          <w:szCs w:val="24"/>
          <w:lang w:val="en-US"/>
        </w:rPr>
        <w:noBreakHyphen/>
        <w:t>gp at cell surface level causes drug release into the bloodstream. This protein is encoded by the ABCB1/MDR1 gene of chromosome 7. The expression of this gene is reportedly increased in IBD presenting a greater need for surgery because of a poor response to drug treatment</w:t>
      </w:r>
      <w:r w:rsidRPr="00390EBD">
        <w:rPr>
          <w:rFonts w:ascii="Book Antiqua" w:hAnsi="Book Antiqua" w:cs="Book Antiqua"/>
          <w:sz w:val="24"/>
          <w:szCs w:val="24"/>
          <w:vertAlign w:val="superscript"/>
          <w:lang w:val="en-US"/>
        </w:rPr>
        <w:t>[22]</w:t>
      </w:r>
      <w:r w:rsidRPr="00390EBD">
        <w:rPr>
          <w:rFonts w:ascii="Book Antiqua" w:hAnsi="Book Antiqua" w:cs="Book Antiqua"/>
          <w:sz w:val="24"/>
          <w:szCs w:val="24"/>
          <w:lang w:val="en-US"/>
        </w:rPr>
        <w:t>. Different allelic variants (the most widely studied being C3435T and G2677T) are associated to an increased risk of developing extensive UC, though no association to CD has been observed</w:t>
      </w:r>
      <w:r w:rsidRPr="00390EBD">
        <w:rPr>
          <w:rFonts w:ascii="Book Antiqua" w:hAnsi="Book Antiqua" w:cs="Book Antiqua"/>
          <w:sz w:val="24"/>
          <w:szCs w:val="24"/>
          <w:vertAlign w:val="superscript"/>
          <w:lang w:val="en-US"/>
        </w:rPr>
        <w:t>[23]</w:t>
      </w:r>
      <w:r w:rsidRPr="00390EBD">
        <w:rPr>
          <w:rFonts w:ascii="Book Antiqua" w:hAnsi="Book Antiqua" w:cs="Book Antiqua"/>
          <w:sz w:val="24"/>
          <w:szCs w:val="24"/>
          <w:lang w:val="en-US"/>
        </w:rPr>
        <w:t>. Studies with larger patient series and stable corticosteroid doses are needed to determine the precise relationship between P</w:t>
      </w:r>
      <w:r w:rsidR="004A74B3">
        <w:rPr>
          <w:rFonts w:ascii="Book Antiqua" w:hAnsi="Book Antiqua" w:cs="Book Antiqua" w:hint="eastAsia"/>
          <w:sz w:val="24"/>
          <w:szCs w:val="24"/>
          <w:lang w:val="en-US" w:eastAsia="zh-CN"/>
        </w:rPr>
        <w:t>-</w:t>
      </w:r>
      <w:r w:rsidRPr="00390EBD">
        <w:rPr>
          <w:rFonts w:ascii="Book Antiqua" w:hAnsi="Book Antiqua" w:cs="Book Antiqua"/>
          <w:sz w:val="24"/>
          <w:szCs w:val="24"/>
          <w:lang w:val="en-US"/>
        </w:rPr>
        <w:t>gp and the lack of response to such drugs.</w:t>
      </w:r>
    </w:p>
    <w:p w14:paraId="6B7E3073" w14:textId="77777777" w:rsidR="006138C7" w:rsidRPr="00390EBD" w:rsidRDefault="006138C7" w:rsidP="00954CEE">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The studies that have explored the different cytokines implicated in corticosteroid response offer contradictory results, and the underlying polymorphisms have not been established</w:t>
      </w:r>
      <w:r w:rsidRPr="00390EBD">
        <w:rPr>
          <w:rFonts w:ascii="Book Antiqua" w:hAnsi="Book Antiqua" w:cs="Book Antiqua"/>
          <w:sz w:val="24"/>
          <w:szCs w:val="24"/>
          <w:vertAlign w:val="superscript"/>
          <w:lang w:val="en-US"/>
        </w:rPr>
        <w:t>[24]</w:t>
      </w:r>
      <w:r w:rsidRPr="00390EBD">
        <w:rPr>
          <w:rFonts w:ascii="Book Antiqua" w:hAnsi="Book Antiqua" w:cs="Book Antiqua"/>
          <w:sz w:val="24"/>
          <w:szCs w:val="24"/>
          <w:lang w:val="en-US"/>
        </w:rPr>
        <w:t>.</w:t>
      </w:r>
    </w:p>
    <w:p w14:paraId="6315A263" w14:textId="77777777" w:rsidR="006138C7" w:rsidRPr="00390EBD" w:rsidRDefault="006138C7" w:rsidP="00954CEE">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Genetic studies related to the gene (hGR) encoding for the intracellular glucocorticoid receptor have also been carried out. Polymorphism N363S is associated to a good response</w:t>
      </w:r>
      <w:r w:rsidRPr="00390EBD">
        <w:rPr>
          <w:rFonts w:ascii="Book Antiqua" w:hAnsi="Book Antiqua" w:cs="Book Antiqua"/>
          <w:sz w:val="24"/>
          <w:szCs w:val="24"/>
          <w:vertAlign w:val="superscript"/>
          <w:lang w:val="en-US"/>
        </w:rPr>
        <w:t>[25]</w:t>
      </w:r>
      <w:r w:rsidRPr="00390EBD">
        <w:rPr>
          <w:rFonts w:ascii="Book Antiqua" w:hAnsi="Book Antiqua" w:cs="Book Antiqua"/>
          <w:sz w:val="24"/>
          <w:szCs w:val="24"/>
          <w:lang w:val="en-US"/>
        </w:rPr>
        <w:t>, while polymorphism ER22/23EK is associated to corticosteroid resistance</w:t>
      </w:r>
      <w:r w:rsidRPr="00390EBD">
        <w:rPr>
          <w:rFonts w:ascii="Book Antiqua" w:hAnsi="Book Antiqua" w:cs="Book Antiqua"/>
          <w:sz w:val="24"/>
          <w:szCs w:val="24"/>
          <w:vertAlign w:val="superscript"/>
          <w:lang w:val="en-US"/>
        </w:rPr>
        <w:t>[26]</w:t>
      </w:r>
      <w:r w:rsidRPr="00390EBD">
        <w:rPr>
          <w:rFonts w:ascii="Book Antiqua" w:hAnsi="Book Antiqua" w:cs="Book Antiqua"/>
          <w:sz w:val="24"/>
          <w:szCs w:val="24"/>
          <w:lang w:val="en-US"/>
        </w:rPr>
        <w:t xml:space="preserve">. Knowing the genetic susceptibility of corticosteroid resistant patients would be an important step forward, since it would help avoid important morbidity among patients who stand to derive no benefit from such treatment. None of these pharmacogenetic markers are of use in routine clinical practice. </w:t>
      </w:r>
    </w:p>
    <w:p w14:paraId="073CC7A2" w14:textId="77777777" w:rsidR="004A74B3" w:rsidRDefault="004A74B3" w:rsidP="00954CEE">
      <w:pPr>
        <w:autoSpaceDE w:val="0"/>
        <w:autoSpaceDN w:val="0"/>
        <w:adjustRightInd w:val="0"/>
        <w:snapToGrid w:val="0"/>
        <w:spacing w:after="0" w:line="360" w:lineRule="auto"/>
        <w:jc w:val="both"/>
        <w:rPr>
          <w:rFonts w:ascii="Book Antiqua" w:hAnsi="Book Antiqua" w:cs="Book Antiqua"/>
          <w:b/>
          <w:bCs/>
          <w:sz w:val="24"/>
          <w:szCs w:val="24"/>
          <w:lang w:val="en-US" w:eastAsia="zh-CN"/>
        </w:rPr>
      </w:pPr>
    </w:p>
    <w:p w14:paraId="50039E7C" w14:textId="07BFA29E" w:rsidR="006138C7" w:rsidRPr="00390EBD" w:rsidRDefault="006138C7" w:rsidP="00954CEE">
      <w:pPr>
        <w:autoSpaceDE w:val="0"/>
        <w:autoSpaceDN w:val="0"/>
        <w:adjustRightInd w:val="0"/>
        <w:snapToGrid w:val="0"/>
        <w:spacing w:after="0" w:line="360" w:lineRule="auto"/>
        <w:jc w:val="both"/>
        <w:rPr>
          <w:rFonts w:ascii="Book Antiqua" w:hAnsi="Book Antiqua" w:cs="Book Antiqua"/>
          <w:b/>
          <w:bCs/>
          <w:sz w:val="24"/>
          <w:szCs w:val="24"/>
          <w:lang w:val="en-US"/>
        </w:rPr>
      </w:pPr>
      <w:r w:rsidRPr="00390EBD">
        <w:rPr>
          <w:rFonts w:ascii="Book Antiqua" w:hAnsi="Book Antiqua" w:cs="Book Antiqua"/>
          <w:b/>
          <w:bCs/>
          <w:sz w:val="24"/>
          <w:szCs w:val="24"/>
          <w:lang w:val="en-US"/>
        </w:rPr>
        <w:t>THIOPURINE DRUGS</w:t>
      </w:r>
    </w:p>
    <w:p w14:paraId="35E3D1D1"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lastRenderedPageBreak/>
        <w:t>Thiopurine drugs are used for maintaining remission in patients with moderate to severe IBD. The effects are only observed after three months of administration. Purine metabolization is complex and involves different enzymes; this results in important genetic variability in the efficacy and toxicity of these drug substances (Figure 1).</w:t>
      </w:r>
    </w:p>
    <w:p w14:paraId="7FF4FF6F" w14:textId="5A3E804C" w:rsidR="006138C7" w:rsidRPr="00390EBD" w:rsidRDefault="006138C7" w:rsidP="00954CEE">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 xml:space="preserve">The </w:t>
      </w:r>
      <w:r w:rsidR="004A74B3" w:rsidRPr="004A74B3">
        <w:rPr>
          <w:rFonts w:ascii="Book Antiqua" w:hAnsi="Book Antiqua" w:cs="Book Antiqua"/>
          <w:sz w:val="24"/>
          <w:szCs w:val="24"/>
          <w:lang w:val="en-US"/>
        </w:rPr>
        <w:t>thiopurine drugs (TPs)</w:t>
      </w:r>
      <w:r w:rsidR="004A74B3">
        <w:rPr>
          <w:rFonts w:ascii="Book Antiqua" w:hAnsi="Book Antiqua" w:cs="Book Antiqua" w:hint="eastAsia"/>
          <w:sz w:val="24"/>
          <w:szCs w:val="24"/>
          <w:lang w:val="en-US" w:eastAsia="zh-CN"/>
        </w:rPr>
        <w:t xml:space="preserve"> </w:t>
      </w:r>
      <w:r w:rsidRPr="00390EBD">
        <w:rPr>
          <w:rFonts w:ascii="Book Antiqua" w:hAnsi="Book Antiqua" w:cs="Book Antiqua"/>
          <w:sz w:val="24"/>
          <w:szCs w:val="24"/>
          <w:lang w:val="en-US"/>
        </w:rPr>
        <w:t>are able to control the disease in 66% of the patients, though an important proportion (10</w:t>
      </w:r>
      <w:r w:rsidR="004A74B3">
        <w:rPr>
          <w:rFonts w:ascii="Book Antiqua" w:hAnsi="Book Antiqua" w:cs="Book Antiqua" w:hint="eastAsia"/>
          <w:sz w:val="24"/>
          <w:szCs w:val="24"/>
          <w:lang w:val="en-US" w:eastAsia="zh-CN"/>
        </w:rPr>
        <w:t>%-</w:t>
      </w:r>
      <w:r w:rsidRPr="00390EBD">
        <w:rPr>
          <w:rFonts w:ascii="Book Antiqua" w:hAnsi="Book Antiqua" w:cs="Book Antiqua"/>
          <w:sz w:val="24"/>
          <w:szCs w:val="24"/>
          <w:lang w:val="en-US"/>
        </w:rPr>
        <w:t xml:space="preserve">25%) must suspend the medication because of serious (leukopenia, pancreatitis, infections or malignancies) or mild side effects (rash, nausea, vomiting, flu syndrome, joint pain). A clear association has been demonstrated between </w:t>
      </w:r>
      <w:r w:rsidR="00CE0E43" w:rsidRPr="00390EBD">
        <w:rPr>
          <w:rFonts w:ascii="Book Antiqua" w:hAnsi="Book Antiqua" w:cs="Book Antiqua"/>
          <w:sz w:val="24"/>
          <w:szCs w:val="24"/>
          <w:lang w:val="en-US"/>
        </w:rPr>
        <w:t xml:space="preserve">thiopurine methyltransferase </w:t>
      </w:r>
      <w:r w:rsidRPr="00390EBD">
        <w:rPr>
          <w:rFonts w:ascii="Book Antiqua" w:hAnsi="Book Antiqua" w:cs="Book Antiqua"/>
          <w:sz w:val="24"/>
          <w:szCs w:val="24"/>
          <w:lang w:val="en-US"/>
        </w:rPr>
        <w:t>(</w:t>
      </w:r>
      <w:r w:rsidR="00CE0E43" w:rsidRPr="00390EBD">
        <w:rPr>
          <w:rFonts w:ascii="Book Antiqua" w:hAnsi="Book Antiqua" w:cs="Book Antiqua"/>
          <w:sz w:val="24"/>
          <w:szCs w:val="24"/>
          <w:lang w:val="en-US"/>
        </w:rPr>
        <w:t>TMPT</w:t>
      </w:r>
      <w:r w:rsidRPr="00390EBD">
        <w:rPr>
          <w:rFonts w:ascii="Book Antiqua" w:hAnsi="Book Antiqua" w:cs="Book Antiqua"/>
          <w:sz w:val="24"/>
          <w:szCs w:val="24"/>
          <w:lang w:val="en-US"/>
        </w:rPr>
        <w:t>) deficiency and bone marrow suppression, although this only explains one</w:t>
      </w:r>
      <w:r w:rsidRPr="00390EBD">
        <w:rPr>
          <w:rFonts w:ascii="Book Antiqua" w:hAnsi="Book Antiqua" w:cs="Book Antiqua"/>
          <w:sz w:val="24"/>
          <w:szCs w:val="24"/>
          <w:lang w:val="en-US"/>
        </w:rPr>
        <w:noBreakHyphen/>
        <w:t>third of the adverse effects. No clear explanation has been found for the rest of the effects. Knowing in advance whether these drugs will be tolerated and the risk of side effects in a given patient may prove useful in daily practice.</w:t>
      </w:r>
    </w:p>
    <w:p w14:paraId="6F937A16" w14:textId="77777777" w:rsidR="004A74B3" w:rsidRDefault="004A74B3" w:rsidP="00954CEE">
      <w:pPr>
        <w:autoSpaceDE w:val="0"/>
        <w:autoSpaceDN w:val="0"/>
        <w:adjustRightInd w:val="0"/>
        <w:snapToGrid w:val="0"/>
        <w:spacing w:after="0" w:line="360" w:lineRule="auto"/>
        <w:jc w:val="both"/>
        <w:rPr>
          <w:rFonts w:ascii="Book Antiqua" w:hAnsi="Book Antiqua" w:cs="Book Antiqua"/>
          <w:b/>
          <w:bCs/>
          <w:sz w:val="24"/>
          <w:szCs w:val="24"/>
          <w:lang w:val="en-US" w:eastAsia="zh-CN"/>
        </w:rPr>
      </w:pPr>
    </w:p>
    <w:p w14:paraId="4E9B13AE" w14:textId="77777777" w:rsidR="004A74B3" w:rsidRPr="004A74B3" w:rsidRDefault="006138C7" w:rsidP="00954CEE">
      <w:pPr>
        <w:autoSpaceDE w:val="0"/>
        <w:autoSpaceDN w:val="0"/>
        <w:adjustRightInd w:val="0"/>
        <w:snapToGrid w:val="0"/>
        <w:spacing w:after="0" w:line="360" w:lineRule="auto"/>
        <w:jc w:val="both"/>
        <w:rPr>
          <w:rFonts w:ascii="Book Antiqua" w:hAnsi="Book Antiqua" w:cs="Book Antiqua"/>
          <w:i/>
          <w:sz w:val="24"/>
          <w:szCs w:val="24"/>
          <w:lang w:val="en-US" w:eastAsia="zh-CN"/>
        </w:rPr>
      </w:pPr>
      <w:r w:rsidRPr="004A74B3">
        <w:rPr>
          <w:rFonts w:ascii="Book Antiqua" w:hAnsi="Book Antiqua" w:cs="Book Antiqua"/>
          <w:b/>
          <w:bCs/>
          <w:i/>
          <w:sz w:val="24"/>
          <w:szCs w:val="24"/>
          <w:lang w:val="en-US"/>
        </w:rPr>
        <w:t>TPMT</w:t>
      </w:r>
    </w:p>
    <w:p w14:paraId="74F85496" w14:textId="2E4EDE8B"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This is the most widely studied enzyme. The identification of genetic mutations before starting treatment with TPs is currently the only pharmacogenetic test performed in IBD.</w:t>
      </w:r>
    </w:p>
    <w:p w14:paraId="75D1E3B8" w14:textId="03D4643F" w:rsidR="006138C7" w:rsidRPr="00390EBD" w:rsidRDefault="006138C7" w:rsidP="00954CEE">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In 1980, Weinshilboum and Sladeck for the first time described the trimodal distribution of TMPT in Caucasian patients: 90% of the subjects have normal TMPT activity, almost 10% have intermediate activity, and 0.3% have almost zero activity. Posteriorly, over 30 allelic variants have been described, with different distributions depending on the ethnic group considered. The correlation between genotype and phenotype (expressed enzyme activity) is very good in 77</w:t>
      </w:r>
      <w:r w:rsidR="004A74B3">
        <w:rPr>
          <w:rFonts w:ascii="Book Antiqua" w:hAnsi="Book Antiqua" w:cs="Book Antiqua" w:hint="eastAsia"/>
          <w:sz w:val="24"/>
          <w:szCs w:val="24"/>
          <w:lang w:val="en-US" w:eastAsia="zh-CN"/>
        </w:rPr>
        <w:t>%-</w:t>
      </w:r>
      <w:r w:rsidRPr="00390EBD">
        <w:rPr>
          <w:rFonts w:ascii="Book Antiqua" w:hAnsi="Book Antiqua" w:cs="Book Antiqua"/>
          <w:sz w:val="24"/>
          <w:szCs w:val="24"/>
          <w:lang w:val="en-US"/>
        </w:rPr>
        <w:t xml:space="preserve">99% of the cases. The differences can be explained by genetic and epigenetic factors (such as the use of concomitant drugs that inhibit TMPT), the age of the patient and the existence of recent transfusions </w:t>
      </w:r>
      <w:r w:rsidRPr="00390EBD">
        <w:rPr>
          <w:rFonts w:ascii="Book Antiqua" w:hAnsi="Book Antiqua" w:cs="Book Antiqua"/>
          <w:sz w:val="24"/>
          <w:szCs w:val="24"/>
          <w:lang w:val="en-US"/>
        </w:rPr>
        <w:noBreakHyphen/>
        <w:t xml:space="preserve"> since we may be measuring two different enzyme populations: donor and recipient</w:t>
      </w:r>
      <w:r w:rsidRPr="00390EBD">
        <w:rPr>
          <w:rFonts w:ascii="Book Antiqua" w:hAnsi="Book Antiqua" w:cs="Book Antiqua"/>
          <w:sz w:val="24"/>
          <w:szCs w:val="24"/>
          <w:vertAlign w:val="superscript"/>
          <w:lang w:val="en-US"/>
        </w:rPr>
        <w:t>[27,28]</w:t>
      </w:r>
      <w:r w:rsidRPr="00390EBD">
        <w:rPr>
          <w:rFonts w:ascii="Book Antiqua" w:hAnsi="Book Antiqua" w:cs="Book Antiqua"/>
          <w:sz w:val="24"/>
          <w:szCs w:val="24"/>
          <w:lang w:val="en-US"/>
        </w:rPr>
        <w:t xml:space="preserve">. The genetic study of this enzyme allows us to distinguish among homozygous </w:t>
      </w:r>
      <w:r w:rsidRPr="00390EBD">
        <w:rPr>
          <w:rFonts w:ascii="Book Antiqua" w:hAnsi="Book Antiqua" w:cs="Book Antiqua"/>
          <w:sz w:val="24"/>
          <w:szCs w:val="24"/>
          <w:lang w:val="en-US"/>
        </w:rPr>
        <w:lastRenderedPageBreak/>
        <w:t>individuals (without enzyme activity) at a high risk of suffering bone marrow suppression; ultra</w:t>
      </w:r>
      <w:r w:rsidRPr="00390EBD">
        <w:rPr>
          <w:rFonts w:ascii="Book Antiqua" w:hAnsi="Book Antiqua" w:cs="Book Antiqua"/>
          <w:sz w:val="24"/>
          <w:szCs w:val="24"/>
          <w:lang w:val="en-US"/>
        </w:rPr>
        <w:noBreakHyphen/>
        <w:t>fast methylators (high enzyme activity) with high liver toxicity and a low response to treatment; and patients with normal and intermediate enzyme activity, which are the individuals that stand to benefit most from this medication, with a lesser risk of adverse effects. Furthermore, it can guide the choice of dose at which treatment should be started (Table 1).</w:t>
      </w:r>
    </w:p>
    <w:p w14:paraId="1019F2F9" w14:textId="5B650B2E" w:rsidR="006138C7" w:rsidRPr="00390EBD" w:rsidRDefault="006138C7" w:rsidP="00954CEE">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The association of allopurinol reduces the levels of 6</w:t>
      </w:r>
      <w:r w:rsidRPr="00390EBD">
        <w:rPr>
          <w:rFonts w:ascii="Book Antiqua" w:hAnsi="Book Antiqua" w:cs="Book Antiqua"/>
          <w:sz w:val="24"/>
          <w:szCs w:val="24"/>
          <w:lang w:val="en-US"/>
        </w:rPr>
        <w:noBreakHyphen/>
        <w:t>methylmercaptopurin (6-MeMp)</w:t>
      </w:r>
      <w:r w:rsidR="00D95AD7">
        <w:rPr>
          <w:rFonts w:ascii="Book Antiqua" w:hAnsi="Book Antiqua" w:cs="Book Antiqua"/>
          <w:sz w:val="24"/>
          <w:szCs w:val="24"/>
          <w:lang w:val="en-US"/>
        </w:rPr>
        <w:t xml:space="preserve"> </w:t>
      </w:r>
      <w:r w:rsidRPr="00390EBD">
        <w:rPr>
          <w:rFonts w:ascii="Book Antiqua" w:hAnsi="Book Antiqua" w:cs="Book Antiqua"/>
          <w:sz w:val="24"/>
          <w:szCs w:val="24"/>
          <w:lang w:val="en-US"/>
        </w:rPr>
        <w:t>and increases those of 6</w:t>
      </w:r>
      <w:r w:rsidRPr="00390EBD">
        <w:rPr>
          <w:rFonts w:ascii="Book Antiqua" w:hAnsi="Book Antiqua" w:cs="Book Antiqua"/>
          <w:sz w:val="24"/>
          <w:szCs w:val="24"/>
          <w:lang w:val="en-US"/>
        </w:rPr>
        <w:noBreakHyphen/>
        <w:t>thioguanine (6TG). Although its mechanism of action is not clear, it has been suggested that the drug inhibits the enzyme xanthine oxidase through competitive inhibition, or reduces the availability of its substrate</w:t>
      </w:r>
      <w:r w:rsidRPr="00390EBD">
        <w:rPr>
          <w:rFonts w:ascii="Book Antiqua" w:hAnsi="Book Antiqua" w:cs="Book Antiqua"/>
          <w:sz w:val="24"/>
          <w:szCs w:val="24"/>
          <w:vertAlign w:val="superscript"/>
          <w:lang w:val="en-US"/>
        </w:rPr>
        <w:t>[29,30]</w:t>
      </w:r>
      <w:r w:rsidRPr="00390EBD">
        <w:rPr>
          <w:rFonts w:ascii="Book Antiqua" w:hAnsi="Book Antiqua" w:cs="Book Antiqua"/>
          <w:sz w:val="24"/>
          <w:szCs w:val="24"/>
          <w:lang w:val="en-US"/>
        </w:rPr>
        <w:t>. In daily practice, those patients who require allopurinol and present a normal TPMT genotype (Table 1) should reduce the TP dose to 25% of the normal level. Taking into account that only about one</w:t>
      </w:r>
      <w:r w:rsidRPr="00390EBD">
        <w:rPr>
          <w:rFonts w:ascii="Book Antiqua" w:hAnsi="Book Antiqua" w:cs="Book Antiqua"/>
          <w:sz w:val="24"/>
          <w:szCs w:val="24"/>
          <w:lang w:val="en-US"/>
        </w:rPr>
        <w:noBreakHyphen/>
        <w:t>third of all cases of bone marrow suppression in patients receiving TPs are explained by genetic disposition and that the origin is therefore multifactorial and will require constant laboratory test monitoring, many authors have questioned whether this strategy is cost</w:t>
      </w:r>
      <w:r w:rsidRPr="00390EBD">
        <w:rPr>
          <w:rFonts w:ascii="Book Antiqua" w:hAnsi="Book Antiqua" w:cs="Book Antiqua"/>
          <w:sz w:val="24"/>
          <w:szCs w:val="24"/>
          <w:lang w:val="en-US"/>
        </w:rPr>
        <w:noBreakHyphen/>
        <w:t>effective. Nevertheless, most current clinical guides do not recommend genetic study before starting treatment with TPs. On the other hand, such studies are not available in many hospitals; laboratory test monitoring is therefore the safest alternative.</w:t>
      </w:r>
    </w:p>
    <w:p w14:paraId="4E8AE7F0" w14:textId="77777777" w:rsidR="006138C7" w:rsidRPr="00390EBD" w:rsidRDefault="006138C7" w:rsidP="00954CEE">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Less scientific evidence is available in relation to the rest of enzymes.</w:t>
      </w:r>
    </w:p>
    <w:p w14:paraId="41F0C5D8" w14:textId="77777777" w:rsidR="006138C7" w:rsidRPr="00390EBD" w:rsidRDefault="006138C7" w:rsidP="00954CEE">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 xml:space="preserve">The enzyme </w:t>
      </w:r>
      <w:r w:rsidRPr="004A74B3">
        <w:rPr>
          <w:rFonts w:ascii="Book Antiqua" w:hAnsi="Book Antiqua" w:cs="Book Antiqua"/>
          <w:bCs/>
          <w:sz w:val="24"/>
          <w:szCs w:val="24"/>
          <w:lang w:val="en-US"/>
        </w:rPr>
        <w:t>xanthine oxidase (XO)</w:t>
      </w:r>
      <w:r w:rsidRPr="00390EBD">
        <w:rPr>
          <w:rFonts w:ascii="Book Antiqua" w:hAnsi="Book Antiqua" w:cs="Book Antiqua"/>
          <w:sz w:val="24"/>
          <w:szCs w:val="24"/>
          <w:lang w:val="en-US"/>
        </w:rPr>
        <w:t xml:space="preserve"> is the second most important enzyme in the metabolism of TPs. It is found in many tissues, though its main activity is located in the small bowel and liver. Until a few years ago, it was only known that XO activity varies from one person to another. Discordant variations had been described depending on patient gender or ethnicity</w:t>
      </w:r>
      <w:r w:rsidRPr="00390EBD">
        <w:rPr>
          <w:rFonts w:ascii="Book Antiqua" w:hAnsi="Book Antiqua" w:cs="Book Antiqua"/>
          <w:sz w:val="24"/>
          <w:szCs w:val="24"/>
          <w:vertAlign w:val="superscript"/>
          <w:lang w:val="en-US"/>
        </w:rPr>
        <w:t>[31,32]</w:t>
      </w:r>
      <w:r w:rsidRPr="00390EBD">
        <w:rPr>
          <w:rFonts w:ascii="Book Antiqua" w:hAnsi="Book Antiqua" w:cs="Book Antiqua"/>
          <w:sz w:val="24"/>
          <w:szCs w:val="24"/>
          <w:lang w:val="en-US"/>
        </w:rPr>
        <w:t xml:space="preserve">, together with changes induced by environmental factors such as smoking and the diet. In the year 2008, a Japanese group described three polymorphisms of the gene encoding for XO (G514A, A3326C and A3662G) that are associated to the activity of the enzyme </w:t>
      </w:r>
      <w:r w:rsidRPr="00390EBD">
        <w:rPr>
          <w:rFonts w:ascii="Book Antiqua" w:hAnsi="Book Antiqua" w:cs="Book Antiqua"/>
          <w:sz w:val="24"/>
          <w:szCs w:val="24"/>
          <w:lang w:val="en-US"/>
        </w:rPr>
        <w:noBreakHyphen/>
        <w:t xml:space="preserve"> the population being divided into low, normal or high activity</w:t>
      </w:r>
      <w:r w:rsidRPr="00390EBD">
        <w:rPr>
          <w:rFonts w:ascii="Book Antiqua" w:hAnsi="Book Antiqua" w:cs="Book Antiqua"/>
          <w:sz w:val="24"/>
          <w:szCs w:val="24"/>
          <w:vertAlign w:val="superscript"/>
          <w:lang w:val="en-US"/>
        </w:rPr>
        <w:t>[33]</w:t>
      </w:r>
      <w:r w:rsidRPr="00390EBD">
        <w:rPr>
          <w:rFonts w:ascii="Book Antiqua" w:hAnsi="Book Antiqua" w:cs="Book Antiqua"/>
          <w:sz w:val="24"/>
          <w:szCs w:val="24"/>
          <w:lang w:val="en-US"/>
        </w:rPr>
        <w:t xml:space="preserve">. These polymorphisms have not been studied in Caucasians or in </w:t>
      </w:r>
      <w:r w:rsidRPr="00390EBD">
        <w:rPr>
          <w:rFonts w:ascii="Book Antiqua" w:hAnsi="Book Antiqua" w:cs="Book Antiqua"/>
          <w:sz w:val="24"/>
          <w:szCs w:val="24"/>
          <w:lang w:val="en-US"/>
        </w:rPr>
        <w:lastRenderedPageBreak/>
        <w:t>patients with IBD. At present we are only able to extrapolate that individuals with low enzyme activity would be at greater risk of suffering adverse effects, while those with high activity would experience treatment failure.</w:t>
      </w:r>
    </w:p>
    <w:p w14:paraId="4CE2B946" w14:textId="4633DCFB" w:rsidR="006138C7" w:rsidRPr="00390EBD" w:rsidRDefault="006138C7" w:rsidP="00954CEE">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 xml:space="preserve">The enzyme </w:t>
      </w:r>
      <w:r w:rsidRPr="004A74B3">
        <w:rPr>
          <w:rFonts w:ascii="Book Antiqua" w:hAnsi="Book Antiqua" w:cs="Book Antiqua"/>
          <w:bCs/>
          <w:sz w:val="24"/>
          <w:szCs w:val="24"/>
          <w:lang w:val="en-US"/>
        </w:rPr>
        <w:t>inosine triphosphate pyrophosphatase (ITPase)</w:t>
      </w:r>
      <w:r w:rsidRPr="004A74B3">
        <w:rPr>
          <w:rFonts w:ascii="Book Antiqua" w:hAnsi="Book Antiqua" w:cs="Book Antiqua"/>
          <w:sz w:val="24"/>
          <w:szCs w:val="24"/>
          <w:lang w:val="en-US"/>
        </w:rPr>
        <w:t xml:space="preserve"> </w:t>
      </w:r>
      <w:r w:rsidRPr="00390EBD">
        <w:rPr>
          <w:rFonts w:ascii="Book Antiqua" w:hAnsi="Book Antiqua" w:cs="Book Antiqua"/>
          <w:sz w:val="24"/>
          <w:szCs w:val="24"/>
          <w:lang w:val="en-US"/>
        </w:rPr>
        <w:t>controls the intracellular levels of inosine triphosphate (ITP), transforming it into inosine monophosphate, which acts as a substrate of other enzymes. When the enzyme is deficient, ITP accumulates in the enterocytes. Deficiencies of this enzyme have been known for almost half a century, and have been evaluated in different ethnic groups (with incidences of 5</w:t>
      </w:r>
      <w:r w:rsidR="004A74B3">
        <w:rPr>
          <w:rFonts w:ascii="Book Antiqua" w:hAnsi="Book Antiqua" w:cs="Book Antiqua" w:hint="eastAsia"/>
          <w:sz w:val="24"/>
          <w:szCs w:val="24"/>
          <w:lang w:val="en-US" w:eastAsia="zh-CN"/>
        </w:rPr>
        <w:t>%-</w:t>
      </w:r>
      <w:r w:rsidRPr="00390EBD">
        <w:rPr>
          <w:rFonts w:ascii="Book Antiqua" w:hAnsi="Book Antiqua" w:cs="Book Antiqua"/>
          <w:sz w:val="24"/>
          <w:szCs w:val="24"/>
          <w:lang w:val="en-US"/>
        </w:rPr>
        <w:t>7% among Caucasians and African populations, and up to 15% in Asian populations). Five polymorphisms have been described, of which only two are associated to inactivity of the enzyme: C94A, with an activity of between 0% and less than 25% of normal, and I</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2+21AC, with an activity of 60% of normal</w:t>
      </w:r>
      <w:r w:rsidRPr="00390EBD">
        <w:rPr>
          <w:rFonts w:ascii="Book Antiqua" w:hAnsi="Book Antiqua" w:cs="Book Antiqua"/>
          <w:sz w:val="24"/>
          <w:szCs w:val="24"/>
          <w:vertAlign w:val="superscript"/>
          <w:lang w:val="en-US"/>
        </w:rPr>
        <w:t>[24]</w:t>
      </w:r>
      <w:r w:rsidRPr="00390EBD">
        <w:rPr>
          <w:rFonts w:ascii="Book Antiqua" w:hAnsi="Book Antiqua" w:cs="Book Antiqua"/>
          <w:sz w:val="24"/>
          <w:szCs w:val="24"/>
          <w:lang w:val="en-US"/>
        </w:rPr>
        <w:t xml:space="preserve">. </w:t>
      </w:r>
    </w:p>
    <w:p w14:paraId="30EA890C" w14:textId="77777777" w:rsidR="006138C7" w:rsidRPr="00390EBD" w:rsidRDefault="006138C7" w:rsidP="00954CEE">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 xml:space="preserve">The studies on IBD show conflicting data regarding their possible relation to side effects (pseudoinfluenza syndrome, rash and pancreatitis) and bone marrow toxicity (Table 2). These studies in general have few patients and an even smaller number of patients with the relevant polymorphisms, and have been carried out in different ethnic groups. Reliable conclusions therefore cannot be drawn. Pseudoinfluenza syndrome causes a large number of patients to abandon the medication. The importance of the genotype of this enzyme in relation to side effects and early treatment suspension is not known. </w:t>
      </w:r>
    </w:p>
    <w:p w14:paraId="30986A4D" w14:textId="7BDBFF4A" w:rsidR="006138C7" w:rsidRPr="00390EBD" w:rsidRDefault="006138C7" w:rsidP="00954CEE">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Until the year 2006, it was believed that the conversion of azathioprine to 6</w:t>
      </w:r>
      <w:r w:rsidRPr="00390EBD">
        <w:rPr>
          <w:rFonts w:ascii="Book Antiqua" w:hAnsi="Book Antiqua" w:cs="Book Antiqua"/>
          <w:sz w:val="24"/>
          <w:szCs w:val="24"/>
          <w:lang w:val="en-US"/>
        </w:rPr>
        <w:noBreakHyphen/>
        <w:t>mercaptopurine (6</w:t>
      </w:r>
      <w:r w:rsidRPr="00390EBD">
        <w:rPr>
          <w:rFonts w:ascii="Book Antiqua" w:hAnsi="Book Antiqua" w:cs="Book Antiqua"/>
          <w:sz w:val="24"/>
          <w:szCs w:val="24"/>
          <w:lang w:val="en-US"/>
        </w:rPr>
        <w:noBreakHyphen/>
        <w:t xml:space="preserve">MP) was not mediated by enzyme action, though Eklund subsequently showed it to be catalyzed by the </w:t>
      </w:r>
      <w:r w:rsidRPr="004A74B3">
        <w:rPr>
          <w:rFonts w:ascii="Book Antiqua" w:hAnsi="Book Antiqua" w:cs="Book Antiqua"/>
          <w:bCs/>
          <w:sz w:val="24"/>
          <w:szCs w:val="24"/>
          <w:lang w:val="en-US"/>
        </w:rPr>
        <w:t>glutathione</w:t>
      </w:r>
      <w:r w:rsidRPr="004A74B3">
        <w:rPr>
          <w:rFonts w:ascii="Book Antiqua" w:hAnsi="Book Antiqua" w:cs="Book Antiqua"/>
          <w:bCs/>
          <w:sz w:val="24"/>
          <w:szCs w:val="24"/>
          <w:lang w:val="en-US"/>
        </w:rPr>
        <w:noBreakHyphen/>
        <w:t>S</w:t>
      </w:r>
      <w:r w:rsidRPr="004A74B3">
        <w:rPr>
          <w:rFonts w:ascii="Book Antiqua" w:hAnsi="Book Antiqua" w:cs="Book Antiqua"/>
          <w:bCs/>
          <w:sz w:val="24"/>
          <w:szCs w:val="24"/>
          <w:lang w:val="en-US"/>
        </w:rPr>
        <w:noBreakHyphen/>
        <w:t>transferases (GSTs).</w:t>
      </w:r>
      <w:r w:rsidRPr="00390EBD">
        <w:rPr>
          <w:rFonts w:ascii="Book Antiqua" w:hAnsi="Book Antiqua" w:cs="Book Antiqua"/>
          <w:b/>
          <w:bCs/>
          <w:sz w:val="24"/>
          <w:szCs w:val="24"/>
          <w:lang w:val="en-US"/>
        </w:rPr>
        <w:t xml:space="preserve"> </w:t>
      </w:r>
      <w:r w:rsidRPr="00390EBD">
        <w:rPr>
          <w:rFonts w:ascii="Book Antiqua" w:hAnsi="Book Antiqua" w:cs="Book Antiqua"/>
          <w:sz w:val="24"/>
          <w:szCs w:val="24"/>
          <w:lang w:val="en-US"/>
        </w:rPr>
        <w:t xml:space="preserve">This author analyzed 14 variants </w:t>
      </w:r>
      <w:r w:rsidR="004A74B3">
        <w:rPr>
          <w:rFonts w:ascii="Book Antiqua" w:hAnsi="Book Antiqua" w:cs="Book Antiqua"/>
          <w:sz w:val="24"/>
          <w:szCs w:val="24"/>
          <w:lang w:val="en-US"/>
        </w:rPr>
        <w:t>–</w:t>
      </w:r>
      <w:r w:rsidRPr="00390EBD">
        <w:rPr>
          <w:rFonts w:ascii="Book Antiqua" w:hAnsi="Book Antiqua" w:cs="Book Antiqua"/>
          <w:sz w:val="24"/>
          <w:szCs w:val="24"/>
          <w:lang w:val="en-US"/>
        </w:rPr>
        <w:t xml:space="preserve"> GST</w:t>
      </w:r>
      <w:r w:rsidR="004A74B3">
        <w:rPr>
          <w:rFonts w:ascii="Book Antiqua" w:hAnsi="Book Antiqua" w:cs="Book Antiqua" w:hint="eastAsia"/>
          <w:sz w:val="24"/>
          <w:szCs w:val="24"/>
          <w:lang w:val="en-US" w:eastAsia="zh-CN"/>
        </w:rPr>
        <w:t>-</w:t>
      </w:r>
      <w:r w:rsidRPr="00390EBD">
        <w:rPr>
          <w:rFonts w:ascii="Book Antiqua" w:hAnsi="Book Antiqua" w:cs="Book Antiqua"/>
          <w:sz w:val="24"/>
          <w:szCs w:val="24"/>
          <w:lang w:val="en-US"/>
        </w:rPr>
        <w:t>A1, GST</w:t>
      </w:r>
      <w:r w:rsidR="004A74B3">
        <w:rPr>
          <w:rFonts w:ascii="Book Antiqua" w:hAnsi="Book Antiqua" w:cs="Book Antiqua" w:hint="eastAsia"/>
          <w:sz w:val="24"/>
          <w:szCs w:val="24"/>
          <w:lang w:val="en-US" w:eastAsia="zh-CN"/>
        </w:rPr>
        <w:t>-</w:t>
      </w:r>
      <w:r w:rsidRPr="00390EBD">
        <w:rPr>
          <w:rFonts w:ascii="Book Antiqua" w:hAnsi="Book Antiqua" w:cs="Book Antiqua"/>
          <w:sz w:val="24"/>
          <w:szCs w:val="24"/>
          <w:lang w:val="en-US"/>
        </w:rPr>
        <w:t>A2 and GST</w:t>
      </w:r>
      <w:r w:rsidR="004A74B3">
        <w:rPr>
          <w:rFonts w:ascii="Book Antiqua" w:hAnsi="Book Antiqua" w:cs="Book Antiqua" w:hint="eastAsia"/>
          <w:sz w:val="24"/>
          <w:szCs w:val="24"/>
          <w:lang w:val="en-US" w:eastAsia="zh-CN"/>
        </w:rPr>
        <w:t>-</w:t>
      </w:r>
      <w:r w:rsidRPr="00390EBD">
        <w:rPr>
          <w:rFonts w:ascii="Book Antiqua" w:hAnsi="Book Antiqua" w:cs="Book Antiqua"/>
          <w:sz w:val="24"/>
          <w:szCs w:val="24"/>
          <w:lang w:val="en-US"/>
        </w:rPr>
        <w:t>M1 being the three with the greatest enzyme activity. All of them are polymorphic. The studies in patients with IBS only allow us to affirm that individuals with low enzyme activity will have low 6</w:t>
      </w:r>
      <w:r w:rsidRPr="00390EBD">
        <w:rPr>
          <w:rFonts w:ascii="Book Antiqua" w:hAnsi="Book Antiqua" w:cs="Book Antiqua"/>
          <w:sz w:val="24"/>
          <w:szCs w:val="24"/>
          <w:lang w:val="en-US"/>
        </w:rPr>
        <w:noBreakHyphen/>
        <w:t>MP levels and therefore will not respond to the medication, while patients with ultra</w:t>
      </w:r>
      <w:r w:rsidRPr="00390EBD">
        <w:rPr>
          <w:rFonts w:ascii="Book Antiqua" w:hAnsi="Book Antiqua" w:cs="Book Antiqua"/>
          <w:sz w:val="24"/>
          <w:szCs w:val="24"/>
          <w:lang w:val="en-US"/>
        </w:rPr>
        <w:noBreakHyphen/>
        <w:t>fast activity are at an increased risk of adverse effects due to high 6</w:t>
      </w:r>
      <w:r w:rsidRPr="00390EBD">
        <w:rPr>
          <w:rFonts w:ascii="Book Antiqua" w:hAnsi="Book Antiqua" w:cs="Book Antiqua"/>
          <w:sz w:val="24"/>
          <w:szCs w:val="24"/>
          <w:lang w:val="en-US"/>
        </w:rPr>
        <w:noBreakHyphen/>
        <w:t xml:space="preserve">MP levels. If this is confirmed, the clinical </w:t>
      </w:r>
      <w:r w:rsidRPr="00390EBD">
        <w:rPr>
          <w:rFonts w:ascii="Book Antiqua" w:hAnsi="Book Antiqua" w:cs="Book Antiqua"/>
          <w:sz w:val="24"/>
          <w:szCs w:val="24"/>
          <w:lang w:val="en-US"/>
        </w:rPr>
        <w:lastRenderedPageBreak/>
        <w:t>application would be evident, since the problem could be overcome by directly prescribing 6</w:t>
      </w:r>
      <w:r w:rsidRPr="00390EBD">
        <w:rPr>
          <w:rFonts w:ascii="Book Antiqua" w:hAnsi="Book Antiqua" w:cs="Book Antiqua"/>
          <w:sz w:val="24"/>
          <w:szCs w:val="24"/>
          <w:lang w:val="en-US"/>
        </w:rPr>
        <w:noBreakHyphen/>
        <w:t>MP at the correct dose.</w:t>
      </w:r>
    </w:p>
    <w:p w14:paraId="6232D6C0" w14:textId="77777777" w:rsidR="006138C7" w:rsidRPr="00390EBD" w:rsidRDefault="006138C7" w:rsidP="00954CEE">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Studies have also been made of other enzymes such as inosine monophosphate dehydrogenase, hypoxanthine phosphoribosyltransferase, etc., though without applications at the present time.</w:t>
      </w:r>
    </w:p>
    <w:p w14:paraId="5365683A" w14:textId="695E9F55" w:rsidR="006138C7" w:rsidRPr="00390EBD" w:rsidRDefault="006138C7" w:rsidP="00954CEE">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Likewise, studies have attempted to determine the relationship between the levels of metabolites (6</w:t>
      </w:r>
      <w:r w:rsidRPr="00390EBD">
        <w:rPr>
          <w:rFonts w:ascii="Book Antiqua" w:hAnsi="Book Antiqua" w:cs="Book Antiqua"/>
          <w:sz w:val="24"/>
          <w:szCs w:val="24"/>
          <w:lang w:val="en-US"/>
        </w:rPr>
        <w:noBreakHyphen/>
        <w:t>TG and 6MeMP) and the response to treatment or development of adverse effects. Once again, the results have been contradictory, with some studies describing a relationship between activity and the metabolite levels, while others indicate the opposite. A metaanalysis suggests that 6</w:t>
      </w:r>
      <w:r w:rsidRPr="00390EBD">
        <w:rPr>
          <w:rFonts w:ascii="Book Antiqua" w:hAnsi="Book Antiqua" w:cs="Book Antiqua"/>
          <w:sz w:val="24"/>
          <w:szCs w:val="24"/>
          <w:lang w:val="en-US"/>
        </w:rPr>
        <w:noBreakHyphen/>
        <w:t>TG levels above 260</w:t>
      </w:r>
      <w:r w:rsidRPr="00390EBD">
        <w:rPr>
          <w:rFonts w:ascii="Book Antiqua" w:hAnsi="Book Antiqua" w:cs="Book Antiqua"/>
          <w:sz w:val="24"/>
          <w:szCs w:val="24"/>
          <w:lang w:val="en-US" w:eastAsia="es-ES"/>
        </w:rPr>
        <w:t xml:space="preserve"> pmol/8</w:t>
      </w:r>
      <w:r w:rsidR="004A74B3">
        <w:rPr>
          <w:rFonts w:ascii="Book Antiqua" w:hAnsi="Book Antiqua" w:cs="Book Antiqua" w:hint="eastAsia"/>
          <w:sz w:val="24"/>
          <w:szCs w:val="24"/>
          <w:lang w:val="en-US" w:eastAsia="zh-CN"/>
        </w:rPr>
        <w:t xml:space="preserve"> </w:t>
      </w:r>
      <w:r w:rsidRPr="00390EBD">
        <w:rPr>
          <w:rFonts w:ascii="Book Antiqua" w:hAnsi="Book Antiqua" w:cs="Book Antiqua"/>
          <w:sz w:val="24"/>
          <w:szCs w:val="24"/>
          <w:lang w:val="en-US" w:eastAsia="es-ES"/>
        </w:rPr>
        <w:t>x</w:t>
      </w:r>
      <w:r w:rsidR="004A74B3">
        <w:rPr>
          <w:rFonts w:ascii="Book Antiqua" w:hAnsi="Book Antiqua" w:cs="Book Antiqua" w:hint="eastAsia"/>
          <w:sz w:val="24"/>
          <w:szCs w:val="24"/>
          <w:lang w:val="en-US" w:eastAsia="zh-CN"/>
        </w:rPr>
        <w:t xml:space="preserve"> </w:t>
      </w:r>
      <w:r w:rsidRPr="00390EBD">
        <w:rPr>
          <w:rFonts w:ascii="Book Antiqua" w:hAnsi="Book Antiqua" w:cs="Book Antiqua"/>
          <w:sz w:val="24"/>
          <w:szCs w:val="24"/>
          <w:lang w:val="en-US" w:eastAsia="es-ES"/>
        </w:rPr>
        <w:t>10</w:t>
      </w:r>
      <w:r w:rsidRPr="00390EBD">
        <w:rPr>
          <w:rFonts w:ascii="Book Antiqua" w:hAnsi="Book Antiqua" w:cs="Book Antiqua"/>
          <w:sz w:val="24"/>
          <w:szCs w:val="24"/>
          <w:vertAlign w:val="superscript"/>
          <w:lang w:val="en-US" w:eastAsia="es-ES"/>
        </w:rPr>
        <w:t>8</w:t>
      </w:r>
      <w:r w:rsidR="00D95AD7">
        <w:rPr>
          <w:rFonts w:ascii="Book Antiqua" w:hAnsi="Book Antiqua" w:cs="Book Antiqua"/>
          <w:sz w:val="24"/>
          <w:szCs w:val="24"/>
          <w:lang w:val="en-US" w:eastAsia="es-ES"/>
        </w:rPr>
        <w:t xml:space="preserve"> </w:t>
      </w:r>
      <w:r w:rsidRPr="00390EBD">
        <w:rPr>
          <w:rFonts w:ascii="Book Antiqua" w:hAnsi="Book Antiqua" w:cs="Book Antiqua"/>
          <w:sz w:val="24"/>
          <w:szCs w:val="24"/>
          <w:lang w:val="en-US"/>
        </w:rPr>
        <w:t>imply that the patient has a greater probability of disease remission</w:t>
      </w:r>
      <w:r w:rsidRPr="00390EBD">
        <w:rPr>
          <w:rFonts w:ascii="Book Antiqua" w:hAnsi="Book Antiqua" w:cs="Book Antiqua"/>
          <w:sz w:val="24"/>
          <w:szCs w:val="24"/>
          <w:vertAlign w:val="superscript"/>
          <w:lang w:val="en-US"/>
        </w:rPr>
        <w:t>[47]</w:t>
      </w:r>
      <w:r w:rsidRPr="00390EBD">
        <w:rPr>
          <w:rFonts w:ascii="Book Antiqua" w:hAnsi="Book Antiqua" w:cs="Book Antiqua"/>
          <w:sz w:val="24"/>
          <w:szCs w:val="24"/>
          <w:lang w:val="en-US"/>
        </w:rPr>
        <w:t>.</w:t>
      </w:r>
      <w:r w:rsidRPr="00390EBD">
        <w:rPr>
          <w:rFonts w:ascii="Book Antiqua" w:hAnsi="Book Antiqua" w:cs="Book Antiqua"/>
          <w:color w:val="0070C0"/>
          <w:sz w:val="24"/>
          <w:szCs w:val="24"/>
          <w:lang w:val="en-US"/>
        </w:rPr>
        <w:t xml:space="preserve"> </w:t>
      </w:r>
      <w:r w:rsidRPr="00390EBD">
        <w:rPr>
          <w:rFonts w:ascii="Book Antiqua" w:hAnsi="Book Antiqua" w:cs="Book Antiqua"/>
          <w:sz w:val="24"/>
          <w:szCs w:val="24"/>
          <w:lang w:val="en-US"/>
        </w:rPr>
        <w:t>Blood 6</w:t>
      </w:r>
      <w:r w:rsidRPr="00390EBD">
        <w:rPr>
          <w:rFonts w:ascii="Book Antiqua" w:hAnsi="Book Antiqua" w:cs="Book Antiqua"/>
          <w:sz w:val="24"/>
          <w:szCs w:val="24"/>
          <w:lang w:val="en-US"/>
        </w:rPr>
        <w:noBreakHyphen/>
        <w:t>TG levels above 400 pmol/8</w:t>
      </w:r>
      <w:r w:rsidR="004A74B3">
        <w:rPr>
          <w:rFonts w:ascii="Book Antiqua" w:hAnsi="Book Antiqua" w:cs="Book Antiqua" w:hint="eastAsia"/>
          <w:sz w:val="24"/>
          <w:szCs w:val="24"/>
          <w:lang w:val="en-US" w:eastAsia="zh-CN"/>
        </w:rPr>
        <w:t xml:space="preserve"> </w:t>
      </w:r>
      <w:r w:rsidRPr="00390EBD">
        <w:rPr>
          <w:rFonts w:ascii="Book Antiqua" w:hAnsi="Book Antiqua" w:cs="Book Antiqua"/>
          <w:sz w:val="24"/>
          <w:szCs w:val="24"/>
          <w:lang w:val="en-US"/>
        </w:rPr>
        <w:t>x</w:t>
      </w:r>
      <w:r w:rsidR="004A74B3">
        <w:rPr>
          <w:rFonts w:ascii="Book Antiqua" w:hAnsi="Book Antiqua" w:cs="Book Antiqua" w:hint="eastAsia"/>
          <w:sz w:val="24"/>
          <w:szCs w:val="24"/>
          <w:lang w:val="en-US" w:eastAsia="zh-CN"/>
        </w:rPr>
        <w:t xml:space="preserve"> </w:t>
      </w:r>
      <w:r w:rsidRPr="00390EBD">
        <w:rPr>
          <w:rFonts w:ascii="Book Antiqua" w:hAnsi="Book Antiqua" w:cs="Book Antiqua"/>
          <w:sz w:val="24"/>
          <w:szCs w:val="24"/>
          <w:lang w:val="en-US"/>
        </w:rPr>
        <w:t>10</w:t>
      </w:r>
      <w:r w:rsidRPr="00390EBD">
        <w:rPr>
          <w:rFonts w:ascii="Book Antiqua" w:hAnsi="Book Antiqua" w:cs="Book Antiqua"/>
          <w:sz w:val="24"/>
          <w:szCs w:val="24"/>
          <w:vertAlign w:val="superscript"/>
          <w:lang w:val="en-US"/>
        </w:rPr>
        <w:t>8</w:t>
      </w:r>
      <w:r w:rsidRPr="00390EBD">
        <w:rPr>
          <w:rFonts w:ascii="Book Antiqua" w:hAnsi="Book Antiqua" w:cs="Book Antiqua"/>
          <w:sz w:val="24"/>
          <w:szCs w:val="24"/>
          <w:lang w:val="en-US"/>
        </w:rPr>
        <w:t xml:space="preserve"> red blood cells increase the risk of bone marrow toxicity</w:t>
      </w:r>
      <w:r w:rsidRPr="00390EBD">
        <w:rPr>
          <w:rFonts w:ascii="Book Antiqua" w:hAnsi="Book Antiqua" w:cs="Book Antiqua"/>
          <w:sz w:val="24"/>
          <w:szCs w:val="24"/>
          <w:vertAlign w:val="superscript"/>
          <w:lang w:val="en-US"/>
        </w:rPr>
        <w:t>[48]</w:t>
      </w:r>
      <w:r w:rsidRPr="00390EBD">
        <w:rPr>
          <w:rFonts w:ascii="Book Antiqua" w:hAnsi="Book Antiqua" w:cs="Book Antiqua"/>
          <w:sz w:val="24"/>
          <w:szCs w:val="24"/>
          <w:lang w:val="en-US"/>
        </w:rPr>
        <w:t>, and 6</w:t>
      </w:r>
      <w:r w:rsidRPr="00390EBD">
        <w:rPr>
          <w:rFonts w:ascii="Book Antiqua" w:hAnsi="Book Antiqua" w:cs="Book Antiqua"/>
          <w:sz w:val="24"/>
          <w:szCs w:val="24"/>
          <w:lang w:val="en-US"/>
        </w:rPr>
        <w:noBreakHyphen/>
        <w:t>MeMP levels above 5700 pmol/8</w:t>
      </w:r>
      <w:r w:rsidR="004A74B3">
        <w:rPr>
          <w:rFonts w:ascii="Book Antiqua" w:hAnsi="Book Antiqua" w:cs="Book Antiqua" w:hint="eastAsia"/>
          <w:sz w:val="24"/>
          <w:szCs w:val="24"/>
          <w:lang w:val="en-US" w:eastAsia="zh-CN"/>
        </w:rPr>
        <w:t xml:space="preserve"> </w:t>
      </w:r>
      <w:r w:rsidRPr="00390EBD">
        <w:rPr>
          <w:rFonts w:ascii="Book Antiqua" w:hAnsi="Book Antiqua" w:cs="Book Antiqua"/>
          <w:sz w:val="24"/>
          <w:szCs w:val="24"/>
          <w:lang w:val="en-US"/>
        </w:rPr>
        <w:t>x</w:t>
      </w:r>
      <w:r w:rsidR="004A74B3">
        <w:rPr>
          <w:rFonts w:ascii="Book Antiqua" w:hAnsi="Book Antiqua" w:cs="Book Antiqua" w:hint="eastAsia"/>
          <w:sz w:val="24"/>
          <w:szCs w:val="24"/>
          <w:lang w:val="en-US" w:eastAsia="zh-CN"/>
        </w:rPr>
        <w:t xml:space="preserve"> </w:t>
      </w:r>
      <w:r w:rsidRPr="00390EBD">
        <w:rPr>
          <w:rFonts w:ascii="Book Antiqua" w:hAnsi="Book Antiqua" w:cs="Book Antiqua"/>
          <w:sz w:val="24"/>
          <w:szCs w:val="24"/>
          <w:lang w:val="en-US"/>
        </w:rPr>
        <w:t>10</w:t>
      </w:r>
      <w:r w:rsidRPr="00390EBD">
        <w:rPr>
          <w:rFonts w:ascii="Book Antiqua" w:hAnsi="Book Antiqua" w:cs="Book Antiqua"/>
          <w:sz w:val="24"/>
          <w:szCs w:val="24"/>
          <w:vertAlign w:val="superscript"/>
          <w:lang w:val="en-US"/>
        </w:rPr>
        <w:t xml:space="preserve">8 </w:t>
      </w:r>
      <w:r w:rsidRPr="00390EBD">
        <w:rPr>
          <w:rFonts w:ascii="Book Antiqua" w:hAnsi="Book Antiqua" w:cs="Book Antiqua"/>
          <w:sz w:val="24"/>
          <w:szCs w:val="24"/>
          <w:lang w:val="en-US"/>
        </w:rPr>
        <w:t>red blood cells increase the risk of liver toxicity</w:t>
      </w:r>
      <w:r w:rsidRPr="00390EBD">
        <w:rPr>
          <w:rFonts w:ascii="Book Antiqua" w:hAnsi="Book Antiqua" w:cs="Book Antiqua"/>
          <w:sz w:val="24"/>
          <w:szCs w:val="24"/>
          <w:vertAlign w:val="superscript"/>
          <w:lang w:val="en-US"/>
        </w:rPr>
        <w:t>[49,50]</w:t>
      </w:r>
      <w:r w:rsidRPr="00390EBD">
        <w:rPr>
          <w:rFonts w:ascii="Book Antiqua" w:hAnsi="Book Antiqua" w:cs="Book Antiqua"/>
          <w:sz w:val="24"/>
          <w:szCs w:val="24"/>
          <w:lang w:val="en-US"/>
        </w:rPr>
        <w:t>. At present, metabolite determination is not available on a generalized basis in clinical practice, and its use is moreover controversial. However, in patients lacking a clinical response, it may help in deciding medication changes (Figure</w:t>
      </w:r>
      <w:r w:rsidR="000626A0">
        <w:rPr>
          <w:rFonts w:ascii="Book Antiqua" w:hAnsi="Book Antiqua" w:cs="Book Antiqua" w:hint="eastAsia"/>
          <w:sz w:val="24"/>
          <w:szCs w:val="24"/>
          <w:lang w:val="en-US" w:eastAsia="zh-CN"/>
        </w:rPr>
        <w:t>s</w:t>
      </w:r>
      <w:r w:rsidRPr="00390EBD">
        <w:rPr>
          <w:rFonts w:ascii="Book Antiqua" w:hAnsi="Book Antiqua" w:cs="Book Antiqua"/>
          <w:sz w:val="24"/>
          <w:szCs w:val="24"/>
          <w:lang w:val="en-US"/>
        </w:rPr>
        <w:t xml:space="preserve"> 2</w:t>
      </w:r>
      <w:r w:rsidR="000626A0">
        <w:rPr>
          <w:rFonts w:ascii="Book Antiqua" w:hAnsi="Book Antiqua" w:cs="Book Antiqua" w:hint="eastAsia"/>
          <w:sz w:val="24"/>
          <w:szCs w:val="24"/>
          <w:lang w:val="en-US" w:eastAsia="zh-CN"/>
        </w:rPr>
        <w:t xml:space="preserve"> and 3</w:t>
      </w:r>
      <w:r w:rsidRPr="00390EBD">
        <w:rPr>
          <w:rFonts w:ascii="Book Antiqua" w:hAnsi="Book Antiqua" w:cs="Book Antiqua"/>
          <w:sz w:val="24"/>
          <w:szCs w:val="24"/>
          <w:lang w:val="en-US"/>
        </w:rPr>
        <w:t xml:space="preserve">). </w:t>
      </w:r>
    </w:p>
    <w:p w14:paraId="1A3545D4" w14:textId="77777777" w:rsidR="004A74B3" w:rsidRDefault="004A74B3" w:rsidP="00954CEE">
      <w:pPr>
        <w:autoSpaceDE w:val="0"/>
        <w:autoSpaceDN w:val="0"/>
        <w:adjustRightInd w:val="0"/>
        <w:snapToGrid w:val="0"/>
        <w:spacing w:after="0" w:line="360" w:lineRule="auto"/>
        <w:jc w:val="both"/>
        <w:rPr>
          <w:rFonts w:ascii="Book Antiqua" w:hAnsi="Book Antiqua" w:cs="Book Antiqua"/>
          <w:b/>
          <w:bCs/>
          <w:sz w:val="24"/>
          <w:szCs w:val="24"/>
          <w:lang w:val="en-US" w:eastAsia="zh-CN"/>
        </w:rPr>
      </w:pPr>
    </w:p>
    <w:p w14:paraId="745C6929" w14:textId="2240B3D9" w:rsidR="006138C7" w:rsidRPr="00390EBD" w:rsidRDefault="006138C7" w:rsidP="00954CEE">
      <w:pPr>
        <w:autoSpaceDE w:val="0"/>
        <w:autoSpaceDN w:val="0"/>
        <w:adjustRightInd w:val="0"/>
        <w:snapToGrid w:val="0"/>
        <w:spacing w:after="0" w:line="360" w:lineRule="auto"/>
        <w:jc w:val="both"/>
        <w:rPr>
          <w:rFonts w:ascii="Book Antiqua" w:hAnsi="Book Antiqua" w:cs="Book Antiqua"/>
          <w:b/>
          <w:bCs/>
          <w:sz w:val="24"/>
          <w:szCs w:val="24"/>
          <w:lang w:val="en-US"/>
        </w:rPr>
      </w:pPr>
      <w:r w:rsidRPr="00390EBD">
        <w:rPr>
          <w:rFonts w:ascii="Book Antiqua" w:hAnsi="Book Antiqua" w:cs="Book Antiqua"/>
          <w:b/>
          <w:bCs/>
          <w:sz w:val="24"/>
          <w:szCs w:val="24"/>
          <w:lang w:val="en-US"/>
        </w:rPr>
        <w:t>METHOTREXATE</w:t>
      </w:r>
    </w:p>
    <w:p w14:paraId="183B3FE9" w14:textId="1B082358" w:rsidR="006138C7" w:rsidRPr="00390EBD" w:rsidRDefault="004A74B3"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4A74B3">
        <w:rPr>
          <w:rFonts w:ascii="Book Antiqua" w:hAnsi="Book Antiqua" w:cs="Book Antiqua"/>
          <w:sz w:val="24"/>
          <w:szCs w:val="24"/>
          <w:lang w:val="en-US"/>
        </w:rPr>
        <w:t>Methotrexate (MTX)</w:t>
      </w:r>
      <w:r>
        <w:rPr>
          <w:rFonts w:ascii="Book Antiqua" w:hAnsi="Book Antiqua" w:cs="Book Antiqua" w:hint="eastAsia"/>
          <w:sz w:val="24"/>
          <w:szCs w:val="24"/>
          <w:lang w:val="en-US" w:eastAsia="zh-CN"/>
        </w:rPr>
        <w:t xml:space="preserve"> </w:t>
      </w:r>
      <w:r w:rsidR="006138C7" w:rsidRPr="00390EBD">
        <w:rPr>
          <w:rFonts w:ascii="Book Antiqua" w:hAnsi="Book Antiqua" w:cs="Book Antiqua"/>
          <w:sz w:val="24"/>
          <w:szCs w:val="24"/>
          <w:lang w:val="en-US"/>
        </w:rPr>
        <w:t>is usually used as an alternative to treatment with TPs in CD both for flare</w:t>
      </w:r>
      <w:r w:rsidR="006138C7" w:rsidRPr="00390EBD">
        <w:rPr>
          <w:rFonts w:ascii="Book Antiqua" w:hAnsi="Book Antiqua" w:cs="Book Antiqua"/>
          <w:sz w:val="24"/>
          <w:szCs w:val="24"/>
          <w:lang w:val="en-US"/>
        </w:rPr>
        <w:noBreakHyphen/>
        <w:t>ups and as maintenance therapy. Its usefulness in UC is more controversial.</w:t>
      </w:r>
    </w:p>
    <w:p w14:paraId="340F846B" w14:textId="77777777" w:rsidR="006138C7" w:rsidRPr="00390EBD" w:rsidRDefault="006138C7" w:rsidP="00954CEE">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The mechanism of action of MTX in IBD has not been clearly established. The drug is a folic acid antagonist and blocks purine and pyrimidine synthesis. Those tissues characterized by greater cellular regeneration (turnover) show more toxic effects. Consequently, the main adverse effects of MTX are bone marrow suppression, mucositis and gastrointestinal and hepatic alterations. Folic acid supplementing reduces the side effects, though even so up to 30% of all patients have to suspend the medication.</w:t>
      </w:r>
    </w:p>
    <w:p w14:paraId="5257CE3E" w14:textId="77777777" w:rsidR="006138C7" w:rsidRPr="00390EBD" w:rsidRDefault="006138C7" w:rsidP="00954CEE">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lastRenderedPageBreak/>
        <w:t>Most pharmacogenetic studies of MTX have focused on patients with hematological tumors and rheumatoid arthritis (RA). In both of these disease conditions the dosage and administration route are very different from those used in IBD; the extrapolation of results is therefore not possible.</w:t>
      </w:r>
    </w:p>
    <w:p w14:paraId="0D900468" w14:textId="77777777" w:rsidR="006138C7" w:rsidRPr="00390EBD" w:rsidRDefault="006138C7" w:rsidP="00954CEE">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Herrlinger has carried out the only study to date in patients with IBD. The mentioned study found that patients with the 1298C allele of the enzyme MTHFR are more susceptible to adverse effects, though these data are in conflict with those recorded in other diseases</w:t>
      </w:r>
      <w:r w:rsidRPr="00390EBD">
        <w:rPr>
          <w:rFonts w:ascii="Book Antiqua" w:hAnsi="Book Antiqua" w:cs="Book Antiqua"/>
          <w:sz w:val="24"/>
          <w:szCs w:val="24"/>
          <w:vertAlign w:val="superscript"/>
          <w:lang w:val="en-US"/>
        </w:rPr>
        <w:t>[51]</w:t>
      </w:r>
      <w:r w:rsidRPr="00390EBD">
        <w:rPr>
          <w:rFonts w:ascii="Book Antiqua" w:hAnsi="Book Antiqua" w:cs="Book Antiqua"/>
          <w:sz w:val="24"/>
          <w:szCs w:val="24"/>
          <w:lang w:val="en-US"/>
        </w:rPr>
        <w:t>.</w:t>
      </w:r>
    </w:p>
    <w:p w14:paraId="27404D3F" w14:textId="77777777" w:rsidR="004A74B3" w:rsidRDefault="004A74B3" w:rsidP="00954CEE">
      <w:pPr>
        <w:autoSpaceDE w:val="0"/>
        <w:autoSpaceDN w:val="0"/>
        <w:adjustRightInd w:val="0"/>
        <w:snapToGrid w:val="0"/>
        <w:spacing w:after="0" w:line="360" w:lineRule="auto"/>
        <w:jc w:val="both"/>
        <w:rPr>
          <w:rFonts w:ascii="Book Antiqua" w:hAnsi="Book Antiqua" w:cs="Book Antiqua"/>
          <w:b/>
          <w:bCs/>
          <w:sz w:val="24"/>
          <w:szCs w:val="24"/>
          <w:lang w:val="en-GB" w:eastAsia="zh-CN"/>
        </w:rPr>
      </w:pPr>
    </w:p>
    <w:p w14:paraId="6905C220"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b/>
          <w:bCs/>
          <w:sz w:val="24"/>
          <w:szCs w:val="24"/>
          <w:lang w:val="en-GB"/>
        </w:rPr>
      </w:pPr>
      <w:r w:rsidRPr="00390EBD">
        <w:rPr>
          <w:rFonts w:ascii="Book Antiqua" w:hAnsi="Book Antiqua" w:cs="Book Antiqua"/>
          <w:b/>
          <w:bCs/>
          <w:sz w:val="24"/>
          <w:szCs w:val="24"/>
          <w:lang w:val="en-GB"/>
        </w:rPr>
        <w:t>ANTI TNF</w:t>
      </w:r>
      <w:r w:rsidRPr="00390EBD">
        <w:rPr>
          <w:rFonts w:ascii="Book Antiqua" w:hAnsi="Book Antiqua" w:cs="Book Antiqua"/>
          <w:b/>
          <w:bCs/>
          <w:sz w:val="24"/>
          <w:szCs w:val="24"/>
          <w:lang w:val="en-GB"/>
        </w:rPr>
        <w:noBreakHyphen/>
      </w:r>
      <w:r w:rsidRPr="00390EBD">
        <w:rPr>
          <w:rFonts w:ascii="Book Antiqua" w:hAnsi="Book Antiqua" w:cs="Book Antiqua"/>
          <w:b/>
          <w:bCs/>
          <w:sz w:val="24"/>
          <w:szCs w:val="24"/>
        </w:rPr>
        <w:t>α</w:t>
      </w:r>
      <w:r w:rsidRPr="00390EBD">
        <w:rPr>
          <w:rFonts w:ascii="Book Antiqua" w:hAnsi="Book Antiqua" w:cs="Book Antiqua"/>
          <w:b/>
          <w:bCs/>
          <w:sz w:val="24"/>
          <w:szCs w:val="24"/>
          <w:lang w:val="en-GB"/>
        </w:rPr>
        <w:t xml:space="preserve"> DRUGS</w:t>
      </w:r>
    </w:p>
    <w:p w14:paraId="1CF5363F" w14:textId="137375DC"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Infliximab (IFX) is a chimeric IgG1 monoclonal antibody (Ab) targeted to TNF</w:t>
      </w:r>
      <w:r w:rsidRPr="00390EBD">
        <w:rPr>
          <w:rFonts w:ascii="Book Antiqua" w:hAnsi="Book Antiqua" w:cs="Book Antiqua"/>
          <w:sz w:val="24"/>
          <w:szCs w:val="24"/>
          <w:lang w:val="en-US"/>
        </w:rPr>
        <w:noBreakHyphen/>
      </w:r>
      <w:r w:rsidRPr="00390EBD">
        <w:rPr>
          <w:rFonts w:ascii="Book Antiqua" w:hAnsi="Book Antiqua" w:cs="Book Antiqua"/>
          <w:sz w:val="24"/>
          <w:szCs w:val="24"/>
        </w:rPr>
        <w:t>α</w:t>
      </w:r>
      <w:r w:rsidRPr="00390EBD">
        <w:rPr>
          <w:rFonts w:ascii="Book Antiqua" w:hAnsi="Book Antiqua" w:cs="Book Antiqua"/>
          <w:sz w:val="24"/>
          <w:szCs w:val="24"/>
          <w:lang w:val="en-US"/>
        </w:rPr>
        <w:t>. It is used for induction and maintenance in patients with moderate to severe flare</w:t>
      </w:r>
      <w:r w:rsidRPr="00390EBD">
        <w:rPr>
          <w:rFonts w:ascii="Book Antiqua" w:hAnsi="Book Antiqua" w:cs="Book Antiqua"/>
          <w:sz w:val="24"/>
          <w:szCs w:val="24"/>
          <w:lang w:val="en-US"/>
        </w:rPr>
        <w:noBreakHyphen/>
        <w:t>ups of IBD. IFX is a very useful drug that has been shown to produce mucosal healing and reduce the number of flare</w:t>
      </w:r>
      <w:r w:rsidRPr="00390EBD">
        <w:rPr>
          <w:rFonts w:ascii="Book Antiqua" w:hAnsi="Book Antiqua" w:cs="Book Antiqua"/>
          <w:sz w:val="24"/>
          <w:szCs w:val="24"/>
          <w:lang w:val="en-US"/>
        </w:rPr>
        <w:noBreakHyphen/>
        <w:t>ups, hospital admissions and surgeries. A number of clinical factors indicative of a good response have been described, such as the start of patient treatment at a young age, colonic location of the disease, and associated immunosuppressor therapy. It seems that a shorter duration of the disease, non</w:t>
      </w:r>
      <w:r w:rsidRPr="00390EBD">
        <w:rPr>
          <w:rFonts w:ascii="Book Antiqua" w:hAnsi="Book Antiqua" w:cs="Book Antiqua"/>
          <w:sz w:val="24"/>
          <w:szCs w:val="24"/>
          <w:lang w:val="en-US"/>
        </w:rPr>
        <w:noBreakHyphen/>
        <w:t>smoking, and elevated C</w:t>
      </w:r>
      <w:r w:rsidRPr="00390EBD">
        <w:rPr>
          <w:rFonts w:ascii="Book Antiqua" w:hAnsi="Book Antiqua" w:cs="Book Antiqua"/>
          <w:sz w:val="24"/>
          <w:szCs w:val="24"/>
          <w:lang w:val="en-US"/>
        </w:rPr>
        <w:noBreakHyphen/>
        <w:t>reactive protein levels at the start of therapy also favor a good response</w:t>
      </w:r>
      <w:r w:rsidRPr="00390EBD">
        <w:rPr>
          <w:rFonts w:ascii="Book Antiqua" w:hAnsi="Book Antiqua" w:cs="Book Antiqua"/>
          <w:sz w:val="24"/>
          <w:szCs w:val="24"/>
          <w:vertAlign w:val="superscript"/>
          <w:lang w:val="en-US"/>
        </w:rPr>
        <w:t>[52,53]</w:t>
      </w:r>
      <w:r w:rsidRPr="00390EBD">
        <w:rPr>
          <w:rFonts w:ascii="Book Antiqua" w:hAnsi="Book Antiqua" w:cs="Book Antiqua"/>
          <w:sz w:val="24"/>
          <w:szCs w:val="24"/>
          <w:lang w:val="en-US"/>
        </w:rPr>
        <w:t>. Even so, 25% of all patients are primary non</w:t>
      </w:r>
      <w:r w:rsidRPr="00390EBD">
        <w:rPr>
          <w:rFonts w:ascii="Book Antiqua" w:hAnsi="Book Antiqua" w:cs="Book Antiqua"/>
          <w:sz w:val="24"/>
          <w:szCs w:val="24"/>
          <w:lang w:val="en-US"/>
        </w:rPr>
        <w:noBreakHyphen/>
        <w:t>responders, and 20</w:t>
      </w:r>
      <w:r w:rsidR="004A74B3">
        <w:rPr>
          <w:rFonts w:ascii="Book Antiqua" w:hAnsi="Book Antiqua" w:cs="Book Antiqua" w:hint="eastAsia"/>
          <w:sz w:val="24"/>
          <w:szCs w:val="24"/>
          <w:lang w:val="en-US" w:eastAsia="zh-CN"/>
        </w:rPr>
        <w:t>%-</w:t>
      </w:r>
      <w:r w:rsidRPr="00390EBD">
        <w:rPr>
          <w:rFonts w:ascii="Book Antiqua" w:hAnsi="Book Antiqua" w:cs="Book Antiqua"/>
          <w:sz w:val="24"/>
          <w:szCs w:val="24"/>
          <w:lang w:val="en-US"/>
        </w:rPr>
        <w:t>30% lose response over time (secondary non</w:t>
      </w:r>
      <w:r w:rsidRPr="00390EBD">
        <w:rPr>
          <w:rFonts w:ascii="Book Antiqua" w:hAnsi="Book Antiqua" w:cs="Book Antiqua"/>
          <w:sz w:val="24"/>
          <w:szCs w:val="24"/>
          <w:lang w:val="en-US"/>
        </w:rPr>
        <w:noBreakHyphen/>
        <w:t>responders). Most of these latter cases are a consequence of the production of antibodies against IFX</w:t>
      </w:r>
      <w:r w:rsidRPr="00390EBD">
        <w:rPr>
          <w:rFonts w:ascii="Book Antiqua" w:hAnsi="Book Antiqua" w:cs="Book Antiqua"/>
          <w:sz w:val="24"/>
          <w:szCs w:val="24"/>
          <w:vertAlign w:val="superscript"/>
          <w:lang w:val="en-US"/>
        </w:rPr>
        <w:t>[11-13]</w:t>
      </w:r>
      <w:r w:rsidRPr="00390EBD">
        <w:rPr>
          <w:rFonts w:ascii="Book Antiqua" w:hAnsi="Book Antiqua" w:cs="Book Antiqua"/>
          <w:sz w:val="24"/>
          <w:szCs w:val="24"/>
          <w:lang w:val="en-US"/>
        </w:rPr>
        <w:t xml:space="preserve">. Furthermore, the drug is expensive and has potentially serious side effects. IFX has been an important subject of pharmacogenetic studies. </w:t>
      </w:r>
    </w:p>
    <w:p w14:paraId="062EC297" w14:textId="77777777" w:rsidR="006138C7" w:rsidRPr="00390EBD" w:rsidRDefault="006138C7" w:rsidP="00954CEE">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Table 3 summarizes the genetic studies made with IFX in patients with IBD. Studies have been carried out related to the genes that encode for TNF</w:t>
      </w:r>
      <w:r w:rsidRPr="00390EBD">
        <w:rPr>
          <w:rFonts w:ascii="Book Antiqua" w:hAnsi="Book Antiqua" w:cs="Book Antiqua"/>
          <w:sz w:val="24"/>
          <w:szCs w:val="24"/>
          <w:lang w:val="en-US"/>
        </w:rPr>
        <w:noBreakHyphen/>
      </w:r>
      <w:r w:rsidRPr="00390EBD">
        <w:rPr>
          <w:rFonts w:ascii="Book Antiqua" w:hAnsi="Book Antiqua" w:cs="Book Antiqua"/>
          <w:sz w:val="24"/>
          <w:szCs w:val="24"/>
        </w:rPr>
        <w:t>α</w:t>
      </w:r>
      <w:r w:rsidRPr="00390EBD">
        <w:rPr>
          <w:rFonts w:ascii="Book Antiqua" w:hAnsi="Book Antiqua" w:cs="Book Antiqua"/>
          <w:sz w:val="24"/>
          <w:szCs w:val="24"/>
          <w:lang w:val="en-US"/>
        </w:rPr>
        <w:t>, the TNF</w:t>
      </w:r>
      <w:r w:rsidRPr="00390EBD">
        <w:rPr>
          <w:rFonts w:ascii="Book Antiqua" w:hAnsi="Book Antiqua" w:cs="Book Antiqua"/>
          <w:sz w:val="24"/>
          <w:szCs w:val="24"/>
          <w:lang w:val="en-US"/>
        </w:rPr>
        <w:noBreakHyphen/>
      </w:r>
      <w:r w:rsidRPr="00390EBD">
        <w:rPr>
          <w:rFonts w:ascii="Book Antiqua" w:hAnsi="Book Antiqua" w:cs="Book Antiqua"/>
          <w:sz w:val="24"/>
          <w:szCs w:val="24"/>
        </w:rPr>
        <w:t>α</w:t>
      </w:r>
      <w:r w:rsidRPr="00390EBD">
        <w:rPr>
          <w:rFonts w:ascii="Book Antiqua" w:hAnsi="Book Antiqua" w:cs="Book Antiqua"/>
          <w:sz w:val="24"/>
          <w:szCs w:val="24"/>
          <w:lang w:val="en-US"/>
        </w:rPr>
        <w:t xml:space="preserve"> receptor, genes regulating the expression of TNF</w:t>
      </w:r>
      <w:r w:rsidRPr="00390EBD">
        <w:rPr>
          <w:rFonts w:ascii="Book Antiqua" w:hAnsi="Book Antiqua" w:cs="Book Antiqua"/>
          <w:sz w:val="24"/>
          <w:szCs w:val="24"/>
          <w:lang w:val="en-US"/>
        </w:rPr>
        <w:noBreakHyphen/>
      </w:r>
      <w:r w:rsidRPr="00390EBD">
        <w:rPr>
          <w:rFonts w:ascii="Book Antiqua" w:hAnsi="Book Antiqua" w:cs="Book Antiqua"/>
          <w:sz w:val="24"/>
          <w:szCs w:val="24"/>
        </w:rPr>
        <w:t>α</w:t>
      </w:r>
      <w:r w:rsidRPr="00390EBD">
        <w:rPr>
          <w:rFonts w:ascii="Book Antiqua" w:hAnsi="Book Antiqua" w:cs="Book Antiqua"/>
          <w:sz w:val="24"/>
          <w:szCs w:val="24"/>
          <w:lang w:val="en-US"/>
        </w:rPr>
        <w:t xml:space="preserve"> (NOD2/CARD2), apoptotic mechanisms, and other proinflammatory cytokines. To date it has not been possible to demonstrate an association between response to the drug and a concrete gene. There are two main problems in this sense: on one hand, many studies fail to reach statistically significant results because of the small number </w:t>
      </w:r>
      <w:r w:rsidRPr="00390EBD">
        <w:rPr>
          <w:rFonts w:ascii="Book Antiqua" w:hAnsi="Book Antiqua" w:cs="Book Antiqua"/>
          <w:sz w:val="24"/>
          <w:szCs w:val="24"/>
          <w:lang w:val="en-US"/>
        </w:rPr>
        <w:lastRenderedPageBreak/>
        <w:t>of patients involved, and on the other hand the studies are not always comparable, since different response criteria are used (C</w:t>
      </w:r>
      <w:r w:rsidRPr="00390EBD">
        <w:rPr>
          <w:rFonts w:ascii="Book Antiqua" w:hAnsi="Book Antiqua" w:cs="Book Antiqua"/>
          <w:sz w:val="24"/>
          <w:szCs w:val="24"/>
          <w:lang w:val="en-US"/>
        </w:rPr>
        <w:noBreakHyphen/>
        <w:t>reactive protein, CDAI score, Harvey</w:t>
      </w:r>
      <w:r w:rsidRPr="00390EBD">
        <w:rPr>
          <w:rFonts w:ascii="Book Antiqua" w:hAnsi="Book Antiqua" w:cs="Book Antiqua"/>
          <w:sz w:val="24"/>
          <w:szCs w:val="24"/>
          <w:lang w:val="en-US"/>
        </w:rPr>
        <w:noBreakHyphen/>
        <w:t xml:space="preserve">Bradshaw index), patients with different degrees of disease activity are included, and different doses are administered. </w:t>
      </w:r>
    </w:p>
    <w:p w14:paraId="4AEBDB12" w14:textId="77777777" w:rsidR="006138C7" w:rsidRPr="00390EBD" w:rsidRDefault="006138C7" w:rsidP="00954CEE">
      <w:pPr>
        <w:autoSpaceDE w:val="0"/>
        <w:autoSpaceDN w:val="0"/>
        <w:adjustRightInd w:val="0"/>
        <w:snapToGrid w:val="0"/>
        <w:spacing w:after="0" w:line="360" w:lineRule="auto"/>
        <w:ind w:firstLineChars="200" w:firstLine="480"/>
        <w:jc w:val="both"/>
        <w:rPr>
          <w:rFonts w:ascii="Book Antiqua" w:hAnsi="Book Antiqua"/>
          <w:sz w:val="24"/>
          <w:szCs w:val="24"/>
          <w:lang w:val="en-US"/>
        </w:rPr>
      </w:pPr>
      <w:r w:rsidRPr="00390EBD">
        <w:rPr>
          <w:rFonts w:ascii="Book Antiqua" w:hAnsi="Book Antiqua" w:cs="Book Antiqua"/>
          <w:sz w:val="24"/>
          <w:szCs w:val="24"/>
          <w:lang w:val="en-US"/>
        </w:rPr>
        <w:t>Perhaps in the near future knowledge of the genotype of TNF</w:t>
      </w:r>
      <w:r w:rsidRPr="00390EBD">
        <w:rPr>
          <w:rFonts w:ascii="Book Antiqua" w:hAnsi="Book Antiqua" w:cs="Times New Roman"/>
          <w:sz w:val="24"/>
          <w:szCs w:val="24"/>
          <w:lang w:val="en-US"/>
        </w:rPr>
        <w:noBreakHyphen/>
      </w:r>
      <w:r w:rsidRPr="00390EBD">
        <w:rPr>
          <w:rFonts w:ascii="Book Antiqua" w:hAnsi="Book Antiqua"/>
          <w:sz w:val="24"/>
          <w:szCs w:val="24"/>
        </w:rPr>
        <w:t>α</w:t>
      </w:r>
      <w:r w:rsidRPr="00390EBD">
        <w:rPr>
          <w:rFonts w:ascii="Book Antiqua" w:hAnsi="Book Antiqua" w:cs="Book Antiqua"/>
          <w:sz w:val="24"/>
          <w:szCs w:val="24"/>
          <w:lang w:val="en-US"/>
        </w:rPr>
        <w:t xml:space="preserve"> and its receptor may help us identify non</w:t>
      </w:r>
      <w:r w:rsidRPr="00390EBD">
        <w:rPr>
          <w:rFonts w:ascii="Book Antiqua" w:hAnsi="Book Antiqua" w:cs="Book Antiqua"/>
          <w:sz w:val="24"/>
          <w:szCs w:val="24"/>
          <w:lang w:val="en-US"/>
        </w:rPr>
        <w:noBreakHyphen/>
        <w:t>responders to anti</w:t>
      </w:r>
      <w:r w:rsidRPr="00390EBD">
        <w:rPr>
          <w:rFonts w:ascii="Book Antiqua" w:hAnsi="Book Antiqua" w:cs="Book Antiqua"/>
          <w:sz w:val="24"/>
          <w:szCs w:val="24"/>
          <w:lang w:val="en-US"/>
        </w:rPr>
        <w:noBreakHyphen/>
        <w:t>TNF</w:t>
      </w:r>
      <w:r w:rsidRPr="00390EBD">
        <w:rPr>
          <w:rFonts w:ascii="Book Antiqua" w:hAnsi="Book Antiqua" w:cs="Book Antiqua"/>
          <w:sz w:val="24"/>
          <w:szCs w:val="24"/>
          <w:lang w:val="en-US"/>
        </w:rPr>
        <w:noBreakHyphen/>
      </w:r>
      <w:r w:rsidRPr="00390EBD">
        <w:rPr>
          <w:rFonts w:ascii="Book Antiqua" w:hAnsi="Book Antiqua"/>
          <w:sz w:val="24"/>
          <w:szCs w:val="24"/>
        </w:rPr>
        <w:t>α</w:t>
      </w:r>
      <w:r w:rsidRPr="00390EBD">
        <w:rPr>
          <w:rFonts w:ascii="Book Antiqua" w:hAnsi="Book Antiqua"/>
          <w:sz w:val="24"/>
          <w:szCs w:val="24"/>
          <w:lang w:val="en-US"/>
        </w:rPr>
        <w:t xml:space="preserve"> therapy.</w:t>
      </w:r>
    </w:p>
    <w:p w14:paraId="55400E90"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b/>
          <w:bCs/>
          <w:sz w:val="24"/>
          <w:szCs w:val="24"/>
          <w:u w:val="single"/>
          <w:lang w:val="en-US"/>
        </w:rPr>
      </w:pPr>
    </w:p>
    <w:p w14:paraId="157BA007" w14:textId="135331BE" w:rsidR="006138C7" w:rsidRPr="004A74B3" w:rsidRDefault="004A74B3" w:rsidP="00954CEE">
      <w:pPr>
        <w:autoSpaceDE w:val="0"/>
        <w:autoSpaceDN w:val="0"/>
        <w:adjustRightInd w:val="0"/>
        <w:snapToGrid w:val="0"/>
        <w:spacing w:after="0" w:line="360" w:lineRule="auto"/>
        <w:jc w:val="both"/>
        <w:rPr>
          <w:rFonts w:ascii="Book Antiqua" w:hAnsi="Book Antiqua" w:cs="Book Antiqua"/>
          <w:b/>
          <w:bCs/>
          <w:i/>
          <w:sz w:val="24"/>
          <w:szCs w:val="24"/>
          <w:lang w:val="en-US"/>
        </w:rPr>
      </w:pPr>
      <w:r w:rsidRPr="004A74B3">
        <w:rPr>
          <w:rFonts w:ascii="Book Antiqua" w:hAnsi="Book Antiqua" w:cs="Book Antiqua"/>
          <w:b/>
          <w:bCs/>
          <w:i/>
          <w:sz w:val="24"/>
          <w:szCs w:val="24"/>
          <w:lang w:val="en-US"/>
        </w:rPr>
        <w:t xml:space="preserve">Pharmacokinetics in </w:t>
      </w:r>
      <w:r w:rsidRPr="004A74B3">
        <w:rPr>
          <w:rFonts w:ascii="Book Antiqua" w:hAnsi="Book Antiqua" w:cs="Book Antiqua"/>
          <w:b/>
          <w:bCs/>
          <w:i/>
          <w:caps/>
          <w:sz w:val="24"/>
          <w:szCs w:val="24"/>
          <w:lang w:val="en-US"/>
        </w:rPr>
        <w:t>ibd</w:t>
      </w:r>
    </w:p>
    <w:p w14:paraId="42B6EDBB" w14:textId="77777777" w:rsidR="006138C7" w:rsidRPr="00390EBD" w:rsidRDefault="006138C7" w:rsidP="00954CEE">
      <w:pPr>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Knowledge of the pharmacokinetics of a drug is very important for adjusting the dose required to guarantee therapeutic concentrations, since many factors are able to influence drug concentration in blood. In clinical practice, the determination of blood drug levels has been used to monitor treatments with drug substances that have a narrow therapeutic margin or window. In IBD, such monitoring has been applied to cyclosporine A and tacrolimus, and in recent years it has become particularly important in the management of anti</w:t>
      </w:r>
      <w:r w:rsidRPr="00390EBD">
        <w:rPr>
          <w:rFonts w:ascii="Book Antiqua" w:hAnsi="Book Antiqua" w:cs="Book Antiqua"/>
          <w:sz w:val="24"/>
          <w:szCs w:val="24"/>
          <w:lang w:val="en-US"/>
        </w:rPr>
        <w:noBreakHyphen/>
        <w:t>TNF</w:t>
      </w:r>
      <w:r w:rsidRPr="00390EBD">
        <w:rPr>
          <w:rFonts w:ascii="Book Antiqua" w:hAnsi="Book Antiqua" w:cs="Book Antiqua"/>
          <w:sz w:val="24"/>
          <w:szCs w:val="24"/>
          <w:lang w:val="en-US"/>
        </w:rPr>
        <w:noBreakHyphen/>
      </w:r>
      <w:r w:rsidRPr="00390EBD">
        <w:rPr>
          <w:rFonts w:ascii="Book Antiqua" w:hAnsi="Book Antiqua" w:cs="Book Antiqua"/>
          <w:sz w:val="24"/>
          <w:szCs w:val="24"/>
        </w:rPr>
        <w:t>α</w:t>
      </w:r>
      <w:r w:rsidRPr="00390EBD">
        <w:rPr>
          <w:rFonts w:ascii="Book Antiqua" w:hAnsi="Book Antiqua" w:cs="Book Antiqua"/>
          <w:sz w:val="24"/>
          <w:szCs w:val="24"/>
          <w:lang w:val="en-US"/>
        </w:rPr>
        <w:t xml:space="preserve"> drugs.</w:t>
      </w:r>
    </w:p>
    <w:p w14:paraId="7ECAF9D1" w14:textId="7D4BEA61" w:rsidR="006138C7" w:rsidRPr="00390EBD" w:rsidRDefault="006138C7" w:rsidP="00954CEE">
      <w:pPr>
        <w:adjustRightInd w:val="0"/>
        <w:snapToGrid w:val="0"/>
        <w:spacing w:after="0" w:line="360" w:lineRule="auto"/>
        <w:ind w:firstLineChars="200" w:firstLine="480"/>
        <w:jc w:val="both"/>
        <w:rPr>
          <w:rFonts w:ascii="Book Antiqua" w:hAnsi="Book Antiqua" w:cs="Book Antiqua"/>
          <w:color w:val="4F81BD"/>
          <w:sz w:val="24"/>
          <w:szCs w:val="24"/>
          <w:lang w:val="en-US"/>
        </w:rPr>
      </w:pPr>
      <w:r w:rsidRPr="00390EBD">
        <w:rPr>
          <w:rFonts w:ascii="Book Antiqua" w:hAnsi="Book Antiqua" w:cs="Book Antiqua"/>
          <w:sz w:val="24"/>
          <w:szCs w:val="24"/>
          <w:lang w:val="en-US"/>
        </w:rPr>
        <w:t>The differences in the administration route, degradation and clearance of anti</w:t>
      </w:r>
      <w:r w:rsidRPr="00390EBD">
        <w:rPr>
          <w:rFonts w:ascii="Book Antiqua" w:hAnsi="Book Antiqua" w:cs="Book Antiqua"/>
          <w:sz w:val="24"/>
          <w:szCs w:val="24"/>
          <w:lang w:val="en-US"/>
        </w:rPr>
        <w:noBreakHyphen/>
        <w:t>TNF</w:t>
      </w:r>
      <w:r w:rsidRPr="00390EBD">
        <w:rPr>
          <w:rFonts w:ascii="Book Antiqua" w:hAnsi="Book Antiqua" w:cs="Book Antiqua"/>
          <w:sz w:val="24"/>
          <w:szCs w:val="24"/>
          <w:lang w:val="en-US"/>
        </w:rPr>
        <w:noBreakHyphen/>
      </w:r>
      <w:r w:rsidRPr="00390EBD">
        <w:rPr>
          <w:rFonts w:ascii="Book Antiqua" w:hAnsi="Book Antiqua" w:cs="Book Antiqua"/>
          <w:sz w:val="24"/>
          <w:szCs w:val="24"/>
        </w:rPr>
        <w:t>α</w:t>
      </w:r>
      <w:r w:rsidRPr="00390EBD">
        <w:rPr>
          <w:rFonts w:ascii="Book Antiqua" w:hAnsi="Book Antiqua" w:cs="Book Antiqua"/>
          <w:sz w:val="24"/>
          <w:szCs w:val="24"/>
          <w:lang w:val="en-US"/>
        </w:rPr>
        <w:t xml:space="preserve"> modify their concentration in blood, and this in turn conditions the treatment response. In this regard, achieving adequate blood drug levels is correlated to clinical and endoscopic remission of the disease</w:t>
      </w:r>
      <w:r w:rsidRPr="00390EBD">
        <w:rPr>
          <w:rFonts w:ascii="Book Antiqua" w:hAnsi="Book Antiqua" w:cs="Book Antiqua"/>
          <w:sz w:val="24"/>
          <w:szCs w:val="24"/>
          <w:vertAlign w:val="superscript"/>
          <w:lang w:val="en-US"/>
        </w:rPr>
        <w:t>[70,71]</w:t>
      </w:r>
      <w:r w:rsidRPr="00390EBD">
        <w:rPr>
          <w:rFonts w:ascii="Book Antiqua" w:hAnsi="Book Antiqua" w:cs="Book Antiqua"/>
          <w:sz w:val="24"/>
          <w:szCs w:val="24"/>
          <w:lang w:val="en-US"/>
        </w:rPr>
        <w:t>. When the anti</w:t>
      </w:r>
      <w:r w:rsidRPr="00390EBD">
        <w:rPr>
          <w:rFonts w:ascii="Book Antiqua" w:hAnsi="Book Antiqua" w:cs="Book Antiqua"/>
          <w:sz w:val="24"/>
          <w:szCs w:val="24"/>
          <w:lang w:val="en-US"/>
        </w:rPr>
        <w:noBreakHyphen/>
        <w:t>TNF</w:t>
      </w:r>
      <w:r w:rsidRPr="00390EBD">
        <w:rPr>
          <w:rFonts w:ascii="Book Antiqua" w:hAnsi="Book Antiqua" w:cs="Book Antiqua"/>
          <w:sz w:val="24"/>
          <w:szCs w:val="24"/>
          <w:lang w:val="en-US"/>
        </w:rPr>
        <w:noBreakHyphen/>
      </w:r>
      <w:r w:rsidRPr="00390EBD">
        <w:rPr>
          <w:rFonts w:ascii="Book Antiqua" w:hAnsi="Book Antiqua" w:cs="Book Antiqua"/>
          <w:sz w:val="24"/>
          <w:szCs w:val="24"/>
        </w:rPr>
        <w:t>α</w:t>
      </w:r>
      <w:r w:rsidRPr="00390EBD">
        <w:rPr>
          <w:rFonts w:ascii="Book Antiqua" w:hAnsi="Book Antiqua" w:cs="Book Antiqua"/>
          <w:sz w:val="24"/>
          <w:szCs w:val="24"/>
          <w:lang w:val="en-US"/>
        </w:rPr>
        <w:t xml:space="preserve"> drug is administered </w:t>
      </w:r>
      <w:r w:rsidRPr="00BB5B43">
        <w:rPr>
          <w:rFonts w:ascii="Book Antiqua" w:hAnsi="Book Antiqua" w:cs="Book Antiqua"/>
          <w:i/>
          <w:sz w:val="24"/>
          <w:szCs w:val="24"/>
          <w:lang w:val="en-US"/>
        </w:rPr>
        <w:t>via</w:t>
      </w:r>
      <w:r w:rsidRPr="00390EBD">
        <w:rPr>
          <w:rFonts w:ascii="Book Antiqua" w:hAnsi="Book Antiqua" w:cs="Book Antiqua"/>
          <w:sz w:val="24"/>
          <w:szCs w:val="24"/>
          <w:lang w:val="en-US"/>
        </w:rPr>
        <w:t xml:space="preserve"> the intravenous route (IFX), the maximum blood drug concentration is reached immediately after infusion, with few differences among patients. However, when the anti</w:t>
      </w:r>
      <w:r w:rsidRPr="00390EBD">
        <w:rPr>
          <w:rFonts w:ascii="Book Antiqua" w:hAnsi="Book Antiqua" w:cs="Book Antiqua"/>
          <w:sz w:val="24"/>
          <w:szCs w:val="24"/>
          <w:lang w:val="en-US"/>
        </w:rPr>
        <w:noBreakHyphen/>
        <w:t>TNF</w:t>
      </w:r>
      <w:r w:rsidRPr="00390EBD">
        <w:rPr>
          <w:rFonts w:ascii="Book Antiqua" w:hAnsi="Book Antiqua" w:cs="Book Antiqua"/>
          <w:sz w:val="24"/>
          <w:szCs w:val="24"/>
          <w:lang w:val="en-US"/>
        </w:rPr>
        <w:noBreakHyphen/>
      </w:r>
      <w:r w:rsidRPr="00390EBD">
        <w:rPr>
          <w:rFonts w:ascii="Book Antiqua" w:hAnsi="Book Antiqua" w:cs="Book Antiqua"/>
          <w:sz w:val="24"/>
          <w:szCs w:val="24"/>
        </w:rPr>
        <w:t>α</w:t>
      </w:r>
      <w:r w:rsidRPr="00390EBD">
        <w:rPr>
          <w:rFonts w:ascii="Book Antiqua" w:hAnsi="Book Antiqua" w:cs="Book Antiqua"/>
          <w:sz w:val="24"/>
          <w:szCs w:val="24"/>
          <w:lang w:val="en-US"/>
        </w:rPr>
        <w:t xml:space="preserve"> drug is administered </w:t>
      </w:r>
      <w:r w:rsidRPr="00BB5B43">
        <w:rPr>
          <w:rFonts w:ascii="Book Antiqua" w:hAnsi="Book Antiqua" w:cs="Book Antiqua"/>
          <w:i/>
          <w:sz w:val="24"/>
          <w:szCs w:val="24"/>
          <w:lang w:val="en-US"/>
        </w:rPr>
        <w:t>via</w:t>
      </w:r>
      <w:r w:rsidRPr="00390EBD">
        <w:rPr>
          <w:rFonts w:ascii="Book Antiqua" w:hAnsi="Book Antiqua" w:cs="Book Antiqua"/>
          <w:sz w:val="24"/>
          <w:szCs w:val="24"/>
          <w:lang w:val="en-US"/>
        </w:rPr>
        <w:t xml:space="preserve"> the subcutaneous route (ADA, golimumab, certolizumab), the maximum concentration is reached after approximately 10 d, and the bioavailability ranges between 50</w:t>
      </w:r>
      <w:r w:rsidR="004A74B3">
        <w:rPr>
          <w:rFonts w:ascii="Book Antiqua" w:hAnsi="Book Antiqua" w:cs="Book Antiqua" w:hint="eastAsia"/>
          <w:sz w:val="24"/>
          <w:szCs w:val="24"/>
          <w:lang w:val="en-US" w:eastAsia="zh-CN"/>
        </w:rPr>
        <w:t>%-</w:t>
      </w:r>
      <w:r w:rsidRPr="00390EBD">
        <w:rPr>
          <w:rFonts w:ascii="Book Antiqua" w:hAnsi="Book Antiqua" w:cs="Book Antiqua"/>
          <w:sz w:val="24"/>
          <w:szCs w:val="24"/>
          <w:lang w:val="en-US"/>
        </w:rPr>
        <w:t>100%</w:t>
      </w:r>
      <w:r w:rsidRPr="00390EBD">
        <w:rPr>
          <w:rFonts w:ascii="Book Antiqua" w:hAnsi="Book Antiqua" w:cs="Book Antiqua"/>
          <w:sz w:val="24"/>
          <w:szCs w:val="24"/>
          <w:vertAlign w:val="superscript"/>
          <w:lang w:val="en-US"/>
        </w:rPr>
        <w:t>[72,73]</w:t>
      </w:r>
      <w:r w:rsidRPr="00390EBD">
        <w:rPr>
          <w:rFonts w:ascii="Book Antiqua" w:hAnsi="Book Antiqua" w:cs="Book Antiqua"/>
          <w:sz w:val="24"/>
          <w:szCs w:val="24"/>
          <w:lang w:val="en-US"/>
        </w:rPr>
        <w:t>.</w:t>
      </w:r>
    </w:p>
    <w:p w14:paraId="4BDED3CA" w14:textId="566BB6AD" w:rsidR="006138C7" w:rsidRPr="00390EBD" w:rsidRDefault="006138C7" w:rsidP="00954CEE">
      <w:pPr>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The clearance of anti</w:t>
      </w:r>
      <w:r w:rsidRPr="00390EBD">
        <w:rPr>
          <w:rFonts w:ascii="Book Antiqua" w:hAnsi="Book Antiqua" w:cs="Book Antiqua"/>
          <w:sz w:val="24"/>
          <w:szCs w:val="24"/>
          <w:lang w:val="en-US"/>
        </w:rPr>
        <w:noBreakHyphen/>
        <w:t>TNF</w:t>
      </w:r>
      <w:r w:rsidRPr="00390EBD">
        <w:rPr>
          <w:rFonts w:ascii="Book Antiqua" w:hAnsi="Book Antiqua" w:cs="Book Antiqua"/>
          <w:sz w:val="24"/>
          <w:szCs w:val="24"/>
          <w:lang w:val="en-US"/>
        </w:rPr>
        <w:noBreakHyphen/>
      </w:r>
      <w:r w:rsidRPr="00390EBD">
        <w:rPr>
          <w:rFonts w:ascii="Book Antiqua" w:hAnsi="Book Antiqua" w:cs="Book Antiqua"/>
          <w:sz w:val="24"/>
          <w:szCs w:val="24"/>
        </w:rPr>
        <w:t>α</w:t>
      </w:r>
      <w:r w:rsidRPr="00390EBD">
        <w:rPr>
          <w:rFonts w:ascii="Book Antiqua" w:hAnsi="Book Antiqua" w:cs="Book Antiqua"/>
          <w:sz w:val="24"/>
          <w:szCs w:val="24"/>
          <w:lang w:val="en-US"/>
        </w:rPr>
        <w:t xml:space="preserve"> drugs from blood is complex and multifactorial. Among the variables associated to increased drug clearance, mention must be made of those that depend upon or reflect the severity of the disease (hypoalbuminemia, decreased hemoglobin levels, C</w:t>
      </w:r>
      <w:r w:rsidRPr="00390EBD">
        <w:rPr>
          <w:rFonts w:ascii="Book Antiqua" w:hAnsi="Book Antiqua" w:cs="Book Antiqua"/>
          <w:sz w:val="24"/>
          <w:szCs w:val="24"/>
          <w:lang w:val="en-US"/>
        </w:rPr>
        <w:noBreakHyphen/>
        <w:t>reactive protein elevation, TNF</w:t>
      </w:r>
      <w:r w:rsidRPr="00390EBD">
        <w:rPr>
          <w:rFonts w:ascii="Book Antiqua" w:hAnsi="Book Antiqua" w:cs="Book Antiqua"/>
          <w:sz w:val="24"/>
          <w:szCs w:val="24"/>
          <w:lang w:val="en-US"/>
        </w:rPr>
        <w:noBreakHyphen/>
      </w:r>
      <w:r w:rsidRPr="00390EBD">
        <w:rPr>
          <w:rFonts w:ascii="Book Antiqua" w:hAnsi="Book Antiqua" w:cs="Book Antiqua"/>
          <w:sz w:val="24"/>
          <w:szCs w:val="24"/>
        </w:rPr>
        <w:t>α</w:t>
      </w:r>
      <w:r w:rsidRPr="00390EBD">
        <w:rPr>
          <w:rFonts w:ascii="Book Antiqua" w:hAnsi="Book Antiqua" w:cs="Book Antiqua"/>
          <w:sz w:val="24"/>
          <w:szCs w:val="24"/>
          <w:lang w:val="en-US"/>
        </w:rPr>
        <w:t xml:space="preserve">, leukocytosis, and increased IFX intestinal losses), </w:t>
      </w:r>
      <w:r w:rsidRPr="00390EBD">
        <w:rPr>
          <w:rFonts w:ascii="Book Antiqua" w:hAnsi="Book Antiqua" w:cs="Book Antiqua"/>
          <w:sz w:val="24"/>
          <w:szCs w:val="24"/>
          <w:lang w:val="en-US"/>
        </w:rPr>
        <w:lastRenderedPageBreak/>
        <w:t>demographic parameters (increased body mass, male gender and age under 40 years) and immunogenicity (the development of antibodies against the drug)</w:t>
      </w:r>
      <w:r w:rsidRPr="00390EBD">
        <w:rPr>
          <w:rFonts w:ascii="Book Antiqua" w:hAnsi="Book Antiqua" w:cs="Book Antiqua"/>
          <w:sz w:val="24"/>
          <w:szCs w:val="24"/>
          <w:vertAlign w:val="superscript"/>
          <w:lang w:val="en-US"/>
        </w:rPr>
        <w:t>[74]</w:t>
      </w:r>
      <w:r w:rsidRPr="00390EBD">
        <w:rPr>
          <w:rFonts w:ascii="Book Antiqua" w:hAnsi="Book Antiqua" w:cs="Book Antiqua"/>
          <w:sz w:val="24"/>
          <w:szCs w:val="24"/>
          <w:lang w:val="en-US"/>
        </w:rPr>
        <w:t>. The concomitant use of immunosuppressors (TPs drugs and MTX) is associated to a decrease in immunogenicity and higher anti</w:t>
      </w:r>
      <w:r w:rsidRPr="00390EBD">
        <w:rPr>
          <w:rFonts w:ascii="Book Antiqua" w:hAnsi="Book Antiqua" w:cs="Book Antiqua"/>
          <w:sz w:val="24"/>
          <w:szCs w:val="24"/>
          <w:lang w:val="en-US"/>
        </w:rPr>
        <w:noBreakHyphen/>
        <w:t>TNF</w:t>
      </w:r>
      <w:r w:rsidRPr="00390EBD">
        <w:rPr>
          <w:rFonts w:ascii="Book Antiqua" w:hAnsi="Book Antiqua" w:cs="Book Antiqua"/>
          <w:sz w:val="24"/>
          <w:szCs w:val="24"/>
          <w:lang w:val="en-US"/>
        </w:rPr>
        <w:noBreakHyphen/>
      </w:r>
      <w:r w:rsidRPr="00390EBD">
        <w:rPr>
          <w:rFonts w:ascii="Book Antiqua" w:hAnsi="Book Antiqua" w:cs="Book Antiqua"/>
          <w:sz w:val="24"/>
          <w:szCs w:val="24"/>
        </w:rPr>
        <w:t>α</w:t>
      </w:r>
      <w:r w:rsidRPr="00390EBD">
        <w:rPr>
          <w:rFonts w:ascii="Book Antiqua" w:hAnsi="Book Antiqua" w:cs="Book Antiqua"/>
          <w:sz w:val="24"/>
          <w:szCs w:val="24"/>
          <w:lang w:val="en-US"/>
        </w:rPr>
        <w:t xml:space="preserve"> drug levels. </w:t>
      </w:r>
    </w:p>
    <w:p w14:paraId="3E6FD8CE" w14:textId="77777777" w:rsidR="006138C7" w:rsidRPr="00390EBD" w:rsidRDefault="006138C7" w:rsidP="00954CEE">
      <w:pPr>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Up to 40% of all patients that respond to anti</w:t>
      </w:r>
      <w:r w:rsidRPr="00390EBD">
        <w:rPr>
          <w:rFonts w:ascii="Book Antiqua" w:hAnsi="Book Antiqua" w:cs="Book Antiqua"/>
          <w:sz w:val="24"/>
          <w:szCs w:val="24"/>
          <w:lang w:val="en-US"/>
        </w:rPr>
        <w:noBreakHyphen/>
        <w:t>TNF</w:t>
      </w:r>
      <w:r w:rsidRPr="00390EBD">
        <w:rPr>
          <w:rFonts w:ascii="Book Antiqua" w:hAnsi="Book Antiqua" w:cs="Book Antiqua"/>
          <w:sz w:val="24"/>
          <w:szCs w:val="24"/>
          <w:lang w:val="en-US"/>
        </w:rPr>
        <w:noBreakHyphen/>
      </w:r>
      <w:r w:rsidRPr="00390EBD">
        <w:rPr>
          <w:rFonts w:ascii="Book Antiqua" w:hAnsi="Book Antiqua" w:cs="Book Antiqua"/>
          <w:sz w:val="24"/>
          <w:szCs w:val="24"/>
        </w:rPr>
        <w:t>α</w:t>
      </w:r>
      <w:r w:rsidRPr="00390EBD">
        <w:rPr>
          <w:rFonts w:ascii="Book Antiqua" w:hAnsi="Book Antiqua" w:cs="Book Antiqua"/>
          <w:sz w:val="24"/>
          <w:szCs w:val="24"/>
          <w:lang w:val="en-US"/>
        </w:rPr>
        <w:t xml:space="preserve"> drug treatment will require one or more dose adjustments in order to maintain treatment efficacy. After one year of treatment, only one</w:t>
      </w:r>
      <w:r w:rsidRPr="00390EBD">
        <w:rPr>
          <w:rFonts w:ascii="Book Antiqua" w:hAnsi="Book Antiqua" w:cs="Book Antiqua"/>
          <w:sz w:val="24"/>
          <w:szCs w:val="24"/>
          <w:lang w:val="en-US"/>
        </w:rPr>
        <w:noBreakHyphen/>
        <w:t>third of all responders maintain efficacy</w:t>
      </w:r>
      <w:r w:rsidRPr="00390EBD">
        <w:rPr>
          <w:rFonts w:ascii="Book Antiqua" w:hAnsi="Book Antiqua" w:cs="Book Antiqua"/>
          <w:sz w:val="24"/>
          <w:szCs w:val="24"/>
          <w:vertAlign w:val="superscript"/>
          <w:lang w:val="en-US"/>
        </w:rPr>
        <w:t>[75]</w:t>
      </w:r>
      <w:r w:rsidRPr="00390EBD">
        <w:rPr>
          <w:rFonts w:ascii="Book Antiqua" w:hAnsi="Book Antiqua" w:cs="Book Antiqua"/>
          <w:sz w:val="24"/>
          <w:szCs w:val="24"/>
          <w:lang w:val="en-US"/>
        </w:rPr>
        <w:t>.</w:t>
      </w:r>
    </w:p>
    <w:p w14:paraId="63DD2A4E" w14:textId="646B7BC7" w:rsidR="006138C7" w:rsidRPr="00390EBD" w:rsidRDefault="006138C7" w:rsidP="00954CEE">
      <w:pPr>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 xml:space="preserve">The need for dose adjustment of these drugs may occur at two timepoints during treatment: at the start (primary failure) or during the maintenance phase (secondary failure). </w:t>
      </w:r>
    </w:p>
    <w:p w14:paraId="36ACD983" w14:textId="0695937F" w:rsidR="006138C7" w:rsidRPr="00390EBD" w:rsidRDefault="006138C7" w:rsidP="00954CEE">
      <w:pPr>
        <w:adjustRightInd w:val="0"/>
        <w:snapToGrid w:val="0"/>
        <w:spacing w:after="0" w:line="360" w:lineRule="auto"/>
        <w:ind w:firstLineChars="200" w:firstLine="480"/>
        <w:jc w:val="both"/>
        <w:rPr>
          <w:rFonts w:ascii="Book Antiqua" w:hAnsi="Book Antiqua" w:cs="Book Antiqua"/>
          <w:color w:val="0070C0"/>
          <w:sz w:val="24"/>
          <w:szCs w:val="24"/>
          <w:shd w:val="clear" w:color="auto" w:fill="FFFFFF"/>
          <w:lang w:val="en-US"/>
        </w:rPr>
      </w:pPr>
      <w:r w:rsidRPr="004A74B3">
        <w:rPr>
          <w:rFonts w:ascii="Book Antiqua" w:hAnsi="Book Antiqua" w:cs="Book Antiqua"/>
          <w:bCs/>
          <w:sz w:val="24"/>
          <w:szCs w:val="24"/>
          <w:lang w:val="en-US"/>
        </w:rPr>
        <w:t>Primary failure or a primary lack of response</w:t>
      </w:r>
      <w:r w:rsidRPr="00390EBD">
        <w:rPr>
          <w:rFonts w:ascii="Book Antiqua" w:hAnsi="Book Antiqua" w:cs="Book Antiqua"/>
          <w:sz w:val="24"/>
          <w:szCs w:val="24"/>
          <w:lang w:val="en-US"/>
        </w:rPr>
        <w:t xml:space="preserve"> refers to the absence of improvement of the signs and symptoms of the disease that leads to treatment suspension during the induction phase</w:t>
      </w:r>
      <w:r w:rsidRPr="00390EBD">
        <w:rPr>
          <w:rFonts w:ascii="Book Antiqua" w:hAnsi="Book Antiqua" w:cs="Book Antiqua"/>
          <w:sz w:val="24"/>
          <w:szCs w:val="24"/>
          <w:vertAlign w:val="superscript"/>
          <w:lang w:val="en-US"/>
        </w:rPr>
        <w:t>[76]</w:t>
      </w:r>
      <w:r w:rsidRPr="00390EBD">
        <w:rPr>
          <w:rFonts w:ascii="Book Antiqua" w:hAnsi="Book Antiqua" w:cs="Book Antiqua"/>
          <w:sz w:val="24"/>
          <w:szCs w:val="24"/>
          <w:lang w:val="en-US"/>
        </w:rPr>
        <w:t>.</w:t>
      </w:r>
      <w:r w:rsidRPr="00390EBD">
        <w:rPr>
          <w:rFonts w:ascii="Book Antiqua" w:hAnsi="Book Antiqua" w:cs="Book Antiqua"/>
          <w:color w:val="FF0000"/>
          <w:sz w:val="24"/>
          <w:szCs w:val="24"/>
          <w:lang w:val="en-US"/>
        </w:rPr>
        <w:t xml:space="preserve"> </w:t>
      </w:r>
      <w:r w:rsidRPr="00390EBD">
        <w:rPr>
          <w:rFonts w:ascii="Book Antiqua" w:hAnsi="Book Antiqua" w:cs="Book Antiqua"/>
          <w:sz w:val="24"/>
          <w:szCs w:val="24"/>
          <w:lang w:val="en-US"/>
        </w:rPr>
        <w:t>The timepoint at which this primary lack of response is assessed varies among the different studies. In patients treated with IFX, as in the ACCENT I trial</w:t>
      </w:r>
      <w:r w:rsidRPr="00390EBD">
        <w:rPr>
          <w:rFonts w:ascii="Book Antiqua" w:hAnsi="Book Antiqua" w:cs="Book Antiqua"/>
          <w:sz w:val="24"/>
          <w:szCs w:val="24"/>
          <w:vertAlign w:val="superscript"/>
          <w:lang w:val="en-US"/>
        </w:rPr>
        <w:t>[77]</w:t>
      </w:r>
      <w:r w:rsidRPr="00390EBD">
        <w:rPr>
          <w:rFonts w:ascii="Book Antiqua" w:hAnsi="Book Antiqua" w:cs="Book Antiqua"/>
          <w:sz w:val="24"/>
          <w:szCs w:val="24"/>
          <w:lang w:val="en-US"/>
        </w:rPr>
        <w:t>, assessment was made two weeks after the first IFX infusion. In contrast, assessment in the ACCENT II trial was made 10</w:t>
      </w:r>
      <w:r w:rsidRPr="00390EBD">
        <w:rPr>
          <w:rFonts w:ascii="Book Antiqua" w:hAnsi="Book Antiqua" w:cs="Book Antiqua"/>
          <w:sz w:val="24"/>
          <w:szCs w:val="24"/>
          <w:lang w:val="en-US"/>
        </w:rPr>
        <w:noBreakHyphen/>
        <w:t xml:space="preserve">14 </w:t>
      </w:r>
      <w:r w:rsidR="004A74B3">
        <w:rPr>
          <w:rFonts w:ascii="Book Antiqua" w:hAnsi="Book Antiqua" w:cs="Book Antiqua"/>
          <w:sz w:val="24"/>
          <w:szCs w:val="24"/>
          <w:lang w:val="en-US"/>
        </w:rPr>
        <w:t>wk</w:t>
      </w:r>
      <w:r w:rsidRPr="00390EBD">
        <w:rPr>
          <w:rFonts w:ascii="Book Antiqua" w:hAnsi="Book Antiqua" w:cs="Book Antiqua"/>
          <w:sz w:val="24"/>
          <w:szCs w:val="24"/>
          <w:lang w:val="en-US"/>
        </w:rPr>
        <w:t xml:space="preserve"> after induction</w:t>
      </w:r>
      <w:r w:rsidRPr="00390EBD">
        <w:rPr>
          <w:rFonts w:ascii="Book Antiqua" w:hAnsi="Book Antiqua" w:cs="Book Antiqua"/>
          <w:sz w:val="24"/>
          <w:szCs w:val="24"/>
          <w:vertAlign w:val="superscript"/>
          <w:lang w:val="en-US"/>
        </w:rPr>
        <w:t>[78]</w:t>
      </w:r>
      <w:r w:rsidRPr="00390EBD">
        <w:rPr>
          <w:rFonts w:ascii="Book Antiqua" w:hAnsi="Book Antiqua" w:cs="Book Antiqua"/>
          <w:sz w:val="24"/>
          <w:szCs w:val="24"/>
          <w:lang w:val="en-US"/>
        </w:rPr>
        <w:t>.</w:t>
      </w:r>
      <w:r w:rsidRPr="00390EBD">
        <w:rPr>
          <w:rFonts w:ascii="Book Antiqua" w:hAnsi="Book Antiqua" w:cs="Book Antiqua"/>
          <w:color w:val="FF0000"/>
          <w:sz w:val="24"/>
          <w:szCs w:val="24"/>
          <w:lang w:val="en-US"/>
        </w:rPr>
        <w:t xml:space="preserve"> </w:t>
      </w:r>
      <w:r w:rsidRPr="00390EBD">
        <w:rPr>
          <w:rFonts w:ascii="Book Antiqua" w:hAnsi="Book Antiqua" w:cs="Book Antiqua"/>
          <w:sz w:val="24"/>
          <w:szCs w:val="24"/>
          <w:lang w:val="en-US"/>
        </w:rPr>
        <w:t>In studies including patients treated with ADA, the response was assessed in week 4 in the CLASSIC I trial</w:t>
      </w:r>
      <w:r w:rsidRPr="00390EBD">
        <w:rPr>
          <w:rFonts w:ascii="Book Antiqua" w:hAnsi="Book Antiqua" w:cs="Book Antiqua"/>
          <w:sz w:val="24"/>
          <w:szCs w:val="24"/>
          <w:vertAlign w:val="superscript"/>
          <w:lang w:val="en-US"/>
        </w:rPr>
        <w:t>[79]</w:t>
      </w:r>
      <w:r w:rsidRPr="00390EBD">
        <w:rPr>
          <w:rFonts w:ascii="Book Antiqua" w:hAnsi="Book Antiqua" w:cs="Book Antiqua"/>
          <w:sz w:val="24"/>
          <w:szCs w:val="24"/>
          <w:lang w:val="en-US"/>
        </w:rPr>
        <w:t xml:space="preserve"> and in week 6 in the CLASIC II trial</w:t>
      </w:r>
      <w:r w:rsidRPr="00390EBD">
        <w:rPr>
          <w:rFonts w:ascii="Book Antiqua" w:hAnsi="Book Antiqua" w:cs="Book Antiqua"/>
          <w:sz w:val="24"/>
          <w:szCs w:val="24"/>
          <w:vertAlign w:val="superscript"/>
          <w:lang w:val="en-US"/>
        </w:rPr>
        <w:t>[80]</w:t>
      </w:r>
      <w:r w:rsidRPr="00390EBD">
        <w:rPr>
          <w:rFonts w:ascii="Book Antiqua" w:hAnsi="Book Antiqua" w:cs="Book Antiqua"/>
          <w:sz w:val="24"/>
          <w:szCs w:val="24"/>
          <w:lang w:val="en-US"/>
        </w:rPr>
        <w:t>. In the different published studies, the lack of primary response to treatment rate with anti</w:t>
      </w:r>
      <w:r w:rsidRPr="00390EBD">
        <w:rPr>
          <w:rFonts w:ascii="Book Antiqua" w:hAnsi="Book Antiqua" w:cs="Book Antiqua"/>
          <w:sz w:val="24"/>
          <w:szCs w:val="24"/>
          <w:lang w:val="en-US"/>
        </w:rPr>
        <w:noBreakHyphen/>
        <w:t>TNF</w:t>
      </w:r>
      <w:r w:rsidRPr="00390EBD">
        <w:rPr>
          <w:rFonts w:ascii="Book Antiqua" w:hAnsi="Book Antiqua" w:cs="Book Antiqua"/>
          <w:sz w:val="24"/>
          <w:szCs w:val="24"/>
          <w:lang w:val="en-US"/>
        </w:rPr>
        <w:noBreakHyphen/>
      </w:r>
      <w:r w:rsidRPr="00390EBD">
        <w:rPr>
          <w:rFonts w:ascii="Book Antiqua" w:hAnsi="Book Antiqua" w:cs="Book Antiqua"/>
          <w:sz w:val="24"/>
          <w:szCs w:val="24"/>
        </w:rPr>
        <w:t>α</w:t>
      </w:r>
      <w:r w:rsidRPr="00390EBD">
        <w:rPr>
          <w:rFonts w:ascii="Book Antiqua" w:hAnsi="Book Antiqua" w:cs="Book Antiqua"/>
          <w:sz w:val="24"/>
          <w:szCs w:val="24"/>
          <w:lang w:val="en-US"/>
        </w:rPr>
        <w:t xml:space="preserve"> drugs varied from 10</w:t>
      </w:r>
      <w:r w:rsidR="004A74B3">
        <w:rPr>
          <w:rFonts w:ascii="Book Antiqua" w:hAnsi="Book Antiqua" w:cs="Book Antiqua" w:hint="eastAsia"/>
          <w:sz w:val="24"/>
          <w:szCs w:val="24"/>
          <w:lang w:val="en-US" w:eastAsia="zh-CN"/>
        </w:rPr>
        <w:t>%-</w:t>
      </w:r>
      <w:r w:rsidRPr="00390EBD">
        <w:rPr>
          <w:rFonts w:ascii="Book Antiqua" w:hAnsi="Book Antiqua" w:cs="Book Antiqua"/>
          <w:sz w:val="24"/>
          <w:szCs w:val="24"/>
          <w:lang w:val="en-US"/>
        </w:rPr>
        <w:t>40%, and was found to be higher in UC than in CD. Lack of response was noted particularly in severe presentations of UC. This observation could be explained by increased drug clearance as a result of a greater inflammatory intestinal surface</w:t>
      </w:r>
      <w:r w:rsidRPr="00390EBD">
        <w:rPr>
          <w:rFonts w:ascii="Book Antiqua" w:hAnsi="Book Antiqua" w:cs="Book Antiqua"/>
          <w:sz w:val="24"/>
          <w:szCs w:val="24"/>
          <w:vertAlign w:val="superscript"/>
          <w:lang w:val="en-US"/>
        </w:rPr>
        <w:t>[76]</w:t>
      </w:r>
      <w:r w:rsidRPr="00390EBD">
        <w:rPr>
          <w:rFonts w:ascii="Book Antiqua" w:hAnsi="Book Antiqua" w:cs="Book Antiqua"/>
          <w:sz w:val="24"/>
          <w:szCs w:val="24"/>
          <w:lang w:val="en-US"/>
        </w:rPr>
        <w:t xml:space="preserve">. </w:t>
      </w:r>
    </w:p>
    <w:p w14:paraId="20215500" w14:textId="6AD2F126" w:rsidR="006138C7" w:rsidRPr="00390EBD" w:rsidRDefault="006138C7" w:rsidP="00954CEE">
      <w:pPr>
        <w:adjustRightInd w:val="0"/>
        <w:snapToGrid w:val="0"/>
        <w:spacing w:after="0" w:line="360" w:lineRule="auto"/>
        <w:ind w:firstLineChars="200" w:firstLine="480"/>
        <w:jc w:val="both"/>
        <w:rPr>
          <w:rFonts w:ascii="Book Antiqua" w:hAnsi="Book Antiqua" w:cs="Book Antiqua"/>
          <w:strike/>
          <w:color w:val="0070C0"/>
          <w:sz w:val="24"/>
          <w:szCs w:val="24"/>
          <w:lang w:val="en-US"/>
        </w:rPr>
      </w:pPr>
      <w:r w:rsidRPr="004A74B3">
        <w:rPr>
          <w:rFonts w:ascii="Book Antiqua" w:hAnsi="Book Antiqua" w:cs="Book Antiqua"/>
          <w:bCs/>
          <w:sz w:val="24"/>
          <w:szCs w:val="24"/>
          <w:lang w:val="en-US"/>
        </w:rPr>
        <w:t>Secondary failure or secondary lack of response</w:t>
      </w:r>
      <w:r w:rsidRPr="00390EBD">
        <w:rPr>
          <w:rFonts w:ascii="Book Antiqua" w:hAnsi="Book Antiqua" w:cs="Book Antiqua"/>
          <w:sz w:val="24"/>
          <w:szCs w:val="24"/>
          <w:lang w:val="en-US"/>
        </w:rPr>
        <w:t xml:space="preserve"> is defined as failure occurring in the course of treatment in those patients that have responded to induction therapy, and is observed in approximately 13% of the patients treated with IFX</w:t>
      </w:r>
      <w:r w:rsidRPr="00390EBD">
        <w:rPr>
          <w:rFonts w:ascii="Book Antiqua" w:hAnsi="Book Antiqua" w:cs="Book Antiqua"/>
          <w:sz w:val="24"/>
          <w:szCs w:val="24"/>
          <w:vertAlign w:val="superscript"/>
          <w:lang w:val="en-US"/>
        </w:rPr>
        <w:t>[81]</w:t>
      </w:r>
      <w:r w:rsidRPr="00390EBD">
        <w:rPr>
          <w:rFonts w:ascii="Book Antiqua" w:hAnsi="Book Antiqua" w:cs="Book Antiqua"/>
          <w:sz w:val="24"/>
          <w:szCs w:val="24"/>
          <w:lang w:val="en-US"/>
        </w:rPr>
        <w:t xml:space="preserve"> and in 10</w:t>
      </w:r>
      <w:r w:rsidR="004A74B3">
        <w:rPr>
          <w:rFonts w:ascii="Book Antiqua" w:hAnsi="Book Antiqua" w:cs="Book Antiqua" w:hint="eastAsia"/>
          <w:sz w:val="24"/>
          <w:szCs w:val="24"/>
          <w:lang w:val="en-US" w:eastAsia="zh-CN"/>
        </w:rPr>
        <w:t>%-</w:t>
      </w:r>
      <w:r w:rsidRPr="00390EBD">
        <w:rPr>
          <w:rFonts w:ascii="Book Antiqua" w:hAnsi="Book Antiqua" w:cs="Book Antiqua"/>
          <w:sz w:val="24"/>
          <w:szCs w:val="24"/>
          <w:lang w:val="en-US"/>
        </w:rPr>
        <w:t>24% of those treated with ADA</w:t>
      </w:r>
      <w:r w:rsidRPr="00390EBD">
        <w:rPr>
          <w:rFonts w:ascii="Book Antiqua" w:hAnsi="Book Antiqua" w:cs="Book Antiqua"/>
          <w:sz w:val="24"/>
          <w:szCs w:val="24"/>
          <w:vertAlign w:val="superscript"/>
          <w:lang w:val="en-US"/>
        </w:rPr>
        <w:t>[82]</w:t>
      </w:r>
      <w:r w:rsidRPr="00390EBD">
        <w:rPr>
          <w:rFonts w:ascii="Book Antiqua" w:hAnsi="Book Antiqua" w:cs="Book Antiqua"/>
          <w:sz w:val="24"/>
          <w:szCs w:val="24"/>
          <w:lang w:val="en-US"/>
        </w:rPr>
        <w:t>. Failure is more frequent in the first year of therapy.</w:t>
      </w:r>
      <w:r w:rsidRPr="00390EBD">
        <w:rPr>
          <w:rFonts w:ascii="Book Antiqua" w:hAnsi="Book Antiqua" w:cs="Book Antiqua"/>
          <w:strike/>
          <w:color w:val="0070C0"/>
          <w:sz w:val="24"/>
          <w:szCs w:val="24"/>
          <w:lang w:val="en-US"/>
        </w:rPr>
        <w:t xml:space="preserve"> </w:t>
      </w:r>
    </w:p>
    <w:p w14:paraId="39C6B5BF" w14:textId="77777777" w:rsidR="006138C7" w:rsidRPr="00390EBD" w:rsidRDefault="006138C7" w:rsidP="00954CEE">
      <w:pPr>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lastRenderedPageBreak/>
        <w:t>Tables 4 and 5 describe the risk factors associated to primary and secondary failure</w:t>
      </w:r>
      <w:r w:rsidRPr="00390EBD">
        <w:rPr>
          <w:rFonts w:ascii="Book Antiqua" w:hAnsi="Book Antiqua" w:cs="Book Antiqua"/>
          <w:sz w:val="24"/>
          <w:szCs w:val="24"/>
          <w:vertAlign w:val="superscript"/>
          <w:lang w:val="en-US"/>
        </w:rPr>
        <w:t>[11,83]</w:t>
      </w:r>
      <w:r w:rsidRPr="00390EBD">
        <w:rPr>
          <w:rFonts w:ascii="Book Antiqua" w:hAnsi="Book Antiqua" w:cs="Book Antiqua"/>
          <w:sz w:val="24"/>
          <w:szCs w:val="24"/>
          <w:lang w:val="en-US"/>
        </w:rPr>
        <w:t>.</w:t>
      </w:r>
    </w:p>
    <w:p w14:paraId="17372493" w14:textId="77777777" w:rsidR="006138C7" w:rsidRPr="00390EBD" w:rsidRDefault="006138C7" w:rsidP="00954CEE">
      <w:pPr>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In secondary failure, the most widely investigated factor is the development of antidrug antibodies (ADAs), for when a loss of treatment response occurs, and once the possible existence of intercurrent processes and lack of adherence to therapy have been discarded, the patient requires does adjustment or a switch to some other molecule. In this context it is very useful to know the blood drug levels and whether or not ADAs have developed.</w:t>
      </w:r>
    </w:p>
    <w:p w14:paraId="3982DA1E" w14:textId="732E5857" w:rsidR="006138C7" w:rsidRPr="00390EBD" w:rsidRDefault="006138C7" w:rsidP="00954CEE">
      <w:pPr>
        <w:adjustRightInd w:val="0"/>
        <w:snapToGrid w:val="0"/>
        <w:spacing w:after="0" w:line="360" w:lineRule="auto"/>
        <w:ind w:firstLineChars="200" w:firstLine="480"/>
        <w:jc w:val="both"/>
        <w:rPr>
          <w:rFonts w:ascii="Book Antiqua" w:hAnsi="Book Antiqua" w:cs="Book Antiqua"/>
          <w:color w:val="0070C0"/>
          <w:sz w:val="24"/>
          <w:szCs w:val="24"/>
          <w:lang w:val="en-US"/>
        </w:rPr>
      </w:pPr>
      <w:r w:rsidRPr="00390EBD">
        <w:rPr>
          <w:rFonts w:ascii="Book Antiqua" w:hAnsi="Book Antiqua" w:cs="Book Antiqua"/>
          <w:sz w:val="24"/>
          <w:szCs w:val="24"/>
          <w:lang w:val="en-US"/>
        </w:rPr>
        <w:t>The development of ADAs is conditioned by the patient immune condition, and is much more common in intermittent treatments (over 60% of the cases) than in maintenance therapy (10</w:t>
      </w:r>
      <w:r w:rsidR="004A74B3">
        <w:rPr>
          <w:rFonts w:ascii="Book Antiqua" w:hAnsi="Book Antiqua" w:cs="Book Antiqua" w:hint="eastAsia"/>
          <w:sz w:val="24"/>
          <w:szCs w:val="24"/>
          <w:lang w:val="en-US" w:eastAsia="zh-CN"/>
        </w:rPr>
        <w:t>%-</w:t>
      </w:r>
      <w:r w:rsidRPr="00390EBD">
        <w:rPr>
          <w:rFonts w:ascii="Book Antiqua" w:hAnsi="Book Antiqua" w:cs="Book Antiqua"/>
          <w:sz w:val="24"/>
          <w:szCs w:val="24"/>
          <w:lang w:val="en-US"/>
        </w:rPr>
        <w:t>20%). Furthermore, it has been seen that those patients having developed ADAs and who remain a long time without treatment exhibit slow clearance of these antibodies</w:t>
      </w:r>
      <w:r w:rsidRPr="00390EBD">
        <w:rPr>
          <w:rFonts w:ascii="Book Antiqua" w:hAnsi="Book Antiqua" w:cs="Book Antiqua"/>
          <w:sz w:val="24"/>
          <w:szCs w:val="24"/>
          <w:vertAlign w:val="superscript"/>
          <w:lang w:val="en-US"/>
        </w:rPr>
        <w:t>[84]</w:t>
      </w:r>
      <w:r w:rsidRPr="00390EBD">
        <w:rPr>
          <w:rFonts w:ascii="Book Antiqua" w:hAnsi="Book Antiqua" w:cs="Book Antiqua"/>
          <w:sz w:val="24"/>
          <w:szCs w:val="24"/>
          <w:lang w:val="en-US"/>
        </w:rPr>
        <w:t>.</w:t>
      </w:r>
      <w:r w:rsidRPr="00390EBD">
        <w:rPr>
          <w:rFonts w:ascii="Book Antiqua" w:hAnsi="Book Antiqua" w:cs="Book Antiqua"/>
          <w:color w:val="FF0000"/>
          <w:sz w:val="24"/>
          <w:szCs w:val="24"/>
          <w:lang w:val="en-US"/>
        </w:rPr>
        <w:t xml:space="preserve"> </w:t>
      </w:r>
    </w:p>
    <w:p w14:paraId="6BF68C02" w14:textId="77777777" w:rsidR="006138C7" w:rsidRPr="00390EBD" w:rsidRDefault="006138C7" w:rsidP="00954CEE">
      <w:pPr>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Many studies have been carried out to determine when and how to determine these antibody titers with a view to performing the necessary adjustments and for defining the interval during which therapeutic blood drug levels are present. In routine clinical practice, if this is not possible, dose adjustment is made empirically, shortening the interval between doses or switching to another molecule when loss of response occurs or an immune</w:t>
      </w:r>
      <w:r w:rsidRPr="00390EBD">
        <w:rPr>
          <w:rFonts w:ascii="Book Antiqua" w:hAnsi="Book Antiqua" w:cs="Book Antiqua"/>
          <w:sz w:val="24"/>
          <w:szCs w:val="24"/>
          <w:lang w:val="en-US"/>
        </w:rPr>
        <w:noBreakHyphen/>
        <w:t xml:space="preserve">mediated reaction is observed. Three different methods can be used to determine the drug levels. </w:t>
      </w:r>
    </w:p>
    <w:p w14:paraId="6C662422" w14:textId="77777777" w:rsidR="006138C7" w:rsidRPr="00390EBD" w:rsidRDefault="006138C7" w:rsidP="00954CEE">
      <w:pPr>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The most widely used option is the ELISA technique, which can also be used to determine the ADAs titers, though this requires the anti</w:t>
      </w:r>
      <w:r w:rsidRPr="00390EBD">
        <w:rPr>
          <w:rFonts w:ascii="Book Antiqua" w:hAnsi="Book Antiqua" w:cs="Book Antiqua"/>
          <w:sz w:val="24"/>
          <w:szCs w:val="24"/>
          <w:lang w:val="en-US"/>
        </w:rPr>
        <w:noBreakHyphen/>
        <w:t>TNF</w:t>
      </w:r>
      <w:r w:rsidRPr="00390EBD">
        <w:rPr>
          <w:rFonts w:ascii="Book Antiqua" w:hAnsi="Book Antiqua" w:cs="Book Antiqua"/>
          <w:sz w:val="24"/>
          <w:szCs w:val="24"/>
          <w:lang w:val="en-US"/>
        </w:rPr>
        <w:noBreakHyphen/>
      </w:r>
      <w:r w:rsidRPr="00390EBD">
        <w:rPr>
          <w:rFonts w:ascii="Book Antiqua" w:hAnsi="Book Antiqua" w:cs="Book Antiqua"/>
          <w:sz w:val="24"/>
          <w:szCs w:val="24"/>
        </w:rPr>
        <w:t>α</w:t>
      </w:r>
      <w:r w:rsidRPr="00390EBD">
        <w:rPr>
          <w:rFonts w:ascii="Book Antiqua" w:hAnsi="Book Antiqua" w:cs="Book Antiqua"/>
          <w:sz w:val="24"/>
          <w:szCs w:val="24"/>
          <w:lang w:val="en-US"/>
        </w:rPr>
        <w:t xml:space="preserve"> drug to be undetectable in blood, since otherwise it binds to the antibodies to form immune complexes that are not detected.</w:t>
      </w:r>
    </w:p>
    <w:p w14:paraId="25850C7D" w14:textId="77777777" w:rsidR="006138C7" w:rsidRPr="00390EBD" w:rsidRDefault="006138C7" w:rsidP="00954CEE">
      <w:pPr>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Radioimmunoassay (RIA) is similar to ELISA, though its use is limited since it involves the use of a radioactive reagent. Furthermore, and in the same way as ELISA, it cannot detect the presence of ADAs if there are detectable drug levels in blood.</w:t>
      </w:r>
    </w:p>
    <w:p w14:paraId="7C3CCCAE" w14:textId="77777777" w:rsidR="006138C7" w:rsidRPr="00390EBD" w:rsidRDefault="006138C7" w:rsidP="00954CEE">
      <w:pPr>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lastRenderedPageBreak/>
        <w:t xml:space="preserve">Another method for determining the drug and antibody is variable mobility testing, which allows the detection of ADAs (against IFX and ADA) in the presence of drug in blood. </w:t>
      </w:r>
    </w:p>
    <w:p w14:paraId="43853508" w14:textId="77777777" w:rsidR="006138C7" w:rsidRPr="00390EBD" w:rsidRDefault="006138C7" w:rsidP="00954CEE">
      <w:pPr>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The determination of anti</w:t>
      </w:r>
      <w:r w:rsidRPr="00390EBD">
        <w:rPr>
          <w:rFonts w:ascii="Book Antiqua" w:hAnsi="Book Antiqua" w:cs="Book Antiqua"/>
          <w:sz w:val="24"/>
          <w:szCs w:val="24"/>
          <w:lang w:val="en-US"/>
        </w:rPr>
        <w:noBreakHyphen/>
        <w:t>TNF</w:t>
      </w:r>
      <w:r w:rsidRPr="00390EBD">
        <w:rPr>
          <w:rFonts w:ascii="Book Antiqua" w:hAnsi="Book Antiqua" w:cs="Book Antiqua"/>
          <w:sz w:val="24"/>
          <w:szCs w:val="24"/>
          <w:lang w:val="en-US"/>
        </w:rPr>
        <w:noBreakHyphen/>
      </w:r>
      <w:r w:rsidRPr="00390EBD">
        <w:rPr>
          <w:rFonts w:ascii="Book Antiqua" w:hAnsi="Book Antiqua" w:cs="Book Antiqua"/>
          <w:sz w:val="24"/>
          <w:szCs w:val="24"/>
        </w:rPr>
        <w:t>α</w:t>
      </w:r>
      <w:r w:rsidRPr="00390EBD">
        <w:rPr>
          <w:rFonts w:ascii="Book Antiqua" w:hAnsi="Book Antiqua" w:cs="Book Antiqua"/>
          <w:sz w:val="24"/>
          <w:szCs w:val="24"/>
          <w:lang w:val="en-US"/>
        </w:rPr>
        <w:t xml:space="preserve"> drug levels is performed immediately before administration of the next dose, and ADAs are only detected when the drug levels are undetectable </w:t>
      </w:r>
      <w:r w:rsidRPr="00390EBD">
        <w:rPr>
          <w:rFonts w:ascii="Book Antiqua" w:hAnsi="Book Antiqua" w:cs="Book Antiqua"/>
          <w:sz w:val="24"/>
          <w:szCs w:val="24"/>
          <w:lang w:val="en-US"/>
        </w:rPr>
        <w:noBreakHyphen/>
        <w:t xml:space="preserve"> since the most widely used technique in clinical practice is the ELISA test, which can complicate interpretation of the results if detectable drug levels are present in blood.</w:t>
      </w:r>
    </w:p>
    <w:p w14:paraId="68505DA1" w14:textId="77777777" w:rsidR="006138C7" w:rsidRPr="00390EBD" w:rsidRDefault="006138C7" w:rsidP="00954CEE">
      <w:pPr>
        <w:adjustRightInd w:val="0"/>
        <w:snapToGrid w:val="0"/>
        <w:spacing w:after="0" w:line="360" w:lineRule="auto"/>
        <w:ind w:firstLineChars="200" w:firstLine="480"/>
        <w:jc w:val="both"/>
        <w:rPr>
          <w:rFonts w:ascii="Book Antiqua" w:hAnsi="Book Antiqua" w:cs="Book Antiqua"/>
          <w:i/>
          <w:iCs/>
          <w:color w:val="0070C0"/>
          <w:sz w:val="24"/>
          <w:szCs w:val="24"/>
          <w:lang w:val="en-US"/>
        </w:rPr>
      </w:pPr>
      <w:r w:rsidRPr="00390EBD">
        <w:rPr>
          <w:rFonts w:ascii="Book Antiqua" w:hAnsi="Book Antiqua" w:cs="Book Antiqua"/>
          <w:sz w:val="24"/>
          <w:szCs w:val="24"/>
          <w:lang w:val="en-US"/>
        </w:rPr>
        <w:t>Different studies have correlated the development of ADAs to an increased risk of infusion reactions and increased drug clearance from blood</w:t>
      </w:r>
      <w:r w:rsidRPr="00390EBD">
        <w:rPr>
          <w:rFonts w:ascii="Book Antiqua" w:hAnsi="Book Antiqua" w:cs="Book Antiqua"/>
          <w:sz w:val="24"/>
          <w:szCs w:val="24"/>
          <w:vertAlign w:val="superscript"/>
          <w:lang w:val="en-US"/>
        </w:rPr>
        <w:t>[85]</w:t>
      </w:r>
      <w:r w:rsidRPr="00390EBD">
        <w:rPr>
          <w:rFonts w:ascii="Book Antiqua" w:hAnsi="Book Antiqua" w:cs="Book Antiqua"/>
          <w:sz w:val="24"/>
          <w:szCs w:val="24"/>
          <w:lang w:val="en-US"/>
        </w:rPr>
        <w:t>. However, not all studies have established correlations to loss of response. In this regard, a systematic review published by Chaparro</w:t>
      </w:r>
      <w:r w:rsidRPr="00390EBD">
        <w:rPr>
          <w:rFonts w:ascii="Book Antiqua" w:hAnsi="Book Antiqua" w:cs="Book Antiqua"/>
          <w:sz w:val="24"/>
          <w:szCs w:val="24"/>
          <w:vertAlign w:val="superscript"/>
          <w:lang w:val="en-US"/>
        </w:rPr>
        <w:t>[86]</w:t>
      </w:r>
      <w:r w:rsidRPr="00390EBD">
        <w:rPr>
          <w:rFonts w:ascii="Book Antiqua" w:hAnsi="Book Antiqua" w:cs="Book Antiqua"/>
          <w:sz w:val="24"/>
          <w:szCs w:val="24"/>
          <w:lang w:val="en-US"/>
        </w:rPr>
        <w:t xml:space="preserve"> found no differences between maintenance or loss of response according to whether ADAs develop or not, while the metaanalysis conducted by Kavinderjit found patients who develop ADAs to have a three</w:t>
      </w:r>
      <w:r w:rsidRPr="00390EBD">
        <w:rPr>
          <w:rFonts w:ascii="Book Antiqua" w:hAnsi="Book Antiqua" w:cs="Book Antiqua"/>
          <w:sz w:val="24"/>
          <w:szCs w:val="24"/>
          <w:lang w:val="en-US"/>
        </w:rPr>
        <w:noBreakHyphen/>
        <w:t>fold greater risk of loss of treatment response than patients who do not develop such antibodies</w:t>
      </w:r>
      <w:r w:rsidRPr="00390EBD">
        <w:rPr>
          <w:rFonts w:ascii="Book Antiqua" w:hAnsi="Book Antiqua" w:cs="Book Antiqua"/>
          <w:sz w:val="24"/>
          <w:szCs w:val="24"/>
          <w:vertAlign w:val="superscript"/>
          <w:lang w:val="en-US"/>
        </w:rPr>
        <w:t>[87]</w:t>
      </w:r>
      <w:r w:rsidRPr="00390EBD">
        <w:rPr>
          <w:rFonts w:ascii="Book Antiqua" w:hAnsi="Book Antiqua" w:cs="Book Antiqua"/>
          <w:sz w:val="24"/>
          <w:szCs w:val="24"/>
          <w:lang w:val="en-US"/>
        </w:rPr>
        <w:t xml:space="preserve">. </w:t>
      </w:r>
    </w:p>
    <w:p w14:paraId="6E24CEA4" w14:textId="77777777" w:rsidR="006138C7" w:rsidRPr="00390EBD" w:rsidRDefault="006138C7" w:rsidP="00954CEE">
      <w:pPr>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Although there is great variability among studies in defining the minimum effective concentration of anti</w:t>
      </w:r>
      <w:r w:rsidRPr="00390EBD">
        <w:rPr>
          <w:rFonts w:ascii="Book Antiqua" w:hAnsi="Book Antiqua" w:cs="Book Antiqua"/>
          <w:sz w:val="24"/>
          <w:szCs w:val="24"/>
          <w:lang w:val="en-US"/>
        </w:rPr>
        <w:noBreakHyphen/>
        <w:t>TNF</w:t>
      </w:r>
      <w:r w:rsidRPr="00390EBD">
        <w:rPr>
          <w:rFonts w:ascii="Book Antiqua" w:hAnsi="Book Antiqua" w:cs="Book Antiqua"/>
          <w:sz w:val="24"/>
          <w:szCs w:val="24"/>
          <w:lang w:val="en-US"/>
        </w:rPr>
        <w:noBreakHyphen/>
      </w:r>
      <w:r w:rsidRPr="00390EBD">
        <w:rPr>
          <w:rFonts w:ascii="Book Antiqua" w:hAnsi="Book Antiqua" w:cs="Book Antiqua"/>
          <w:sz w:val="24"/>
          <w:szCs w:val="24"/>
        </w:rPr>
        <w:t>α</w:t>
      </w:r>
      <w:r w:rsidRPr="00390EBD">
        <w:rPr>
          <w:rFonts w:ascii="Book Antiqua" w:hAnsi="Book Antiqua" w:cs="Book Antiqua"/>
          <w:sz w:val="24"/>
          <w:szCs w:val="24"/>
          <w:lang w:val="en-US"/>
        </w:rPr>
        <w:t xml:space="preserve"> drugs, the determination of drug levels has been correlated to improved disease control, and to clinical and endoscopic remission. This is important in designing treatment algorithms</w:t>
      </w:r>
      <w:r w:rsidRPr="00390EBD">
        <w:rPr>
          <w:rFonts w:ascii="Book Antiqua" w:hAnsi="Book Antiqua" w:cs="Book Antiqua"/>
          <w:sz w:val="24"/>
          <w:szCs w:val="24"/>
          <w:vertAlign w:val="superscript"/>
          <w:lang w:val="en-US"/>
        </w:rPr>
        <w:t>[70]</w:t>
      </w:r>
      <w:r w:rsidRPr="00390EBD">
        <w:rPr>
          <w:rFonts w:ascii="Book Antiqua" w:hAnsi="Book Antiqua" w:cs="Book Antiqua"/>
          <w:sz w:val="24"/>
          <w:szCs w:val="24"/>
          <w:lang w:val="en-US"/>
        </w:rPr>
        <w:t>.</w:t>
      </w:r>
      <w:r w:rsidRPr="00390EBD">
        <w:rPr>
          <w:rFonts w:ascii="Book Antiqua" w:hAnsi="Book Antiqua" w:cs="Book Antiqua"/>
          <w:color w:val="FF0000"/>
          <w:sz w:val="24"/>
          <w:szCs w:val="24"/>
          <w:lang w:val="en-US"/>
        </w:rPr>
        <w:t xml:space="preserve"> </w:t>
      </w:r>
      <w:r w:rsidRPr="00390EBD">
        <w:rPr>
          <w:rFonts w:ascii="Book Antiqua" w:hAnsi="Book Antiqua" w:cs="Book Antiqua"/>
          <w:sz w:val="24"/>
          <w:szCs w:val="24"/>
          <w:lang w:val="en-US"/>
        </w:rPr>
        <w:t>To date, the management approach in clinical practice has depended on the drug values and on the presence or absence of ADAs (see Table 6).</w:t>
      </w:r>
    </w:p>
    <w:p w14:paraId="15184BAA" w14:textId="77777777" w:rsidR="006138C7" w:rsidRPr="00390EBD" w:rsidRDefault="006138C7" w:rsidP="00954CEE">
      <w:pPr>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Current studies are evaluating the role of routine anti</w:t>
      </w:r>
      <w:r w:rsidRPr="00390EBD">
        <w:rPr>
          <w:rFonts w:ascii="Book Antiqua" w:hAnsi="Book Antiqua" w:cs="Book Antiqua"/>
          <w:sz w:val="24"/>
          <w:szCs w:val="24"/>
          <w:lang w:val="en-US"/>
        </w:rPr>
        <w:noBreakHyphen/>
        <w:t>TNF</w:t>
      </w:r>
      <w:r w:rsidRPr="00390EBD">
        <w:rPr>
          <w:rFonts w:ascii="Book Antiqua" w:hAnsi="Book Antiqua" w:cs="Book Antiqua"/>
          <w:sz w:val="24"/>
          <w:szCs w:val="24"/>
          <w:lang w:val="en-US"/>
        </w:rPr>
        <w:noBreakHyphen/>
      </w:r>
      <w:r w:rsidRPr="00390EBD">
        <w:rPr>
          <w:rFonts w:ascii="Book Antiqua" w:hAnsi="Book Antiqua" w:cs="Book Antiqua"/>
          <w:sz w:val="24"/>
          <w:szCs w:val="24"/>
        </w:rPr>
        <w:t>α</w:t>
      </w:r>
      <w:r w:rsidRPr="00390EBD">
        <w:rPr>
          <w:rFonts w:ascii="Book Antiqua" w:hAnsi="Book Antiqua" w:cs="Book Antiqua"/>
          <w:sz w:val="24"/>
          <w:szCs w:val="24"/>
          <w:lang w:val="en-US"/>
        </w:rPr>
        <w:t xml:space="preserve"> drug level measurements in blood during therapy, as is done with other drug substances, in order to facilitate better dose adjustment</w:t>
      </w:r>
      <w:r w:rsidRPr="00390EBD">
        <w:rPr>
          <w:rFonts w:ascii="Book Antiqua" w:hAnsi="Book Antiqua" w:cs="Book Antiqua"/>
          <w:sz w:val="24"/>
          <w:szCs w:val="24"/>
          <w:vertAlign w:val="superscript"/>
          <w:lang w:val="en-US"/>
        </w:rPr>
        <w:t>[85]</w:t>
      </w:r>
      <w:r w:rsidRPr="00390EBD">
        <w:rPr>
          <w:rFonts w:ascii="Book Antiqua" w:hAnsi="Book Antiqua" w:cs="Book Antiqua"/>
          <w:sz w:val="24"/>
          <w:szCs w:val="24"/>
          <w:lang w:val="en-US"/>
        </w:rPr>
        <w:t>. However, the different studies contemplate different cutoff values in defining the therapeutic range. Studies are therefore needed to determine the adequate therapeutic interval or window.</w:t>
      </w:r>
    </w:p>
    <w:p w14:paraId="601B6364" w14:textId="54000734" w:rsidR="006138C7" w:rsidRPr="00390EBD" w:rsidRDefault="006138C7" w:rsidP="00954CEE">
      <w:pPr>
        <w:adjustRightInd w:val="0"/>
        <w:snapToGrid w:val="0"/>
        <w:spacing w:after="0" w:line="360" w:lineRule="auto"/>
        <w:jc w:val="both"/>
        <w:rPr>
          <w:rFonts w:ascii="Book Antiqua" w:hAnsi="Book Antiqua" w:cs="Book Antiqua"/>
          <w:b/>
          <w:bCs/>
          <w:sz w:val="24"/>
          <w:szCs w:val="24"/>
          <w:u w:val="single"/>
          <w:lang w:val="en-US"/>
        </w:rPr>
      </w:pPr>
    </w:p>
    <w:p w14:paraId="15C0DABB" w14:textId="1EF8F477" w:rsidR="006138C7" w:rsidRPr="0020336D" w:rsidRDefault="0020336D" w:rsidP="00954CEE">
      <w:pPr>
        <w:adjustRightInd w:val="0"/>
        <w:snapToGrid w:val="0"/>
        <w:spacing w:after="0" w:line="360" w:lineRule="auto"/>
        <w:jc w:val="both"/>
        <w:rPr>
          <w:rFonts w:ascii="Book Antiqua" w:hAnsi="Book Antiqua" w:cs="Book Antiqua"/>
          <w:b/>
          <w:bCs/>
          <w:i/>
          <w:sz w:val="24"/>
          <w:szCs w:val="24"/>
          <w:lang w:val="en-US"/>
        </w:rPr>
      </w:pPr>
      <w:r w:rsidRPr="0020336D">
        <w:rPr>
          <w:rFonts w:ascii="Book Antiqua" w:hAnsi="Book Antiqua" w:cs="Book Antiqua"/>
          <w:b/>
          <w:bCs/>
          <w:i/>
          <w:sz w:val="24"/>
          <w:szCs w:val="24"/>
          <w:lang w:val="en-US"/>
        </w:rPr>
        <w:t>Future treatments</w:t>
      </w:r>
    </w:p>
    <w:p w14:paraId="229404E3" w14:textId="77777777" w:rsidR="006138C7" w:rsidRPr="00390EBD" w:rsidRDefault="006138C7" w:rsidP="00954CEE">
      <w:pPr>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The biological drugs currently authorized for the treatment of IBD are monoclonal antibodies targeted to TNF</w:t>
      </w:r>
      <w:r w:rsidRPr="00390EBD">
        <w:rPr>
          <w:rFonts w:ascii="Book Antiqua" w:hAnsi="Book Antiqua" w:cs="Book Antiqua"/>
          <w:sz w:val="24"/>
          <w:szCs w:val="24"/>
          <w:lang w:val="en-US"/>
        </w:rPr>
        <w:noBreakHyphen/>
      </w:r>
      <w:r w:rsidRPr="00390EBD">
        <w:rPr>
          <w:rFonts w:ascii="Book Antiqua" w:hAnsi="Book Antiqua" w:cs="Book Antiqua"/>
          <w:sz w:val="24"/>
          <w:szCs w:val="24"/>
        </w:rPr>
        <w:t>α</w:t>
      </w:r>
      <w:r w:rsidRPr="00390EBD">
        <w:rPr>
          <w:rFonts w:ascii="Book Antiqua" w:hAnsi="Book Antiqua" w:cs="Book Antiqua"/>
          <w:sz w:val="24"/>
          <w:szCs w:val="24"/>
          <w:lang w:val="en-US"/>
        </w:rPr>
        <w:t xml:space="preserve"> (IFX, ADA, certolizumab and </w:t>
      </w:r>
      <w:r w:rsidRPr="00390EBD">
        <w:rPr>
          <w:rFonts w:ascii="Book Antiqua" w:hAnsi="Book Antiqua" w:cs="Book Antiqua"/>
          <w:sz w:val="24"/>
          <w:szCs w:val="24"/>
          <w:lang w:val="en-US"/>
        </w:rPr>
        <w:lastRenderedPageBreak/>
        <w:t xml:space="preserve">golimumab) and monoclonal antibodies targeted to the leukocyte integrins (natalizumab, approved by the United States FDA for refractory CD; and vedolizumab, approved by the EMA and the FDA). </w:t>
      </w:r>
    </w:p>
    <w:p w14:paraId="238C40D9" w14:textId="77777777" w:rsidR="006138C7" w:rsidRPr="00390EBD" w:rsidRDefault="006138C7" w:rsidP="00954CEE">
      <w:pPr>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A number of lines of research have been developed with the aim of blocking the inflammatory process at different levels, and in the coming years new drugs will be introduced that will contribute to expand the current therapeutic options.</w:t>
      </w:r>
    </w:p>
    <w:p w14:paraId="56A08A24" w14:textId="77777777" w:rsidR="006138C7" w:rsidRPr="00390EBD" w:rsidRDefault="006138C7" w:rsidP="00954CEE">
      <w:pPr>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The drug options that are presently in the most advanced stages of development are analyzed below.</w:t>
      </w:r>
    </w:p>
    <w:p w14:paraId="4FC74E46" w14:textId="77777777" w:rsidR="0020336D" w:rsidRDefault="0020336D" w:rsidP="00954CEE">
      <w:pPr>
        <w:adjustRightInd w:val="0"/>
        <w:snapToGrid w:val="0"/>
        <w:spacing w:after="0" w:line="360" w:lineRule="auto"/>
        <w:jc w:val="both"/>
        <w:rPr>
          <w:rFonts w:ascii="Book Antiqua" w:hAnsi="Book Antiqua" w:cs="Book Antiqua"/>
          <w:b/>
          <w:bCs/>
          <w:sz w:val="24"/>
          <w:szCs w:val="24"/>
          <w:lang w:val="en-GB" w:eastAsia="zh-CN"/>
        </w:rPr>
      </w:pPr>
    </w:p>
    <w:p w14:paraId="67E06197" w14:textId="77777777" w:rsidR="006138C7" w:rsidRPr="00390EBD" w:rsidRDefault="006138C7" w:rsidP="00954CEE">
      <w:pPr>
        <w:adjustRightInd w:val="0"/>
        <w:snapToGrid w:val="0"/>
        <w:spacing w:after="0" w:line="360" w:lineRule="auto"/>
        <w:jc w:val="both"/>
        <w:rPr>
          <w:rFonts w:ascii="Book Antiqua" w:hAnsi="Book Antiqua" w:cs="Book Antiqua"/>
          <w:b/>
          <w:bCs/>
          <w:sz w:val="24"/>
          <w:szCs w:val="24"/>
          <w:lang w:val="en-GB"/>
        </w:rPr>
      </w:pPr>
      <w:r w:rsidRPr="00390EBD">
        <w:rPr>
          <w:rFonts w:ascii="Book Antiqua" w:hAnsi="Book Antiqua" w:cs="Book Antiqua"/>
          <w:b/>
          <w:bCs/>
          <w:sz w:val="24"/>
          <w:szCs w:val="24"/>
          <w:lang w:val="en-GB"/>
        </w:rPr>
        <w:t>INTERLEUKINS</w:t>
      </w:r>
    </w:p>
    <w:p w14:paraId="260CC7E2" w14:textId="77777777" w:rsidR="006138C7" w:rsidRPr="00390EBD" w:rsidRDefault="006138C7" w:rsidP="00954CEE">
      <w:pPr>
        <w:shd w:val="clear" w:color="auto" w:fill="FFFFFF"/>
        <w:adjustRightInd w:val="0"/>
        <w:snapToGrid w:val="0"/>
        <w:spacing w:after="0" w:line="360" w:lineRule="auto"/>
        <w:jc w:val="both"/>
        <w:rPr>
          <w:rFonts w:ascii="Book Antiqua" w:eastAsia="TimesNewRoman" w:hAnsi="Book Antiqua" w:cs="Times New Roman"/>
          <w:b/>
          <w:bCs/>
          <w:sz w:val="24"/>
          <w:szCs w:val="24"/>
          <w:lang w:val="en-US"/>
        </w:rPr>
      </w:pPr>
      <w:r w:rsidRPr="00390EBD">
        <w:rPr>
          <w:rFonts w:ascii="Book Antiqua" w:hAnsi="Book Antiqua" w:cs="Book Antiqua"/>
          <w:sz w:val="24"/>
          <w:szCs w:val="24"/>
          <w:lang w:val="en-US"/>
        </w:rPr>
        <w:t>Interleukins (ILs) are soluble inflammatory response messenger (signaling) molecules. Their role in IBD has been clearly established, and research in this field has been particularly wide</w:t>
      </w:r>
      <w:r w:rsidRPr="00390EBD">
        <w:rPr>
          <w:rFonts w:ascii="Book Antiqua" w:hAnsi="Book Antiqua" w:cs="Book Antiqua"/>
          <w:sz w:val="24"/>
          <w:szCs w:val="24"/>
          <w:lang w:val="en-US"/>
        </w:rPr>
        <w:noBreakHyphen/>
        <w:t>ranging and advanced</w:t>
      </w:r>
      <w:r w:rsidRPr="00390EBD">
        <w:rPr>
          <w:rFonts w:ascii="Book Antiqua" w:hAnsi="Book Antiqua" w:cs="Book Antiqua"/>
          <w:sz w:val="24"/>
          <w:szCs w:val="24"/>
          <w:vertAlign w:val="superscript"/>
          <w:lang w:val="en-US"/>
        </w:rPr>
        <w:t>[88]</w:t>
      </w:r>
      <w:r w:rsidRPr="00390EBD">
        <w:rPr>
          <w:rFonts w:ascii="Book Antiqua" w:hAnsi="Book Antiqua" w:cs="Book Antiqua"/>
          <w:sz w:val="24"/>
          <w:szCs w:val="24"/>
          <w:lang w:val="en-US"/>
        </w:rPr>
        <w:t xml:space="preserve">. </w:t>
      </w:r>
    </w:p>
    <w:p w14:paraId="2C12B37D" w14:textId="77777777" w:rsidR="0020336D" w:rsidRDefault="0020336D" w:rsidP="00954CEE">
      <w:pPr>
        <w:shd w:val="clear" w:color="auto" w:fill="FFFFFF"/>
        <w:adjustRightInd w:val="0"/>
        <w:snapToGrid w:val="0"/>
        <w:spacing w:after="0" w:line="360" w:lineRule="auto"/>
        <w:jc w:val="both"/>
        <w:rPr>
          <w:rFonts w:ascii="Book Antiqua" w:hAnsi="Book Antiqua" w:cs="Book Antiqua"/>
          <w:b/>
          <w:bCs/>
          <w:sz w:val="24"/>
          <w:szCs w:val="24"/>
          <w:lang w:val="en-GB" w:eastAsia="zh-CN"/>
        </w:rPr>
      </w:pPr>
    </w:p>
    <w:p w14:paraId="535CDD67" w14:textId="77777777" w:rsidR="006138C7" w:rsidRPr="0020336D" w:rsidRDefault="006138C7" w:rsidP="00954CEE">
      <w:pPr>
        <w:shd w:val="clear" w:color="auto" w:fill="FFFFFF"/>
        <w:adjustRightInd w:val="0"/>
        <w:snapToGrid w:val="0"/>
        <w:spacing w:after="0" w:line="360" w:lineRule="auto"/>
        <w:jc w:val="both"/>
        <w:rPr>
          <w:rFonts w:ascii="Book Antiqua" w:eastAsia="TimesNewRoman" w:hAnsi="Book Antiqua" w:cs="Times New Roman"/>
          <w:b/>
          <w:bCs/>
          <w:i/>
          <w:sz w:val="24"/>
          <w:szCs w:val="24"/>
          <w:lang w:val="en-GB"/>
        </w:rPr>
      </w:pPr>
      <w:r w:rsidRPr="0020336D">
        <w:rPr>
          <w:rFonts w:ascii="Book Antiqua" w:hAnsi="Book Antiqua" w:cs="Book Antiqua"/>
          <w:b/>
          <w:bCs/>
          <w:i/>
          <w:sz w:val="24"/>
          <w:szCs w:val="24"/>
          <w:lang w:val="en-GB"/>
        </w:rPr>
        <w:t>Anti</w:t>
      </w:r>
      <w:r w:rsidRPr="0020336D">
        <w:rPr>
          <w:rFonts w:ascii="Book Antiqua" w:hAnsi="Book Antiqua" w:cs="Book Antiqua"/>
          <w:b/>
          <w:bCs/>
          <w:i/>
          <w:sz w:val="24"/>
          <w:szCs w:val="24"/>
          <w:lang w:val="en-GB"/>
        </w:rPr>
        <w:noBreakHyphen/>
        <w:t>IL</w:t>
      </w:r>
      <w:r w:rsidRPr="0020336D">
        <w:rPr>
          <w:rFonts w:ascii="Book Antiqua" w:hAnsi="Book Antiqua" w:cs="Book Antiqua"/>
          <w:b/>
          <w:bCs/>
          <w:i/>
          <w:sz w:val="24"/>
          <w:szCs w:val="24"/>
          <w:lang w:val="en-GB"/>
        </w:rPr>
        <w:noBreakHyphen/>
        <w:t>12/23 drugs</w:t>
      </w:r>
    </w:p>
    <w:p w14:paraId="2CA68A04" w14:textId="77777777" w:rsidR="006138C7" w:rsidRPr="00390EBD" w:rsidRDefault="006138C7" w:rsidP="00954CEE">
      <w:pPr>
        <w:shd w:val="clear" w:color="auto" w:fill="FFFFFF"/>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b/>
          <w:bCs/>
          <w:sz w:val="24"/>
          <w:szCs w:val="24"/>
          <w:lang w:val="en-US"/>
        </w:rPr>
        <w:t xml:space="preserve">Ustekinumab: </w:t>
      </w:r>
      <w:r w:rsidRPr="00390EBD">
        <w:rPr>
          <w:rFonts w:ascii="Book Antiqua" w:hAnsi="Book Antiqua" w:cs="Book Antiqua"/>
          <w:sz w:val="24"/>
          <w:szCs w:val="24"/>
          <w:lang w:val="en-US"/>
        </w:rPr>
        <w:t>this is the drug with the most advanced results to date. Ustekinumab is a fully humanized IgG1</w:t>
      </w:r>
      <w:r w:rsidRPr="00390EBD">
        <w:rPr>
          <w:rFonts w:ascii="Book Antiqua" w:hAnsi="Book Antiqua" w:cs="Book Antiqua"/>
          <w:sz w:val="24"/>
          <w:szCs w:val="24"/>
        </w:rPr>
        <w:t>κ</w:t>
      </w:r>
      <w:r w:rsidRPr="00390EBD">
        <w:rPr>
          <w:rFonts w:ascii="Book Antiqua" w:hAnsi="Book Antiqua" w:cs="Book Antiqua"/>
          <w:sz w:val="24"/>
          <w:szCs w:val="24"/>
          <w:lang w:val="en-US"/>
        </w:rPr>
        <w:t xml:space="preserve"> anti</w:t>
      </w:r>
      <w:r w:rsidRPr="00390EBD">
        <w:rPr>
          <w:rFonts w:ascii="Book Antiqua" w:hAnsi="Book Antiqua" w:cs="Book Antiqua"/>
          <w:sz w:val="24"/>
          <w:szCs w:val="24"/>
          <w:lang w:val="en-US"/>
        </w:rPr>
        <w:noBreakHyphen/>
        <w:t>IL</w:t>
      </w:r>
      <w:r w:rsidRPr="00390EBD">
        <w:rPr>
          <w:rFonts w:ascii="Book Antiqua" w:hAnsi="Book Antiqua" w:cs="Book Antiqua"/>
          <w:sz w:val="24"/>
          <w:szCs w:val="24"/>
          <w:lang w:val="en-US"/>
        </w:rPr>
        <w:noBreakHyphen/>
        <w:t>12/23 monoclonal antibody. It specifically binds to the p40 protein subunit shared by both of the mentioned ILs. Binding prevents the mentioned subunit from interacting with the IL</w:t>
      </w:r>
      <w:r w:rsidRPr="00390EBD">
        <w:rPr>
          <w:rFonts w:ascii="Book Antiqua" w:hAnsi="Book Antiqua" w:cs="Book Antiqua"/>
          <w:sz w:val="24"/>
          <w:szCs w:val="24"/>
          <w:lang w:val="en-US"/>
        </w:rPr>
        <w:noBreakHyphen/>
        <w:t>12R</w:t>
      </w:r>
      <w:r w:rsidRPr="00390EBD">
        <w:rPr>
          <w:rFonts w:ascii="Book Antiqua" w:eastAsia="TimesNewRoman" w:hAnsi="Book Antiqua" w:cs="Times New Roman"/>
          <w:sz w:val="24"/>
          <w:szCs w:val="24"/>
        </w:rPr>
        <w:sym w:font="Symbol" w:char="F062"/>
      </w:r>
      <w:r w:rsidRPr="00390EBD">
        <w:rPr>
          <w:rFonts w:ascii="Book Antiqua" w:hAnsi="Book Antiqua" w:cs="Book Antiqua"/>
          <w:sz w:val="24"/>
          <w:szCs w:val="24"/>
          <w:lang w:val="en-US"/>
        </w:rPr>
        <w:t xml:space="preserve">1 receptor protein, which is expressed on the surface of immune cells </w:t>
      </w:r>
      <w:r w:rsidRPr="00390EBD">
        <w:rPr>
          <w:rFonts w:ascii="Book Antiqua" w:hAnsi="Book Antiqua" w:cs="Book Antiqua"/>
          <w:sz w:val="24"/>
          <w:szCs w:val="24"/>
          <w:lang w:val="en-US"/>
        </w:rPr>
        <w:noBreakHyphen/>
        <w:t xml:space="preserve"> thereby inhibiting innate and adaptive immune response stimulation. In an inflammatory environment, naive CD4+ T cells are induced to IFN</w:t>
      </w:r>
      <w:r w:rsidRPr="00390EBD">
        <w:rPr>
          <w:rFonts w:ascii="Book Antiqua" w:hAnsi="Book Antiqua" w:cs="Book Antiqua"/>
          <w:sz w:val="24"/>
          <w:szCs w:val="24"/>
          <w:lang w:val="en-US"/>
        </w:rPr>
        <w:noBreakHyphen/>
      </w:r>
      <w:r w:rsidRPr="00390EBD">
        <w:rPr>
          <w:rFonts w:ascii="Book Antiqua" w:hAnsi="Book Antiqua" w:cs="Book Antiqua"/>
          <w:sz w:val="24"/>
          <w:szCs w:val="24"/>
        </w:rPr>
        <w:t>γ</w:t>
      </w:r>
      <w:r w:rsidRPr="00390EBD">
        <w:rPr>
          <w:rFonts w:ascii="Book Antiqua" w:hAnsi="Book Antiqua" w:cs="Book Antiqua"/>
          <w:sz w:val="24"/>
          <w:szCs w:val="24"/>
          <w:lang w:val="en-US"/>
        </w:rPr>
        <w:t xml:space="preserve"> producing Th1 cells by the action of IL</w:t>
      </w:r>
      <w:r w:rsidRPr="00390EBD">
        <w:rPr>
          <w:rFonts w:ascii="Book Antiqua" w:hAnsi="Book Antiqua" w:cs="Book Antiqua"/>
          <w:sz w:val="24"/>
          <w:szCs w:val="24"/>
          <w:lang w:val="en-US"/>
        </w:rPr>
        <w:noBreakHyphen/>
        <w:t>12, and to Th17 cells by the action of IL</w:t>
      </w:r>
      <w:r w:rsidRPr="00390EBD">
        <w:rPr>
          <w:rFonts w:ascii="Book Antiqua" w:hAnsi="Book Antiqua" w:cs="Book Antiqua"/>
          <w:sz w:val="24"/>
          <w:szCs w:val="24"/>
          <w:lang w:val="en-US"/>
        </w:rPr>
        <w:noBreakHyphen/>
        <w:t>23. The Th17 cells in turn are responsible for the production of proinflammatory cytokines such as IL</w:t>
      </w:r>
      <w:r w:rsidRPr="00390EBD">
        <w:rPr>
          <w:rFonts w:ascii="Book Antiqua" w:hAnsi="Book Antiqua" w:cs="Book Antiqua"/>
          <w:sz w:val="24"/>
          <w:szCs w:val="24"/>
          <w:lang w:val="en-US"/>
        </w:rPr>
        <w:noBreakHyphen/>
        <w:t>17, IL</w:t>
      </w:r>
      <w:r w:rsidRPr="00390EBD">
        <w:rPr>
          <w:rFonts w:ascii="Book Antiqua" w:hAnsi="Book Antiqua" w:cs="Book Antiqua"/>
          <w:sz w:val="24"/>
          <w:szCs w:val="24"/>
          <w:lang w:val="en-US"/>
        </w:rPr>
        <w:noBreakHyphen/>
        <w:t>17F, IL</w:t>
      </w:r>
      <w:r w:rsidRPr="00390EBD">
        <w:rPr>
          <w:rFonts w:ascii="Book Antiqua" w:hAnsi="Book Antiqua" w:cs="Book Antiqua"/>
          <w:sz w:val="24"/>
          <w:szCs w:val="24"/>
          <w:lang w:val="en-US"/>
        </w:rPr>
        <w:noBreakHyphen/>
        <w:t>6 and TNF</w:t>
      </w:r>
      <w:r w:rsidRPr="00390EBD">
        <w:rPr>
          <w:rFonts w:ascii="Book Antiqua" w:hAnsi="Book Antiqua" w:cs="Book Antiqua"/>
          <w:sz w:val="24"/>
          <w:szCs w:val="24"/>
          <w:lang w:val="en-US"/>
        </w:rPr>
        <w:noBreakHyphen/>
      </w:r>
      <w:r w:rsidRPr="00390EBD">
        <w:rPr>
          <w:rFonts w:ascii="Book Antiqua" w:hAnsi="Book Antiqua" w:cs="Book Antiqua"/>
          <w:sz w:val="24"/>
          <w:szCs w:val="24"/>
        </w:rPr>
        <w:t>α</w:t>
      </w:r>
      <w:r w:rsidRPr="00390EBD">
        <w:rPr>
          <w:rFonts w:ascii="Book Antiqua" w:hAnsi="Book Antiqua" w:cs="Book Antiqua"/>
          <w:sz w:val="24"/>
          <w:szCs w:val="24"/>
          <w:vertAlign w:val="superscript"/>
          <w:lang w:val="en-US"/>
        </w:rPr>
        <w:t>[89,90]</w:t>
      </w:r>
      <w:r w:rsidRPr="00390EBD">
        <w:rPr>
          <w:rFonts w:ascii="Book Antiqua" w:hAnsi="Book Antiqua" w:cs="Book Antiqua"/>
          <w:sz w:val="24"/>
          <w:szCs w:val="24"/>
          <w:lang w:val="en-US"/>
        </w:rPr>
        <w:t>. Blocking this pathway has been successfully employed in animal models</w:t>
      </w:r>
      <w:r w:rsidRPr="00390EBD">
        <w:rPr>
          <w:rFonts w:ascii="Book Antiqua" w:hAnsi="Book Antiqua" w:cs="Book Antiqua"/>
          <w:sz w:val="24"/>
          <w:szCs w:val="24"/>
          <w:vertAlign w:val="superscript"/>
          <w:lang w:val="en-US"/>
        </w:rPr>
        <w:t>[91,92]</w:t>
      </w:r>
      <w:r w:rsidRPr="00390EBD">
        <w:rPr>
          <w:rFonts w:ascii="Book Antiqua" w:hAnsi="Book Antiqua" w:cs="Book Antiqua"/>
          <w:sz w:val="24"/>
          <w:szCs w:val="24"/>
          <w:lang w:val="en-US"/>
        </w:rPr>
        <w:t>, and both ILs play a key role in the inflammatory processes of CD</w:t>
      </w:r>
      <w:r w:rsidRPr="00390EBD">
        <w:rPr>
          <w:rFonts w:ascii="Book Antiqua" w:hAnsi="Book Antiqua" w:cs="Book Antiqua"/>
          <w:sz w:val="24"/>
          <w:szCs w:val="24"/>
          <w:vertAlign w:val="superscript"/>
          <w:lang w:val="en-US"/>
        </w:rPr>
        <w:t>[90,93,94]</w:t>
      </w:r>
      <w:r w:rsidRPr="00390EBD">
        <w:rPr>
          <w:rFonts w:ascii="Book Antiqua" w:hAnsi="Book Antiqua" w:cs="Book Antiqua"/>
          <w:sz w:val="24"/>
          <w:szCs w:val="24"/>
          <w:lang w:val="en-US"/>
        </w:rPr>
        <w:t xml:space="preserve">. </w:t>
      </w:r>
    </w:p>
    <w:p w14:paraId="0C098DE1" w14:textId="2100DF8D" w:rsidR="006138C7" w:rsidRPr="00390EBD" w:rsidRDefault="006138C7" w:rsidP="00954CEE">
      <w:pPr>
        <w:shd w:val="clear" w:color="auto" w:fill="FFFFFF"/>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The results of a first double</w:t>
      </w:r>
      <w:r w:rsidRPr="00390EBD">
        <w:rPr>
          <w:rFonts w:ascii="Book Antiqua" w:hAnsi="Book Antiqua" w:cs="Book Antiqua"/>
          <w:sz w:val="24"/>
          <w:szCs w:val="24"/>
          <w:lang w:val="en-US"/>
        </w:rPr>
        <w:noBreakHyphen/>
        <w:t>blind and placebo (PB)</w:t>
      </w:r>
      <w:r w:rsidRPr="00390EBD">
        <w:rPr>
          <w:rFonts w:ascii="Book Antiqua" w:hAnsi="Book Antiqua" w:cs="Book Antiqua"/>
          <w:sz w:val="24"/>
          <w:szCs w:val="24"/>
          <w:lang w:val="en-US"/>
        </w:rPr>
        <w:noBreakHyphen/>
        <w:t>controlled phase II clinical trial were published in 2008</w:t>
      </w:r>
      <w:r w:rsidRPr="00390EBD">
        <w:rPr>
          <w:rFonts w:ascii="Book Antiqua" w:hAnsi="Book Antiqua" w:cs="Book Antiqua"/>
          <w:sz w:val="24"/>
          <w:szCs w:val="24"/>
          <w:vertAlign w:val="superscript"/>
          <w:lang w:val="en-US"/>
        </w:rPr>
        <w:t>[95]</w:t>
      </w:r>
      <w:r w:rsidRPr="00390EBD">
        <w:rPr>
          <w:rFonts w:ascii="Book Antiqua" w:hAnsi="Book Antiqua" w:cs="Book Antiqua"/>
          <w:sz w:val="24"/>
          <w:szCs w:val="24"/>
          <w:lang w:val="en-US"/>
        </w:rPr>
        <w:t xml:space="preserve">. This was a study with a complicated design that included two patient populations. In population 1 the results </w:t>
      </w:r>
      <w:r w:rsidRPr="00390EBD">
        <w:rPr>
          <w:rFonts w:ascii="Book Antiqua" w:hAnsi="Book Antiqua" w:cs="Book Antiqua"/>
          <w:sz w:val="24"/>
          <w:szCs w:val="24"/>
          <w:lang w:val="en-US"/>
        </w:rPr>
        <w:lastRenderedPageBreak/>
        <w:t xml:space="preserve">referred to the primary endpoint were discouraging, with a clinical response rate in week 8 of 49% in the group of patients treated with ustekinumab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40% in the PB group (</w:t>
      </w:r>
      <w:r w:rsidR="0020336D" w:rsidRPr="0020336D">
        <w:rPr>
          <w:rFonts w:ascii="Book Antiqua" w:hAnsi="Book Antiqua" w:cs="Book Antiqua"/>
          <w:i/>
          <w:caps/>
          <w:sz w:val="24"/>
          <w:szCs w:val="24"/>
          <w:lang w:val="en-US"/>
        </w:rPr>
        <w:t>p =</w:t>
      </w:r>
      <w:r w:rsidRPr="00390EBD">
        <w:rPr>
          <w:rFonts w:ascii="Book Antiqua" w:hAnsi="Book Antiqua" w:cs="Book Antiqua"/>
          <w:sz w:val="24"/>
          <w:szCs w:val="24"/>
          <w:lang w:val="en-US"/>
        </w:rPr>
        <w:t xml:space="preserve"> 0.34). However, in a subgroup of 49 patients previously treated with IFX, statistical significance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PB was reached, with a response rate of 59% and 26%, respectively (</w:t>
      </w:r>
      <w:r w:rsidR="0020336D" w:rsidRPr="0020336D">
        <w:rPr>
          <w:rFonts w:ascii="Book Antiqua" w:hAnsi="Book Antiqua" w:cs="Book Antiqua"/>
          <w:i/>
          <w:caps/>
          <w:sz w:val="24"/>
          <w:szCs w:val="24"/>
          <w:lang w:val="en-US"/>
        </w:rPr>
        <w:t xml:space="preserve">p = </w:t>
      </w:r>
      <w:r w:rsidRPr="00390EBD">
        <w:rPr>
          <w:rFonts w:ascii="Book Antiqua" w:hAnsi="Book Antiqua" w:cs="Book Antiqua"/>
          <w:sz w:val="24"/>
          <w:szCs w:val="24"/>
          <w:lang w:val="en-US"/>
        </w:rPr>
        <w:t>0.05), in week 8. In population 2 the clinical response rate with ustekinumab in week 8 was 43% in the subcutaneous treatment group and 54% in the intravenous treatment group. Failure of the study to confirm the primary endpoint was attributed to the high percentage response observed in the PB group. No serious adverse events were detected in week 8, and the recorded problems were moreover similar to those seen in the PB group. The end conclusion was favorable regarding the capacity of the active drug to elicit a clinical response in the induction phase.</w:t>
      </w:r>
    </w:p>
    <w:p w14:paraId="65949CB8" w14:textId="43345065" w:rsidR="006138C7" w:rsidRPr="00390EBD" w:rsidRDefault="006138C7" w:rsidP="00954CEE">
      <w:pPr>
        <w:shd w:val="clear" w:color="auto" w:fill="FFFFFF"/>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The CERTIFI trial was published in 2012</w:t>
      </w:r>
      <w:r w:rsidRPr="00390EBD">
        <w:rPr>
          <w:rFonts w:ascii="Book Antiqua" w:hAnsi="Book Antiqua" w:cs="Book Antiqua"/>
          <w:sz w:val="24"/>
          <w:szCs w:val="24"/>
          <w:vertAlign w:val="superscript"/>
          <w:lang w:val="en-US"/>
        </w:rPr>
        <w:t>[96]</w:t>
      </w:r>
      <w:r w:rsidRPr="00390EBD">
        <w:rPr>
          <w:rFonts w:ascii="Book Antiqua" w:hAnsi="Book Antiqua" w:cs="Book Antiqua"/>
          <w:sz w:val="24"/>
          <w:szCs w:val="24"/>
          <w:lang w:val="en-US"/>
        </w:rPr>
        <w:t>. This was a randomized, double</w:t>
      </w:r>
      <w:r w:rsidRPr="00390EBD">
        <w:rPr>
          <w:rFonts w:ascii="Book Antiqua" w:hAnsi="Book Antiqua" w:cs="Book Antiqua"/>
          <w:sz w:val="24"/>
          <w:szCs w:val="24"/>
          <w:lang w:val="en-US"/>
        </w:rPr>
        <w:noBreakHyphen/>
        <w:t>blind, PB</w:t>
      </w:r>
      <w:r w:rsidRPr="00390EBD">
        <w:rPr>
          <w:rFonts w:ascii="Book Antiqua" w:hAnsi="Book Antiqua" w:cs="Book Antiqua"/>
          <w:sz w:val="24"/>
          <w:szCs w:val="24"/>
          <w:lang w:val="en-US"/>
        </w:rPr>
        <w:noBreakHyphen/>
        <w:t>controlled phase IIa study on the efficacy of ustekinumab in patients with moderate to severe CD refractory to IFX. A total of 526 patients resistant to treatment (50% of the subjects having received at least 2 anti</w:t>
      </w:r>
      <w:r w:rsidRPr="00390EBD">
        <w:rPr>
          <w:rFonts w:ascii="Book Antiqua" w:hAnsi="Book Antiqua" w:cs="Book Antiqua"/>
          <w:sz w:val="24"/>
          <w:szCs w:val="24"/>
          <w:lang w:val="en-US"/>
        </w:rPr>
        <w:noBreakHyphen/>
        <w:t>TNF</w:t>
      </w:r>
      <w:r w:rsidRPr="00390EBD">
        <w:rPr>
          <w:rFonts w:ascii="Book Antiqua" w:hAnsi="Book Antiqua" w:cs="Book Antiqua"/>
          <w:sz w:val="24"/>
          <w:szCs w:val="24"/>
          <w:lang w:val="en-US"/>
        </w:rPr>
        <w:noBreakHyphen/>
      </w:r>
      <w:r w:rsidRPr="00390EBD">
        <w:rPr>
          <w:rFonts w:ascii="Book Antiqua" w:hAnsi="Book Antiqua" w:cs="Book Antiqua"/>
          <w:sz w:val="24"/>
          <w:szCs w:val="24"/>
        </w:rPr>
        <w:t>α</w:t>
      </w:r>
      <w:r w:rsidRPr="00390EBD">
        <w:rPr>
          <w:rFonts w:ascii="Book Antiqua" w:hAnsi="Book Antiqua" w:cs="Book Antiqua"/>
          <w:sz w:val="24"/>
          <w:szCs w:val="24"/>
          <w:lang w:val="en-US"/>
        </w:rPr>
        <w:t xml:space="preserve"> drugs) were randomized to four intravenous induction treatment arms (1, 3 or 6 mg/kg of ustekinumab) and a PB arm. The 145 patients responding to ustekinumab in week 6 were randomized to subcutaneous maintenance therapy in weeks 8 and 16 with PB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ustekinumab 90 mg. The primary endpoint was the clinical response rate in week 6 </w:t>
      </w:r>
      <w:r w:rsidRPr="00390EBD">
        <w:rPr>
          <w:rFonts w:ascii="Book Antiqua" w:hAnsi="Book Antiqua" w:cs="Book Antiqua"/>
          <w:sz w:val="24"/>
          <w:szCs w:val="24"/>
          <w:lang w:val="en-US"/>
        </w:rPr>
        <w:noBreakHyphen/>
        <w:t xml:space="preserve"> the recorded percentages being 36.6%, 34.1% and 39.7% (1, 3 or 6 mg/kg of ustekinumab)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23.5% in the PB arm. Only the 6 mg dose reached statistical significance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PB. In the maintenance phase, 41.7% of the patients treated with ustekinumab showed clinical remission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27.4% of the patients in the PB arm (</w:t>
      </w:r>
      <w:r w:rsidR="0020336D" w:rsidRPr="0020336D">
        <w:rPr>
          <w:rFonts w:ascii="Book Antiqua" w:hAnsi="Book Antiqua" w:cs="Book Antiqua"/>
          <w:i/>
          <w:caps/>
          <w:sz w:val="24"/>
          <w:szCs w:val="24"/>
          <w:lang w:val="en-US"/>
        </w:rPr>
        <w:t xml:space="preserve">p = </w:t>
      </w:r>
      <w:r w:rsidRPr="00390EBD">
        <w:rPr>
          <w:rFonts w:ascii="Book Antiqua" w:hAnsi="Book Antiqua" w:cs="Book Antiqua"/>
          <w:sz w:val="24"/>
          <w:szCs w:val="24"/>
          <w:lang w:val="en-US"/>
        </w:rPr>
        <w:t xml:space="preserve">0.03), and the clinical response rate was 69.5%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42.5%, respectively (</w:t>
      </w:r>
      <w:r w:rsidR="009046D6" w:rsidRPr="009046D6">
        <w:rPr>
          <w:rFonts w:ascii="Book Antiqua" w:hAnsi="Book Antiqua" w:cs="Book Antiqua"/>
          <w:i/>
          <w:caps/>
          <w:sz w:val="24"/>
          <w:szCs w:val="24"/>
          <w:lang w:val="en-US"/>
        </w:rPr>
        <w:t>p &lt;</w:t>
      </w:r>
      <w:r w:rsidR="0020336D" w:rsidRPr="0020336D">
        <w:rPr>
          <w:rFonts w:ascii="Book Antiqua" w:hAnsi="Book Antiqua" w:cs="Book Antiqua"/>
          <w:i/>
          <w:caps/>
          <w:sz w:val="24"/>
          <w:szCs w:val="24"/>
          <w:lang w:val="en-US"/>
        </w:rPr>
        <w:t xml:space="preserve"> </w:t>
      </w:r>
      <w:r w:rsidRPr="00390EBD">
        <w:rPr>
          <w:rFonts w:ascii="Book Antiqua" w:hAnsi="Book Antiqua" w:cs="Book Antiqua"/>
          <w:sz w:val="24"/>
          <w:szCs w:val="24"/>
          <w:lang w:val="en-US"/>
        </w:rPr>
        <w:t>0.001). The safety profile was found to be similar to that of other biological drugs.</w:t>
      </w:r>
    </w:p>
    <w:p w14:paraId="114D3097" w14:textId="4E66309E" w:rsidR="006138C7" w:rsidRPr="00390EBD" w:rsidRDefault="006138C7" w:rsidP="00954CEE">
      <w:pPr>
        <w:shd w:val="clear" w:color="auto" w:fill="FFFFFF"/>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The publication of the results of three phase III clinical trials is currently pending. The first of these studies (UNITI</w:t>
      </w:r>
      <w:r w:rsidRPr="00390EBD">
        <w:rPr>
          <w:rFonts w:ascii="Book Antiqua" w:hAnsi="Book Antiqua" w:cs="Book Antiqua"/>
          <w:sz w:val="24"/>
          <w:szCs w:val="24"/>
          <w:lang w:val="en-US"/>
        </w:rPr>
        <w:noBreakHyphen/>
        <w:t>1)</w:t>
      </w:r>
      <w:r w:rsidRPr="00390EBD">
        <w:rPr>
          <w:rFonts w:ascii="Book Antiqua" w:hAnsi="Book Antiqua" w:cs="Book Antiqua"/>
          <w:sz w:val="24"/>
          <w:szCs w:val="24"/>
          <w:vertAlign w:val="superscript"/>
          <w:lang w:val="en-US"/>
        </w:rPr>
        <w:t xml:space="preserve">[97] </w:t>
      </w:r>
      <w:r w:rsidRPr="00390EBD">
        <w:rPr>
          <w:rFonts w:ascii="Book Antiqua" w:hAnsi="Book Antiqua" w:cs="Book Antiqua"/>
          <w:sz w:val="24"/>
          <w:szCs w:val="24"/>
          <w:lang w:val="en-US"/>
        </w:rPr>
        <w:t>is a randomized, double</w:t>
      </w:r>
      <w:r w:rsidRPr="00390EBD">
        <w:rPr>
          <w:rFonts w:ascii="Book Antiqua" w:hAnsi="Book Antiqua" w:cs="Book Antiqua"/>
          <w:sz w:val="24"/>
          <w:szCs w:val="24"/>
          <w:lang w:val="en-US"/>
        </w:rPr>
        <w:noBreakHyphen/>
        <w:t xml:space="preserve">blind trial designed to evaluate the efficacy and safety of induction with ustekinumab in patients with moderate to severe CD who have failed or are intolerant to </w:t>
      </w:r>
      <w:r w:rsidRPr="00390EBD">
        <w:rPr>
          <w:rFonts w:ascii="Book Antiqua" w:hAnsi="Book Antiqua" w:cs="Book Antiqua"/>
          <w:sz w:val="24"/>
          <w:szCs w:val="24"/>
          <w:lang w:val="en-US"/>
        </w:rPr>
        <w:lastRenderedPageBreak/>
        <w:t>anti</w:t>
      </w:r>
      <w:r w:rsidRPr="00390EBD">
        <w:rPr>
          <w:rFonts w:ascii="Book Antiqua" w:hAnsi="Book Antiqua" w:cs="Book Antiqua"/>
          <w:sz w:val="24"/>
          <w:szCs w:val="24"/>
          <w:lang w:val="en-US"/>
        </w:rPr>
        <w:noBreakHyphen/>
        <w:t>TNF</w:t>
      </w:r>
      <w:r w:rsidRPr="00390EBD">
        <w:rPr>
          <w:rFonts w:ascii="Book Antiqua" w:hAnsi="Book Antiqua" w:cs="Book Antiqua"/>
          <w:sz w:val="24"/>
          <w:szCs w:val="24"/>
          <w:lang w:val="en-US"/>
        </w:rPr>
        <w:noBreakHyphen/>
      </w:r>
      <w:r w:rsidRPr="00390EBD">
        <w:rPr>
          <w:rFonts w:ascii="Book Antiqua" w:hAnsi="Book Antiqua" w:cs="Book Antiqua"/>
          <w:sz w:val="24"/>
          <w:szCs w:val="24"/>
        </w:rPr>
        <w:t>α</w:t>
      </w:r>
      <w:r w:rsidRPr="00390EBD">
        <w:rPr>
          <w:rFonts w:ascii="Book Antiqua" w:hAnsi="Book Antiqua" w:cs="Book Antiqua"/>
          <w:sz w:val="24"/>
          <w:szCs w:val="24"/>
          <w:lang w:val="en-US"/>
        </w:rPr>
        <w:t xml:space="preserve"> therapy. The primary endpoint is clinical response in week 6, while the secondary endpoints are remission and clinical response in week 8. A total of 769 patients have been randomized to three arms: </w:t>
      </w:r>
      <w:r w:rsidR="0020336D">
        <w:rPr>
          <w:rFonts w:ascii="Book Antiqua" w:hAnsi="Book Antiqua" w:cs="Book Antiqua" w:hint="eastAsia"/>
          <w:sz w:val="24"/>
          <w:szCs w:val="24"/>
          <w:lang w:val="en-US" w:eastAsia="zh-CN"/>
        </w:rPr>
        <w:t>(</w:t>
      </w:r>
      <w:r w:rsidRPr="00390EBD">
        <w:rPr>
          <w:rFonts w:ascii="Book Antiqua" w:hAnsi="Book Antiqua" w:cs="Book Antiqua"/>
          <w:sz w:val="24"/>
          <w:szCs w:val="24"/>
          <w:lang w:val="en-US"/>
        </w:rPr>
        <w:t xml:space="preserve">1) intravenous PB; </w:t>
      </w:r>
      <w:r w:rsidR="0020336D">
        <w:rPr>
          <w:rFonts w:ascii="Book Antiqua" w:hAnsi="Book Antiqua" w:cs="Book Antiqua" w:hint="eastAsia"/>
          <w:sz w:val="24"/>
          <w:szCs w:val="24"/>
          <w:lang w:val="en-US" w:eastAsia="zh-CN"/>
        </w:rPr>
        <w:t>(</w:t>
      </w:r>
      <w:r w:rsidRPr="00390EBD">
        <w:rPr>
          <w:rFonts w:ascii="Book Antiqua" w:hAnsi="Book Antiqua" w:cs="Book Antiqua"/>
          <w:sz w:val="24"/>
          <w:szCs w:val="24"/>
          <w:lang w:val="en-US"/>
        </w:rPr>
        <w:t xml:space="preserve">2) ustekinumab 130 mg i.v.; and </w:t>
      </w:r>
      <w:r w:rsidR="0020336D">
        <w:rPr>
          <w:rFonts w:ascii="Book Antiqua" w:hAnsi="Book Antiqua" w:cs="Book Antiqua" w:hint="eastAsia"/>
          <w:sz w:val="24"/>
          <w:szCs w:val="24"/>
          <w:lang w:val="en-US" w:eastAsia="zh-CN"/>
        </w:rPr>
        <w:t>(</w:t>
      </w:r>
      <w:r w:rsidRPr="00390EBD">
        <w:rPr>
          <w:rFonts w:ascii="Book Antiqua" w:hAnsi="Book Antiqua" w:cs="Book Antiqua"/>
          <w:sz w:val="24"/>
          <w:szCs w:val="24"/>
          <w:lang w:val="en-US"/>
        </w:rPr>
        <w:t>3) ustekinumab 6 mg/kg i.v. as a single dose. The study ended in July 2013. The second study (UNITI</w:t>
      </w:r>
      <w:r w:rsidRPr="00390EBD">
        <w:rPr>
          <w:rFonts w:ascii="Book Antiqua" w:hAnsi="Book Antiqua" w:cs="Book Antiqua"/>
          <w:sz w:val="24"/>
          <w:szCs w:val="24"/>
          <w:lang w:val="en-US"/>
        </w:rPr>
        <w:noBreakHyphen/>
        <w:t>2)</w:t>
      </w:r>
      <w:r w:rsidRPr="00390EBD">
        <w:rPr>
          <w:rFonts w:ascii="Book Antiqua" w:hAnsi="Book Antiqua" w:cs="Book Antiqua"/>
          <w:sz w:val="24"/>
          <w:szCs w:val="24"/>
          <w:vertAlign w:val="superscript"/>
          <w:lang w:val="en-US"/>
        </w:rPr>
        <w:t>[98]</w:t>
      </w:r>
      <w:r w:rsidR="00D95AD7">
        <w:rPr>
          <w:rFonts w:ascii="Book Antiqua" w:hAnsi="Book Antiqua" w:cs="Book Antiqua"/>
          <w:sz w:val="24"/>
          <w:szCs w:val="24"/>
          <w:vertAlign w:val="superscript"/>
          <w:lang w:val="en-US"/>
        </w:rPr>
        <w:t xml:space="preserve"> </w:t>
      </w:r>
      <w:r w:rsidRPr="00390EBD">
        <w:rPr>
          <w:rFonts w:ascii="Book Antiqua" w:hAnsi="Book Antiqua" w:cs="Book Antiqua"/>
          <w:sz w:val="24"/>
          <w:szCs w:val="24"/>
          <w:lang w:val="en-US"/>
        </w:rPr>
        <w:t>has the same design as the first, though the included patients are naive to biological drugs and show failure or intolerance to immunosuppressors or corticosteroids. This study ended in October 2014 and includes a total of 642 patients. Lastly, the IM</w:t>
      </w:r>
      <w:r w:rsidRPr="00390EBD">
        <w:rPr>
          <w:rFonts w:ascii="Book Antiqua" w:hAnsi="Book Antiqua" w:cs="Book Antiqua"/>
          <w:sz w:val="24"/>
          <w:szCs w:val="24"/>
          <w:lang w:val="en-US"/>
        </w:rPr>
        <w:noBreakHyphen/>
        <w:t>UNITI</w:t>
      </w:r>
      <w:r w:rsidRPr="00390EBD">
        <w:rPr>
          <w:rFonts w:ascii="Book Antiqua" w:hAnsi="Book Antiqua" w:cs="Book Antiqua"/>
          <w:sz w:val="24"/>
          <w:szCs w:val="24"/>
          <w:vertAlign w:val="superscript"/>
          <w:lang w:val="en-US"/>
        </w:rPr>
        <w:t xml:space="preserve">[99] </w:t>
      </w:r>
      <w:r w:rsidRPr="00390EBD">
        <w:rPr>
          <w:rFonts w:ascii="Book Antiqua" w:hAnsi="Book Antiqua" w:cs="Book Antiqua"/>
          <w:sz w:val="24"/>
          <w:szCs w:val="24"/>
          <w:lang w:val="en-US"/>
        </w:rPr>
        <w:t>trial is also a randomized, double</w:t>
      </w:r>
      <w:r w:rsidRPr="00390EBD">
        <w:rPr>
          <w:rFonts w:ascii="Book Antiqua" w:hAnsi="Book Antiqua" w:cs="Book Antiqua"/>
          <w:sz w:val="24"/>
          <w:szCs w:val="24"/>
          <w:lang w:val="en-US"/>
        </w:rPr>
        <w:noBreakHyphen/>
        <w:t>blind, PB</w:t>
      </w:r>
      <w:r w:rsidRPr="00390EBD">
        <w:rPr>
          <w:rFonts w:ascii="Book Antiqua" w:hAnsi="Book Antiqua" w:cs="Book Antiqua"/>
          <w:sz w:val="24"/>
          <w:szCs w:val="24"/>
          <w:lang w:val="en-US"/>
        </w:rPr>
        <w:noBreakHyphen/>
        <w:t>controlled, parallel group multicenter study. This trial was designed to determine efficacy in the maintenance phase of CD and is currently in the recruitment stage. The study plans to include 1310 patients from the two previously mentioned trials, with conclusion in November 2018.</w:t>
      </w:r>
    </w:p>
    <w:p w14:paraId="594DB9FD" w14:textId="77777777" w:rsidR="006138C7" w:rsidRPr="00390EBD" w:rsidRDefault="006138C7" w:rsidP="00954CEE">
      <w:pPr>
        <w:pStyle w:val="Heading1"/>
        <w:shd w:val="clear" w:color="auto" w:fill="FFFFFF"/>
        <w:adjustRightInd w:val="0"/>
        <w:snapToGrid w:val="0"/>
        <w:spacing w:before="0" w:after="0" w:line="360" w:lineRule="auto"/>
        <w:ind w:firstLineChars="200" w:firstLine="480"/>
        <w:jc w:val="both"/>
        <w:rPr>
          <w:rFonts w:ascii="Book Antiqua" w:hAnsi="Book Antiqua" w:cs="Book Antiqua"/>
          <w:b w:val="0"/>
          <w:bCs w:val="0"/>
          <w:sz w:val="24"/>
          <w:szCs w:val="24"/>
          <w:lang w:val="en-US"/>
        </w:rPr>
      </w:pPr>
      <w:r w:rsidRPr="00390EBD">
        <w:rPr>
          <w:rFonts w:ascii="Book Antiqua" w:hAnsi="Book Antiqua" w:cs="Book Antiqua"/>
          <w:b w:val="0"/>
          <w:bCs w:val="0"/>
          <w:sz w:val="24"/>
          <w:szCs w:val="24"/>
          <w:lang w:val="en-US"/>
        </w:rPr>
        <w:t>There are two other anti</w:t>
      </w:r>
      <w:r w:rsidRPr="00390EBD">
        <w:rPr>
          <w:rFonts w:ascii="Book Antiqua" w:hAnsi="Book Antiqua" w:cs="Book Antiqua"/>
          <w:b w:val="0"/>
          <w:bCs w:val="0"/>
          <w:sz w:val="24"/>
          <w:szCs w:val="24"/>
          <w:lang w:val="en-US"/>
        </w:rPr>
        <w:noBreakHyphen/>
        <w:t>IL12/23 molecules:</w:t>
      </w:r>
      <w:r w:rsidRPr="00390EBD">
        <w:rPr>
          <w:rFonts w:ascii="Book Antiqua" w:hAnsi="Book Antiqua" w:cs="Book Antiqua"/>
          <w:sz w:val="24"/>
          <w:szCs w:val="24"/>
          <w:lang w:val="en-US"/>
        </w:rPr>
        <w:t xml:space="preserve"> </w:t>
      </w:r>
      <w:r w:rsidRPr="0020336D">
        <w:rPr>
          <w:rFonts w:ascii="Book Antiqua" w:hAnsi="Book Antiqua" w:cs="Book Antiqua"/>
          <w:b w:val="0"/>
          <w:sz w:val="24"/>
          <w:szCs w:val="24"/>
          <w:lang w:val="en-US"/>
        </w:rPr>
        <w:t>briakinumab</w:t>
      </w:r>
      <w:r w:rsidRPr="00390EBD">
        <w:rPr>
          <w:rFonts w:ascii="Book Antiqua" w:hAnsi="Book Antiqua" w:cs="Book Antiqua"/>
          <w:b w:val="0"/>
          <w:bCs w:val="0"/>
          <w:sz w:val="24"/>
          <w:szCs w:val="24"/>
          <w:lang w:val="en-US"/>
        </w:rPr>
        <w:t xml:space="preserve"> (ABT</w:t>
      </w:r>
      <w:r w:rsidRPr="00390EBD">
        <w:rPr>
          <w:rFonts w:ascii="Book Antiqua" w:hAnsi="Book Antiqua" w:cs="Book Antiqua"/>
          <w:b w:val="0"/>
          <w:bCs w:val="0"/>
          <w:sz w:val="24"/>
          <w:szCs w:val="24"/>
          <w:lang w:val="en-US"/>
        </w:rPr>
        <w:noBreakHyphen/>
        <w:t>874), which likewise targets the p40 subunit, and</w:t>
      </w:r>
      <w:r w:rsidRPr="00390EBD">
        <w:rPr>
          <w:rFonts w:ascii="Book Antiqua" w:hAnsi="Book Antiqua" w:cs="Book Antiqua"/>
          <w:sz w:val="24"/>
          <w:szCs w:val="24"/>
          <w:lang w:val="en-US"/>
        </w:rPr>
        <w:t xml:space="preserve"> </w:t>
      </w:r>
      <w:r w:rsidRPr="0020336D">
        <w:rPr>
          <w:rFonts w:ascii="Book Antiqua" w:hAnsi="Book Antiqua" w:cs="Book Antiqua"/>
          <w:b w:val="0"/>
          <w:sz w:val="24"/>
          <w:szCs w:val="24"/>
          <w:lang w:val="en-US"/>
        </w:rPr>
        <w:t>apilimod mesylate</w:t>
      </w:r>
      <w:r w:rsidRPr="0020336D">
        <w:rPr>
          <w:rFonts w:ascii="Book Antiqua" w:hAnsi="Book Antiqua" w:cs="Book Antiqua"/>
          <w:b w:val="0"/>
          <w:bCs w:val="0"/>
          <w:sz w:val="24"/>
          <w:szCs w:val="24"/>
          <w:lang w:val="en-US"/>
        </w:rPr>
        <w:t>,</w:t>
      </w:r>
      <w:r w:rsidRPr="00390EBD">
        <w:rPr>
          <w:rFonts w:ascii="Book Antiqua" w:hAnsi="Book Antiqua" w:cs="Book Antiqua"/>
          <w:b w:val="0"/>
          <w:bCs w:val="0"/>
          <w:sz w:val="24"/>
          <w:szCs w:val="24"/>
          <w:lang w:val="en-US"/>
        </w:rPr>
        <w:t xml:space="preserve"> which is a small molecule administered </w:t>
      </w:r>
      <w:r w:rsidRPr="00BB5B43">
        <w:rPr>
          <w:rFonts w:ascii="Book Antiqua" w:hAnsi="Book Antiqua" w:cs="Book Antiqua"/>
          <w:b w:val="0"/>
          <w:bCs w:val="0"/>
          <w:i/>
          <w:sz w:val="24"/>
          <w:szCs w:val="24"/>
          <w:lang w:val="en-US"/>
        </w:rPr>
        <w:t>via</w:t>
      </w:r>
      <w:r w:rsidRPr="00390EBD">
        <w:rPr>
          <w:rFonts w:ascii="Book Antiqua" w:hAnsi="Book Antiqua" w:cs="Book Antiqua"/>
          <w:b w:val="0"/>
          <w:bCs w:val="0"/>
          <w:sz w:val="24"/>
          <w:szCs w:val="24"/>
          <w:lang w:val="en-US"/>
        </w:rPr>
        <w:t xml:space="preserve"> the oral route that inhibits the transcription of IL</w:t>
      </w:r>
      <w:r w:rsidRPr="00390EBD">
        <w:rPr>
          <w:rFonts w:ascii="Book Antiqua" w:hAnsi="Book Antiqua" w:cs="Book Antiqua"/>
          <w:b w:val="0"/>
          <w:bCs w:val="0"/>
          <w:sz w:val="24"/>
          <w:szCs w:val="24"/>
          <w:lang w:val="en-US"/>
        </w:rPr>
        <w:noBreakHyphen/>
        <w:t>12 and IL</w:t>
      </w:r>
      <w:r w:rsidRPr="00390EBD">
        <w:rPr>
          <w:rFonts w:ascii="Book Antiqua" w:hAnsi="Book Antiqua" w:cs="Book Antiqua"/>
          <w:b w:val="0"/>
          <w:bCs w:val="0"/>
          <w:sz w:val="24"/>
          <w:szCs w:val="24"/>
          <w:lang w:val="en-US"/>
        </w:rPr>
        <w:noBreakHyphen/>
        <w:t>23. The initial results with both molecules have not been significant</w:t>
      </w:r>
      <w:r w:rsidRPr="00390EBD">
        <w:rPr>
          <w:rFonts w:ascii="Book Antiqua" w:hAnsi="Book Antiqua" w:cs="Book Antiqua"/>
          <w:b w:val="0"/>
          <w:bCs w:val="0"/>
          <w:sz w:val="24"/>
          <w:szCs w:val="24"/>
          <w:vertAlign w:val="superscript"/>
          <w:lang w:val="en-US"/>
        </w:rPr>
        <w:t>[100,101]</w:t>
      </w:r>
      <w:r w:rsidRPr="00390EBD">
        <w:rPr>
          <w:rFonts w:ascii="Book Antiqua" w:hAnsi="Book Antiqua" w:cs="Book Antiqua"/>
          <w:b w:val="0"/>
          <w:bCs w:val="0"/>
          <w:sz w:val="24"/>
          <w:szCs w:val="24"/>
          <w:lang w:val="en-US"/>
        </w:rPr>
        <w:t>.</w:t>
      </w:r>
    </w:p>
    <w:p w14:paraId="4163ECE6" w14:textId="77777777" w:rsidR="0020336D" w:rsidRDefault="0020336D" w:rsidP="00954CEE">
      <w:pPr>
        <w:autoSpaceDE w:val="0"/>
        <w:autoSpaceDN w:val="0"/>
        <w:adjustRightInd w:val="0"/>
        <w:snapToGrid w:val="0"/>
        <w:spacing w:after="0" w:line="360" w:lineRule="auto"/>
        <w:jc w:val="both"/>
        <w:rPr>
          <w:rFonts w:ascii="Book Antiqua" w:hAnsi="Book Antiqua" w:cs="Book Antiqua"/>
          <w:b/>
          <w:bCs/>
          <w:sz w:val="24"/>
          <w:szCs w:val="24"/>
          <w:lang w:val="en-GB" w:eastAsia="zh-CN"/>
        </w:rPr>
      </w:pPr>
    </w:p>
    <w:p w14:paraId="15E51467" w14:textId="77777777" w:rsidR="006138C7" w:rsidRPr="0020336D" w:rsidRDefault="006138C7" w:rsidP="00954CEE">
      <w:pPr>
        <w:autoSpaceDE w:val="0"/>
        <w:autoSpaceDN w:val="0"/>
        <w:adjustRightInd w:val="0"/>
        <w:snapToGrid w:val="0"/>
        <w:spacing w:after="0" w:line="360" w:lineRule="auto"/>
        <w:jc w:val="both"/>
        <w:rPr>
          <w:rFonts w:ascii="Book Antiqua" w:hAnsi="Book Antiqua" w:cs="Book Antiqua"/>
          <w:b/>
          <w:bCs/>
          <w:i/>
          <w:sz w:val="24"/>
          <w:szCs w:val="24"/>
          <w:lang w:val="en-GB"/>
        </w:rPr>
      </w:pPr>
      <w:r w:rsidRPr="0020336D">
        <w:rPr>
          <w:rFonts w:ascii="Book Antiqua" w:hAnsi="Book Antiqua" w:cs="Book Antiqua"/>
          <w:b/>
          <w:bCs/>
          <w:i/>
          <w:sz w:val="24"/>
          <w:szCs w:val="24"/>
          <w:lang w:val="en-GB"/>
        </w:rPr>
        <w:t>Anti</w:t>
      </w:r>
      <w:r w:rsidRPr="0020336D">
        <w:rPr>
          <w:rFonts w:ascii="Book Antiqua" w:hAnsi="Book Antiqua" w:cs="Book Antiqua"/>
          <w:b/>
          <w:bCs/>
          <w:i/>
          <w:sz w:val="24"/>
          <w:szCs w:val="24"/>
          <w:lang w:val="en-GB"/>
        </w:rPr>
        <w:noBreakHyphen/>
        <w:t>IL</w:t>
      </w:r>
      <w:r w:rsidRPr="0020336D">
        <w:rPr>
          <w:rFonts w:ascii="Book Antiqua" w:hAnsi="Book Antiqua" w:cs="Book Antiqua"/>
          <w:b/>
          <w:bCs/>
          <w:i/>
          <w:sz w:val="24"/>
          <w:szCs w:val="24"/>
          <w:lang w:val="en-GB"/>
        </w:rPr>
        <w:noBreakHyphen/>
        <w:t>6 drugs</w:t>
      </w:r>
    </w:p>
    <w:p w14:paraId="104C5FB4"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Interleukin</w:t>
      </w:r>
      <w:r w:rsidRPr="00390EBD">
        <w:rPr>
          <w:rFonts w:ascii="Book Antiqua" w:hAnsi="Book Antiqua" w:cs="Book Antiqua"/>
          <w:sz w:val="24"/>
          <w:szCs w:val="24"/>
          <w:lang w:val="en-US"/>
        </w:rPr>
        <w:noBreakHyphen/>
        <w:t>6 is a proinflammatory cytokine produced by different types of cells. It participates in a series of processes including T lymphocyte activation and immunoglobulin secretion through the differentiation of B cells into plasma cells</w:t>
      </w:r>
      <w:r w:rsidRPr="00390EBD">
        <w:rPr>
          <w:rFonts w:ascii="Book Antiqua" w:hAnsi="Book Antiqua" w:cs="Book Antiqua"/>
          <w:sz w:val="24"/>
          <w:szCs w:val="24"/>
          <w:vertAlign w:val="superscript"/>
          <w:lang w:val="en-US"/>
        </w:rPr>
        <w:t>[102,103]</w:t>
      </w:r>
      <w:r w:rsidRPr="00390EBD">
        <w:rPr>
          <w:rFonts w:ascii="Book Antiqua" w:hAnsi="Book Antiqua" w:cs="Book Antiqua"/>
          <w:sz w:val="24"/>
          <w:szCs w:val="24"/>
          <w:lang w:val="en-US"/>
        </w:rPr>
        <w:t>. Iinterleukin</w:t>
      </w:r>
      <w:r w:rsidRPr="00390EBD">
        <w:rPr>
          <w:rFonts w:ascii="Book Antiqua" w:hAnsi="Book Antiqua" w:cs="Book Antiqua"/>
          <w:sz w:val="24"/>
          <w:szCs w:val="24"/>
          <w:lang w:val="en-US"/>
        </w:rPr>
        <w:noBreakHyphen/>
        <w:t xml:space="preserve">6 exerts its action </w:t>
      </w:r>
      <w:r w:rsidRPr="00BB5B43">
        <w:rPr>
          <w:rFonts w:ascii="Book Antiqua" w:hAnsi="Book Antiqua" w:cs="Book Antiqua"/>
          <w:i/>
          <w:sz w:val="24"/>
          <w:szCs w:val="24"/>
          <w:lang w:val="en-US"/>
        </w:rPr>
        <w:t>via</w:t>
      </w:r>
      <w:r w:rsidRPr="00390EBD">
        <w:rPr>
          <w:rFonts w:ascii="Book Antiqua" w:hAnsi="Book Antiqua" w:cs="Book Antiqua"/>
          <w:sz w:val="24"/>
          <w:szCs w:val="24"/>
          <w:lang w:val="en-US"/>
        </w:rPr>
        <w:t xml:space="preserve"> membrane or soluble receptors</w:t>
      </w:r>
      <w:r w:rsidRPr="00390EBD">
        <w:rPr>
          <w:rFonts w:ascii="Book Antiqua" w:hAnsi="Book Antiqua" w:cs="Book Antiqua"/>
          <w:sz w:val="24"/>
          <w:szCs w:val="24"/>
          <w:vertAlign w:val="superscript"/>
          <w:lang w:val="en-US"/>
        </w:rPr>
        <w:t>[104]</w:t>
      </w:r>
      <w:r w:rsidRPr="00390EBD">
        <w:rPr>
          <w:rFonts w:ascii="Book Antiqua" w:hAnsi="Book Antiqua" w:cs="Book Antiqua"/>
          <w:sz w:val="24"/>
          <w:szCs w:val="24"/>
          <w:lang w:val="en-US"/>
        </w:rPr>
        <w:t>. In healthy individuals, the IL</w:t>
      </w:r>
      <w:r w:rsidRPr="00390EBD">
        <w:rPr>
          <w:rFonts w:ascii="Book Antiqua" w:hAnsi="Book Antiqua" w:cs="Book Antiqua"/>
          <w:sz w:val="24"/>
          <w:szCs w:val="24"/>
          <w:lang w:val="en-US"/>
        </w:rPr>
        <w:noBreakHyphen/>
        <w:t>6 levels are low and are seen to increase in the context of immune processes</w:t>
      </w:r>
      <w:r w:rsidRPr="00390EBD">
        <w:rPr>
          <w:rFonts w:ascii="Book Antiqua" w:hAnsi="Book Antiqua" w:cs="Book Antiqua"/>
          <w:sz w:val="24"/>
          <w:szCs w:val="24"/>
          <w:vertAlign w:val="superscript"/>
          <w:lang w:val="en-US"/>
        </w:rPr>
        <w:t>[102]</w:t>
      </w:r>
      <w:r w:rsidRPr="00390EBD">
        <w:rPr>
          <w:rFonts w:ascii="Book Antiqua" w:hAnsi="Book Antiqua" w:cs="Book Antiqua"/>
          <w:sz w:val="24"/>
          <w:szCs w:val="24"/>
          <w:lang w:val="en-US"/>
        </w:rPr>
        <w:t>. This cytokine is increased in CD in the same way as its soluble receptor, and a correlation is moreover observed with the C</w:t>
      </w:r>
      <w:r w:rsidRPr="00390EBD">
        <w:rPr>
          <w:rFonts w:ascii="Book Antiqua" w:hAnsi="Book Antiqua" w:cs="Book Antiqua"/>
          <w:sz w:val="24"/>
          <w:szCs w:val="24"/>
          <w:lang w:val="en-US"/>
        </w:rPr>
        <w:noBreakHyphen/>
        <w:t>reactive protein concentrations</w:t>
      </w:r>
      <w:r w:rsidRPr="00390EBD">
        <w:rPr>
          <w:rFonts w:ascii="Book Antiqua" w:hAnsi="Book Antiqua" w:cs="Book Antiqua"/>
          <w:sz w:val="24"/>
          <w:szCs w:val="24"/>
          <w:vertAlign w:val="superscript"/>
          <w:lang w:val="en-US"/>
        </w:rPr>
        <w:t>[105,106].</w:t>
      </w:r>
      <w:r w:rsidRPr="00390EBD">
        <w:rPr>
          <w:rFonts w:ascii="Book Antiqua" w:hAnsi="Book Antiqua" w:cs="Book Antiqua"/>
          <w:sz w:val="24"/>
          <w:szCs w:val="24"/>
          <w:lang w:val="en-US"/>
        </w:rPr>
        <w:t xml:space="preserve"> </w:t>
      </w:r>
    </w:p>
    <w:p w14:paraId="5D003D47" w14:textId="4D9EC92A" w:rsidR="006138C7" w:rsidRPr="00390EBD" w:rsidRDefault="006138C7" w:rsidP="00954CEE">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20336D">
        <w:rPr>
          <w:rFonts w:ascii="Book Antiqua" w:hAnsi="Book Antiqua" w:cs="Book Antiqua"/>
          <w:bCs/>
          <w:sz w:val="24"/>
          <w:szCs w:val="24"/>
          <w:lang w:val="en-US"/>
        </w:rPr>
        <w:t>Tocilizumab</w:t>
      </w:r>
      <w:r w:rsidRPr="00390EBD">
        <w:rPr>
          <w:rFonts w:ascii="Book Antiqua" w:hAnsi="Book Antiqua" w:cs="Book Antiqua"/>
          <w:sz w:val="24"/>
          <w:szCs w:val="24"/>
          <w:lang w:val="en-US"/>
        </w:rPr>
        <w:t xml:space="preserve"> is an IgG1 monoclonal antibody indicated in RA. It binds specifically to the soluble and membrane receptors of IL</w:t>
      </w:r>
      <w:r w:rsidRPr="00390EBD">
        <w:rPr>
          <w:rFonts w:ascii="Book Antiqua" w:hAnsi="Book Antiqua" w:cs="Book Antiqua"/>
          <w:sz w:val="24"/>
          <w:szCs w:val="24"/>
          <w:lang w:val="en-US"/>
        </w:rPr>
        <w:noBreakHyphen/>
        <w:t>6. In CD we have the results of a study that randomized 36 patients with active CD to two treatmen</w:t>
      </w:r>
      <w:r w:rsidR="0020336D">
        <w:rPr>
          <w:rFonts w:ascii="Book Antiqua" w:hAnsi="Book Antiqua" w:cs="Book Antiqua"/>
          <w:sz w:val="24"/>
          <w:szCs w:val="24"/>
          <w:lang w:val="en-US"/>
        </w:rPr>
        <w:t xml:space="preserve">t </w:t>
      </w:r>
      <w:r w:rsidR="0020336D">
        <w:rPr>
          <w:rFonts w:ascii="Book Antiqua" w:hAnsi="Book Antiqua" w:cs="Book Antiqua"/>
          <w:sz w:val="24"/>
          <w:szCs w:val="24"/>
          <w:lang w:val="en-US"/>
        </w:rPr>
        <w:lastRenderedPageBreak/>
        <w:t>arms (8 mg/kg i.v. every 2 wk or every 4 wk</w:t>
      </w:r>
      <w:r w:rsidRPr="00390EBD">
        <w:rPr>
          <w:rFonts w:ascii="Book Antiqua" w:hAnsi="Book Antiqua" w:cs="Book Antiqua"/>
          <w:sz w:val="24"/>
          <w:szCs w:val="24"/>
          <w:lang w:val="en-US"/>
        </w:rPr>
        <w:t xml:space="preserve">)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PB</w:t>
      </w:r>
      <w:r w:rsidRPr="00390EBD">
        <w:rPr>
          <w:rFonts w:ascii="Book Antiqua" w:hAnsi="Book Antiqua" w:cs="Book Antiqua"/>
          <w:sz w:val="24"/>
          <w:szCs w:val="24"/>
          <w:vertAlign w:val="superscript"/>
          <w:lang w:val="en-US"/>
        </w:rPr>
        <w:t>[107]</w:t>
      </w:r>
      <w:r w:rsidRPr="00390EBD">
        <w:rPr>
          <w:rFonts w:ascii="Book Antiqua" w:hAnsi="Book Antiqua" w:cs="Book Antiqua"/>
          <w:sz w:val="24"/>
          <w:szCs w:val="24"/>
          <w:lang w:val="en-US"/>
        </w:rPr>
        <w:t xml:space="preserve">. The clinical response rate in the group administered tocilizumab every two weeks was 80%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31% in the PB arm, though only 20% achieved clinical remission. The drug was well tolerated, though studies in RA have evidenced neutropenia, altered liver biochemical parameters and hyperlipidemia. In this regard, dyslipidemia might prove to be a safety problem of the drug over the long term</w:t>
      </w:r>
      <w:r w:rsidRPr="00390EBD">
        <w:rPr>
          <w:rFonts w:ascii="Book Antiqua" w:hAnsi="Book Antiqua" w:cs="Book Antiqua"/>
          <w:sz w:val="24"/>
          <w:szCs w:val="24"/>
          <w:vertAlign w:val="superscript"/>
          <w:lang w:val="en-US"/>
        </w:rPr>
        <w:t>[108]</w:t>
      </w:r>
      <w:r w:rsidRPr="00390EBD">
        <w:rPr>
          <w:rFonts w:ascii="Book Antiqua" w:hAnsi="Book Antiqua" w:cs="Book Antiqua"/>
          <w:sz w:val="24"/>
          <w:szCs w:val="24"/>
          <w:lang w:val="en-US"/>
        </w:rPr>
        <w:t>.</w:t>
      </w:r>
    </w:p>
    <w:p w14:paraId="6D3BB22B" w14:textId="77777777" w:rsidR="006138C7" w:rsidRPr="00390EBD" w:rsidRDefault="006138C7" w:rsidP="00954CEE">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 xml:space="preserve">Two phase II studies are in course involving two monoclonal antibodies </w:t>
      </w:r>
      <w:r w:rsidRPr="0020336D">
        <w:rPr>
          <w:rFonts w:ascii="Book Antiqua" w:hAnsi="Book Antiqua" w:cs="Book Antiqua"/>
          <w:sz w:val="24"/>
          <w:szCs w:val="24"/>
          <w:lang w:val="en-US"/>
        </w:rPr>
        <w:t>(</w:t>
      </w:r>
      <w:r w:rsidRPr="0020336D">
        <w:rPr>
          <w:rFonts w:ascii="Book Antiqua" w:hAnsi="Book Antiqua" w:cs="Book Antiqua"/>
          <w:bCs/>
          <w:sz w:val="24"/>
          <w:szCs w:val="24"/>
          <w:lang w:val="en-US"/>
        </w:rPr>
        <w:t>BMS</w:t>
      </w:r>
      <w:r w:rsidRPr="0020336D">
        <w:rPr>
          <w:rFonts w:ascii="Book Antiqua" w:hAnsi="Book Antiqua" w:cs="Book Antiqua"/>
          <w:bCs/>
          <w:sz w:val="24"/>
          <w:szCs w:val="24"/>
          <w:lang w:val="en-US"/>
        </w:rPr>
        <w:noBreakHyphen/>
        <w:t xml:space="preserve">945429, </w:t>
      </w:r>
      <w:r w:rsidRPr="0020336D">
        <w:rPr>
          <w:rFonts w:ascii="Book Antiqua" w:hAnsi="Book Antiqua" w:cs="Book Antiqua"/>
          <w:sz w:val="24"/>
          <w:szCs w:val="24"/>
          <w:lang w:val="en-US"/>
        </w:rPr>
        <w:t xml:space="preserve">formerly </w:t>
      </w:r>
      <w:r w:rsidRPr="0020336D">
        <w:rPr>
          <w:rFonts w:ascii="Book Antiqua" w:hAnsi="Book Antiqua" w:cs="Book Antiqua"/>
          <w:bCs/>
          <w:sz w:val="24"/>
          <w:szCs w:val="24"/>
          <w:lang w:val="en-US"/>
        </w:rPr>
        <w:t>ALD518,</w:t>
      </w:r>
      <w:r w:rsidRPr="0020336D">
        <w:rPr>
          <w:rFonts w:ascii="Book Antiqua" w:hAnsi="Book Antiqua" w:cs="Book Antiqua"/>
          <w:sz w:val="24"/>
          <w:szCs w:val="24"/>
          <w:lang w:val="en-US"/>
        </w:rPr>
        <w:t xml:space="preserve"> and </w:t>
      </w:r>
      <w:r w:rsidRPr="0020336D">
        <w:rPr>
          <w:rFonts w:ascii="Book Antiqua" w:hAnsi="Book Antiqua" w:cs="Book Antiqua"/>
          <w:bCs/>
          <w:sz w:val="24"/>
          <w:szCs w:val="24"/>
          <w:lang w:val="en-US"/>
        </w:rPr>
        <w:t>PF</w:t>
      </w:r>
      <w:r w:rsidRPr="0020336D">
        <w:rPr>
          <w:rFonts w:ascii="Book Antiqua" w:hAnsi="Book Antiqua" w:cs="Book Antiqua"/>
          <w:bCs/>
          <w:sz w:val="24"/>
          <w:szCs w:val="24"/>
          <w:lang w:val="en-US"/>
        </w:rPr>
        <w:noBreakHyphen/>
        <w:t>04236921</w:t>
      </w:r>
      <w:r w:rsidRPr="00390EBD">
        <w:rPr>
          <w:rFonts w:ascii="Book Antiqua" w:hAnsi="Book Antiqua" w:cs="Book Antiqua"/>
          <w:sz w:val="24"/>
          <w:szCs w:val="24"/>
          <w:lang w:val="en-US"/>
        </w:rPr>
        <w:t>) targeted to IL</w:t>
      </w:r>
      <w:r w:rsidRPr="00390EBD">
        <w:rPr>
          <w:rFonts w:ascii="Book Antiqua" w:hAnsi="Book Antiqua" w:cs="Book Antiqua"/>
          <w:sz w:val="24"/>
          <w:szCs w:val="24"/>
          <w:lang w:val="en-US"/>
        </w:rPr>
        <w:noBreakHyphen/>
        <w:t>6, though results are not yet available, since patient recruitment has ended only recently</w:t>
      </w:r>
      <w:r w:rsidRPr="00390EBD">
        <w:rPr>
          <w:rFonts w:ascii="Book Antiqua" w:hAnsi="Book Antiqua" w:cs="Book Antiqua"/>
          <w:sz w:val="24"/>
          <w:szCs w:val="24"/>
          <w:vertAlign w:val="superscript"/>
          <w:lang w:val="en-US"/>
        </w:rPr>
        <w:t>[109,110]</w:t>
      </w:r>
      <w:r w:rsidRPr="00390EBD">
        <w:rPr>
          <w:rFonts w:ascii="Book Antiqua" w:hAnsi="Book Antiqua" w:cs="Book Antiqua"/>
          <w:sz w:val="24"/>
          <w:szCs w:val="24"/>
          <w:lang w:val="en-US"/>
        </w:rPr>
        <w:t>.</w:t>
      </w:r>
    </w:p>
    <w:p w14:paraId="3DFF7824" w14:textId="77777777" w:rsidR="0020336D" w:rsidRDefault="0020336D" w:rsidP="00954CEE">
      <w:pPr>
        <w:autoSpaceDE w:val="0"/>
        <w:autoSpaceDN w:val="0"/>
        <w:adjustRightInd w:val="0"/>
        <w:snapToGrid w:val="0"/>
        <w:spacing w:after="0" w:line="360" w:lineRule="auto"/>
        <w:jc w:val="both"/>
        <w:rPr>
          <w:rFonts w:ascii="Book Antiqua" w:hAnsi="Book Antiqua" w:cs="Book Antiqua"/>
          <w:b/>
          <w:bCs/>
          <w:sz w:val="24"/>
          <w:szCs w:val="24"/>
          <w:lang w:val="en-US" w:eastAsia="zh-CN"/>
        </w:rPr>
      </w:pPr>
    </w:p>
    <w:p w14:paraId="262F129C" w14:textId="77777777" w:rsidR="006138C7" w:rsidRPr="0020336D" w:rsidRDefault="006138C7" w:rsidP="00954CEE">
      <w:pPr>
        <w:autoSpaceDE w:val="0"/>
        <w:autoSpaceDN w:val="0"/>
        <w:adjustRightInd w:val="0"/>
        <w:snapToGrid w:val="0"/>
        <w:spacing w:after="0" w:line="360" w:lineRule="auto"/>
        <w:jc w:val="both"/>
        <w:rPr>
          <w:rFonts w:ascii="Book Antiqua" w:hAnsi="Book Antiqua" w:cs="Book Antiqua"/>
          <w:b/>
          <w:bCs/>
          <w:i/>
          <w:sz w:val="24"/>
          <w:szCs w:val="24"/>
          <w:lang w:val="en-US"/>
        </w:rPr>
      </w:pPr>
      <w:r w:rsidRPr="0020336D">
        <w:rPr>
          <w:rFonts w:ascii="Book Antiqua" w:hAnsi="Book Antiqua" w:cs="Book Antiqua"/>
          <w:b/>
          <w:bCs/>
          <w:i/>
          <w:sz w:val="24"/>
          <w:szCs w:val="24"/>
          <w:lang w:val="en-US"/>
        </w:rPr>
        <w:t>Other anti</w:t>
      </w:r>
      <w:r w:rsidRPr="0020336D">
        <w:rPr>
          <w:rFonts w:ascii="Book Antiqua" w:hAnsi="Book Antiqua" w:cs="Book Antiqua"/>
          <w:b/>
          <w:bCs/>
          <w:i/>
          <w:sz w:val="24"/>
          <w:szCs w:val="24"/>
          <w:lang w:val="en-US"/>
        </w:rPr>
        <w:noBreakHyphen/>
        <w:t>interleukin drugs</w:t>
      </w:r>
    </w:p>
    <w:p w14:paraId="76E9AF3A"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b/>
          <w:bCs/>
          <w:sz w:val="24"/>
          <w:szCs w:val="24"/>
          <w:lang w:val="en-US"/>
        </w:rPr>
      </w:pPr>
      <w:r w:rsidRPr="00390EBD">
        <w:rPr>
          <w:rFonts w:ascii="Book Antiqua" w:hAnsi="Book Antiqua" w:cs="Book Antiqua"/>
          <w:sz w:val="24"/>
          <w:szCs w:val="24"/>
          <w:lang w:val="en-US"/>
        </w:rPr>
        <w:t>Interleukin</w:t>
      </w:r>
      <w:r w:rsidRPr="00390EBD">
        <w:rPr>
          <w:rFonts w:ascii="Book Antiqua" w:hAnsi="Book Antiqua" w:cs="Book Antiqua"/>
          <w:sz w:val="24"/>
          <w:szCs w:val="24"/>
          <w:lang w:val="en-US"/>
        </w:rPr>
        <w:noBreakHyphen/>
        <w:t>2 is another molecule that plays a key role in T cell activation and proliferation.</w:t>
      </w:r>
      <w:r w:rsidRPr="00390EBD">
        <w:rPr>
          <w:rFonts w:ascii="Book Antiqua" w:hAnsi="Book Antiqua" w:cs="Book Antiqua"/>
          <w:b/>
          <w:bCs/>
          <w:sz w:val="24"/>
          <w:szCs w:val="24"/>
          <w:lang w:val="en-US"/>
        </w:rPr>
        <w:t xml:space="preserve"> </w:t>
      </w:r>
    </w:p>
    <w:p w14:paraId="7DF44BFD" w14:textId="6EFACB91" w:rsidR="006138C7" w:rsidRPr="00390EBD" w:rsidRDefault="006138C7" w:rsidP="00954CEE">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20336D">
        <w:rPr>
          <w:rFonts w:ascii="Book Antiqua" w:hAnsi="Book Antiqua" w:cs="Book Antiqua"/>
          <w:bCs/>
          <w:sz w:val="24"/>
          <w:szCs w:val="24"/>
          <w:lang w:val="en-US"/>
        </w:rPr>
        <w:t>Basiliximab</w:t>
      </w:r>
      <w:r w:rsidRPr="0020336D">
        <w:rPr>
          <w:rFonts w:ascii="Book Antiqua" w:hAnsi="Book Antiqua" w:cs="Book Antiqua"/>
          <w:sz w:val="24"/>
          <w:szCs w:val="24"/>
          <w:lang w:val="en-US"/>
        </w:rPr>
        <w:t xml:space="preserve"> and </w:t>
      </w:r>
      <w:r w:rsidRPr="0020336D">
        <w:rPr>
          <w:rFonts w:ascii="Book Antiqua" w:hAnsi="Book Antiqua" w:cs="Book Antiqua"/>
          <w:bCs/>
          <w:sz w:val="24"/>
          <w:szCs w:val="24"/>
          <w:lang w:val="en-US"/>
        </w:rPr>
        <w:t>daclizumab</w:t>
      </w:r>
      <w:r w:rsidRPr="00390EBD">
        <w:rPr>
          <w:rFonts w:ascii="Book Antiqua" w:hAnsi="Book Antiqua" w:cs="Book Antiqua"/>
          <w:sz w:val="24"/>
          <w:szCs w:val="24"/>
          <w:lang w:val="en-US"/>
        </w:rPr>
        <w:t xml:space="preserve"> are monoclonal antibodies targeted to CD25, which is the alpha</w:t>
      </w:r>
      <w:r w:rsidRPr="00390EBD">
        <w:rPr>
          <w:rFonts w:ascii="Book Antiqua" w:hAnsi="Book Antiqua" w:cs="Book Antiqua"/>
          <w:sz w:val="24"/>
          <w:szCs w:val="24"/>
          <w:lang w:val="en-US"/>
        </w:rPr>
        <w:noBreakHyphen/>
        <w:t>chain of the IL</w:t>
      </w:r>
      <w:r w:rsidRPr="00390EBD">
        <w:rPr>
          <w:rFonts w:ascii="Book Antiqua" w:hAnsi="Book Antiqua" w:cs="Book Antiqua"/>
          <w:sz w:val="24"/>
          <w:szCs w:val="24"/>
          <w:lang w:val="en-US"/>
        </w:rPr>
        <w:noBreakHyphen/>
        <w:t>2 receptor. Both drugs are used for the prevention of renal graft rejection. Initial studies with basiliximab documented clinical remission in 8 out of 10 patients with UC refractory to corticosteroid therapy</w:t>
      </w:r>
      <w:r w:rsidRPr="00390EBD">
        <w:rPr>
          <w:rFonts w:ascii="Book Antiqua" w:hAnsi="Book Antiqua" w:cs="Book Antiqua"/>
          <w:sz w:val="24"/>
          <w:szCs w:val="24"/>
          <w:vertAlign w:val="superscript"/>
          <w:lang w:val="en-US"/>
        </w:rPr>
        <w:t>[111]</w:t>
      </w:r>
      <w:r w:rsidRPr="00390EBD">
        <w:rPr>
          <w:rFonts w:ascii="Book Antiqua" w:hAnsi="Book Antiqua" w:cs="Book Antiqua"/>
          <w:sz w:val="24"/>
          <w:szCs w:val="24"/>
          <w:lang w:val="en-US"/>
        </w:rPr>
        <w:t>, and a later study recorded a remission rate of up to 65%, though without a control group</w:t>
      </w:r>
      <w:r w:rsidRPr="00390EBD">
        <w:rPr>
          <w:rFonts w:ascii="Book Antiqua" w:hAnsi="Book Antiqua" w:cs="Book Antiqua"/>
          <w:sz w:val="24"/>
          <w:szCs w:val="24"/>
          <w:vertAlign w:val="superscript"/>
          <w:lang w:val="en-US"/>
        </w:rPr>
        <w:t>[112]</w:t>
      </w:r>
      <w:r w:rsidRPr="00390EBD">
        <w:rPr>
          <w:rFonts w:ascii="Book Antiqua" w:hAnsi="Book Antiqua" w:cs="Book Antiqua"/>
          <w:sz w:val="24"/>
          <w:szCs w:val="24"/>
          <w:lang w:val="en-US"/>
        </w:rPr>
        <w:t xml:space="preserve">. In the case of daclizumab we have a comparative study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PB in which the efficacy results were not good</w:t>
      </w:r>
      <w:r w:rsidRPr="00390EBD">
        <w:rPr>
          <w:rFonts w:ascii="Book Antiqua" w:hAnsi="Book Antiqua" w:cs="Book Antiqua"/>
          <w:sz w:val="24"/>
          <w:szCs w:val="24"/>
          <w:vertAlign w:val="superscript"/>
          <w:lang w:val="en-US"/>
        </w:rPr>
        <w:t>[113]</w:t>
      </w:r>
      <w:r w:rsidRPr="00390EBD">
        <w:rPr>
          <w:rFonts w:ascii="Book Antiqua" w:hAnsi="Book Antiqua" w:cs="Book Antiqua"/>
          <w:sz w:val="24"/>
          <w:szCs w:val="24"/>
          <w:lang w:val="en-US"/>
        </w:rPr>
        <w:t>.</w:t>
      </w:r>
    </w:p>
    <w:p w14:paraId="201415EF" w14:textId="77777777" w:rsidR="006138C7" w:rsidRPr="00390EBD" w:rsidRDefault="006138C7" w:rsidP="00954CEE">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Interleukin</w:t>
      </w:r>
      <w:r w:rsidRPr="00390EBD">
        <w:rPr>
          <w:rFonts w:ascii="Book Antiqua" w:hAnsi="Book Antiqua" w:cs="Book Antiqua"/>
          <w:sz w:val="24"/>
          <w:szCs w:val="24"/>
          <w:lang w:val="en-US"/>
        </w:rPr>
        <w:noBreakHyphen/>
        <w:t>13 is produced by naive T cells and activates NK cells, which in turn synthesize IL</w:t>
      </w:r>
      <w:r w:rsidRPr="00390EBD">
        <w:rPr>
          <w:rFonts w:ascii="Book Antiqua" w:hAnsi="Book Antiqua" w:cs="Book Antiqua"/>
          <w:sz w:val="24"/>
          <w:szCs w:val="24"/>
          <w:lang w:val="en-US"/>
        </w:rPr>
        <w:noBreakHyphen/>
        <w:t>13. Interleukin</w:t>
      </w:r>
      <w:r w:rsidRPr="00390EBD">
        <w:rPr>
          <w:rFonts w:ascii="Book Antiqua" w:hAnsi="Book Antiqua" w:cs="Book Antiqua"/>
          <w:sz w:val="24"/>
          <w:szCs w:val="24"/>
          <w:lang w:val="en-US"/>
        </w:rPr>
        <w:noBreakHyphen/>
        <w:t>13 has been shown to play a key role in the pathogenesis of UC</w:t>
      </w:r>
      <w:r w:rsidRPr="00390EBD">
        <w:rPr>
          <w:rFonts w:ascii="Book Antiqua" w:hAnsi="Book Antiqua" w:cs="Book Antiqua"/>
          <w:sz w:val="24"/>
          <w:szCs w:val="24"/>
          <w:vertAlign w:val="superscript"/>
          <w:lang w:val="en-US"/>
        </w:rPr>
        <w:t>[114,115]</w:t>
      </w:r>
      <w:r w:rsidRPr="00390EBD">
        <w:rPr>
          <w:rFonts w:ascii="Book Antiqua" w:hAnsi="Book Antiqua" w:cs="Book Antiqua"/>
          <w:sz w:val="24"/>
          <w:szCs w:val="24"/>
          <w:lang w:val="en-US"/>
        </w:rPr>
        <w:t xml:space="preserve">. </w:t>
      </w:r>
    </w:p>
    <w:p w14:paraId="3D9A3064" w14:textId="5AF78386" w:rsidR="006138C7" w:rsidRPr="00390EBD" w:rsidRDefault="006138C7" w:rsidP="00954CEE">
      <w:pPr>
        <w:autoSpaceDE w:val="0"/>
        <w:autoSpaceDN w:val="0"/>
        <w:adjustRightInd w:val="0"/>
        <w:snapToGrid w:val="0"/>
        <w:spacing w:after="0" w:line="360" w:lineRule="auto"/>
        <w:ind w:firstLineChars="200" w:firstLine="480"/>
        <w:jc w:val="both"/>
        <w:rPr>
          <w:rFonts w:ascii="Book Antiqua" w:hAnsi="Book Antiqua" w:cs="Book Antiqua"/>
          <w:sz w:val="24"/>
          <w:szCs w:val="24"/>
          <w:lang w:val="en-US"/>
        </w:rPr>
      </w:pPr>
      <w:r w:rsidRPr="00390EBD">
        <w:rPr>
          <w:rFonts w:ascii="Book Antiqua" w:hAnsi="Book Antiqua" w:cs="Book Antiqua"/>
          <w:sz w:val="24"/>
          <w:szCs w:val="24"/>
          <w:lang w:val="en-US"/>
        </w:rPr>
        <w:t>Two phase II trials (IMA</w:t>
      </w:r>
      <w:r w:rsidRPr="00390EBD">
        <w:rPr>
          <w:rFonts w:ascii="Book Antiqua" w:hAnsi="Book Antiqua" w:cs="Book Antiqua"/>
          <w:sz w:val="24"/>
          <w:szCs w:val="24"/>
          <w:lang w:val="en-US"/>
        </w:rPr>
        <w:noBreakHyphen/>
        <w:t xml:space="preserve">648 </w:t>
      </w:r>
      <w:r w:rsidRPr="0020336D">
        <w:rPr>
          <w:rFonts w:ascii="Book Antiqua" w:hAnsi="Book Antiqua" w:cs="Book Antiqua"/>
          <w:sz w:val="24"/>
          <w:szCs w:val="24"/>
          <w:lang w:val="en-US"/>
        </w:rPr>
        <w:t>[</w:t>
      </w:r>
      <w:r w:rsidRPr="0020336D">
        <w:rPr>
          <w:rFonts w:ascii="Book Antiqua" w:hAnsi="Book Antiqua" w:cs="Book Antiqua"/>
          <w:bCs/>
          <w:sz w:val="24"/>
          <w:szCs w:val="24"/>
          <w:lang w:val="en-US"/>
        </w:rPr>
        <w:t>arunkinzumab</w:t>
      </w:r>
      <w:r w:rsidRPr="0020336D">
        <w:rPr>
          <w:rFonts w:ascii="Book Antiqua" w:hAnsi="Book Antiqua" w:cs="Book Antiqua"/>
          <w:sz w:val="24"/>
          <w:szCs w:val="24"/>
          <w:lang w:val="en-US"/>
        </w:rPr>
        <w:t>] and CAT</w:t>
      </w:r>
      <w:r w:rsidRPr="0020336D">
        <w:rPr>
          <w:rFonts w:ascii="Book Antiqua" w:hAnsi="Book Antiqua" w:cs="Book Antiqua"/>
          <w:sz w:val="24"/>
          <w:szCs w:val="24"/>
          <w:lang w:val="en-US"/>
        </w:rPr>
        <w:noBreakHyphen/>
        <w:t>345 [</w:t>
      </w:r>
      <w:r w:rsidRPr="0020336D">
        <w:rPr>
          <w:rFonts w:ascii="Book Antiqua" w:hAnsi="Book Antiqua" w:cs="Book Antiqua"/>
          <w:bCs/>
          <w:sz w:val="24"/>
          <w:szCs w:val="24"/>
          <w:lang w:val="en-US"/>
        </w:rPr>
        <w:t>tralokinumab</w:t>
      </w:r>
      <w:r w:rsidRPr="0020336D">
        <w:rPr>
          <w:rFonts w:ascii="Book Antiqua" w:hAnsi="Book Antiqua" w:cs="Book Antiqua"/>
          <w:sz w:val="24"/>
          <w:szCs w:val="24"/>
          <w:lang w:val="en-US"/>
        </w:rPr>
        <w:t>])</w:t>
      </w:r>
      <w:r w:rsidRPr="00390EBD">
        <w:rPr>
          <w:rFonts w:ascii="Book Antiqua" w:hAnsi="Book Antiqua" w:cs="Book Antiqua"/>
          <w:sz w:val="24"/>
          <w:szCs w:val="24"/>
          <w:lang w:val="en-US"/>
        </w:rPr>
        <w:t xml:space="preserve"> published in 2014 randomized the patients to the antibody</w:t>
      </w:r>
      <w:r w:rsidRPr="00390EBD">
        <w:rPr>
          <w:rFonts w:ascii="Book Antiqua" w:hAnsi="Book Antiqua" w:cs="Book Antiqua"/>
          <w:sz w:val="24"/>
          <w:szCs w:val="24"/>
          <w:vertAlign w:val="superscript"/>
          <w:lang w:val="en-US"/>
        </w:rPr>
        <w:t xml:space="preserve">[116,117] </w:t>
      </w:r>
      <w:r w:rsidRPr="00390EBD">
        <w:rPr>
          <w:rFonts w:ascii="Book Antiqua" w:hAnsi="Book Antiqua" w:cs="Book Antiqua"/>
          <w:sz w:val="24"/>
          <w:szCs w:val="24"/>
          <w:lang w:val="en-US"/>
        </w:rPr>
        <w:t xml:space="preserve">at different doses in the case of the first study) or PB. Neither study recorded differences in terms of treatment response or clinical remission. Both studies documented a tendency towards lower activity index scores, and the safety profile was favorable. A third phase II study in patients with perianal CD has been designed to evaluate the efficacy and safety of another antibody </w:t>
      </w:r>
      <w:r w:rsidRPr="00390EBD">
        <w:rPr>
          <w:rFonts w:ascii="Book Antiqua" w:hAnsi="Book Antiqua" w:cs="Book Antiqua"/>
          <w:sz w:val="24"/>
          <w:szCs w:val="24"/>
          <w:lang w:val="en-US"/>
        </w:rPr>
        <w:lastRenderedPageBreak/>
        <w:t>targeted to IL</w:t>
      </w:r>
      <w:r w:rsidRPr="00390EBD">
        <w:rPr>
          <w:rFonts w:ascii="Book Antiqua" w:hAnsi="Book Antiqua" w:cs="Book Antiqua"/>
          <w:sz w:val="24"/>
          <w:szCs w:val="24"/>
          <w:lang w:val="en-US"/>
        </w:rPr>
        <w:noBreakHyphen/>
        <w:t>13</w:t>
      </w:r>
      <w:r w:rsidRPr="0020336D">
        <w:rPr>
          <w:rFonts w:ascii="Book Antiqua" w:hAnsi="Book Antiqua" w:cs="Book Antiqua"/>
          <w:sz w:val="24"/>
          <w:szCs w:val="24"/>
          <w:lang w:val="en-US"/>
        </w:rPr>
        <w:t xml:space="preserve"> (</w:t>
      </w:r>
      <w:r w:rsidRPr="0020336D">
        <w:rPr>
          <w:rFonts w:ascii="Book Antiqua" w:hAnsi="Book Antiqua" w:cs="Book Antiqua"/>
          <w:bCs/>
          <w:sz w:val="24"/>
          <w:szCs w:val="24"/>
          <w:lang w:val="en-US"/>
        </w:rPr>
        <w:t>QAX576</w:t>
      </w:r>
      <w:r w:rsidRPr="0020336D">
        <w:rPr>
          <w:rFonts w:ascii="Book Antiqua" w:hAnsi="Book Antiqua" w:cs="Book Antiqua"/>
          <w:sz w:val="24"/>
          <w:szCs w:val="24"/>
          <w:lang w:val="en-US"/>
        </w:rPr>
        <w:t>)</w:t>
      </w:r>
      <w:r w:rsidRPr="00390EBD">
        <w:rPr>
          <w:rFonts w:ascii="Book Antiqua" w:hAnsi="Book Antiqua" w:cs="Book Antiqua"/>
          <w:b/>
          <w:bCs/>
          <w:sz w:val="24"/>
          <w:szCs w:val="24"/>
          <w:lang w:val="en-US"/>
        </w:rPr>
        <w:t xml:space="preserve">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IFX as comparator drug</w:t>
      </w:r>
      <w:r w:rsidRPr="00390EBD">
        <w:rPr>
          <w:rFonts w:ascii="Book Antiqua" w:hAnsi="Book Antiqua" w:cs="Book Antiqua"/>
          <w:sz w:val="24"/>
          <w:szCs w:val="24"/>
          <w:vertAlign w:val="superscript"/>
          <w:lang w:val="en-US"/>
        </w:rPr>
        <w:t>[118]</w:t>
      </w:r>
      <w:r w:rsidRPr="00390EBD">
        <w:rPr>
          <w:rFonts w:ascii="Book Antiqua" w:hAnsi="Book Antiqua" w:cs="Book Antiqua"/>
          <w:sz w:val="24"/>
          <w:szCs w:val="24"/>
          <w:lang w:val="en-US"/>
        </w:rPr>
        <w:t>. Ten patients have been included, and the trial is pending results after the end of the recruitment phase.</w:t>
      </w:r>
    </w:p>
    <w:p w14:paraId="5F3F3981" w14:textId="08D4B90F" w:rsidR="006138C7" w:rsidRPr="00390EBD" w:rsidRDefault="006138C7" w:rsidP="00954CEE">
      <w:pPr>
        <w:shd w:val="clear" w:color="auto" w:fill="FFFFFF"/>
        <w:adjustRightInd w:val="0"/>
        <w:snapToGrid w:val="0"/>
        <w:spacing w:after="0" w:line="360" w:lineRule="auto"/>
        <w:ind w:firstLineChars="200" w:firstLine="480"/>
        <w:jc w:val="both"/>
        <w:rPr>
          <w:rFonts w:ascii="Book Antiqua" w:hAnsi="Book Antiqua" w:cs="Book Antiqua"/>
          <w:color w:val="0070C0"/>
          <w:sz w:val="24"/>
          <w:szCs w:val="24"/>
          <w:lang w:val="en-US"/>
        </w:rPr>
      </w:pPr>
      <w:r w:rsidRPr="0020336D">
        <w:rPr>
          <w:rFonts w:ascii="Book Antiqua" w:hAnsi="Book Antiqua" w:cs="Book Antiqua"/>
          <w:bCs/>
          <w:sz w:val="24"/>
          <w:szCs w:val="24"/>
          <w:lang w:val="en-US"/>
        </w:rPr>
        <w:t>Vidofludimus</w:t>
      </w:r>
      <w:r w:rsidRPr="00390EBD">
        <w:rPr>
          <w:rFonts w:ascii="Book Antiqua" w:hAnsi="Book Antiqua" w:cs="Book Antiqua"/>
          <w:b/>
          <w:bCs/>
          <w:sz w:val="24"/>
          <w:szCs w:val="24"/>
          <w:lang w:val="en-US"/>
        </w:rPr>
        <w:t xml:space="preserve"> </w:t>
      </w:r>
      <w:r w:rsidRPr="00390EBD">
        <w:rPr>
          <w:rFonts w:ascii="Book Antiqua" w:hAnsi="Book Antiqua" w:cs="Book Antiqua"/>
          <w:sz w:val="24"/>
          <w:szCs w:val="24"/>
          <w:lang w:val="en-US"/>
        </w:rPr>
        <w:t>is an immunosuppressor that inhibits the release of IL</w:t>
      </w:r>
      <w:r w:rsidRPr="00390EBD">
        <w:rPr>
          <w:rFonts w:ascii="Book Antiqua" w:hAnsi="Book Antiqua" w:cs="Book Antiqua"/>
          <w:sz w:val="24"/>
          <w:szCs w:val="24"/>
          <w:lang w:val="en-US"/>
        </w:rPr>
        <w:noBreakHyphen/>
        <w:t>17 and IFN</w:t>
      </w:r>
      <w:r w:rsidRPr="00390EBD">
        <w:rPr>
          <w:rFonts w:ascii="Book Antiqua" w:hAnsi="Book Antiqua" w:cs="Book Antiqua"/>
          <w:sz w:val="24"/>
          <w:szCs w:val="24"/>
          <w:lang w:val="en-US"/>
        </w:rPr>
        <w:noBreakHyphen/>
      </w:r>
      <w:r w:rsidRPr="00390EBD">
        <w:rPr>
          <w:rFonts w:ascii="Book Antiqua" w:hAnsi="Book Antiqua" w:cs="Book Antiqua"/>
          <w:sz w:val="24"/>
          <w:szCs w:val="24"/>
        </w:rPr>
        <w:t>γ</w:t>
      </w:r>
      <w:r w:rsidRPr="00390EBD">
        <w:rPr>
          <w:rFonts w:ascii="Book Antiqua" w:hAnsi="Book Antiqua" w:cs="Book Antiqua"/>
          <w:sz w:val="24"/>
          <w:szCs w:val="24"/>
          <w:lang w:val="en-US"/>
        </w:rPr>
        <w:t xml:space="preserve"> (by interfering with the JAK/STAT pathway and NF</w:t>
      </w:r>
      <w:r w:rsidRPr="00390EBD">
        <w:rPr>
          <w:rFonts w:ascii="Book Antiqua" w:hAnsi="Book Antiqua" w:cs="Book Antiqua"/>
          <w:sz w:val="24"/>
          <w:szCs w:val="24"/>
          <w:lang w:val="en-US"/>
        </w:rPr>
        <w:noBreakHyphen/>
        <w:t xml:space="preserve">kB), which moreover blocks the enzyme dihydroorotate dehydrogenase (DHODH). This is a small molecule administered </w:t>
      </w:r>
      <w:r w:rsidRPr="00BB5B43">
        <w:rPr>
          <w:rFonts w:ascii="Book Antiqua" w:hAnsi="Book Antiqua" w:cs="Book Antiqua"/>
          <w:i/>
          <w:sz w:val="24"/>
          <w:szCs w:val="24"/>
          <w:lang w:val="en-US"/>
        </w:rPr>
        <w:t>via</w:t>
      </w:r>
      <w:r w:rsidRPr="00390EBD">
        <w:rPr>
          <w:rFonts w:ascii="Book Antiqua" w:hAnsi="Book Antiqua" w:cs="Book Antiqua"/>
          <w:sz w:val="24"/>
          <w:szCs w:val="24"/>
          <w:lang w:val="en-US"/>
        </w:rPr>
        <w:t xml:space="preserve"> the oral route. The results of the ENTRANCE study, a non</w:t>
      </w:r>
      <w:r w:rsidRPr="00390EBD">
        <w:rPr>
          <w:rFonts w:ascii="Book Antiqua" w:hAnsi="Book Antiqua" w:cs="Book Antiqua"/>
          <w:sz w:val="24"/>
          <w:szCs w:val="24"/>
          <w:lang w:val="en-US"/>
        </w:rPr>
        <w:noBreakHyphen/>
        <w:t>controlled multicenter trial, were published in 2013</w:t>
      </w:r>
      <w:r w:rsidRPr="00390EBD">
        <w:rPr>
          <w:rFonts w:ascii="Book Antiqua" w:hAnsi="Book Antiqua" w:cs="Book Antiqua"/>
          <w:sz w:val="24"/>
          <w:szCs w:val="24"/>
          <w:vertAlign w:val="superscript"/>
          <w:lang w:val="en-US"/>
        </w:rPr>
        <w:t>[119]</w:t>
      </w:r>
      <w:r w:rsidRPr="00390EBD">
        <w:rPr>
          <w:rFonts w:ascii="Book Antiqua" w:hAnsi="Book Antiqua" w:cs="Book Antiqua"/>
          <w:sz w:val="24"/>
          <w:szCs w:val="24"/>
          <w:lang w:val="en-US"/>
        </w:rPr>
        <w:t>. This study evaluated 34 patients with corticosteroid</w:t>
      </w:r>
      <w:r w:rsidRPr="00390EBD">
        <w:rPr>
          <w:rFonts w:ascii="Book Antiqua" w:hAnsi="Book Antiqua" w:cs="Book Antiqua"/>
          <w:sz w:val="24"/>
          <w:szCs w:val="24"/>
          <w:lang w:val="en-US"/>
        </w:rPr>
        <w:noBreakHyphen/>
        <w:t>dependent IBD (CD and UC) treated with vidofludimus 35 mg/d</w:t>
      </w:r>
      <w:r w:rsidR="0020336D">
        <w:rPr>
          <w:rFonts w:ascii="Book Antiqua" w:hAnsi="Book Antiqua" w:cs="Book Antiqua"/>
          <w:sz w:val="24"/>
          <w:szCs w:val="24"/>
          <w:lang w:val="en-US"/>
        </w:rPr>
        <w:t xml:space="preserve"> p.o. during 12 wk</w:t>
      </w:r>
      <w:r w:rsidRPr="00390EBD">
        <w:rPr>
          <w:rFonts w:ascii="Book Antiqua" w:hAnsi="Book Antiqua" w:cs="Book Antiqua"/>
          <w:sz w:val="24"/>
          <w:szCs w:val="24"/>
          <w:lang w:val="en-US"/>
        </w:rPr>
        <w:t xml:space="preserve">. The primary endpoint was clinical remission without corticosteroids in week 12, and was reached by 56% of the patients with CD and 50% of those with UC. The drug was well tolerated, and no serious adverse events were reported </w:t>
      </w:r>
      <w:r w:rsidRPr="00390EBD">
        <w:rPr>
          <w:rFonts w:ascii="Book Antiqua" w:hAnsi="Book Antiqua" w:cs="Book Antiqua"/>
          <w:sz w:val="24"/>
          <w:szCs w:val="24"/>
          <w:lang w:val="en-US"/>
        </w:rPr>
        <w:noBreakHyphen/>
        <w:t xml:space="preserve"> though additional studies with larger patient series are needed.</w:t>
      </w:r>
    </w:p>
    <w:p w14:paraId="178DE727" w14:textId="63CC36C2" w:rsidR="006138C7" w:rsidRDefault="006138C7" w:rsidP="00954CEE">
      <w:pPr>
        <w:shd w:val="clear" w:color="auto" w:fill="FFFFFF"/>
        <w:adjustRightInd w:val="0"/>
        <w:snapToGrid w:val="0"/>
        <w:spacing w:after="0" w:line="360" w:lineRule="auto"/>
        <w:ind w:firstLineChars="200" w:firstLine="480"/>
        <w:jc w:val="both"/>
        <w:rPr>
          <w:rFonts w:ascii="Book Antiqua" w:hAnsi="Book Antiqua" w:cs="Book Antiqua"/>
          <w:color w:val="0070C0"/>
          <w:sz w:val="24"/>
          <w:szCs w:val="24"/>
          <w:lang w:val="en-US" w:eastAsia="zh-CN"/>
        </w:rPr>
      </w:pPr>
      <w:r w:rsidRPr="00390EBD">
        <w:rPr>
          <w:rFonts w:ascii="Book Antiqua" w:hAnsi="Book Antiqua" w:cs="Book Antiqua"/>
          <w:sz w:val="24"/>
          <w:szCs w:val="24"/>
          <w:lang w:val="en-US"/>
        </w:rPr>
        <w:t>Other targets currently under investigation are antibodies against IL</w:t>
      </w:r>
      <w:r w:rsidRPr="00390EBD">
        <w:rPr>
          <w:rFonts w:ascii="Book Antiqua" w:hAnsi="Book Antiqua" w:cs="Book Antiqua"/>
          <w:sz w:val="24"/>
          <w:szCs w:val="24"/>
          <w:lang w:val="en-US"/>
        </w:rPr>
        <w:noBreakHyphen/>
        <w:t xml:space="preserve">17 </w:t>
      </w:r>
      <w:r w:rsidRPr="0020336D">
        <w:rPr>
          <w:rFonts w:ascii="Book Antiqua" w:hAnsi="Book Antiqua" w:cs="Book Antiqua"/>
          <w:sz w:val="24"/>
          <w:szCs w:val="24"/>
          <w:lang w:val="en-US"/>
        </w:rPr>
        <w:t>(</w:t>
      </w:r>
      <w:r w:rsidRPr="0020336D">
        <w:rPr>
          <w:rFonts w:ascii="Book Antiqua" w:hAnsi="Book Antiqua" w:cs="Book Antiqua"/>
          <w:bCs/>
          <w:sz w:val="24"/>
          <w:szCs w:val="24"/>
          <w:lang w:val="en-US"/>
        </w:rPr>
        <w:t>AMG 827)</w:t>
      </w:r>
      <w:r w:rsidRPr="0020336D">
        <w:rPr>
          <w:rFonts w:ascii="Book Antiqua" w:hAnsi="Book Antiqua" w:cs="Book Antiqua"/>
          <w:sz w:val="24"/>
          <w:szCs w:val="24"/>
          <w:lang w:val="en-US"/>
        </w:rPr>
        <w:t xml:space="preserve">, </w:t>
      </w:r>
      <w:r w:rsidRPr="00390EBD">
        <w:rPr>
          <w:rFonts w:ascii="Book Antiqua" w:hAnsi="Book Antiqua" w:cs="Book Antiqua"/>
          <w:sz w:val="24"/>
          <w:szCs w:val="24"/>
          <w:lang w:val="en-US"/>
        </w:rPr>
        <w:t xml:space="preserve">with a study that has been closed due to worsening of the </w:t>
      </w:r>
      <w:r w:rsidRPr="0020336D">
        <w:rPr>
          <w:rFonts w:ascii="Book Antiqua" w:hAnsi="Book Antiqua" w:cs="Book Antiqua"/>
          <w:sz w:val="24"/>
          <w:szCs w:val="24"/>
          <w:lang w:val="en-US"/>
        </w:rPr>
        <w:t>patients</w:t>
      </w:r>
      <w:r w:rsidRPr="0020336D">
        <w:rPr>
          <w:rFonts w:ascii="Book Antiqua" w:hAnsi="Book Antiqua" w:cs="Book Antiqua"/>
          <w:sz w:val="24"/>
          <w:szCs w:val="24"/>
          <w:vertAlign w:val="superscript"/>
          <w:lang w:val="en-US"/>
        </w:rPr>
        <w:t>[120]</w:t>
      </w:r>
      <w:r w:rsidRPr="0020336D">
        <w:rPr>
          <w:rFonts w:ascii="Book Antiqua" w:hAnsi="Book Antiqua" w:cs="Book Antiqua"/>
          <w:sz w:val="24"/>
          <w:szCs w:val="24"/>
          <w:lang w:val="en-US"/>
        </w:rPr>
        <w:t>, IL</w:t>
      </w:r>
      <w:r w:rsidRPr="0020336D">
        <w:rPr>
          <w:rFonts w:ascii="Book Antiqua" w:hAnsi="Book Antiqua" w:cs="Book Antiqua"/>
          <w:sz w:val="24"/>
          <w:szCs w:val="24"/>
          <w:lang w:val="en-US"/>
        </w:rPr>
        <w:noBreakHyphen/>
        <w:t>18 (</w:t>
      </w:r>
      <w:r w:rsidRPr="0020336D">
        <w:rPr>
          <w:rFonts w:ascii="Book Antiqua" w:hAnsi="Book Antiqua" w:cs="Book Antiqua"/>
          <w:bCs/>
          <w:sz w:val="24"/>
          <w:szCs w:val="24"/>
          <w:lang w:val="en-US"/>
        </w:rPr>
        <w:t>GSK1070806</w:t>
      </w:r>
      <w:r w:rsidRPr="0020336D">
        <w:rPr>
          <w:rFonts w:ascii="Book Antiqua" w:hAnsi="Book Antiqua" w:cs="Book Antiqua"/>
          <w:sz w:val="24"/>
          <w:szCs w:val="24"/>
          <w:vertAlign w:val="superscript"/>
          <w:lang w:val="en-US"/>
        </w:rPr>
        <w:t>)[121]</w:t>
      </w:r>
      <w:r w:rsidRPr="0020336D">
        <w:rPr>
          <w:rFonts w:ascii="Book Antiqua" w:hAnsi="Book Antiqua" w:cs="Book Antiqua"/>
          <w:sz w:val="24"/>
          <w:szCs w:val="24"/>
          <w:lang w:val="en-US"/>
        </w:rPr>
        <w:t xml:space="preserve"> and IL</w:t>
      </w:r>
      <w:r w:rsidRPr="0020336D">
        <w:rPr>
          <w:rFonts w:ascii="Book Antiqua" w:hAnsi="Book Antiqua" w:cs="Book Antiqua"/>
          <w:sz w:val="24"/>
          <w:szCs w:val="24"/>
          <w:lang w:val="en-US"/>
        </w:rPr>
        <w:noBreakHyphen/>
        <w:t>21(</w:t>
      </w:r>
      <w:r w:rsidRPr="0020336D">
        <w:rPr>
          <w:rFonts w:ascii="Book Antiqua" w:hAnsi="Book Antiqua" w:cs="Book Antiqua"/>
          <w:bCs/>
          <w:sz w:val="24"/>
          <w:szCs w:val="24"/>
          <w:lang w:val="en-US"/>
        </w:rPr>
        <w:t>PF</w:t>
      </w:r>
      <w:r w:rsidRPr="0020336D">
        <w:rPr>
          <w:rFonts w:ascii="Book Antiqua" w:hAnsi="Book Antiqua" w:cs="Book Antiqua"/>
          <w:bCs/>
          <w:sz w:val="24"/>
          <w:szCs w:val="24"/>
          <w:lang w:val="en-US"/>
        </w:rPr>
        <w:noBreakHyphen/>
        <w:t>05230900</w:t>
      </w:r>
      <w:r w:rsidRPr="0020336D">
        <w:rPr>
          <w:rFonts w:ascii="Book Antiqua" w:hAnsi="Book Antiqua" w:cs="Book Antiqua"/>
          <w:sz w:val="24"/>
          <w:szCs w:val="24"/>
          <w:lang w:val="en-US"/>
        </w:rPr>
        <w:t>)</w:t>
      </w:r>
      <w:r w:rsidRPr="00390EBD">
        <w:rPr>
          <w:rFonts w:ascii="Book Antiqua" w:hAnsi="Book Antiqua" w:cs="Book Antiqua"/>
          <w:sz w:val="24"/>
          <w:szCs w:val="24"/>
          <w:vertAlign w:val="superscript"/>
          <w:lang w:val="en-US"/>
        </w:rPr>
        <w:t xml:space="preserve">[122] </w:t>
      </w:r>
      <w:r w:rsidRPr="00390EBD">
        <w:rPr>
          <w:rFonts w:ascii="Book Antiqua" w:hAnsi="Book Antiqua" w:cs="Book Antiqua"/>
          <w:sz w:val="24"/>
          <w:szCs w:val="24"/>
          <w:lang w:val="en-US"/>
        </w:rPr>
        <w:noBreakHyphen/>
        <w:t xml:space="preserve"> since these interleukins have also been implicated in the pathogenesis of IBD</w:t>
      </w:r>
      <w:r w:rsidRPr="00390EBD">
        <w:rPr>
          <w:rFonts w:ascii="Book Antiqua" w:hAnsi="Book Antiqua" w:cs="Book Antiqua"/>
          <w:sz w:val="24"/>
          <w:szCs w:val="24"/>
          <w:vertAlign w:val="superscript"/>
          <w:lang w:val="en-US"/>
        </w:rPr>
        <w:t>[123-125]</w:t>
      </w:r>
      <w:r w:rsidRPr="00390EBD">
        <w:rPr>
          <w:rFonts w:ascii="Book Antiqua" w:hAnsi="Book Antiqua" w:cs="Book Antiqua"/>
          <w:sz w:val="24"/>
          <w:szCs w:val="24"/>
          <w:lang w:val="en-US"/>
        </w:rPr>
        <w:t>.</w:t>
      </w:r>
      <w:r w:rsidRPr="00390EBD">
        <w:rPr>
          <w:rFonts w:ascii="Book Antiqua" w:hAnsi="Book Antiqua" w:cs="Book Antiqua"/>
          <w:color w:val="0070C0"/>
          <w:sz w:val="24"/>
          <w:szCs w:val="24"/>
          <w:lang w:val="en-US"/>
        </w:rPr>
        <w:t xml:space="preserve"> </w:t>
      </w:r>
    </w:p>
    <w:p w14:paraId="2C5DA72A" w14:textId="77777777" w:rsidR="0020336D" w:rsidRPr="00390EBD" w:rsidRDefault="0020336D" w:rsidP="00954CEE">
      <w:pPr>
        <w:shd w:val="clear" w:color="auto" w:fill="FFFFFF"/>
        <w:adjustRightInd w:val="0"/>
        <w:snapToGrid w:val="0"/>
        <w:spacing w:after="0" w:line="360" w:lineRule="auto"/>
        <w:ind w:firstLineChars="200" w:firstLine="480"/>
        <w:jc w:val="both"/>
        <w:rPr>
          <w:rFonts w:ascii="Book Antiqua" w:hAnsi="Book Antiqua" w:cs="Book Antiqua"/>
          <w:sz w:val="24"/>
          <w:szCs w:val="24"/>
          <w:lang w:val="en-US" w:eastAsia="zh-CN"/>
        </w:rPr>
      </w:pPr>
    </w:p>
    <w:p w14:paraId="39E97C1D" w14:textId="77777777" w:rsidR="006138C7" w:rsidRPr="0020336D" w:rsidRDefault="006138C7" w:rsidP="00954CEE">
      <w:pPr>
        <w:autoSpaceDE w:val="0"/>
        <w:autoSpaceDN w:val="0"/>
        <w:adjustRightInd w:val="0"/>
        <w:snapToGrid w:val="0"/>
        <w:spacing w:after="0" w:line="360" w:lineRule="auto"/>
        <w:jc w:val="both"/>
        <w:rPr>
          <w:rFonts w:ascii="Book Antiqua" w:hAnsi="Book Antiqua" w:cs="Book Antiqua"/>
          <w:b/>
          <w:bCs/>
          <w:i/>
          <w:sz w:val="24"/>
          <w:szCs w:val="24"/>
          <w:lang w:val="en-US"/>
        </w:rPr>
      </w:pPr>
      <w:r w:rsidRPr="0020336D">
        <w:rPr>
          <w:rFonts w:ascii="Book Antiqua" w:hAnsi="Book Antiqua" w:cs="Book Antiqua"/>
          <w:b/>
          <w:bCs/>
          <w:i/>
          <w:sz w:val="24"/>
          <w:szCs w:val="24"/>
          <w:lang w:val="en-US"/>
        </w:rPr>
        <w:t>Antiinflammatory interleukins</w:t>
      </w:r>
    </w:p>
    <w:p w14:paraId="4D4B402C"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70C0"/>
          <w:sz w:val="24"/>
          <w:szCs w:val="24"/>
          <w:lang w:val="en-US"/>
        </w:rPr>
      </w:pPr>
      <w:r w:rsidRPr="00390EBD">
        <w:rPr>
          <w:rFonts w:ascii="Book Antiqua" w:hAnsi="Book Antiqua" w:cs="Book Antiqua"/>
          <w:sz w:val="24"/>
          <w:szCs w:val="24"/>
          <w:lang w:val="en-US"/>
        </w:rPr>
        <w:t>Lastly, studies have been made referred to the administration of antiinflammatory interleukins such as IL</w:t>
      </w:r>
      <w:r w:rsidRPr="00390EBD">
        <w:rPr>
          <w:rFonts w:ascii="Book Antiqua" w:hAnsi="Book Antiqua" w:cs="Book Antiqua"/>
          <w:sz w:val="24"/>
          <w:szCs w:val="24"/>
          <w:lang w:val="en-US"/>
        </w:rPr>
        <w:noBreakHyphen/>
        <w:t>10, IL</w:t>
      </w:r>
      <w:r w:rsidRPr="00390EBD">
        <w:rPr>
          <w:rFonts w:ascii="Book Antiqua" w:hAnsi="Book Antiqua" w:cs="Book Antiqua"/>
          <w:sz w:val="24"/>
          <w:szCs w:val="24"/>
          <w:lang w:val="en-US"/>
        </w:rPr>
        <w:noBreakHyphen/>
        <w:t>11 and IFN</w:t>
      </w:r>
      <w:r w:rsidRPr="00390EBD">
        <w:rPr>
          <w:rFonts w:ascii="Book Antiqua" w:hAnsi="Book Antiqua" w:cs="Book Antiqua"/>
          <w:sz w:val="24"/>
          <w:szCs w:val="24"/>
          <w:lang w:val="en-US"/>
        </w:rPr>
        <w:noBreakHyphen/>
      </w:r>
      <w:r w:rsidRPr="00390EBD">
        <w:rPr>
          <w:rFonts w:ascii="Book Antiqua" w:hAnsi="Book Antiqua" w:cs="Book Antiqua"/>
          <w:sz w:val="24"/>
          <w:szCs w:val="24"/>
        </w:rPr>
        <w:sym w:font="Symbol" w:char="F062"/>
      </w:r>
      <w:r w:rsidRPr="00390EBD">
        <w:rPr>
          <w:rFonts w:ascii="Book Antiqua" w:hAnsi="Book Antiqua" w:cs="Book Antiqua"/>
          <w:sz w:val="24"/>
          <w:szCs w:val="24"/>
          <w:lang w:val="en-US"/>
        </w:rPr>
        <w:t>, though the results have not been encouraging</w:t>
      </w:r>
      <w:r w:rsidRPr="00390EBD">
        <w:rPr>
          <w:rFonts w:ascii="Book Antiqua" w:hAnsi="Book Antiqua" w:cs="Book Antiqua"/>
          <w:sz w:val="24"/>
          <w:szCs w:val="24"/>
          <w:vertAlign w:val="superscript"/>
          <w:lang w:val="en-US"/>
        </w:rPr>
        <w:t>[126-130]</w:t>
      </w:r>
      <w:r w:rsidRPr="00390EBD">
        <w:rPr>
          <w:rFonts w:ascii="Book Antiqua" w:hAnsi="Book Antiqua" w:cs="Book Antiqua"/>
          <w:sz w:val="24"/>
          <w:szCs w:val="24"/>
          <w:lang w:val="en-US"/>
        </w:rPr>
        <w:t>.</w:t>
      </w:r>
    </w:p>
    <w:p w14:paraId="1FE2C54F" w14:textId="77777777" w:rsidR="0020336D" w:rsidRDefault="0020336D" w:rsidP="00954CEE">
      <w:pPr>
        <w:adjustRightInd w:val="0"/>
        <w:snapToGrid w:val="0"/>
        <w:spacing w:after="0" w:line="360" w:lineRule="auto"/>
        <w:jc w:val="both"/>
        <w:rPr>
          <w:rFonts w:ascii="Book Antiqua" w:hAnsi="Book Antiqua" w:cs="Book Antiqua"/>
          <w:b/>
          <w:bCs/>
          <w:sz w:val="24"/>
          <w:szCs w:val="24"/>
          <w:lang w:val="en-US" w:eastAsia="zh-CN"/>
        </w:rPr>
      </w:pPr>
    </w:p>
    <w:p w14:paraId="5AE9B771" w14:textId="77777777" w:rsidR="006138C7" w:rsidRPr="00390EBD" w:rsidRDefault="006138C7" w:rsidP="00954CEE">
      <w:pPr>
        <w:adjustRightInd w:val="0"/>
        <w:snapToGrid w:val="0"/>
        <w:spacing w:after="0" w:line="360" w:lineRule="auto"/>
        <w:jc w:val="both"/>
        <w:rPr>
          <w:rFonts w:ascii="Book Antiqua" w:hAnsi="Book Antiqua" w:cs="Book Antiqua"/>
          <w:b/>
          <w:bCs/>
          <w:sz w:val="24"/>
          <w:szCs w:val="24"/>
          <w:lang w:val="en-US"/>
        </w:rPr>
      </w:pPr>
      <w:r w:rsidRPr="00390EBD">
        <w:rPr>
          <w:rFonts w:ascii="Book Antiqua" w:hAnsi="Book Antiqua" w:cs="Book Antiqua"/>
          <w:b/>
          <w:bCs/>
          <w:sz w:val="24"/>
          <w:szCs w:val="24"/>
          <w:lang w:val="en-US"/>
        </w:rPr>
        <w:t>CHEMOKINE ANTAGONISTS</w:t>
      </w:r>
    </w:p>
    <w:p w14:paraId="532F53A0" w14:textId="5F617450"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Chemokines are small cytokines that are able to induce chemotaxis by interacting with the chemokine transmembrane receptors bound to protein G</w:t>
      </w:r>
      <w:r w:rsidR="0020336D">
        <w:rPr>
          <w:rFonts w:ascii="Book Antiqua" w:hAnsi="Book Antiqua" w:cs="Book Antiqua"/>
          <w:sz w:val="24"/>
          <w:szCs w:val="24"/>
          <w:vertAlign w:val="superscript"/>
          <w:lang w:val="en-US"/>
        </w:rPr>
        <w:t>[131</w:t>
      </w:r>
      <w:r w:rsidR="0020336D">
        <w:rPr>
          <w:rFonts w:ascii="Book Antiqua" w:hAnsi="Book Antiqua" w:cs="Book Antiqua" w:hint="eastAsia"/>
          <w:sz w:val="24"/>
          <w:szCs w:val="24"/>
          <w:vertAlign w:val="superscript"/>
          <w:lang w:val="en-US" w:eastAsia="zh-CN"/>
        </w:rPr>
        <w:t>,</w:t>
      </w:r>
      <w:r w:rsidRPr="00390EBD">
        <w:rPr>
          <w:rFonts w:ascii="Book Antiqua" w:hAnsi="Book Antiqua" w:cs="Book Antiqua"/>
          <w:sz w:val="24"/>
          <w:szCs w:val="24"/>
          <w:vertAlign w:val="superscript"/>
          <w:lang w:val="en-US"/>
        </w:rPr>
        <w:t>132]</w:t>
      </w:r>
      <w:r w:rsidRPr="00390EBD">
        <w:rPr>
          <w:rFonts w:ascii="Book Antiqua" w:hAnsi="Book Antiqua" w:cs="Book Antiqua"/>
          <w:sz w:val="24"/>
          <w:szCs w:val="24"/>
          <w:lang w:val="en-US"/>
        </w:rPr>
        <w:t>. Their ligand is CCL25, which in the intestine is fundamentally expressed by the luminal epithelial cells</w:t>
      </w:r>
      <w:r w:rsidRPr="00390EBD">
        <w:rPr>
          <w:rFonts w:ascii="Book Antiqua" w:hAnsi="Book Antiqua" w:cs="Book Antiqua"/>
          <w:sz w:val="24"/>
          <w:szCs w:val="24"/>
          <w:vertAlign w:val="superscript"/>
          <w:lang w:val="en-US"/>
        </w:rPr>
        <w:t>[133]</w:t>
      </w:r>
      <w:r w:rsidRPr="00390EBD">
        <w:rPr>
          <w:rFonts w:ascii="Book Antiqua" w:hAnsi="Book Antiqua" w:cs="Book Antiqua"/>
          <w:sz w:val="24"/>
          <w:szCs w:val="24"/>
          <w:lang w:val="en-US"/>
        </w:rPr>
        <w:t>. In IBD, and especially in CD, high levels of CCL25 and of T lymphocytes exp</w:t>
      </w:r>
      <w:r w:rsidR="0020336D">
        <w:rPr>
          <w:rFonts w:ascii="Book Antiqua" w:hAnsi="Book Antiqua" w:cs="Book Antiqua"/>
          <w:sz w:val="24"/>
          <w:szCs w:val="24"/>
          <w:lang w:val="en-US"/>
        </w:rPr>
        <w:t>ressing CCR9 have been detected</w:t>
      </w:r>
      <w:r w:rsidRPr="00390EBD">
        <w:rPr>
          <w:rFonts w:ascii="Book Antiqua" w:hAnsi="Book Antiqua" w:cs="Book Antiqua"/>
          <w:sz w:val="24"/>
          <w:szCs w:val="24"/>
          <w:vertAlign w:val="superscript"/>
          <w:lang w:val="en-US"/>
        </w:rPr>
        <w:t>[134]</w:t>
      </w:r>
      <w:r w:rsidRPr="00390EBD">
        <w:rPr>
          <w:rFonts w:ascii="Book Antiqua" w:hAnsi="Book Antiqua" w:cs="Book Antiqua"/>
          <w:sz w:val="24"/>
          <w:szCs w:val="24"/>
          <w:lang w:val="en-US"/>
        </w:rPr>
        <w:t xml:space="preserve">. </w:t>
      </w:r>
    </w:p>
    <w:p w14:paraId="59B83360" w14:textId="77777777" w:rsidR="0020336D" w:rsidRDefault="0020336D" w:rsidP="00954CEE">
      <w:pPr>
        <w:autoSpaceDE w:val="0"/>
        <w:autoSpaceDN w:val="0"/>
        <w:adjustRightInd w:val="0"/>
        <w:snapToGrid w:val="0"/>
        <w:spacing w:after="0" w:line="360" w:lineRule="auto"/>
        <w:jc w:val="both"/>
        <w:rPr>
          <w:rFonts w:ascii="Book Antiqua" w:hAnsi="Book Antiqua" w:cs="Book Antiqua"/>
          <w:b/>
          <w:bCs/>
          <w:i/>
          <w:sz w:val="24"/>
          <w:szCs w:val="24"/>
          <w:lang w:val="en-US" w:eastAsia="zh-CN"/>
        </w:rPr>
      </w:pPr>
    </w:p>
    <w:p w14:paraId="59A7F857" w14:textId="77777777" w:rsidR="006138C7" w:rsidRPr="0020336D" w:rsidRDefault="006138C7" w:rsidP="00954CEE">
      <w:pPr>
        <w:autoSpaceDE w:val="0"/>
        <w:autoSpaceDN w:val="0"/>
        <w:adjustRightInd w:val="0"/>
        <w:snapToGrid w:val="0"/>
        <w:spacing w:after="0" w:line="360" w:lineRule="auto"/>
        <w:jc w:val="both"/>
        <w:rPr>
          <w:rFonts w:ascii="Book Antiqua" w:hAnsi="Book Antiqua" w:cs="Book Antiqua"/>
          <w:b/>
          <w:bCs/>
          <w:i/>
          <w:sz w:val="24"/>
          <w:szCs w:val="24"/>
          <w:lang w:val="en-US"/>
        </w:rPr>
      </w:pPr>
      <w:r w:rsidRPr="0020336D">
        <w:rPr>
          <w:rFonts w:ascii="Book Antiqua" w:hAnsi="Book Antiqua" w:cs="Book Antiqua"/>
          <w:b/>
          <w:bCs/>
          <w:i/>
          <w:sz w:val="24"/>
          <w:szCs w:val="24"/>
          <w:lang w:val="en-US"/>
        </w:rPr>
        <w:lastRenderedPageBreak/>
        <w:t>Vercirnon</w:t>
      </w:r>
    </w:p>
    <w:p w14:paraId="1BEF0BEE" w14:textId="78327A04"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 xml:space="preserve"> CCX</w:t>
      </w:r>
      <w:r w:rsidRPr="00390EBD">
        <w:rPr>
          <w:rFonts w:ascii="Book Antiqua" w:hAnsi="Book Antiqua" w:cs="Book Antiqua"/>
          <w:sz w:val="24"/>
          <w:szCs w:val="24"/>
          <w:lang w:val="en-US"/>
        </w:rPr>
        <w:noBreakHyphen/>
        <w:t xml:space="preserve">282B </w:t>
      </w:r>
      <w:r w:rsidRPr="0020336D">
        <w:rPr>
          <w:rFonts w:ascii="Book Antiqua" w:hAnsi="Book Antiqua" w:cs="Book Antiqua"/>
          <w:bCs/>
          <w:sz w:val="24"/>
          <w:szCs w:val="24"/>
          <w:lang w:val="en-US"/>
        </w:rPr>
        <w:t>(vercirnon</w:t>
      </w:r>
      <w:r w:rsidRPr="0020336D">
        <w:rPr>
          <w:rFonts w:ascii="Book Antiqua" w:hAnsi="Book Antiqua" w:cs="Book Antiqua"/>
          <w:sz w:val="24"/>
          <w:szCs w:val="24"/>
          <w:lang w:val="en-US"/>
        </w:rPr>
        <w:t>)</w:t>
      </w:r>
      <w:r w:rsidRPr="00390EBD">
        <w:rPr>
          <w:rFonts w:ascii="Book Antiqua" w:hAnsi="Book Antiqua" w:cs="Book Antiqua"/>
          <w:sz w:val="24"/>
          <w:szCs w:val="24"/>
          <w:lang w:val="en-US"/>
        </w:rPr>
        <w:t xml:space="preserve"> is a molecule administered </w:t>
      </w:r>
      <w:r w:rsidRPr="00BB5B43">
        <w:rPr>
          <w:rFonts w:ascii="Book Antiqua" w:hAnsi="Book Antiqua" w:cs="Book Antiqua"/>
          <w:i/>
          <w:sz w:val="24"/>
          <w:szCs w:val="24"/>
          <w:lang w:val="en-US"/>
        </w:rPr>
        <w:t>via</w:t>
      </w:r>
      <w:r w:rsidRPr="00390EBD">
        <w:rPr>
          <w:rFonts w:ascii="Book Antiqua" w:hAnsi="Book Antiqua" w:cs="Book Antiqua"/>
          <w:sz w:val="24"/>
          <w:szCs w:val="24"/>
          <w:lang w:val="en-US"/>
        </w:rPr>
        <w:t xml:space="preserve"> the oral route that acts as a CCR9 receptor antagonist, and which has been suggested to be able to reduce lymphocyte trafficking towards the intestine</w:t>
      </w:r>
      <w:r w:rsidRPr="00390EBD">
        <w:rPr>
          <w:rFonts w:ascii="Book Antiqua" w:hAnsi="Book Antiqua" w:cs="Book Antiqua"/>
          <w:sz w:val="24"/>
          <w:szCs w:val="24"/>
          <w:vertAlign w:val="superscript"/>
          <w:lang w:val="en-US"/>
        </w:rPr>
        <w:t>[135]</w:t>
      </w:r>
      <w:r w:rsidRPr="00390EBD">
        <w:rPr>
          <w:rFonts w:ascii="Book Antiqua" w:hAnsi="Book Antiqua" w:cs="Book Antiqua"/>
          <w:sz w:val="24"/>
          <w:szCs w:val="24"/>
          <w:lang w:val="en-US"/>
        </w:rPr>
        <w:t>. The data derived from the PROTECT</w:t>
      </w:r>
      <w:r w:rsidRPr="00390EBD">
        <w:rPr>
          <w:rFonts w:ascii="Book Antiqua" w:hAnsi="Book Antiqua" w:cs="Book Antiqua"/>
          <w:sz w:val="24"/>
          <w:szCs w:val="24"/>
          <w:lang w:val="en-US"/>
        </w:rPr>
        <w:noBreakHyphen/>
        <w:t>1 multicenter trial were published in 2013</w:t>
      </w:r>
      <w:r w:rsidRPr="00390EBD">
        <w:rPr>
          <w:rFonts w:ascii="Book Antiqua" w:hAnsi="Book Antiqua" w:cs="Book Antiqua"/>
          <w:sz w:val="24"/>
          <w:szCs w:val="24"/>
          <w:vertAlign w:val="superscript"/>
          <w:lang w:val="en-US"/>
        </w:rPr>
        <w:t>[136]</w:t>
      </w:r>
      <w:r w:rsidRPr="00390EBD">
        <w:rPr>
          <w:rFonts w:ascii="Book Antiqua" w:hAnsi="Book Antiqua" w:cs="Book Antiqua"/>
          <w:sz w:val="24"/>
          <w:szCs w:val="24"/>
          <w:lang w:val="en-US"/>
        </w:rPr>
        <w:t>. This was a double</w:t>
      </w:r>
      <w:r w:rsidRPr="00390EBD">
        <w:rPr>
          <w:rFonts w:ascii="Book Antiqua" w:hAnsi="Book Antiqua" w:cs="Book Antiqua"/>
          <w:sz w:val="24"/>
          <w:szCs w:val="24"/>
          <w:lang w:val="en-US"/>
        </w:rPr>
        <w:noBreakHyphen/>
        <w:t xml:space="preserve">blind multicenter study randomizing 436 patients with CD to three vercirnon treatment groups (250 mg/d p.o., 250 mg twice daily p.o., 500 mg/d p.o.)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PB over a</w:t>
      </w:r>
      <w:r w:rsidR="0020336D">
        <w:rPr>
          <w:rFonts w:ascii="Book Antiqua" w:hAnsi="Book Antiqua" w:cs="Book Antiqua"/>
          <w:sz w:val="24"/>
          <w:szCs w:val="24"/>
          <w:lang w:val="en-US"/>
        </w:rPr>
        <w:t>n induction phase lasting 12 wk</w:t>
      </w:r>
      <w:r w:rsidRPr="00390EBD">
        <w:rPr>
          <w:rFonts w:ascii="Book Antiqua" w:hAnsi="Book Antiqua" w:cs="Book Antiqua"/>
          <w:sz w:val="24"/>
          <w:szCs w:val="24"/>
          <w:lang w:val="en-US"/>
        </w:rPr>
        <w:t xml:space="preserve">. Subsequently, in the case of clinical response, the patients were again randomized to vercirnon (250 mg twice daily p.o.)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PB until week 36. The results were not statistically significant, though in week 8 a tendency towards greater efficacy in terms of clinical response was observed in the group administered 500 mg/d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PB (49%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60% with OR </w:t>
      </w:r>
      <w:r w:rsidR="0020336D">
        <w:rPr>
          <w:rFonts w:ascii="Book Antiqua" w:hAnsi="Book Antiqua" w:cs="Book Antiqua" w:hint="eastAsia"/>
          <w:sz w:val="24"/>
          <w:szCs w:val="24"/>
          <w:lang w:val="en-US" w:eastAsia="zh-CN"/>
        </w:rPr>
        <w:t xml:space="preserve">= </w:t>
      </w:r>
      <w:r w:rsidRPr="00390EBD">
        <w:rPr>
          <w:rFonts w:ascii="Book Antiqua" w:hAnsi="Book Antiqua" w:cs="Book Antiqua"/>
          <w:sz w:val="24"/>
          <w:szCs w:val="24"/>
          <w:lang w:val="en-US"/>
        </w:rPr>
        <w:t xml:space="preserve">1.53, </w:t>
      </w:r>
      <w:r w:rsidR="0020336D" w:rsidRPr="0020336D">
        <w:rPr>
          <w:rFonts w:ascii="Book Antiqua" w:hAnsi="Book Antiqua" w:cs="Book Antiqua"/>
          <w:i/>
          <w:caps/>
          <w:sz w:val="24"/>
          <w:szCs w:val="24"/>
          <w:lang w:val="en-US"/>
        </w:rPr>
        <w:t xml:space="preserve">p = </w:t>
      </w:r>
      <w:r w:rsidRPr="00390EBD">
        <w:rPr>
          <w:rFonts w:ascii="Book Antiqua" w:hAnsi="Book Antiqua" w:cs="Book Antiqua"/>
          <w:sz w:val="24"/>
          <w:szCs w:val="24"/>
          <w:lang w:val="en-US"/>
        </w:rPr>
        <w:t xml:space="preserve">0.111). In week 52 significance was reached in terms of the percentage of patients in remission (47%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31% with OR </w:t>
      </w:r>
      <w:r w:rsidR="0020336D">
        <w:rPr>
          <w:rFonts w:ascii="Book Antiqua" w:hAnsi="Book Antiqua" w:cs="Book Antiqua" w:hint="eastAsia"/>
          <w:sz w:val="24"/>
          <w:szCs w:val="24"/>
          <w:lang w:val="en-US" w:eastAsia="zh-CN"/>
        </w:rPr>
        <w:t xml:space="preserve">= </w:t>
      </w:r>
      <w:r w:rsidRPr="00390EBD">
        <w:rPr>
          <w:rFonts w:ascii="Book Antiqua" w:hAnsi="Book Antiqua" w:cs="Book Antiqua"/>
          <w:sz w:val="24"/>
          <w:szCs w:val="24"/>
          <w:lang w:val="en-US"/>
        </w:rPr>
        <w:t xml:space="preserve">2.01, </w:t>
      </w:r>
      <w:r w:rsidR="0020336D" w:rsidRPr="0020336D">
        <w:rPr>
          <w:rFonts w:ascii="Book Antiqua" w:hAnsi="Book Antiqua" w:cs="Book Antiqua"/>
          <w:i/>
          <w:caps/>
          <w:sz w:val="24"/>
          <w:szCs w:val="24"/>
          <w:lang w:val="en-US"/>
        </w:rPr>
        <w:t xml:space="preserve">p = </w:t>
      </w:r>
      <w:r w:rsidRPr="00390EBD">
        <w:rPr>
          <w:rFonts w:ascii="Book Antiqua" w:hAnsi="Book Antiqua" w:cs="Book Antiqua"/>
          <w:sz w:val="24"/>
          <w:szCs w:val="24"/>
          <w:lang w:val="en-US"/>
        </w:rPr>
        <w:t>0.12). The safety profile was found to be favorable, with similar serious and non</w:t>
      </w:r>
      <w:r w:rsidRPr="00390EBD">
        <w:rPr>
          <w:rFonts w:ascii="Book Antiqua" w:hAnsi="Book Antiqua" w:cs="Book Antiqua"/>
          <w:sz w:val="24"/>
          <w:szCs w:val="24"/>
          <w:lang w:val="en-US"/>
        </w:rPr>
        <w:noBreakHyphen/>
        <w:t>serious adverse events rates in both groups.</w:t>
      </w:r>
    </w:p>
    <w:p w14:paraId="3CA979A2" w14:textId="36879153" w:rsidR="006138C7" w:rsidRPr="00390EBD" w:rsidRDefault="006138C7" w:rsidP="00954CEE">
      <w:pPr>
        <w:adjustRightInd w:val="0"/>
        <w:snapToGrid w:val="0"/>
        <w:spacing w:after="0" w:line="360" w:lineRule="auto"/>
        <w:jc w:val="both"/>
        <w:rPr>
          <w:rFonts w:ascii="Book Antiqua" w:hAnsi="Book Antiqua" w:cs="Book Antiqua"/>
          <w:b/>
          <w:bCs/>
          <w:sz w:val="24"/>
          <w:szCs w:val="24"/>
          <w:lang w:val="en-US"/>
        </w:rPr>
      </w:pPr>
    </w:p>
    <w:p w14:paraId="4CAC2354" w14:textId="77777777" w:rsidR="006138C7" w:rsidRPr="0020336D" w:rsidRDefault="006138C7" w:rsidP="00954CEE">
      <w:pPr>
        <w:autoSpaceDE w:val="0"/>
        <w:autoSpaceDN w:val="0"/>
        <w:adjustRightInd w:val="0"/>
        <w:snapToGrid w:val="0"/>
        <w:spacing w:after="0" w:line="360" w:lineRule="auto"/>
        <w:jc w:val="both"/>
        <w:rPr>
          <w:rFonts w:ascii="Book Antiqua" w:hAnsi="Book Antiqua" w:cs="Book Antiqua"/>
          <w:b/>
          <w:bCs/>
          <w:i/>
          <w:sz w:val="24"/>
          <w:szCs w:val="24"/>
          <w:lang w:val="en-US"/>
        </w:rPr>
      </w:pPr>
      <w:r w:rsidRPr="0020336D">
        <w:rPr>
          <w:rFonts w:ascii="Book Antiqua" w:hAnsi="Book Antiqua" w:cs="Book Antiqua"/>
          <w:b/>
          <w:bCs/>
          <w:i/>
          <w:sz w:val="24"/>
          <w:szCs w:val="24"/>
          <w:lang w:val="en-US"/>
        </w:rPr>
        <w:t>BMS</w:t>
      </w:r>
      <w:r w:rsidRPr="0020336D">
        <w:rPr>
          <w:rFonts w:ascii="Book Antiqua" w:hAnsi="Book Antiqua" w:cs="Book Antiqua"/>
          <w:b/>
          <w:bCs/>
          <w:i/>
          <w:sz w:val="24"/>
          <w:szCs w:val="24"/>
          <w:lang w:val="en-US"/>
        </w:rPr>
        <w:noBreakHyphen/>
        <w:t>936557</w:t>
      </w:r>
    </w:p>
    <w:p w14:paraId="02D42170" w14:textId="2FAB4582"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In relation to UC, a parallel line of research is based on interferon gamma</w:t>
      </w:r>
      <w:r w:rsidRPr="00390EBD">
        <w:rPr>
          <w:rFonts w:ascii="Book Antiqua" w:hAnsi="Book Antiqua" w:cs="Book Antiqua"/>
          <w:sz w:val="24"/>
          <w:szCs w:val="24"/>
          <w:lang w:val="en-US"/>
        </w:rPr>
        <w:noBreakHyphen/>
        <w:t xml:space="preserve">induced protein 10 </w:t>
      </w:r>
      <w:r w:rsidRPr="0020336D">
        <w:rPr>
          <w:rFonts w:ascii="Book Antiqua" w:hAnsi="Book Antiqua" w:cs="Book Antiqua"/>
          <w:sz w:val="24"/>
          <w:szCs w:val="24"/>
          <w:lang w:val="en-US"/>
        </w:rPr>
        <w:t>(</w:t>
      </w:r>
      <w:r w:rsidRPr="0020336D">
        <w:rPr>
          <w:rFonts w:ascii="Book Antiqua" w:hAnsi="Book Antiqua" w:cs="Book Antiqua"/>
          <w:bCs/>
          <w:sz w:val="24"/>
          <w:szCs w:val="24"/>
          <w:lang w:val="en-US"/>
        </w:rPr>
        <w:t>IP</w:t>
      </w:r>
      <w:r w:rsidRPr="0020336D">
        <w:rPr>
          <w:rFonts w:ascii="Book Antiqua" w:hAnsi="Book Antiqua" w:cs="Book Antiqua"/>
          <w:bCs/>
          <w:sz w:val="24"/>
          <w:szCs w:val="24"/>
          <w:lang w:val="en-US"/>
        </w:rPr>
        <w:noBreakHyphen/>
        <w:t>10</w:t>
      </w:r>
      <w:r w:rsidRPr="0020336D">
        <w:rPr>
          <w:rFonts w:ascii="Book Antiqua" w:hAnsi="Book Antiqua" w:cs="Book Antiqua"/>
          <w:sz w:val="24"/>
          <w:szCs w:val="24"/>
          <w:lang w:val="en-US"/>
        </w:rPr>
        <w:t xml:space="preserve">, also known as </w:t>
      </w:r>
      <w:r w:rsidRPr="0020336D">
        <w:rPr>
          <w:rFonts w:ascii="Book Antiqua" w:hAnsi="Book Antiqua" w:cs="Book Antiqua"/>
          <w:bCs/>
          <w:sz w:val="24"/>
          <w:szCs w:val="24"/>
          <w:lang w:val="en-US"/>
        </w:rPr>
        <w:t>CXCL10</w:t>
      </w:r>
      <w:r w:rsidRPr="0020336D">
        <w:rPr>
          <w:rFonts w:ascii="Book Antiqua" w:hAnsi="Book Antiqua" w:cs="Book Antiqua"/>
          <w:sz w:val="24"/>
          <w:szCs w:val="24"/>
          <w:lang w:val="en-US"/>
        </w:rPr>
        <w:t>). T</w:t>
      </w:r>
      <w:r w:rsidRPr="00390EBD">
        <w:rPr>
          <w:rFonts w:ascii="Book Antiqua" w:hAnsi="Book Antiqua" w:cs="Book Antiqua"/>
          <w:sz w:val="24"/>
          <w:szCs w:val="24"/>
          <w:lang w:val="en-US"/>
        </w:rPr>
        <w:t>his protein is secreted by monocytes, endothelial cells and fibroblasts in response to stimulation by IFN</w:t>
      </w:r>
      <w:r w:rsidRPr="00390EBD">
        <w:rPr>
          <w:rFonts w:ascii="Book Antiqua" w:hAnsi="Book Antiqua" w:cs="Book Antiqua"/>
          <w:sz w:val="24"/>
          <w:szCs w:val="24"/>
          <w:lang w:val="en-US"/>
        </w:rPr>
        <w:noBreakHyphen/>
      </w:r>
      <w:r w:rsidRPr="00390EBD">
        <w:rPr>
          <w:rFonts w:ascii="Book Antiqua" w:hAnsi="Book Antiqua" w:cs="Book Antiqua"/>
          <w:sz w:val="24"/>
          <w:szCs w:val="24"/>
        </w:rPr>
        <w:t>γ</w:t>
      </w:r>
      <w:r w:rsidRPr="00390EBD">
        <w:rPr>
          <w:rFonts w:ascii="Book Antiqua" w:hAnsi="Book Antiqua" w:cs="Book Antiqua"/>
          <w:sz w:val="24"/>
          <w:szCs w:val="24"/>
          <w:vertAlign w:val="superscript"/>
          <w:lang w:val="en-US"/>
        </w:rPr>
        <w:t>[137]</w:t>
      </w:r>
      <w:r w:rsidRPr="00390EBD">
        <w:rPr>
          <w:rStyle w:val="citation"/>
          <w:rFonts w:ascii="Book Antiqua" w:hAnsi="Book Antiqua" w:cs="Book Antiqua"/>
          <w:sz w:val="24"/>
          <w:szCs w:val="24"/>
          <w:lang w:val="en-US"/>
        </w:rPr>
        <w:t>. The importance of the protein is that it is implicated in chemotaxis and interaction phenomena with T cells through the CXCR3 receptor</w:t>
      </w:r>
      <w:r w:rsidRPr="00390EBD">
        <w:rPr>
          <w:rStyle w:val="citation"/>
          <w:rFonts w:ascii="Book Antiqua" w:hAnsi="Book Antiqua" w:cs="Book Antiqua"/>
          <w:sz w:val="24"/>
          <w:szCs w:val="24"/>
          <w:vertAlign w:val="superscript"/>
          <w:lang w:val="en-US"/>
        </w:rPr>
        <w:t>[138]</w:t>
      </w:r>
      <w:r w:rsidRPr="00390EBD">
        <w:rPr>
          <w:rStyle w:val="citation"/>
          <w:rFonts w:ascii="Book Antiqua" w:hAnsi="Book Antiqua" w:cs="Book Antiqua"/>
          <w:sz w:val="24"/>
          <w:szCs w:val="24"/>
          <w:lang w:val="en-US"/>
        </w:rPr>
        <w:t>. Inhibition of this pathway could incline the Th1 response towards a Th2 response</w:t>
      </w:r>
      <w:r w:rsidRPr="00390EBD">
        <w:rPr>
          <w:rStyle w:val="citation"/>
          <w:rFonts w:ascii="Book Antiqua" w:hAnsi="Book Antiqua" w:cs="Book Antiqua"/>
          <w:sz w:val="24"/>
          <w:szCs w:val="24"/>
          <w:vertAlign w:val="superscript"/>
          <w:lang w:val="en-US"/>
        </w:rPr>
        <w:t>[139]</w:t>
      </w:r>
      <w:r w:rsidRPr="00390EBD">
        <w:rPr>
          <w:rStyle w:val="citation"/>
          <w:rFonts w:ascii="Book Antiqua" w:hAnsi="Book Antiqua" w:cs="Book Antiqua"/>
          <w:sz w:val="24"/>
          <w:szCs w:val="24"/>
          <w:lang w:val="en-US"/>
        </w:rPr>
        <w:t>. In patients with UC, CXCL10 is over</w:t>
      </w:r>
      <w:r w:rsidRPr="00390EBD">
        <w:rPr>
          <w:rStyle w:val="citation"/>
          <w:rFonts w:ascii="Book Antiqua" w:hAnsi="Book Antiqua" w:cs="Book Antiqua"/>
          <w:sz w:val="24"/>
          <w:szCs w:val="24"/>
          <w:lang w:val="en-US"/>
        </w:rPr>
        <w:noBreakHyphen/>
        <w:t>expressed in plasma and colon tissue</w:t>
      </w:r>
      <w:r w:rsidRPr="00390EBD">
        <w:rPr>
          <w:rStyle w:val="citation"/>
          <w:rFonts w:ascii="Book Antiqua" w:hAnsi="Book Antiqua" w:cs="Book Antiqua"/>
          <w:sz w:val="24"/>
          <w:szCs w:val="24"/>
          <w:vertAlign w:val="superscript"/>
          <w:lang w:val="en-US"/>
        </w:rPr>
        <w:t>[140]</w:t>
      </w:r>
      <w:r w:rsidRPr="00390EBD">
        <w:rPr>
          <w:rStyle w:val="citation"/>
          <w:rFonts w:ascii="Book Antiqua" w:hAnsi="Book Antiqua" w:cs="Book Antiqua"/>
          <w:sz w:val="24"/>
          <w:szCs w:val="24"/>
          <w:lang w:val="en-US"/>
        </w:rPr>
        <w:t>, and in animal studies it has shown a reasonable efficacy profile warranting the start of evaluations in humans</w:t>
      </w:r>
      <w:r w:rsidRPr="00390EBD">
        <w:rPr>
          <w:rStyle w:val="citation"/>
          <w:rFonts w:ascii="Book Antiqua" w:hAnsi="Book Antiqua" w:cs="Book Antiqua"/>
          <w:sz w:val="24"/>
          <w:szCs w:val="24"/>
          <w:vertAlign w:val="superscript"/>
          <w:lang w:val="en-US"/>
        </w:rPr>
        <w:t>[141]</w:t>
      </w:r>
      <w:r w:rsidRPr="00390EBD">
        <w:rPr>
          <w:rStyle w:val="citation"/>
          <w:rFonts w:ascii="Book Antiqua" w:hAnsi="Book Antiqua" w:cs="Book Antiqua"/>
          <w:sz w:val="24"/>
          <w:szCs w:val="24"/>
          <w:lang w:val="en-US"/>
        </w:rPr>
        <w:t xml:space="preserve">. </w:t>
      </w:r>
      <w:r w:rsidRPr="0020336D">
        <w:rPr>
          <w:rFonts w:ascii="Book Antiqua" w:hAnsi="Book Antiqua" w:cs="Book Antiqua"/>
          <w:bCs/>
          <w:sz w:val="24"/>
          <w:szCs w:val="24"/>
          <w:lang w:val="en-US"/>
        </w:rPr>
        <w:t>BMS</w:t>
      </w:r>
      <w:r w:rsidRPr="0020336D">
        <w:rPr>
          <w:rFonts w:ascii="Book Antiqua" w:hAnsi="Book Antiqua" w:cs="Book Antiqua"/>
          <w:bCs/>
          <w:sz w:val="24"/>
          <w:szCs w:val="24"/>
          <w:lang w:val="en-US"/>
        </w:rPr>
        <w:noBreakHyphen/>
        <w:t>936557 (MDX</w:t>
      </w:r>
      <w:r w:rsidRPr="0020336D">
        <w:rPr>
          <w:rFonts w:ascii="Book Antiqua" w:hAnsi="Book Antiqua" w:cs="Book Antiqua"/>
          <w:bCs/>
          <w:sz w:val="24"/>
          <w:szCs w:val="24"/>
          <w:lang w:val="en-US"/>
        </w:rPr>
        <w:noBreakHyphen/>
        <w:t>1100</w:t>
      </w:r>
      <w:r w:rsidRPr="0020336D">
        <w:rPr>
          <w:rFonts w:ascii="Book Antiqua" w:hAnsi="Book Antiqua" w:cs="Book Antiqua"/>
          <w:sz w:val="24"/>
          <w:szCs w:val="24"/>
          <w:lang w:val="en-US"/>
        </w:rPr>
        <w:t>)</w:t>
      </w:r>
      <w:r w:rsidRPr="00390EBD">
        <w:rPr>
          <w:rFonts w:ascii="Book Antiqua" w:hAnsi="Book Antiqua" w:cs="Book Antiqua"/>
          <w:sz w:val="24"/>
          <w:szCs w:val="24"/>
          <w:lang w:val="en-US"/>
        </w:rPr>
        <w:t xml:space="preserve"> is a monoclonal antibody targeted to protein IP</w:t>
      </w:r>
      <w:r w:rsidRPr="00390EBD">
        <w:rPr>
          <w:rFonts w:ascii="Book Antiqua" w:hAnsi="Book Antiqua" w:cs="Book Antiqua"/>
          <w:sz w:val="24"/>
          <w:szCs w:val="24"/>
          <w:lang w:val="en-US"/>
        </w:rPr>
        <w:noBreakHyphen/>
        <w:t>10. Its safety profile has been evaluated in phase I studies</w:t>
      </w:r>
      <w:r w:rsidRPr="00390EBD">
        <w:rPr>
          <w:rFonts w:ascii="Book Antiqua" w:hAnsi="Book Antiqua" w:cs="Book Antiqua"/>
          <w:sz w:val="24"/>
          <w:szCs w:val="24"/>
          <w:vertAlign w:val="superscript"/>
          <w:lang w:val="en-US"/>
        </w:rPr>
        <w:t>[142]</w:t>
      </w:r>
      <w:r w:rsidRPr="00390EBD">
        <w:rPr>
          <w:rFonts w:ascii="Book Antiqua" w:hAnsi="Book Antiqua" w:cs="Book Antiqua"/>
          <w:sz w:val="24"/>
          <w:szCs w:val="24"/>
          <w:lang w:val="en-US"/>
        </w:rPr>
        <w:t>, and based on the evidence obtained in patients with RA</w:t>
      </w:r>
      <w:r w:rsidRPr="00390EBD">
        <w:rPr>
          <w:rFonts w:ascii="Book Antiqua" w:hAnsi="Book Antiqua" w:cs="Book Antiqua"/>
          <w:sz w:val="24"/>
          <w:szCs w:val="24"/>
          <w:vertAlign w:val="superscript"/>
          <w:lang w:val="en-US"/>
        </w:rPr>
        <w:t>[143]</w:t>
      </w:r>
      <w:r w:rsidRPr="00390EBD">
        <w:rPr>
          <w:rFonts w:ascii="Book Antiqua" w:hAnsi="Book Antiqua" w:cs="Book Antiqua"/>
          <w:sz w:val="24"/>
          <w:szCs w:val="24"/>
          <w:lang w:val="en-US"/>
        </w:rPr>
        <w:t>, a specific double</w:t>
      </w:r>
      <w:r w:rsidRPr="00390EBD">
        <w:rPr>
          <w:rFonts w:ascii="Book Antiqua" w:hAnsi="Book Antiqua" w:cs="Book Antiqua"/>
          <w:sz w:val="24"/>
          <w:szCs w:val="24"/>
          <w:lang w:val="en-US"/>
        </w:rPr>
        <w:noBreakHyphen/>
        <w:t>blind multicenter trial on active UC has been started</w:t>
      </w:r>
      <w:r w:rsidRPr="00390EBD">
        <w:rPr>
          <w:rFonts w:ascii="Book Antiqua" w:hAnsi="Book Antiqua" w:cs="Book Antiqua"/>
          <w:sz w:val="24"/>
          <w:szCs w:val="24"/>
          <w:vertAlign w:val="superscript"/>
          <w:lang w:val="en-US"/>
        </w:rPr>
        <w:t>[144]</w:t>
      </w:r>
      <w:r w:rsidRPr="00390EBD">
        <w:rPr>
          <w:rFonts w:ascii="Book Antiqua" w:hAnsi="Book Antiqua" w:cs="Book Antiqua"/>
          <w:sz w:val="24"/>
          <w:szCs w:val="24"/>
          <w:lang w:val="en-US"/>
        </w:rPr>
        <w:t xml:space="preserve">. This phase II trial randomized 109 patients to PB </w:t>
      </w:r>
      <w:r w:rsidRPr="00390EBD">
        <w:rPr>
          <w:rFonts w:ascii="Book Antiqua" w:hAnsi="Book Antiqua" w:cs="Book Antiqua"/>
          <w:sz w:val="24"/>
          <w:szCs w:val="24"/>
          <w:lang w:val="en-US"/>
        </w:rPr>
        <w:lastRenderedPageBreak/>
        <w:t>or four doses of 10 mg/kg i.v. of BMS</w:t>
      </w:r>
      <w:r w:rsidRPr="00390EBD">
        <w:rPr>
          <w:rFonts w:ascii="Book Antiqua" w:hAnsi="Book Antiqua" w:cs="Book Antiqua"/>
          <w:sz w:val="24"/>
          <w:szCs w:val="24"/>
          <w:lang w:val="en-US"/>
        </w:rPr>
        <w:noBreakHyphen/>
        <w:t xml:space="preserve">936557 every two weeks. The primary endpoint (clinical response on day 57) was better among the patients that had received the antibody, though statistical significance was not reached (52.7%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35.2%, </w:t>
      </w:r>
      <w:r w:rsidR="0020336D" w:rsidRPr="0020336D">
        <w:rPr>
          <w:rFonts w:ascii="Book Antiqua" w:hAnsi="Book Antiqua" w:cs="Book Antiqua"/>
          <w:i/>
          <w:caps/>
          <w:sz w:val="24"/>
          <w:szCs w:val="24"/>
          <w:lang w:val="en-US"/>
        </w:rPr>
        <w:t xml:space="preserve">p = </w:t>
      </w:r>
      <w:r w:rsidRPr="00390EBD">
        <w:rPr>
          <w:rFonts w:ascii="Book Antiqua" w:hAnsi="Book Antiqua" w:cs="Book Antiqua"/>
          <w:sz w:val="24"/>
          <w:szCs w:val="24"/>
          <w:lang w:val="en-US"/>
        </w:rPr>
        <w:t xml:space="preserve">0.083). Nevertheless, the results were statistically significant in the group of subjects with the highest titers in blood (87.5%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37%, </w:t>
      </w:r>
      <w:r w:rsidR="009046D6" w:rsidRPr="009046D6">
        <w:rPr>
          <w:rFonts w:ascii="Book Antiqua" w:hAnsi="Book Antiqua" w:cs="Book Antiqua"/>
          <w:i/>
          <w:caps/>
          <w:sz w:val="24"/>
          <w:szCs w:val="24"/>
          <w:lang w:val="en-US"/>
        </w:rPr>
        <w:t>p &lt;</w:t>
      </w:r>
      <w:r w:rsidR="0020336D" w:rsidRPr="0020336D">
        <w:rPr>
          <w:rFonts w:ascii="Book Antiqua" w:hAnsi="Book Antiqua" w:cs="Book Antiqua"/>
          <w:i/>
          <w:caps/>
          <w:sz w:val="24"/>
          <w:szCs w:val="24"/>
          <w:lang w:val="en-US"/>
        </w:rPr>
        <w:t xml:space="preserve"> </w:t>
      </w:r>
      <w:r w:rsidRPr="00390EBD">
        <w:rPr>
          <w:rFonts w:ascii="Book Antiqua" w:hAnsi="Book Antiqua" w:cs="Book Antiqua"/>
          <w:sz w:val="24"/>
          <w:szCs w:val="24"/>
          <w:lang w:val="en-US"/>
        </w:rPr>
        <w:t xml:space="preserve">0.001). The number of infections was greater in the active treatment group (12.7%) compared with PB (5.8%), and drug suspension because of adverse events proved necessary in 3.6% of the cases. At present, we are in wait of the publication of the results of another two phase II trials randomizing patients to different doses of the molecule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PB in application to moderate or severe CD</w:t>
      </w:r>
      <w:r w:rsidRPr="00390EBD">
        <w:rPr>
          <w:rFonts w:ascii="Book Antiqua" w:hAnsi="Book Antiqua" w:cs="Book Antiqua"/>
          <w:sz w:val="24"/>
          <w:szCs w:val="24"/>
          <w:vertAlign w:val="superscript"/>
          <w:lang w:val="en-US"/>
        </w:rPr>
        <w:t>[145]</w:t>
      </w:r>
      <w:r w:rsidRPr="00390EBD">
        <w:rPr>
          <w:rFonts w:ascii="Book Antiqua" w:hAnsi="Book Antiqua" w:cs="Book Antiqua"/>
          <w:sz w:val="24"/>
          <w:szCs w:val="24"/>
          <w:lang w:val="en-US"/>
        </w:rPr>
        <w:t xml:space="preserve"> or UC</w:t>
      </w:r>
      <w:r w:rsidRPr="00390EBD">
        <w:rPr>
          <w:rFonts w:ascii="Book Antiqua" w:hAnsi="Book Antiqua" w:cs="Book Antiqua"/>
          <w:sz w:val="24"/>
          <w:szCs w:val="24"/>
          <w:vertAlign w:val="superscript"/>
          <w:lang w:val="en-US"/>
        </w:rPr>
        <w:t>[146]</w:t>
      </w:r>
      <w:r w:rsidRPr="00390EBD">
        <w:rPr>
          <w:rFonts w:ascii="Book Antiqua" w:hAnsi="Book Antiqua" w:cs="Book Antiqua"/>
          <w:sz w:val="24"/>
          <w:szCs w:val="24"/>
          <w:lang w:val="en-US"/>
        </w:rPr>
        <w:t xml:space="preserve">. </w:t>
      </w:r>
    </w:p>
    <w:p w14:paraId="437FD254" w14:textId="77777777" w:rsidR="0020336D" w:rsidRDefault="0020336D" w:rsidP="00954CEE">
      <w:pPr>
        <w:shd w:val="clear" w:color="auto" w:fill="FFFFFF"/>
        <w:adjustRightInd w:val="0"/>
        <w:snapToGrid w:val="0"/>
        <w:spacing w:after="0" w:line="360" w:lineRule="auto"/>
        <w:jc w:val="both"/>
        <w:rPr>
          <w:rFonts w:ascii="Book Antiqua" w:hAnsi="Book Antiqua" w:cs="Book Antiqua"/>
          <w:b/>
          <w:bCs/>
          <w:sz w:val="24"/>
          <w:szCs w:val="24"/>
          <w:lang w:val="en-US" w:eastAsia="zh-CN"/>
        </w:rPr>
      </w:pPr>
    </w:p>
    <w:p w14:paraId="1F1389F3" w14:textId="77777777" w:rsidR="006138C7" w:rsidRPr="0020336D" w:rsidRDefault="006138C7" w:rsidP="00954CEE">
      <w:pPr>
        <w:shd w:val="clear" w:color="auto" w:fill="FFFFFF"/>
        <w:adjustRightInd w:val="0"/>
        <w:snapToGrid w:val="0"/>
        <w:spacing w:after="0" w:line="360" w:lineRule="auto"/>
        <w:jc w:val="both"/>
        <w:rPr>
          <w:rFonts w:ascii="Book Antiqua" w:hAnsi="Book Antiqua" w:cs="Book Antiqua"/>
          <w:b/>
          <w:bCs/>
          <w:i/>
          <w:sz w:val="24"/>
          <w:szCs w:val="24"/>
          <w:lang w:val="en-US"/>
        </w:rPr>
      </w:pPr>
      <w:r w:rsidRPr="0020336D">
        <w:rPr>
          <w:rFonts w:ascii="Book Antiqua" w:hAnsi="Book Antiqua" w:cs="Book Antiqua"/>
          <w:b/>
          <w:bCs/>
          <w:i/>
          <w:sz w:val="24"/>
          <w:szCs w:val="24"/>
          <w:lang w:val="en-US"/>
        </w:rPr>
        <w:t>Other chemokine antagonists</w:t>
      </w:r>
    </w:p>
    <w:p w14:paraId="4B9FF4F6" w14:textId="77777777" w:rsidR="006138C7" w:rsidRPr="00390EBD" w:rsidRDefault="006138C7" w:rsidP="00954CEE">
      <w:pPr>
        <w:shd w:val="clear" w:color="auto" w:fill="FFFFFF"/>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There are other lines of research involving chemokines in autoimmune diseases, such as the binding of CXCL10 to its CXC3 receptor</w:t>
      </w:r>
      <w:r w:rsidRPr="00390EBD">
        <w:rPr>
          <w:rFonts w:ascii="Book Antiqua" w:hAnsi="Book Antiqua" w:cs="Book Antiqua"/>
          <w:sz w:val="24"/>
          <w:szCs w:val="24"/>
          <w:vertAlign w:val="superscript"/>
          <w:lang w:val="en-US"/>
        </w:rPr>
        <w:t>[147]</w:t>
      </w:r>
      <w:r w:rsidRPr="00390EBD">
        <w:rPr>
          <w:rFonts w:ascii="Book Antiqua" w:hAnsi="Book Antiqua" w:cs="Book Antiqua"/>
          <w:sz w:val="24"/>
          <w:szCs w:val="24"/>
          <w:lang w:val="en-US"/>
        </w:rPr>
        <w:t>, which has been shown to result in a reduction of its concentrations in patients with CD, in parallel to reduction in the C</w:t>
      </w:r>
      <w:r w:rsidRPr="00390EBD">
        <w:rPr>
          <w:rFonts w:ascii="Book Antiqua" w:hAnsi="Book Antiqua" w:cs="Book Antiqua"/>
          <w:sz w:val="24"/>
          <w:szCs w:val="24"/>
          <w:lang w:val="en-US"/>
        </w:rPr>
        <w:noBreakHyphen/>
        <w:t>reactive protein levels</w:t>
      </w:r>
      <w:r w:rsidRPr="00390EBD">
        <w:rPr>
          <w:rFonts w:ascii="Book Antiqua" w:hAnsi="Book Antiqua" w:cs="Book Antiqua"/>
          <w:sz w:val="24"/>
          <w:szCs w:val="24"/>
          <w:vertAlign w:val="superscript"/>
          <w:lang w:val="en-US"/>
        </w:rPr>
        <w:t>[148]</w:t>
      </w:r>
      <w:r w:rsidRPr="00390EBD">
        <w:rPr>
          <w:rFonts w:ascii="Book Antiqua" w:hAnsi="Book Antiqua" w:cs="Book Antiqua"/>
          <w:sz w:val="24"/>
          <w:szCs w:val="24"/>
          <w:lang w:val="en-US"/>
        </w:rPr>
        <w:t>. On the other hand, it has been reported that patients with UC show serum and tissues elevations of exotaxin</w:t>
      </w:r>
      <w:r w:rsidRPr="00390EBD">
        <w:rPr>
          <w:rFonts w:ascii="Book Antiqua" w:hAnsi="Book Antiqua" w:cs="Book Antiqua"/>
          <w:sz w:val="24"/>
          <w:szCs w:val="24"/>
          <w:lang w:val="en-US"/>
        </w:rPr>
        <w:noBreakHyphen/>
        <w:t xml:space="preserve">1, a chemokine that would act by recruiting eosinophils at intestinal level. </w:t>
      </w:r>
    </w:p>
    <w:p w14:paraId="52856F5C" w14:textId="77777777" w:rsidR="006138C7" w:rsidRPr="00390EBD" w:rsidRDefault="006138C7" w:rsidP="00954CEE">
      <w:pPr>
        <w:shd w:val="clear" w:color="auto" w:fill="FFFFFF"/>
        <w:adjustRightInd w:val="0"/>
        <w:snapToGrid w:val="0"/>
        <w:spacing w:after="0" w:line="360" w:lineRule="auto"/>
        <w:ind w:firstLineChars="200" w:firstLine="480"/>
        <w:jc w:val="both"/>
        <w:rPr>
          <w:rFonts w:ascii="Book Antiqua" w:hAnsi="Book Antiqua" w:cs="Book Antiqua"/>
          <w:color w:val="0070C0"/>
          <w:sz w:val="24"/>
          <w:szCs w:val="24"/>
          <w:lang w:val="en-US"/>
        </w:rPr>
      </w:pPr>
      <w:r w:rsidRPr="0020336D">
        <w:rPr>
          <w:rFonts w:ascii="Book Antiqua" w:hAnsi="Book Antiqua" w:cs="Book Antiqua"/>
          <w:bCs/>
          <w:sz w:val="24"/>
          <w:szCs w:val="24"/>
          <w:lang w:val="en-US"/>
        </w:rPr>
        <w:t>Bertilizumab</w:t>
      </w:r>
      <w:r w:rsidRPr="00390EBD">
        <w:rPr>
          <w:rFonts w:ascii="Book Antiqua" w:hAnsi="Book Antiqua" w:cs="Book Antiqua"/>
          <w:sz w:val="24"/>
          <w:szCs w:val="24"/>
          <w:lang w:val="en-US"/>
        </w:rPr>
        <w:t xml:space="preserve"> is a humanized IgG4 monoclonal antibody that blocks exotaxin</w:t>
      </w:r>
      <w:r w:rsidRPr="00390EBD">
        <w:rPr>
          <w:rFonts w:ascii="Book Antiqua" w:hAnsi="Book Antiqua" w:cs="Book Antiqua"/>
          <w:sz w:val="24"/>
          <w:szCs w:val="24"/>
          <w:lang w:val="en-US"/>
        </w:rPr>
        <w:noBreakHyphen/>
        <w:t>1 activity</w:t>
      </w:r>
      <w:r w:rsidRPr="00390EBD">
        <w:rPr>
          <w:rFonts w:ascii="Book Antiqua" w:hAnsi="Book Antiqua" w:cs="Book Antiqua"/>
          <w:sz w:val="24"/>
          <w:szCs w:val="24"/>
          <w:vertAlign w:val="superscript"/>
          <w:lang w:val="en-US"/>
        </w:rPr>
        <w:t>[149]</w:t>
      </w:r>
      <w:r w:rsidRPr="00390EBD">
        <w:rPr>
          <w:rFonts w:ascii="Book Antiqua" w:hAnsi="Book Antiqua" w:cs="Book Antiqua"/>
          <w:sz w:val="24"/>
          <w:szCs w:val="24"/>
          <w:lang w:val="en-US"/>
        </w:rPr>
        <w:t>. A phase II study involving 42 patients with moderate or severe UC is planned, with the aim of assessing the efficacy and safety of the drug</w:t>
      </w:r>
      <w:r w:rsidRPr="00390EBD">
        <w:rPr>
          <w:rFonts w:ascii="Book Antiqua" w:hAnsi="Book Antiqua" w:cs="Book Antiqua"/>
          <w:sz w:val="24"/>
          <w:szCs w:val="24"/>
          <w:vertAlign w:val="superscript"/>
          <w:lang w:val="en-US"/>
        </w:rPr>
        <w:t>[150]</w:t>
      </w:r>
      <w:r w:rsidRPr="00390EBD">
        <w:rPr>
          <w:rFonts w:ascii="Book Antiqua" w:hAnsi="Book Antiqua" w:cs="Book Antiqua"/>
          <w:sz w:val="24"/>
          <w:szCs w:val="24"/>
          <w:lang w:val="en-US"/>
        </w:rPr>
        <w:t>.</w:t>
      </w:r>
    </w:p>
    <w:p w14:paraId="19B4C97E" w14:textId="77777777" w:rsidR="0020336D" w:rsidRDefault="0020336D" w:rsidP="00954CEE">
      <w:pPr>
        <w:autoSpaceDE w:val="0"/>
        <w:autoSpaceDN w:val="0"/>
        <w:adjustRightInd w:val="0"/>
        <w:snapToGrid w:val="0"/>
        <w:spacing w:after="0" w:line="360" w:lineRule="auto"/>
        <w:jc w:val="both"/>
        <w:rPr>
          <w:rFonts w:ascii="Book Antiqua" w:hAnsi="Book Antiqua" w:cs="Book Antiqua"/>
          <w:b/>
          <w:bCs/>
          <w:sz w:val="24"/>
          <w:szCs w:val="24"/>
          <w:lang w:val="en-US" w:eastAsia="zh-CN"/>
        </w:rPr>
      </w:pPr>
    </w:p>
    <w:p w14:paraId="640E0F23"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b/>
          <w:bCs/>
          <w:sz w:val="24"/>
          <w:szCs w:val="24"/>
          <w:lang w:val="en-US"/>
        </w:rPr>
      </w:pPr>
      <w:r w:rsidRPr="00390EBD">
        <w:rPr>
          <w:rFonts w:ascii="Book Antiqua" w:hAnsi="Book Antiqua" w:cs="Book Antiqua"/>
          <w:b/>
          <w:bCs/>
          <w:sz w:val="24"/>
          <w:szCs w:val="24"/>
          <w:lang w:val="en-US"/>
        </w:rPr>
        <w:t>ENDOGENOUS ANTI</w:t>
      </w:r>
      <w:r w:rsidRPr="00390EBD">
        <w:rPr>
          <w:rFonts w:ascii="Book Antiqua" w:hAnsi="Book Antiqua" w:cs="Book Antiqua"/>
          <w:b/>
          <w:bCs/>
          <w:sz w:val="24"/>
          <w:szCs w:val="24"/>
          <w:lang w:val="en-US"/>
        </w:rPr>
        <w:noBreakHyphen/>
        <w:t>TNF: TNF</w:t>
      </w:r>
      <w:r w:rsidRPr="00390EBD">
        <w:rPr>
          <w:rFonts w:ascii="Book Antiqua" w:hAnsi="Book Antiqua" w:cs="Book Antiqua"/>
          <w:b/>
          <w:bCs/>
          <w:sz w:val="24"/>
          <w:szCs w:val="24"/>
          <w:lang w:val="en-US"/>
        </w:rPr>
        <w:noBreakHyphen/>
      </w:r>
      <w:r w:rsidRPr="0020336D">
        <w:rPr>
          <w:rFonts w:ascii="Book Antiqua" w:hAnsi="Book Antiqua" w:cs="Book Antiqua"/>
          <w:b/>
          <w:bCs/>
          <w:caps/>
          <w:sz w:val="24"/>
          <w:szCs w:val="24"/>
          <w:lang w:val="en-US"/>
        </w:rPr>
        <w:t>Kinoid</w:t>
      </w:r>
    </w:p>
    <w:p w14:paraId="0A678F14" w14:textId="57EA8A3C"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Another line of investigation involves the generation of anti</w:t>
      </w:r>
      <w:r w:rsidRPr="00390EBD">
        <w:rPr>
          <w:rFonts w:ascii="Book Antiqua" w:hAnsi="Book Antiqua" w:cs="Book Antiqua"/>
          <w:sz w:val="24"/>
          <w:szCs w:val="24"/>
          <w:lang w:val="en-US"/>
        </w:rPr>
        <w:noBreakHyphen/>
        <w:t>TNF</w:t>
      </w:r>
      <w:r w:rsidRPr="00390EBD">
        <w:rPr>
          <w:rFonts w:ascii="Book Antiqua" w:hAnsi="Book Antiqua" w:cs="Book Antiqua"/>
          <w:sz w:val="24"/>
          <w:szCs w:val="24"/>
          <w:lang w:val="en-US"/>
        </w:rPr>
        <w:noBreakHyphen/>
      </w:r>
      <w:r w:rsidRPr="00390EBD">
        <w:rPr>
          <w:rFonts w:ascii="Book Antiqua" w:hAnsi="Book Antiqua" w:cs="Book Antiqua"/>
          <w:sz w:val="24"/>
          <w:szCs w:val="24"/>
        </w:rPr>
        <w:t>α</w:t>
      </w:r>
      <w:r w:rsidRPr="00390EBD">
        <w:rPr>
          <w:rFonts w:ascii="Book Antiqua" w:hAnsi="Book Antiqua" w:cs="Book Antiqua"/>
          <w:sz w:val="24"/>
          <w:szCs w:val="24"/>
          <w:lang w:val="en-US"/>
        </w:rPr>
        <w:t xml:space="preserve"> polyclonal antibodies through active immunotherapy. This strategy is based on the use of a TNF</w:t>
      </w:r>
      <w:r w:rsidRPr="00390EBD">
        <w:rPr>
          <w:rFonts w:ascii="Book Antiqua" w:hAnsi="Book Antiqua" w:cs="Book Antiqua"/>
          <w:sz w:val="24"/>
          <w:szCs w:val="24"/>
          <w:lang w:val="en-US"/>
        </w:rPr>
        <w:noBreakHyphen/>
      </w:r>
      <w:r w:rsidRPr="00390EBD">
        <w:rPr>
          <w:rFonts w:ascii="Book Antiqua" w:hAnsi="Book Antiqua" w:cs="Book Antiqua"/>
          <w:sz w:val="24"/>
          <w:szCs w:val="24"/>
        </w:rPr>
        <w:t>α</w:t>
      </w:r>
      <w:r w:rsidRPr="00390EBD">
        <w:rPr>
          <w:rFonts w:ascii="Book Antiqua" w:hAnsi="Book Antiqua" w:cs="Book Antiqua"/>
          <w:sz w:val="24"/>
          <w:szCs w:val="24"/>
          <w:lang w:val="en-US"/>
        </w:rPr>
        <w:t xml:space="preserve"> derivative as vaccine. The compound is known as TNK</w:t>
      </w:r>
      <w:r w:rsidRPr="00390EBD">
        <w:rPr>
          <w:rFonts w:ascii="Book Antiqua" w:hAnsi="Book Antiqua" w:cs="Book Antiqua"/>
          <w:sz w:val="24"/>
          <w:szCs w:val="24"/>
          <w:lang w:val="en-US"/>
        </w:rPr>
        <w:noBreakHyphen/>
        <w:t xml:space="preserve">kinoid </w:t>
      </w:r>
      <w:r w:rsidRPr="0020336D">
        <w:rPr>
          <w:rFonts w:ascii="Book Antiqua" w:hAnsi="Book Antiqua" w:cs="Book Antiqua"/>
          <w:bCs/>
          <w:sz w:val="24"/>
          <w:szCs w:val="24"/>
          <w:lang w:val="en-US"/>
        </w:rPr>
        <w:t>(TNF</w:t>
      </w:r>
      <w:r w:rsidRPr="0020336D">
        <w:rPr>
          <w:rFonts w:ascii="Book Antiqua" w:hAnsi="Book Antiqua" w:cs="Book Antiqua"/>
          <w:bCs/>
          <w:sz w:val="24"/>
          <w:szCs w:val="24"/>
          <w:lang w:val="en-US"/>
        </w:rPr>
        <w:noBreakHyphen/>
        <w:t>K)</w:t>
      </w:r>
      <w:r w:rsidRPr="0020336D">
        <w:rPr>
          <w:rFonts w:ascii="Book Antiqua" w:hAnsi="Book Antiqua" w:cs="Book Antiqua"/>
          <w:sz w:val="24"/>
          <w:szCs w:val="24"/>
          <w:lang w:val="en-US"/>
        </w:rPr>
        <w:t xml:space="preserve">, </w:t>
      </w:r>
      <w:r w:rsidRPr="00390EBD">
        <w:rPr>
          <w:rFonts w:ascii="Book Antiqua" w:hAnsi="Book Antiqua" w:cs="Book Antiqua"/>
          <w:sz w:val="24"/>
          <w:szCs w:val="24"/>
          <w:lang w:val="en-US"/>
        </w:rPr>
        <w:t xml:space="preserve">and while biologically inactive, it can interrupt B cell tolerance of their own cytokines </w:t>
      </w:r>
      <w:r w:rsidRPr="00390EBD">
        <w:rPr>
          <w:rFonts w:ascii="Book Antiqua" w:hAnsi="Book Antiqua" w:cs="Book Antiqua"/>
          <w:sz w:val="24"/>
          <w:szCs w:val="24"/>
          <w:lang w:val="en-US"/>
        </w:rPr>
        <w:noBreakHyphen/>
        <w:t xml:space="preserve"> resulting in the production of high titers of antibodies</w:t>
      </w:r>
      <w:r w:rsidRPr="00390EBD">
        <w:rPr>
          <w:rFonts w:ascii="Book Antiqua" w:hAnsi="Book Antiqua" w:cs="Book Antiqua"/>
          <w:sz w:val="24"/>
          <w:szCs w:val="24"/>
          <w:vertAlign w:val="superscript"/>
          <w:lang w:val="en-US"/>
        </w:rPr>
        <w:t>[151]</w:t>
      </w:r>
      <w:r w:rsidRPr="00390EBD">
        <w:rPr>
          <w:rFonts w:ascii="Book Antiqua" w:hAnsi="Book Antiqua" w:cs="Book Antiqua"/>
          <w:sz w:val="24"/>
          <w:szCs w:val="24"/>
          <w:lang w:val="en-US"/>
        </w:rPr>
        <w:t xml:space="preserve">. A first phase I/II study was presented on occasion of the Digestive Disease Week in </w:t>
      </w:r>
      <w:r w:rsidRPr="00390EBD">
        <w:rPr>
          <w:rFonts w:ascii="Book Antiqua" w:hAnsi="Book Antiqua" w:cs="Book Antiqua"/>
          <w:sz w:val="24"/>
          <w:szCs w:val="24"/>
          <w:lang w:val="en-US"/>
        </w:rPr>
        <w:lastRenderedPageBreak/>
        <w:t>2011</w:t>
      </w:r>
      <w:r w:rsidRPr="00390EBD">
        <w:rPr>
          <w:rFonts w:ascii="Book Antiqua" w:hAnsi="Book Antiqua" w:cs="Book Antiqua"/>
          <w:sz w:val="24"/>
          <w:szCs w:val="24"/>
          <w:vertAlign w:val="superscript"/>
          <w:lang w:val="en-US"/>
        </w:rPr>
        <w:t>[152]</w:t>
      </w:r>
      <w:r w:rsidRPr="00390EBD">
        <w:rPr>
          <w:rFonts w:ascii="Book Antiqua" w:hAnsi="Book Antiqua" w:cs="Book Antiqua"/>
          <w:sz w:val="24"/>
          <w:szCs w:val="24"/>
          <w:lang w:val="en-US"/>
        </w:rPr>
        <w:t>, involving 21 patients with moderate to severe CD assigned to different doses on an open</w:t>
      </w:r>
      <w:r w:rsidRPr="00390EBD">
        <w:rPr>
          <w:rFonts w:ascii="Book Antiqua" w:hAnsi="Book Antiqua" w:cs="Book Antiqua"/>
          <w:sz w:val="24"/>
          <w:szCs w:val="24"/>
          <w:lang w:val="en-US"/>
        </w:rPr>
        <w:noBreakHyphen/>
        <w:t>label basis. The safety profile was found to be favorable, with no serious adverse events and the generation of antibodies in 81% of the cases. Clinical remission in week 12 was achieved by 50% of the patients. The results of a second randomized phase II study were published in 2012, involving patients with moderate to severe CD and loss of response or with intolerance to conventional anti</w:t>
      </w:r>
      <w:r w:rsidRPr="00390EBD">
        <w:rPr>
          <w:rFonts w:ascii="Book Antiqua" w:hAnsi="Book Antiqua" w:cs="Book Antiqua"/>
          <w:sz w:val="24"/>
          <w:szCs w:val="24"/>
          <w:lang w:val="en-US"/>
        </w:rPr>
        <w:noBreakHyphen/>
        <w:t>TNF</w:t>
      </w:r>
      <w:r w:rsidRPr="00390EBD">
        <w:rPr>
          <w:rFonts w:ascii="Book Antiqua" w:hAnsi="Book Antiqua" w:cs="Book Antiqua"/>
          <w:sz w:val="24"/>
          <w:szCs w:val="24"/>
          <w:lang w:val="en-US"/>
        </w:rPr>
        <w:noBreakHyphen/>
      </w:r>
      <w:r w:rsidRPr="00390EBD">
        <w:rPr>
          <w:rFonts w:ascii="Book Antiqua" w:hAnsi="Book Antiqua" w:cs="Book Antiqua"/>
          <w:sz w:val="24"/>
          <w:szCs w:val="24"/>
        </w:rPr>
        <w:t>α</w:t>
      </w:r>
      <w:r w:rsidRPr="00390EBD">
        <w:rPr>
          <w:rFonts w:ascii="Book Antiqua" w:hAnsi="Book Antiqua" w:cs="Book Antiqua"/>
          <w:sz w:val="24"/>
          <w:szCs w:val="24"/>
          <w:lang w:val="en-US"/>
        </w:rPr>
        <w:t xml:space="preserve"> drug therapy. The trial included 68 patients randomized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PB into two cross</w:t>
      </w:r>
      <w:r w:rsidRPr="00390EBD">
        <w:rPr>
          <w:rFonts w:ascii="Book Antiqua" w:hAnsi="Book Antiqua" w:cs="Book Antiqua"/>
          <w:sz w:val="24"/>
          <w:szCs w:val="24"/>
          <w:lang w:val="en-US"/>
        </w:rPr>
        <w:noBreakHyphen/>
        <w:t>over treatment arms with intramuscular doses of 180 µg on days 0, 7, 28, 84, 91 and 112, with switching of the active drug to PB in the fifth dose, and of PB to the active drug in the third dose in the control group. The safety data were again favorable in this case, with only one serious adverse event related to worsening of CD, though the efficacy results were not reported</w:t>
      </w:r>
      <w:r w:rsidRPr="00390EBD">
        <w:rPr>
          <w:rFonts w:ascii="Book Antiqua" w:hAnsi="Book Antiqua" w:cs="Book Antiqua"/>
          <w:sz w:val="24"/>
          <w:szCs w:val="24"/>
          <w:vertAlign w:val="superscript"/>
          <w:lang w:val="en-US"/>
        </w:rPr>
        <w:t>[153].</w:t>
      </w:r>
    </w:p>
    <w:p w14:paraId="41E8B22E" w14:textId="77777777" w:rsidR="006138C7" w:rsidRPr="00390EBD" w:rsidRDefault="006138C7" w:rsidP="00954CEE">
      <w:pPr>
        <w:adjustRightInd w:val="0"/>
        <w:snapToGrid w:val="0"/>
        <w:spacing w:after="0" w:line="360" w:lineRule="auto"/>
        <w:jc w:val="both"/>
        <w:rPr>
          <w:rFonts w:ascii="Book Antiqua" w:hAnsi="Book Antiqua" w:cs="Book Antiqua"/>
          <w:b/>
          <w:bCs/>
          <w:sz w:val="24"/>
          <w:szCs w:val="24"/>
          <w:lang w:val="en-US"/>
        </w:rPr>
      </w:pPr>
    </w:p>
    <w:p w14:paraId="1708663B" w14:textId="77777777" w:rsidR="006138C7" w:rsidRPr="00390EBD" w:rsidRDefault="006138C7" w:rsidP="00954CEE">
      <w:pPr>
        <w:adjustRightInd w:val="0"/>
        <w:snapToGrid w:val="0"/>
        <w:spacing w:after="0" w:line="360" w:lineRule="auto"/>
        <w:jc w:val="both"/>
        <w:rPr>
          <w:rFonts w:ascii="Book Antiqua" w:hAnsi="Book Antiqua" w:cs="Book Antiqua"/>
          <w:b/>
          <w:bCs/>
          <w:sz w:val="24"/>
          <w:szCs w:val="24"/>
          <w:lang w:val="en-US"/>
        </w:rPr>
      </w:pPr>
      <w:r w:rsidRPr="00390EBD">
        <w:rPr>
          <w:rFonts w:ascii="Book Antiqua" w:hAnsi="Book Antiqua" w:cs="Book Antiqua"/>
          <w:b/>
          <w:bCs/>
          <w:sz w:val="24"/>
          <w:szCs w:val="24"/>
          <w:lang w:val="en-US"/>
        </w:rPr>
        <w:t>JANUS KINASE ANTAGONISTS</w:t>
      </w:r>
    </w:p>
    <w:p w14:paraId="38469EE8"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The Janus kinases (JAKs) are a group of proteins corresponding to enzymes associated to cytokine receptors. They form part of a complex system of signal transmission from outside the cell towards the nucleus, activating transcription of the genes that intervene in important cell processes such as growth, differentiation, proliferation or migration. The process begins when the membrane receptor is stimulated by a chemical messenger such as for example a cytokine. This receptor activates Janus kinase, which undergoes auto</w:t>
      </w:r>
      <w:r w:rsidRPr="00390EBD">
        <w:rPr>
          <w:rFonts w:ascii="Book Antiqua" w:hAnsi="Book Antiqua" w:cs="Book Antiqua"/>
          <w:sz w:val="24"/>
          <w:szCs w:val="24"/>
          <w:lang w:val="en-US"/>
        </w:rPr>
        <w:noBreakHyphen/>
        <w:t>phosphorylation and in turn phosphorylates the STAT protein. The latter protein then binds to another phosphorylated STAT protein (i.e., it undergoes dimerization) and is translocated to the cell nucleus where DNA transcription factors are activated. This system, known as JAK/STAT system</w:t>
      </w:r>
      <w:r w:rsidRPr="00390EBD">
        <w:rPr>
          <w:rFonts w:ascii="Book Antiqua" w:hAnsi="Book Antiqua" w:cs="Book Antiqua"/>
          <w:sz w:val="24"/>
          <w:szCs w:val="24"/>
          <w:vertAlign w:val="superscript"/>
          <w:lang w:val="en-US"/>
        </w:rPr>
        <w:t>[154]</w:t>
      </w:r>
      <w:r w:rsidRPr="00390EBD">
        <w:rPr>
          <w:rFonts w:ascii="Book Antiqua" w:hAnsi="Book Antiqua" w:cs="Book Antiqua"/>
          <w:sz w:val="24"/>
          <w:szCs w:val="24"/>
          <w:lang w:val="en-US"/>
        </w:rPr>
        <w:t>, has been implicated in the pathogenesis of different diseases</w:t>
      </w:r>
      <w:r w:rsidRPr="00390EBD">
        <w:rPr>
          <w:rFonts w:ascii="Book Antiqua" w:hAnsi="Book Antiqua" w:cs="Book Antiqua"/>
          <w:sz w:val="24"/>
          <w:szCs w:val="24"/>
          <w:vertAlign w:val="superscript"/>
          <w:lang w:val="en-US"/>
        </w:rPr>
        <w:t>[155,156]</w:t>
      </w:r>
      <w:r w:rsidRPr="00390EBD">
        <w:rPr>
          <w:rFonts w:ascii="Book Antiqua" w:hAnsi="Book Antiqua" w:cs="Book Antiqua"/>
          <w:sz w:val="24"/>
          <w:szCs w:val="24"/>
          <w:lang w:val="en-US"/>
        </w:rPr>
        <w:t>, including specifically IBD</w:t>
      </w:r>
      <w:r w:rsidRPr="00390EBD">
        <w:rPr>
          <w:rFonts w:ascii="Book Antiqua" w:hAnsi="Book Antiqua" w:cs="Book Antiqua"/>
          <w:sz w:val="24"/>
          <w:szCs w:val="24"/>
          <w:vertAlign w:val="superscript"/>
          <w:lang w:val="en-US"/>
        </w:rPr>
        <w:t>[157]</w:t>
      </w:r>
      <w:r w:rsidRPr="00390EBD">
        <w:rPr>
          <w:rFonts w:ascii="Book Antiqua" w:hAnsi="Book Antiqua" w:cs="Book Antiqua"/>
          <w:sz w:val="24"/>
          <w:szCs w:val="24"/>
          <w:lang w:val="en-US"/>
        </w:rPr>
        <w:t>.</w:t>
      </w:r>
    </w:p>
    <w:p w14:paraId="47A2AC9B" w14:textId="77777777" w:rsidR="0020336D" w:rsidRDefault="0020336D" w:rsidP="00954CEE">
      <w:pPr>
        <w:autoSpaceDE w:val="0"/>
        <w:autoSpaceDN w:val="0"/>
        <w:adjustRightInd w:val="0"/>
        <w:snapToGrid w:val="0"/>
        <w:spacing w:after="0" w:line="360" w:lineRule="auto"/>
        <w:jc w:val="both"/>
        <w:rPr>
          <w:rFonts w:ascii="Book Antiqua" w:hAnsi="Book Antiqua" w:cs="Book Antiqua"/>
          <w:b/>
          <w:bCs/>
          <w:sz w:val="24"/>
          <w:szCs w:val="24"/>
          <w:lang w:val="en-US" w:eastAsia="zh-CN"/>
        </w:rPr>
      </w:pPr>
    </w:p>
    <w:p w14:paraId="084AE9F9" w14:textId="77777777" w:rsidR="006138C7" w:rsidRPr="0020336D" w:rsidRDefault="006138C7" w:rsidP="00954CEE">
      <w:pPr>
        <w:autoSpaceDE w:val="0"/>
        <w:autoSpaceDN w:val="0"/>
        <w:adjustRightInd w:val="0"/>
        <w:snapToGrid w:val="0"/>
        <w:spacing w:after="0" w:line="360" w:lineRule="auto"/>
        <w:jc w:val="both"/>
        <w:rPr>
          <w:rFonts w:ascii="Book Antiqua" w:hAnsi="Book Antiqua" w:cs="Book Antiqua"/>
          <w:b/>
          <w:bCs/>
          <w:i/>
          <w:sz w:val="24"/>
          <w:szCs w:val="24"/>
          <w:lang w:val="en-US"/>
        </w:rPr>
      </w:pPr>
      <w:r w:rsidRPr="0020336D">
        <w:rPr>
          <w:rFonts w:ascii="Book Antiqua" w:hAnsi="Book Antiqua" w:cs="Book Antiqua"/>
          <w:b/>
          <w:bCs/>
          <w:i/>
          <w:sz w:val="24"/>
          <w:szCs w:val="24"/>
          <w:lang w:val="en-US"/>
        </w:rPr>
        <w:t>Tofacitinib</w:t>
      </w:r>
    </w:p>
    <w:p w14:paraId="3CFEB812" w14:textId="3ED3C5FD"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lastRenderedPageBreak/>
        <w:t xml:space="preserve">This is a small molecule administered </w:t>
      </w:r>
      <w:r w:rsidRPr="00BB5B43">
        <w:rPr>
          <w:rFonts w:ascii="Book Antiqua" w:hAnsi="Book Antiqua" w:cs="Book Antiqua"/>
          <w:i/>
          <w:sz w:val="24"/>
          <w:szCs w:val="24"/>
          <w:lang w:val="en-US"/>
        </w:rPr>
        <w:t>via</w:t>
      </w:r>
      <w:r w:rsidRPr="00390EBD">
        <w:rPr>
          <w:rFonts w:ascii="Book Antiqua" w:hAnsi="Book Antiqua" w:cs="Book Antiqua"/>
          <w:sz w:val="24"/>
          <w:szCs w:val="24"/>
          <w:lang w:val="en-US"/>
        </w:rPr>
        <w:t xml:space="preserve"> the oral route that selectively inhibits JAK1 and JAK3, affecting the signaling pathways of cytokines such as IL</w:t>
      </w:r>
      <w:r w:rsidRPr="00390EBD">
        <w:rPr>
          <w:rFonts w:ascii="Book Antiqua" w:hAnsi="Book Antiqua" w:cs="Book Antiqua"/>
          <w:sz w:val="24"/>
          <w:szCs w:val="24"/>
          <w:lang w:val="en-US"/>
        </w:rPr>
        <w:noBreakHyphen/>
        <w:t>2, 4, 7, 9, 15 and 21</w:t>
      </w:r>
      <w:r w:rsidRPr="00390EBD">
        <w:rPr>
          <w:rFonts w:ascii="Book Antiqua" w:hAnsi="Book Antiqua" w:cs="Book Antiqua"/>
          <w:sz w:val="24"/>
          <w:szCs w:val="24"/>
          <w:vertAlign w:val="superscript"/>
          <w:lang w:val="en-US"/>
        </w:rPr>
        <w:t>[158,159]</w:t>
      </w:r>
      <w:r w:rsidRPr="00390EBD">
        <w:rPr>
          <w:rFonts w:ascii="Book Antiqua" w:hAnsi="Book Antiqua" w:cs="Book Antiqua"/>
          <w:sz w:val="24"/>
          <w:szCs w:val="24"/>
          <w:lang w:val="en-US"/>
        </w:rPr>
        <w:t>. Blocking these pathways could suppress the activation and proliferation of lymphocytes while maintaining T cell regulatory function</w:t>
      </w:r>
      <w:r w:rsidRPr="00390EBD">
        <w:rPr>
          <w:rFonts w:ascii="Book Antiqua" w:hAnsi="Book Antiqua" w:cs="Book Antiqua"/>
          <w:sz w:val="24"/>
          <w:szCs w:val="24"/>
          <w:vertAlign w:val="superscript"/>
          <w:lang w:val="en-US"/>
        </w:rPr>
        <w:t>[159,160]</w:t>
      </w:r>
      <w:r w:rsidRPr="00390EBD">
        <w:rPr>
          <w:rFonts w:ascii="Book Antiqua" w:hAnsi="Book Antiqua" w:cs="Book Antiqua"/>
          <w:sz w:val="24"/>
          <w:szCs w:val="24"/>
          <w:lang w:val="en-US"/>
        </w:rPr>
        <w:t xml:space="preserve">. In the year 2002, the United States FDA approved the drug for the treatment of RA. In the case of IBD the initial data are not encouraging in reference to CD as regards disease response or remission </w:t>
      </w:r>
      <w:r w:rsidRPr="00390EBD">
        <w:rPr>
          <w:rFonts w:ascii="Book Antiqua" w:hAnsi="Book Antiqua" w:cs="Book Antiqua"/>
          <w:sz w:val="24"/>
          <w:szCs w:val="24"/>
          <w:lang w:val="en-US"/>
        </w:rPr>
        <w:noBreakHyphen/>
        <w:t xml:space="preserve"> though the drug is associated to a significant decrease in biomarkers (C</w:t>
      </w:r>
      <w:r w:rsidRPr="00390EBD">
        <w:rPr>
          <w:rFonts w:ascii="Book Antiqua" w:hAnsi="Book Antiqua" w:cs="Book Antiqua"/>
          <w:sz w:val="24"/>
          <w:szCs w:val="24"/>
          <w:lang w:val="en-US"/>
        </w:rPr>
        <w:noBreakHyphen/>
        <w:t>reactive protein and calprotectin)</w:t>
      </w:r>
      <w:r w:rsidRPr="00390EBD">
        <w:rPr>
          <w:rFonts w:ascii="Book Antiqua" w:hAnsi="Book Antiqua" w:cs="Book Antiqua"/>
          <w:sz w:val="24"/>
          <w:szCs w:val="24"/>
          <w:vertAlign w:val="superscript"/>
          <w:lang w:val="en-US"/>
        </w:rPr>
        <w:t>[161]</w:t>
      </w:r>
      <w:r w:rsidRPr="00390EBD">
        <w:rPr>
          <w:rFonts w:ascii="Book Antiqua" w:hAnsi="Book Antiqua" w:cs="Book Antiqua"/>
          <w:sz w:val="24"/>
          <w:szCs w:val="24"/>
          <w:lang w:val="en-US"/>
        </w:rPr>
        <w:t>. In reference to UC, the results of a randomized, double</w:t>
      </w:r>
      <w:r w:rsidRPr="00390EBD">
        <w:rPr>
          <w:rFonts w:ascii="Book Antiqua" w:hAnsi="Book Antiqua" w:cs="Book Antiqua"/>
          <w:sz w:val="24"/>
          <w:szCs w:val="24"/>
          <w:lang w:val="en-US"/>
        </w:rPr>
        <w:noBreakHyphen/>
        <w:t>blind phase II trial involving four treatme</w:t>
      </w:r>
      <w:r w:rsidR="0020336D">
        <w:rPr>
          <w:rFonts w:ascii="Book Antiqua" w:hAnsi="Book Antiqua" w:cs="Book Antiqua"/>
          <w:sz w:val="24"/>
          <w:szCs w:val="24"/>
          <w:lang w:val="en-US"/>
        </w:rPr>
        <w:t>nt doses (0.5, 3, 10 or 15 mg/d</w:t>
      </w:r>
      <w:r w:rsidRPr="00390EBD">
        <w:rPr>
          <w:rFonts w:ascii="Book Antiqua" w:hAnsi="Book Antiqua" w:cs="Book Antiqua"/>
          <w:sz w:val="24"/>
          <w:szCs w:val="24"/>
          <w:lang w:val="en-US"/>
        </w:rPr>
        <w:t xml:space="preserve"> p.o.) or PB in 194 patients with moderate to severe UC were published</w:t>
      </w:r>
      <w:r w:rsidRPr="00390EBD">
        <w:rPr>
          <w:rFonts w:ascii="Book Antiqua" w:hAnsi="Book Antiqua" w:cs="Book Antiqua"/>
          <w:sz w:val="24"/>
          <w:szCs w:val="24"/>
          <w:vertAlign w:val="superscript"/>
          <w:lang w:val="en-US"/>
        </w:rPr>
        <w:t>[162]</w:t>
      </w:r>
      <w:r w:rsidRPr="00390EBD">
        <w:rPr>
          <w:rFonts w:ascii="Book Antiqua" w:hAnsi="Book Antiqua" w:cs="Book Antiqua"/>
          <w:sz w:val="24"/>
          <w:szCs w:val="24"/>
          <w:lang w:val="en-US"/>
        </w:rPr>
        <w:t xml:space="preserve">. The primary endpoint was clinical response in week 8. In the high dose groups (10 and 15 mg, respectively), the clinical response was greater than in the PB series </w:t>
      </w:r>
      <w:r w:rsidRPr="00390EBD">
        <w:rPr>
          <w:rFonts w:ascii="Book Antiqua" w:hAnsi="Book Antiqua" w:cs="Book Antiqua"/>
          <w:sz w:val="24"/>
          <w:szCs w:val="24"/>
          <w:lang w:val="en-US"/>
        </w:rPr>
        <w:noBreakHyphen/>
        <w:t xml:space="preserve"> statistical significance being reached with the 15 mg dose (61% and 78%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42%, </w:t>
      </w:r>
      <w:r w:rsidR="0020336D" w:rsidRPr="0020336D">
        <w:rPr>
          <w:rFonts w:ascii="Book Antiqua" w:hAnsi="Book Antiqua" w:cs="Book Antiqua"/>
          <w:i/>
          <w:caps/>
          <w:sz w:val="24"/>
          <w:szCs w:val="24"/>
          <w:lang w:val="en-US"/>
        </w:rPr>
        <w:t xml:space="preserve">p = </w:t>
      </w:r>
      <w:r w:rsidRPr="00390EBD">
        <w:rPr>
          <w:rFonts w:ascii="Book Antiqua" w:hAnsi="Book Antiqua" w:cs="Book Antiqua"/>
          <w:sz w:val="24"/>
          <w:szCs w:val="24"/>
          <w:lang w:val="en-US"/>
        </w:rPr>
        <w:t xml:space="preserve">0.10 and </w:t>
      </w:r>
      <w:r w:rsidR="009046D6" w:rsidRPr="009046D6">
        <w:rPr>
          <w:rFonts w:ascii="Book Antiqua" w:hAnsi="Book Antiqua" w:cs="Book Antiqua"/>
          <w:i/>
          <w:caps/>
          <w:sz w:val="24"/>
          <w:szCs w:val="24"/>
          <w:lang w:val="en-US"/>
        </w:rPr>
        <w:t>p &lt;</w:t>
      </w:r>
      <w:r w:rsidR="0020336D" w:rsidRPr="0020336D">
        <w:rPr>
          <w:rFonts w:ascii="Book Antiqua" w:hAnsi="Book Antiqua" w:cs="Book Antiqua"/>
          <w:i/>
          <w:caps/>
          <w:sz w:val="24"/>
          <w:szCs w:val="24"/>
          <w:lang w:val="en-US"/>
        </w:rPr>
        <w:t xml:space="preserve"> </w:t>
      </w:r>
      <w:r w:rsidRPr="00390EBD">
        <w:rPr>
          <w:rFonts w:ascii="Book Antiqua" w:hAnsi="Book Antiqua" w:cs="Book Antiqua"/>
          <w:sz w:val="24"/>
          <w:szCs w:val="24"/>
          <w:lang w:val="en-US"/>
        </w:rPr>
        <w:t xml:space="preserve">0.001). Clinical remission reached statistical significance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PB with both doses (48% and 41%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10%, </w:t>
      </w:r>
      <w:r w:rsidR="009046D6" w:rsidRPr="009046D6">
        <w:rPr>
          <w:rFonts w:ascii="Book Antiqua" w:hAnsi="Book Antiqua" w:cs="Book Antiqua"/>
          <w:i/>
          <w:caps/>
          <w:sz w:val="24"/>
          <w:szCs w:val="24"/>
          <w:lang w:val="en-US"/>
        </w:rPr>
        <w:t>p &lt;</w:t>
      </w:r>
      <w:r w:rsidR="0020336D" w:rsidRPr="0020336D">
        <w:rPr>
          <w:rFonts w:ascii="Book Antiqua" w:hAnsi="Book Antiqua" w:cs="Book Antiqua"/>
          <w:i/>
          <w:caps/>
          <w:sz w:val="24"/>
          <w:szCs w:val="24"/>
          <w:lang w:val="en-US"/>
        </w:rPr>
        <w:t xml:space="preserve"> </w:t>
      </w:r>
      <w:r w:rsidRPr="00390EBD">
        <w:rPr>
          <w:rFonts w:ascii="Book Antiqua" w:hAnsi="Book Antiqua" w:cs="Book Antiqua"/>
          <w:sz w:val="24"/>
          <w:szCs w:val="24"/>
          <w:lang w:val="en-US"/>
        </w:rPr>
        <w:t>0.001). A subsequent sub</w:t>
      </w:r>
      <w:r w:rsidRPr="00390EBD">
        <w:rPr>
          <w:rFonts w:ascii="Book Antiqua" w:hAnsi="Book Antiqua" w:cs="Book Antiqua"/>
          <w:sz w:val="24"/>
          <w:szCs w:val="24"/>
          <w:lang w:val="en-US"/>
        </w:rPr>
        <w:noBreakHyphen/>
        <w:t>analysis</w:t>
      </w:r>
      <w:r w:rsidR="00D95AD7">
        <w:rPr>
          <w:rFonts w:ascii="Book Antiqua" w:hAnsi="Book Antiqua" w:cs="Book Antiqua"/>
          <w:sz w:val="24"/>
          <w:szCs w:val="24"/>
          <w:lang w:val="en-US"/>
        </w:rPr>
        <w:t xml:space="preserve"> </w:t>
      </w:r>
      <w:r w:rsidRPr="00390EBD">
        <w:rPr>
          <w:rFonts w:ascii="Book Antiqua" w:hAnsi="Book Antiqua" w:cs="Book Antiqua"/>
          <w:sz w:val="24"/>
          <w:szCs w:val="24"/>
          <w:lang w:val="en-US"/>
        </w:rPr>
        <w:t>demonstrated improvement in patient quality of life</w:t>
      </w:r>
      <w:r w:rsidRPr="00390EBD">
        <w:rPr>
          <w:rFonts w:ascii="Book Antiqua" w:hAnsi="Book Antiqua" w:cs="Book Antiqua"/>
          <w:sz w:val="24"/>
          <w:szCs w:val="24"/>
          <w:vertAlign w:val="superscript"/>
          <w:lang w:val="en-US"/>
        </w:rPr>
        <w:t>[163]</w:t>
      </w:r>
      <w:r w:rsidRPr="00390EBD">
        <w:rPr>
          <w:rFonts w:ascii="Book Antiqua" w:hAnsi="Book Antiqua" w:cs="Book Antiqua"/>
          <w:sz w:val="24"/>
          <w:szCs w:val="24"/>
          <w:lang w:val="en-US"/>
        </w:rPr>
        <w:t>. Further studies involving larger patient samples are needed to confirm the efficacy and safety of the drug.</w:t>
      </w:r>
    </w:p>
    <w:p w14:paraId="48121A6D" w14:textId="77777777" w:rsidR="0020336D" w:rsidRDefault="0020336D" w:rsidP="00954CEE">
      <w:pPr>
        <w:autoSpaceDE w:val="0"/>
        <w:autoSpaceDN w:val="0"/>
        <w:adjustRightInd w:val="0"/>
        <w:snapToGrid w:val="0"/>
        <w:spacing w:after="0" w:line="360" w:lineRule="auto"/>
        <w:jc w:val="both"/>
        <w:rPr>
          <w:rFonts w:ascii="Book Antiqua" w:hAnsi="Book Antiqua" w:cs="Book Antiqua"/>
          <w:b/>
          <w:bCs/>
          <w:sz w:val="24"/>
          <w:szCs w:val="24"/>
          <w:lang w:val="en-US" w:eastAsia="zh-CN"/>
        </w:rPr>
      </w:pPr>
    </w:p>
    <w:p w14:paraId="12E85060" w14:textId="77777777" w:rsidR="006138C7" w:rsidRPr="0020336D" w:rsidRDefault="006138C7" w:rsidP="00954CEE">
      <w:pPr>
        <w:autoSpaceDE w:val="0"/>
        <w:autoSpaceDN w:val="0"/>
        <w:adjustRightInd w:val="0"/>
        <w:snapToGrid w:val="0"/>
        <w:spacing w:after="0" w:line="360" w:lineRule="auto"/>
        <w:jc w:val="both"/>
        <w:rPr>
          <w:rFonts w:ascii="Book Antiqua" w:hAnsi="Book Antiqua" w:cs="Book Antiqua"/>
          <w:b/>
          <w:bCs/>
          <w:i/>
          <w:sz w:val="24"/>
          <w:szCs w:val="24"/>
          <w:lang w:val="en-US"/>
        </w:rPr>
      </w:pPr>
      <w:r w:rsidRPr="0020336D">
        <w:rPr>
          <w:rFonts w:ascii="Book Antiqua" w:hAnsi="Book Antiqua" w:cs="Book Antiqua"/>
          <w:b/>
          <w:bCs/>
          <w:i/>
          <w:sz w:val="24"/>
          <w:szCs w:val="24"/>
          <w:lang w:val="en-US"/>
        </w:rPr>
        <w:t>Inhibition of IL</w:t>
      </w:r>
      <w:r w:rsidRPr="0020336D">
        <w:rPr>
          <w:rFonts w:ascii="Book Antiqua" w:hAnsi="Book Antiqua" w:cs="Book Antiqua"/>
          <w:b/>
          <w:bCs/>
          <w:i/>
          <w:sz w:val="24"/>
          <w:szCs w:val="24"/>
          <w:lang w:val="en-US"/>
        </w:rPr>
        <w:noBreakHyphen/>
        <w:t>13</w:t>
      </w:r>
    </w:p>
    <w:p w14:paraId="75603170" w14:textId="77777777" w:rsidR="006138C7"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eastAsia="zh-CN"/>
        </w:rPr>
      </w:pPr>
      <w:r w:rsidRPr="00390EBD">
        <w:rPr>
          <w:rFonts w:ascii="Book Antiqua" w:hAnsi="Book Antiqua" w:cs="Book Antiqua"/>
          <w:sz w:val="24"/>
          <w:szCs w:val="24"/>
          <w:lang w:val="en-US"/>
        </w:rPr>
        <w:t>In this line of research, studies have been made of the inhibition of the mentioned pathway with monoclonal antibodies targeted to IL</w:t>
      </w:r>
      <w:r w:rsidRPr="00390EBD">
        <w:rPr>
          <w:rFonts w:ascii="Book Antiqua" w:hAnsi="Book Antiqua" w:cs="Book Antiqua"/>
          <w:sz w:val="24"/>
          <w:szCs w:val="24"/>
          <w:lang w:val="en-US"/>
        </w:rPr>
        <w:noBreakHyphen/>
        <w:t>13, which is responsible for activating the JAK/STAT pathway</w:t>
      </w:r>
      <w:r w:rsidRPr="00390EBD">
        <w:rPr>
          <w:rFonts w:ascii="Book Antiqua" w:hAnsi="Book Antiqua" w:cs="Book Antiqua"/>
          <w:sz w:val="24"/>
          <w:szCs w:val="24"/>
          <w:vertAlign w:val="superscript"/>
          <w:lang w:val="en-US"/>
        </w:rPr>
        <w:t>[164]</w:t>
      </w:r>
      <w:r w:rsidRPr="00390EBD">
        <w:rPr>
          <w:rFonts w:ascii="Book Antiqua" w:hAnsi="Book Antiqua" w:cs="Book Antiqua"/>
          <w:sz w:val="24"/>
          <w:szCs w:val="24"/>
          <w:lang w:val="en-US"/>
        </w:rPr>
        <w:t>. The studies are cited in the section on interleukin antagonist drugs.</w:t>
      </w:r>
    </w:p>
    <w:p w14:paraId="798CAA33" w14:textId="77777777" w:rsidR="0020336D" w:rsidRPr="00390EBD" w:rsidRDefault="0020336D" w:rsidP="00954CEE">
      <w:pPr>
        <w:autoSpaceDE w:val="0"/>
        <w:autoSpaceDN w:val="0"/>
        <w:adjustRightInd w:val="0"/>
        <w:snapToGrid w:val="0"/>
        <w:spacing w:after="0" w:line="360" w:lineRule="auto"/>
        <w:jc w:val="both"/>
        <w:rPr>
          <w:rFonts w:ascii="Book Antiqua" w:hAnsi="Book Antiqua" w:cs="Book Antiqua"/>
          <w:sz w:val="24"/>
          <w:szCs w:val="24"/>
          <w:lang w:val="en-US" w:eastAsia="zh-CN"/>
        </w:rPr>
      </w:pPr>
    </w:p>
    <w:p w14:paraId="0655893B" w14:textId="77777777" w:rsidR="006138C7" w:rsidRPr="00390EBD" w:rsidRDefault="006138C7" w:rsidP="00954CEE">
      <w:pPr>
        <w:adjustRightInd w:val="0"/>
        <w:snapToGrid w:val="0"/>
        <w:spacing w:after="0" w:line="360" w:lineRule="auto"/>
        <w:jc w:val="both"/>
        <w:rPr>
          <w:rFonts w:ascii="Book Antiqua" w:hAnsi="Book Antiqua" w:cs="Book Antiqua"/>
          <w:b/>
          <w:bCs/>
          <w:sz w:val="24"/>
          <w:szCs w:val="24"/>
          <w:lang w:val="en-US"/>
        </w:rPr>
      </w:pPr>
      <w:r w:rsidRPr="00390EBD">
        <w:rPr>
          <w:rFonts w:ascii="Book Antiqua" w:hAnsi="Book Antiqua" w:cs="Book Antiqua"/>
          <w:b/>
          <w:bCs/>
          <w:sz w:val="24"/>
          <w:szCs w:val="24"/>
          <w:lang w:val="en-US"/>
        </w:rPr>
        <w:t>ANTIADHESION MOLECULES</w:t>
      </w:r>
    </w:p>
    <w:p w14:paraId="1A7E5382" w14:textId="77777777" w:rsidR="006138C7"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eastAsia="zh-CN"/>
        </w:rPr>
      </w:pPr>
      <w:r w:rsidRPr="00390EBD">
        <w:rPr>
          <w:rFonts w:ascii="Book Antiqua" w:hAnsi="Book Antiqua" w:cs="Book Antiqua"/>
          <w:sz w:val="24"/>
          <w:szCs w:val="24"/>
          <w:lang w:val="en-US"/>
        </w:rPr>
        <w:t xml:space="preserve">Adhesion molecules constitute one of the most advanced lines of research in IBD. Adhesion molecules are transmembrane receptors with three domains (intracellular, transmembrane and extracellular) that induce cellular changes </w:t>
      </w:r>
      <w:r w:rsidRPr="00390EBD">
        <w:rPr>
          <w:rFonts w:ascii="Book Antiqua" w:hAnsi="Book Antiqua" w:cs="Book Antiqua"/>
          <w:sz w:val="24"/>
          <w:szCs w:val="24"/>
          <w:lang w:val="en-US"/>
        </w:rPr>
        <w:lastRenderedPageBreak/>
        <w:t>following stimulation by external molecules. These molecules include the integrins and lymphocyte homing receptors.</w:t>
      </w:r>
    </w:p>
    <w:p w14:paraId="246A683B" w14:textId="77777777" w:rsidR="0020336D" w:rsidRPr="00390EBD" w:rsidRDefault="0020336D" w:rsidP="00954CEE">
      <w:pPr>
        <w:autoSpaceDE w:val="0"/>
        <w:autoSpaceDN w:val="0"/>
        <w:adjustRightInd w:val="0"/>
        <w:snapToGrid w:val="0"/>
        <w:spacing w:after="0" w:line="360" w:lineRule="auto"/>
        <w:jc w:val="both"/>
        <w:rPr>
          <w:rFonts w:ascii="Book Antiqua" w:hAnsi="Book Antiqua" w:cs="Book Antiqua"/>
          <w:sz w:val="24"/>
          <w:szCs w:val="24"/>
          <w:lang w:val="en-US" w:eastAsia="zh-CN"/>
        </w:rPr>
      </w:pPr>
    </w:p>
    <w:p w14:paraId="7B56691B" w14:textId="77777777" w:rsidR="006138C7" w:rsidRPr="0020336D" w:rsidRDefault="006138C7" w:rsidP="00954CEE">
      <w:pPr>
        <w:autoSpaceDE w:val="0"/>
        <w:autoSpaceDN w:val="0"/>
        <w:adjustRightInd w:val="0"/>
        <w:snapToGrid w:val="0"/>
        <w:spacing w:after="0" w:line="360" w:lineRule="auto"/>
        <w:jc w:val="both"/>
        <w:rPr>
          <w:rFonts w:ascii="Book Antiqua" w:hAnsi="Book Antiqua" w:cs="Book Antiqua"/>
          <w:b/>
          <w:bCs/>
          <w:i/>
          <w:sz w:val="24"/>
          <w:szCs w:val="24"/>
          <w:lang w:val="en-US"/>
        </w:rPr>
      </w:pPr>
      <w:r w:rsidRPr="0020336D">
        <w:rPr>
          <w:rFonts w:ascii="Book Antiqua" w:hAnsi="Book Antiqua" w:cs="Book Antiqua"/>
          <w:b/>
          <w:bCs/>
          <w:i/>
          <w:sz w:val="24"/>
          <w:szCs w:val="24"/>
          <w:lang w:val="en-US"/>
        </w:rPr>
        <w:t>Natalizumab</w:t>
      </w:r>
    </w:p>
    <w:p w14:paraId="3D0B2A91" w14:textId="77777777" w:rsidR="006138C7"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val="en-US" w:eastAsia="zh-CN"/>
        </w:rPr>
      </w:pPr>
      <w:r w:rsidRPr="00390EBD">
        <w:rPr>
          <w:rFonts w:ascii="Book Antiqua" w:hAnsi="Book Antiqua" w:cs="Book Antiqua"/>
          <w:sz w:val="24"/>
          <w:szCs w:val="24"/>
          <w:lang w:val="en-US"/>
        </w:rPr>
        <w:t xml:space="preserve">This was the first drug to be investigated, and consists of an IgG4 monoclonal antibody targeted to integrin subunit </w:t>
      </w:r>
      <w:r w:rsidRPr="00390EBD">
        <w:rPr>
          <w:rFonts w:ascii="Book Antiqua" w:hAnsi="Book Antiqua" w:cs="Book Antiqua"/>
          <w:color w:val="000000"/>
          <w:sz w:val="24"/>
          <w:szCs w:val="24"/>
        </w:rPr>
        <w:t>α</w:t>
      </w:r>
      <w:r w:rsidRPr="00390EBD">
        <w:rPr>
          <w:rFonts w:ascii="Book Antiqua" w:hAnsi="Book Antiqua" w:cs="Book Antiqua"/>
          <w:sz w:val="24"/>
          <w:szCs w:val="24"/>
          <w:lang w:val="en-US"/>
        </w:rPr>
        <w:t>4. Natalizumab initially showed favorable results in CD</w:t>
      </w:r>
      <w:r w:rsidRPr="00390EBD">
        <w:rPr>
          <w:rFonts w:ascii="Book Antiqua" w:hAnsi="Book Antiqua" w:cs="Book Antiqua"/>
          <w:sz w:val="24"/>
          <w:szCs w:val="24"/>
          <w:vertAlign w:val="superscript"/>
          <w:lang w:val="en-US"/>
        </w:rPr>
        <w:t>[165,166]</w:t>
      </w:r>
      <w:r w:rsidRPr="00390EBD">
        <w:rPr>
          <w:rFonts w:ascii="Book Antiqua" w:hAnsi="Book Antiqua" w:cs="Book Antiqua"/>
          <w:sz w:val="24"/>
          <w:szCs w:val="24"/>
          <w:lang w:val="en-US"/>
        </w:rPr>
        <w:t>, though the risk of progressive multifocal leukoencephalopathy (PML) secondary to reactivation of the JC virus has limited its use</w:t>
      </w:r>
      <w:r w:rsidRPr="00390EBD">
        <w:rPr>
          <w:rFonts w:ascii="Book Antiqua" w:hAnsi="Book Antiqua" w:cs="Book Antiqua"/>
          <w:sz w:val="24"/>
          <w:szCs w:val="24"/>
          <w:vertAlign w:val="superscript"/>
          <w:lang w:val="en-US"/>
        </w:rPr>
        <w:t>[167,168]</w:t>
      </w:r>
      <w:r w:rsidRPr="00390EBD">
        <w:rPr>
          <w:rFonts w:ascii="Book Antiqua" w:hAnsi="Book Antiqua" w:cs="Book Antiqua"/>
          <w:sz w:val="24"/>
          <w:szCs w:val="24"/>
          <w:lang w:val="en-US"/>
        </w:rPr>
        <w:t xml:space="preserve">. Natalizumab acts by blocking the interaction of </w:t>
      </w:r>
      <w:r w:rsidRPr="00390EBD">
        <w:rPr>
          <w:rFonts w:ascii="Book Antiqua" w:hAnsi="Book Antiqua" w:cs="Book Antiqua"/>
          <w:color w:val="000000"/>
          <w:sz w:val="24"/>
          <w:szCs w:val="24"/>
        </w:rPr>
        <w:t>α</w:t>
      </w:r>
      <w:r w:rsidRPr="00390EBD">
        <w:rPr>
          <w:rFonts w:ascii="Book Antiqua" w:hAnsi="Book Antiqua" w:cs="Book Antiqua"/>
          <w:sz w:val="24"/>
          <w:szCs w:val="24"/>
          <w:lang w:val="en-US"/>
        </w:rPr>
        <w:t>4</w:t>
      </w:r>
      <w:r w:rsidRPr="00390EBD">
        <w:rPr>
          <w:rFonts w:ascii="Book Antiqua" w:hAnsi="Book Antiqua" w:cs="Book Antiqua"/>
          <w:color w:val="000000"/>
          <w:sz w:val="24"/>
          <w:szCs w:val="24"/>
          <w:lang w:val="en-US"/>
        </w:rPr>
        <w:t xml:space="preserve"> </w:t>
      </w:r>
      <w:r w:rsidRPr="00390EBD">
        <w:rPr>
          <w:rFonts w:ascii="Book Antiqua" w:hAnsi="Book Antiqua" w:cs="Book Antiqua"/>
          <w:color w:val="000000"/>
          <w:sz w:val="24"/>
          <w:szCs w:val="24"/>
        </w:rPr>
        <w:t>β</w:t>
      </w:r>
      <w:r w:rsidRPr="00390EBD">
        <w:rPr>
          <w:rFonts w:ascii="Book Antiqua" w:hAnsi="Book Antiqua" w:cs="Book Antiqua"/>
          <w:color w:val="000000"/>
          <w:sz w:val="24"/>
          <w:szCs w:val="24"/>
          <w:lang w:val="en-US"/>
        </w:rPr>
        <w:t xml:space="preserve">7 with </w:t>
      </w:r>
      <w:r w:rsidRPr="00390EBD">
        <w:rPr>
          <w:rStyle w:val="st1"/>
          <w:rFonts w:ascii="Book Antiqua" w:hAnsi="Book Antiqua" w:cs="Book Antiqua"/>
          <w:sz w:val="24"/>
          <w:szCs w:val="24"/>
          <w:lang w:val="en-US"/>
        </w:rPr>
        <w:t>mucosal vascular addressin cell adhesion molecule</w:t>
      </w:r>
      <w:r w:rsidRPr="00390EBD">
        <w:rPr>
          <w:rStyle w:val="st1"/>
          <w:rFonts w:ascii="Book Antiqua" w:hAnsi="Book Antiqua" w:cs="Book Antiqua"/>
          <w:sz w:val="24"/>
          <w:szCs w:val="24"/>
          <w:lang w:val="en-US"/>
        </w:rPr>
        <w:noBreakHyphen/>
        <w:t>1</w:t>
      </w:r>
      <w:r w:rsidRPr="00390EBD">
        <w:rPr>
          <w:rStyle w:val="st1"/>
          <w:rFonts w:ascii="Book Antiqua" w:hAnsi="Book Antiqua" w:cs="Book Antiqua"/>
          <w:color w:val="545454"/>
          <w:sz w:val="24"/>
          <w:szCs w:val="24"/>
          <w:lang w:val="en-US"/>
        </w:rPr>
        <w:t xml:space="preserve"> (</w:t>
      </w:r>
      <w:r w:rsidRPr="00390EBD">
        <w:rPr>
          <w:rFonts w:ascii="Book Antiqua" w:hAnsi="Book Antiqua" w:cs="Book Antiqua"/>
          <w:color w:val="000000"/>
          <w:sz w:val="24"/>
          <w:szCs w:val="24"/>
          <w:lang w:val="en-US"/>
        </w:rPr>
        <w:t>MadCAM</w:t>
      </w:r>
      <w:r w:rsidRPr="00390EBD">
        <w:rPr>
          <w:rFonts w:ascii="Book Antiqua" w:hAnsi="Book Antiqua" w:cs="Book Antiqua"/>
          <w:color w:val="000000"/>
          <w:sz w:val="24"/>
          <w:szCs w:val="24"/>
          <w:lang w:val="en-US"/>
        </w:rPr>
        <w:noBreakHyphen/>
        <w:t xml:space="preserve">1) and the interaction of </w:t>
      </w:r>
      <w:r w:rsidRPr="00390EBD">
        <w:rPr>
          <w:rFonts w:ascii="Book Antiqua" w:hAnsi="Book Antiqua" w:cs="Book Antiqua"/>
          <w:color w:val="000000"/>
          <w:sz w:val="24"/>
          <w:szCs w:val="24"/>
        </w:rPr>
        <w:t>α</w:t>
      </w:r>
      <w:r w:rsidRPr="00390EBD">
        <w:rPr>
          <w:rFonts w:ascii="Book Antiqua" w:hAnsi="Book Antiqua" w:cs="Book Antiqua"/>
          <w:sz w:val="24"/>
          <w:szCs w:val="24"/>
          <w:lang w:val="en-US"/>
        </w:rPr>
        <w:t>4</w:t>
      </w:r>
      <w:r w:rsidRPr="00390EBD">
        <w:rPr>
          <w:rFonts w:ascii="Book Antiqua" w:hAnsi="Book Antiqua" w:cs="Book Antiqua"/>
          <w:color w:val="000000"/>
          <w:sz w:val="24"/>
          <w:szCs w:val="24"/>
          <w:lang w:val="en-US"/>
        </w:rPr>
        <w:t xml:space="preserve"> </w:t>
      </w:r>
      <w:r w:rsidRPr="00390EBD">
        <w:rPr>
          <w:rFonts w:ascii="Book Antiqua" w:hAnsi="Book Antiqua" w:cs="Book Antiqua"/>
          <w:color w:val="000000"/>
          <w:sz w:val="24"/>
          <w:szCs w:val="24"/>
        </w:rPr>
        <w:t>β</w:t>
      </w:r>
      <w:r w:rsidRPr="00390EBD">
        <w:rPr>
          <w:rFonts w:ascii="Book Antiqua" w:hAnsi="Book Antiqua" w:cs="Book Antiqua"/>
          <w:color w:val="000000"/>
          <w:sz w:val="24"/>
          <w:szCs w:val="24"/>
          <w:lang w:val="en-US"/>
        </w:rPr>
        <w:t>1 with vascular cell adhesion molecule</w:t>
      </w:r>
      <w:r w:rsidRPr="00390EBD">
        <w:rPr>
          <w:rFonts w:ascii="Book Antiqua" w:hAnsi="Book Antiqua" w:cs="Book Antiqua"/>
          <w:color w:val="000000"/>
          <w:sz w:val="24"/>
          <w:szCs w:val="24"/>
          <w:lang w:val="en-US"/>
        </w:rPr>
        <w:noBreakHyphen/>
        <w:t>1 (VCAM</w:t>
      </w:r>
      <w:r w:rsidRPr="00390EBD">
        <w:rPr>
          <w:rFonts w:ascii="Book Antiqua" w:hAnsi="Book Antiqua" w:cs="Book Antiqua"/>
          <w:color w:val="000000"/>
          <w:sz w:val="24"/>
          <w:szCs w:val="24"/>
          <w:lang w:val="en-US"/>
        </w:rPr>
        <w:noBreakHyphen/>
        <w:t xml:space="preserve">1), which is critical to lymphocyte trafficking towards the central nervous system </w:t>
      </w:r>
      <w:r w:rsidRPr="00390EBD">
        <w:rPr>
          <w:rFonts w:ascii="Book Antiqua" w:hAnsi="Book Antiqua" w:cs="Book Antiqua"/>
          <w:color w:val="000000"/>
          <w:sz w:val="24"/>
          <w:szCs w:val="24"/>
          <w:lang w:val="en-US"/>
        </w:rPr>
        <w:noBreakHyphen/>
        <w:t xml:space="preserve"> thereby giving rise to the risk of JC virus reactivation</w:t>
      </w:r>
      <w:r w:rsidRPr="00390EBD">
        <w:rPr>
          <w:rFonts w:ascii="Book Antiqua" w:hAnsi="Book Antiqua" w:cs="Book Antiqua"/>
          <w:color w:val="000000"/>
          <w:sz w:val="24"/>
          <w:szCs w:val="24"/>
          <w:vertAlign w:val="superscript"/>
          <w:lang w:val="en-US"/>
        </w:rPr>
        <w:t>[169]</w:t>
      </w:r>
      <w:r w:rsidRPr="00390EBD">
        <w:rPr>
          <w:rFonts w:ascii="Book Antiqua" w:hAnsi="Book Antiqua" w:cs="Book Antiqua"/>
          <w:color w:val="000000"/>
          <w:sz w:val="24"/>
          <w:szCs w:val="24"/>
          <w:lang w:val="en-US"/>
        </w:rPr>
        <w:t>.</w:t>
      </w:r>
    </w:p>
    <w:p w14:paraId="212D6319" w14:textId="77777777" w:rsidR="0020336D" w:rsidRPr="00390EBD" w:rsidRDefault="0020336D" w:rsidP="00954CEE">
      <w:pPr>
        <w:autoSpaceDE w:val="0"/>
        <w:autoSpaceDN w:val="0"/>
        <w:adjustRightInd w:val="0"/>
        <w:snapToGrid w:val="0"/>
        <w:spacing w:after="0" w:line="360" w:lineRule="auto"/>
        <w:jc w:val="both"/>
        <w:rPr>
          <w:rFonts w:ascii="Book Antiqua" w:hAnsi="Book Antiqua" w:cs="Book Antiqua"/>
          <w:color w:val="000000"/>
          <w:sz w:val="24"/>
          <w:szCs w:val="24"/>
          <w:lang w:val="en-US" w:eastAsia="zh-CN"/>
        </w:rPr>
      </w:pPr>
    </w:p>
    <w:p w14:paraId="706CDCF5" w14:textId="77777777" w:rsidR="006138C7" w:rsidRPr="0020336D" w:rsidRDefault="006138C7" w:rsidP="00954CEE">
      <w:pPr>
        <w:autoSpaceDE w:val="0"/>
        <w:autoSpaceDN w:val="0"/>
        <w:adjustRightInd w:val="0"/>
        <w:snapToGrid w:val="0"/>
        <w:spacing w:after="0" w:line="360" w:lineRule="auto"/>
        <w:jc w:val="both"/>
        <w:rPr>
          <w:rFonts w:ascii="Book Antiqua" w:hAnsi="Book Antiqua" w:cs="Book Antiqua"/>
          <w:b/>
          <w:bCs/>
          <w:i/>
          <w:color w:val="000000"/>
          <w:sz w:val="24"/>
          <w:szCs w:val="24"/>
          <w:lang w:val="en-US"/>
        </w:rPr>
      </w:pPr>
      <w:r w:rsidRPr="0020336D">
        <w:rPr>
          <w:rFonts w:ascii="Book Antiqua" w:hAnsi="Book Antiqua" w:cs="Book Antiqua"/>
          <w:b/>
          <w:bCs/>
          <w:i/>
          <w:color w:val="000000"/>
          <w:sz w:val="24"/>
          <w:szCs w:val="24"/>
          <w:lang w:val="en-US"/>
        </w:rPr>
        <w:t>Vedolizumab</w:t>
      </w:r>
    </w:p>
    <w:p w14:paraId="1B658C81" w14:textId="77777777" w:rsidR="006138C7"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val="en-US" w:eastAsia="zh-CN"/>
        </w:rPr>
      </w:pPr>
      <w:r w:rsidRPr="00390EBD">
        <w:rPr>
          <w:rFonts w:ascii="Book Antiqua" w:hAnsi="Book Antiqua" w:cs="Book Antiqua"/>
          <w:sz w:val="24"/>
          <w:szCs w:val="24"/>
          <w:lang w:val="en-US"/>
        </w:rPr>
        <w:t xml:space="preserve">This is another IgG1 monoclonal antibody that binds to integrin </w:t>
      </w:r>
      <w:r w:rsidRPr="00390EBD">
        <w:rPr>
          <w:rFonts w:ascii="Book Antiqua" w:hAnsi="Book Antiqua" w:cs="Book Antiqua"/>
          <w:color w:val="000000"/>
          <w:sz w:val="24"/>
          <w:szCs w:val="24"/>
        </w:rPr>
        <w:t>α</w:t>
      </w:r>
      <w:r w:rsidRPr="00390EBD">
        <w:rPr>
          <w:rFonts w:ascii="Book Antiqua" w:hAnsi="Book Antiqua" w:cs="Book Antiqua"/>
          <w:sz w:val="24"/>
          <w:szCs w:val="24"/>
          <w:lang w:val="en-US"/>
        </w:rPr>
        <w:t>4</w:t>
      </w:r>
      <w:r w:rsidRPr="00390EBD">
        <w:rPr>
          <w:rFonts w:ascii="Book Antiqua" w:hAnsi="Book Antiqua" w:cs="Book Antiqua"/>
          <w:color w:val="000000"/>
          <w:sz w:val="24"/>
          <w:szCs w:val="24"/>
          <w:lang w:val="en-US"/>
        </w:rPr>
        <w:t xml:space="preserve"> </w:t>
      </w:r>
      <w:r w:rsidRPr="00390EBD">
        <w:rPr>
          <w:rFonts w:ascii="Book Antiqua" w:hAnsi="Book Antiqua" w:cs="Book Antiqua"/>
          <w:color w:val="000000"/>
          <w:sz w:val="24"/>
          <w:szCs w:val="24"/>
        </w:rPr>
        <w:t>β</w:t>
      </w:r>
      <w:r w:rsidRPr="00390EBD">
        <w:rPr>
          <w:rFonts w:ascii="Book Antiqua" w:hAnsi="Book Antiqua" w:cs="Book Antiqua"/>
          <w:color w:val="000000"/>
          <w:sz w:val="24"/>
          <w:szCs w:val="24"/>
          <w:lang w:val="en-US"/>
        </w:rPr>
        <w:t>7</w:t>
      </w:r>
      <w:r w:rsidRPr="00390EBD">
        <w:rPr>
          <w:rFonts w:ascii="Book Antiqua" w:hAnsi="Book Antiqua" w:cs="Book Antiqua"/>
          <w:sz w:val="24"/>
          <w:szCs w:val="24"/>
          <w:lang w:val="en-US"/>
        </w:rPr>
        <w:t>, preventing it from binding to its specific intestinal ligand, MadCAM</w:t>
      </w:r>
      <w:r w:rsidRPr="00390EBD">
        <w:rPr>
          <w:rFonts w:ascii="Book Antiqua" w:hAnsi="Book Antiqua" w:cs="Book Antiqua"/>
          <w:sz w:val="24"/>
          <w:szCs w:val="24"/>
          <w:lang w:val="en-US"/>
        </w:rPr>
        <w:noBreakHyphen/>
        <w:t xml:space="preserve">1. T lymphocyte migration towards the inflamed intestinal areas is inhibited as a result. In contrast to natalizumab, it does not bind to integrins </w:t>
      </w:r>
      <w:r w:rsidRPr="00390EBD">
        <w:rPr>
          <w:rFonts w:ascii="Book Antiqua" w:hAnsi="Book Antiqua" w:cs="Book Antiqua"/>
          <w:color w:val="000000"/>
          <w:sz w:val="24"/>
          <w:szCs w:val="24"/>
        </w:rPr>
        <w:t>α</w:t>
      </w:r>
      <w:r w:rsidRPr="00390EBD">
        <w:rPr>
          <w:rFonts w:ascii="Book Antiqua" w:hAnsi="Book Antiqua" w:cs="Book Antiqua"/>
          <w:color w:val="000000"/>
          <w:sz w:val="24"/>
          <w:szCs w:val="24"/>
          <w:lang w:val="en-US"/>
        </w:rPr>
        <w:t>4</w:t>
      </w:r>
      <w:r w:rsidRPr="00390EBD">
        <w:rPr>
          <w:rFonts w:ascii="Book Antiqua" w:hAnsi="Book Antiqua" w:cs="Book Antiqua"/>
          <w:color w:val="000000"/>
          <w:sz w:val="24"/>
          <w:szCs w:val="24"/>
        </w:rPr>
        <w:t>β</w:t>
      </w:r>
      <w:r w:rsidRPr="00390EBD">
        <w:rPr>
          <w:rFonts w:ascii="Book Antiqua" w:hAnsi="Book Antiqua" w:cs="Book Antiqua"/>
          <w:color w:val="000000"/>
          <w:sz w:val="24"/>
          <w:szCs w:val="24"/>
          <w:lang w:val="en-US"/>
        </w:rPr>
        <w:t xml:space="preserve">1 and </w:t>
      </w:r>
      <w:r w:rsidRPr="00390EBD">
        <w:rPr>
          <w:rFonts w:ascii="Book Antiqua" w:hAnsi="Book Antiqua" w:cs="Book Antiqua"/>
          <w:color w:val="000000"/>
          <w:sz w:val="24"/>
          <w:szCs w:val="24"/>
        </w:rPr>
        <w:t>α</w:t>
      </w:r>
      <w:r w:rsidRPr="00390EBD">
        <w:rPr>
          <w:rFonts w:ascii="Book Antiqua" w:hAnsi="Book Antiqua" w:cs="Book Antiqua"/>
          <w:color w:val="000000"/>
          <w:sz w:val="24"/>
          <w:szCs w:val="24"/>
          <w:lang w:val="en-US"/>
        </w:rPr>
        <w:t>E</w:t>
      </w:r>
      <w:r w:rsidRPr="00390EBD">
        <w:rPr>
          <w:rFonts w:ascii="Book Antiqua" w:hAnsi="Book Antiqua" w:cs="Book Antiqua"/>
          <w:color w:val="000000"/>
          <w:sz w:val="24"/>
          <w:szCs w:val="24"/>
        </w:rPr>
        <w:t>β</w:t>
      </w:r>
      <w:r w:rsidRPr="00390EBD">
        <w:rPr>
          <w:rFonts w:ascii="Book Antiqua" w:hAnsi="Book Antiqua" w:cs="Book Antiqua"/>
          <w:color w:val="000000"/>
          <w:sz w:val="24"/>
          <w:szCs w:val="24"/>
          <w:lang w:val="en-US"/>
        </w:rPr>
        <w:t xml:space="preserve">7, and does not antagonize the interaction of integrin </w:t>
      </w:r>
      <w:r w:rsidRPr="00390EBD">
        <w:rPr>
          <w:rFonts w:ascii="Book Antiqua" w:hAnsi="Book Antiqua" w:cs="Book Antiqua"/>
          <w:color w:val="000000"/>
          <w:sz w:val="24"/>
          <w:szCs w:val="24"/>
        </w:rPr>
        <w:t>α</w:t>
      </w:r>
      <w:r w:rsidRPr="00390EBD">
        <w:rPr>
          <w:rFonts w:ascii="Book Antiqua" w:hAnsi="Book Antiqua" w:cs="Book Antiqua"/>
          <w:color w:val="000000"/>
          <w:sz w:val="24"/>
          <w:szCs w:val="24"/>
          <w:lang w:val="en-US"/>
        </w:rPr>
        <w:t>4 with VCAM</w:t>
      </w:r>
      <w:r w:rsidRPr="00390EBD">
        <w:rPr>
          <w:rFonts w:ascii="Book Antiqua" w:hAnsi="Book Antiqua" w:cs="Book Antiqua"/>
          <w:color w:val="000000"/>
          <w:sz w:val="24"/>
          <w:szCs w:val="24"/>
          <w:lang w:val="en-US"/>
        </w:rPr>
        <w:noBreakHyphen/>
        <w:t>1. At present, and based on the results of clinical trials</w:t>
      </w:r>
      <w:r w:rsidRPr="00390EBD">
        <w:rPr>
          <w:rFonts w:ascii="Book Antiqua" w:hAnsi="Book Antiqua" w:cs="Book Antiqua"/>
          <w:color w:val="000000"/>
          <w:sz w:val="24"/>
          <w:szCs w:val="24"/>
          <w:vertAlign w:val="superscript"/>
          <w:lang w:val="en-US"/>
        </w:rPr>
        <w:t>[170,171]</w:t>
      </w:r>
      <w:r w:rsidRPr="00390EBD">
        <w:rPr>
          <w:rFonts w:ascii="Book Antiqua" w:hAnsi="Book Antiqua" w:cs="Book Antiqua"/>
          <w:color w:val="000000"/>
          <w:sz w:val="24"/>
          <w:szCs w:val="24"/>
          <w:lang w:val="en-US"/>
        </w:rPr>
        <w:t>, vedolizumab has been approved by both the FDA and the EMA for the treatment of patients with moderate to severe CD or UC who fail to respond to conventional treatment or therapy with anti</w:t>
      </w:r>
      <w:r w:rsidRPr="00390EBD">
        <w:rPr>
          <w:rFonts w:ascii="Book Antiqua" w:hAnsi="Book Antiqua" w:cs="Book Antiqua"/>
          <w:color w:val="000000"/>
          <w:sz w:val="24"/>
          <w:szCs w:val="24"/>
          <w:lang w:val="en-US"/>
        </w:rPr>
        <w:noBreakHyphen/>
        <w:t>TNF</w:t>
      </w:r>
      <w:r w:rsidRPr="00390EBD">
        <w:rPr>
          <w:rFonts w:ascii="Book Antiqua" w:hAnsi="Book Antiqua" w:cs="Book Antiqua"/>
          <w:color w:val="000000"/>
          <w:sz w:val="24"/>
          <w:szCs w:val="24"/>
          <w:lang w:val="en-US"/>
        </w:rPr>
        <w:noBreakHyphen/>
      </w:r>
      <w:r w:rsidRPr="00390EBD">
        <w:rPr>
          <w:rFonts w:ascii="Book Antiqua" w:hAnsi="Book Antiqua" w:cs="Book Antiqua"/>
          <w:color w:val="000000"/>
          <w:sz w:val="24"/>
          <w:szCs w:val="24"/>
        </w:rPr>
        <w:t>α</w:t>
      </w:r>
      <w:r w:rsidRPr="00390EBD">
        <w:rPr>
          <w:rFonts w:ascii="Book Antiqua" w:hAnsi="Book Antiqua" w:cs="Book Antiqua"/>
          <w:color w:val="000000"/>
          <w:sz w:val="24"/>
          <w:szCs w:val="24"/>
          <w:lang w:val="en-US"/>
        </w:rPr>
        <w:t xml:space="preserve"> drugs.</w:t>
      </w:r>
    </w:p>
    <w:p w14:paraId="653F6A61" w14:textId="77777777" w:rsidR="0020336D" w:rsidRPr="00390EBD" w:rsidRDefault="0020336D" w:rsidP="00954CEE">
      <w:pPr>
        <w:autoSpaceDE w:val="0"/>
        <w:autoSpaceDN w:val="0"/>
        <w:adjustRightInd w:val="0"/>
        <w:snapToGrid w:val="0"/>
        <w:spacing w:after="0" w:line="360" w:lineRule="auto"/>
        <w:jc w:val="both"/>
        <w:rPr>
          <w:rFonts w:ascii="Book Antiqua" w:hAnsi="Book Antiqua" w:cs="Book Antiqua"/>
          <w:color w:val="000000"/>
          <w:sz w:val="24"/>
          <w:szCs w:val="24"/>
          <w:lang w:val="en-US" w:eastAsia="zh-CN"/>
        </w:rPr>
      </w:pPr>
    </w:p>
    <w:p w14:paraId="21CC011D" w14:textId="77777777" w:rsidR="006138C7" w:rsidRPr="0020336D" w:rsidRDefault="006138C7" w:rsidP="00954CEE">
      <w:pPr>
        <w:autoSpaceDE w:val="0"/>
        <w:autoSpaceDN w:val="0"/>
        <w:adjustRightInd w:val="0"/>
        <w:snapToGrid w:val="0"/>
        <w:spacing w:after="0" w:line="360" w:lineRule="auto"/>
        <w:jc w:val="both"/>
        <w:rPr>
          <w:rFonts w:ascii="Book Antiqua" w:hAnsi="Book Antiqua" w:cs="Book Antiqua"/>
          <w:b/>
          <w:bCs/>
          <w:i/>
          <w:color w:val="000000"/>
          <w:sz w:val="24"/>
          <w:szCs w:val="24"/>
          <w:lang w:val="en-US"/>
        </w:rPr>
      </w:pPr>
      <w:r w:rsidRPr="0020336D">
        <w:rPr>
          <w:rFonts w:ascii="Book Antiqua" w:hAnsi="Book Antiqua" w:cs="Book Antiqua"/>
          <w:b/>
          <w:bCs/>
          <w:i/>
          <w:color w:val="000000"/>
          <w:sz w:val="24"/>
          <w:szCs w:val="24"/>
          <w:lang w:val="en-US"/>
        </w:rPr>
        <w:t>AMG 181</w:t>
      </w:r>
    </w:p>
    <w:p w14:paraId="2A537D9E"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 xml:space="preserve">AMG81 is another humanized IgG2 monoclonal antibody likewise targeted to integrin </w:t>
      </w:r>
      <w:r w:rsidRPr="00390EBD">
        <w:rPr>
          <w:rFonts w:ascii="Book Antiqua" w:hAnsi="Book Antiqua" w:cs="Book Antiqua"/>
          <w:sz w:val="24"/>
          <w:szCs w:val="24"/>
        </w:rPr>
        <w:t>α</w:t>
      </w:r>
      <w:r w:rsidRPr="00390EBD">
        <w:rPr>
          <w:rFonts w:ascii="Book Antiqua" w:hAnsi="Book Antiqua" w:cs="Book Antiqua"/>
          <w:sz w:val="24"/>
          <w:szCs w:val="24"/>
          <w:lang w:val="en-US"/>
        </w:rPr>
        <w:t>4</w:t>
      </w:r>
      <w:r w:rsidRPr="00390EBD">
        <w:rPr>
          <w:rFonts w:ascii="Book Antiqua" w:hAnsi="Book Antiqua" w:cs="Book Antiqua"/>
          <w:sz w:val="24"/>
          <w:szCs w:val="24"/>
        </w:rPr>
        <w:t>β</w:t>
      </w:r>
      <w:r w:rsidRPr="00390EBD">
        <w:rPr>
          <w:rFonts w:ascii="Book Antiqua" w:hAnsi="Book Antiqua" w:cs="Book Antiqua"/>
          <w:sz w:val="24"/>
          <w:szCs w:val="24"/>
          <w:lang w:val="en-US"/>
        </w:rPr>
        <w:t>7</w:t>
      </w:r>
      <w:r w:rsidRPr="00390EBD">
        <w:rPr>
          <w:rFonts w:ascii="Book Antiqua" w:hAnsi="Book Antiqua" w:cs="Book Antiqua"/>
          <w:sz w:val="24"/>
          <w:szCs w:val="24"/>
          <w:vertAlign w:val="superscript"/>
          <w:lang w:val="en-US"/>
        </w:rPr>
        <w:t>[172]</w:t>
      </w:r>
      <w:r w:rsidRPr="00390EBD">
        <w:rPr>
          <w:rFonts w:ascii="Book Antiqua" w:hAnsi="Book Antiqua" w:cs="Book Antiqua"/>
          <w:sz w:val="24"/>
          <w:szCs w:val="24"/>
          <w:lang w:val="en-US"/>
        </w:rPr>
        <w:t>. Early</w:t>
      </w:r>
      <w:r w:rsidRPr="00390EBD">
        <w:rPr>
          <w:rFonts w:ascii="Book Antiqua" w:hAnsi="Book Antiqua" w:cs="Book Antiqua"/>
          <w:sz w:val="24"/>
          <w:szCs w:val="24"/>
          <w:lang w:val="en-US"/>
        </w:rPr>
        <w:noBreakHyphen/>
        <w:t>stage studies warrant the safety, pharmacological and tolerability profile of the drug. AMG 181 is currently being investigated in the context of two randomized, PB</w:t>
      </w:r>
      <w:r w:rsidRPr="00390EBD">
        <w:rPr>
          <w:rFonts w:ascii="Book Antiqua" w:hAnsi="Book Antiqua" w:cs="Book Antiqua"/>
          <w:sz w:val="24"/>
          <w:szCs w:val="24"/>
          <w:lang w:val="en-US"/>
        </w:rPr>
        <w:noBreakHyphen/>
        <w:t>controlled trials in application to both CD</w:t>
      </w:r>
      <w:r w:rsidRPr="00390EBD">
        <w:rPr>
          <w:rFonts w:ascii="Book Antiqua" w:hAnsi="Book Antiqua" w:cs="Book Antiqua"/>
          <w:sz w:val="24"/>
          <w:szCs w:val="24"/>
          <w:vertAlign w:val="superscript"/>
          <w:lang w:val="en-US"/>
        </w:rPr>
        <w:t>[173]</w:t>
      </w:r>
      <w:r w:rsidRPr="00390EBD">
        <w:rPr>
          <w:rFonts w:ascii="Book Antiqua" w:hAnsi="Book Antiqua" w:cs="Book Antiqua"/>
          <w:sz w:val="24"/>
          <w:szCs w:val="24"/>
          <w:lang w:val="en-US"/>
        </w:rPr>
        <w:t xml:space="preserve"> and UC</w:t>
      </w:r>
      <w:r w:rsidRPr="00390EBD">
        <w:rPr>
          <w:rFonts w:ascii="Book Antiqua" w:hAnsi="Book Antiqua" w:cs="Book Antiqua"/>
          <w:sz w:val="24"/>
          <w:szCs w:val="24"/>
          <w:vertAlign w:val="superscript"/>
          <w:lang w:val="en-US"/>
        </w:rPr>
        <w:t>[174]</w:t>
      </w:r>
      <w:r w:rsidRPr="00390EBD">
        <w:rPr>
          <w:rFonts w:ascii="Book Antiqua" w:hAnsi="Book Antiqua" w:cs="Book Antiqua"/>
          <w:sz w:val="24"/>
          <w:szCs w:val="24"/>
          <w:lang w:val="en-US"/>
        </w:rPr>
        <w:t xml:space="preserve">. More evidence will be obtained in the coming years. </w:t>
      </w:r>
    </w:p>
    <w:p w14:paraId="4CE10333" w14:textId="77777777" w:rsidR="0020336D" w:rsidRDefault="0020336D" w:rsidP="00954CEE">
      <w:pPr>
        <w:shd w:val="clear" w:color="auto" w:fill="FFFFFF"/>
        <w:adjustRightInd w:val="0"/>
        <w:snapToGrid w:val="0"/>
        <w:spacing w:after="0" w:line="360" w:lineRule="auto"/>
        <w:jc w:val="both"/>
        <w:rPr>
          <w:rFonts w:ascii="Book Antiqua" w:hAnsi="Book Antiqua" w:cs="Book Antiqua"/>
          <w:b/>
          <w:bCs/>
          <w:color w:val="000000"/>
          <w:sz w:val="24"/>
          <w:szCs w:val="24"/>
          <w:lang w:val="en-US" w:eastAsia="zh-CN"/>
        </w:rPr>
      </w:pPr>
    </w:p>
    <w:p w14:paraId="6006E632" w14:textId="77777777" w:rsidR="006138C7" w:rsidRPr="0020336D" w:rsidRDefault="006138C7" w:rsidP="00954CEE">
      <w:pPr>
        <w:shd w:val="clear" w:color="auto" w:fill="FFFFFF"/>
        <w:adjustRightInd w:val="0"/>
        <w:snapToGrid w:val="0"/>
        <w:spacing w:after="0" w:line="360" w:lineRule="auto"/>
        <w:jc w:val="both"/>
        <w:rPr>
          <w:rFonts w:ascii="Book Antiqua" w:hAnsi="Book Antiqua" w:cs="Book Antiqua"/>
          <w:b/>
          <w:bCs/>
          <w:i/>
          <w:color w:val="000000"/>
          <w:sz w:val="24"/>
          <w:szCs w:val="24"/>
          <w:lang w:val="en-US"/>
        </w:rPr>
      </w:pPr>
      <w:r w:rsidRPr="0020336D">
        <w:rPr>
          <w:rFonts w:ascii="Book Antiqua" w:hAnsi="Book Antiqua" w:cs="Book Antiqua"/>
          <w:b/>
          <w:bCs/>
          <w:i/>
          <w:color w:val="000000"/>
          <w:sz w:val="24"/>
          <w:szCs w:val="24"/>
          <w:lang w:val="en-US"/>
        </w:rPr>
        <w:t>AJM300</w:t>
      </w:r>
    </w:p>
    <w:p w14:paraId="03B9F72A" w14:textId="5DCFCB3E" w:rsidR="006138C7" w:rsidRDefault="006138C7" w:rsidP="00954CEE">
      <w:pPr>
        <w:shd w:val="clear" w:color="auto" w:fill="FFFFFF"/>
        <w:adjustRightInd w:val="0"/>
        <w:snapToGrid w:val="0"/>
        <w:spacing w:after="0" w:line="360" w:lineRule="auto"/>
        <w:jc w:val="both"/>
        <w:rPr>
          <w:rFonts w:ascii="Book Antiqua" w:hAnsi="Book Antiqua" w:cs="Book Antiqua"/>
          <w:sz w:val="24"/>
          <w:szCs w:val="24"/>
          <w:lang w:val="en-US" w:eastAsia="zh-CN"/>
        </w:rPr>
      </w:pPr>
      <w:r w:rsidRPr="00390EBD">
        <w:rPr>
          <w:rFonts w:ascii="Book Antiqua" w:hAnsi="Book Antiqua" w:cs="Book Antiqua"/>
          <w:sz w:val="24"/>
          <w:szCs w:val="24"/>
          <w:lang w:val="en-US"/>
        </w:rPr>
        <w:t xml:space="preserve">This is a small molecule administered </w:t>
      </w:r>
      <w:r w:rsidRPr="00BB5B43">
        <w:rPr>
          <w:rFonts w:ascii="Book Antiqua" w:hAnsi="Book Antiqua" w:cs="Book Antiqua"/>
          <w:i/>
          <w:sz w:val="24"/>
          <w:szCs w:val="24"/>
          <w:lang w:val="en-US"/>
        </w:rPr>
        <w:t>via</w:t>
      </w:r>
      <w:r w:rsidRPr="00390EBD">
        <w:rPr>
          <w:rFonts w:ascii="Book Antiqua" w:hAnsi="Book Antiqua" w:cs="Book Antiqua"/>
          <w:sz w:val="24"/>
          <w:szCs w:val="24"/>
          <w:lang w:val="en-US"/>
        </w:rPr>
        <w:t xml:space="preserve"> the oral route that inhibits the </w:t>
      </w:r>
      <w:r w:rsidRPr="00390EBD">
        <w:rPr>
          <w:rFonts w:ascii="Book Antiqua" w:hAnsi="Book Antiqua" w:cs="Book Antiqua"/>
          <w:sz w:val="24"/>
          <w:szCs w:val="24"/>
        </w:rPr>
        <w:t>α</w:t>
      </w:r>
      <w:r w:rsidRPr="00390EBD">
        <w:rPr>
          <w:rFonts w:ascii="Book Antiqua" w:hAnsi="Book Antiqua" w:cs="Book Antiqua"/>
          <w:sz w:val="24"/>
          <w:szCs w:val="24"/>
          <w:lang w:val="en-US"/>
        </w:rPr>
        <w:t xml:space="preserve">4 receptor. It is known to inhibit the binding of integrin </w:t>
      </w:r>
      <w:r w:rsidRPr="00390EBD">
        <w:rPr>
          <w:rFonts w:ascii="Book Antiqua" w:hAnsi="Book Antiqua" w:cs="Book Antiqua"/>
          <w:sz w:val="24"/>
          <w:szCs w:val="24"/>
        </w:rPr>
        <w:t>α</w:t>
      </w:r>
      <w:r w:rsidRPr="00390EBD">
        <w:rPr>
          <w:rFonts w:ascii="Book Antiqua" w:hAnsi="Book Antiqua" w:cs="Book Antiqua"/>
          <w:sz w:val="24"/>
          <w:szCs w:val="24"/>
          <w:lang w:val="en-US"/>
        </w:rPr>
        <w:t>4</w:t>
      </w:r>
      <w:r w:rsidRPr="00390EBD">
        <w:rPr>
          <w:rFonts w:ascii="Book Antiqua" w:hAnsi="Book Antiqua" w:cs="Book Antiqua"/>
          <w:sz w:val="24"/>
          <w:szCs w:val="24"/>
        </w:rPr>
        <w:t>β</w:t>
      </w:r>
      <w:r w:rsidRPr="00390EBD">
        <w:rPr>
          <w:rFonts w:ascii="Book Antiqua" w:hAnsi="Book Antiqua" w:cs="Book Antiqua"/>
          <w:sz w:val="24"/>
          <w:szCs w:val="24"/>
          <w:lang w:val="en-US"/>
        </w:rPr>
        <w:t>1/</w:t>
      </w:r>
      <w:r w:rsidRPr="00390EBD">
        <w:rPr>
          <w:rFonts w:ascii="Book Antiqua" w:hAnsi="Book Antiqua" w:cs="Book Antiqua"/>
          <w:sz w:val="24"/>
          <w:szCs w:val="24"/>
        </w:rPr>
        <w:t>α</w:t>
      </w:r>
      <w:r w:rsidRPr="00390EBD">
        <w:rPr>
          <w:rFonts w:ascii="Book Antiqua" w:hAnsi="Book Antiqua" w:cs="Book Antiqua"/>
          <w:sz w:val="24"/>
          <w:szCs w:val="24"/>
          <w:lang w:val="en-US"/>
        </w:rPr>
        <w:t>4</w:t>
      </w:r>
      <w:r w:rsidRPr="00390EBD">
        <w:rPr>
          <w:rFonts w:ascii="Book Antiqua" w:hAnsi="Book Antiqua" w:cs="Book Antiqua"/>
          <w:sz w:val="24"/>
          <w:szCs w:val="24"/>
        </w:rPr>
        <w:t>β</w:t>
      </w:r>
      <w:r w:rsidRPr="00390EBD">
        <w:rPr>
          <w:rFonts w:ascii="Book Antiqua" w:hAnsi="Book Antiqua" w:cs="Book Antiqua"/>
          <w:sz w:val="24"/>
          <w:szCs w:val="24"/>
          <w:lang w:val="en-US"/>
        </w:rPr>
        <w:t xml:space="preserve">7 </w:t>
      </w:r>
      <w:r w:rsidRPr="00390EBD">
        <w:rPr>
          <w:rFonts w:ascii="Book Antiqua" w:hAnsi="Book Antiqua" w:cs="Book Antiqua"/>
          <w:sz w:val="24"/>
          <w:szCs w:val="24"/>
          <w:lang w:val="en-US"/>
        </w:rPr>
        <w:noBreakHyphen/>
        <w:t xml:space="preserve"> expressing cells to VCAM</w:t>
      </w:r>
      <w:r w:rsidRPr="00390EBD">
        <w:rPr>
          <w:rFonts w:ascii="Book Antiqua" w:hAnsi="Book Antiqua" w:cs="Book Antiqua"/>
          <w:sz w:val="24"/>
          <w:szCs w:val="24"/>
          <w:lang w:val="en-US"/>
        </w:rPr>
        <w:noBreakHyphen/>
        <w:t>1/MAdCAM</w:t>
      </w:r>
      <w:r w:rsidRPr="00390EBD">
        <w:rPr>
          <w:rFonts w:ascii="Book Antiqua" w:hAnsi="Book Antiqua" w:cs="Book Antiqua"/>
          <w:sz w:val="24"/>
          <w:szCs w:val="24"/>
          <w:lang w:val="en-US"/>
        </w:rPr>
        <w:noBreakHyphen/>
        <w:t>1, and has demonstrated its efficacy in the prevention of colitis in animal studies</w:t>
      </w:r>
      <w:r w:rsidRPr="00390EBD">
        <w:rPr>
          <w:rFonts w:ascii="Book Antiqua" w:hAnsi="Book Antiqua" w:cs="Book Antiqua"/>
          <w:sz w:val="24"/>
          <w:szCs w:val="24"/>
          <w:vertAlign w:val="superscript"/>
          <w:lang w:val="en-US"/>
        </w:rPr>
        <w:t>[175]</w:t>
      </w:r>
      <w:r w:rsidRPr="00390EBD">
        <w:rPr>
          <w:rFonts w:ascii="Book Antiqua" w:hAnsi="Book Antiqua" w:cs="Book Antiqua"/>
          <w:sz w:val="24"/>
          <w:szCs w:val="24"/>
          <w:lang w:val="en-US"/>
        </w:rPr>
        <w:t>. The results of a double</w:t>
      </w:r>
      <w:r w:rsidRPr="00390EBD">
        <w:rPr>
          <w:rFonts w:ascii="Book Antiqua" w:hAnsi="Book Antiqua" w:cs="Book Antiqua"/>
          <w:sz w:val="24"/>
          <w:szCs w:val="24"/>
          <w:lang w:val="en-US"/>
        </w:rPr>
        <w:noBreakHyphen/>
        <w:t>blind multicenter phase IIa trial were published in 2012</w:t>
      </w:r>
      <w:r w:rsidRPr="00390EBD">
        <w:rPr>
          <w:rFonts w:ascii="Book Antiqua" w:hAnsi="Book Antiqua" w:cs="Book Antiqua"/>
          <w:sz w:val="24"/>
          <w:szCs w:val="24"/>
          <w:vertAlign w:val="superscript"/>
          <w:lang w:val="en-US"/>
        </w:rPr>
        <w:t>[176]</w:t>
      </w:r>
      <w:r w:rsidRPr="00390EBD">
        <w:rPr>
          <w:rFonts w:ascii="Book Antiqua" w:hAnsi="Book Antiqua" w:cs="Book Antiqua"/>
          <w:sz w:val="24"/>
          <w:szCs w:val="24"/>
          <w:lang w:val="en-US"/>
        </w:rPr>
        <w:t>. The study involved the randomization of 102 patients with active moderate UC to</w:t>
      </w:r>
      <w:r w:rsidR="007A1542" w:rsidRPr="00390EBD">
        <w:rPr>
          <w:rFonts w:ascii="Book Antiqua" w:hAnsi="Book Antiqua" w:cs="Book Antiqua"/>
          <w:sz w:val="24"/>
          <w:szCs w:val="24"/>
          <w:lang w:val="en-US"/>
        </w:rPr>
        <w:t xml:space="preserve"> receive</w:t>
      </w:r>
      <w:r w:rsidR="0020336D" w:rsidRPr="0020336D">
        <w:rPr>
          <w:rFonts w:ascii="Book Antiqua" w:hAnsi="Book Antiqua" w:cs="Book Antiqua"/>
          <w:i/>
          <w:sz w:val="24"/>
          <w:szCs w:val="24"/>
          <w:lang w:val="en-US"/>
        </w:rPr>
        <w:t xml:space="preserve"> </w:t>
      </w:r>
      <w:r w:rsidRPr="00390EBD">
        <w:rPr>
          <w:rFonts w:ascii="Book Antiqua" w:hAnsi="Book Antiqua" w:cs="Book Antiqua"/>
          <w:sz w:val="24"/>
          <w:szCs w:val="24"/>
          <w:lang w:val="en-US"/>
        </w:rPr>
        <w:t xml:space="preserve">AJM 300 at a dose of 960 mg or PB three times daily for 8 weeks. The primary endpoint was the clinical response rate in week 8, which was found to be 62.7%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25.5% in the AJM300 group and PB group, respectively (OR </w:t>
      </w:r>
      <w:r w:rsidR="0020336D">
        <w:rPr>
          <w:rFonts w:ascii="Book Antiqua" w:hAnsi="Book Antiqua" w:cs="Book Antiqua" w:hint="eastAsia"/>
          <w:sz w:val="24"/>
          <w:szCs w:val="24"/>
          <w:lang w:val="en-US" w:eastAsia="zh-CN"/>
        </w:rPr>
        <w:t xml:space="preserve">= </w:t>
      </w:r>
      <w:r w:rsidRPr="00390EBD">
        <w:rPr>
          <w:rFonts w:ascii="Book Antiqua" w:hAnsi="Book Antiqua" w:cs="Book Antiqua"/>
          <w:sz w:val="24"/>
          <w:szCs w:val="24"/>
          <w:lang w:val="en-US"/>
        </w:rPr>
        <w:t xml:space="preserve">5.35; </w:t>
      </w:r>
      <w:r w:rsidR="0020336D" w:rsidRPr="0020336D">
        <w:rPr>
          <w:rFonts w:ascii="Book Antiqua" w:hAnsi="Book Antiqua" w:cs="Book Antiqua"/>
          <w:i/>
          <w:caps/>
          <w:sz w:val="24"/>
          <w:szCs w:val="24"/>
          <w:lang w:val="en-US"/>
        </w:rPr>
        <w:t xml:space="preserve">p = </w:t>
      </w:r>
      <w:r w:rsidRPr="00390EBD">
        <w:rPr>
          <w:rFonts w:ascii="Book Antiqua" w:hAnsi="Book Antiqua" w:cs="Book Antiqua"/>
          <w:sz w:val="24"/>
          <w:szCs w:val="24"/>
          <w:lang w:val="en-US"/>
        </w:rPr>
        <w:t xml:space="preserve">0.0002). The secondary endpoints (clinical remission and mucosal healing in week 8) were also favorable to the study molecule (23.5%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3.9% with OR </w:t>
      </w:r>
      <w:r w:rsidR="0020336D">
        <w:rPr>
          <w:rFonts w:ascii="Book Antiqua" w:hAnsi="Book Antiqua" w:cs="Book Antiqua" w:hint="eastAsia"/>
          <w:sz w:val="24"/>
          <w:szCs w:val="24"/>
          <w:lang w:val="en-US" w:eastAsia="zh-CN"/>
        </w:rPr>
        <w:t xml:space="preserve">= </w:t>
      </w:r>
      <w:r w:rsidRPr="00390EBD">
        <w:rPr>
          <w:rFonts w:ascii="Book Antiqua" w:hAnsi="Book Antiqua" w:cs="Book Antiqua"/>
          <w:sz w:val="24"/>
          <w:szCs w:val="24"/>
          <w:lang w:val="en-US"/>
        </w:rPr>
        <w:t xml:space="preserve">7.81; </w:t>
      </w:r>
      <w:r w:rsidR="0020336D" w:rsidRPr="0020336D">
        <w:rPr>
          <w:rFonts w:ascii="Book Antiqua" w:hAnsi="Book Antiqua" w:cs="Book Antiqua"/>
          <w:i/>
          <w:caps/>
          <w:sz w:val="24"/>
          <w:szCs w:val="24"/>
          <w:lang w:val="en-US"/>
        </w:rPr>
        <w:t xml:space="preserve">p = </w:t>
      </w:r>
      <w:r w:rsidRPr="00390EBD">
        <w:rPr>
          <w:rFonts w:ascii="Book Antiqua" w:hAnsi="Book Antiqua" w:cs="Book Antiqua"/>
          <w:sz w:val="24"/>
          <w:szCs w:val="24"/>
          <w:lang w:val="en-US"/>
        </w:rPr>
        <w:t xml:space="preserve">0.0099 and 58.8%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29.4% with OR </w:t>
      </w:r>
      <w:r w:rsidR="0020336D">
        <w:rPr>
          <w:rFonts w:ascii="Book Antiqua" w:hAnsi="Book Antiqua" w:cs="Book Antiqua" w:hint="eastAsia"/>
          <w:sz w:val="24"/>
          <w:szCs w:val="24"/>
          <w:lang w:val="en-US" w:eastAsia="zh-CN"/>
        </w:rPr>
        <w:t xml:space="preserve">= </w:t>
      </w:r>
      <w:r w:rsidRPr="00390EBD">
        <w:rPr>
          <w:rFonts w:ascii="Book Antiqua" w:hAnsi="Book Antiqua" w:cs="Book Antiqua"/>
          <w:sz w:val="24"/>
          <w:szCs w:val="24"/>
          <w:lang w:val="en-US"/>
        </w:rPr>
        <w:t xml:space="preserve">4.65; </w:t>
      </w:r>
      <w:r w:rsidR="0020336D" w:rsidRPr="0020336D">
        <w:rPr>
          <w:rFonts w:ascii="Book Antiqua" w:hAnsi="Book Antiqua" w:cs="Book Antiqua"/>
          <w:i/>
          <w:caps/>
          <w:sz w:val="24"/>
          <w:szCs w:val="24"/>
          <w:lang w:val="en-US"/>
        </w:rPr>
        <w:t xml:space="preserve">p = </w:t>
      </w:r>
      <w:r w:rsidRPr="00390EBD">
        <w:rPr>
          <w:rFonts w:ascii="Book Antiqua" w:hAnsi="Book Antiqua" w:cs="Book Antiqua"/>
          <w:sz w:val="24"/>
          <w:szCs w:val="24"/>
          <w:lang w:val="en-US"/>
        </w:rPr>
        <w:t xml:space="preserve">0.0014). No serious adverse events (progressive multifocal leukoencephalopathy) were documented over the short term. </w:t>
      </w:r>
    </w:p>
    <w:p w14:paraId="552F723B" w14:textId="77777777" w:rsidR="0020336D" w:rsidRPr="0020336D" w:rsidRDefault="0020336D" w:rsidP="00954CEE">
      <w:pPr>
        <w:shd w:val="clear" w:color="auto" w:fill="FFFFFF"/>
        <w:adjustRightInd w:val="0"/>
        <w:snapToGrid w:val="0"/>
        <w:spacing w:after="0" w:line="360" w:lineRule="auto"/>
        <w:jc w:val="both"/>
        <w:rPr>
          <w:rFonts w:ascii="Book Antiqua" w:hAnsi="Book Antiqua" w:cs="Book Antiqua"/>
          <w:i/>
          <w:color w:val="000000"/>
          <w:sz w:val="24"/>
          <w:szCs w:val="24"/>
          <w:lang w:val="en-US" w:eastAsia="zh-CN"/>
        </w:rPr>
      </w:pPr>
    </w:p>
    <w:p w14:paraId="104BC86C" w14:textId="77777777" w:rsidR="006138C7" w:rsidRPr="0020336D" w:rsidRDefault="006138C7" w:rsidP="00954CEE">
      <w:pPr>
        <w:autoSpaceDE w:val="0"/>
        <w:autoSpaceDN w:val="0"/>
        <w:adjustRightInd w:val="0"/>
        <w:snapToGrid w:val="0"/>
        <w:spacing w:after="0" w:line="360" w:lineRule="auto"/>
        <w:jc w:val="both"/>
        <w:rPr>
          <w:rFonts w:ascii="Book Antiqua" w:eastAsia="Berkeley-Book" w:hAnsi="Book Antiqua" w:cs="Times New Roman"/>
          <w:i/>
          <w:sz w:val="24"/>
          <w:szCs w:val="24"/>
          <w:lang w:val="en-US"/>
        </w:rPr>
      </w:pPr>
      <w:r w:rsidRPr="0020336D">
        <w:rPr>
          <w:rFonts w:ascii="Book Antiqua" w:hAnsi="Book Antiqua" w:cs="Book Antiqua"/>
          <w:b/>
          <w:bCs/>
          <w:i/>
          <w:sz w:val="24"/>
          <w:szCs w:val="24"/>
          <w:lang w:val="en-US"/>
        </w:rPr>
        <w:t>Etrolizumab</w:t>
      </w:r>
    </w:p>
    <w:p w14:paraId="4654999F" w14:textId="201B5A1A" w:rsidR="006138C7"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eastAsia="zh-CN"/>
        </w:rPr>
      </w:pPr>
      <w:r w:rsidRPr="00390EBD">
        <w:rPr>
          <w:rFonts w:ascii="Book Antiqua" w:hAnsi="Book Antiqua" w:cs="Book Antiqua"/>
          <w:sz w:val="24"/>
          <w:szCs w:val="24"/>
          <w:lang w:val="en-US"/>
        </w:rPr>
        <w:t xml:space="preserve">This is a humanized monoclonal antibody targeted to the B7 subunit present in integrins </w:t>
      </w:r>
      <w:r w:rsidRPr="00390EBD">
        <w:rPr>
          <w:rFonts w:ascii="Book Antiqua" w:hAnsi="Book Antiqua" w:cs="Book Antiqua"/>
          <w:sz w:val="24"/>
          <w:szCs w:val="24"/>
        </w:rPr>
        <w:t>α</w:t>
      </w:r>
      <w:r w:rsidRPr="00390EBD">
        <w:rPr>
          <w:rFonts w:ascii="Book Antiqua" w:hAnsi="Book Antiqua" w:cs="Book Antiqua"/>
          <w:sz w:val="24"/>
          <w:szCs w:val="24"/>
          <w:lang w:val="en-US"/>
        </w:rPr>
        <w:t>4</w:t>
      </w:r>
      <w:r w:rsidRPr="00390EBD">
        <w:rPr>
          <w:rFonts w:ascii="Book Antiqua" w:hAnsi="Book Antiqua" w:cs="Book Antiqua"/>
          <w:sz w:val="24"/>
          <w:szCs w:val="24"/>
        </w:rPr>
        <w:t>β</w:t>
      </w:r>
      <w:r w:rsidRPr="00390EBD">
        <w:rPr>
          <w:rFonts w:ascii="Book Antiqua" w:hAnsi="Book Antiqua" w:cs="Book Antiqua"/>
          <w:sz w:val="24"/>
          <w:szCs w:val="24"/>
          <w:lang w:val="en-US"/>
        </w:rPr>
        <w:t xml:space="preserve">7 and </w:t>
      </w:r>
      <w:r w:rsidRPr="00390EBD">
        <w:rPr>
          <w:rFonts w:ascii="Book Antiqua" w:hAnsi="Book Antiqua" w:cs="Book Antiqua"/>
          <w:sz w:val="24"/>
          <w:szCs w:val="24"/>
        </w:rPr>
        <w:t>α</w:t>
      </w:r>
      <w:r w:rsidRPr="00390EBD">
        <w:rPr>
          <w:rFonts w:ascii="Book Antiqua" w:hAnsi="Book Antiqua" w:cs="Book Antiqua"/>
          <w:sz w:val="24"/>
          <w:szCs w:val="24"/>
          <w:lang w:val="en-US"/>
        </w:rPr>
        <w:t>E</w:t>
      </w:r>
      <w:r w:rsidRPr="00390EBD">
        <w:rPr>
          <w:rFonts w:ascii="Book Antiqua" w:hAnsi="Book Antiqua" w:cs="Book Antiqua"/>
          <w:sz w:val="24"/>
          <w:szCs w:val="24"/>
        </w:rPr>
        <w:t>β</w:t>
      </w:r>
      <w:r w:rsidRPr="00390EBD">
        <w:rPr>
          <w:rFonts w:ascii="Book Antiqua" w:hAnsi="Book Antiqua" w:cs="Book Antiqua"/>
          <w:sz w:val="24"/>
          <w:szCs w:val="24"/>
          <w:lang w:val="en-US"/>
        </w:rPr>
        <w:t>7. The results of a double</w:t>
      </w:r>
      <w:r w:rsidRPr="00390EBD">
        <w:rPr>
          <w:rFonts w:ascii="Book Antiqua" w:hAnsi="Book Antiqua" w:cs="Book Antiqua"/>
          <w:sz w:val="24"/>
          <w:szCs w:val="24"/>
          <w:lang w:val="en-US"/>
        </w:rPr>
        <w:noBreakHyphen/>
        <w:t>blind multicenter phase II trial were published in 2013</w:t>
      </w:r>
      <w:r w:rsidRPr="00390EBD">
        <w:rPr>
          <w:rFonts w:ascii="Book Antiqua" w:hAnsi="Book Antiqua" w:cs="Book Antiqua"/>
          <w:sz w:val="24"/>
          <w:szCs w:val="24"/>
          <w:vertAlign w:val="superscript"/>
          <w:lang w:val="en-US"/>
        </w:rPr>
        <w:t>[177]</w:t>
      </w:r>
      <w:r w:rsidRPr="00390EBD">
        <w:rPr>
          <w:rFonts w:ascii="Book Antiqua" w:hAnsi="Book Antiqua" w:cs="Book Antiqua"/>
          <w:sz w:val="24"/>
          <w:szCs w:val="24"/>
          <w:lang w:val="en-US"/>
        </w:rPr>
        <w:t xml:space="preserve">. The study involved the randomization of 124 patients with refractory moderate to severe UC to etrolizumab in two treatment arms (100 mg monthly s.c. or 300 mg monthly s.c plus a loading dose of 420 mg s.c. between weeks 0 and 2) or PB. The primary endpoint was the clinical remission rate in week 10, with significant results in both active treatment arms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PB (20.5% and 10.3%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0%; </w:t>
      </w:r>
      <w:r w:rsidR="0020336D" w:rsidRPr="0020336D">
        <w:rPr>
          <w:rFonts w:ascii="Book Antiqua" w:hAnsi="Book Antiqua" w:cs="Book Antiqua"/>
          <w:i/>
          <w:caps/>
          <w:sz w:val="24"/>
          <w:szCs w:val="24"/>
          <w:lang w:val="en-US"/>
        </w:rPr>
        <w:t xml:space="preserve">p = </w:t>
      </w:r>
      <w:r w:rsidRPr="00390EBD">
        <w:rPr>
          <w:rFonts w:ascii="Book Antiqua" w:hAnsi="Book Antiqua" w:cs="Book Antiqua"/>
          <w:sz w:val="24"/>
          <w:szCs w:val="24"/>
          <w:lang w:val="en-US"/>
        </w:rPr>
        <w:t xml:space="preserve">0.004 and </w:t>
      </w:r>
      <w:r w:rsidR="0020336D" w:rsidRPr="0020336D">
        <w:rPr>
          <w:rFonts w:ascii="Book Antiqua" w:hAnsi="Book Antiqua" w:cs="Book Antiqua"/>
          <w:i/>
          <w:caps/>
          <w:sz w:val="24"/>
          <w:szCs w:val="24"/>
          <w:lang w:val="en-US"/>
        </w:rPr>
        <w:t xml:space="preserve">p = </w:t>
      </w:r>
      <w:r w:rsidRPr="00390EBD">
        <w:rPr>
          <w:rFonts w:ascii="Book Antiqua" w:hAnsi="Book Antiqua" w:cs="Book Antiqua"/>
          <w:sz w:val="24"/>
          <w:szCs w:val="24"/>
          <w:lang w:val="en-US"/>
        </w:rPr>
        <w:t>0.049). In the subgroup of patients naive to anti</w:t>
      </w:r>
      <w:r w:rsidRPr="00390EBD">
        <w:rPr>
          <w:rFonts w:ascii="Book Antiqua" w:hAnsi="Book Antiqua" w:cs="Book Antiqua"/>
          <w:sz w:val="24"/>
          <w:szCs w:val="24"/>
          <w:lang w:val="en-US"/>
        </w:rPr>
        <w:noBreakHyphen/>
        <w:t>TNF</w:t>
      </w:r>
      <w:r w:rsidRPr="00390EBD">
        <w:rPr>
          <w:rFonts w:ascii="Book Antiqua" w:hAnsi="Book Antiqua" w:cs="Book Antiqua"/>
          <w:sz w:val="24"/>
          <w:szCs w:val="24"/>
          <w:lang w:val="en-US"/>
        </w:rPr>
        <w:noBreakHyphen/>
      </w:r>
      <w:r w:rsidRPr="00390EBD">
        <w:rPr>
          <w:rFonts w:ascii="Book Antiqua" w:hAnsi="Book Antiqua" w:cs="Book Antiqua"/>
          <w:sz w:val="24"/>
          <w:szCs w:val="24"/>
        </w:rPr>
        <w:t>α</w:t>
      </w:r>
      <w:r w:rsidRPr="00390EBD">
        <w:rPr>
          <w:rFonts w:ascii="Book Antiqua" w:hAnsi="Book Antiqua" w:cs="Book Antiqua"/>
          <w:sz w:val="24"/>
          <w:szCs w:val="24"/>
          <w:lang w:val="en-US"/>
        </w:rPr>
        <w:t xml:space="preserve"> drug treatment, the differences obtained with the 100 mg dose were even greater (43.8%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0%; </w:t>
      </w:r>
      <w:r w:rsidR="0020336D" w:rsidRPr="0020336D">
        <w:rPr>
          <w:rFonts w:ascii="Book Antiqua" w:hAnsi="Book Antiqua" w:cs="Book Antiqua"/>
          <w:i/>
          <w:caps/>
          <w:sz w:val="24"/>
          <w:szCs w:val="24"/>
          <w:lang w:val="en-US"/>
        </w:rPr>
        <w:t xml:space="preserve">p = </w:t>
      </w:r>
      <w:r w:rsidRPr="00390EBD">
        <w:rPr>
          <w:rFonts w:ascii="Book Antiqua" w:hAnsi="Book Antiqua" w:cs="Book Antiqua"/>
          <w:sz w:val="24"/>
          <w:szCs w:val="24"/>
          <w:lang w:val="en-US"/>
        </w:rPr>
        <w:t>0.007). The adverse event rates were similar in all three groups.</w:t>
      </w:r>
    </w:p>
    <w:p w14:paraId="183E32CE" w14:textId="77777777" w:rsidR="0020336D" w:rsidRPr="00390EBD" w:rsidRDefault="0020336D" w:rsidP="00954CEE">
      <w:pPr>
        <w:autoSpaceDE w:val="0"/>
        <w:autoSpaceDN w:val="0"/>
        <w:adjustRightInd w:val="0"/>
        <w:snapToGrid w:val="0"/>
        <w:spacing w:after="0" w:line="360" w:lineRule="auto"/>
        <w:jc w:val="both"/>
        <w:rPr>
          <w:rFonts w:ascii="Book Antiqua" w:eastAsia="Berkeley-Book" w:hAnsi="Book Antiqua" w:cs="Times New Roman"/>
          <w:sz w:val="24"/>
          <w:szCs w:val="24"/>
          <w:lang w:val="en-US" w:eastAsia="zh-CN"/>
        </w:rPr>
      </w:pPr>
    </w:p>
    <w:p w14:paraId="3696400E" w14:textId="77777777" w:rsidR="006138C7" w:rsidRPr="0020336D" w:rsidRDefault="006138C7" w:rsidP="00954CEE">
      <w:pPr>
        <w:adjustRightInd w:val="0"/>
        <w:snapToGrid w:val="0"/>
        <w:spacing w:after="0" w:line="360" w:lineRule="auto"/>
        <w:jc w:val="both"/>
        <w:rPr>
          <w:rFonts w:ascii="Book Antiqua" w:eastAsia="Berkeley-Book" w:hAnsi="Book Antiqua" w:cs="Times New Roman"/>
          <w:b/>
          <w:bCs/>
          <w:i/>
          <w:sz w:val="24"/>
          <w:szCs w:val="24"/>
          <w:lang w:val="en-US"/>
        </w:rPr>
      </w:pPr>
      <w:r w:rsidRPr="0020336D">
        <w:rPr>
          <w:rFonts w:ascii="Book Antiqua" w:hAnsi="Book Antiqua" w:cs="Book Antiqua"/>
          <w:b/>
          <w:bCs/>
          <w:i/>
          <w:sz w:val="24"/>
          <w:szCs w:val="24"/>
          <w:lang w:val="en-US"/>
        </w:rPr>
        <w:t>MECA</w:t>
      </w:r>
      <w:r w:rsidRPr="0020336D">
        <w:rPr>
          <w:rFonts w:ascii="Book Antiqua" w:hAnsi="Book Antiqua" w:cs="Book Antiqua"/>
          <w:b/>
          <w:bCs/>
          <w:i/>
          <w:sz w:val="24"/>
          <w:szCs w:val="24"/>
          <w:lang w:val="en-US"/>
        </w:rPr>
        <w:noBreakHyphen/>
        <w:t>367 and PF</w:t>
      </w:r>
      <w:r w:rsidRPr="0020336D">
        <w:rPr>
          <w:rFonts w:ascii="Book Antiqua" w:hAnsi="Book Antiqua" w:cs="Book Antiqua"/>
          <w:b/>
          <w:bCs/>
          <w:i/>
          <w:sz w:val="24"/>
          <w:szCs w:val="24"/>
          <w:lang w:val="en-US"/>
        </w:rPr>
        <w:noBreakHyphen/>
        <w:t>00547,659</w:t>
      </w:r>
    </w:p>
    <w:p w14:paraId="3D242404" w14:textId="6ADE4294" w:rsidR="006138C7" w:rsidRPr="00390EBD" w:rsidRDefault="006138C7" w:rsidP="00954CEE">
      <w:pPr>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lastRenderedPageBreak/>
        <w:t xml:space="preserve">The pharmacological properties of two monoclonal antibodies </w:t>
      </w:r>
      <w:r w:rsidRPr="0020336D">
        <w:rPr>
          <w:rFonts w:ascii="Book Antiqua" w:hAnsi="Book Antiqua" w:cs="Book Antiqua"/>
          <w:sz w:val="24"/>
          <w:szCs w:val="24"/>
          <w:lang w:val="en-US"/>
        </w:rPr>
        <w:t>(</w:t>
      </w:r>
      <w:r w:rsidRPr="0020336D">
        <w:rPr>
          <w:rFonts w:ascii="Book Antiqua" w:hAnsi="Book Antiqua" w:cs="Book Antiqua"/>
          <w:bCs/>
          <w:sz w:val="24"/>
          <w:szCs w:val="24"/>
          <w:lang w:val="en-US"/>
        </w:rPr>
        <w:t>MECA</w:t>
      </w:r>
      <w:r w:rsidRPr="0020336D">
        <w:rPr>
          <w:rFonts w:ascii="Book Antiqua" w:hAnsi="Book Antiqua" w:cs="Book Antiqua"/>
          <w:bCs/>
          <w:sz w:val="24"/>
          <w:szCs w:val="24"/>
          <w:lang w:val="en-US"/>
        </w:rPr>
        <w:noBreakHyphen/>
        <w:t>367</w:t>
      </w:r>
      <w:r w:rsidRPr="0020336D">
        <w:rPr>
          <w:rFonts w:ascii="Book Antiqua" w:hAnsi="Book Antiqua" w:cs="Book Antiqua"/>
          <w:sz w:val="24"/>
          <w:szCs w:val="24"/>
          <w:lang w:val="en-US"/>
        </w:rPr>
        <w:t xml:space="preserve"> and </w:t>
      </w:r>
      <w:r w:rsidRPr="0020336D">
        <w:rPr>
          <w:rFonts w:ascii="Book Antiqua" w:hAnsi="Book Antiqua" w:cs="Book Antiqua"/>
          <w:bCs/>
          <w:sz w:val="24"/>
          <w:szCs w:val="24"/>
          <w:lang w:val="en-US"/>
        </w:rPr>
        <w:t>PF</w:t>
      </w:r>
      <w:r w:rsidRPr="0020336D">
        <w:rPr>
          <w:rFonts w:ascii="Book Antiqua" w:hAnsi="Book Antiqua" w:cs="Book Antiqua"/>
          <w:bCs/>
          <w:sz w:val="24"/>
          <w:szCs w:val="24"/>
          <w:lang w:val="en-US"/>
        </w:rPr>
        <w:noBreakHyphen/>
        <w:t>00547,659</w:t>
      </w:r>
      <w:r w:rsidRPr="0020336D">
        <w:rPr>
          <w:rFonts w:ascii="Book Antiqua" w:hAnsi="Book Antiqua" w:cs="Book Antiqua"/>
          <w:sz w:val="24"/>
          <w:szCs w:val="24"/>
          <w:lang w:val="en-US"/>
        </w:rPr>
        <w:t>)</w:t>
      </w:r>
      <w:r w:rsidRPr="00390EBD">
        <w:rPr>
          <w:rFonts w:ascii="Book Antiqua" w:hAnsi="Book Antiqua" w:cs="Book Antiqua"/>
          <w:sz w:val="24"/>
          <w:szCs w:val="24"/>
          <w:lang w:val="en-US"/>
        </w:rPr>
        <w:t xml:space="preserve"> targeted to MAdCAM, with inhibition of binding of the latter to integrin </w:t>
      </w:r>
      <w:r w:rsidRPr="00390EBD">
        <w:rPr>
          <w:rFonts w:ascii="Book Antiqua" w:hAnsi="Book Antiqua" w:cs="Book Antiqua"/>
          <w:sz w:val="24"/>
          <w:szCs w:val="24"/>
        </w:rPr>
        <w:t>α</w:t>
      </w:r>
      <w:r w:rsidRPr="00390EBD">
        <w:rPr>
          <w:rFonts w:ascii="Book Antiqua" w:hAnsi="Book Antiqua" w:cs="Book Antiqua"/>
          <w:sz w:val="24"/>
          <w:szCs w:val="24"/>
          <w:lang w:val="en-US"/>
        </w:rPr>
        <w:t>4</w:t>
      </w:r>
      <w:r w:rsidRPr="00390EBD">
        <w:rPr>
          <w:rFonts w:ascii="Book Antiqua" w:hAnsi="Book Antiqua" w:cs="Book Antiqua"/>
          <w:sz w:val="24"/>
          <w:szCs w:val="24"/>
        </w:rPr>
        <w:t>β</w:t>
      </w:r>
      <w:r w:rsidRPr="00390EBD">
        <w:rPr>
          <w:rFonts w:ascii="Book Antiqua" w:hAnsi="Book Antiqua" w:cs="Book Antiqua"/>
          <w:sz w:val="24"/>
          <w:szCs w:val="24"/>
          <w:lang w:val="en-US"/>
        </w:rPr>
        <w:t>7 were presented in 2009</w:t>
      </w:r>
      <w:r w:rsidRPr="00390EBD">
        <w:rPr>
          <w:rFonts w:ascii="Book Antiqua" w:hAnsi="Book Antiqua" w:cs="Book Antiqua"/>
          <w:sz w:val="24"/>
          <w:szCs w:val="24"/>
          <w:vertAlign w:val="superscript"/>
          <w:lang w:val="en-US"/>
        </w:rPr>
        <w:t>[178]</w:t>
      </w:r>
      <w:r w:rsidRPr="00390EBD">
        <w:rPr>
          <w:rFonts w:ascii="Book Antiqua" w:hAnsi="Book Antiqua" w:cs="Book Antiqua"/>
          <w:sz w:val="24"/>
          <w:szCs w:val="24"/>
          <w:lang w:val="en-US"/>
        </w:rPr>
        <w:t>, though subsequent data are only available for PF</w:t>
      </w:r>
      <w:r w:rsidRPr="00390EBD">
        <w:rPr>
          <w:rFonts w:ascii="Book Antiqua" w:hAnsi="Book Antiqua" w:cs="Book Antiqua"/>
          <w:sz w:val="24"/>
          <w:szCs w:val="24"/>
          <w:lang w:val="en-US"/>
        </w:rPr>
        <w:noBreakHyphen/>
        <w:t>00547,659. In 2011 a double</w:t>
      </w:r>
      <w:r w:rsidRPr="00390EBD">
        <w:rPr>
          <w:rFonts w:ascii="Book Antiqua" w:hAnsi="Book Antiqua" w:cs="Book Antiqua"/>
          <w:sz w:val="24"/>
          <w:szCs w:val="24"/>
          <w:lang w:val="en-US"/>
        </w:rPr>
        <w:noBreakHyphen/>
        <w:t>blind study randomized 80 patients with active UC to different single or multiple s.c. or i.v. doses of PF</w:t>
      </w:r>
      <w:r w:rsidRPr="00390EBD">
        <w:rPr>
          <w:rFonts w:ascii="Book Antiqua" w:hAnsi="Book Antiqua" w:cs="Book Antiqua"/>
          <w:sz w:val="24"/>
          <w:szCs w:val="24"/>
          <w:lang w:val="en-US"/>
        </w:rPr>
        <w:noBreakHyphen/>
        <w:t xml:space="preserve">00547,659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PB. Good efficacy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PB was recorded, with endoscopic improvement of the lesions, a good safety and tolerability profile, and no immunogenicity. This year has seen publication of the results of the TURANDOT trial</w:t>
      </w:r>
      <w:r w:rsidRPr="00390EBD">
        <w:rPr>
          <w:rFonts w:ascii="Book Antiqua" w:hAnsi="Book Antiqua" w:cs="Book Antiqua"/>
          <w:sz w:val="24"/>
          <w:szCs w:val="24"/>
          <w:vertAlign w:val="superscript"/>
          <w:lang w:val="en-US"/>
        </w:rPr>
        <w:t>[179]</w:t>
      </w:r>
      <w:r w:rsidRPr="00390EBD">
        <w:rPr>
          <w:rFonts w:ascii="Book Antiqua" w:hAnsi="Book Antiqua" w:cs="Book Antiqua"/>
          <w:sz w:val="24"/>
          <w:szCs w:val="24"/>
          <w:lang w:val="en-US"/>
        </w:rPr>
        <w:t>, a double</w:t>
      </w:r>
      <w:r w:rsidRPr="00390EBD">
        <w:rPr>
          <w:rFonts w:ascii="Book Antiqua" w:hAnsi="Book Antiqua" w:cs="Book Antiqua"/>
          <w:sz w:val="24"/>
          <w:szCs w:val="24"/>
          <w:lang w:val="en-US"/>
        </w:rPr>
        <w:noBreakHyphen/>
        <w:t>blind, PB</w:t>
      </w:r>
      <w:r w:rsidRPr="00390EBD">
        <w:rPr>
          <w:rFonts w:ascii="Book Antiqua" w:hAnsi="Book Antiqua" w:cs="Book Antiqua"/>
          <w:sz w:val="24"/>
          <w:szCs w:val="24"/>
          <w:lang w:val="en-US"/>
        </w:rPr>
        <w:noBreakHyphen/>
        <w:t>controlled multicenter efficacy and safety study in 357 patients with moderate to severe UC randomized to PB or to doses of the antibody (7.5</w:t>
      </w:r>
      <w:r w:rsidR="0020336D">
        <w:rPr>
          <w:rFonts w:ascii="Book Antiqua" w:hAnsi="Book Antiqua" w:cs="Book Antiqua"/>
          <w:sz w:val="24"/>
          <w:szCs w:val="24"/>
          <w:lang w:val="en-US"/>
        </w:rPr>
        <w:t>, 22.5, 75 or 225 mg every 4 wk</w:t>
      </w:r>
      <w:r w:rsidRPr="00390EBD">
        <w:rPr>
          <w:rFonts w:ascii="Book Antiqua" w:hAnsi="Book Antiqua" w:cs="Book Antiqua"/>
          <w:sz w:val="24"/>
          <w:szCs w:val="24"/>
          <w:lang w:val="en-US"/>
        </w:rPr>
        <w:t xml:space="preserve"> for three doses). The primary endpoint was the remission rate in week 12, and the secondary endpoints were the response rate and mucosal healing rate in week 12. Remission and mucosal healing were significantly greater in the 22.5 mg and 75 mg dose groups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PB, while response was significantly greater for the 22.5 mg and 225 mg groups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PB. The safety profile remained favorable.</w:t>
      </w:r>
    </w:p>
    <w:p w14:paraId="6BAD1E00" w14:textId="77777777" w:rsidR="0020336D" w:rsidRDefault="0020336D" w:rsidP="00954CEE">
      <w:pPr>
        <w:autoSpaceDE w:val="0"/>
        <w:autoSpaceDN w:val="0"/>
        <w:adjustRightInd w:val="0"/>
        <w:snapToGrid w:val="0"/>
        <w:spacing w:after="0" w:line="360" w:lineRule="auto"/>
        <w:jc w:val="both"/>
        <w:rPr>
          <w:rFonts w:ascii="Book Antiqua" w:hAnsi="Book Antiqua" w:cs="Book Antiqua"/>
          <w:b/>
          <w:bCs/>
          <w:sz w:val="24"/>
          <w:szCs w:val="24"/>
          <w:lang w:val="en-US" w:eastAsia="zh-CN"/>
        </w:rPr>
      </w:pPr>
    </w:p>
    <w:p w14:paraId="2E867982"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b/>
          <w:bCs/>
          <w:sz w:val="24"/>
          <w:szCs w:val="24"/>
          <w:lang w:val="en-US"/>
        </w:rPr>
      </w:pPr>
      <w:r w:rsidRPr="00390EBD">
        <w:rPr>
          <w:rFonts w:ascii="Book Antiqua" w:hAnsi="Book Antiqua" w:cs="Book Antiqua"/>
          <w:b/>
          <w:bCs/>
          <w:sz w:val="24"/>
          <w:szCs w:val="24"/>
          <w:lang w:val="en-US"/>
        </w:rPr>
        <w:t>OTHER LINES OF RESEARCH</w:t>
      </w:r>
    </w:p>
    <w:p w14:paraId="77F031B6" w14:textId="77777777" w:rsidR="006138C7" w:rsidRPr="0020336D" w:rsidRDefault="006138C7" w:rsidP="00954CEE">
      <w:pPr>
        <w:autoSpaceDE w:val="0"/>
        <w:autoSpaceDN w:val="0"/>
        <w:adjustRightInd w:val="0"/>
        <w:snapToGrid w:val="0"/>
        <w:spacing w:after="0" w:line="360" w:lineRule="auto"/>
        <w:jc w:val="both"/>
        <w:rPr>
          <w:rFonts w:ascii="Book Antiqua" w:hAnsi="Book Antiqua" w:cs="Book Antiqua"/>
          <w:b/>
          <w:bCs/>
          <w:i/>
          <w:sz w:val="24"/>
          <w:szCs w:val="24"/>
          <w:lang w:val="en-US"/>
        </w:rPr>
      </w:pPr>
      <w:r w:rsidRPr="0020336D">
        <w:rPr>
          <w:rFonts w:ascii="Book Antiqua" w:hAnsi="Book Antiqua" w:cs="Book Antiqua"/>
          <w:b/>
          <w:bCs/>
          <w:i/>
          <w:sz w:val="24"/>
          <w:szCs w:val="24"/>
          <w:lang w:val="en-US"/>
        </w:rPr>
        <w:t>Laquinimod</w:t>
      </w:r>
    </w:p>
    <w:p w14:paraId="54B009E1" w14:textId="4BA93933"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 xml:space="preserve">Laquinimod is a molecule administered </w:t>
      </w:r>
      <w:r w:rsidRPr="00BB5B43">
        <w:rPr>
          <w:rFonts w:ascii="Book Antiqua" w:hAnsi="Book Antiqua" w:cs="Book Antiqua"/>
          <w:i/>
          <w:sz w:val="24"/>
          <w:szCs w:val="24"/>
          <w:lang w:val="en-US"/>
        </w:rPr>
        <w:t>via</w:t>
      </w:r>
      <w:r w:rsidRPr="00390EBD">
        <w:rPr>
          <w:rFonts w:ascii="Book Antiqua" w:hAnsi="Book Antiqua" w:cs="Book Antiqua"/>
          <w:sz w:val="24"/>
          <w:szCs w:val="24"/>
          <w:lang w:val="en-US"/>
        </w:rPr>
        <w:t xml:space="preserve"> the oral route, with great bioavailability, and with purported regulatory activity upon antigen</w:t>
      </w:r>
      <w:r w:rsidRPr="00390EBD">
        <w:rPr>
          <w:rFonts w:ascii="Book Antiqua" w:hAnsi="Book Antiqua" w:cs="Book Antiqua"/>
          <w:sz w:val="24"/>
          <w:szCs w:val="24"/>
          <w:lang w:val="en-US"/>
        </w:rPr>
        <w:noBreakHyphen/>
        <w:t>presenting cells (APCs) and T lymphocytes</w:t>
      </w:r>
      <w:r w:rsidRPr="00390EBD">
        <w:rPr>
          <w:rFonts w:ascii="Book Antiqua" w:hAnsi="Book Antiqua" w:cs="Book Antiqua"/>
          <w:sz w:val="24"/>
          <w:szCs w:val="24"/>
          <w:vertAlign w:val="superscript"/>
          <w:lang w:val="en-US"/>
        </w:rPr>
        <w:t>[180,181]</w:t>
      </w:r>
      <w:r w:rsidRPr="00390EBD">
        <w:rPr>
          <w:rFonts w:ascii="Book Antiqua" w:hAnsi="Book Antiqua" w:cs="Book Antiqua"/>
          <w:sz w:val="24"/>
          <w:szCs w:val="24"/>
          <w:lang w:val="en-US"/>
        </w:rPr>
        <w:t xml:space="preserve">. A phase II trial randomizing 180 patients to different doses of active treatment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PB has reported results inversely proportional to the increase in dose as regards percentage response or remission</w:t>
      </w:r>
      <w:r w:rsidRPr="00390EBD">
        <w:rPr>
          <w:rFonts w:ascii="Book Antiqua" w:hAnsi="Book Antiqua" w:cs="Book Antiqua"/>
          <w:sz w:val="24"/>
          <w:szCs w:val="24"/>
          <w:vertAlign w:val="superscript"/>
          <w:lang w:val="en-US"/>
        </w:rPr>
        <w:t>[182]</w:t>
      </w:r>
      <w:r w:rsidRPr="00390EBD">
        <w:rPr>
          <w:rFonts w:ascii="Book Antiqua" w:hAnsi="Book Antiqua" w:cs="Book Antiqua"/>
          <w:sz w:val="24"/>
          <w:szCs w:val="24"/>
          <w:lang w:val="en-US"/>
        </w:rPr>
        <w:t xml:space="preserve">. Specifically, the lowest dose (0.5 mg) elicited a clinical response in 55.2% of the patients treated with the active drug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in 31.7% of the patients administered PB, with respective remission rates of 48.3%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15.9% in week 8.</w:t>
      </w:r>
    </w:p>
    <w:p w14:paraId="6B64D7F7" w14:textId="77777777" w:rsidR="0020336D" w:rsidRDefault="0020336D" w:rsidP="00954CEE">
      <w:pPr>
        <w:autoSpaceDE w:val="0"/>
        <w:autoSpaceDN w:val="0"/>
        <w:adjustRightInd w:val="0"/>
        <w:snapToGrid w:val="0"/>
        <w:spacing w:after="0" w:line="360" w:lineRule="auto"/>
        <w:jc w:val="both"/>
        <w:rPr>
          <w:rFonts w:ascii="Book Antiqua" w:hAnsi="Book Antiqua" w:cs="Book Antiqua"/>
          <w:b/>
          <w:bCs/>
          <w:sz w:val="24"/>
          <w:szCs w:val="24"/>
          <w:lang w:val="en-US" w:eastAsia="zh-CN"/>
        </w:rPr>
      </w:pPr>
    </w:p>
    <w:p w14:paraId="0077D2D6" w14:textId="77777777" w:rsidR="006138C7" w:rsidRPr="0020336D" w:rsidRDefault="006138C7" w:rsidP="00954CEE">
      <w:pPr>
        <w:autoSpaceDE w:val="0"/>
        <w:autoSpaceDN w:val="0"/>
        <w:adjustRightInd w:val="0"/>
        <w:snapToGrid w:val="0"/>
        <w:spacing w:after="0" w:line="360" w:lineRule="auto"/>
        <w:jc w:val="both"/>
        <w:rPr>
          <w:rFonts w:ascii="Book Antiqua" w:hAnsi="Book Antiqua" w:cs="Book Antiqua"/>
          <w:b/>
          <w:bCs/>
          <w:i/>
          <w:sz w:val="24"/>
          <w:szCs w:val="24"/>
          <w:lang w:val="en-US"/>
        </w:rPr>
      </w:pPr>
      <w:r w:rsidRPr="0020336D">
        <w:rPr>
          <w:rFonts w:ascii="Book Antiqua" w:hAnsi="Book Antiqua" w:cs="Book Antiqua"/>
          <w:b/>
          <w:bCs/>
          <w:i/>
          <w:sz w:val="24"/>
          <w:szCs w:val="24"/>
          <w:lang w:val="en-US"/>
        </w:rPr>
        <w:t>Masitinib</w:t>
      </w:r>
    </w:p>
    <w:p w14:paraId="0FE003E8"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 xml:space="preserve">Gastrointestinal mast cells are usually found beneath the epithelial surfaces and are able to release cytokines, chemokines, prostaglandins, histamine and </w:t>
      </w:r>
      <w:r w:rsidRPr="00390EBD">
        <w:rPr>
          <w:rFonts w:ascii="Book Antiqua" w:hAnsi="Book Antiqua" w:cs="Book Antiqua"/>
          <w:sz w:val="24"/>
          <w:szCs w:val="24"/>
          <w:lang w:val="en-US"/>
        </w:rPr>
        <w:lastRenderedPageBreak/>
        <w:t>heparin. The proliferation of these cells is seen to increase at intestinal mucosal and submucosal level in CD</w:t>
      </w:r>
      <w:r w:rsidRPr="00390EBD">
        <w:rPr>
          <w:rFonts w:ascii="Book Antiqua" w:hAnsi="Book Antiqua" w:cs="Book Antiqua"/>
          <w:sz w:val="24"/>
          <w:szCs w:val="24"/>
          <w:vertAlign w:val="superscript"/>
          <w:lang w:val="en-US"/>
        </w:rPr>
        <w:t>[183,184]</w:t>
      </w:r>
      <w:r w:rsidRPr="00390EBD">
        <w:rPr>
          <w:rFonts w:ascii="Book Antiqua" w:hAnsi="Book Antiqua" w:cs="Book Antiqua"/>
          <w:sz w:val="24"/>
          <w:szCs w:val="24"/>
          <w:lang w:val="en-US"/>
        </w:rPr>
        <w:t>. Masitinib is a selective tyrosine kinase inhibitor that targets c</w:t>
      </w:r>
      <w:r w:rsidRPr="00390EBD">
        <w:rPr>
          <w:rFonts w:ascii="Book Antiqua" w:hAnsi="Book Antiqua" w:cs="Book Antiqua"/>
          <w:sz w:val="24"/>
          <w:szCs w:val="24"/>
          <w:lang w:val="en-US"/>
        </w:rPr>
        <w:noBreakHyphen/>
        <w:t>kit receptor (expressed by mast cells), but also platelet</w:t>
      </w:r>
      <w:r w:rsidRPr="00390EBD">
        <w:rPr>
          <w:rFonts w:ascii="Book Antiqua" w:hAnsi="Book Antiqua" w:cs="Book Antiqua"/>
          <w:sz w:val="24"/>
          <w:szCs w:val="24"/>
          <w:lang w:val="en-US"/>
        </w:rPr>
        <w:noBreakHyphen/>
        <w:t>derived growth factor receptor</w:t>
      </w:r>
      <w:r w:rsidRPr="00390EBD">
        <w:rPr>
          <w:rFonts w:ascii="Book Antiqua" w:hAnsi="Book Antiqua" w:cs="Book Antiqua"/>
          <w:sz w:val="24"/>
          <w:szCs w:val="24"/>
          <w:lang w:val="en-US"/>
        </w:rPr>
        <w:noBreakHyphen/>
      </w:r>
      <w:r w:rsidRPr="00390EBD">
        <w:rPr>
          <w:rFonts w:ascii="Book Antiqua" w:hAnsi="Book Antiqua" w:cs="Book Antiqua"/>
          <w:sz w:val="24"/>
          <w:szCs w:val="24"/>
        </w:rPr>
        <w:t>α</w:t>
      </w:r>
      <w:r w:rsidRPr="00390EBD">
        <w:rPr>
          <w:rFonts w:ascii="Book Antiqua" w:hAnsi="Book Antiqua" w:cs="Book Antiqua"/>
          <w:sz w:val="24"/>
          <w:szCs w:val="24"/>
          <w:lang w:val="en-US"/>
        </w:rPr>
        <w:t>/</w:t>
      </w:r>
      <w:r w:rsidRPr="00390EBD">
        <w:rPr>
          <w:rFonts w:ascii="Book Antiqua" w:hAnsi="Book Antiqua" w:cs="Book Antiqua"/>
          <w:sz w:val="24"/>
          <w:szCs w:val="24"/>
        </w:rPr>
        <w:t>β</w:t>
      </w:r>
      <w:r w:rsidRPr="00390EBD">
        <w:rPr>
          <w:rFonts w:ascii="Book Antiqua" w:hAnsi="Book Antiqua" w:cs="Book Antiqua"/>
          <w:sz w:val="24"/>
          <w:szCs w:val="24"/>
          <w:lang w:val="en-US"/>
        </w:rPr>
        <w:t>, lymphocyte</w:t>
      </w:r>
      <w:r w:rsidRPr="00390EBD">
        <w:rPr>
          <w:rFonts w:ascii="Book Antiqua" w:hAnsi="Book Antiqua" w:cs="Book Antiqua"/>
          <w:sz w:val="24"/>
          <w:szCs w:val="24"/>
          <w:lang w:val="en-US"/>
        </w:rPr>
        <w:noBreakHyphen/>
        <w:t>specific kinase, Lck/Yes</w:t>
      </w:r>
      <w:r w:rsidRPr="00390EBD">
        <w:rPr>
          <w:rFonts w:ascii="Book Antiqua" w:hAnsi="Book Antiqua" w:cs="Book Antiqua"/>
          <w:sz w:val="24"/>
          <w:szCs w:val="24"/>
          <w:lang w:val="en-US"/>
        </w:rPr>
        <w:noBreakHyphen/>
        <w:t>related protein, fibroblast growth factor receptor 3 and the focal adhesion kinase activation pathway</w:t>
      </w:r>
      <w:r w:rsidRPr="00390EBD">
        <w:rPr>
          <w:rFonts w:ascii="Book Antiqua" w:hAnsi="Book Antiqua" w:cs="Book Antiqua"/>
          <w:sz w:val="24"/>
          <w:szCs w:val="24"/>
          <w:vertAlign w:val="superscript"/>
          <w:lang w:val="en-US"/>
        </w:rPr>
        <w:t>[185]</w:t>
      </w:r>
      <w:r w:rsidRPr="00390EBD">
        <w:rPr>
          <w:rFonts w:ascii="Book Antiqua" w:hAnsi="Book Antiqua" w:cs="Book Antiqua"/>
          <w:sz w:val="24"/>
          <w:szCs w:val="24"/>
          <w:lang w:val="en-US"/>
        </w:rPr>
        <w:t>. A phase IIb/III phase is currently underway with this molecule, with the planned inclusion of 450 patients with CD</w:t>
      </w:r>
      <w:r w:rsidRPr="00390EBD">
        <w:rPr>
          <w:rFonts w:ascii="Book Antiqua" w:hAnsi="Book Antiqua" w:cs="Book Antiqua"/>
          <w:sz w:val="24"/>
          <w:szCs w:val="24"/>
          <w:vertAlign w:val="superscript"/>
          <w:lang w:val="en-US"/>
        </w:rPr>
        <w:t>[186]</w:t>
      </w:r>
      <w:r w:rsidRPr="00390EBD">
        <w:rPr>
          <w:rFonts w:ascii="Book Antiqua" w:hAnsi="Book Antiqua" w:cs="Book Antiqua"/>
          <w:sz w:val="24"/>
          <w:szCs w:val="24"/>
          <w:lang w:val="en-US"/>
        </w:rPr>
        <w:t>.</w:t>
      </w:r>
    </w:p>
    <w:p w14:paraId="16BE0336" w14:textId="77777777" w:rsidR="0020336D" w:rsidRDefault="0020336D" w:rsidP="00954CEE">
      <w:pPr>
        <w:autoSpaceDE w:val="0"/>
        <w:autoSpaceDN w:val="0"/>
        <w:adjustRightInd w:val="0"/>
        <w:snapToGrid w:val="0"/>
        <w:spacing w:after="0" w:line="360" w:lineRule="auto"/>
        <w:jc w:val="both"/>
        <w:rPr>
          <w:rFonts w:ascii="Book Antiqua" w:hAnsi="Book Antiqua" w:cs="Book Antiqua"/>
          <w:b/>
          <w:bCs/>
          <w:sz w:val="24"/>
          <w:szCs w:val="24"/>
          <w:lang w:val="en-US" w:eastAsia="zh-CN"/>
        </w:rPr>
      </w:pPr>
    </w:p>
    <w:p w14:paraId="20029C8C" w14:textId="6B801DD9" w:rsidR="006138C7" w:rsidRPr="0020336D" w:rsidRDefault="006138C7" w:rsidP="00954CEE">
      <w:pPr>
        <w:autoSpaceDE w:val="0"/>
        <w:autoSpaceDN w:val="0"/>
        <w:adjustRightInd w:val="0"/>
        <w:snapToGrid w:val="0"/>
        <w:spacing w:after="0" w:line="360" w:lineRule="auto"/>
        <w:jc w:val="both"/>
        <w:rPr>
          <w:rFonts w:ascii="Book Antiqua" w:hAnsi="Book Antiqua" w:cs="Book Antiqua"/>
          <w:b/>
          <w:bCs/>
          <w:i/>
          <w:sz w:val="24"/>
          <w:szCs w:val="24"/>
          <w:lang w:val="en-US"/>
        </w:rPr>
      </w:pPr>
      <w:r w:rsidRPr="0020336D">
        <w:rPr>
          <w:rFonts w:ascii="Book Antiqua" w:hAnsi="Book Antiqua" w:cs="Book Antiqua"/>
          <w:b/>
          <w:bCs/>
          <w:i/>
          <w:sz w:val="24"/>
          <w:szCs w:val="24"/>
          <w:lang w:val="en-US"/>
        </w:rPr>
        <w:t xml:space="preserve">Visiluzimab, </w:t>
      </w:r>
      <w:r w:rsidR="0020336D" w:rsidRPr="0020336D">
        <w:rPr>
          <w:rFonts w:ascii="Book Antiqua" w:hAnsi="Book Antiqua" w:cs="Book Antiqua"/>
          <w:b/>
          <w:bCs/>
          <w:i/>
          <w:sz w:val="24"/>
          <w:szCs w:val="24"/>
          <w:lang w:val="en-US"/>
        </w:rPr>
        <w:t>rituximab and abatacept</w:t>
      </w:r>
    </w:p>
    <w:p w14:paraId="1F3C6DDB" w14:textId="5BD9FBCF"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 xml:space="preserve">Attempts have been made to invert the natural inflammation process in which T cell proliferation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apoptosis is observed. </w:t>
      </w:r>
      <w:r w:rsidRPr="0020336D">
        <w:rPr>
          <w:rFonts w:ascii="Book Antiqua" w:hAnsi="Book Antiqua" w:cs="Book Antiqua"/>
          <w:bCs/>
          <w:sz w:val="24"/>
          <w:szCs w:val="24"/>
          <w:lang w:val="en-US"/>
        </w:rPr>
        <w:t>Visiluzimab</w:t>
      </w:r>
      <w:r w:rsidRPr="00390EBD">
        <w:rPr>
          <w:rFonts w:ascii="Book Antiqua" w:hAnsi="Book Antiqua" w:cs="Book Antiqua"/>
          <w:b/>
          <w:bCs/>
          <w:sz w:val="24"/>
          <w:szCs w:val="24"/>
          <w:lang w:val="en-US"/>
        </w:rPr>
        <w:t xml:space="preserve"> </w:t>
      </w:r>
      <w:r w:rsidRPr="00390EBD">
        <w:rPr>
          <w:rFonts w:ascii="Book Antiqua" w:hAnsi="Book Antiqua" w:cs="Book Antiqua"/>
          <w:sz w:val="24"/>
          <w:szCs w:val="24"/>
          <w:lang w:val="en-US"/>
        </w:rPr>
        <w:t xml:space="preserve">(a humanized monoclonal antibody against T cell receptor CD3) and </w:t>
      </w:r>
      <w:r w:rsidRPr="0020336D">
        <w:rPr>
          <w:rFonts w:ascii="Book Antiqua" w:hAnsi="Book Antiqua" w:cs="Book Antiqua"/>
          <w:bCs/>
          <w:sz w:val="24"/>
          <w:szCs w:val="24"/>
          <w:lang w:val="en-US"/>
        </w:rPr>
        <w:t>rituximab</w:t>
      </w:r>
      <w:r w:rsidRPr="00390EBD">
        <w:rPr>
          <w:rFonts w:ascii="Book Antiqua" w:hAnsi="Book Antiqua" w:cs="Book Antiqua"/>
          <w:sz w:val="24"/>
          <w:szCs w:val="24"/>
          <w:lang w:val="en-US"/>
        </w:rPr>
        <w:t xml:space="preserve"> (a chimeric monoclonal antibody targeted to B cell receptor CD20) have been evaluated in IBD, where they have shown an unfavorable safety profile</w:t>
      </w:r>
      <w:r w:rsidRPr="00390EBD">
        <w:rPr>
          <w:rFonts w:ascii="Book Antiqua" w:hAnsi="Book Antiqua" w:cs="Book Antiqua"/>
          <w:sz w:val="24"/>
          <w:szCs w:val="24"/>
          <w:vertAlign w:val="superscript"/>
          <w:lang w:val="en-US"/>
        </w:rPr>
        <w:t>[187-192]</w:t>
      </w:r>
      <w:r w:rsidRPr="00390EBD">
        <w:rPr>
          <w:rFonts w:ascii="Book Antiqua" w:hAnsi="Book Antiqua" w:cs="Book Antiqua"/>
          <w:sz w:val="24"/>
          <w:szCs w:val="24"/>
          <w:lang w:val="en-US"/>
        </w:rPr>
        <w:t xml:space="preserve">. </w:t>
      </w:r>
      <w:r w:rsidRPr="0020336D">
        <w:rPr>
          <w:rFonts w:ascii="Book Antiqua" w:hAnsi="Book Antiqua" w:cs="Book Antiqua"/>
          <w:bCs/>
          <w:sz w:val="24"/>
          <w:szCs w:val="24"/>
          <w:lang w:val="en-US"/>
        </w:rPr>
        <w:t>Abatacept</w:t>
      </w:r>
      <w:r w:rsidRPr="00390EBD">
        <w:rPr>
          <w:rFonts w:ascii="Book Antiqua" w:hAnsi="Book Antiqua" w:cs="Book Antiqua"/>
          <w:sz w:val="24"/>
          <w:szCs w:val="24"/>
          <w:lang w:val="en-US"/>
        </w:rPr>
        <w:t xml:space="preserve"> is a recombinant protein that blocks T cell co</w:t>
      </w:r>
      <w:r w:rsidRPr="00390EBD">
        <w:rPr>
          <w:rFonts w:ascii="Book Antiqua" w:hAnsi="Book Antiqua" w:cs="Book Antiqua"/>
          <w:sz w:val="24"/>
          <w:szCs w:val="24"/>
          <w:lang w:val="en-US"/>
        </w:rPr>
        <w:noBreakHyphen/>
        <w:t>stimulation by the antigen</w:t>
      </w:r>
      <w:r w:rsidRPr="00390EBD">
        <w:rPr>
          <w:rFonts w:ascii="Book Antiqua" w:hAnsi="Book Antiqua" w:cs="Book Antiqua"/>
          <w:sz w:val="24"/>
          <w:szCs w:val="24"/>
          <w:lang w:val="en-US"/>
        </w:rPr>
        <w:noBreakHyphen/>
        <w:t>presenting cells (APCs). Its use has been approved for RA, though the results referred to IBD have been disappointing</w:t>
      </w:r>
      <w:r w:rsidRPr="00390EBD">
        <w:rPr>
          <w:rFonts w:ascii="Book Antiqua" w:hAnsi="Book Antiqua" w:cs="Book Antiqua"/>
          <w:sz w:val="24"/>
          <w:szCs w:val="24"/>
          <w:vertAlign w:val="superscript"/>
          <w:lang w:val="en-US"/>
        </w:rPr>
        <w:t>[193,194]</w:t>
      </w:r>
      <w:r w:rsidRPr="00390EBD">
        <w:rPr>
          <w:rFonts w:ascii="Book Antiqua" w:hAnsi="Book Antiqua" w:cs="Book Antiqua"/>
          <w:sz w:val="24"/>
          <w:szCs w:val="24"/>
          <w:lang w:val="en-US"/>
        </w:rPr>
        <w:t>.</w:t>
      </w:r>
    </w:p>
    <w:p w14:paraId="6C4F3539" w14:textId="77777777" w:rsidR="006138C7" w:rsidRPr="00390EBD" w:rsidRDefault="006138C7" w:rsidP="00954CEE">
      <w:pPr>
        <w:adjustRightInd w:val="0"/>
        <w:snapToGrid w:val="0"/>
        <w:spacing w:after="0" w:line="360" w:lineRule="auto"/>
        <w:jc w:val="both"/>
        <w:rPr>
          <w:rFonts w:ascii="Book Antiqua" w:hAnsi="Book Antiqua" w:cs="Book Antiqua"/>
          <w:b/>
          <w:bCs/>
          <w:sz w:val="24"/>
          <w:szCs w:val="24"/>
          <w:lang w:val="en-US"/>
        </w:rPr>
      </w:pPr>
    </w:p>
    <w:p w14:paraId="35B9B8EA" w14:textId="77777777" w:rsidR="006138C7" w:rsidRPr="0020336D" w:rsidRDefault="006138C7" w:rsidP="00954CEE">
      <w:pPr>
        <w:autoSpaceDE w:val="0"/>
        <w:autoSpaceDN w:val="0"/>
        <w:adjustRightInd w:val="0"/>
        <w:snapToGrid w:val="0"/>
        <w:spacing w:after="0" w:line="360" w:lineRule="auto"/>
        <w:jc w:val="both"/>
        <w:rPr>
          <w:rFonts w:ascii="Book Antiqua" w:hAnsi="Book Antiqua" w:cs="Book Antiqua"/>
          <w:b/>
          <w:bCs/>
          <w:i/>
          <w:sz w:val="24"/>
          <w:szCs w:val="24"/>
          <w:lang w:val="en-US"/>
        </w:rPr>
      </w:pPr>
      <w:r w:rsidRPr="0020336D">
        <w:rPr>
          <w:rFonts w:ascii="Book Antiqua" w:hAnsi="Book Antiqua" w:cs="Book Antiqua"/>
          <w:b/>
          <w:bCs/>
          <w:i/>
          <w:sz w:val="24"/>
          <w:szCs w:val="24"/>
          <w:lang w:val="en-US"/>
        </w:rPr>
        <w:t>Morgensen</w:t>
      </w:r>
    </w:p>
    <w:p w14:paraId="30F7CC24" w14:textId="6B22B1D0"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70C0"/>
          <w:sz w:val="24"/>
          <w:szCs w:val="24"/>
          <w:lang w:val="en-US"/>
        </w:rPr>
      </w:pPr>
      <w:r w:rsidRPr="00390EBD">
        <w:rPr>
          <w:rFonts w:ascii="Book Antiqua" w:hAnsi="Book Antiqua" w:cs="Book Antiqua"/>
          <w:sz w:val="24"/>
          <w:szCs w:val="24"/>
          <w:lang w:val="en-US"/>
        </w:rPr>
        <w:t>Immunosuppressive cytokine transforming growth factor (TGF)–</w:t>
      </w:r>
      <w:r w:rsidRPr="00390EBD">
        <w:rPr>
          <w:rFonts w:ascii="Book Antiqua" w:hAnsi="Book Antiqua" w:cs="Book Antiqua"/>
          <w:sz w:val="24"/>
          <w:szCs w:val="24"/>
        </w:rPr>
        <w:t>β</w:t>
      </w:r>
      <w:r w:rsidRPr="00390EBD">
        <w:rPr>
          <w:rFonts w:ascii="Book Antiqua" w:hAnsi="Book Antiqua" w:cs="Book Antiqua"/>
          <w:sz w:val="24"/>
          <w:szCs w:val="24"/>
          <w:lang w:val="en-US"/>
        </w:rPr>
        <w:t>1 is a secreted cytokine with growth, proliferation, differentiation and apoptotic functions. It has been attributed with immune regulating functions depending on the cell upon which it acts and the environment in which it is found. Diminished TGF–</w:t>
      </w:r>
      <w:r w:rsidRPr="00390EBD">
        <w:rPr>
          <w:rFonts w:ascii="Book Antiqua" w:hAnsi="Book Antiqua" w:cs="Book Antiqua"/>
          <w:sz w:val="24"/>
          <w:szCs w:val="24"/>
        </w:rPr>
        <w:t>β</w:t>
      </w:r>
      <w:r w:rsidRPr="00390EBD">
        <w:rPr>
          <w:rFonts w:ascii="Book Antiqua" w:hAnsi="Book Antiqua" w:cs="Book Antiqua"/>
          <w:sz w:val="24"/>
          <w:szCs w:val="24"/>
          <w:lang w:val="en-US"/>
        </w:rPr>
        <w:t>1 activity has been reported in CD. This is due to the binding of an intracellular protein called SMAD 7 to the TGF–</w:t>
      </w:r>
      <w:r w:rsidRPr="00390EBD">
        <w:rPr>
          <w:rFonts w:ascii="Book Antiqua" w:hAnsi="Book Antiqua" w:cs="Book Antiqua"/>
          <w:sz w:val="24"/>
          <w:szCs w:val="24"/>
        </w:rPr>
        <w:t>β</w:t>
      </w:r>
      <w:r w:rsidRPr="00390EBD">
        <w:rPr>
          <w:rFonts w:ascii="Book Antiqua" w:hAnsi="Book Antiqua" w:cs="Book Antiqua"/>
          <w:sz w:val="24"/>
          <w:szCs w:val="24"/>
          <w:lang w:val="en-US"/>
        </w:rPr>
        <w:t>1 receptor</w:t>
      </w:r>
      <w:r w:rsidRPr="00390EBD">
        <w:rPr>
          <w:rFonts w:ascii="Book Antiqua" w:hAnsi="Book Antiqua" w:cs="Book Antiqua"/>
          <w:sz w:val="24"/>
          <w:szCs w:val="24"/>
          <w:vertAlign w:val="superscript"/>
          <w:lang w:val="en-US"/>
        </w:rPr>
        <w:t>[195]</w:t>
      </w:r>
      <w:r w:rsidRPr="00390EBD">
        <w:rPr>
          <w:rFonts w:ascii="Book Antiqua" w:hAnsi="Book Antiqua" w:cs="Book Antiqua"/>
          <w:sz w:val="24"/>
          <w:szCs w:val="24"/>
          <w:lang w:val="en-US"/>
        </w:rPr>
        <w:t xml:space="preserve">. A molecule known as </w:t>
      </w:r>
      <w:r w:rsidRPr="0020336D">
        <w:rPr>
          <w:rFonts w:ascii="Book Antiqua" w:hAnsi="Book Antiqua" w:cs="Book Antiqua"/>
          <w:bCs/>
          <w:sz w:val="24"/>
          <w:szCs w:val="24"/>
          <w:lang w:val="en-US"/>
        </w:rPr>
        <w:t>Morgensen</w:t>
      </w:r>
      <w:r w:rsidRPr="00390EBD">
        <w:rPr>
          <w:rFonts w:ascii="Book Antiqua" w:hAnsi="Book Antiqua" w:cs="Book Antiqua"/>
          <w:sz w:val="24"/>
          <w:szCs w:val="24"/>
          <w:lang w:val="en-US"/>
        </w:rPr>
        <w:t xml:space="preserve"> (GED301) was presented in 2001. This is an antisense oligonucleotide that hybridizes to the human </w:t>
      </w:r>
      <w:r w:rsidRPr="00390EBD">
        <w:rPr>
          <w:rFonts w:ascii="Book Antiqua" w:hAnsi="Book Antiqua" w:cs="Book Antiqua"/>
          <w:i/>
          <w:iCs/>
          <w:sz w:val="24"/>
          <w:szCs w:val="24"/>
          <w:lang w:val="en-US"/>
        </w:rPr>
        <w:t xml:space="preserve">SMAD7 </w:t>
      </w:r>
      <w:r w:rsidRPr="00390EBD">
        <w:rPr>
          <w:rFonts w:ascii="Book Antiqua" w:hAnsi="Book Antiqua" w:cs="Book Antiqua"/>
          <w:sz w:val="24"/>
          <w:szCs w:val="24"/>
          <w:lang w:val="en-US"/>
        </w:rPr>
        <w:t>messenger RNA (mRNA) and facilitates RNase H–mediated RNA degradation through a classic antisense mechanism. Its release is pH</w:t>
      </w:r>
      <w:r w:rsidRPr="00390EBD">
        <w:rPr>
          <w:rFonts w:ascii="Book Antiqua" w:hAnsi="Book Antiqua" w:cs="Book Antiqua"/>
          <w:sz w:val="24"/>
          <w:szCs w:val="24"/>
          <w:lang w:val="en-US"/>
        </w:rPr>
        <w:noBreakHyphen/>
        <w:t>dependent; accordingly, it is released in the ileum and right colon</w:t>
      </w:r>
      <w:r w:rsidRPr="00390EBD">
        <w:rPr>
          <w:rFonts w:ascii="Book Antiqua" w:hAnsi="Book Antiqua" w:cs="Book Antiqua"/>
          <w:sz w:val="24"/>
          <w:szCs w:val="24"/>
          <w:vertAlign w:val="superscript"/>
          <w:lang w:val="en-US"/>
        </w:rPr>
        <w:t>[195]</w:t>
      </w:r>
      <w:r w:rsidRPr="00390EBD">
        <w:rPr>
          <w:rFonts w:ascii="Book Antiqua" w:hAnsi="Book Antiqua" w:cs="Book Antiqua"/>
          <w:sz w:val="24"/>
          <w:szCs w:val="24"/>
          <w:lang w:val="en-US"/>
        </w:rPr>
        <w:t xml:space="preserve">. Favorable safety results from a phase I </w:t>
      </w:r>
      <w:r w:rsidRPr="00390EBD">
        <w:rPr>
          <w:rFonts w:ascii="Book Antiqua" w:hAnsi="Book Antiqua" w:cs="Book Antiqua"/>
          <w:sz w:val="24"/>
          <w:szCs w:val="24"/>
          <w:lang w:val="en-US"/>
        </w:rPr>
        <w:lastRenderedPageBreak/>
        <w:t>study in 15 patients with CD were published in 2012</w:t>
      </w:r>
      <w:r w:rsidRPr="00390EBD">
        <w:rPr>
          <w:rFonts w:ascii="Book Antiqua" w:hAnsi="Book Antiqua" w:cs="Book Antiqua"/>
          <w:sz w:val="24"/>
          <w:szCs w:val="24"/>
          <w:vertAlign w:val="superscript"/>
          <w:lang w:val="en-US"/>
        </w:rPr>
        <w:t>[196]</w:t>
      </w:r>
      <w:r w:rsidRPr="00390EBD">
        <w:rPr>
          <w:rFonts w:ascii="Book Antiqua" w:hAnsi="Book Antiqua" w:cs="Book Antiqua"/>
          <w:sz w:val="24"/>
          <w:szCs w:val="24"/>
          <w:lang w:val="en-US"/>
        </w:rPr>
        <w:t xml:space="preserve">. Recently, a phase II trial has evaluated 166 patients with active CD assigned to three active drug treatment groups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PB</w:t>
      </w:r>
      <w:r w:rsidRPr="00390EBD">
        <w:rPr>
          <w:rFonts w:ascii="Book Antiqua" w:hAnsi="Book Antiqua" w:cs="Book Antiqua"/>
          <w:sz w:val="24"/>
          <w:szCs w:val="24"/>
          <w:vertAlign w:val="superscript"/>
          <w:lang w:val="en-US"/>
        </w:rPr>
        <w:t>[197]</w:t>
      </w:r>
      <w:r w:rsidRPr="00390EBD">
        <w:rPr>
          <w:rFonts w:ascii="Book Antiqua" w:hAnsi="Book Antiqua" w:cs="Book Antiqua"/>
          <w:sz w:val="24"/>
          <w:szCs w:val="24"/>
          <w:lang w:val="en-US"/>
        </w:rPr>
        <w:t xml:space="preserve">. The clinical remission rates associated to the two highest drug doses were 55% and 65%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10% for PB (</w:t>
      </w:r>
      <w:r w:rsidR="0020336D" w:rsidRPr="0020336D">
        <w:rPr>
          <w:rFonts w:ascii="Book Antiqua" w:hAnsi="Book Antiqua" w:cs="Book Antiqua"/>
          <w:i/>
          <w:caps/>
          <w:sz w:val="24"/>
          <w:szCs w:val="24"/>
          <w:lang w:val="en-US"/>
        </w:rPr>
        <w:t xml:space="preserve">p = </w:t>
      </w:r>
      <w:r w:rsidRPr="00390EBD">
        <w:rPr>
          <w:rFonts w:ascii="Book Antiqua" w:hAnsi="Book Antiqua" w:cs="Book Antiqua"/>
          <w:sz w:val="24"/>
          <w:szCs w:val="24"/>
          <w:lang w:val="en-US"/>
        </w:rPr>
        <w:t xml:space="preserve">0.001), while the clinical response rates were 58% and 72%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18% (</w:t>
      </w:r>
      <w:r w:rsidR="0020336D" w:rsidRPr="0020336D">
        <w:rPr>
          <w:rFonts w:ascii="Book Antiqua" w:hAnsi="Book Antiqua" w:cs="Book Antiqua"/>
          <w:i/>
          <w:caps/>
          <w:sz w:val="24"/>
          <w:szCs w:val="24"/>
          <w:lang w:val="en-US"/>
        </w:rPr>
        <w:t xml:space="preserve">p = </w:t>
      </w:r>
      <w:r w:rsidRPr="00390EBD">
        <w:rPr>
          <w:rFonts w:ascii="Book Antiqua" w:hAnsi="Book Antiqua" w:cs="Book Antiqua"/>
          <w:sz w:val="24"/>
          <w:szCs w:val="24"/>
          <w:lang w:val="en-US"/>
        </w:rPr>
        <w:t xml:space="preserve">0.04). The total and serious adverse event rates were similar, with no reported neoplasms. </w:t>
      </w:r>
    </w:p>
    <w:p w14:paraId="79871781" w14:textId="77777777" w:rsidR="0020336D" w:rsidRDefault="0020336D" w:rsidP="00954CEE">
      <w:pPr>
        <w:shd w:val="clear" w:color="auto" w:fill="FFFFFF"/>
        <w:adjustRightInd w:val="0"/>
        <w:snapToGrid w:val="0"/>
        <w:spacing w:after="0" w:line="360" w:lineRule="auto"/>
        <w:jc w:val="both"/>
        <w:outlineLvl w:val="0"/>
        <w:rPr>
          <w:rFonts w:ascii="Book Antiqua" w:hAnsi="Book Antiqua" w:cs="Book Antiqua"/>
          <w:b/>
          <w:bCs/>
          <w:kern w:val="36"/>
          <w:sz w:val="24"/>
          <w:szCs w:val="24"/>
          <w:lang w:val="en-US" w:eastAsia="zh-CN"/>
        </w:rPr>
      </w:pPr>
    </w:p>
    <w:p w14:paraId="2D5F4078" w14:textId="77777777" w:rsidR="006138C7" w:rsidRPr="0020336D" w:rsidRDefault="006138C7" w:rsidP="00954CEE">
      <w:pPr>
        <w:shd w:val="clear" w:color="auto" w:fill="FFFFFF"/>
        <w:adjustRightInd w:val="0"/>
        <w:snapToGrid w:val="0"/>
        <w:spacing w:after="0" w:line="360" w:lineRule="auto"/>
        <w:jc w:val="both"/>
        <w:outlineLvl w:val="0"/>
        <w:rPr>
          <w:rFonts w:ascii="Book Antiqua" w:hAnsi="Book Antiqua" w:cs="Book Antiqua"/>
          <w:b/>
          <w:bCs/>
          <w:i/>
          <w:kern w:val="36"/>
          <w:sz w:val="24"/>
          <w:szCs w:val="24"/>
          <w:lang w:val="en-US"/>
        </w:rPr>
      </w:pPr>
      <w:r w:rsidRPr="0020336D">
        <w:rPr>
          <w:rFonts w:ascii="Book Antiqua" w:hAnsi="Book Antiqua" w:cs="Book Antiqua"/>
          <w:b/>
          <w:bCs/>
          <w:i/>
          <w:kern w:val="36"/>
          <w:sz w:val="24"/>
          <w:szCs w:val="24"/>
          <w:lang w:val="en-US"/>
        </w:rPr>
        <w:t>RPC1063 and GLPG0974</w:t>
      </w:r>
    </w:p>
    <w:p w14:paraId="3A3908B2" w14:textId="77777777" w:rsidR="006138C7" w:rsidRPr="0020336D" w:rsidRDefault="006138C7" w:rsidP="00954CEE">
      <w:pPr>
        <w:adjustRightInd w:val="0"/>
        <w:snapToGrid w:val="0"/>
        <w:spacing w:after="0" w:line="360" w:lineRule="auto"/>
        <w:jc w:val="both"/>
        <w:rPr>
          <w:rFonts w:ascii="Book Antiqua" w:hAnsi="Book Antiqua" w:cs="Book Antiqua"/>
          <w:bCs/>
          <w:sz w:val="24"/>
          <w:szCs w:val="24"/>
          <w:lang w:val="en-US"/>
        </w:rPr>
      </w:pPr>
      <w:r w:rsidRPr="00390EBD">
        <w:rPr>
          <w:rFonts w:ascii="Book Antiqua" w:hAnsi="Book Antiqua" w:cs="Book Antiqua"/>
          <w:color w:val="000000"/>
          <w:kern w:val="36"/>
          <w:sz w:val="24"/>
          <w:szCs w:val="24"/>
          <w:lang w:val="en-US"/>
        </w:rPr>
        <w:t>Lastly, the results of two randomized, double</w:t>
      </w:r>
      <w:r w:rsidRPr="00390EBD">
        <w:rPr>
          <w:rFonts w:ascii="Book Antiqua" w:hAnsi="Book Antiqua" w:cs="Book Antiqua"/>
          <w:color w:val="000000"/>
          <w:kern w:val="36"/>
          <w:sz w:val="24"/>
          <w:szCs w:val="24"/>
          <w:lang w:val="en-US"/>
        </w:rPr>
        <w:noBreakHyphen/>
        <w:t xml:space="preserve">blind, PB controlled trials were presented on occasion of the ECCO meeting in 2015, involving two new molecules: </w:t>
      </w:r>
      <w:r w:rsidRPr="0020336D">
        <w:rPr>
          <w:rFonts w:ascii="Book Antiqua" w:hAnsi="Book Antiqua" w:cs="Book Antiqua"/>
          <w:bCs/>
          <w:kern w:val="36"/>
          <w:sz w:val="24"/>
          <w:szCs w:val="24"/>
          <w:lang w:val="en-US"/>
        </w:rPr>
        <w:t>RPC1063</w:t>
      </w:r>
      <w:r w:rsidRPr="0020336D">
        <w:rPr>
          <w:rFonts w:ascii="Book Antiqua" w:hAnsi="Book Antiqua" w:cs="Book Antiqua"/>
          <w:color w:val="000000"/>
          <w:kern w:val="36"/>
          <w:sz w:val="24"/>
          <w:szCs w:val="24"/>
          <w:lang w:val="en-US"/>
        </w:rPr>
        <w:t xml:space="preserve"> and </w:t>
      </w:r>
      <w:r w:rsidRPr="0020336D">
        <w:rPr>
          <w:rFonts w:ascii="Book Antiqua" w:hAnsi="Book Antiqua" w:cs="Book Antiqua"/>
          <w:bCs/>
          <w:sz w:val="24"/>
          <w:szCs w:val="24"/>
          <w:lang w:val="en-US"/>
        </w:rPr>
        <w:t>GLPG0974.</w:t>
      </w:r>
    </w:p>
    <w:p w14:paraId="390F6AFB" w14:textId="5946CB93" w:rsidR="006138C7" w:rsidRPr="00390EBD" w:rsidRDefault="006138C7" w:rsidP="00954CEE">
      <w:pPr>
        <w:adjustRightInd w:val="0"/>
        <w:snapToGrid w:val="0"/>
        <w:spacing w:after="0" w:line="360" w:lineRule="auto"/>
        <w:ind w:firstLineChars="200" w:firstLine="480"/>
        <w:jc w:val="both"/>
        <w:rPr>
          <w:rFonts w:ascii="Book Antiqua" w:hAnsi="Book Antiqua" w:cs="Book Antiqua"/>
          <w:b/>
          <w:bCs/>
          <w:sz w:val="24"/>
          <w:szCs w:val="24"/>
          <w:lang w:val="en-US"/>
        </w:rPr>
      </w:pPr>
      <w:r w:rsidRPr="0020336D">
        <w:rPr>
          <w:rFonts w:ascii="Book Antiqua" w:hAnsi="Book Antiqua" w:cs="Book Antiqua"/>
          <w:bCs/>
          <w:kern w:val="36"/>
          <w:sz w:val="24"/>
          <w:szCs w:val="24"/>
          <w:lang w:val="en-US"/>
        </w:rPr>
        <w:t>RPC1063</w:t>
      </w:r>
      <w:r w:rsidRPr="00390EBD">
        <w:rPr>
          <w:rFonts w:ascii="Book Antiqua" w:hAnsi="Book Antiqua" w:cs="Book Antiqua"/>
          <w:color w:val="000000"/>
          <w:kern w:val="36"/>
          <w:sz w:val="24"/>
          <w:szCs w:val="24"/>
          <w:lang w:val="en-US"/>
        </w:rPr>
        <w:t xml:space="preserve"> is a molecule administered </w:t>
      </w:r>
      <w:r w:rsidRPr="00BB5B43">
        <w:rPr>
          <w:rFonts w:ascii="Book Antiqua" w:hAnsi="Book Antiqua" w:cs="Book Antiqua"/>
          <w:i/>
          <w:color w:val="000000"/>
          <w:kern w:val="36"/>
          <w:sz w:val="24"/>
          <w:szCs w:val="24"/>
          <w:lang w:val="en-US"/>
        </w:rPr>
        <w:t>via</w:t>
      </w:r>
      <w:r w:rsidRPr="00390EBD">
        <w:rPr>
          <w:rFonts w:ascii="Book Antiqua" w:hAnsi="Book Antiqua" w:cs="Book Antiqua"/>
          <w:color w:val="000000"/>
          <w:kern w:val="36"/>
          <w:sz w:val="24"/>
          <w:szCs w:val="24"/>
          <w:lang w:val="en-US"/>
        </w:rPr>
        <w:t xml:space="preserve"> the oral route with selectivity for sphingosine 1</w:t>
      </w:r>
      <w:r w:rsidRPr="00390EBD">
        <w:rPr>
          <w:rFonts w:ascii="Book Antiqua" w:hAnsi="Book Antiqua" w:cs="Book Antiqua"/>
          <w:color w:val="000000"/>
          <w:kern w:val="36"/>
          <w:sz w:val="24"/>
          <w:szCs w:val="24"/>
          <w:lang w:val="en-US"/>
        </w:rPr>
        <w:noBreakHyphen/>
        <w:t xml:space="preserve">phosphate (S1P) 1 and 5 receptor modulator. The study included 197 patients with moderate or severe UC administered 0.5 mg or 1 mg of the active drug </w:t>
      </w:r>
      <w:r w:rsidR="0020336D" w:rsidRPr="0020336D">
        <w:rPr>
          <w:rFonts w:ascii="Book Antiqua" w:hAnsi="Book Antiqua" w:cs="Book Antiqua"/>
          <w:i/>
          <w:color w:val="000000"/>
          <w:kern w:val="36"/>
          <w:sz w:val="24"/>
          <w:szCs w:val="24"/>
          <w:lang w:val="en-US"/>
        </w:rPr>
        <w:t>vs</w:t>
      </w:r>
      <w:r w:rsidRPr="00390EBD">
        <w:rPr>
          <w:rFonts w:ascii="Book Antiqua" w:hAnsi="Book Antiqua" w:cs="Book Antiqua"/>
          <w:color w:val="000000"/>
          <w:kern w:val="36"/>
          <w:sz w:val="24"/>
          <w:szCs w:val="24"/>
          <w:lang w:val="en-US"/>
        </w:rPr>
        <w:t xml:space="preserve"> PB, once daily</w:t>
      </w:r>
      <w:r w:rsidRPr="00390EBD">
        <w:rPr>
          <w:rFonts w:ascii="Book Antiqua" w:hAnsi="Book Antiqua" w:cs="Book Antiqua"/>
          <w:color w:val="000000"/>
          <w:kern w:val="36"/>
          <w:sz w:val="24"/>
          <w:szCs w:val="24"/>
          <w:vertAlign w:val="superscript"/>
          <w:lang w:val="en-US"/>
        </w:rPr>
        <w:t>[198]</w:t>
      </w:r>
      <w:r w:rsidRPr="00390EBD">
        <w:rPr>
          <w:rFonts w:ascii="Book Antiqua" w:hAnsi="Book Antiqua" w:cs="Book Antiqua"/>
          <w:color w:val="000000"/>
          <w:kern w:val="36"/>
          <w:sz w:val="24"/>
          <w:szCs w:val="24"/>
          <w:lang w:val="en-US"/>
        </w:rPr>
        <w:t xml:space="preserve">. The primary endpoint (the proportion of subjects in remission in week 8) reached statistical significance in the highest dose group (16.4% </w:t>
      </w:r>
      <w:r w:rsidR="0020336D" w:rsidRPr="0020336D">
        <w:rPr>
          <w:rFonts w:ascii="Book Antiqua" w:hAnsi="Book Antiqua" w:cs="Book Antiqua"/>
          <w:i/>
          <w:color w:val="000000"/>
          <w:kern w:val="36"/>
          <w:sz w:val="24"/>
          <w:szCs w:val="24"/>
          <w:lang w:val="en-US"/>
        </w:rPr>
        <w:t>vs</w:t>
      </w:r>
      <w:r w:rsidRPr="00390EBD">
        <w:rPr>
          <w:rFonts w:ascii="Book Antiqua" w:hAnsi="Book Antiqua" w:cs="Book Antiqua"/>
          <w:color w:val="000000"/>
          <w:kern w:val="36"/>
          <w:sz w:val="24"/>
          <w:szCs w:val="24"/>
          <w:lang w:val="en-US"/>
        </w:rPr>
        <w:t xml:space="preserve"> 6.2%; </w:t>
      </w:r>
      <w:r w:rsidR="0020336D" w:rsidRPr="0020336D">
        <w:rPr>
          <w:rFonts w:ascii="Book Antiqua" w:hAnsi="Book Antiqua" w:cs="Book Antiqua"/>
          <w:i/>
          <w:caps/>
          <w:color w:val="000000"/>
          <w:kern w:val="36"/>
          <w:sz w:val="24"/>
          <w:szCs w:val="24"/>
          <w:lang w:val="en-US"/>
        </w:rPr>
        <w:t xml:space="preserve">p = </w:t>
      </w:r>
      <w:r w:rsidRPr="00390EBD">
        <w:rPr>
          <w:rFonts w:ascii="Book Antiqua" w:hAnsi="Book Antiqua" w:cs="Book Antiqua"/>
          <w:color w:val="000000"/>
          <w:kern w:val="36"/>
          <w:sz w:val="24"/>
          <w:szCs w:val="24"/>
          <w:lang w:val="en-US"/>
        </w:rPr>
        <w:t>0.0482). The adverse events profiles were comparable between groups, with approximately 31% of the patients experiencing a treatment emergent adverse event.</w:t>
      </w:r>
    </w:p>
    <w:p w14:paraId="1F88029E" w14:textId="76DB4DD6" w:rsidR="006138C7" w:rsidRPr="00390EBD" w:rsidRDefault="006138C7" w:rsidP="00954CEE">
      <w:pPr>
        <w:adjustRightInd w:val="0"/>
        <w:snapToGrid w:val="0"/>
        <w:spacing w:after="0" w:line="360" w:lineRule="auto"/>
        <w:ind w:firstLineChars="200" w:firstLine="480"/>
        <w:jc w:val="both"/>
        <w:rPr>
          <w:rFonts w:ascii="Book Antiqua" w:hAnsi="Book Antiqua" w:cs="Book Antiqua"/>
          <w:sz w:val="24"/>
          <w:szCs w:val="24"/>
          <w:lang w:val="en-US"/>
        </w:rPr>
      </w:pPr>
      <w:r w:rsidRPr="0020336D">
        <w:rPr>
          <w:rFonts w:ascii="Book Antiqua" w:hAnsi="Book Antiqua" w:cs="Book Antiqua"/>
          <w:bCs/>
          <w:sz w:val="24"/>
          <w:szCs w:val="24"/>
          <w:lang w:val="en-US"/>
        </w:rPr>
        <w:t>GLPG0974</w:t>
      </w:r>
      <w:r w:rsidRPr="00390EBD">
        <w:rPr>
          <w:rFonts w:ascii="Book Antiqua" w:hAnsi="Book Antiqua" w:cs="Book Antiqua"/>
          <w:sz w:val="24"/>
          <w:szCs w:val="24"/>
          <w:lang w:val="en-US"/>
        </w:rPr>
        <w:t xml:space="preserve"> is a selective free fatty acid receptor antagonist. Binding of the fatty acids to their receptor would induce neutrophil activation and migration. The results have been assessed in 45 patients with mild to moderate UC treated with GLPG0974 during four weeks (200 mg/12 h p.o.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PB)</w:t>
      </w:r>
      <w:r w:rsidRPr="00390EBD">
        <w:rPr>
          <w:rFonts w:ascii="Book Antiqua" w:hAnsi="Book Antiqua" w:cs="Book Antiqua"/>
          <w:sz w:val="24"/>
          <w:szCs w:val="24"/>
          <w:vertAlign w:val="superscript"/>
          <w:lang w:val="en-US"/>
        </w:rPr>
        <w:t>[199]</w:t>
      </w:r>
      <w:r w:rsidRPr="00390EBD">
        <w:rPr>
          <w:rFonts w:ascii="Book Antiqua" w:hAnsi="Book Antiqua" w:cs="Book Antiqua"/>
          <w:sz w:val="24"/>
          <w:szCs w:val="24"/>
          <w:lang w:val="en-US"/>
        </w:rPr>
        <w:t>. A decrease in calprotectin levels and of myeloperoxidase</w:t>
      </w:r>
      <w:r w:rsidRPr="00390EBD">
        <w:rPr>
          <w:rFonts w:ascii="Book Antiqua" w:hAnsi="Book Antiqua" w:cs="Book Antiqua"/>
          <w:sz w:val="24"/>
          <w:szCs w:val="24"/>
          <w:lang w:val="en-US"/>
        </w:rPr>
        <w:noBreakHyphen/>
        <w:t>positive cells was recorded, though no differences were observed in terms of response, clinical remission or mucosal healing. The safety and tolerability profile was favorable.</w:t>
      </w:r>
    </w:p>
    <w:p w14:paraId="4E9DB709" w14:textId="77777777" w:rsidR="0020336D" w:rsidRDefault="0020336D" w:rsidP="00954CEE">
      <w:pPr>
        <w:adjustRightInd w:val="0"/>
        <w:snapToGrid w:val="0"/>
        <w:spacing w:after="0" w:line="360" w:lineRule="auto"/>
        <w:jc w:val="both"/>
        <w:rPr>
          <w:rFonts w:ascii="Book Antiqua" w:hAnsi="Book Antiqua" w:cs="Book Antiqua"/>
          <w:b/>
          <w:bCs/>
          <w:sz w:val="24"/>
          <w:szCs w:val="24"/>
          <w:lang w:val="en-US" w:eastAsia="zh-CN"/>
        </w:rPr>
      </w:pPr>
    </w:p>
    <w:p w14:paraId="3FD91C4C" w14:textId="77777777" w:rsidR="006138C7" w:rsidRPr="0020336D" w:rsidRDefault="006138C7" w:rsidP="00954CEE">
      <w:pPr>
        <w:adjustRightInd w:val="0"/>
        <w:snapToGrid w:val="0"/>
        <w:spacing w:after="0" w:line="360" w:lineRule="auto"/>
        <w:jc w:val="both"/>
        <w:rPr>
          <w:rFonts w:ascii="Book Antiqua" w:hAnsi="Book Antiqua" w:cs="Book Antiqua"/>
          <w:b/>
          <w:bCs/>
          <w:i/>
          <w:sz w:val="24"/>
          <w:szCs w:val="24"/>
          <w:lang w:val="en-US"/>
        </w:rPr>
      </w:pPr>
      <w:r w:rsidRPr="0020336D">
        <w:rPr>
          <w:rFonts w:ascii="Book Antiqua" w:hAnsi="Book Antiqua" w:cs="Book Antiqua"/>
          <w:b/>
          <w:bCs/>
          <w:i/>
          <w:sz w:val="24"/>
          <w:szCs w:val="24"/>
          <w:lang w:val="en-US"/>
        </w:rPr>
        <w:t>Stem cells</w:t>
      </w:r>
    </w:p>
    <w:p w14:paraId="071F7298" w14:textId="77777777" w:rsidR="006138C7" w:rsidRPr="00390EBD" w:rsidRDefault="006138C7" w:rsidP="00954CEE">
      <w:pPr>
        <w:adjustRightInd w:val="0"/>
        <w:snapToGrid w:val="0"/>
        <w:spacing w:after="0" w:line="360" w:lineRule="auto"/>
        <w:jc w:val="both"/>
        <w:rPr>
          <w:rFonts w:ascii="Book Antiqua" w:hAnsi="Book Antiqua" w:cs="Book Antiqua"/>
          <w:color w:val="0070C0"/>
          <w:sz w:val="24"/>
          <w:szCs w:val="24"/>
          <w:lang w:val="en-US"/>
        </w:rPr>
      </w:pPr>
      <w:r w:rsidRPr="00390EBD">
        <w:rPr>
          <w:rFonts w:ascii="Book Antiqua" w:hAnsi="Book Antiqua" w:cs="Book Antiqua"/>
          <w:sz w:val="24"/>
          <w:szCs w:val="24"/>
          <w:lang w:val="en-US"/>
        </w:rPr>
        <w:t xml:space="preserve">Different stem cell therapies have been used in CD and UC. Stem cell therapy involves the use of autologous hematopoietic stem cell transplantation in CD, mesenchymal stem cells administered systemically or locally in perianal </w:t>
      </w:r>
      <w:r w:rsidRPr="00390EBD">
        <w:rPr>
          <w:rFonts w:ascii="Book Antiqua" w:hAnsi="Book Antiqua" w:cs="Book Antiqua"/>
          <w:sz w:val="24"/>
          <w:szCs w:val="24"/>
          <w:lang w:val="en-US"/>
        </w:rPr>
        <w:lastRenderedPageBreak/>
        <w:t>fistulas, and other cell treatments where experience is more limited, such as regulatory T cells and dendritic cells. We refer readers to two recent reviews carried out by our group in this field</w:t>
      </w:r>
      <w:r w:rsidRPr="00390EBD">
        <w:rPr>
          <w:rFonts w:ascii="Book Antiqua" w:hAnsi="Book Antiqua" w:cs="Book Antiqua"/>
          <w:sz w:val="24"/>
          <w:szCs w:val="24"/>
          <w:vertAlign w:val="superscript"/>
          <w:lang w:val="en-US"/>
        </w:rPr>
        <w:t>[200,201]</w:t>
      </w:r>
      <w:r w:rsidRPr="00390EBD">
        <w:rPr>
          <w:rFonts w:ascii="Book Antiqua" w:hAnsi="Book Antiqua" w:cs="Book Antiqua"/>
          <w:sz w:val="24"/>
          <w:szCs w:val="24"/>
          <w:lang w:val="en-US"/>
        </w:rPr>
        <w:t xml:space="preserve">. </w:t>
      </w:r>
    </w:p>
    <w:p w14:paraId="1383A1D3" w14:textId="77777777" w:rsidR="0020336D" w:rsidRDefault="0020336D" w:rsidP="00954CEE">
      <w:pPr>
        <w:autoSpaceDE w:val="0"/>
        <w:autoSpaceDN w:val="0"/>
        <w:adjustRightInd w:val="0"/>
        <w:snapToGrid w:val="0"/>
        <w:spacing w:after="0" w:line="360" w:lineRule="auto"/>
        <w:jc w:val="both"/>
        <w:rPr>
          <w:rFonts w:ascii="Book Antiqua" w:hAnsi="Book Antiqua" w:cs="Book Antiqua"/>
          <w:b/>
          <w:bCs/>
          <w:sz w:val="24"/>
          <w:szCs w:val="24"/>
          <w:lang w:val="en-US" w:eastAsia="zh-CN"/>
        </w:rPr>
      </w:pPr>
    </w:p>
    <w:p w14:paraId="5C7BE2AC" w14:textId="77777777" w:rsidR="006138C7" w:rsidRPr="0020336D" w:rsidRDefault="006138C7" w:rsidP="00954CEE">
      <w:pPr>
        <w:autoSpaceDE w:val="0"/>
        <w:autoSpaceDN w:val="0"/>
        <w:adjustRightInd w:val="0"/>
        <w:snapToGrid w:val="0"/>
        <w:spacing w:after="0" w:line="360" w:lineRule="auto"/>
        <w:jc w:val="both"/>
        <w:rPr>
          <w:rFonts w:ascii="Book Antiqua" w:hAnsi="Book Antiqua" w:cs="Book Antiqua"/>
          <w:b/>
          <w:bCs/>
          <w:i/>
          <w:sz w:val="24"/>
          <w:szCs w:val="24"/>
          <w:lang w:val="en-US"/>
        </w:rPr>
      </w:pPr>
      <w:r w:rsidRPr="0020336D">
        <w:rPr>
          <w:rFonts w:ascii="Book Antiqua" w:hAnsi="Book Antiqua" w:cs="Book Antiqua"/>
          <w:b/>
          <w:bCs/>
          <w:i/>
          <w:sz w:val="24"/>
          <w:szCs w:val="24"/>
          <w:lang w:val="en-US"/>
        </w:rPr>
        <w:t>Herbal remedies</w:t>
      </w:r>
    </w:p>
    <w:p w14:paraId="17B3B5D5" w14:textId="587D9351"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 xml:space="preserve">Studies have been made that specifically compare treatment with herbal remedies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PB or even conventional therapy, though there are discrepancies in the results due to the lack of homogeneity among the different studies. The findings in terms of safety are favorable, and the predictable costs are lower than in the case of conventional treatment. We recommend a recent systematic review, which affords a more detailed analysis of this subject</w:t>
      </w:r>
      <w:r w:rsidRPr="00390EBD">
        <w:rPr>
          <w:rFonts w:ascii="Book Antiqua" w:hAnsi="Book Antiqua" w:cs="Book Antiqua"/>
          <w:sz w:val="24"/>
          <w:szCs w:val="24"/>
          <w:vertAlign w:val="superscript"/>
          <w:lang w:val="en-US"/>
        </w:rPr>
        <w:t>[202]</w:t>
      </w:r>
      <w:r w:rsidRPr="00390EBD">
        <w:rPr>
          <w:rFonts w:ascii="Book Antiqua" w:hAnsi="Book Antiqua" w:cs="Book Antiqua"/>
          <w:sz w:val="24"/>
          <w:szCs w:val="24"/>
          <w:lang w:val="en-US"/>
        </w:rPr>
        <w:t xml:space="preserve"> (see Table 7). Among the different herbal remedies employed, special mention must be made of </w:t>
      </w:r>
      <w:r w:rsidRPr="00390EBD">
        <w:rPr>
          <w:rFonts w:ascii="Book Antiqua" w:hAnsi="Book Antiqua" w:cs="Book Antiqua"/>
          <w:i/>
          <w:iCs/>
          <w:sz w:val="24"/>
          <w:szCs w:val="24"/>
          <w:lang w:val="en-US"/>
        </w:rPr>
        <w:t>Andorgraphis paniculata</w:t>
      </w:r>
      <w:r w:rsidRPr="00390EBD">
        <w:rPr>
          <w:rFonts w:ascii="Book Antiqua" w:hAnsi="Book Antiqua" w:cs="Book Antiqua"/>
          <w:sz w:val="24"/>
          <w:szCs w:val="24"/>
          <w:lang w:val="en-US"/>
        </w:rPr>
        <w:t xml:space="preserve"> extract, known as HMPL</w:t>
      </w:r>
      <w:r w:rsidRPr="00390EBD">
        <w:rPr>
          <w:rFonts w:ascii="Book Antiqua" w:hAnsi="Book Antiqua" w:cs="Book Antiqua"/>
          <w:sz w:val="24"/>
          <w:szCs w:val="24"/>
          <w:lang w:val="en-US"/>
        </w:rPr>
        <w:noBreakHyphen/>
        <w:t>004, and which has been found to reduce TNF, IL</w:t>
      </w:r>
      <w:r w:rsidRPr="00390EBD">
        <w:rPr>
          <w:rFonts w:ascii="Book Antiqua" w:hAnsi="Book Antiqua" w:cs="Book Antiqua"/>
          <w:sz w:val="24"/>
          <w:szCs w:val="24"/>
          <w:lang w:val="en-US"/>
        </w:rPr>
        <w:noBreakHyphen/>
        <w:t>1</w:t>
      </w:r>
      <w:r w:rsidRPr="00390EBD">
        <w:rPr>
          <w:rFonts w:ascii="Book Antiqua" w:hAnsi="Book Antiqua" w:cs="Book Antiqua"/>
          <w:sz w:val="24"/>
          <w:szCs w:val="24"/>
        </w:rPr>
        <w:t>β</w:t>
      </w:r>
      <w:r w:rsidRPr="00390EBD">
        <w:rPr>
          <w:rFonts w:ascii="Book Antiqua" w:hAnsi="Book Antiqua" w:cs="Book Antiqua"/>
          <w:sz w:val="24"/>
          <w:szCs w:val="24"/>
          <w:lang w:val="en-US"/>
        </w:rPr>
        <w:t>, IFN</w:t>
      </w:r>
      <w:r w:rsidRPr="00390EBD">
        <w:rPr>
          <w:rFonts w:ascii="Book Antiqua" w:hAnsi="Book Antiqua" w:cs="Book Antiqua"/>
          <w:sz w:val="24"/>
          <w:szCs w:val="24"/>
          <w:lang w:val="en-US"/>
        </w:rPr>
        <w:noBreakHyphen/>
      </w:r>
      <w:r w:rsidRPr="00390EBD">
        <w:rPr>
          <w:rFonts w:ascii="Book Antiqua" w:hAnsi="Book Antiqua" w:cs="Book Antiqua"/>
          <w:sz w:val="24"/>
          <w:szCs w:val="24"/>
        </w:rPr>
        <w:t>γ</w:t>
      </w:r>
      <w:r w:rsidRPr="00390EBD">
        <w:rPr>
          <w:rFonts w:ascii="Book Antiqua" w:hAnsi="Book Antiqua" w:cs="Book Antiqua"/>
          <w:sz w:val="24"/>
          <w:szCs w:val="24"/>
          <w:lang w:val="en-US"/>
        </w:rPr>
        <w:t xml:space="preserve"> and IL</w:t>
      </w:r>
      <w:r w:rsidRPr="00390EBD">
        <w:rPr>
          <w:rFonts w:ascii="Book Antiqua" w:hAnsi="Book Antiqua" w:cs="Book Antiqua"/>
          <w:sz w:val="24"/>
          <w:szCs w:val="24"/>
          <w:lang w:val="en-US"/>
        </w:rPr>
        <w:noBreakHyphen/>
        <w:t>22 in the development of experimental colitis</w:t>
      </w:r>
      <w:r w:rsidRPr="00390EBD">
        <w:rPr>
          <w:rFonts w:ascii="Book Antiqua" w:hAnsi="Book Antiqua" w:cs="Book Antiqua"/>
          <w:sz w:val="24"/>
          <w:szCs w:val="24"/>
          <w:vertAlign w:val="superscript"/>
          <w:lang w:val="en-US"/>
        </w:rPr>
        <w:t>[203]</w:t>
      </w:r>
      <w:r w:rsidRPr="00390EBD">
        <w:rPr>
          <w:rFonts w:ascii="Book Antiqua" w:hAnsi="Book Antiqua" w:cs="Book Antiqua"/>
          <w:sz w:val="24"/>
          <w:szCs w:val="24"/>
          <w:lang w:val="en-US"/>
        </w:rPr>
        <w:t xml:space="preserve">. </w:t>
      </w:r>
    </w:p>
    <w:p w14:paraId="3BE3CF0E" w14:textId="77777777" w:rsidR="0020336D" w:rsidRDefault="0020336D" w:rsidP="00954CEE">
      <w:pPr>
        <w:autoSpaceDE w:val="0"/>
        <w:autoSpaceDN w:val="0"/>
        <w:adjustRightInd w:val="0"/>
        <w:snapToGrid w:val="0"/>
        <w:spacing w:after="0" w:line="360" w:lineRule="auto"/>
        <w:jc w:val="both"/>
        <w:rPr>
          <w:rFonts w:ascii="Book Antiqua" w:hAnsi="Book Antiqua" w:cs="Book Antiqua"/>
          <w:b/>
          <w:bCs/>
          <w:sz w:val="24"/>
          <w:szCs w:val="24"/>
          <w:lang w:val="en-US" w:eastAsia="zh-CN"/>
        </w:rPr>
      </w:pPr>
    </w:p>
    <w:p w14:paraId="64535B95" w14:textId="77777777" w:rsidR="006138C7" w:rsidRPr="0020336D" w:rsidRDefault="006138C7" w:rsidP="00954CEE">
      <w:pPr>
        <w:autoSpaceDE w:val="0"/>
        <w:autoSpaceDN w:val="0"/>
        <w:adjustRightInd w:val="0"/>
        <w:snapToGrid w:val="0"/>
        <w:spacing w:after="0" w:line="360" w:lineRule="auto"/>
        <w:jc w:val="both"/>
        <w:rPr>
          <w:rFonts w:ascii="Book Antiqua" w:hAnsi="Book Antiqua" w:cs="Book Antiqua"/>
          <w:b/>
          <w:bCs/>
          <w:i/>
          <w:sz w:val="24"/>
          <w:szCs w:val="24"/>
          <w:lang w:val="en-US"/>
        </w:rPr>
      </w:pPr>
      <w:r w:rsidRPr="0020336D">
        <w:rPr>
          <w:rFonts w:ascii="Book Antiqua" w:hAnsi="Book Antiqua" w:cs="Book Antiqua"/>
          <w:b/>
          <w:bCs/>
          <w:i/>
          <w:sz w:val="24"/>
          <w:szCs w:val="24"/>
          <w:lang w:val="en-US"/>
        </w:rPr>
        <w:t>Fecal transplant</w:t>
      </w:r>
    </w:p>
    <w:p w14:paraId="6CED4D99" w14:textId="41BF95BE" w:rsidR="006138C7" w:rsidRPr="00390EBD" w:rsidRDefault="006138C7" w:rsidP="00954CEE">
      <w:pPr>
        <w:adjustRightInd w:val="0"/>
        <w:snapToGrid w:val="0"/>
        <w:spacing w:after="0" w:line="360" w:lineRule="auto"/>
        <w:jc w:val="both"/>
        <w:rPr>
          <w:rFonts w:ascii="Book Antiqua" w:hAnsi="Book Antiqua" w:cs="Book Antiqua"/>
          <w:sz w:val="24"/>
          <w:szCs w:val="24"/>
          <w:lang w:val="en-GB" w:eastAsia="es-ES"/>
        </w:rPr>
      </w:pPr>
      <w:r w:rsidRPr="00390EBD">
        <w:rPr>
          <w:rFonts w:ascii="Book Antiqua" w:hAnsi="Book Antiqua" w:cs="Book Antiqua"/>
          <w:sz w:val="24"/>
          <w:szCs w:val="24"/>
          <w:lang w:val="en-GB" w:eastAsia="es-ES"/>
        </w:rPr>
        <w:t>It is a therapeutic alternative in gastrointestinal processes such as Clostridium difficile-infection, metabolic syndrome, constipation, pouchitis, irritable bowel syndro</w:t>
      </w:r>
      <w:r w:rsidR="0020336D">
        <w:rPr>
          <w:rFonts w:ascii="Book Antiqua" w:hAnsi="Book Antiqua" w:cs="Book Antiqua"/>
          <w:sz w:val="24"/>
          <w:szCs w:val="24"/>
          <w:lang w:val="en-GB" w:eastAsia="es-ES"/>
        </w:rPr>
        <w:t>me and IBD</w:t>
      </w:r>
      <w:r w:rsidR="0020336D" w:rsidRPr="0020336D">
        <w:rPr>
          <w:rFonts w:ascii="Book Antiqua" w:hAnsi="Book Antiqua" w:cs="Book Antiqua" w:hint="eastAsia"/>
          <w:sz w:val="24"/>
          <w:szCs w:val="24"/>
          <w:vertAlign w:val="superscript"/>
          <w:lang w:val="en-GB" w:eastAsia="zh-CN"/>
        </w:rPr>
        <w:t>[</w:t>
      </w:r>
      <w:r w:rsidRPr="00390EBD">
        <w:rPr>
          <w:rFonts w:ascii="Book Antiqua" w:hAnsi="Book Antiqua" w:cs="Book Antiqua"/>
          <w:sz w:val="24"/>
          <w:szCs w:val="24"/>
          <w:vertAlign w:val="superscript"/>
          <w:lang w:val="en-GB" w:eastAsia="es-ES"/>
        </w:rPr>
        <w:t>204]</w:t>
      </w:r>
      <w:r w:rsidRPr="00390EBD">
        <w:rPr>
          <w:rFonts w:ascii="Book Antiqua" w:hAnsi="Book Antiqua" w:cs="Book Antiqua"/>
          <w:sz w:val="24"/>
          <w:szCs w:val="24"/>
          <w:lang w:val="en-GB" w:eastAsia="es-ES"/>
        </w:rPr>
        <w:t>. In IBD effectiveness appears to be related to the stability of the colonization of donated bacteria</w:t>
      </w:r>
      <w:r w:rsidRPr="00390EBD">
        <w:rPr>
          <w:rFonts w:ascii="Book Antiqua" w:hAnsi="Book Antiqua" w:cs="Book Antiqua"/>
          <w:sz w:val="24"/>
          <w:szCs w:val="24"/>
          <w:vertAlign w:val="superscript"/>
          <w:lang w:val="en-GB" w:eastAsia="es-ES"/>
        </w:rPr>
        <w:t>[205]</w:t>
      </w:r>
      <w:r w:rsidRPr="00390EBD">
        <w:rPr>
          <w:rFonts w:ascii="Book Antiqua" w:hAnsi="Book Antiqua" w:cs="Book Antiqua"/>
          <w:sz w:val="24"/>
          <w:szCs w:val="24"/>
          <w:lang w:val="en-GB" w:eastAsia="es-ES"/>
        </w:rPr>
        <w:t>. The experience in CD is limited to 6 patients accumulated</w:t>
      </w:r>
      <w:r w:rsidRPr="00390EBD">
        <w:rPr>
          <w:rFonts w:ascii="Book Antiqua" w:hAnsi="Book Antiqua" w:cs="Book Antiqua"/>
          <w:sz w:val="24"/>
          <w:szCs w:val="24"/>
          <w:vertAlign w:val="superscript"/>
          <w:lang w:val="en-GB" w:eastAsia="es-ES"/>
        </w:rPr>
        <w:t>[206,207]</w:t>
      </w:r>
      <w:r w:rsidRPr="00390EBD">
        <w:rPr>
          <w:rFonts w:ascii="Book Antiqua" w:hAnsi="Book Antiqua" w:cs="Book Antiqua"/>
          <w:sz w:val="24"/>
          <w:szCs w:val="24"/>
          <w:lang w:val="en-GB" w:eastAsia="es-ES"/>
        </w:rPr>
        <w:t>. In UC there are data of up to 106 patients</w:t>
      </w:r>
      <w:r w:rsidR="0020336D">
        <w:rPr>
          <w:rFonts w:ascii="Book Antiqua" w:hAnsi="Book Antiqua" w:cs="Book Antiqua"/>
          <w:sz w:val="24"/>
          <w:szCs w:val="24"/>
          <w:vertAlign w:val="superscript"/>
          <w:lang w:val="en-GB" w:eastAsia="es-ES"/>
        </w:rPr>
        <w:t>[205,</w:t>
      </w:r>
      <w:r w:rsidRPr="00390EBD">
        <w:rPr>
          <w:rFonts w:ascii="Book Antiqua" w:hAnsi="Book Antiqua" w:cs="Book Antiqua"/>
          <w:sz w:val="24"/>
          <w:szCs w:val="24"/>
          <w:vertAlign w:val="superscript"/>
          <w:lang w:val="en-GB" w:eastAsia="es-ES"/>
        </w:rPr>
        <w:t>207-211]</w:t>
      </w:r>
      <w:r w:rsidRPr="00390EBD">
        <w:rPr>
          <w:rFonts w:ascii="Book Antiqua" w:hAnsi="Book Antiqua" w:cs="Book Antiqua"/>
          <w:sz w:val="24"/>
          <w:szCs w:val="24"/>
          <w:lang w:val="en-GB" w:eastAsia="es-ES"/>
        </w:rPr>
        <w:t>. The study with more patients included 62 cases with UC,</w:t>
      </w:r>
      <w:r w:rsidR="00D95AD7">
        <w:rPr>
          <w:rFonts w:ascii="Book Antiqua" w:hAnsi="Book Antiqua" w:cs="Book Antiqua"/>
          <w:sz w:val="24"/>
          <w:szCs w:val="24"/>
          <w:lang w:val="en-GB" w:eastAsia="es-ES"/>
        </w:rPr>
        <w:t xml:space="preserve"> </w:t>
      </w:r>
      <w:r w:rsidRPr="00390EBD">
        <w:rPr>
          <w:rFonts w:ascii="Book Antiqua" w:hAnsi="Book Antiqua" w:cs="Book Antiqua"/>
          <w:sz w:val="24"/>
          <w:szCs w:val="24"/>
          <w:lang w:val="en-GB" w:eastAsia="es-ES"/>
        </w:rPr>
        <w:t>referring clinical improvement in 92</w:t>
      </w:r>
      <w:r w:rsidR="008A67DE" w:rsidRPr="00390EBD">
        <w:rPr>
          <w:rFonts w:ascii="Book Antiqua" w:hAnsi="Book Antiqua" w:cs="Book Antiqua"/>
          <w:sz w:val="24"/>
          <w:szCs w:val="24"/>
          <w:lang w:val="en-GB" w:eastAsia="es-ES"/>
        </w:rPr>
        <w:t>% and clinical remission in 68%. I</w:t>
      </w:r>
      <w:r w:rsidRPr="00390EBD">
        <w:rPr>
          <w:rFonts w:ascii="Book Antiqua" w:hAnsi="Book Antiqua" w:cs="Book Antiqua"/>
          <w:sz w:val="24"/>
          <w:szCs w:val="24"/>
          <w:lang w:val="en-GB" w:eastAsia="es-ES"/>
        </w:rPr>
        <w:t>n the rest of studies the results have not been as favourable</w:t>
      </w:r>
      <w:r w:rsidR="008A67DE" w:rsidRPr="00390EBD">
        <w:rPr>
          <w:rFonts w:ascii="Book Antiqua" w:hAnsi="Book Antiqua" w:cs="Book Antiqua"/>
          <w:sz w:val="24"/>
          <w:szCs w:val="24"/>
          <w:lang w:val="en-GB" w:eastAsia="es-ES"/>
        </w:rPr>
        <w:t xml:space="preserve"> as the forementioned studies,</w:t>
      </w:r>
      <w:r w:rsidR="00D95AD7">
        <w:rPr>
          <w:rFonts w:ascii="Book Antiqua" w:hAnsi="Book Antiqua" w:cs="Book Antiqua"/>
          <w:sz w:val="24"/>
          <w:szCs w:val="24"/>
          <w:lang w:val="en-GB" w:eastAsia="es-ES"/>
        </w:rPr>
        <w:t xml:space="preserve"> </w:t>
      </w:r>
      <w:r w:rsidRPr="00390EBD">
        <w:rPr>
          <w:rFonts w:ascii="Book Antiqua" w:hAnsi="Book Antiqua" w:cs="Book Antiqua"/>
          <w:sz w:val="24"/>
          <w:szCs w:val="24"/>
          <w:lang w:val="en-GB" w:eastAsia="es-ES"/>
        </w:rPr>
        <w:t>with clinical remission ranging from 0</w:t>
      </w:r>
      <w:r w:rsidR="0020336D">
        <w:rPr>
          <w:rFonts w:ascii="Book Antiqua" w:hAnsi="Book Antiqua" w:cs="Book Antiqua" w:hint="eastAsia"/>
          <w:sz w:val="24"/>
          <w:szCs w:val="24"/>
          <w:lang w:val="en-GB" w:eastAsia="zh-CN"/>
        </w:rPr>
        <w:t>%</w:t>
      </w:r>
      <w:r w:rsidRPr="00390EBD">
        <w:rPr>
          <w:rFonts w:ascii="Book Antiqua" w:hAnsi="Book Antiqua" w:cs="Book Antiqua"/>
          <w:sz w:val="24"/>
          <w:szCs w:val="24"/>
          <w:lang w:val="en-GB" w:eastAsia="es-ES"/>
        </w:rPr>
        <w:t xml:space="preserve"> to 30% and clinical response from 0</w:t>
      </w:r>
      <w:r w:rsidR="0020336D">
        <w:rPr>
          <w:rFonts w:ascii="Book Antiqua" w:hAnsi="Book Antiqua" w:cs="Book Antiqua" w:hint="eastAsia"/>
          <w:sz w:val="24"/>
          <w:szCs w:val="24"/>
          <w:lang w:val="en-GB" w:eastAsia="zh-CN"/>
        </w:rPr>
        <w:t>%</w:t>
      </w:r>
      <w:r w:rsidRPr="00390EBD">
        <w:rPr>
          <w:rFonts w:ascii="Book Antiqua" w:hAnsi="Book Antiqua" w:cs="Book Antiqua"/>
          <w:sz w:val="24"/>
          <w:szCs w:val="24"/>
          <w:lang w:val="en-GB" w:eastAsia="es-ES"/>
        </w:rPr>
        <w:t xml:space="preserve"> to 70%.</w:t>
      </w:r>
      <w:r w:rsidR="00D95AD7">
        <w:rPr>
          <w:rFonts w:ascii="Book Antiqua" w:hAnsi="Book Antiqua"/>
          <w:sz w:val="24"/>
          <w:szCs w:val="24"/>
          <w:lang w:val="en-GB"/>
        </w:rPr>
        <w:t xml:space="preserve"> </w:t>
      </w:r>
      <w:r w:rsidRPr="00390EBD">
        <w:rPr>
          <w:rFonts w:ascii="Book Antiqua" w:hAnsi="Book Antiqua"/>
          <w:sz w:val="24"/>
          <w:szCs w:val="24"/>
          <w:lang w:val="en-GB"/>
        </w:rPr>
        <w:t>The relative small number of patients evaluated so far, does not allo</w:t>
      </w:r>
      <w:r w:rsidR="008A67DE" w:rsidRPr="00390EBD">
        <w:rPr>
          <w:rFonts w:ascii="Book Antiqua" w:hAnsi="Book Antiqua"/>
          <w:sz w:val="24"/>
          <w:szCs w:val="24"/>
          <w:lang w:val="en-GB"/>
        </w:rPr>
        <w:t>w to</w:t>
      </w:r>
      <w:r w:rsidR="00D95AD7">
        <w:rPr>
          <w:rFonts w:ascii="Book Antiqua" w:hAnsi="Book Antiqua"/>
          <w:sz w:val="24"/>
          <w:szCs w:val="24"/>
          <w:lang w:val="en-GB"/>
        </w:rPr>
        <w:t xml:space="preserve"> </w:t>
      </w:r>
      <w:r w:rsidRPr="00390EBD">
        <w:rPr>
          <w:rFonts w:ascii="Book Antiqua" w:hAnsi="Book Antiqua"/>
          <w:sz w:val="24"/>
          <w:szCs w:val="24"/>
          <w:lang w:val="en-GB"/>
        </w:rPr>
        <w:t>establis</w:t>
      </w:r>
      <w:r w:rsidR="008A67DE" w:rsidRPr="00390EBD">
        <w:rPr>
          <w:rFonts w:ascii="Book Antiqua" w:hAnsi="Book Antiqua"/>
          <w:sz w:val="24"/>
          <w:szCs w:val="24"/>
          <w:lang w:val="en-GB"/>
        </w:rPr>
        <w:t>h firmly conclusions, but it</w:t>
      </w:r>
      <w:r w:rsidR="00D95AD7">
        <w:rPr>
          <w:rFonts w:ascii="Book Antiqua" w:hAnsi="Book Antiqua"/>
          <w:sz w:val="24"/>
          <w:szCs w:val="24"/>
          <w:lang w:val="en-GB"/>
        </w:rPr>
        <w:t xml:space="preserve"> </w:t>
      </w:r>
      <w:r w:rsidR="008A67DE" w:rsidRPr="00390EBD">
        <w:rPr>
          <w:rFonts w:ascii="Book Antiqua" w:hAnsi="Book Antiqua"/>
          <w:sz w:val="24"/>
          <w:szCs w:val="24"/>
          <w:lang w:val="en-GB"/>
        </w:rPr>
        <w:t>stresses the</w:t>
      </w:r>
      <w:r w:rsidR="0020336D" w:rsidRPr="0020336D">
        <w:rPr>
          <w:rFonts w:ascii="Book Antiqua" w:hAnsi="Book Antiqua"/>
          <w:i/>
          <w:sz w:val="24"/>
          <w:szCs w:val="24"/>
          <w:lang w:val="en-GB"/>
        </w:rPr>
        <w:t xml:space="preserve"> </w:t>
      </w:r>
      <w:r w:rsidRPr="00390EBD">
        <w:rPr>
          <w:rFonts w:ascii="Book Antiqua" w:hAnsi="Book Antiqua"/>
          <w:sz w:val="24"/>
          <w:szCs w:val="24"/>
          <w:lang w:val="en-GB"/>
        </w:rPr>
        <w:t>importance of the microbiota in the pathogenesis of IBD.</w:t>
      </w:r>
    </w:p>
    <w:p w14:paraId="66C6EB0E"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GB"/>
        </w:rPr>
      </w:pPr>
    </w:p>
    <w:p w14:paraId="78345751"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b/>
          <w:sz w:val="24"/>
          <w:szCs w:val="24"/>
          <w:lang w:val="en-GB"/>
        </w:rPr>
      </w:pPr>
      <w:r w:rsidRPr="00390EBD">
        <w:rPr>
          <w:rFonts w:ascii="Book Antiqua" w:hAnsi="Book Antiqua" w:cs="Book Antiqua"/>
          <w:b/>
          <w:sz w:val="24"/>
          <w:szCs w:val="24"/>
          <w:lang w:val="en-GB"/>
        </w:rPr>
        <w:t>CONCLUSION</w:t>
      </w:r>
    </w:p>
    <w:p w14:paraId="0B06B976" w14:textId="77777777" w:rsidR="006138C7" w:rsidRPr="00390EBD" w:rsidRDefault="006138C7" w:rsidP="00954CEE">
      <w:pPr>
        <w:adjustRightInd w:val="0"/>
        <w:snapToGrid w:val="0"/>
        <w:spacing w:after="0" w:line="360" w:lineRule="auto"/>
        <w:jc w:val="both"/>
        <w:rPr>
          <w:rFonts w:ascii="Book Antiqua" w:hAnsi="Book Antiqua" w:cs="Book Antiqua"/>
          <w:sz w:val="24"/>
          <w:szCs w:val="24"/>
          <w:lang w:val="en-GB" w:eastAsia="es-ES"/>
        </w:rPr>
      </w:pPr>
      <w:r w:rsidRPr="00390EBD">
        <w:rPr>
          <w:rFonts w:ascii="Book Antiqua" w:hAnsi="Book Antiqua" w:cs="Book Antiqua"/>
          <w:sz w:val="24"/>
          <w:szCs w:val="24"/>
          <w:lang w:val="en-GB" w:eastAsia="es-ES"/>
        </w:rPr>
        <w:lastRenderedPageBreak/>
        <w:t xml:space="preserve">At present there are a large number of on-going studies in various stages of research on new molecules for the treatment of IBD. </w:t>
      </w:r>
      <w:r w:rsidRPr="00390EBD">
        <w:rPr>
          <w:rFonts w:ascii="Book Antiqua" w:hAnsi="Book Antiqua"/>
          <w:sz w:val="24"/>
          <w:szCs w:val="24"/>
          <w:lang w:val="en-GB"/>
        </w:rPr>
        <w:t>An analysis of mucosal</w:t>
      </w:r>
      <w:r w:rsidRPr="00390EBD">
        <w:rPr>
          <w:rFonts w:ascii="Book Antiqua" w:hAnsi="Book Antiqua"/>
          <w:sz w:val="24"/>
          <w:szCs w:val="24"/>
          <w:lang w:val="en-GB"/>
        </w:rPr>
        <w:br/>
        <w:t>healing is needed in order to evaluate the impact of the therapy</w:t>
      </w:r>
      <w:r w:rsidRPr="00390EBD">
        <w:rPr>
          <w:rFonts w:ascii="Book Antiqua" w:hAnsi="Book Antiqua" w:cs="Book Antiqua"/>
          <w:sz w:val="24"/>
          <w:szCs w:val="24"/>
          <w:lang w:val="en-GB" w:eastAsia="es-ES"/>
        </w:rPr>
        <w:t>. In this way it is expected to change the course of IBD. Among the different alternatives the pathway of the anti-adhesion molecules and interleukin drugs are a real anti-TNF-α alternative treatment.</w:t>
      </w:r>
    </w:p>
    <w:p w14:paraId="1C05A13C" w14:textId="6B1C30FE" w:rsidR="006138C7" w:rsidRPr="00390EBD" w:rsidRDefault="006138C7" w:rsidP="00954CEE">
      <w:pPr>
        <w:adjustRightInd w:val="0"/>
        <w:snapToGrid w:val="0"/>
        <w:spacing w:after="0" w:line="360" w:lineRule="auto"/>
        <w:ind w:firstLineChars="200" w:firstLine="480"/>
        <w:jc w:val="both"/>
        <w:rPr>
          <w:rFonts w:ascii="Book Antiqua" w:hAnsi="Book Antiqua" w:cs="Book Antiqua"/>
          <w:sz w:val="24"/>
          <w:szCs w:val="24"/>
          <w:lang w:val="en-GB" w:eastAsia="es-ES"/>
        </w:rPr>
      </w:pPr>
      <w:r w:rsidRPr="00390EBD">
        <w:rPr>
          <w:rFonts w:ascii="Book Antiqua" w:hAnsi="Book Antiqua" w:cs="Book Antiqua"/>
          <w:sz w:val="24"/>
          <w:szCs w:val="24"/>
          <w:lang w:val="en-GB"/>
        </w:rPr>
        <w:t>Within</w:t>
      </w:r>
      <w:r w:rsidR="00D95AD7">
        <w:rPr>
          <w:rFonts w:ascii="Book Antiqua" w:hAnsi="Book Antiqua" w:cs="Book Antiqua"/>
          <w:sz w:val="24"/>
          <w:szCs w:val="24"/>
          <w:lang w:val="en-GB"/>
        </w:rPr>
        <w:t xml:space="preserve"> </w:t>
      </w:r>
      <w:r w:rsidRPr="00390EBD">
        <w:rPr>
          <w:rFonts w:ascii="Book Antiqua" w:hAnsi="Book Antiqua" w:cs="Book Antiqua"/>
          <w:sz w:val="24"/>
          <w:szCs w:val="24"/>
          <w:lang w:val="en-GB"/>
        </w:rPr>
        <w:t>the</w:t>
      </w:r>
      <w:r w:rsidR="00D95AD7">
        <w:rPr>
          <w:rFonts w:ascii="Book Antiqua" w:hAnsi="Book Antiqua" w:cs="Book Antiqua"/>
          <w:sz w:val="24"/>
          <w:szCs w:val="24"/>
          <w:lang w:val="en-GB"/>
        </w:rPr>
        <w:t xml:space="preserve"> </w:t>
      </w:r>
      <w:r w:rsidRPr="00390EBD">
        <w:rPr>
          <w:rFonts w:ascii="Book Antiqua" w:hAnsi="Book Antiqua" w:cs="Book Antiqua"/>
          <w:sz w:val="24"/>
          <w:szCs w:val="24"/>
          <w:lang w:val="en-GB"/>
        </w:rPr>
        <w:t xml:space="preserve">next few years the </w:t>
      </w:r>
      <w:r w:rsidR="008A67DE" w:rsidRPr="00390EBD">
        <w:rPr>
          <w:rFonts w:ascii="Book Antiqua" w:hAnsi="Book Antiqua" w:cs="Book Antiqua"/>
          <w:sz w:val="24"/>
          <w:szCs w:val="24"/>
          <w:lang w:val="en-GB"/>
        </w:rPr>
        <w:t>developments referred to</w:t>
      </w:r>
      <w:r w:rsidR="00D95AD7">
        <w:rPr>
          <w:rFonts w:ascii="Book Antiqua" w:hAnsi="Book Antiqua" w:cs="Book Antiqua"/>
          <w:sz w:val="24"/>
          <w:szCs w:val="24"/>
          <w:lang w:val="en-GB"/>
        </w:rPr>
        <w:t xml:space="preserve"> </w:t>
      </w:r>
      <w:r w:rsidRPr="00390EBD">
        <w:rPr>
          <w:rFonts w:ascii="Book Antiqua" w:hAnsi="Book Antiqua" w:cs="Book Antiqua"/>
          <w:sz w:val="24"/>
          <w:szCs w:val="24"/>
          <w:lang w:val="en-GB"/>
        </w:rPr>
        <w:t>pharmacogenetics, clinical pharmacology,</w:t>
      </w:r>
      <w:r w:rsidRPr="00390EBD">
        <w:rPr>
          <w:rStyle w:val="Heading1Char"/>
          <w:rFonts w:ascii="Book Antiqua" w:hAnsi="Book Antiqua" w:cs="Book Antiqua"/>
          <w:sz w:val="24"/>
          <w:szCs w:val="24"/>
          <w:lang w:val="en-GB"/>
        </w:rPr>
        <w:t xml:space="preserve"> </w:t>
      </w:r>
      <w:r w:rsidRPr="00390EBD">
        <w:rPr>
          <w:rStyle w:val="Heading1Char"/>
          <w:rFonts w:ascii="Book Antiqua" w:hAnsi="Book Antiqua" w:cs="Book Antiqua"/>
          <w:b w:val="0"/>
          <w:sz w:val="24"/>
          <w:szCs w:val="24"/>
          <w:lang w:val="en-GB"/>
        </w:rPr>
        <w:t>the use of</w:t>
      </w:r>
      <w:r w:rsidRPr="00390EBD">
        <w:rPr>
          <w:rStyle w:val="Heading1Char"/>
          <w:rFonts w:ascii="Book Antiqua" w:hAnsi="Book Antiqua" w:cs="Book Antiqua"/>
          <w:sz w:val="24"/>
          <w:szCs w:val="24"/>
          <w:lang w:val="en-GB"/>
        </w:rPr>
        <w:t xml:space="preserve"> </w:t>
      </w:r>
      <w:r w:rsidRPr="00390EBD">
        <w:rPr>
          <w:rFonts w:ascii="Book Antiqua" w:hAnsi="Book Antiqua" w:cs="Book Antiqua"/>
          <w:sz w:val="24"/>
          <w:szCs w:val="24"/>
          <w:lang w:val="en-GB" w:eastAsia="es-ES"/>
        </w:rPr>
        <w:t>indexes that try to classify patients by defining profiles of severity</w:t>
      </w:r>
      <w:r w:rsidRPr="00390EBD">
        <w:rPr>
          <w:rFonts w:ascii="Book Antiqua" w:hAnsi="Book Antiqua" w:cs="Book Antiqua"/>
          <w:sz w:val="24"/>
          <w:szCs w:val="24"/>
          <w:lang w:val="en-GB"/>
        </w:rPr>
        <w:t xml:space="preserve"> and the new drug molecules </w:t>
      </w:r>
      <w:r w:rsidRPr="00390EBD">
        <w:rPr>
          <w:rFonts w:ascii="Book Antiqua" w:hAnsi="Book Antiqua" w:cs="Book Antiqua"/>
          <w:sz w:val="24"/>
          <w:szCs w:val="24"/>
          <w:lang w:val="en-GB" w:eastAsia="es-ES"/>
        </w:rPr>
        <w:t>will allow us to tailor treatments</w:t>
      </w:r>
      <w:r w:rsidRPr="00390EBD">
        <w:rPr>
          <w:rFonts w:ascii="Book Antiqua" w:hAnsi="Book Antiqua" w:cs="Book Antiqua"/>
          <w:sz w:val="24"/>
          <w:szCs w:val="24"/>
          <w:lang w:val="en-GB"/>
        </w:rPr>
        <w:t xml:space="preserve">. </w:t>
      </w:r>
    </w:p>
    <w:p w14:paraId="1F074B92" w14:textId="2A6F8823" w:rsidR="0020336D" w:rsidRDefault="0020336D" w:rsidP="00954CEE">
      <w:pPr>
        <w:autoSpaceDE w:val="0"/>
        <w:autoSpaceDN w:val="0"/>
        <w:adjustRightInd w:val="0"/>
        <w:snapToGrid w:val="0"/>
        <w:spacing w:after="0" w:line="360" w:lineRule="auto"/>
        <w:jc w:val="both"/>
        <w:rPr>
          <w:rFonts w:ascii="Book Antiqua" w:hAnsi="Book Antiqua" w:cs="Book Antiqua"/>
          <w:sz w:val="24"/>
          <w:szCs w:val="24"/>
          <w:lang w:val="en-GB"/>
        </w:rPr>
      </w:pPr>
      <w:r>
        <w:rPr>
          <w:rFonts w:ascii="Book Antiqua" w:hAnsi="Book Antiqua" w:cs="Book Antiqua"/>
          <w:sz w:val="24"/>
          <w:szCs w:val="24"/>
          <w:lang w:val="en-GB"/>
        </w:rPr>
        <w:br w:type="page"/>
      </w:r>
    </w:p>
    <w:p w14:paraId="75EAF288" w14:textId="1A8CD3FF" w:rsidR="006138C7" w:rsidRDefault="00CE0E43" w:rsidP="00954CEE">
      <w:pPr>
        <w:adjustRightInd w:val="0"/>
        <w:snapToGrid w:val="0"/>
        <w:spacing w:after="0" w:line="360" w:lineRule="auto"/>
        <w:jc w:val="both"/>
        <w:rPr>
          <w:rFonts w:ascii="Book Antiqua" w:hAnsi="Book Antiqua" w:cs="Book Antiqua"/>
          <w:b/>
          <w:bCs/>
          <w:sz w:val="24"/>
          <w:szCs w:val="24"/>
          <w:lang w:val="en-GB" w:eastAsia="zh-CN"/>
        </w:rPr>
      </w:pPr>
      <w:r>
        <w:rPr>
          <w:rFonts w:ascii="Book Antiqua" w:hAnsi="Book Antiqua" w:cs="Book Antiqua"/>
          <w:b/>
          <w:bCs/>
          <w:sz w:val="24"/>
          <w:szCs w:val="24"/>
          <w:lang w:val="en-GB"/>
        </w:rPr>
        <w:lastRenderedPageBreak/>
        <w:t>REFERENCES</w:t>
      </w:r>
    </w:p>
    <w:p w14:paraId="4B22FA7F"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1 </w:t>
      </w:r>
      <w:r w:rsidRPr="00B918F9">
        <w:rPr>
          <w:rFonts w:ascii="Book Antiqua" w:hAnsi="Book Antiqua" w:cs="SimSun"/>
          <w:b/>
          <w:bCs/>
          <w:color w:val="000000"/>
          <w:sz w:val="24"/>
          <w:szCs w:val="24"/>
        </w:rPr>
        <w:t>Molodecky NA</w:t>
      </w:r>
      <w:r w:rsidRPr="00B918F9">
        <w:rPr>
          <w:rFonts w:ascii="Book Antiqua" w:hAnsi="Book Antiqua" w:cs="SimSun"/>
          <w:color w:val="000000"/>
          <w:sz w:val="24"/>
          <w:szCs w:val="24"/>
        </w:rPr>
        <w:t>, Soon IS, Rabi DM, Ghali WA, Ferris M, Chernoff G, Benchimol EI, Panaccione R, Ghosh S, Barkema HW, Kaplan GG. Increasing incidence and prevalence of the inflammatory bowel diseases with time, based on systematic review. </w:t>
      </w:r>
      <w:r w:rsidRPr="00B918F9">
        <w:rPr>
          <w:rFonts w:ascii="Book Antiqua" w:hAnsi="Book Antiqua" w:cs="SimSun"/>
          <w:i/>
          <w:iCs/>
          <w:color w:val="000000"/>
          <w:sz w:val="24"/>
          <w:szCs w:val="24"/>
        </w:rPr>
        <w:t>Gastroenterology</w:t>
      </w:r>
      <w:r w:rsidRPr="00B918F9">
        <w:rPr>
          <w:rFonts w:ascii="Book Antiqua" w:hAnsi="Book Antiqua" w:cs="SimSun"/>
          <w:color w:val="000000"/>
          <w:sz w:val="24"/>
          <w:szCs w:val="24"/>
        </w:rPr>
        <w:t> 2012; </w:t>
      </w:r>
      <w:r w:rsidRPr="00B918F9">
        <w:rPr>
          <w:rFonts w:ascii="Book Antiqua" w:hAnsi="Book Antiqua" w:cs="SimSun"/>
          <w:b/>
          <w:bCs/>
          <w:color w:val="000000"/>
          <w:sz w:val="24"/>
          <w:szCs w:val="24"/>
        </w:rPr>
        <w:t>142</w:t>
      </w:r>
      <w:r w:rsidRPr="00B918F9">
        <w:rPr>
          <w:rFonts w:ascii="Book Antiqua" w:hAnsi="Book Antiqua" w:cs="SimSun"/>
          <w:color w:val="000000"/>
          <w:sz w:val="24"/>
          <w:szCs w:val="24"/>
        </w:rPr>
        <w:t>: 46-54.e42; quiz e30 [PMID: 22001864 DOI: 10.1053/j.gastro.2011.10.001]</w:t>
      </w:r>
    </w:p>
    <w:p w14:paraId="17F0B960"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2 </w:t>
      </w:r>
      <w:r w:rsidRPr="00B918F9">
        <w:rPr>
          <w:rFonts w:ascii="Book Antiqua" w:hAnsi="Book Antiqua" w:cs="SimSun"/>
          <w:b/>
          <w:bCs/>
          <w:color w:val="000000"/>
          <w:sz w:val="24"/>
          <w:szCs w:val="24"/>
        </w:rPr>
        <w:t>Burisch J</w:t>
      </w:r>
      <w:r w:rsidRPr="00B918F9">
        <w:rPr>
          <w:rFonts w:ascii="Book Antiqua" w:hAnsi="Book Antiqua" w:cs="SimSun"/>
          <w:color w:val="000000"/>
          <w:sz w:val="24"/>
          <w:szCs w:val="24"/>
        </w:rPr>
        <w:t>, Pedersen N, Čuković-Čavka S, Brinar M, Kaimakliotis I, Duricova D, Shonová O, Vind I, Avnstrøm S, Thorsgaard N, Andersen V, Krabbe S, Dahlerup JF, Salupere R, Nielsen KR, Olsen J, Manninen P, Collin P, Tsianos EV, Katsanos KH, Ladefoged K, Lakatos L, Björnsson E, Ragnarsson G, Bailey Y, Odes S, Schwartz D, Martinato M, Lupinacci G, Milla M, De Padova A, D'Incà R, Beltrami M, Kupcinskas L, Kiudelis G, Turcan S, Tighineanu O, Mihu I, Magro F, Barros LF, Goldis A, Lazar D, Belousova E, Nikulina I, Hernandez V, Martinez-Ares D, Almer S, Zhulina Y, Halfvarson J, Arebi N, Sebastian S, Lakatos PL, Langholz E, Munkholm P; for the EpiCom-group. East-West gradient in the incidence of inflammatory bowel disease in Europe: the ECCO-EpiCom inception cohort. </w:t>
      </w:r>
      <w:r w:rsidRPr="00B918F9">
        <w:rPr>
          <w:rFonts w:ascii="Book Antiqua" w:hAnsi="Book Antiqua" w:cs="SimSun"/>
          <w:i/>
          <w:iCs/>
          <w:color w:val="000000"/>
          <w:sz w:val="24"/>
          <w:szCs w:val="24"/>
        </w:rPr>
        <w:t>Gut</w:t>
      </w:r>
      <w:r w:rsidRPr="00B918F9">
        <w:rPr>
          <w:rFonts w:ascii="Book Antiqua" w:hAnsi="Book Antiqua" w:cs="SimSun"/>
          <w:color w:val="000000"/>
          <w:sz w:val="24"/>
          <w:szCs w:val="24"/>
        </w:rPr>
        <w:t> 2014; </w:t>
      </w:r>
      <w:r w:rsidRPr="00B918F9">
        <w:rPr>
          <w:rFonts w:ascii="Book Antiqua" w:hAnsi="Book Antiqua" w:cs="SimSun"/>
          <w:b/>
          <w:bCs/>
          <w:color w:val="000000"/>
          <w:sz w:val="24"/>
          <w:szCs w:val="24"/>
        </w:rPr>
        <w:t>63</w:t>
      </w:r>
      <w:r w:rsidRPr="00B918F9">
        <w:rPr>
          <w:rFonts w:ascii="Book Antiqua" w:hAnsi="Book Antiqua" w:cs="SimSun"/>
          <w:color w:val="000000"/>
          <w:sz w:val="24"/>
          <w:szCs w:val="24"/>
        </w:rPr>
        <w:t>: 588-597 [PMID: 23604131 DOI: 10.1136/gutjnl-2013-304636]</w:t>
      </w:r>
    </w:p>
    <w:p w14:paraId="0904462F"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3 </w:t>
      </w:r>
      <w:r w:rsidRPr="00B918F9">
        <w:rPr>
          <w:rFonts w:ascii="Book Antiqua" w:hAnsi="Book Antiqua" w:cs="SimSun"/>
          <w:b/>
          <w:bCs/>
          <w:color w:val="000000"/>
          <w:sz w:val="24"/>
          <w:szCs w:val="24"/>
        </w:rPr>
        <w:t>Lakatos PL</w:t>
      </w:r>
      <w:r w:rsidRPr="00B918F9">
        <w:rPr>
          <w:rFonts w:ascii="Book Antiqua" w:hAnsi="Book Antiqua" w:cs="SimSun"/>
          <w:color w:val="000000"/>
          <w:sz w:val="24"/>
          <w:szCs w:val="24"/>
        </w:rPr>
        <w:t>. Environmental factors affecting inflammatory bowel disease: have we made progress? </w:t>
      </w:r>
      <w:r w:rsidRPr="00B918F9">
        <w:rPr>
          <w:rFonts w:ascii="Book Antiqua" w:hAnsi="Book Antiqua" w:cs="SimSun"/>
          <w:i/>
          <w:iCs/>
          <w:color w:val="000000"/>
          <w:sz w:val="24"/>
          <w:szCs w:val="24"/>
        </w:rPr>
        <w:t>Dig Dis</w:t>
      </w:r>
      <w:r w:rsidRPr="00B918F9">
        <w:rPr>
          <w:rFonts w:ascii="Book Antiqua" w:hAnsi="Book Antiqua" w:cs="SimSun"/>
          <w:color w:val="000000"/>
          <w:sz w:val="24"/>
          <w:szCs w:val="24"/>
        </w:rPr>
        <w:t> 2009; </w:t>
      </w:r>
      <w:r w:rsidRPr="00B918F9">
        <w:rPr>
          <w:rFonts w:ascii="Book Antiqua" w:hAnsi="Book Antiqua" w:cs="SimSun"/>
          <w:b/>
          <w:bCs/>
          <w:color w:val="000000"/>
          <w:sz w:val="24"/>
          <w:szCs w:val="24"/>
        </w:rPr>
        <w:t>27</w:t>
      </w:r>
      <w:r w:rsidRPr="00B918F9">
        <w:rPr>
          <w:rFonts w:ascii="Book Antiqua" w:hAnsi="Book Antiqua" w:cs="SimSun"/>
          <w:color w:val="000000"/>
          <w:sz w:val="24"/>
          <w:szCs w:val="24"/>
        </w:rPr>
        <w:t>: 215-225 [PMID: 19786744 DOI: 10.1159/000228553]</w:t>
      </w:r>
    </w:p>
    <w:p w14:paraId="0405364B"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4 </w:t>
      </w:r>
      <w:r w:rsidRPr="00B918F9">
        <w:rPr>
          <w:rFonts w:ascii="Book Antiqua" w:hAnsi="Book Antiqua" w:cs="SimSun"/>
          <w:b/>
          <w:bCs/>
          <w:color w:val="000000"/>
          <w:sz w:val="24"/>
          <w:szCs w:val="24"/>
        </w:rPr>
        <w:t>Knights D</w:t>
      </w:r>
      <w:r w:rsidRPr="00B918F9">
        <w:rPr>
          <w:rFonts w:ascii="Book Antiqua" w:hAnsi="Book Antiqua" w:cs="SimSun"/>
          <w:color w:val="000000"/>
          <w:sz w:val="24"/>
          <w:szCs w:val="24"/>
        </w:rPr>
        <w:t>, Lassen KG, Xavier RJ. Advances in inflammatory bowel disease pathogenesis: linking host genetics and the microbiome. </w:t>
      </w:r>
      <w:r w:rsidRPr="00B918F9">
        <w:rPr>
          <w:rFonts w:ascii="Book Antiqua" w:hAnsi="Book Antiqua" w:cs="SimSun"/>
          <w:i/>
          <w:iCs/>
          <w:color w:val="000000"/>
          <w:sz w:val="24"/>
          <w:szCs w:val="24"/>
        </w:rPr>
        <w:t>Gut</w:t>
      </w:r>
      <w:r w:rsidRPr="00B918F9">
        <w:rPr>
          <w:rFonts w:ascii="Book Antiqua" w:hAnsi="Book Antiqua" w:cs="SimSun"/>
          <w:color w:val="000000"/>
          <w:sz w:val="24"/>
          <w:szCs w:val="24"/>
        </w:rPr>
        <w:t> 2013; </w:t>
      </w:r>
      <w:r w:rsidRPr="00B918F9">
        <w:rPr>
          <w:rFonts w:ascii="Book Antiqua" w:hAnsi="Book Antiqua" w:cs="SimSun"/>
          <w:b/>
          <w:bCs/>
          <w:color w:val="000000"/>
          <w:sz w:val="24"/>
          <w:szCs w:val="24"/>
        </w:rPr>
        <w:t>62</w:t>
      </w:r>
      <w:r w:rsidRPr="00B918F9">
        <w:rPr>
          <w:rFonts w:ascii="Book Antiqua" w:hAnsi="Book Antiqua" w:cs="SimSun"/>
          <w:color w:val="000000"/>
          <w:sz w:val="24"/>
          <w:szCs w:val="24"/>
        </w:rPr>
        <w:t>: 1505-1510 [PMID: 24037875 DOI: 10.1136/gutjnl-2012-303954]</w:t>
      </w:r>
    </w:p>
    <w:p w14:paraId="57009E15"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5 </w:t>
      </w:r>
      <w:r w:rsidRPr="00B918F9">
        <w:rPr>
          <w:rFonts w:ascii="Book Antiqua" w:hAnsi="Book Antiqua" w:cs="SimSun"/>
          <w:b/>
          <w:bCs/>
          <w:color w:val="000000"/>
          <w:sz w:val="24"/>
          <w:szCs w:val="24"/>
        </w:rPr>
        <w:t>Kalla R</w:t>
      </w:r>
      <w:r w:rsidRPr="00B918F9">
        <w:rPr>
          <w:rFonts w:ascii="Book Antiqua" w:hAnsi="Book Antiqua" w:cs="SimSun"/>
          <w:color w:val="000000"/>
          <w:sz w:val="24"/>
          <w:szCs w:val="24"/>
        </w:rPr>
        <w:t>, Ventham NT, Kennedy NA, Quintana JF, Nimmo ER, Buck AH, Satsangi J. MicroRNAs: new players in IBD. </w:t>
      </w:r>
      <w:r w:rsidRPr="00B918F9">
        <w:rPr>
          <w:rFonts w:ascii="Book Antiqua" w:hAnsi="Book Antiqua" w:cs="SimSun"/>
          <w:i/>
          <w:iCs/>
          <w:color w:val="000000"/>
          <w:sz w:val="24"/>
          <w:szCs w:val="24"/>
        </w:rPr>
        <w:t>Gut</w:t>
      </w:r>
      <w:r w:rsidRPr="00B918F9">
        <w:rPr>
          <w:rFonts w:ascii="Book Antiqua" w:hAnsi="Book Antiqua" w:cs="SimSun"/>
          <w:color w:val="000000"/>
          <w:sz w:val="24"/>
          <w:szCs w:val="24"/>
        </w:rPr>
        <w:t> 2015; </w:t>
      </w:r>
      <w:r w:rsidRPr="00B918F9">
        <w:rPr>
          <w:rFonts w:ascii="Book Antiqua" w:hAnsi="Book Antiqua" w:cs="SimSun"/>
          <w:b/>
          <w:bCs/>
          <w:color w:val="000000"/>
          <w:sz w:val="24"/>
          <w:szCs w:val="24"/>
        </w:rPr>
        <w:t>64</w:t>
      </w:r>
      <w:r w:rsidRPr="00B918F9">
        <w:rPr>
          <w:rFonts w:ascii="Book Antiqua" w:hAnsi="Book Antiqua" w:cs="SimSun"/>
          <w:color w:val="000000"/>
          <w:sz w:val="24"/>
          <w:szCs w:val="24"/>
        </w:rPr>
        <w:t>: 504-517 [PMID: 25475103 DOI: 10.1136/gutjnl-2014-307891]</w:t>
      </w:r>
    </w:p>
    <w:p w14:paraId="4DBD665E"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6 </w:t>
      </w:r>
      <w:r w:rsidRPr="00B918F9">
        <w:rPr>
          <w:rFonts w:ascii="Book Antiqua" w:hAnsi="Book Antiqua" w:cs="SimSun"/>
          <w:b/>
          <w:bCs/>
          <w:color w:val="000000"/>
          <w:sz w:val="24"/>
          <w:szCs w:val="24"/>
        </w:rPr>
        <w:t>Zuk O</w:t>
      </w:r>
      <w:r w:rsidRPr="00B918F9">
        <w:rPr>
          <w:rFonts w:ascii="Book Antiqua" w:hAnsi="Book Antiqua" w:cs="SimSun"/>
          <w:color w:val="000000"/>
          <w:sz w:val="24"/>
          <w:szCs w:val="24"/>
        </w:rPr>
        <w:t>, Hechter E, Sunyaev SR, Lander ES. The mystery of missing heritability: Genetic interactions create phantom heritability. </w:t>
      </w:r>
      <w:r>
        <w:rPr>
          <w:rFonts w:ascii="Book Antiqua" w:hAnsi="Book Antiqua" w:cs="SimSun"/>
          <w:i/>
          <w:iCs/>
          <w:color w:val="000000"/>
          <w:sz w:val="24"/>
          <w:szCs w:val="24"/>
        </w:rPr>
        <w:t>Proc Natl Acad Sci US</w:t>
      </w:r>
      <w:r w:rsidRPr="00B918F9">
        <w:rPr>
          <w:rFonts w:ascii="Book Antiqua" w:hAnsi="Book Antiqua" w:cs="SimSun"/>
          <w:i/>
          <w:iCs/>
          <w:color w:val="000000"/>
          <w:sz w:val="24"/>
          <w:szCs w:val="24"/>
        </w:rPr>
        <w:t>A</w:t>
      </w:r>
      <w:r w:rsidRPr="00B918F9">
        <w:rPr>
          <w:rFonts w:ascii="Book Antiqua" w:hAnsi="Book Antiqua" w:cs="SimSun"/>
          <w:color w:val="000000"/>
          <w:sz w:val="24"/>
          <w:szCs w:val="24"/>
        </w:rPr>
        <w:t> 2012; </w:t>
      </w:r>
      <w:r w:rsidRPr="00B918F9">
        <w:rPr>
          <w:rFonts w:ascii="Book Antiqua" w:hAnsi="Book Antiqua" w:cs="SimSun"/>
          <w:b/>
          <w:bCs/>
          <w:color w:val="000000"/>
          <w:sz w:val="24"/>
          <w:szCs w:val="24"/>
        </w:rPr>
        <w:t>109</w:t>
      </w:r>
      <w:r w:rsidRPr="00B918F9">
        <w:rPr>
          <w:rFonts w:ascii="Book Antiqua" w:hAnsi="Book Antiqua" w:cs="SimSun"/>
          <w:color w:val="000000"/>
          <w:sz w:val="24"/>
          <w:szCs w:val="24"/>
        </w:rPr>
        <w:t>: 1193-1198 [PMID: 22223662 DOI: 10.1073/pnas.1119675109]</w:t>
      </w:r>
    </w:p>
    <w:p w14:paraId="760CFCB6"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lastRenderedPageBreak/>
        <w:t>7 </w:t>
      </w:r>
      <w:r w:rsidRPr="00B918F9">
        <w:rPr>
          <w:rFonts w:ascii="Book Antiqua" w:hAnsi="Book Antiqua" w:cs="SimSun"/>
          <w:b/>
          <w:bCs/>
          <w:color w:val="000000"/>
          <w:sz w:val="24"/>
          <w:szCs w:val="24"/>
        </w:rPr>
        <w:t>Patel KK</w:t>
      </w:r>
      <w:r w:rsidRPr="00B918F9">
        <w:rPr>
          <w:rFonts w:ascii="Book Antiqua" w:hAnsi="Book Antiqua" w:cs="SimSun"/>
          <w:color w:val="000000"/>
          <w:sz w:val="24"/>
          <w:szCs w:val="24"/>
        </w:rPr>
        <w:t>, Babyatsky MW. Medical education: a key partner in realizing personalized medicine in gastroenterology. </w:t>
      </w:r>
      <w:r w:rsidRPr="00B918F9">
        <w:rPr>
          <w:rFonts w:ascii="Book Antiqua" w:hAnsi="Book Antiqua" w:cs="SimSun"/>
          <w:i/>
          <w:iCs/>
          <w:color w:val="000000"/>
          <w:sz w:val="24"/>
          <w:szCs w:val="24"/>
        </w:rPr>
        <w:t>Gastroenterology</w:t>
      </w:r>
      <w:r w:rsidRPr="00B918F9">
        <w:rPr>
          <w:rFonts w:ascii="Book Antiqua" w:hAnsi="Book Antiqua" w:cs="SimSun"/>
          <w:color w:val="000000"/>
          <w:sz w:val="24"/>
          <w:szCs w:val="24"/>
        </w:rPr>
        <w:t> 2008; </w:t>
      </w:r>
      <w:r w:rsidRPr="00B918F9">
        <w:rPr>
          <w:rFonts w:ascii="Book Antiqua" w:hAnsi="Book Antiqua" w:cs="SimSun"/>
          <w:b/>
          <w:bCs/>
          <w:color w:val="000000"/>
          <w:sz w:val="24"/>
          <w:szCs w:val="24"/>
        </w:rPr>
        <w:t>134</w:t>
      </w:r>
      <w:r w:rsidRPr="00B918F9">
        <w:rPr>
          <w:rFonts w:ascii="Book Antiqua" w:hAnsi="Book Antiqua" w:cs="SimSun"/>
          <w:color w:val="000000"/>
          <w:sz w:val="24"/>
          <w:szCs w:val="24"/>
        </w:rPr>
        <w:t>: 656-661 [PMID: 18325381 DOI: 10.1053/j.gastro.2008.01.064]</w:t>
      </w:r>
    </w:p>
    <w:p w14:paraId="6B47C6C7"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8 </w:t>
      </w:r>
      <w:r w:rsidRPr="00B918F9">
        <w:rPr>
          <w:rFonts w:ascii="Book Antiqua" w:hAnsi="Book Antiqua" w:cs="SimSun"/>
          <w:b/>
          <w:bCs/>
          <w:color w:val="000000"/>
          <w:sz w:val="24"/>
          <w:szCs w:val="24"/>
        </w:rPr>
        <w:t>Cohen LB</w:t>
      </w:r>
      <w:r w:rsidRPr="00B918F9">
        <w:rPr>
          <w:rFonts w:ascii="Book Antiqua" w:hAnsi="Book Antiqua" w:cs="SimSun"/>
          <w:color w:val="000000"/>
          <w:sz w:val="24"/>
          <w:szCs w:val="24"/>
        </w:rPr>
        <w:t>, Nanau RM, Delzor F, Neuman MG. Biologic therapies in inflammatory bowel disease. </w:t>
      </w:r>
      <w:r w:rsidRPr="00B918F9">
        <w:rPr>
          <w:rFonts w:ascii="Book Antiqua" w:hAnsi="Book Antiqua" w:cs="SimSun"/>
          <w:i/>
          <w:iCs/>
          <w:color w:val="000000"/>
          <w:sz w:val="24"/>
          <w:szCs w:val="24"/>
        </w:rPr>
        <w:t>Transl Res</w:t>
      </w:r>
      <w:r w:rsidRPr="00B918F9">
        <w:rPr>
          <w:rFonts w:ascii="Book Antiqua" w:hAnsi="Book Antiqua" w:cs="SimSun"/>
          <w:color w:val="000000"/>
          <w:sz w:val="24"/>
          <w:szCs w:val="24"/>
        </w:rPr>
        <w:t> 2014; </w:t>
      </w:r>
      <w:r w:rsidRPr="00B918F9">
        <w:rPr>
          <w:rFonts w:ascii="Book Antiqua" w:hAnsi="Book Antiqua" w:cs="SimSun"/>
          <w:b/>
          <w:bCs/>
          <w:color w:val="000000"/>
          <w:sz w:val="24"/>
          <w:szCs w:val="24"/>
        </w:rPr>
        <w:t>163</w:t>
      </w:r>
      <w:r w:rsidRPr="00B918F9">
        <w:rPr>
          <w:rFonts w:ascii="Book Antiqua" w:hAnsi="Book Antiqua" w:cs="SimSun"/>
          <w:color w:val="000000"/>
          <w:sz w:val="24"/>
          <w:szCs w:val="24"/>
        </w:rPr>
        <w:t>: 533-556 [PMID: 24467968 DOI: 10.1016/j.trsl.2014.01.002]</w:t>
      </w:r>
    </w:p>
    <w:p w14:paraId="3BA1B974"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9 </w:t>
      </w:r>
      <w:r w:rsidRPr="00B918F9">
        <w:rPr>
          <w:rFonts w:ascii="Book Antiqua" w:hAnsi="Book Antiqua" w:cs="SimSun"/>
          <w:b/>
          <w:bCs/>
          <w:color w:val="000000"/>
          <w:sz w:val="24"/>
          <w:szCs w:val="24"/>
        </w:rPr>
        <w:t>Laharie D</w:t>
      </w:r>
      <w:r w:rsidRPr="00B918F9">
        <w:rPr>
          <w:rFonts w:ascii="Book Antiqua" w:hAnsi="Book Antiqua" w:cs="SimSun"/>
          <w:color w:val="000000"/>
          <w:sz w:val="24"/>
          <w:szCs w:val="24"/>
        </w:rPr>
        <w:t>, Filippi J, Roblin X, Nancey S, Chevaux JB, Hébuterne X, Flourié B, Capdepont M, Peyrin-Biroulet L. Impact of mucosal healing on long-term outcomes in ulcerative colitis treated with infliximab: a multicenter experience. </w:t>
      </w:r>
      <w:r w:rsidRPr="00B918F9">
        <w:rPr>
          <w:rFonts w:ascii="Book Antiqua" w:hAnsi="Book Antiqua" w:cs="SimSun"/>
          <w:i/>
          <w:iCs/>
          <w:color w:val="000000"/>
          <w:sz w:val="24"/>
          <w:szCs w:val="24"/>
        </w:rPr>
        <w:t>Aliment Pharmacol Ther</w:t>
      </w:r>
      <w:r w:rsidRPr="00B918F9">
        <w:rPr>
          <w:rFonts w:ascii="Book Antiqua" w:hAnsi="Book Antiqua" w:cs="SimSun"/>
          <w:color w:val="000000"/>
          <w:sz w:val="24"/>
          <w:szCs w:val="24"/>
        </w:rPr>
        <w:t> 2013; </w:t>
      </w:r>
      <w:r w:rsidRPr="00B918F9">
        <w:rPr>
          <w:rFonts w:ascii="Book Antiqua" w:hAnsi="Book Antiqua" w:cs="SimSun"/>
          <w:b/>
          <w:bCs/>
          <w:color w:val="000000"/>
          <w:sz w:val="24"/>
          <w:szCs w:val="24"/>
        </w:rPr>
        <w:t>37</w:t>
      </w:r>
      <w:r w:rsidRPr="00B918F9">
        <w:rPr>
          <w:rFonts w:ascii="Book Antiqua" w:hAnsi="Book Antiqua" w:cs="SimSun"/>
          <w:color w:val="000000"/>
          <w:sz w:val="24"/>
          <w:szCs w:val="24"/>
        </w:rPr>
        <w:t>: 998-1004 [PMID: 23521659 DOI: 10.1111/apt.12289]</w:t>
      </w:r>
    </w:p>
    <w:p w14:paraId="4654660A"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10 </w:t>
      </w:r>
      <w:r w:rsidRPr="00B918F9">
        <w:rPr>
          <w:rFonts w:ascii="Book Antiqua" w:hAnsi="Book Antiqua"/>
          <w:b/>
          <w:bCs/>
          <w:color w:val="000000"/>
          <w:sz w:val="24"/>
          <w:szCs w:val="24"/>
        </w:rPr>
        <w:t>Papi C</w:t>
      </w:r>
      <w:r w:rsidRPr="00B918F9">
        <w:rPr>
          <w:rFonts w:ascii="Book Antiqua" w:hAnsi="Book Antiqua"/>
          <w:color w:val="000000"/>
          <w:sz w:val="24"/>
          <w:szCs w:val="24"/>
        </w:rPr>
        <w:t>, Aratari A. Mucosal healing as a treatment for IBD?</w:t>
      </w:r>
      <w:r w:rsidRPr="00B918F9">
        <w:rPr>
          <w:rStyle w:val="apple-converted-space"/>
          <w:rFonts w:ascii="Book Antiqua" w:hAnsi="Book Antiqua"/>
          <w:sz w:val="24"/>
          <w:szCs w:val="24"/>
        </w:rPr>
        <w:t> </w:t>
      </w:r>
      <w:r w:rsidRPr="00B918F9">
        <w:rPr>
          <w:rFonts w:ascii="Book Antiqua" w:hAnsi="Book Antiqua"/>
          <w:i/>
          <w:iCs/>
          <w:color w:val="000000"/>
          <w:sz w:val="24"/>
          <w:szCs w:val="24"/>
        </w:rPr>
        <w:t>Expert Rev Gastroenterol Hepatol</w:t>
      </w:r>
      <w:r w:rsidRPr="00B918F9">
        <w:rPr>
          <w:rStyle w:val="apple-converted-space"/>
          <w:rFonts w:ascii="Book Antiqua" w:hAnsi="Book Antiqua"/>
          <w:sz w:val="24"/>
          <w:szCs w:val="24"/>
        </w:rPr>
        <w:t> </w:t>
      </w:r>
      <w:r w:rsidRPr="00B918F9">
        <w:rPr>
          <w:rFonts w:ascii="Book Antiqua" w:hAnsi="Book Antiqua"/>
          <w:color w:val="000000"/>
          <w:sz w:val="24"/>
          <w:szCs w:val="24"/>
        </w:rPr>
        <w:t>2014;</w:t>
      </w:r>
      <w:r w:rsidRPr="00B918F9">
        <w:rPr>
          <w:rStyle w:val="apple-converted-space"/>
          <w:rFonts w:ascii="Book Antiqua" w:hAnsi="Book Antiqua"/>
          <w:sz w:val="24"/>
          <w:szCs w:val="24"/>
        </w:rPr>
        <w:t> </w:t>
      </w:r>
      <w:r w:rsidRPr="00B918F9">
        <w:rPr>
          <w:rFonts w:ascii="Book Antiqua" w:hAnsi="Book Antiqua"/>
          <w:b/>
          <w:bCs/>
          <w:color w:val="000000"/>
          <w:sz w:val="24"/>
          <w:szCs w:val="24"/>
        </w:rPr>
        <w:t>8</w:t>
      </w:r>
      <w:r w:rsidRPr="00B918F9">
        <w:rPr>
          <w:rFonts w:ascii="Book Antiqua" w:hAnsi="Book Antiqua"/>
          <w:color w:val="000000"/>
          <w:sz w:val="24"/>
          <w:szCs w:val="24"/>
        </w:rPr>
        <w:t>: 457-459 [PMID: 24654957 DOI: 10.1586/17474124.2014.902302]</w:t>
      </w:r>
    </w:p>
    <w:p w14:paraId="2EDB71BD"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 xml:space="preserve">11 </w:t>
      </w:r>
      <w:r w:rsidRPr="00B918F9">
        <w:rPr>
          <w:rFonts w:ascii="Book Antiqua" w:hAnsi="Book Antiqua" w:cs="SimSun"/>
          <w:b/>
          <w:color w:val="000000"/>
          <w:sz w:val="24"/>
          <w:szCs w:val="24"/>
        </w:rPr>
        <w:t>Kopylov U</w:t>
      </w:r>
      <w:r w:rsidRPr="00B918F9">
        <w:rPr>
          <w:rFonts w:ascii="Book Antiqua" w:hAnsi="Book Antiqua" w:cs="SimSun"/>
          <w:color w:val="000000"/>
          <w:sz w:val="24"/>
          <w:szCs w:val="24"/>
        </w:rPr>
        <w:t>, Ben- Horin S, Seidman E. Therapeutic drug monitoring in inflammatory bowel disease. </w:t>
      </w:r>
      <w:r w:rsidRPr="00B918F9">
        <w:rPr>
          <w:rFonts w:ascii="Book Antiqua" w:hAnsi="Book Antiqua" w:cs="SimSun"/>
          <w:i/>
          <w:iCs/>
          <w:color w:val="000000"/>
          <w:sz w:val="24"/>
          <w:szCs w:val="24"/>
        </w:rPr>
        <w:t>Ann Gastroenterol</w:t>
      </w:r>
      <w:r w:rsidRPr="00B918F9">
        <w:rPr>
          <w:rFonts w:ascii="Book Antiqua" w:hAnsi="Book Antiqua" w:cs="SimSun"/>
          <w:color w:val="000000"/>
          <w:sz w:val="24"/>
          <w:szCs w:val="24"/>
        </w:rPr>
        <w:t> 2014; </w:t>
      </w:r>
      <w:r w:rsidRPr="00B918F9">
        <w:rPr>
          <w:rFonts w:ascii="Book Antiqua" w:hAnsi="Book Antiqua" w:cs="SimSun"/>
          <w:b/>
          <w:bCs/>
          <w:color w:val="000000"/>
          <w:sz w:val="24"/>
          <w:szCs w:val="24"/>
        </w:rPr>
        <w:t>27</w:t>
      </w:r>
      <w:r w:rsidRPr="00B918F9">
        <w:rPr>
          <w:rFonts w:ascii="Book Antiqua" w:hAnsi="Book Antiqua" w:cs="SimSun"/>
          <w:color w:val="000000"/>
          <w:sz w:val="24"/>
          <w:szCs w:val="24"/>
        </w:rPr>
        <w:t>: 304-312 [PMID: 25331715]</w:t>
      </w:r>
    </w:p>
    <w:p w14:paraId="33A72CEA"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12 </w:t>
      </w:r>
      <w:r w:rsidRPr="00B918F9">
        <w:rPr>
          <w:rFonts w:ascii="Book Antiqua" w:hAnsi="Book Antiqua" w:cs="SimSun"/>
          <w:b/>
          <w:bCs/>
          <w:color w:val="000000"/>
          <w:sz w:val="24"/>
          <w:szCs w:val="24"/>
        </w:rPr>
        <w:t>Ben-Horin S</w:t>
      </w:r>
      <w:r w:rsidRPr="00B918F9">
        <w:rPr>
          <w:rFonts w:ascii="Book Antiqua" w:hAnsi="Book Antiqua" w:cs="SimSun"/>
          <w:color w:val="000000"/>
          <w:sz w:val="24"/>
          <w:szCs w:val="24"/>
        </w:rPr>
        <w:t>, Kopylov U, Chowers Y. Optimizing anti-TNF treatments in inflammatory bowel disease. </w:t>
      </w:r>
      <w:r w:rsidRPr="00B918F9">
        <w:rPr>
          <w:rFonts w:ascii="Book Antiqua" w:hAnsi="Book Antiqua" w:cs="SimSun"/>
          <w:i/>
          <w:iCs/>
          <w:color w:val="000000"/>
          <w:sz w:val="24"/>
          <w:szCs w:val="24"/>
        </w:rPr>
        <w:t>Autoimmun Rev</w:t>
      </w:r>
      <w:r w:rsidRPr="00B918F9">
        <w:rPr>
          <w:rFonts w:ascii="Book Antiqua" w:hAnsi="Book Antiqua" w:cs="SimSun"/>
          <w:color w:val="000000"/>
          <w:sz w:val="24"/>
          <w:szCs w:val="24"/>
        </w:rPr>
        <w:t> 2014; </w:t>
      </w:r>
      <w:r w:rsidRPr="00B918F9">
        <w:rPr>
          <w:rFonts w:ascii="Book Antiqua" w:hAnsi="Book Antiqua" w:cs="SimSun"/>
          <w:b/>
          <w:bCs/>
          <w:color w:val="000000"/>
          <w:sz w:val="24"/>
          <w:szCs w:val="24"/>
        </w:rPr>
        <w:t>13</w:t>
      </w:r>
      <w:r w:rsidRPr="00B918F9">
        <w:rPr>
          <w:rFonts w:ascii="Book Antiqua" w:hAnsi="Book Antiqua" w:cs="SimSun"/>
          <w:color w:val="000000"/>
          <w:sz w:val="24"/>
          <w:szCs w:val="24"/>
        </w:rPr>
        <w:t>: 24-30 [PMID: 23792214 DOI: 10.1016/j.autrev.2013.06.002]</w:t>
      </w:r>
    </w:p>
    <w:p w14:paraId="2F72CAE6"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13 </w:t>
      </w:r>
      <w:r w:rsidRPr="00B918F9">
        <w:rPr>
          <w:rFonts w:ascii="Book Antiqua" w:hAnsi="Book Antiqua" w:cs="SimSun"/>
          <w:b/>
          <w:bCs/>
          <w:color w:val="000000"/>
          <w:sz w:val="24"/>
          <w:szCs w:val="24"/>
        </w:rPr>
        <w:t>Ferrante M</w:t>
      </w:r>
      <w:r w:rsidRPr="00B918F9">
        <w:rPr>
          <w:rFonts w:ascii="Book Antiqua" w:hAnsi="Book Antiqua" w:cs="SimSun"/>
          <w:color w:val="000000"/>
          <w:sz w:val="24"/>
          <w:szCs w:val="24"/>
        </w:rPr>
        <w:t>, Vermeire S, Fidder H, Schnitzler F, Noman M, Van Assche G, De Hertogh G, Hoffman I, D'Hoore A, Van Steen K, Geboes K, Penninckx F, Rutgeerts P. Long-term outcome after infliximab for refractory ulcerative colitis. </w:t>
      </w:r>
      <w:r w:rsidRPr="00B918F9">
        <w:rPr>
          <w:rFonts w:ascii="Book Antiqua" w:hAnsi="Book Antiqua" w:cs="SimSun"/>
          <w:i/>
          <w:iCs/>
          <w:color w:val="000000"/>
          <w:sz w:val="24"/>
          <w:szCs w:val="24"/>
        </w:rPr>
        <w:t>J Crohns Colitis</w:t>
      </w:r>
      <w:r w:rsidRPr="00B918F9">
        <w:rPr>
          <w:rFonts w:ascii="Book Antiqua" w:hAnsi="Book Antiqua" w:cs="SimSun"/>
          <w:color w:val="000000"/>
          <w:sz w:val="24"/>
          <w:szCs w:val="24"/>
        </w:rPr>
        <w:t> 2008; </w:t>
      </w:r>
      <w:r w:rsidRPr="00B918F9">
        <w:rPr>
          <w:rFonts w:ascii="Book Antiqua" w:hAnsi="Book Antiqua" w:cs="SimSun"/>
          <w:b/>
          <w:bCs/>
          <w:color w:val="000000"/>
          <w:sz w:val="24"/>
          <w:szCs w:val="24"/>
        </w:rPr>
        <w:t>2</w:t>
      </w:r>
      <w:r w:rsidRPr="00B918F9">
        <w:rPr>
          <w:rFonts w:ascii="Book Antiqua" w:hAnsi="Book Antiqua" w:cs="SimSun"/>
          <w:color w:val="000000"/>
          <w:sz w:val="24"/>
          <w:szCs w:val="24"/>
        </w:rPr>
        <w:t>: 219-225 [PMID: 21172214 DOI: 10.1016/j.crohns.2008.03.004]</w:t>
      </w:r>
    </w:p>
    <w:p w14:paraId="61DEB4BE"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14 </w:t>
      </w:r>
      <w:r w:rsidRPr="00B918F9">
        <w:rPr>
          <w:rFonts w:ascii="Book Antiqua" w:hAnsi="Book Antiqua" w:cs="SimSun"/>
          <w:b/>
          <w:bCs/>
          <w:color w:val="000000"/>
          <w:sz w:val="24"/>
          <w:szCs w:val="24"/>
        </w:rPr>
        <w:t>Nancey S</w:t>
      </w:r>
      <w:r w:rsidRPr="00B918F9">
        <w:rPr>
          <w:rFonts w:ascii="Book Antiqua" w:hAnsi="Book Antiqua" w:cs="SimSun"/>
          <w:color w:val="000000"/>
          <w:sz w:val="24"/>
          <w:szCs w:val="24"/>
        </w:rPr>
        <w:t>, Roblin X. [Non-invasive follow up of patients with inflammatory bowel diseases]. </w:t>
      </w:r>
      <w:r w:rsidRPr="00B918F9">
        <w:rPr>
          <w:rFonts w:ascii="Book Antiqua" w:hAnsi="Book Antiqua" w:cs="SimSun"/>
          <w:i/>
          <w:iCs/>
          <w:color w:val="000000"/>
          <w:sz w:val="24"/>
          <w:szCs w:val="24"/>
        </w:rPr>
        <w:t>Rev Prat</w:t>
      </w:r>
      <w:r w:rsidRPr="00B918F9">
        <w:rPr>
          <w:rFonts w:ascii="Book Antiqua" w:hAnsi="Book Antiqua" w:cs="SimSun"/>
          <w:color w:val="000000"/>
          <w:sz w:val="24"/>
          <w:szCs w:val="24"/>
        </w:rPr>
        <w:t> 2014; </w:t>
      </w:r>
      <w:r w:rsidRPr="00B918F9">
        <w:rPr>
          <w:rFonts w:ascii="Book Antiqua" w:hAnsi="Book Antiqua" w:cs="SimSun"/>
          <w:b/>
          <w:bCs/>
          <w:color w:val="000000"/>
          <w:sz w:val="24"/>
          <w:szCs w:val="24"/>
        </w:rPr>
        <w:t>64</w:t>
      </w:r>
      <w:r w:rsidRPr="00B918F9">
        <w:rPr>
          <w:rFonts w:ascii="Book Antiqua" w:hAnsi="Book Antiqua" w:cs="SimSun"/>
          <w:color w:val="000000"/>
          <w:sz w:val="24"/>
          <w:szCs w:val="24"/>
        </w:rPr>
        <w:t>: 1256-1261 [PMID: 25638865]</w:t>
      </w:r>
    </w:p>
    <w:p w14:paraId="37C8B909"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15 </w:t>
      </w:r>
      <w:r w:rsidRPr="00B918F9">
        <w:rPr>
          <w:rFonts w:ascii="Book Antiqua" w:hAnsi="Book Antiqua" w:cs="SimSun"/>
          <w:b/>
          <w:bCs/>
          <w:color w:val="000000"/>
          <w:sz w:val="24"/>
          <w:szCs w:val="24"/>
        </w:rPr>
        <w:t>Evans WE</w:t>
      </w:r>
      <w:r w:rsidRPr="00B918F9">
        <w:rPr>
          <w:rFonts w:ascii="Book Antiqua" w:hAnsi="Book Antiqua" w:cs="SimSun"/>
          <w:color w:val="000000"/>
          <w:sz w:val="24"/>
          <w:szCs w:val="24"/>
        </w:rPr>
        <w:t>, McLeod HL. Pharmacogenomics--drug disposition, drug targets, and side effects. </w:t>
      </w:r>
      <w:r w:rsidRPr="00B918F9">
        <w:rPr>
          <w:rFonts w:ascii="Book Antiqua" w:hAnsi="Book Antiqua" w:cs="SimSun"/>
          <w:i/>
          <w:iCs/>
          <w:color w:val="000000"/>
          <w:sz w:val="24"/>
          <w:szCs w:val="24"/>
        </w:rPr>
        <w:t>N Engl J Med</w:t>
      </w:r>
      <w:r w:rsidRPr="00B918F9">
        <w:rPr>
          <w:rFonts w:ascii="Book Antiqua" w:hAnsi="Book Antiqua" w:cs="SimSun"/>
          <w:color w:val="000000"/>
          <w:sz w:val="24"/>
          <w:szCs w:val="24"/>
        </w:rPr>
        <w:t> 2003; </w:t>
      </w:r>
      <w:r w:rsidRPr="00B918F9">
        <w:rPr>
          <w:rFonts w:ascii="Book Antiqua" w:hAnsi="Book Antiqua" w:cs="SimSun"/>
          <w:b/>
          <w:bCs/>
          <w:color w:val="000000"/>
          <w:sz w:val="24"/>
          <w:szCs w:val="24"/>
        </w:rPr>
        <w:t>348</w:t>
      </w:r>
      <w:r w:rsidRPr="00B918F9">
        <w:rPr>
          <w:rFonts w:ascii="Book Antiqua" w:hAnsi="Book Antiqua" w:cs="SimSun"/>
          <w:color w:val="000000"/>
          <w:sz w:val="24"/>
          <w:szCs w:val="24"/>
        </w:rPr>
        <w:t>: 538-549 [PMID: 12571262 DOI: 10.1056/NEJMra020526]</w:t>
      </w:r>
    </w:p>
    <w:p w14:paraId="2A6F6A35"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lastRenderedPageBreak/>
        <w:t>16 </w:t>
      </w:r>
      <w:r w:rsidRPr="00B918F9">
        <w:rPr>
          <w:rFonts w:ascii="Book Antiqua" w:hAnsi="Book Antiqua" w:cs="SimSun"/>
          <w:b/>
          <w:bCs/>
          <w:color w:val="000000"/>
          <w:sz w:val="24"/>
          <w:szCs w:val="24"/>
        </w:rPr>
        <w:t>Sim E</w:t>
      </w:r>
      <w:r w:rsidRPr="00B918F9">
        <w:rPr>
          <w:rFonts w:ascii="Book Antiqua" w:hAnsi="Book Antiqua" w:cs="SimSun"/>
          <w:color w:val="000000"/>
          <w:sz w:val="24"/>
          <w:szCs w:val="24"/>
        </w:rPr>
        <w:t>, Lack N, Wang CJ, Long H, Westwood I, Fullam E, Kawamura A. Arylamine N-acetyltransferases: structural and functional implications of polymorphisms. </w:t>
      </w:r>
      <w:r w:rsidRPr="00B918F9">
        <w:rPr>
          <w:rFonts w:ascii="Book Antiqua" w:hAnsi="Book Antiqua" w:cs="SimSun"/>
          <w:i/>
          <w:iCs/>
          <w:color w:val="000000"/>
          <w:sz w:val="24"/>
          <w:szCs w:val="24"/>
        </w:rPr>
        <w:t>Toxicology</w:t>
      </w:r>
      <w:r w:rsidRPr="00B918F9">
        <w:rPr>
          <w:rFonts w:ascii="Book Antiqua" w:hAnsi="Book Antiqua" w:cs="SimSun"/>
          <w:color w:val="000000"/>
          <w:sz w:val="24"/>
          <w:szCs w:val="24"/>
        </w:rPr>
        <w:t> 2008; </w:t>
      </w:r>
      <w:r w:rsidRPr="00B918F9">
        <w:rPr>
          <w:rFonts w:ascii="Book Antiqua" w:hAnsi="Book Antiqua" w:cs="SimSun"/>
          <w:b/>
          <w:bCs/>
          <w:color w:val="000000"/>
          <w:sz w:val="24"/>
          <w:szCs w:val="24"/>
        </w:rPr>
        <w:t>254</w:t>
      </w:r>
      <w:r w:rsidRPr="00B918F9">
        <w:rPr>
          <w:rFonts w:ascii="Book Antiqua" w:hAnsi="Book Antiqua" w:cs="SimSun"/>
          <w:color w:val="000000"/>
          <w:sz w:val="24"/>
          <w:szCs w:val="24"/>
        </w:rPr>
        <w:t>: 170-183 [PMID: 18852012 DOI: 10.1016/j.tox.2008.08.022]</w:t>
      </w:r>
    </w:p>
    <w:p w14:paraId="0F4A483A"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17 </w:t>
      </w:r>
      <w:r w:rsidRPr="00B918F9">
        <w:rPr>
          <w:rFonts w:ascii="Book Antiqua" w:hAnsi="Book Antiqua" w:cs="SimSun"/>
          <w:b/>
          <w:bCs/>
          <w:color w:val="000000"/>
          <w:sz w:val="24"/>
          <w:szCs w:val="24"/>
        </w:rPr>
        <w:t>Chen M</w:t>
      </w:r>
      <w:r w:rsidRPr="00B918F9">
        <w:rPr>
          <w:rFonts w:ascii="Book Antiqua" w:hAnsi="Book Antiqua" w:cs="SimSun"/>
          <w:color w:val="000000"/>
          <w:sz w:val="24"/>
          <w:szCs w:val="24"/>
        </w:rPr>
        <w:t>, Xia B, Chen B, Guo Q, Li J, Ye M, Hu Z. N-acetyltransferase 2 slow acetylator genotype associated with adverse effects of sulphasalazine in the treatment of inflammatory bowel disease. </w:t>
      </w:r>
      <w:r w:rsidRPr="00B918F9">
        <w:rPr>
          <w:rFonts w:ascii="Book Antiqua" w:hAnsi="Book Antiqua" w:cs="SimSun"/>
          <w:i/>
          <w:iCs/>
          <w:color w:val="000000"/>
          <w:sz w:val="24"/>
          <w:szCs w:val="24"/>
        </w:rPr>
        <w:t>Can J Gastroenterol</w:t>
      </w:r>
      <w:r w:rsidRPr="00B918F9">
        <w:rPr>
          <w:rFonts w:ascii="Book Antiqua" w:hAnsi="Book Antiqua" w:cs="SimSun"/>
          <w:color w:val="000000"/>
          <w:sz w:val="24"/>
          <w:szCs w:val="24"/>
        </w:rPr>
        <w:t> 2007; </w:t>
      </w:r>
      <w:r w:rsidRPr="00B918F9">
        <w:rPr>
          <w:rFonts w:ascii="Book Antiqua" w:hAnsi="Book Antiqua" w:cs="SimSun"/>
          <w:b/>
          <w:bCs/>
          <w:color w:val="000000"/>
          <w:sz w:val="24"/>
          <w:szCs w:val="24"/>
        </w:rPr>
        <w:t>21</w:t>
      </w:r>
      <w:r w:rsidRPr="00B918F9">
        <w:rPr>
          <w:rFonts w:ascii="Book Antiqua" w:hAnsi="Book Antiqua" w:cs="SimSun"/>
          <w:color w:val="000000"/>
          <w:sz w:val="24"/>
          <w:szCs w:val="24"/>
        </w:rPr>
        <w:t>: 155-158 [PMID: 17377643]</w:t>
      </w:r>
    </w:p>
    <w:p w14:paraId="2FC18BCC"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18 </w:t>
      </w:r>
      <w:r w:rsidRPr="00B918F9">
        <w:rPr>
          <w:rFonts w:ascii="Book Antiqua" w:hAnsi="Book Antiqua" w:cs="SimSun"/>
          <w:b/>
          <w:bCs/>
          <w:color w:val="000000"/>
          <w:sz w:val="24"/>
          <w:szCs w:val="24"/>
        </w:rPr>
        <w:t>Faubion WA</w:t>
      </w:r>
      <w:r w:rsidRPr="00B918F9">
        <w:rPr>
          <w:rFonts w:ascii="Book Antiqua" w:hAnsi="Book Antiqua" w:cs="SimSun"/>
          <w:color w:val="000000"/>
          <w:sz w:val="24"/>
          <w:szCs w:val="24"/>
        </w:rPr>
        <w:t>, Loftus EV, Harmsen WS, Zinsmeister AR, Sandborn WJ. The natural history of corticosteroid therapy for inflammatory bowel disease: a population-based study. </w:t>
      </w:r>
      <w:r w:rsidRPr="00B918F9">
        <w:rPr>
          <w:rFonts w:ascii="Book Antiqua" w:hAnsi="Book Antiqua" w:cs="SimSun"/>
          <w:i/>
          <w:iCs/>
          <w:color w:val="000000"/>
          <w:sz w:val="24"/>
          <w:szCs w:val="24"/>
        </w:rPr>
        <w:t>Gastroenterology</w:t>
      </w:r>
      <w:r w:rsidRPr="00B918F9">
        <w:rPr>
          <w:rFonts w:ascii="Book Antiqua" w:hAnsi="Book Antiqua" w:cs="SimSun"/>
          <w:color w:val="000000"/>
          <w:sz w:val="24"/>
          <w:szCs w:val="24"/>
        </w:rPr>
        <w:t> 2001; </w:t>
      </w:r>
      <w:r w:rsidRPr="00B918F9">
        <w:rPr>
          <w:rFonts w:ascii="Book Antiqua" w:hAnsi="Book Antiqua" w:cs="SimSun"/>
          <w:b/>
          <w:bCs/>
          <w:color w:val="000000"/>
          <w:sz w:val="24"/>
          <w:szCs w:val="24"/>
        </w:rPr>
        <w:t>121</w:t>
      </w:r>
      <w:r w:rsidRPr="00B918F9">
        <w:rPr>
          <w:rFonts w:ascii="Book Antiqua" w:hAnsi="Book Antiqua" w:cs="SimSun"/>
          <w:color w:val="000000"/>
          <w:sz w:val="24"/>
          <w:szCs w:val="24"/>
        </w:rPr>
        <w:t>: 255-260 [PMID: 11487534 DOI: 10.1053/gast.2001.26279]</w:t>
      </w:r>
    </w:p>
    <w:p w14:paraId="2F1CE9D3"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19 </w:t>
      </w:r>
      <w:r w:rsidRPr="00B918F9">
        <w:rPr>
          <w:rFonts w:ascii="Book Antiqua" w:hAnsi="Book Antiqua" w:cs="SimSun"/>
          <w:b/>
          <w:bCs/>
          <w:color w:val="000000"/>
          <w:sz w:val="24"/>
          <w:szCs w:val="24"/>
        </w:rPr>
        <w:t>Munkholm P</w:t>
      </w:r>
      <w:r w:rsidRPr="00B918F9">
        <w:rPr>
          <w:rFonts w:ascii="Book Antiqua" w:hAnsi="Book Antiqua" w:cs="SimSun"/>
          <w:color w:val="000000"/>
          <w:sz w:val="24"/>
          <w:szCs w:val="24"/>
        </w:rPr>
        <w:t>, Langholz E, Davidsen M, Binder V. Frequency of glucocorticoid resistance and dependency in Crohn's disease. </w:t>
      </w:r>
      <w:r w:rsidRPr="00B918F9">
        <w:rPr>
          <w:rFonts w:ascii="Book Antiqua" w:hAnsi="Book Antiqua" w:cs="SimSun"/>
          <w:i/>
          <w:iCs/>
          <w:color w:val="000000"/>
          <w:sz w:val="24"/>
          <w:szCs w:val="24"/>
        </w:rPr>
        <w:t>Gut</w:t>
      </w:r>
      <w:r w:rsidRPr="00B918F9">
        <w:rPr>
          <w:rFonts w:ascii="Book Antiqua" w:hAnsi="Book Antiqua" w:cs="SimSun"/>
          <w:color w:val="000000"/>
          <w:sz w:val="24"/>
          <w:szCs w:val="24"/>
        </w:rPr>
        <w:t> 1994; </w:t>
      </w:r>
      <w:r w:rsidRPr="00B918F9">
        <w:rPr>
          <w:rFonts w:ascii="Book Antiqua" w:hAnsi="Book Antiqua" w:cs="SimSun"/>
          <w:b/>
          <w:bCs/>
          <w:color w:val="000000"/>
          <w:sz w:val="24"/>
          <w:szCs w:val="24"/>
        </w:rPr>
        <w:t>35</w:t>
      </w:r>
      <w:r w:rsidRPr="00B918F9">
        <w:rPr>
          <w:rFonts w:ascii="Book Antiqua" w:hAnsi="Book Antiqua" w:cs="SimSun"/>
          <w:color w:val="000000"/>
          <w:sz w:val="24"/>
          <w:szCs w:val="24"/>
        </w:rPr>
        <w:t>: 360-362 [PMID: 8150347 DOI: 10.1136/gut.35.3.360]</w:t>
      </w:r>
    </w:p>
    <w:p w14:paraId="03431FE5"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20 </w:t>
      </w:r>
      <w:r w:rsidRPr="00B918F9">
        <w:rPr>
          <w:rFonts w:ascii="Book Antiqua" w:hAnsi="Book Antiqua" w:cs="SimSun"/>
          <w:b/>
          <w:bCs/>
          <w:color w:val="000000"/>
          <w:sz w:val="24"/>
          <w:szCs w:val="24"/>
        </w:rPr>
        <w:t>Reinisch W</w:t>
      </w:r>
      <w:r w:rsidRPr="00B918F9">
        <w:rPr>
          <w:rFonts w:ascii="Book Antiqua" w:hAnsi="Book Antiqua" w:cs="SimSun"/>
          <w:color w:val="000000"/>
          <w:sz w:val="24"/>
          <w:szCs w:val="24"/>
        </w:rPr>
        <w:t>, Gasché C, Wyatt J, Moser G, Lochs H, Vogelsang H, Gangl A. Steroid dependency in Crohn's disease. </w:t>
      </w:r>
      <w:r w:rsidRPr="00B918F9">
        <w:rPr>
          <w:rFonts w:ascii="Book Antiqua" w:hAnsi="Book Antiqua" w:cs="SimSun"/>
          <w:i/>
          <w:iCs/>
          <w:color w:val="000000"/>
          <w:sz w:val="24"/>
          <w:szCs w:val="24"/>
        </w:rPr>
        <w:t>Lancet</w:t>
      </w:r>
      <w:r w:rsidRPr="00B918F9">
        <w:rPr>
          <w:rFonts w:ascii="Book Antiqua" w:hAnsi="Book Antiqua" w:cs="SimSun"/>
          <w:color w:val="000000"/>
          <w:sz w:val="24"/>
          <w:szCs w:val="24"/>
        </w:rPr>
        <w:t> 1995; </w:t>
      </w:r>
      <w:r w:rsidRPr="00B918F9">
        <w:rPr>
          <w:rFonts w:ascii="Book Antiqua" w:hAnsi="Book Antiqua" w:cs="SimSun"/>
          <w:b/>
          <w:bCs/>
          <w:color w:val="000000"/>
          <w:sz w:val="24"/>
          <w:szCs w:val="24"/>
        </w:rPr>
        <w:t>345</w:t>
      </w:r>
      <w:r w:rsidRPr="00B918F9">
        <w:rPr>
          <w:rFonts w:ascii="Book Antiqua" w:hAnsi="Book Antiqua" w:cs="SimSun"/>
          <w:color w:val="000000"/>
          <w:sz w:val="24"/>
          <w:szCs w:val="24"/>
        </w:rPr>
        <w:t>: 859 [PMID: 7898245 DOI: 10.1016/S0140-6736(95)92995-9]</w:t>
      </w:r>
    </w:p>
    <w:p w14:paraId="412B384F"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21 </w:t>
      </w:r>
      <w:r w:rsidRPr="00B918F9">
        <w:rPr>
          <w:rFonts w:ascii="Book Antiqua" w:hAnsi="Book Antiqua" w:cs="SimSun"/>
          <w:b/>
          <w:bCs/>
          <w:color w:val="000000"/>
          <w:sz w:val="24"/>
          <w:szCs w:val="24"/>
        </w:rPr>
        <w:t>Farrell RJ</w:t>
      </w:r>
      <w:r w:rsidRPr="00B918F9">
        <w:rPr>
          <w:rFonts w:ascii="Book Antiqua" w:hAnsi="Book Antiqua" w:cs="SimSun"/>
          <w:color w:val="000000"/>
          <w:sz w:val="24"/>
          <w:szCs w:val="24"/>
        </w:rPr>
        <w:t>, Kelleher D. Glucocorticoid resistance in inflammatory bowel disease. </w:t>
      </w:r>
      <w:r w:rsidRPr="00B918F9">
        <w:rPr>
          <w:rFonts w:ascii="Book Antiqua" w:hAnsi="Book Antiqua" w:cs="SimSun"/>
          <w:i/>
          <w:iCs/>
          <w:color w:val="000000"/>
          <w:sz w:val="24"/>
          <w:szCs w:val="24"/>
        </w:rPr>
        <w:t>J Endocrinol</w:t>
      </w:r>
      <w:r w:rsidRPr="00B918F9">
        <w:rPr>
          <w:rFonts w:ascii="Book Antiqua" w:hAnsi="Book Antiqua" w:cs="SimSun"/>
          <w:color w:val="000000"/>
          <w:sz w:val="24"/>
          <w:szCs w:val="24"/>
        </w:rPr>
        <w:t> 2003; </w:t>
      </w:r>
      <w:r w:rsidRPr="00B918F9">
        <w:rPr>
          <w:rFonts w:ascii="Book Antiqua" w:hAnsi="Book Antiqua" w:cs="SimSun"/>
          <w:b/>
          <w:bCs/>
          <w:color w:val="000000"/>
          <w:sz w:val="24"/>
          <w:szCs w:val="24"/>
        </w:rPr>
        <w:t>178</w:t>
      </w:r>
      <w:r w:rsidRPr="00B918F9">
        <w:rPr>
          <w:rFonts w:ascii="Book Antiqua" w:hAnsi="Book Antiqua" w:cs="SimSun"/>
          <w:color w:val="000000"/>
          <w:sz w:val="24"/>
          <w:szCs w:val="24"/>
        </w:rPr>
        <w:t>: 339-346 [PMID: 12967327 DOI: 10.1677/joe.0.1780339]</w:t>
      </w:r>
    </w:p>
    <w:p w14:paraId="321BF74F"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22 </w:t>
      </w:r>
      <w:r w:rsidRPr="00B918F9">
        <w:rPr>
          <w:rFonts w:ascii="Book Antiqua" w:hAnsi="Book Antiqua" w:cs="SimSun"/>
          <w:b/>
          <w:bCs/>
          <w:color w:val="000000"/>
          <w:sz w:val="24"/>
          <w:szCs w:val="24"/>
        </w:rPr>
        <w:t>Farrell RJ</w:t>
      </w:r>
      <w:r w:rsidRPr="00B918F9">
        <w:rPr>
          <w:rFonts w:ascii="Book Antiqua" w:hAnsi="Book Antiqua" w:cs="SimSun"/>
          <w:color w:val="000000"/>
          <w:sz w:val="24"/>
          <w:szCs w:val="24"/>
        </w:rPr>
        <w:t>, Murphy A, Long A, Donnelly S, Cherikuri A, O'Toole D, Mahmud N, Keeling PW, Weir DG, Kelleher D. High multidrug resistance (P-glycoprotein 170) expression in inflammatory bowel disease patients who fail medical therapy. </w:t>
      </w:r>
      <w:r w:rsidRPr="00B918F9">
        <w:rPr>
          <w:rFonts w:ascii="Book Antiqua" w:hAnsi="Book Antiqua" w:cs="SimSun"/>
          <w:i/>
          <w:iCs/>
          <w:color w:val="000000"/>
          <w:sz w:val="24"/>
          <w:szCs w:val="24"/>
        </w:rPr>
        <w:t>Gastroenterology</w:t>
      </w:r>
      <w:r w:rsidRPr="00B918F9">
        <w:rPr>
          <w:rFonts w:ascii="Book Antiqua" w:hAnsi="Book Antiqua" w:cs="SimSun"/>
          <w:color w:val="000000"/>
          <w:sz w:val="24"/>
          <w:szCs w:val="24"/>
        </w:rPr>
        <w:t> 2000; </w:t>
      </w:r>
      <w:r w:rsidRPr="00B918F9">
        <w:rPr>
          <w:rFonts w:ascii="Book Antiqua" w:hAnsi="Book Antiqua" w:cs="SimSun"/>
          <w:b/>
          <w:bCs/>
          <w:color w:val="000000"/>
          <w:sz w:val="24"/>
          <w:szCs w:val="24"/>
        </w:rPr>
        <w:t>118</w:t>
      </w:r>
      <w:r w:rsidRPr="00B918F9">
        <w:rPr>
          <w:rFonts w:ascii="Book Antiqua" w:hAnsi="Book Antiqua" w:cs="SimSun"/>
          <w:color w:val="000000"/>
          <w:sz w:val="24"/>
          <w:szCs w:val="24"/>
        </w:rPr>
        <w:t>: 279-288 [PMID: 10648456 DOI: 10.1016/S0016-5085(00)70210-1]</w:t>
      </w:r>
    </w:p>
    <w:p w14:paraId="75EB5C8D"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23 </w:t>
      </w:r>
      <w:r w:rsidRPr="00B918F9">
        <w:rPr>
          <w:rFonts w:ascii="Book Antiqua" w:hAnsi="Book Antiqua" w:cs="SimSun"/>
          <w:b/>
          <w:bCs/>
          <w:color w:val="000000"/>
          <w:sz w:val="24"/>
          <w:szCs w:val="24"/>
        </w:rPr>
        <w:t>Onnie CM</w:t>
      </w:r>
      <w:r w:rsidRPr="00B918F9">
        <w:rPr>
          <w:rFonts w:ascii="Book Antiqua" w:hAnsi="Book Antiqua" w:cs="SimSun"/>
          <w:color w:val="000000"/>
          <w:sz w:val="24"/>
          <w:szCs w:val="24"/>
        </w:rPr>
        <w:t>, Fisher SA, Pattni R, Sanderson J, Forbes A, Lewis CM, Mathew CG. Associations of allelic variants of the multidrug resistance gene (ABCB1 or MDR1) and inflammatory bowel disease and their effects on disease behavior: a case-control and meta-analysis study. </w:t>
      </w:r>
      <w:r w:rsidRPr="00B918F9">
        <w:rPr>
          <w:rFonts w:ascii="Book Antiqua" w:hAnsi="Book Antiqua" w:cs="SimSun"/>
          <w:i/>
          <w:iCs/>
          <w:color w:val="000000"/>
          <w:sz w:val="24"/>
          <w:szCs w:val="24"/>
        </w:rPr>
        <w:t>Inflamm Bowel Dis</w:t>
      </w:r>
      <w:r w:rsidRPr="00B918F9">
        <w:rPr>
          <w:rFonts w:ascii="Book Antiqua" w:hAnsi="Book Antiqua" w:cs="SimSun"/>
          <w:color w:val="000000"/>
          <w:sz w:val="24"/>
          <w:szCs w:val="24"/>
        </w:rPr>
        <w:t> 2006; </w:t>
      </w:r>
      <w:r w:rsidRPr="00B918F9">
        <w:rPr>
          <w:rFonts w:ascii="Book Antiqua" w:hAnsi="Book Antiqua" w:cs="SimSun"/>
          <w:b/>
          <w:bCs/>
          <w:color w:val="000000"/>
          <w:sz w:val="24"/>
          <w:szCs w:val="24"/>
        </w:rPr>
        <w:t>12</w:t>
      </w:r>
      <w:r w:rsidRPr="00B918F9">
        <w:rPr>
          <w:rFonts w:ascii="Book Antiqua" w:hAnsi="Book Antiqua" w:cs="SimSun"/>
          <w:color w:val="000000"/>
          <w:sz w:val="24"/>
          <w:szCs w:val="24"/>
        </w:rPr>
        <w:t>: 263-271 [PMID: 16633048 DOI: 10.1097/01.MIB.0000209791.98866.ba]</w:t>
      </w:r>
    </w:p>
    <w:p w14:paraId="614A78AB"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lastRenderedPageBreak/>
        <w:t>24 </w:t>
      </w:r>
      <w:r w:rsidRPr="00B918F9">
        <w:rPr>
          <w:rFonts w:ascii="Book Antiqua" w:hAnsi="Book Antiqua" w:cs="SimSun"/>
          <w:b/>
          <w:bCs/>
          <w:color w:val="000000"/>
          <w:sz w:val="24"/>
          <w:szCs w:val="24"/>
        </w:rPr>
        <w:t>Smith MA</w:t>
      </w:r>
      <w:r w:rsidRPr="00B918F9">
        <w:rPr>
          <w:rFonts w:ascii="Book Antiqua" w:hAnsi="Book Antiqua" w:cs="SimSun"/>
          <w:color w:val="000000"/>
          <w:sz w:val="24"/>
          <w:szCs w:val="24"/>
        </w:rPr>
        <w:t>, Marinaki AM, Sanderson JD. Pharmacogenomics in the treatment of inflammatory bowel disease. </w:t>
      </w:r>
      <w:r w:rsidRPr="00B918F9">
        <w:rPr>
          <w:rFonts w:ascii="Book Antiqua" w:hAnsi="Book Antiqua" w:cs="SimSun"/>
          <w:i/>
          <w:iCs/>
          <w:color w:val="000000"/>
          <w:sz w:val="24"/>
          <w:szCs w:val="24"/>
        </w:rPr>
        <w:t>Pharmacogenomics</w:t>
      </w:r>
      <w:r w:rsidRPr="00B918F9">
        <w:rPr>
          <w:rFonts w:ascii="Book Antiqua" w:hAnsi="Book Antiqua" w:cs="SimSun"/>
          <w:color w:val="000000"/>
          <w:sz w:val="24"/>
          <w:szCs w:val="24"/>
        </w:rPr>
        <w:t> 2010; </w:t>
      </w:r>
      <w:r w:rsidRPr="00B918F9">
        <w:rPr>
          <w:rFonts w:ascii="Book Antiqua" w:hAnsi="Book Antiqua" w:cs="SimSun"/>
          <w:b/>
          <w:bCs/>
          <w:color w:val="000000"/>
          <w:sz w:val="24"/>
          <w:szCs w:val="24"/>
        </w:rPr>
        <w:t>11</w:t>
      </w:r>
      <w:r w:rsidRPr="00B918F9">
        <w:rPr>
          <w:rFonts w:ascii="Book Antiqua" w:hAnsi="Book Antiqua" w:cs="SimSun"/>
          <w:color w:val="000000"/>
          <w:sz w:val="24"/>
          <w:szCs w:val="24"/>
        </w:rPr>
        <w:t>: 421-437 [PMID: 20235796 DOI: 10.2217/pgs.10.4]</w:t>
      </w:r>
    </w:p>
    <w:p w14:paraId="01042419"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25 </w:t>
      </w:r>
      <w:r w:rsidRPr="00B918F9">
        <w:rPr>
          <w:rFonts w:ascii="Book Antiqua" w:hAnsi="Book Antiqua" w:cs="SimSun"/>
          <w:b/>
          <w:bCs/>
          <w:color w:val="000000"/>
          <w:sz w:val="24"/>
          <w:szCs w:val="24"/>
        </w:rPr>
        <w:t>De Iudicibus S</w:t>
      </w:r>
      <w:r w:rsidRPr="00B918F9">
        <w:rPr>
          <w:rFonts w:ascii="Book Antiqua" w:hAnsi="Book Antiqua" w:cs="SimSun"/>
          <w:color w:val="000000"/>
          <w:sz w:val="24"/>
          <w:szCs w:val="24"/>
        </w:rPr>
        <w:t>, Stocco G, Martelossi S, Drigo I, Norbedo S, Lionetti P, Pozzi E, Barabino A, Decorti G, Bartoli F, Ventura A. Association of BclI polymorphism of the glucocorticoid receptor gene locus with response to glucocorticoids in inflammatory bowel disease. </w:t>
      </w:r>
      <w:r w:rsidRPr="00B918F9">
        <w:rPr>
          <w:rFonts w:ascii="Book Antiqua" w:hAnsi="Book Antiqua" w:cs="SimSun"/>
          <w:i/>
          <w:iCs/>
          <w:color w:val="000000"/>
          <w:sz w:val="24"/>
          <w:szCs w:val="24"/>
        </w:rPr>
        <w:t>Gut</w:t>
      </w:r>
      <w:r w:rsidRPr="00B918F9">
        <w:rPr>
          <w:rFonts w:ascii="Book Antiqua" w:hAnsi="Book Antiqua" w:cs="SimSun"/>
          <w:color w:val="000000"/>
          <w:sz w:val="24"/>
          <w:szCs w:val="24"/>
        </w:rPr>
        <w:t> 2007; </w:t>
      </w:r>
      <w:r w:rsidRPr="00B918F9">
        <w:rPr>
          <w:rFonts w:ascii="Book Antiqua" w:hAnsi="Book Antiqua" w:cs="SimSun"/>
          <w:b/>
          <w:bCs/>
          <w:color w:val="000000"/>
          <w:sz w:val="24"/>
          <w:szCs w:val="24"/>
        </w:rPr>
        <w:t>56</w:t>
      </w:r>
      <w:r w:rsidRPr="00B918F9">
        <w:rPr>
          <w:rFonts w:ascii="Book Antiqua" w:hAnsi="Book Antiqua" w:cs="SimSun"/>
          <w:color w:val="000000"/>
          <w:sz w:val="24"/>
          <w:szCs w:val="24"/>
        </w:rPr>
        <w:t>: 1319-1320 [PMID: 17698869 DOI: 10.1136/gut.2006.116160]</w:t>
      </w:r>
    </w:p>
    <w:p w14:paraId="16E97CBF"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26 </w:t>
      </w:r>
      <w:r w:rsidRPr="00B918F9">
        <w:rPr>
          <w:rFonts w:ascii="Book Antiqua" w:hAnsi="Book Antiqua" w:cs="SimSun"/>
          <w:b/>
          <w:bCs/>
          <w:color w:val="000000"/>
          <w:sz w:val="24"/>
          <w:szCs w:val="24"/>
        </w:rPr>
        <w:t>van Rossum EF</w:t>
      </w:r>
      <w:r w:rsidRPr="00B918F9">
        <w:rPr>
          <w:rFonts w:ascii="Book Antiqua" w:hAnsi="Book Antiqua" w:cs="SimSun"/>
          <w:color w:val="000000"/>
          <w:sz w:val="24"/>
          <w:szCs w:val="24"/>
        </w:rPr>
        <w:t>, Koper JW, Huizenga NA, Uitterlinden AG, Janssen JA, Brinkmann AO, Grobbee DE, de Jong FH, van Duyn CM, Pols HA, Lamberts SW. A polymorphism in the glucocorticoid receptor gene, which decreases sensitivity to glucocorticoids in vivo, is associated with low insulin and cholesterol levels. </w:t>
      </w:r>
      <w:r w:rsidRPr="00B918F9">
        <w:rPr>
          <w:rFonts w:ascii="Book Antiqua" w:hAnsi="Book Antiqua" w:cs="SimSun"/>
          <w:i/>
          <w:iCs/>
          <w:color w:val="000000"/>
          <w:sz w:val="24"/>
          <w:szCs w:val="24"/>
        </w:rPr>
        <w:t>Diabetes</w:t>
      </w:r>
      <w:r w:rsidRPr="00B918F9">
        <w:rPr>
          <w:rFonts w:ascii="Book Antiqua" w:hAnsi="Book Antiqua" w:cs="SimSun"/>
          <w:color w:val="000000"/>
          <w:sz w:val="24"/>
          <w:szCs w:val="24"/>
        </w:rPr>
        <w:t> 2002; </w:t>
      </w:r>
      <w:r w:rsidRPr="00B918F9">
        <w:rPr>
          <w:rFonts w:ascii="Book Antiqua" w:hAnsi="Book Antiqua" w:cs="SimSun"/>
          <w:b/>
          <w:bCs/>
          <w:color w:val="000000"/>
          <w:sz w:val="24"/>
          <w:szCs w:val="24"/>
        </w:rPr>
        <w:t>51</w:t>
      </w:r>
      <w:r w:rsidRPr="00B918F9">
        <w:rPr>
          <w:rFonts w:ascii="Book Antiqua" w:hAnsi="Book Antiqua" w:cs="SimSun"/>
          <w:color w:val="000000"/>
          <w:sz w:val="24"/>
          <w:szCs w:val="24"/>
        </w:rPr>
        <w:t>: 3128-3134 [PMID: 12351458 DOI: 10.2337/diabetes.51.10.3128]</w:t>
      </w:r>
    </w:p>
    <w:p w14:paraId="16635E91"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27 </w:t>
      </w:r>
      <w:r w:rsidRPr="00B918F9">
        <w:rPr>
          <w:rFonts w:ascii="Book Antiqua" w:hAnsi="Book Antiqua" w:cs="SimSun"/>
          <w:b/>
          <w:bCs/>
          <w:color w:val="000000"/>
          <w:sz w:val="24"/>
          <w:szCs w:val="24"/>
        </w:rPr>
        <w:t>Derijks LJ</w:t>
      </w:r>
      <w:r w:rsidRPr="00B918F9">
        <w:rPr>
          <w:rFonts w:ascii="Book Antiqua" w:hAnsi="Book Antiqua" w:cs="SimSun"/>
          <w:color w:val="000000"/>
          <w:sz w:val="24"/>
          <w:szCs w:val="24"/>
        </w:rPr>
        <w:t>, Wong DR. Pharmacogenetics of thiopurines in inflammatory bowel disease. </w:t>
      </w:r>
      <w:r w:rsidRPr="00B918F9">
        <w:rPr>
          <w:rFonts w:ascii="Book Antiqua" w:hAnsi="Book Antiqua" w:cs="SimSun"/>
          <w:i/>
          <w:iCs/>
          <w:color w:val="000000"/>
          <w:sz w:val="24"/>
          <w:szCs w:val="24"/>
        </w:rPr>
        <w:t>Curr Pharm Des</w:t>
      </w:r>
      <w:r w:rsidRPr="00B918F9">
        <w:rPr>
          <w:rFonts w:ascii="Book Antiqua" w:hAnsi="Book Antiqua" w:cs="SimSun"/>
          <w:color w:val="000000"/>
          <w:sz w:val="24"/>
          <w:szCs w:val="24"/>
        </w:rPr>
        <w:t> 2010; </w:t>
      </w:r>
      <w:r w:rsidRPr="00B918F9">
        <w:rPr>
          <w:rFonts w:ascii="Book Antiqua" w:hAnsi="Book Antiqua" w:cs="SimSun"/>
          <w:b/>
          <w:bCs/>
          <w:color w:val="000000"/>
          <w:sz w:val="24"/>
          <w:szCs w:val="24"/>
        </w:rPr>
        <w:t>16</w:t>
      </w:r>
      <w:r w:rsidRPr="00B918F9">
        <w:rPr>
          <w:rFonts w:ascii="Book Antiqua" w:hAnsi="Book Antiqua" w:cs="SimSun"/>
          <w:color w:val="000000"/>
          <w:sz w:val="24"/>
          <w:szCs w:val="24"/>
        </w:rPr>
        <w:t>: 145-154 [PMID: 20205660 DOI: 10.2174/138161210790112773]</w:t>
      </w:r>
    </w:p>
    <w:p w14:paraId="7D2FA1F9"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28 </w:t>
      </w:r>
      <w:r w:rsidRPr="00B918F9">
        <w:rPr>
          <w:rFonts w:ascii="Book Antiqua" w:hAnsi="Book Antiqua" w:cs="SimSun"/>
          <w:b/>
          <w:bCs/>
          <w:color w:val="000000"/>
          <w:sz w:val="24"/>
          <w:szCs w:val="24"/>
        </w:rPr>
        <w:t>Van Asseldonk DP</w:t>
      </w:r>
      <w:r w:rsidRPr="00B918F9">
        <w:rPr>
          <w:rFonts w:ascii="Book Antiqua" w:hAnsi="Book Antiqua" w:cs="SimSun"/>
          <w:color w:val="000000"/>
          <w:sz w:val="24"/>
          <w:szCs w:val="24"/>
        </w:rPr>
        <w:t>, de Boer NK, Peters GJ, Veldkamp AI, Mulder CJ, Van Bodegraven AA. On therapeutic drug monitoring of thiopurines in inflammatory bowel disease; pharmacology, pharmacogenomics, drug intolerance and clinical relevance. </w:t>
      </w:r>
      <w:r w:rsidRPr="00B918F9">
        <w:rPr>
          <w:rFonts w:ascii="Book Antiqua" w:hAnsi="Book Antiqua" w:cs="SimSun"/>
          <w:i/>
          <w:iCs/>
          <w:color w:val="000000"/>
          <w:sz w:val="24"/>
          <w:szCs w:val="24"/>
        </w:rPr>
        <w:t>Curr Drug Metab</w:t>
      </w:r>
      <w:r w:rsidRPr="00B918F9">
        <w:rPr>
          <w:rFonts w:ascii="Book Antiqua" w:hAnsi="Book Antiqua" w:cs="SimSun"/>
          <w:color w:val="000000"/>
          <w:sz w:val="24"/>
          <w:szCs w:val="24"/>
        </w:rPr>
        <w:t> 2009; </w:t>
      </w:r>
      <w:r w:rsidRPr="00B918F9">
        <w:rPr>
          <w:rFonts w:ascii="Book Antiqua" w:hAnsi="Book Antiqua" w:cs="SimSun"/>
          <w:b/>
          <w:bCs/>
          <w:color w:val="000000"/>
          <w:sz w:val="24"/>
          <w:szCs w:val="24"/>
        </w:rPr>
        <w:t>10</w:t>
      </w:r>
      <w:r w:rsidRPr="00B918F9">
        <w:rPr>
          <w:rFonts w:ascii="Book Antiqua" w:hAnsi="Book Antiqua" w:cs="SimSun"/>
          <w:color w:val="000000"/>
          <w:sz w:val="24"/>
          <w:szCs w:val="24"/>
        </w:rPr>
        <w:t>: 981-997 [PMID: 20214590 DOI: 10.2174/138920009790711887]</w:t>
      </w:r>
    </w:p>
    <w:p w14:paraId="2765C5FB"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29 </w:t>
      </w:r>
      <w:r w:rsidRPr="00B918F9">
        <w:rPr>
          <w:rFonts w:ascii="Book Antiqua" w:hAnsi="Book Antiqua" w:cs="SimSun"/>
          <w:b/>
          <w:bCs/>
          <w:color w:val="000000"/>
          <w:sz w:val="24"/>
          <w:szCs w:val="24"/>
        </w:rPr>
        <w:t>Priest VL</w:t>
      </w:r>
      <w:r w:rsidRPr="00B918F9">
        <w:rPr>
          <w:rFonts w:ascii="Book Antiqua" w:hAnsi="Book Antiqua" w:cs="SimSun"/>
          <w:color w:val="000000"/>
          <w:sz w:val="24"/>
          <w:szCs w:val="24"/>
        </w:rPr>
        <w:t>, Begg EJ, Gardiner SJ, Frampton CM, Gearry RB, Barclay ML, Clark DW, Hansen P. Pharmacoeconomic analyses of azathioprine, methotrexate and prospective pharmacogenetic testing for the management of inflammatory bowel disease. </w:t>
      </w:r>
      <w:r w:rsidRPr="00B918F9">
        <w:rPr>
          <w:rFonts w:ascii="Book Antiqua" w:hAnsi="Book Antiqua" w:cs="SimSun"/>
          <w:i/>
          <w:iCs/>
          <w:color w:val="000000"/>
          <w:sz w:val="24"/>
          <w:szCs w:val="24"/>
        </w:rPr>
        <w:t>Pharmacoeconomics</w:t>
      </w:r>
      <w:r w:rsidRPr="00B918F9">
        <w:rPr>
          <w:rFonts w:ascii="Book Antiqua" w:hAnsi="Book Antiqua" w:cs="SimSun"/>
          <w:color w:val="000000"/>
          <w:sz w:val="24"/>
          <w:szCs w:val="24"/>
        </w:rPr>
        <w:t> 2006; </w:t>
      </w:r>
      <w:r w:rsidRPr="00B918F9">
        <w:rPr>
          <w:rFonts w:ascii="Book Antiqua" w:hAnsi="Book Antiqua" w:cs="SimSun"/>
          <w:b/>
          <w:bCs/>
          <w:color w:val="000000"/>
          <w:sz w:val="24"/>
          <w:szCs w:val="24"/>
        </w:rPr>
        <w:t>24</w:t>
      </w:r>
      <w:r w:rsidRPr="00B918F9">
        <w:rPr>
          <w:rFonts w:ascii="Book Antiqua" w:hAnsi="Book Antiqua" w:cs="SimSun"/>
          <w:color w:val="000000"/>
          <w:sz w:val="24"/>
          <w:szCs w:val="24"/>
        </w:rPr>
        <w:t>: 767-781 [PMID: 16898847 DOI: 10.2165/00019053-200624080-00004]</w:t>
      </w:r>
    </w:p>
    <w:p w14:paraId="0668FB4A"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30 </w:t>
      </w:r>
      <w:r w:rsidRPr="00B918F9">
        <w:rPr>
          <w:rFonts w:ascii="Book Antiqua" w:hAnsi="Book Antiqua" w:cs="SimSun"/>
          <w:b/>
          <w:bCs/>
          <w:color w:val="000000"/>
          <w:sz w:val="24"/>
          <w:szCs w:val="24"/>
        </w:rPr>
        <w:t>Winter J</w:t>
      </w:r>
      <w:r w:rsidRPr="00B918F9">
        <w:rPr>
          <w:rFonts w:ascii="Book Antiqua" w:hAnsi="Book Antiqua" w:cs="SimSun"/>
          <w:color w:val="000000"/>
          <w:sz w:val="24"/>
          <w:szCs w:val="24"/>
        </w:rPr>
        <w:t xml:space="preserve">, Walker A, Shapiro D, Gaffney D, Spooner RJ, Mills PR. Cost-effectiveness of thiopurine methyltransferase genotype screening in patients about to commence azathioprine therapy for treatment of inflammatory bowel </w:t>
      </w:r>
      <w:r w:rsidRPr="00B918F9">
        <w:rPr>
          <w:rFonts w:ascii="Book Antiqua" w:hAnsi="Book Antiqua" w:cs="SimSun"/>
          <w:color w:val="000000"/>
          <w:sz w:val="24"/>
          <w:szCs w:val="24"/>
        </w:rPr>
        <w:lastRenderedPageBreak/>
        <w:t>disease. </w:t>
      </w:r>
      <w:r w:rsidRPr="00B918F9">
        <w:rPr>
          <w:rFonts w:ascii="Book Antiqua" w:hAnsi="Book Antiqua" w:cs="SimSun"/>
          <w:i/>
          <w:iCs/>
          <w:color w:val="000000"/>
          <w:sz w:val="24"/>
          <w:szCs w:val="24"/>
        </w:rPr>
        <w:t>Aliment Pharmacol Ther</w:t>
      </w:r>
      <w:r w:rsidRPr="00B918F9">
        <w:rPr>
          <w:rFonts w:ascii="Book Antiqua" w:hAnsi="Book Antiqua" w:cs="SimSun"/>
          <w:color w:val="000000"/>
          <w:sz w:val="24"/>
          <w:szCs w:val="24"/>
        </w:rPr>
        <w:t> 2004; </w:t>
      </w:r>
      <w:r w:rsidRPr="00B918F9">
        <w:rPr>
          <w:rFonts w:ascii="Book Antiqua" w:hAnsi="Book Antiqua" w:cs="SimSun"/>
          <w:b/>
          <w:bCs/>
          <w:color w:val="000000"/>
          <w:sz w:val="24"/>
          <w:szCs w:val="24"/>
        </w:rPr>
        <w:t>20</w:t>
      </w:r>
      <w:r w:rsidRPr="00B918F9">
        <w:rPr>
          <w:rFonts w:ascii="Book Antiqua" w:hAnsi="Book Antiqua" w:cs="SimSun"/>
          <w:color w:val="000000"/>
          <w:sz w:val="24"/>
          <w:szCs w:val="24"/>
        </w:rPr>
        <w:t>: 593-599 [PMID: 15352906 DOI: 10.1111/j.1365-2036.2004.02124.x]</w:t>
      </w:r>
    </w:p>
    <w:p w14:paraId="047CF5D7"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31 </w:t>
      </w:r>
      <w:r w:rsidRPr="00B918F9">
        <w:rPr>
          <w:rFonts w:ascii="Book Antiqua" w:hAnsi="Book Antiqua" w:cs="SimSun"/>
          <w:b/>
          <w:bCs/>
          <w:color w:val="000000"/>
          <w:sz w:val="24"/>
          <w:szCs w:val="24"/>
        </w:rPr>
        <w:t>Guerciolini R</w:t>
      </w:r>
      <w:r w:rsidRPr="00B918F9">
        <w:rPr>
          <w:rFonts w:ascii="Book Antiqua" w:hAnsi="Book Antiqua" w:cs="SimSun"/>
          <w:color w:val="000000"/>
          <w:sz w:val="24"/>
          <w:szCs w:val="24"/>
        </w:rPr>
        <w:t>, Szumlanski C, Weinshilboum RM. Human liver xanthine oxidase: nature and extent of individual variation. </w:t>
      </w:r>
      <w:r w:rsidRPr="00B918F9">
        <w:rPr>
          <w:rFonts w:ascii="Book Antiqua" w:hAnsi="Book Antiqua" w:cs="SimSun"/>
          <w:i/>
          <w:iCs/>
          <w:color w:val="000000"/>
          <w:sz w:val="24"/>
          <w:szCs w:val="24"/>
        </w:rPr>
        <w:t>Clin Pharmacol Ther</w:t>
      </w:r>
      <w:r w:rsidRPr="00B918F9">
        <w:rPr>
          <w:rFonts w:ascii="Book Antiqua" w:hAnsi="Book Antiqua" w:cs="SimSun"/>
          <w:color w:val="000000"/>
          <w:sz w:val="24"/>
          <w:szCs w:val="24"/>
        </w:rPr>
        <w:t> 1991; </w:t>
      </w:r>
      <w:r w:rsidRPr="00B918F9">
        <w:rPr>
          <w:rFonts w:ascii="Book Antiqua" w:hAnsi="Book Antiqua" w:cs="SimSun"/>
          <w:b/>
          <w:bCs/>
          <w:color w:val="000000"/>
          <w:sz w:val="24"/>
          <w:szCs w:val="24"/>
        </w:rPr>
        <w:t>50</w:t>
      </w:r>
      <w:r w:rsidRPr="00B918F9">
        <w:rPr>
          <w:rFonts w:ascii="Book Antiqua" w:hAnsi="Book Antiqua" w:cs="SimSun"/>
          <w:color w:val="000000"/>
          <w:sz w:val="24"/>
          <w:szCs w:val="24"/>
        </w:rPr>
        <w:t>: 663-672 [PMID: 1752110 DOI: 10.1038/clpt.1991.205]</w:t>
      </w:r>
    </w:p>
    <w:p w14:paraId="48EFF62C"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32 </w:t>
      </w:r>
      <w:r w:rsidRPr="00B918F9">
        <w:rPr>
          <w:rFonts w:ascii="Book Antiqua" w:hAnsi="Book Antiqua" w:cs="SimSun"/>
          <w:b/>
          <w:bCs/>
          <w:color w:val="000000"/>
          <w:sz w:val="24"/>
          <w:szCs w:val="24"/>
        </w:rPr>
        <w:t>Relling MV</w:t>
      </w:r>
      <w:r w:rsidRPr="00B918F9">
        <w:rPr>
          <w:rFonts w:ascii="Book Antiqua" w:hAnsi="Book Antiqua" w:cs="SimSun"/>
          <w:color w:val="000000"/>
          <w:sz w:val="24"/>
          <w:szCs w:val="24"/>
        </w:rPr>
        <w:t>, Lin JS, Ayers GD, Evans WE. Racial and gender differences in N-acetyltransferase, xanthine oxidase, and CYP1A2 activities. </w:t>
      </w:r>
      <w:r w:rsidRPr="00B918F9">
        <w:rPr>
          <w:rFonts w:ascii="Book Antiqua" w:hAnsi="Book Antiqua" w:cs="SimSun"/>
          <w:i/>
          <w:iCs/>
          <w:color w:val="000000"/>
          <w:sz w:val="24"/>
          <w:szCs w:val="24"/>
        </w:rPr>
        <w:t>Clin Pharmacol Ther</w:t>
      </w:r>
      <w:r w:rsidRPr="00B918F9">
        <w:rPr>
          <w:rFonts w:ascii="Book Antiqua" w:hAnsi="Book Antiqua" w:cs="SimSun"/>
          <w:color w:val="000000"/>
          <w:sz w:val="24"/>
          <w:szCs w:val="24"/>
        </w:rPr>
        <w:t> 1992; </w:t>
      </w:r>
      <w:r w:rsidRPr="00B918F9">
        <w:rPr>
          <w:rFonts w:ascii="Book Antiqua" w:hAnsi="Book Antiqua" w:cs="SimSun"/>
          <w:b/>
          <w:bCs/>
          <w:color w:val="000000"/>
          <w:sz w:val="24"/>
          <w:szCs w:val="24"/>
        </w:rPr>
        <w:t>52</w:t>
      </w:r>
      <w:r w:rsidRPr="00B918F9">
        <w:rPr>
          <w:rFonts w:ascii="Book Antiqua" w:hAnsi="Book Antiqua" w:cs="SimSun"/>
          <w:color w:val="000000"/>
          <w:sz w:val="24"/>
          <w:szCs w:val="24"/>
        </w:rPr>
        <w:t>: 643-658 [PMID: 1458773 DOI: 10.1038/clpt.1992.203]</w:t>
      </w:r>
    </w:p>
    <w:p w14:paraId="38C3D13F"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33 </w:t>
      </w:r>
      <w:r w:rsidRPr="00B918F9">
        <w:rPr>
          <w:rFonts w:ascii="Book Antiqua" w:hAnsi="Book Antiqua" w:cs="SimSun"/>
          <w:b/>
          <w:bCs/>
          <w:color w:val="000000"/>
          <w:sz w:val="24"/>
          <w:szCs w:val="24"/>
        </w:rPr>
        <w:t>Kudo M</w:t>
      </w:r>
      <w:r w:rsidRPr="00B918F9">
        <w:rPr>
          <w:rFonts w:ascii="Book Antiqua" w:hAnsi="Book Antiqua" w:cs="SimSun"/>
          <w:color w:val="000000"/>
          <w:sz w:val="24"/>
          <w:szCs w:val="24"/>
        </w:rPr>
        <w:t>, Moteki T, Sasaki T, Konno Y, Ujiie S, Onose A, Mizugaki M, Ishikawa M, Hiratsuka M. Functional characterization of human xanthine oxidase allelic variants. </w:t>
      </w:r>
      <w:r w:rsidRPr="00B918F9">
        <w:rPr>
          <w:rFonts w:ascii="Book Antiqua" w:hAnsi="Book Antiqua" w:cs="SimSun"/>
          <w:i/>
          <w:iCs/>
          <w:color w:val="000000"/>
          <w:sz w:val="24"/>
          <w:szCs w:val="24"/>
        </w:rPr>
        <w:t>Pharmacogenet Genomics</w:t>
      </w:r>
      <w:r w:rsidRPr="00B918F9">
        <w:rPr>
          <w:rFonts w:ascii="Book Antiqua" w:hAnsi="Book Antiqua" w:cs="SimSun"/>
          <w:color w:val="000000"/>
          <w:sz w:val="24"/>
          <w:szCs w:val="24"/>
        </w:rPr>
        <w:t> 2008; </w:t>
      </w:r>
      <w:r w:rsidRPr="00B918F9">
        <w:rPr>
          <w:rFonts w:ascii="Book Antiqua" w:hAnsi="Book Antiqua" w:cs="SimSun"/>
          <w:b/>
          <w:bCs/>
          <w:color w:val="000000"/>
          <w:sz w:val="24"/>
          <w:szCs w:val="24"/>
        </w:rPr>
        <w:t>18</w:t>
      </w:r>
      <w:r w:rsidRPr="00B918F9">
        <w:rPr>
          <w:rFonts w:ascii="Book Antiqua" w:hAnsi="Book Antiqua" w:cs="SimSun"/>
          <w:color w:val="000000"/>
          <w:sz w:val="24"/>
          <w:szCs w:val="24"/>
        </w:rPr>
        <w:t>: 243-251 [PMID: 18300946 DOI: 10.1097/FPC.0b013e3282f55e2e]</w:t>
      </w:r>
    </w:p>
    <w:p w14:paraId="4B3F40DE"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34 </w:t>
      </w:r>
      <w:r w:rsidRPr="00B918F9">
        <w:rPr>
          <w:rFonts w:ascii="Book Antiqua" w:hAnsi="Book Antiqua" w:cs="SimSun"/>
          <w:b/>
          <w:bCs/>
          <w:color w:val="000000"/>
          <w:sz w:val="24"/>
          <w:szCs w:val="24"/>
        </w:rPr>
        <w:t>Marinaki AM</w:t>
      </w:r>
      <w:r w:rsidRPr="00B918F9">
        <w:rPr>
          <w:rFonts w:ascii="Book Antiqua" w:hAnsi="Book Antiqua" w:cs="SimSun"/>
          <w:color w:val="000000"/>
          <w:sz w:val="24"/>
          <w:szCs w:val="24"/>
        </w:rPr>
        <w:t>, Ansari A, Duley JA, Arenas M, Sumi S, Lewis CM, Shobowale-Bakre el-M, Escuredo E, Fairbanks LD, Sanderson JD. Adverse drug reactions to azathioprine therapy are associated with polymorphism in the gene encoding inosine triphosphate pyrophosphatase (ITPase). </w:t>
      </w:r>
      <w:r w:rsidRPr="00B918F9">
        <w:rPr>
          <w:rFonts w:ascii="Book Antiqua" w:hAnsi="Book Antiqua" w:cs="SimSun"/>
          <w:i/>
          <w:iCs/>
          <w:color w:val="000000"/>
          <w:sz w:val="24"/>
          <w:szCs w:val="24"/>
        </w:rPr>
        <w:t>Pharmacogenetics</w:t>
      </w:r>
      <w:r w:rsidRPr="00B918F9">
        <w:rPr>
          <w:rFonts w:ascii="Book Antiqua" w:hAnsi="Book Antiqua" w:cs="SimSun"/>
          <w:color w:val="000000"/>
          <w:sz w:val="24"/>
          <w:szCs w:val="24"/>
        </w:rPr>
        <w:t> 2004; </w:t>
      </w:r>
      <w:r w:rsidRPr="00B918F9">
        <w:rPr>
          <w:rFonts w:ascii="Book Antiqua" w:hAnsi="Book Antiqua" w:cs="SimSun"/>
          <w:b/>
          <w:bCs/>
          <w:color w:val="000000"/>
          <w:sz w:val="24"/>
          <w:szCs w:val="24"/>
        </w:rPr>
        <w:t>14</w:t>
      </w:r>
      <w:r w:rsidRPr="00B918F9">
        <w:rPr>
          <w:rFonts w:ascii="Book Antiqua" w:hAnsi="Book Antiqua" w:cs="SimSun"/>
          <w:color w:val="000000"/>
          <w:sz w:val="24"/>
          <w:szCs w:val="24"/>
        </w:rPr>
        <w:t>: 181-187 [PMID: 15167706 DOI: 10.1097/00008571-200403000-00006]</w:t>
      </w:r>
    </w:p>
    <w:p w14:paraId="54A85C77"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35 </w:t>
      </w:r>
      <w:r w:rsidRPr="00B918F9">
        <w:rPr>
          <w:rFonts w:ascii="Book Antiqua" w:hAnsi="Book Antiqua" w:cs="SimSun"/>
          <w:b/>
          <w:bCs/>
          <w:color w:val="000000"/>
          <w:sz w:val="24"/>
          <w:szCs w:val="24"/>
        </w:rPr>
        <w:t>Allorge D</w:t>
      </w:r>
      <w:r w:rsidRPr="00B918F9">
        <w:rPr>
          <w:rFonts w:ascii="Book Antiqua" w:hAnsi="Book Antiqua" w:cs="SimSun"/>
          <w:color w:val="000000"/>
          <w:sz w:val="24"/>
          <w:szCs w:val="24"/>
        </w:rPr>
        <w:t>, Hamdan R, Broly F, Libersa C, Colombel JF. ITPA genotyping test does not improve detection of Crohn's disease patients at risk of azathioprine/6-mercaptopurine induced myelosuppression. </w:t>
      </w:r>
      <w:r w:rsidRPr="00B918F9">
        <w:rPr>
          <w:rFonts w:ascii="Book Antiqua" w:hAnsi="Book Antiqua" w:cs="SimSun"/>
          <w:i/>
          <w:iCs/>
          <w:color w:val="000000"/>
          <w:sz w:val="24"/>
          <w:szCs w:val="24"/>
        </w:rPr>
        <w:t>Gut</w:t>
      </w:r>
      <w:r w:rsidRPr="00B918F9">
        <w:rPr>
          <w:rFonts w:ascii="Book Antiqua" w:hAnsi="Book Antiqua" w:cs="SimSun"/>
          <w:color w:val="000000"/>
          <w:sz w:val="24"/>
          <w:szCs w:val="24"/>
        </w:rPr>
        <w:t> 2005; </w:t>
      </w:r>
      <w:r w:rsidRPr="00B918F9">
        <w:rPr>
          <w:rFonts w:ascii="Book Antiqua" w:hAnsi="Book Antiqua" w:cs="SimSun"/>
          <w:b/>
          <w:bCs/>
          <w:color w:val="000000"/>
          <w:sz w:val="24"/>
          <w:szCs w:val="24"/>
        </w:rPr>
        <w:t>54</w:t>
      </w:r>
      <w:r w:rsidRPr="00B918F9">
        <w:rPr>
          <w:rFonts w:ascii="Book Antiqua" w:hAnsi="Book Antiqua" w:cs="SimSun"/>
          <w:color w:val="000000"/>
          <w:sz w:val="24"/>
          <w:szCs w:val="24"/>
        </w:rPr>
        <w:t>: 565 [PMID: 15753546 DOI: 10.1136/gut.2004.055947]</w:t>
      </w:r>
    </w:p>
    <w:p w14:paraId="59F01693"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36 </w:t>
      </w:r>
      <w:r w:rsidRPr="00B918F9">
        <w:rPr>
          <w:rFonts w:ascii="Book Antiqua" w:hAnsi="Book Antiqua" w:cs="SimSun"/>
          <w:b/>
          <w:bCs/>
          <w:color w:val="000000"/>
          <w:sz w:val="24"/>
          <w:szCs w:val="24"/>
        </w:rPr>
        <w:t>Gearry RB</w:t>
      </w:r>
      <w:r w:rsidRPr="00B918F9">
        <w:rPr>
          <w:rFonts w:ascii="Book Antiqua" w:hAnsi="Book Antiqua" w:cs="SimSun"/>
          <w:color w:val="000000"/>
          <w:sz w:val="24"/>
          <w:szCs w:val="24"/>
        </w:rPr>
        <w:t>, Roberts RL, Barclay ML, Kennedy MA. Lack of association between the ITPA 94C&amp; gt; A polymorphism and adverse effects from azathioprine. </w:t>
      </w:r>
      <w:r w:rsidRPr="00B918F9">
        <w:rPr>
          <w:rFonts w:ascii="Book Antiqua" w:hAnsi="Book Antiqua" w:cs="SimSun"/>
          <w:i/>
          <w:iCs/>
          <w:color w:val="000000"/>
          <w:sz w:val="24"/>
          <w:szCs w:val="24"/>
        </w:rPr>
        <w:t>Pharmacogenetics</w:t>
      </w:r>
      <w:r w:rsidRPr="00B918F9">
        <w:rPr>
          <w:rFonts w:ascii="Book Antiqua" w:hAnsi="Book Antiqua" w:cs="SimSun"/>
          <w:color w:val="000000"/>
          <w:sz w:val="24"/>
          <w:szCs w:val="24"/>
        </w:rPr>
        <w:t> 2004; </w:t>
      </w:r>
      <w:r w:rsidRPr="00B918F9">
        <w:rPr>
          <w:rFonts w:ascii="Book Antiqua" w:hAnsi="Book Antiqua" w:cs="SimSun"/>
          <w:b/>
          <w:bCs/>
          <w:color w:val="000000"/>
          <w:sz w:val="24"/>
          <w:szCs w:val="24"/>
        </w:rPr>
        <w:t>14</w:t>
      </w:r>
      <w:r w:rsidRPr="00B918F9">
        <w:rPr>
          <w:rFonts w:ascii="Book Antiqua" w:hAnsi="Book Antiqua" w:cs="SimSun"/>
          <w:color w:val="000000"/>
          <w:sz w:val="24"/>
          <w:szCs w:val="24"/>
        </w:rPr>
        <w:t>: 779-781 [PMID: 15564886 DOI: 10.1097/00008571-200411000-00010]</w:t>
      </w:r>
    </w:p>
    <w:p w14:paraId="6A9EDAF8"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37 </w:t>
      </w:r>
      <w:r w:rsidRPr="00B918F9">
        <w:rPr>
          <w:rFonts w:ascii="Book Antiqua" w:hAnsi="Book Antiqua" w:cs="SimSun"/>
          <w:b/>
          <w:bCs/>
          <w:color w:val="000000"/>
          <w:sz w:val="24"/>
          <w:szCs w:val="24"/>
        </w:rPr>
        <w:t>De Ridder L</w:t>
      </w:r>
      <w:r w:rsidRPr="00B918F9">
        <w:rPr>
          <w:rFonts w:ascii="Book Antiqua" w:hAnsi="Book Antiqua" w:cs="SimSun"/>
          <w:color w:val="000000"/>
          <w:sz w:val="24"/>
          <w:szCs w:val="24"/>
        </w:rPr>
        <w:t>, Van Dieren JM, Van Deventer HJ, Stokkers PC, Van der Woude JC, Van Vuuren AJ, Benninga MA, Escher JC, Hommes DW. Pharmacogenetics of thiopurine therapy in paediatric IBD patients. </w:t>
      </w:r>
      <w:r w:rsidRPr="00B918F9">
        <w:rPr>
          <w:rFonts w:ascii="Book Antiqua" w:hAnsi="Book Antiqua" w:cs="SimSun"/>
          <w:i/>
          <w:iCs/>
          <w:color w:val="000000"/>
          <w:sz w:val="24"/>
          <w:szCs w:val="24"/>
        </w:rPr>
        <w:t>Aliment Pharmacol Ther</w:t>
      </w:r>
      <w:r w:rsidRPr="00B918F9">
        <w:rPr>
          <w:rFonts w:ascii="Book Antiqua" w:hAnsi="Book Antiqua" w:cs="SimSun"/>
          <w:color w:val="000000"/>
          <w:sz w:val="24"/>
          <w:szCs w:val="24"/>
        </w:rPr>
        <w:t> 2006; </w:t>
      </w:r>
      <w:r w:rsidRPr="00B918F9">
        <w:rPr>
          <w:rFonts w:ascii="Book Antiqua" w:hAnsi="Book Antiqua" w:cs="SimSun"/>
          <w:b/>
          <w:bCs/>
          <w:color w:val="000000"/>
          <w:sz w:val="24"/>
          <w:szCs w:val="24"/>
        </w:rPr>
        <w:t>23</w:t>
      </w:r>
      <w:r w:rsidRPr="00B918F9">
        <w:rPr>
          <w:rFonts w:ascii="Book Antiqua" w:hAnsi="Book Antiqua" w:cs="SimSun"/>
          <w:color w:val="000000"/>
          <w:sz w:val="24"/>
          <w:szCs w:val="24"/>
        </w:rPr>
        <w:t>: 1137-1141 [PMID: 16611274 DOI: 10.1111/j.1365-2036.2006.02853.x]</w:t>
      </w:r>
    </w:p>
    <w:p w14:paraId="6B434691"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lastRenderedPageBreak/>
        <w:t>38 </w:t>
      </w:r>
      <w:r w:rsidRPr="00B918F9">
        <w:rPr>
          <w:rFonts w:ascii="Book Antiqua" w:hAnsi="Book Antiqua" w:cs="SimSun"/>
          <w:b/>
          <w:bCs/>
          <w:color w:val="000000"/>
          <w:sz w:val="24"/>
          <w:szCs w:val="24"/>
        </w:rPr>
        <w:t>Hindorf U</w:t>
      </w:r>
      <w:r w:rsidRPr="00B918F9">
        <w:rPr>
          <w:rFonts w:ascii="Book Antiqua" w:hAnsi="Book Antiqua" w:cs="SimSun"/>
          <w:color w:val="000000"/>
          <w:sz w:val="24"/>
          <w:szCs w:val="24"/>
        </w:rPr>
        <w:t>, Lindqvist M, Peterson C, Söderkvist P, Ström M, Hjortswang H, Pousette A, Almer S. Pharmacogenetics during standardised initiation of thiopurine treatment in inflammatory bowel disease. </w:t>
      </w:r>
      <w:r w:rsidRPr="00B918F9">
        <w:rPr>
          <w:rFonts w:ascii="Book Antiqua" w:hAnsi="Book Antiqua" w:cs="SimSun"/>
          <w:i/>
          <w:iCs/>
          <w:color w:val="000000"/>
          <w:sz w:val="24"/>
          <w:szCs w:val="24"/>
        </w:rPr>
        <w:t>Gut</w:t>
      </w:r>
      <w:r w:rsidRPr="00B918F9">
        <w:rPr>
          <w:rFonts w:ascii="Book Antiqua" w:hAnsi="Book Antiqua" w:cs="SimSun"/>
          <w:color w:val="000000"/>
          <w:sz w:val="24"/>
          <w:szCs w:val="24"/>
        </w:rPr>
        <w:t> 2006; </w:t>
      </w:r>
      <w:r w:rsidRPr="00B918F9">
        <w:rPr>
          <w:rFonts w:ascii="Book Antiqua" w:hAnsi="Book Antiqua" w:cs="SimSun"/>
          <w:b/>
          <w:bCs/>
          <w:color w:val="000000"/>
          <w:sz w:val="24"/>
          <w:szCs w:val="24"/>
        </w:rPr>
        <w:t>55</w:t>
      </w:r>
      <w:r w:rsidRPr="00B918F9">
        <w:rPr>
          <w:rFonts w:ascii="Book Antiqua" w:hAnsi="Book Antiqua" w:cs="SimSun"/>
          <w:color w:val="000000"/>
          <w:sz w:val="24"/>
          <w:szCs w:val="24"/>
        </w:rPr>
        <w:t>: 1423-1431 [PMID: 16543290 DOI: 10.1136/gut.2005.074930]</w:t>
      </w:r>
    </w:p>
    <w:p w14:paraId="0EF706CA"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39 </w:t>
      </w:r>
      <w:r w:rsidRPr="00B918F9">
        <w:rPr>
          <w:rFonts w:ascii="Book Antiqua" w:hAnsi="Book Antiqua" w:cs="SimSun"/>
          <w:b/>
          <w:bCs/>
          <w:color w:val="000000"/>
          <w:sz w:val="24"/>
          <w:szCs w:val="24"/>
        </w:rPr>
        <w:t>von Ahsen N</w:t>
      </w:r>
      <w:r w:rsidRPr="00B918F9">
        <w:rPr>
          <w:rFonts w:ascii="Book Antiqua" w:hAnsi="Book Antiqua" w:cs="SimSun"/>
          <w:color w:val="000000"/>
          <w:sz w:val="24"/>
          <w:szCs w:val="24"/>
        </w:rPr>
        <w:t>, Armstrong VW, Behrens C, von Tirpitz C, Stallmach A, Herfarth H, Stein J, Bias P, Adler G, Shipkova M, Oellerich M, Kruis W, Reinshagen M, Schütz E. Association of inosine triphosphatase 94C&amp; gt; A and thiopurine S-methyltransferase deficiency with adverse events and study drop-outs under azathioprine therapy in a prospective Crohn disease study. </w:t>
      </w:r>
      <w:r w:rsidRPr="00B918F9">
        <w:rPr>
          <w:rFonts w:ascii="Book Antiqua" w:hAnsi="Book Antiqua" w:cs="SimSun"/>
          <w:i/>
          <w:iCs/>
          <w:color w:val="000000"/>
          <w:sz w:val="24"/>
          <w:szCs w:val="24"/>
        </w:rPr>
        <w:t>Clin Chem</w:t>
      </w:r>
      <w:r w:rsidRPr="00B918F9">
        <w:rPr>
          <w:rFonts w:ascii="Book Antiqua" w:hAnsi="Book Antiqua" w:cs="SimSun"/>
          <w:color w:val="000000"/>
          <w:sz w:val="24"/>
          <w:szCs w:val="24"/>
        </w:rPr>
        <w:t> 2005; </w:t>
      </w:r>
      <w:r w:rsidRPr="00B918F9">
        <w:rPr>
          <w:rFonts w:ascii="Book Antiqua" w:hAnsi="Book Antiqua" w:cs="SimSun"/>
          <w:b/>
          <w:bCs/>
          <w:color w:val="000000"/>
          <w:sz w:val="24"/>
          <w:szCs w:val="24"/>
        </w:rPr>
        <w:t>51</w:t>
      </w:r>
      <w:r w:rsidRPr="00B918F9">
        <w:rPr>
          <w:rFonts w:ascii="Book Antiqua" w:hAnsi="Book Antiqua" w:cs="SimSun"/>
          <w:color w:val="000000"/>
          <w:sz w:val="24"/>
          <w:szCs w:val="24"/>
        </w:rPr>
        <w:t>: 2282-2288 [PMID: 16214825 DOI: 10.1373/clinchem.2005.057158]</w:t>
      </w:r>
    </w:p>
    <w:p w14:paraId="35CC2C41"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40 </w:t>
      </w:r>
      <w:r w:rsidRPr="00B918F9">
        <w:rPr>
          <w:rFonts w:ascii="Book Antiqua" w:hAnsi="Book Antiqua" w:cs="SimSun"/>
          <w:b/>
          <w:bCs/>
          <w:color w:val="000000"/>
          <w:sz w:val="24"/>
          <w:szCs w:val="24"/>
        </w:rPr>
        <w:t>Ansari A</w:t>
      </w:r>
      <w:r w:rsidRPr="00B918F9">
        <w:rPr>
          <w:rFonts w:ascii="Book Antiqua" w:hAnsi="Book Antiqua" w:cs="SimSun"/>
          <w:color w:val="000000"/>
          <w:sz w:val="24"/>
          <w:szCs w:val="24"/>
        </w:rPr>
        <w:t>, Arenas M, Greenfield SM, Morris D, Lindsay J, Gilshenan K, Smith M, Lewis C, Marinaki A, Duley J, Sanderson J. Prospective evaluation of the pharmacogenetics of azathioprine in the treatment of inflammatory bowel disease. </w:t>
      </w:r>
      <w:r w:rsidRPr="00B918F9">
        <w:rPr>
          <w:rFonts w:ascii="Book Antiqua" w:hAnsi="Book Antiqua" w:cs="SimSun"/>
          <w:i/>
          <w:iCs/>
          <w:color w:val="000000"/>
          <w:sz w:val="24"/>
          <w:szCs w:val="24"/>
        </w:rPr>
        <w:t>Aliment Pharmacol Ther</w:t>
      </w:r>
      <w:r w:rsidRPr="00B918F9">
        <w:rPr>
          <w:rFonts w:ascii="Book Antiqua" w:hAnsi="Book Antiqua" w:cs="SimSun"/>
          <w:color w:val="000000"/>
          <w:sz w:val="24"/>
          <w:szCs w:val="24"/>
        </w:rPr>
        <w:t> 2008; </w:t>
      </w:r>
      <w:r w:rsidRPr="00B918F9">
        <w:rPr>
          <w:rFonts w:ascii="Book Antiqua" w:hAnsi="Book Antiqua" w:cs="SimSun"/>
          <w:b/>
          <w:bCs/>
          <w:color w:val="000000"/>
          <w:sz w:val="24"/>
          <w:szCs w:val="24"/>
        </w:rPr>
        <w:t>28</w:t>
      </w:r>
      <w:r w:rsidRPr="00B918F9">
        <w:rPr>
          <w:rFonts w:ascii="Book Antiqua" w:hAnsi="Book Antiqua" w:cs="SimSun"/>
          <w:color w:val="000000"/>
          <w:sz w:val="24"/>
          <w:szCs w:val="24"/>
        </w:rPr>
        <w:t>: 973-983 [PMID: 18616518 DOI: 10.1111/j.1365-2036.2008.03788.x]</w:t>
      </w:r>
    </w:p>
    <w:p w14:paraId="74CA8E48"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41 </w:t>
      </w:r>
      <w:r w:rsidRPr="00B918F9">
        <w:rPr>
          <w:rFonts w:ascii="Book Antiqua" w:hAnsi="Book Antiqua" w:cs="SimSun"/>
          <w:b/>
          <w:bCs/>
          <w:color w:val="000000"/>
          <w:sz w:val="24"/>
          <w:szCs w:val="24"/>
        </w:rPr>
        <w:t>van Dieren JM</w:t>
      </w:r>
      <w:r w:rsidRPr="00B918F9">
        <w:rPr>
          <w:rFonts w:ascii="Book Antiqua" w:hAnsi="Book Antiqua" w:cs="SimSun"/>
          <w:color w:val="000000"/>
          <w:sz w:val="24"/>
          <w:szCs w:val="24"/>
        </w:rPr>
        <w:t>, van Vuuren AJ, Kusters JG, Nieuwenhuis EE, Kuipers EJ, van der Woude CJ. ITPA genotyping is not predictive for the development of side effects in AZA treated inflammatory bowel disease patients. </w:t>
      </w:r>
      <w:r w:rsidRPr="00B918F9">
        <w:rPr>
          <w:rFonts w:ascii="Book Antiqua" w:hAnsi="Book Antiqua" w:cs="SimSun"/>
          <w:i/>
          <w:iCs/>
          <w:color w:val="000000"/>
          <w:sz w:val="24"/>
          <w:szCs w:val="24"/>
        </w:rPr>
        <w:t>Gut</w:t>
      </w:r>
      <w:r w:rsidRPr="00B918F9">
        <w:rPr>
          <w:rFonts w:ascii="Book Antiqua" w:hAnsi="Book Antiqua" w:cs="SimSun"/>
          <w:color w:val="000000"/>
          <w:sz w:val="24"/>
          <w:szCs w:val="24"/>
        </w:rPr>
        <w:t> 2005; </w:t>
      </w:r>
      <w:r w:rsidRPr="00B918F9">
        <w:rPr>
          <w:rFonts w:ascii="Book Antiqua" w:hAnsi="Book Antiqua" w:cs="SimSun"/>
          <w:b/>
          <w:bCs/>
          <w:color w:val="000000"/>
          <w:sz w:val="24"/>
          <w:szCs w:val="24"/>
        </w:rPr>
        <w:t>54</w:t>
      </w:r>
      <w:r w:rsidRPr="00B918F9">
        <w:rPr>
          <w:rFonts w:ascii="Book Antiqua" w:hAnsi="Book Antiqua" w:cs="SimSun"/>
          <w:color w:val="000000"/>
          <w:sz w:val="24"/>
          <w:szCs w:val="24"/>
        </w:rPr>
        <w:t>: 1664 [PMID: 16227370]</w:t>
      </w:r>
    </w:p>
    <w:p w14:paraId="19C143BD"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42 </w:t>
      </w:r>
      <w:r w:rsidRPr="00B918F9">
        <w:rPr>
          <w:rFonts w:ascii="Book Antiqua" w:hAnsi="Book Antiqua" w:cs="SimSun"/>
          <w:b/>
          <w:bCs/>
          <w:color w:val="000000"/>
          <w:sz w:val="24"/>
          <w:szCs w:val="24"/>
        </w:rPr>
        <w:t>Zelinkova Z</w:t>
      </w:r>
      <w:r w:rsidRPr="00B918F9">
        <w:rPr>
          <w:rFonts w:ascii="Book Antiqua" w:hAnsi="Book Antiqua" w:cs="SimSun"/>
          <w:color w:val="000000"/>
          <w:sz w:val="24"/>
          <w:szCs w:val="24"/>
        </w:rPr>
        <w:t>, Derijks LJ, Stokkers PC, Vogels EW, van Kampen AH, Curvers WL, Cohn D, van Deventer SJ, Hommes DW. Inosine triphosphate pyrophosphatase and thiopurine s-methyltransferase genotypes relationship to azathioprine-induced myelosuppression. </w:t>
      </w:r>
      <w:r w:rsidRPr="00B918F9">
        <w:rPr>
          <w:rFonts w:ascii="Book Antiqua" w:hAnsi="Book Antiqua" w:cs="SimSun"/>
          <w:i/>
          <w:iCs/>
          <w:color w:val="000000"/>
          <w:sz w:val="24"/>
          <w:szCs w:val="24"/>
        </w:rPr>
        <w:t>Clin Gastroenterol Hepatol</w:t>
      </w:r>
      <w:r w:rsidRPr="00B918F9">
        <w:rPr>
          <w:rFonts w:ascii="Book Antiqua" w:hAnsi="Book Antiqua" w:cs="SimSun"/>
          <w:color w:val="000000"/>
          <w:sz w:val="24"/>
          <w:szCs w:val="24"/>
        </w:rPr>
        <w:t> 2006; </w:t>
      </w:r>
      <w:r w:rsidRPr="00B918F9">
        <w:rPr>
          <w:rFonts w:ascii="Book Antiqua" w:hAnsi="Book Antiqua" w:cs="SimSun"/>
          <w:b/>
          <w:bCs/>
          <w:color w:val="000000"/>
          <w:sz w:val="24"/>
          <w:szCs w:val="24"/>
        </w:rPr>
        <w:t>4</w:t>
      </w:r>
      <w:r w:rsidRPr="00B918F9">
        <w:rPr>
          <w:rFonts w:ascii="Book Antiqua" w:hAnsi="Book Antiqua" w:cs="SimSun"/>
          <w:color w:val="000000"/>
          <w:sz w:val="24"/>
          <w:szCs w:val="24"/>
        </w:rPr>
        <w:t>: 44-49 [PMID: 16431304 DOI: 10.1016/j.cgh.2005.10.019]</w:t>
      </w:r>
    </w:p>
    <w:p w14:paraId="26506C93"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43 </w:t>
      </w:r>
      <w:r w:rsidRPr="00B918F9">
        <w:rPr>
          <w:rFonts w:ascii="Book Antiqua" w:hAnsi="Book Antiqua" w:cs="SimSun"/>
          <w:b/>
          <w:bCs/>
          <w:color w:val="000000"/>
          <w:sz w:val="24"/>
          <w:szCs w:val="24"/>
        </w:rPr>
        <w:t>Uchiyama K</w:t>
      </w:r>
      <w:r w:rsidRPr="00B918F9">
        <w:rPr>
          <w:rFonts w:ascii="Book Antiqua" w:hAnsi="Book Antiqua" w:cs="SimSun"/>
          <w:color w:val="000000"/>
          <w:sz w:val="24"/>
          <w:szCs w:val="24"/>
        </w:rPr>
        <w:t>, Nakamura M, Kubota T, Yamane T, Fujise K, Tajiri H. Thiopurine S-methyltransferase and inosine triphosphate pyrophosphohydrolase genes in Japanese patients with inflammatory bowel disease in whom adverse drug reactions were induced by azathioprine/6-mercaptopurine treatment. </w:t>
      </w:r>
      <w:r w:rsidRPr="00B918F9">
        <w:rPr>
          <w:rFonts w:ascii="Book Antiqua" w:hAnsi="Book Antiqua" w:cs="SimSun"/>
          <w:i/>
          <w:iCs/>
          <w:color w:val="000000"/>
          <w:sz w:val="24"/>
          <w:szCs w:val="24"/>
        </w:rPr>
        <w:t>J Gastroenterol</w:t>
      </w:r>
      <w:r w:rsidRPr="00B918F9">
        <w:rPr>
          <w:rFonts w:ascii="Book Antiqua" w:hAnsi="Book Antiqua" w:cs="SimSun"/>
          <w:color w:val="000000"/>
          <w:sz w:val="24"/>
          <w:szCs w:val="24"/>
        </w:rPr>
        <w:t> 2009; </w:t>
      </w:r>
      <w:r w:rsidRPr="00B918F9">
        <w:rPr>
          <w:rFonts w:ascii="Book Antiqua" w:hAnsi="Book Antiqua" w:cs="SimSun"/>
          <w:b/>
          <w:bCs/>
          <w:color w:val="000000"/>
          <w:sz w:val="24"/>
          <w:szCs w:val="24"/>
        </w:rPr>
        <w:t>44</w:t>
      </w:r>
      <w:r w:rsidRPr="00B918F9">
        <w:rPr>
          <w:rFonts w:ascii="Book Antiqua" w:hAnsi="Book Antiqua" w:cs="SimSun"/>
          <w:color w:val="000000"/>
          <w:sz w:val="24"/>
          <w:szCs w:val="24"/>
        </w:rPr>
        <w:t>: 197-203 [PMID: 19214663 DOI: 10.1007/s00535-008-2307-1]</w:t>
      </w:r>
    </w:p>
    <w:p w14:paraId="7661FEBE"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lastRenderedPageBreak/>
        <w:t>44 </w:t>
      </w:r>
      <w:r w:rsidRPr="00B918F9">
        <w:rPr>
          <w:rFonts w:ascii="Book Antiqua" w:hAnsi="Book Antiqua" w:cs="SimSun"/>
          <w:b/>
          <w:bCs/>
          <w:color w:val="000000"/>
          <w:sz w:val="24"/>
          <w:szCs w:val="24"/>
        </w:rPr>
        <w:t>Shipkova M</w:t>
      </w:r>
      <w:r w:rsidRPr="00B918F9">
        <w:rPr>
          <w:rFonts w:ascii="Book Antiqua" w:hAnsi="Book Antiqua" w:cs="SimSun"/>
          <w:color w:val="000000"/>
          <w:sz w:val="24"/>
          <w:szCs w:val="24"/>
        </w:rPr>
        <w:t>, Franz J, Abe M, Klett C, Wieland E, Andus T. Association between adverse effects under azathioprine therapy and inosine triphosphate pyrophosphatase activity in patients with chronic inflammatory bowel disease. </w:t>
      </w:r>
      <w:r w:rsidRPr="00B918F9">
        <w:rPr>
          <w:rFonts w:ascii="Book Antiqua" w:hAnsi="Book Antiqua" w:cs="SimSun"/>
          <w:i/>
          <w:iCs/>
          <w:color w:val="000000"/>
          <w:sz w:val="24"/>
          <w:szCs w:val="24"/>
        </w:rPr>
        <w:t>Ther Drug Monit</w:t>
      </w:r>
      <w:r w:rsidRPr="00B918F9">
        <w:rPr>
          <w:rFonts w:ascii="Book Antiqua" w:hAnsi="Book Antiqua" w:cs="SimSun"/>
          <w:color w:val="000000"/>
          <w:sz w:val="24"/>
          <w:szCs w:val="24"/>
        </w:rPr>
        <w:t> 2011; </w:t>
      </w:r>
      <w:r w:rsidRPr="00B918F9">
        <w:rPr>
          <w:rFonts w:ascii="Book Antiqua" w:hAnsi="Book Antiqua" w:cs="SimSun"/>
          <w:b/>
          <w:bCs/>
          <w:color w:val="000000"/>
          <w:sz w:val="24"/>
          <w:szCs w:val="24"/>
        </w:rPr>
        <w:t>33</w:t>
      </w:r>
      <w:r w:rsidRPr="00B918F9">
        <w:rPr>
          <w:rFonts w:ascii="Book Antiqua" w:hAnsi="Book Antiqua" w:cs="SimSun"/>
          <w:color w:val="000000"/>
          <w:sz w:val="24"/>
          <w:szCs w:val="24"/>
        </w:rPr>
        <w:t>: 321-328 [PMID: 21544018 DOI: 10.1097/FTD.0b013e31821a7c34]</w:t>
      </w:r>
    </w:p>
    <w:p w14:paraId="2876B9D5"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Is Analyse...</w:t>
      </w:r>
    </w:p>
    <w:p w14:paraId="6DC3EF20"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46 </w:t>
      </w:r>
      <w:r w:rsidRPr="00B918F9">
        <w:rPr>
          <w:rFonts w:ascii="Book Antiqua" w:hAnsi="Book Antiqua" w:cs="SimSun"/>
          <w:b/>
          <w:bCs/>
          <w:color w:val="000000"/>
          <w:sz w:val="24"/>
          <w:szCs w:val="24"/>
        </w:rPr>
        <w:t>Zabala-Fernández W</w:t>
      </w:r>
      <w:r w:rsidRPr="00B918F9">
        <w:rPr>
          <w:rFonts w:ascii="Book Antiqua" w:hAnsi="Book Antiqua" w:cs="SimSun"/>
          <w:color w:val="000000"/>
          <w:sz w:val="24"/>
          <w:szCs w:val="24"/>
        </w:rPr>
        <w:t>, Barreiro-de Acosta M, Echarri A, Carpio D, Lorenzo A, Castro J, Martínez-Ares D, Pereira S, Martin-Granizo I, Corton M, Carracedo A, Barros F. A pharmacogenetics study of TPMT and ITPA genes detects a relationship with side effects and clinical response in patients with inflammatory bowel disease receiving Azathioprine. </w:t>
      </w:r>
      <w:r w:rsidRPr="00B918F9">
        <w:rPr>
          <w:rFonts w:ascii="Book Antiqua" w:hAnsi="Book Antiqua" w:cs="SimSun"/>
          <w:i/>
          <w:iCs/>
          <w:color w:val="000000"/>
          <w:sz w:val="24"/>
          <w:szCs w:val="24"/>
        </w:rPr>
        <w:t>J Gastrointestin Liver Dis</w:t>
      </w:r>
      <w:r w:rsidRPr="00B918F9">
        <w:rPr>
          <w:rFonts w:ascii="Book Antiqua" w:hAnsi="Book Antiqua" w:cs="SimSun"/>
          <w:color w:val="000000"/>
          <w:sz w:val="24"/>
          <w:szCs w:val="24"/>
        </w:rPr>
        <w:t> 2011; </w:t>
      </w:r>
      <w:r w:rsidRPr="00B918F9">
        <w:rPr>
          <w:rFonts w:ascii="Book Antiqua" w:hAnsi="Book Antiqua" w:cs="SimSun"/>
          <w:b/>
          <w:bCs/>
          <w:color w:val="000000"/>
          <w:sz w:val="24"/>
          <w:szCs w:val="24"/>
        </w:rPr>
        <w:t>20</w:t>
      </w:r>
      <w:r w:rsidRPr="00B918F9">
        <w:rPr>
          <w:rFonts w:ascii="Book Antiqua" w:hAnsi="Book Antiqua" w:cs="SimSun"/>
          <w:color w:val="000000"/>
          <w:sz w:val="24"/>
          <w:szCs w:val="24"/>
        </w:rPr>
        <w:t>: 247-253 [PMID: 21961091]</w:t>
      </w:r>
    </w:p>
    <w:p w14:paraId="10B99B29"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47 </w:t>
      </w:r>
      <w:r w:rsidRPr="00B918F9">
        <w:rPr>
          <w:rFonts w:ascii="Book Antiqua" w:hAnsi="Book Antiqua" w:cs="SimSun"/>
          <w:b/>
          <w:bCs/>
          <w:color w:val="000000"/>
          <w:sz w:val="24"/>
          <w:szCs w:val="24"/>
        </w:rPr>
        <w:t>Osterman MT</w:t>
      </w:r>
      <w:r w:rsidRPr="00B918F9">
        <w:rPr>
          <w:rFonts w:ascii="Book Antiqua" w:hAnsi="Book Antiqua" w:cs="SimSun"/>
          <w:color w:val="000000"/>
          <w:sz w:val="24"/>
          <w:szCs w:val="24"/>
        </w:rPr>
        <w:t>, Kundu R, Lichtenstein GR, Lewis JD. Association of 6-thioguanine nucleotide levels and inflammatory bowel disease activity: a meta-analysis. </w:t>
      </w:r>
      <w:r w:rsidRPr="00B918F9">
        <w:rPr>
          <w:rFonts w:ascii="Book Antiqua" w:hAnsi="Book Antiqua" w:cs="SimSun"/>
          <w:i/>
          <w:iCs/>
          <w:color w:val="000000"/>
          <w:sz w:val="24"/>
          <w:szCs w:val="24"/>
        </w:rPr>
        <w:t>Gastroenterology</w:t>
      </w:r>
      <w:r w:rsidRPr="00B918F9">
        <w:rPr>
          <w:rFonts w:ascii="Book Antiqua" w:hAnsi="Book Antiqua" w:cs="SimSun"/>
          <w:color w:val="000000"/>
          <w:sz w:val="24"/>
          <w:szCs w:val="24"/>
        </w:rPr>
        <w:t> 2006; </w:t>
      </w:r>
      <w:r w:rsidRPr="00B918F9">
        <w:rPr>
          <w:rFonts w:ascii="Book Antiqua" w:hAnsi="Book Antiqua" w:cs="SimSun"/>
          <w:b/>
          <w:bCs/>
          <w:color w:val="000000"/>
          <w:sz w:val="24"/>
          <w:szCs w:val="24"/>
        </w:rPr>
        <w:t>130</w:t>
      </w:r>
      <w:r w:rsidRPr="00B918F9">
        <w:rPr>
          <w:rFonts w:ascii="Book Antiqua" w:hAnsi="Book Antiqua" w:cs="SimSun"/>
          <w:color w:val="000000"/>
          <w:sz w:val="24"/>
          <w:szCs w:val="24"/>
        </w:rPr>
        <w:t>: 1047-1053 [PMID: 16618398 DOI: 10.1053/j.gastro.2006.01.046]</w:t>
      </w:r>
    </w:p>
    <w:p w14:paraId="3B822306"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48 </w:t>
      </w:r>
      <w:r w:rsidRPr="00B918F9">
        <w:rPr>
          <w:rFonts w:ascii="Book Antiqua" w:hAnsi="Book Antiqua" w:cs="SimSun"/>
          <w:b/>
          <w:bCs/>
          <w:color w:val="000000"/>
          <w:sz w:val="24"/>
          <w:szCs w:val="24"/>
        </w:rPr>
        <w:t>Hindorf U</w:t>
      </w:r>
      <w:r w:rsidRPr="00B918F9">
        <w:rPr>
          <w:rFonts w:ascii="Book Antiqua" w:hAnsi="Book Antiqua" w:cs="SimSun"/>
          <w:color w:val="000000"/>
          <w:sz w:val="24"/>
          <w:szCs w:val="24"/>
        </w:rPr>
        <w:t>, Lindqvist M, Hildebrand H, Fagerberg U, Almer S. Adverse events leading to modification of therapy in a large cohort of patients with inflammatory bowel disease. </w:t>
      </w:r>
      <w:r w:rsidRPr="00B918F9">
        <w:rPr>
          <w:rFonts w:ascii="Book Antiqua" w:hAnsi="Book Antiqua" w:cs="SimSun"/>
          <w:i/>
          <w:iCs/>
          <w:color w:val="000000"/>
          <w:sz w:val="24"/>
          <w:szCs w:val="24"/>
        </w:rPr>
        <w:t>Aliment Pharmacol Ther</w:t>
      </w:r>
      <w:r w:rsidRPr="00B918F9">
        <w:rPr>
          <w:rFonts w:ascii="Book Antiqua" w:hAnsi="Book Antiqua" w:cs="SimSun"/>
          <w:color w:val="000000"/>
          <w:sz w:val="24"/>
          <w:szCs w:val="24"/>
        </w:rPr>
        <w:t> 2006; </w:t>
      </w:r>
      <w:r w:rsidRPr="00B918F9">
        <w:rPr>
          <w:rFonts w:ascii="Book Antiqua" w:hAnsi="Book Antiqua" w:cs="SimSun"/>
          <w:b/>
          <w:bCs/>
          <w:color w:val="000000"/>
          <w:sz w:val="24"/>
          <w:szCs w:val="24"/>
        </w:rPr>
        <w:t>24</w:t>
      </w:r>
      <w:r w:rsidRPr="00B918F9">
        <w:rPr>
          <w:rFonts w:ascii="Book Antiqua" w:hAnsi="Book Antiqua" w:cs="SimSun"/>
          <w:color w:val="000000"/>
          <w:sz w:val="24"/>
          <w:szCs w:val="24"/>
        </w:rPr>
        <w:t>: 331-342 [PMID: 16842460 DOI: 10.1111/j.1365-2036.2006.02977.x]</w:t>
      </w:r>
    </w:p>
    <w:p w14:paraId="0A8680B0"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49 </w:t>
      </w:r>
      <w:r w:rsidRPr="00B918F9">
        <w:rPr>
          <w:rFonts w:ascii="Book Antiqua" w:hAnsi="Book Antiqua" w:cs="SimSun"/>
          <w:b/>
          <w:bCs/>
          <w:color w:val="000000"/>
          <w:sz w:val="24"/>
          <w:szCs w:val="24"/>
        </w:rPr>
        <w:t>Cuffari C</w:t>
      </w:r>
      <w:r w:rsidRPr="00B918F9">
        <w:rPr>
          <w:rFonts w:ascii="Book Antiqua" w:hAnsi="Book Antiqua" w:cs="SimSun"/>
          <w:color w:val="000000"/>
          <w:sz w:val="24"/>
          <w:szCs w:val="24"/>
        </w:rPr>
        <w:t>, Théorêt Y, Latour S, Seidman G. 6-Mercaptopurine metabolism in Crohn's disease: correlation with efficacy and toxicity. </w:t>
      </w:r>
      <w:r w:rsidRPr="00B918F9">
        <w:rPr>
          <w:rFonts w:ascii="Book Antiqua" w:hAnsi="Book Antiqua" w:cs="SimSun"/>
          <w:i/>
          <w:iCs/>
          <w:color w:val="000000"/>
          <w:sz w:val="24"/>
          <w:szCs w:val="24"/>
        </w:rPr>
        <w:t>Gut</w:t>
      </w:r>
      <w:r w:rsidRPr="00B918F9">
        <w:rPr>
          <w:rFonts w:ascii="Book Antiqua" w:hAnsi="Book Antiqua" w:cs="SimSun"/>
          <w:color w:val="000000"/>
          <w:sz w:val="24"/>
          <w:szCs w:val="24"/>
        </w:rPr>
        <w:t> 1996; </w:t>
      </w:r>
      <w:r w:rsidRPr="00B918F9">
        <w:rPr>
          <w:rFonts w:ascii="Book Antiqua" w:hAnsi="Book Antiqua" w:cs="SimSun"/>
          <w:b/>
          <w:bCs/>
          <w:color w:val="000000"/>
          <w:sz w:val="24"/>
          <w:szCs w:val="24"/>
        </w:rPr>
        <w:t>39</w:t>
      </w:r>
      <w:r w:rsidRPr="00B918F9">
        <w:rPr>
          <w:rFonts w:ascii="Book Antiqua" w:hAnsi="Book Antiqua" w:cs="SimSun"/>
          <w:color w:val="000000"/>
          <w:sz w:val="24"/>
          <w:szCs w:val="24"/>
        </w:rPr>
        <w:t>: 401-406 [PMID: 8949645 DOI: 10.1136/gut.39.3.401]</w:t>
      </w:r>
    </w:p>
    <w:p w14:paraId="65039BCE"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50 </w:t>
      </w:r>
      <w:r w:rsidRPr="00B918F9">
        <w:rPr>
          <w:rFonts w:ascii="Book Antiqua" w:hAnsi="Book Antiqua" w:cs="SimSun"/>
          <w:b/>
          <w:bCs/>
          <w:color w:val="000000"/>
          <w:sz w:val="24"/>
          <w:szCs w:val="24"/>
        </w:rPr>
        <w:t>Dubinsky MC</w:t>
      </w:r>
      <w:r w:rsidRPr="00B918F9">
        <w:rPr>
          <w:rFonts w:ascii="Book Antiqua" w:hAnsi="Book Antiqua" w:cs="SimSun"/>
          <w:color w:val="000000"/>
          <w:sz w:val="24"/>
          <w:szCs w:val="24"/>
        </w:rPr>
        <w:t>, Lamothe S, Yang HY, Targan SR, Sinnett D, Théorêt Y, Seidman EG. Pharmacogenomics and metabolite measurement for 6-mercaptopurine therapy in inflammatory bowel disease. </w:t>
      </w:r>
      <w:r w:rsidRPr="00B918F9">
        <w:rPr>
          <w:rFonts w:ascii="Book Antiqua" w:hAnsi="Book Antiqua" w:cs="SimSun"/>
          <w:i/>
          <w:iCs/>
          <w:color w:val="000000"/>
          <w:sz w:val="24"/>
          <w:szCs w:val="24"/>
        </w:rPr>
        <w:t>Gastroenterology</w:t>
      </w:r>
      <w:r w:rsidRPr="00B918F9">
        <w:rPr>
          <w:rFonts w:ascii="Book Antiqua" w:hAnsi="Book Antiqua" w:cs="SimSun"/>
          <w:color w:val="000000"/>
          <w:sz w:val="24"/>
          <w:szCs w:val="24"/>
        </w:rPr>
        <w:t> 2000; </w:t>
      </w:r>
      <w:r w:rsidRPr="00B918F9">
        <w:rPr>
          <w:rFonts w:ascii="Book Antiqua" w:hAnsi="Book Antiqua" w:cs="SimSun"/>
          <w:b/>
          <w:bCs/>
          <w:color w:val="000000"/>
          <w:sz w:val="24"/>
          <w:szCs w:val="24"/>
        </w:rPr>
        <w:t>118</w:t>
      </w:r>
      <w:r w:rsidRPr="00B918F9">
        <w:rPr>
          <w:rFonts w:ascii="Book Antiqua" w:hAnsi="Book Antiqua" w:cs="SimSun"/>
          <w:color w:val="000000"/>
          <w:sz w:val="24"/>
          <w:szCs w:val="24"/>
        </w:rPr>
        <w:t>: 705-713 [PMID: 10734022 DOI: 10.1016/S0016-5085(00)70140-5]</w:t>
      </w:r>
    </w:p>
    <w:p w14:paraId="567D0CB2"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51 </w:t>
      </w:r>
      <w:r w:rsidRPr="00B918F9">
        <w:rPr>
          <w:rFonts w:ascii="Book Antiqua" w:hAnsi="Book Antiqua" w:cs="SimSun"/>
          <w:b/>
          <w:bCs/>
          <w:color w:val="000000"/>
          <w:sz w:val="24"/>
          <w:szCs w:val="24"/>
        </w:rPr>
        <w:t>Herrlinger KR</w:t>
      </w:r>
      <w:r w:rsidRPr="00B918F9">
        <w:rPr>
          <w:rFonts w:ascii="Book Antiqua" w:hAnsi="Book Antiqua" w:cs="SimSun"/>
          <w:color w:val="000000"/>
          <w:sz w:val="24"/>
          <w:szCs w:val="24"/>
        </w:rPr>
        <w:t xml:space="preserve">, Cummings JR, Barnardo MC, Schwab M, Ahmad T, Jewell DP. The pharmacogenetics of methotrexate in inflammatory bowel </w:t>
      </w:r>
      <w:r w:rsidRPr="00B918F9">
        <w:rPr>
          <w:rFonts w:ascii="Book Antiqua" w:hAnsi="Book Antiqua" w:cs="SimSun"/>
          <w:color w:val="000000"/>
          <w:sz w:val="24"/>
          <w:szCs w:val="24"/>
        </w:rPr>
        <w:lastRenderedPageBreak/>
        <w:t>disease. </w:t>
      </w:r>
      <w:r w:rsidRPr="00B918F9">
        <w:rPr>
          <w:rFonts w:ascii="Book Antiqua" w:hAnsi="Book Antiqua" w:cs="SimSun"/>
          <w:i/>
          <w:iCs/>
          <w:color w:val="000000"/>
          <w:sz w:val="24"/>
          <w:szCs w:val="24"/>
        </w:rPr>
        <w:t>Pharmacogenet Genomics</w:t>
      </w:r>
      <w:r w:rsidRPr="00B918F9">
        <w:rPr>
          <w:rFonts w:ascii="Book Antiqua" w:hAnsi="Book Antiqua" w:cs="SimSun"/>
          <w:color w:val="000000"/>
          <w:sz w:val="24"/>
          <w:szCs w:val="24"/>
        </w:rPr>
        <w:t> 2005; </w:t>
      </w:r>
      <w:r w:rsidRPr="00B918F9">
        <w:rPr>
          <w:rFonts w:ascii="Book Antiqua" w:hAnsi="Book Antiqua" w:cs="SimSun"/>
          <w:b/>
          <w:bCs/>
          <w:color w:val="000000"/>
          <w:sz w:val="24"/>
          <w:szCs w:val="24"/>
        </w:rPr>
        <w:t>15</w:t>
      </w:r>
      <w:r w:rsidRPr="00B918F9">
        <w:rPr>
          <w:rFonts w:ascii="Book Antiqua" w:hAnsi="Book Antiqua" w:cs="SimSun"/>
          <w:color w:val="000000"/>
          <w:sz w:val="24"/>
          <w:szCs w:val="24"/>
        </w:rPr>
        <w:t>: 705-711 [PMID: 16141796 DOI: 10.1097/01.fpc.0000172242.19675.33]</w:t>
      </w:r>
    </w:p>
    <w:p w14:paraId="165CE0DC"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52 </w:t>
      </w:r>
      <w:r w:rsidRPr="00B918F9">
        <w:rPr>
          <w:rFonts w:ascii="Book Antiqua" w:hAnsi="Book Antiqua" w:cs="SimSun"/>
          <w:b/>
          <w:bCs/>
          <w:color w:val="000000"/>
          <w:sz w:val="24"/>
          <w:szCs w:val="24"/>
        </w:rPr>
        <w:t>Vermeire S</w:t>
      </w:r>
      <w:r w:rsidRPr="00B918F9">
        <w:rPr>
          <w:rFonts w:ascii="Book Antiqua" w:hAnsi="Book Antiqua" w:cs="SimSun"/>
          <w:color w:val="000000"/>
          <w:sz w:val="24"/>
          <w:szCs w:val="24"/>
        </w:rPr>
        <w:t>, Louis E, Carbonez A, Van Assche G, Noman M, Belaiche J, De Vos M, Van Gossum A, Pescatore P, Fiasse R, Pelckmans P, Reynaert H, D'Haens G, Rutgeerts P. Demographic and clinical parameters influencing the short-term outcome of anti-tumor necrosis factor (infliximab) treatment in Crohn's disease. </w:t>
      </w:r>
      <w:r w:rsidRPr="00B918F9">
        <w:rPr>
          <w:rFonts w:ascii="Book Antiqua" w:hAnsi="Book Antiqua" w:cs="SimSun"/>
          <w:i/>
          <w:iCs/>
          <w:color w:val="000000"/>
          <w:sz w:val="24"/>
          <w:szCs w:val="24"/>
        </w:rPr>
        <w:t>Am J Gastroenterol</w:t>
      </w:r>
      <w:r w:rsidRPr="00B918F9">
        <w:rPr>
          <w:rFonts w:ascii="Book Antiqua" w:hAnsi="Book Antiqua" w:cs="SimSun"/>
          <w:color w:val="000000"/>
          <w:sz w:val="24"/>
          <w:szCs w:val="24"/>
        </w:rPr>
        <w:t> 2002; </w:t>
      </w:r>
      <w:r w:rsidRPr="00B918F9">
        <w:rPr>
          <w:rFonts w:ascii="Book Antiqua" w:hAnsi="Book Antiqua" w:cs="SimSun"/>
          <w:b/>
          <w:bCs/>
          <w:color w:val="000000"/>
          <w:sz w:val="24"/>
          <w:szCs w:val="24"/>
        </w:rPr>
        <w:t>97</w:t>
      </w:r>
      <w:r w:rsidRPr="00B918F9">
        <w:rPr>
          <w:rFonts w:ascii="Book Antiqua" w:hAnsi="Book Antiqua" w:cs="SimSun"/>
          <w:color w:val="000000"/>
          <w:sz w:val="24"/>
          <w:szCs w:val="24"/>
        </w:rPr>
        <w:t>: 2357-2363 [PMID: 12358256 DOI: 10.1111/j.1572-0241.2002.05991.x]</w:t>
      </w:r>
    </w:p>
    <w:p w14:paraId="042B0362"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53 </w:t>
      </w:r>
      <w:r w:rsidRPr="00B918F9">
        <w:rPr>
          <w:rFonts w:ascii="Book Antiqua" w:hAnsi="Book Antiqua" w:cs="SimSun"/>
          <w:b/>
          <w:bCs/>
          <w:color w:val="000000"/>
          <w:sz w:val="24"/>
          <w:szCs w:val="24"/>
        </w:rPr>
        <w:t>Parsi MA</w:t>
      </w:r>
      <w:r w:rsidRPr="00B918F9">
        <w:rPr>
          <w:rFonts w:ascii="Book Antiqua" w:hAnsi="Book Antiqua" w:cs="SimSun"/>
          <w:color w:val="000000"/>
          <w:sz w:val="24"/>
          <w:szCs w:val="24"/>
        </w:rPr>
        <w:t>, Achkar JP, Richardson S, Katz J, Hammel JP, Lashner BA, Brzezinski A. Predictors of response to infliximab in patients with Crohn's disease. </w:t>
      </w:r>
      <w:r w:rsidRPr="00B918F9">
        <w:rPr>
          <w:rFonts w:ascii="Book Antiqua" w:hAnsi="Book Antiqua" w:cs="SimSun"/>
          <w:i/>
          <w:iCs/>
          <w:color w:val="000000"/>
          <w:sz w:val="24"/>
          <w:szCs w:val="24"/>
        </w:rPr>
        <w:t>Gastroenterology</w:t>
      </w:r>
      <w:r w:rsidRPr="00B918F9">
        <w:rPr>
          <w:rFonts w:ascii="Book Antiqua" w:hAnsi="Book Antiqua" w:cs="SimSun"/>
          <w:color w:val="000000"/>
          <w:sz w:val="24"/>
          <w:szCs w:val="24"/>
        </w:rPr>
        <w:t> 2002; </w:t>
      </w:r>
      <w:r w:rsidRPr="00B918F9">
        <w:rPr>
          <w:rFonts w:ascii="Book Antiqua" w:hAnsi="Book Antiqua" w:cs="SimSun"/>
          <w:b/>
          <w:bCs/>
          <w:color w:val="000000"/>
          <w:sz w:val="24"/>
          <w:szCs w:val="24"/>
        </w:rPr>
        <w:t>123</w:t>
      </w:r>
      <w:r w:rsidRPr="00B918F9">
        <w:rPr>
          <w:rFonts w:ascii="Book Antiqua" w:hAnsi="Book Antiqua" w:cs="SimSun"/>
          <w:color w:val="000000"/>
          <w:sz w:val="24"/>
          <w:szCs w:val="24"/>
        </w:rPr>
        <w:t>: 707-713 [PMID: 12198696 DOI: 10.1053/gast.2002.35390]</w:t>
      </w:r>
    </w:p>
    <w:p w14:paraId="012D8792"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54 </w:t>
      </w:r>
      <w:r w:rsidRPr="00B918F9">
        <w:rPr>
          <w:rFonts w:ascii="Book Antiqua" w:hAnsi="Book Antiqua" w:cs="SimSun"/>
          <w:b/>
          <w:bCs/>
          <w:color w:val="000000"/>
          <w:sz w:val="24"/>
          <w:szCs w:val="24"/>
        </w:rPr>
        <w:t>Taylor KD</w:t>
      </w:r>
      <w:r w:rsidRPr="00B918F9">
        <w:rPr>
          <w:rFonts w:ascii="Book Antiqua" w:hAnsi="Book Antiqua" w:cs="SimSun"/>
          <w:color w:val="000000"/>
          <w:sz w:val="24"/>
          <w:szCs w:val="24"/>
        </w:rPr>
        <w:t>, Plevy SE, Yang H, Landers CJ, Barry MJ, Rotter JI, Targan SR. ANCA pattern and LTA haplotype relationship to clinical responses to anti-TNF antibody treatment in Crohn's disease. </w:t>
      </w:r>
      <w:r w:rsidRPr="00B918F9">
        <w:rPr>
          <w:rFonts w:ascii="Book Antiqua" w:hAnsi="Book Antiqua" w:cs="SimSun"/>
          <w:i/>
          <w:iCs/>
          <w:color w:val="000000"/>
          <w:sz w:val="24"/>
          <w:szCs w:val="24"/>
        </w:rPr>
        <w:t>Gastroenterology</w:t>
      </w:r>
      <w:r w:rsidRPr="00B918F9">
        <w:rPr>
          <w:rFonts w:ascii="Book Antiqua" w:hAnsi="Book Antiqua" w:cs="SimSun"/>
          <w:color w:val="000000"/>
          <w:sz w:val="24"/>
          <w:szCs w:val="24"/>
        </w:rPr>
        <w:t> 2001; </w:t>
      </w:r>
      <w:r w:rsidRPr="00B918F9">
        <w:rPr>
          <w:rFonts w:ascii="Book Antiqua" w:hAnsi="Book Antiqua" w:cs="SimSun"/>
          <w:b/>
          <w:bCs/>
          <w:color w:val="000000"/>
          <w:sz w:val="24"/>
          <w:szCs w:val="24"/>
        </w:rPr>
        <w:t>120</w:t>
      </w:r>
      <w:r w:rsidRPr="00B918F9">
        <w:rPr>
          <w:rFonts w:ascii="Book Antiqua" w:hAnsi="Book Antiqua" w:cs="SimSun"/>
          <w:color w:val="000000"/>
          <w:sz w:val="24"/>
          <w:szCs w:val="24"/>
        </w:rPr>
        <w:t>: 1347-1355 [PMID: 11313304 DOI: 10.1053/gast.2001.23966]</w:t>
      </w:r>
    </w:p>
    <w:p w14:paraId="4AB68BA9"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55 </w:t>
      </w:r>
      <w:r w:rsidRPr="00B918F9">
        <w:rPr>
          <w:rFonts w:ascii="Book Antiqua" w:hAnsi="Book Antiqua" w:cs="SimSun"/>
          <w:b/>
          <w:bCs/>
          <w:color w:val="000000"/>
          <w:sz w:val="24"/>
          <w:szCs w:val="24"/>
        </w:rPr>
        <w:t>Louis E</w:t>
      </w:r>
      <w:r w:rsidRPr="00B918F9">
        <w:rPr>
          <w:rFonts w:ascii="Book Antiqua" w:hAnsi="Book Antiqua" w:cs="SimSun"/>
          <w:color w:val="000000"/>
          <w:sz w:val="24"/>
          <w:szCs w:val="24"/>
        </w:rPr>
        <w:t>, Vermeire S, Rutgeerts P, De Vos M, Van Gossum A, Pescatore P, Fiasse R, Pelckmans P, Reynaert H, D'Haens G, Malaise M, Belaiche J. A positive response to infliximab in Crohn disease: association with a higher systemic inflammation before treatment but not with -308 TNF gene polymorphism. </w:t>
      </w:r>
      <w:r w:rsidRPr="00B918F9">
        <w:rPr>
          <w:rFonts w:ascii="Book Antiqua" w:hAnsi="Book Antiqua" w:cs="SimSun"/>
          <w:i/>
          <w:iCs/>
          <w:color w:val="000000"/>
          <w:sz w:val="24"/>
          <w:szCs w:val="24"/>
        </w:rPr>
        <w:t>Scand J Gastroenterol</w:t>
      </w:r>
      <w:r w:rsidRPr="00B918F9">
        <w:rPr>
          <w:rFonts w:ascii="Book Antiqua" w:hAnsi="Book Antiqua" w:cs="SimSun"/>
          <w:color w:val="000000"/>
          <w:sz w:val="24"/>
          <w:szCs w:val="24"/>
        </w:rPr>
        <w:t> 2002; </w:t>
      </w:r>
      <w:r w:rsidRPr="00B918F9">
        <w:rPr>
          <w:rFonts w:ascii="Book Antiqua" w:hAnsi="Book Antiqua" w:cs="SimSun"/>
          <w:b/>
          <w:bCs/>
          <w:color w:val="000000"/>
          <w:sz w:val="24"/>
          <w:szCs w:val="24"/>
        </w:rPr>
        <w:t>37</w:t>
      </w:r>
      <w:r w:rsidRPr="00B918F9">
        <w:rPr>
          <w:rFonts w:ascii="Book Antiqua" w:hAnsi="Book Antiqua" w:cs="SimSun"/>
          <w:color w:val="000000"/>
          <w:sz w:val="24"/>
          <w:szCs w:val="24"/>
        </w:rPr>
        <w:t>: 818-824 [PMID: 12190096 DOI: 10.1080/713786515]</w:t>
      </w:r>
    </w:p>
    <w:p w14:paraId="58189EE5"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56 </w:t>
      </w:r>
      <w:r w:rsidRPr="00B918F9">
        <w:rPr>
          <w:rFonts w:ascii="Book Antiqua" w:hAnsi="Book Antiqua" w:cs="SimSun"/>
          <w:b/>
          <w:bCs/>
          <w:color w:val="000000"/>
          <w:sz w:val="24"/>
          <w:szCs w:val="24"/>
        </w:rPr>
        <w:t>Mascheretti S</w:t>
      </w:r>
      <w:r w:rsidRPr="00B918F9">
        <w:rPr>
          <w:rFonts w:ascii="Book Antiqua" w:hAnsi="Book Antiqua" w:cs="SimSun"/>
          <w:color w:val="000000"/>
          <w:sz w:val="24"/>
          <w:szCs w:val="24"/>
        </w:rPr>
        <w:t>, Hampe J, Kühbacher T, Herfarth H, Krawczak M, Fölsch UR, Schreiber S. Pharmacogenetic investigation of the TNF/TNF-receptor system in patients with chronic active Crohn's disease treated with infliximab. </w:t>
      </w:r>
      <w:r w:rsidRPr="00B918F9">
        <w:rPr>
          <w:rFonts w:ascii="Book Antiqua" w:hAnsi="Book Antiqua" w:cs="SimSun"/>
          <w:i/>
          <w:iCs/>
          <w:color w:val="000000"/>
          <w:sz w:val="24"/>
          <w:szCs w:val="24"/>
        </w:rPr>
        <w:t>Pharmacogenomics J</w:t>
      </w:r>
      <w:r w:rsidRPr="00B918F9">
        <w:rPr>
          <w:rFonts w:ascii="Book Antiqua" w:hAnsi="Book Antiqua" w:cs="SimSun"/>
          <w:color w:val="000000"/>
          <w:sz w:val="24"/>
          <w:szCs w:val="24"/>
        </w:rPr>
        <w:t> 2002; </w:t>
      </w:r>
      <w:r w:rsidRPr="00B918F9">
        <w:rPr>
          <w:rFonts w:ascii="Book Antiqua" w:hAnsi="Book Antiqua" w:cs="SimSun"/>
          <w:b/>
          <w:bCs/>
          <w:color w:val="000000"/>
          <w:sz w:val="24"/>
          <w:szCs w:val="24"/>
        </w:rPr>
        <w:t>2</w:t>
      </w:r>
      <w:r w:rsidRPr="00B918F9">
        <w:rPr>
          <w:rFonts w:ascii="Book Antiqua" w:hAnsi="Book Antiqua" w:cs="SimSun"/>
          <w:color w:val="000000"/>
          <w:sz w:val="24"/>
          <w:szCs w:val="24"/>
        </w:rPr>
        <w:t>: 127-136 [PMID: 12049175 DOI: 10.1038/sj.tpj.6500091]</w:t>
      </w:r>
    </w:p>
    <w:p w14:paraId="4394ADF4"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57 </w:t>
      </w:r>
      <w:r w:rsidRPr="00B918F9">
        <w:rPr>
          <w:rFonts w:ascii="Book Antiqua" w:hAnsi="Book Antiqua" w:cs="SimSun"/>
          <w:b/>
          <w:bCs/>
          <w:color w:val="000000"/>
          <w:sz w:val="24"/>
          <w:szCs w:val="24"/>
        </w:rPr>
        <w:t>Mascheretti S</w:t>
      </w:r>
      <w:r w:rsidRPr="00B918F9">
        <w:rPr>
          <w:rFonts w:ascii="Book Antiqua" w:hAnsi="Book Antiqua" w:cs="SimSun"/>
          <w:color w:val="000000"/>
          <w:sz w:val="24"/>
          <w:szCs w:val="24"/>
        </w:rPr>
        <w:t xml:space="preserve">, Hampe J, Croucher PJ, Nikolaus S, Andus T, Schubert S, Olson A, Bao W, Fölsch UR, Schreiber S. Response to infliximab treatment in Crohn's disease is not associated with mutations in the CARD15 (NOD2) gene: an analysis in 534 patients from two multicenter, prospective GCP-level </w:t>
      </w:r>
      <w:r w:rsidRPr="00B918F9">
        <w:rPr>
          <w:rFonts w:ascii="Book Antiqua" w:hAnsi="Book Antiqua" w:cs="SimSun"/>
          <w:color w:val="000000"/>
          <w:sz w:val="24"/>
          <w:szCs w:val="24"/>
        </w:rPr>
        <w:lastRenderedPageBreak/>
        <w:t>trials. </w:t>
      </w:r>
      <w:r w:rsidRPr="00B918F9">
        <w:rPr>
          <w:rFonts w:ascii="Book Antiqua" w:hAnsi="Book Antiqua" w:cs="SimSun"/>
          <w:i/>
          <w:iCs/>
          <w:color w:val="000000"/>
          <w:sz w:val="24"/>
          <w:szCs w:val="24"/>
        </w:rPr>
        <w:t>Pharmacogenetics</w:t>
      </w:r>
      <w:r w:rsidRPr="00B918F9">
        <w:rPr>
          <w:rFonts w:ascii="Book Antiqua" w:hAnsi="Book Antiqua" w:cs="SimSun"/>
          <w:color w:val="000000"/>
          <w:sz w:val="24"/>
          <w:szCs w:val="24"/>
        </w:rPr>
        <w:t> 2002; </w:t>
      </w:r>
      <w:r w:rsidRPr="00B918F9">
        <w:rPr>
          <w:rFonts w:ascii="Book Antiqua" w:hAnsi="Book Antiqua" w:cs="SimSun"/>
          <w:b/>
          <w:bCs/>
          <w:color w:val="000000"/>
          <w:sz w:val="24"/>
          <w:szCs w:val="24"/>
        </w:rPr>
        <w:t>12</w:t>
      </w:r>
      <w:r w:rsidRPr="00B918F9">
        <w:rPr>
          <w:rFonts w:ascii="Book Antiqua" w:hAnsi="Book Antiqua" w:cs="SimSun"/>
          <w:color w:val="000000"/>
          <w:sz w:val="24"/>
          <w:szCs w:val="24"/>
        </w:rPr>
        <w:t>: 509-515 [PMID: 12360101 DOI: 10.1097/00008571-200210000-00002]</w:t>
      </w:r>
    </w:p>
    <w:p w14:paraId="39E23FA9"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58 </w:t>
      </w:r>
      <w:r w:rsidRPr="00B918F9">
        <w:rPr>
          <w:rFonts w:ascii="Book Antiqua" w:hAnsi="Book Antiqua" w:cs="SimSun"/>
          <w:b/>
          <w:bCs/>
          <w:color w:val="000000"/>
          <w:sz w:val="24"/>
          <w:szCs w:val="24"/>
        </w:rPr>
        <w:t>Vermeire S</w:t>
      </w:r>
      <w:r w:rsidRPr="00B918F9">
        <w:rPr>
          <w:rFonts w:ascii="Book Antiqua" w:hAnsi="Book Antiqua" w:cs="SimSun"/>
          <w:color w:val="000000"/>
          <w:sz w:val="24"/>
          <w:szCs w:val="24"/>
        </w:rPr>
        <w:t>, Louis E, Rutgeerts P, De Vos M, Van Gossum A, Belaiche J, Pescatore P, Fiasse R, Pelckmans P, Vlietinck R, Merlin F, Zouali H, Thomas G, Colombel JF, Hugot JP. NOD2/CARD15 does not influence response to infliximab in Crohn's disease. </w:t>
      </w:r>
      <w:r w:rsidRPr="00B918F9">
        <w:rPr>
          <w:rFonts w:ascii="Book Antiqua" w:hAnsi="Book Antiqua" w:cs="SimSun"/>
          <w:i/>
          <w:iCs/>
          <w:color w:val="000000"/>
          <w:sz w:val="24"/>
          <w:szCs w:val="24"/>
        </w:rPr>
        <w:t>Gastroenterology</w:t>
      </w:r>
      <w:r w:rsidRPr="00B918F9">
        <w:rPr>
          <w:rFonts w:ascii="Book Antiqua" w:hAnsi="Book Antiqua" w:cs="SimSun"/>
          <w:color w:val="000000"/>
          <w:sz w:val="24"/>
          <w:szCs w:val="24"/>
        </w:rPr>
        <w:t> 2002; </w:t>
      </w:r>
      <w:r w:rsidRPr="00B918F9">
        <w:rPr>
          <w:rFonts w:ascii="Book Antiqua" w:hAnsi="Book Antiqua" w:cs="SimSun"/>
          <w:b/>
          <w:bCs/>
          <w:color w:val="000000"/>
          <w:sz w:val="24"/>
          <w:szCs w:val="24"/>
        </w:rPr>
        <w:t>123</w:t>
      </w:r>
      <w:r w:rsidRPr="00B918F9">
        <w:rPr>
          <w:rFonts w:ascii="Book Antiqua" w:hAnsi="Book Antiqua" w:cs="SimSun"/>
          <w:color w:val="000000"/>
          <w:sz w:val="24"/>
          <w:szCs w:val="24"/>
        </w:rPr>
        <w:t>: 106-111 [PMID: 12105838 DOI: 10.1053/gast.2002.34172]</w:t>
      </w:r>
    </w:p>
    <w:p w14:paraId="37B0FDF4"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59 </w:t>
      </w:r>
      <w:r w:rsidRPr="00B918F9">
        <w:rPr>
          <w:rFonts w:ascii="Book Antiqua" w:hAnsi="Book Antiqua" w:cs="SimSun"/>
          <w:b/>
          <w:bCs/>
          <w:color w:val="000000"/>
          <w:sz w:val="24"/>
          <w:szCs w:val="24"/>
        </w:rPr>
        <w:t>Pierik M</w:t>
      </w:r>
      <w:r w:rsidRPr="00B918F9">
        <w:rPr>
          <w:rFonts w:ascii="Book Antiqua" w:hAnsi="Book Antiqua" w:cs="SimSun"/>
          <w:color w:val="000000"/>
          <w:sz w:val="24"/>
          <w:szCs w:val="24"/>
        </w:rPr>
        <w:t>, Vermeire S, Steen KV, Joossens S, Claessens G, Vlietinck R, Rutgeerts P. Tumour necrosis factor-alpha receptor 1 and 2 polymorphisms in inflammatory bowel disease and their association with response to infliximab. </w:t>
      </w:r>
      <w:r w:rsidRPr="00B918F9">
        <w:rPr>
          <w:rFonts w:ascii="Book Antiqua" w:hAnsi="Book Antiqua" w:cs="SimSun"/>
          <w:i/>
          <w:iCs/>
          <w:color w:val="000000"/>
          <w:sz w:val="24"/>
          <w:szCs w:val="24"/>
        </w:rPr>
        <w:t>Aliment Pharmacol Ther</w:t>
      </w:r>
      <w:r w:rsidRPr="00B918F9">
        <w:rPr>
          <w:rFonts w:ascii="Book Antiqua" w:hAnsi="Book Antiqua" w:cs="SimSun"/>
          <w:color w:val="000000"/>
          <w:sz w:val="24"/>
          <w:szCs w:val="24"/>
        </w:rPr>
        <w:t> 2004; </w:t>
      </w:r>
      <w:r w:rsidRPr="00B918F9">
        <w:rPr>
          <w:rFonts w:ascii="Book Antiqua" w:hAnsi="Book Antiqua" w:cs="SimSun"/>
          <w:b/>
          <w:bCs/>
          <w:color w:val="000000"/>
          <w:sz w:val="24"/>
          <w:szCs w:val="24"/>
        </w:rPr>
        <w:t>20</w:t>
      </w:r>
      <w:r w:rsidRPr="00B918F9">
        <w:rPr>
          <w:rFonts w:ascii="Book Antiqua" w:hAnsi="Book Antiqua" w:cs="SimSun"/>
          <w:color w:val="000000"/>
          <w:sz w:val="24"/>
          <w:szCs w:val="24"/>
        </w:rPr>
        <w:t>: 303-310 [PMID: 15274667 DOI: 10.1111/j.1365-2036.2004.01946.x]</w:t>
      </w:r>
    </w:p>
    <w:p w14:paraId="1C0B3F07"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60 </w:t>
      </w:r>
      <w:r w:rsidRPr="00B918F9">
        <w:rPr>
          <w:rFonts w:ascii="Book Antiqua" w:hAnsi="Book Antiqua" w:cs="SimSun"/>
          <w:b/>
          <w:bCs/>
          <w:color w:val="000000"/>
          <w:sz w:val="24"/>
          <w:szCs w:val="24"/>
        </w:rPr>
        <w:t>Matsukura H</w:t>
      </w:r>
      <w:r w:rsidRPr="00B918F9">
        <w:rPr>
          <w:rFonts w:ascii="Book Antiqua" w:hAnsi="Book Antiqua" w:cs="SimSun"/>
          <w:color w:val="000000"/>
          <w:sz w:val="24"/>
          <w:szCs w:val="24"/>
        </w:rPr>
        <w:t>, Ikeda S, Yoshimura N, Takazoe M, Muramatsu M. Genetic polymorphisms of tumour necrosis factor receptor superfamily 1A and 1B affect responses to infliximab in Japanese patients with Crohn's disease. </w:t>
      </w:r>
      <w:r w:rsidRPr="00B918F9">
        <w:rPr>
          <w:rFonts w:ascii="Book Antiqua" w:hAnsi="Book Antiqua" w:cs="SimSun"/>
          <w:i/>
          <w:iCs/>
          <w:color w:val="000000"/>
          <w:sz w:val="24"/>
          <w:szCs w:val="24"/>
        </w:rPr>
        <w:t>Aliment Pharmacol Ther</w:t>
      </w:r>
      <w:r w:rsidRPr="00B918F9">
        <w:rPr>
          <w:rFonts w:ascii="Book Antiqua" w:hAnsi="Book Antiqua" w:cs="SimSun"/>
          <w:color w:val="000000"/>
          <w:sz w:val="24"/>
          <w:szCs w:val="24"/>
        </w:rPr>
        <w:t> 2008; </w:t>
      </w:r>
      <w:r w:rsidRPr="00B918F9">
        <w:rPr>
          <w:rFonts w:ascii="Book Antiqua" w:hAnsi="Book Antiqua" w:cs="SimSun"/>
          <w:b/>
          <w:bCs/>
          <w:color w:val="000000"/>
          <w:sz w:val="24"/>
          <w:szCs w:val="24"/>
        </w:rPr>
        <w:t>27</w:t>
      </w:r>
      <w:r w:rsidRPr="00B918F9">
        <w:rPr>
          <w:rFonts w:ascii="Book Antiqua" w:hAnsi="Book Antiqua" w:cs="SimSun"/>
          <w:color w:val="000000"/>
          <w:sz w:val="24"/>
          <w:szCs w:val="24"/>
        </w:rPr>
        <w:t>: 765-770 [PMID: 18248655 DOI: 10.1111/j.1365-2036.2008.03630.x]</w:t>
      </w:r>
    </w:p>
    <w:p w14:paraId="767DAAA9"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61 </w:t>
      </w:r>
      <w:r w:rsidRPr="00B918F9">
        <w:rPr>
          <w:rFonts w:ascii="Book Antiqua" w:hAnsi="Book Antiqua" w:cs="SimSun"/>
          <w:b/>
          <w:bCs/>
          <w:color w:val="000000"/>
          <w:sz w:val="24"/>
          <w:szCs w:val="24"/>
        </w:rPr>
        <w:t>Louis E</w:t>
      </w:r>
      <w:r w:rsidRPr="00B918F9">
        <w:rPr>
          <w:rFonts w:ascii="Book Antiqua" w:hAnsi="Book Antiqua" w:cs="SimSun"/>
          <w:color w:val="000000"/>
          <w:sz w:val="24"/>
          <w:szCs w:val="24"/>
        </w:rPr>
        <w:t>, El Ghoul Z, Vermeire S, Dall'Ozzo S, Rutgeerts P, Paintaud G, Belaiche J, De Vos M, Van Gossum A, Colombel JF, Watier H. Association between polymorphism in IgG Fc receptor IIIa coding gene and biological response to infliximab in Crohn's disease. </w:t>
      </w:r>
      <w:r w:rsidRPr="00B918F9">
        <w:rPr>
          <w:rFonts w:ascii="Book Antiqua" w:hAnsi="Book Antiqua" w:cs="SimSun"/>
          <w:i/>
          <w:iCs/>
          <w:color w:val="000000"/>
          <w:sz w:val="24"/>
          <w:szCs w:val="24"/>
        </w:rPr>
        <w:t>Aliment Pharmacol Ther</w:t>
      </w:r>
      <w:r w:rsidRPr="00B918F9">
        <w:rPr>
          <w:rFonts w:ascii="Book Antiqua" w:hAnsi="Book Antiqua" w:cs="SimSun"/>
          <w:color w:val="000000"/>
          <w:sz w:val="24"/>
          <w:szCs w:val="24"/>
        </w:rPr>
        <w:t> 2004; </w:t>
      </w:r>
      <w:r w:rsidRPr="00B918F9">
        <w:rPr>
          <w:rFonts w:ascii="Book Antiqua" w:hAnsi="Book Antiqua" w:cs="SimSun"/>
          <w:b/>
          <w:bCs/>
          <w:color w:val="000000"/>
          <w:sz w:val="24"/>
          <w:szCs w:val="24"/>
        </w:rPr>
        <w:t>19</w:t>
      </w:r>
      <w:r w:rsidRPr="00B918F9">
        <w:rPr>
          <w:rFonts w:ascii="Book Antiqua" w:hAnsi="Book Antiqua" w:cs="SimSun"/>
          <w:color w:val="000000"/>
          <w:sz w:val="24"/>
          <w:szCs w:val="24"/>
        </w:rPr>
        <w:t>: 511-519 [PMID: 14987319 DOI: 10.1111/j.1365-2036.2004.01871.x]</w:t>
      </w:r>
    </w:p>
    <w:p w14:paraId="4E08FB4C"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Is Analyse...</w:t>
      </w:r>
    </w:p>
    <w:p w14:paraId="499D6DA6"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63 </w:t>
      </w:r>
      <w:r w:rsidRPr="00B918F9">
        <w:rPr>
          <w:rFonts w:ascii="Book Antiqua" w:hAnsi="Book Antiqua" w:cs="SimSun"/>
          <w:b/>
          <w:bCs/>
          <w:color w:val="000000"/>
          <w:sz w:val="24"/>
          <w:szCs w:val="24"/>
        </w:rPr>
        <w:t>Hlavaty T</w:t>
      </w:r>
      <w:r w:rsidRPr="00B918F9">
        <w:rPr>
          <w:rFonts w:ascii="Book Antiqua" w:hAnsi="Book Antiqua" w:cs="SimSun"/>
          <w:color w:val="000000"/>
          <w:sz w:val="24"/>
          <w:szCs w:val="24"/>
        </w:rPr>
        <w:t>, Pierik M, Henckaerts L, Ferrante M, Joossens S, van Schuerbeek N, Noman M, Rutgeerts P, Vermeire S. Polymorphisms in apoptosis genes predict response to infliximab therapy in luminal and fistulizing Crohn's disease. </w:t>
      </w:r>
      <w:r w:rsidRPr="00B918F9">
        <w:rPr>
          <w:rFonts w:ascii="Book Antiqua" w:hAnsi="Book Antiqua" w:cs="SimSun"/>
          <w:i/>
          <w:iCs/>
          <w:color w:val="000000"/>
          <w:sz w:val="24"/>
          <w:szCs w:val="24"/>
        </w:rPr>
        <w:t>Aliment Pharmacol Ther</w:t>
      </w:r>
      <w:r w:rsidRPr="00B918F9">
        <w:rPr>
          <w:rFonts w:ascii="Book Antiqua" w:hAnsi="Book Antiqua" w:cs="SimSun"/>
          <w:color w:val="000000"/>
          <w:sz w:val="24"/>
          <w:szCs w:val="24"/>
        </w:rPr>
        <w:t> 2005; </w:t>
      </w:r>
      <w:r w:rsidRPr="00B918F9">
        <w:rPr>
          <w:rFonts w:ascii="Book Antiqua" w:hAnsi="Book Antiqua" w:cs="SimSun"/>
          <w:b/>
          <w:bCs/>
          <w:color w:val="000000"/>
          <w:sz w:val="24"/>
          <w:szCs w:val="24"/>
        </w:rPr>
        <w:t>22</w:t>
      </w:r>
      <w:r w:rsidRPr="00B918F9">
        <w:rPr>
          <w:rFonts w:ascii="Book Antiqua" w:hAnsi="Book Antiqua" w:cs="SimSun"/>
          <w:color w:val="000000"/>
          <w:sz w:val="24"/>
          <w:szCs w:val="24"/>
        </w:rPr>
        <w:t>: 613-626 [PMID: 16181301 DOI: 10.1111/j.1365-2036.2005.02635.x]</w:t>
      </w:r>
    </w:p>
    <w:p w14:paraId="37844761"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64 </w:t>
      </w:r>
      <w:r w:rsidRPr="00B918F9">
        <w:rPr>
          <w:rFonts w:ascii="Book Antiqua" w:hAnsi="Book Antiqua" w:cs="SimSun"/>
          <w:b/>
          <w:bCs/>
          <w:color w:val="000000"/>
          <w:sz w:val="24"/>
          <w:szCs w:val="24"/>
        </w:rPr>
        <w:t>Hlavaty T</w:t>
      </w:r>
      <w:r w:rsidRPr="00B918F9">
        <w:rPr>
          <w:rFonts w:ascii="Book Antiqua" w:hAnsi="Book Antiqua" w:cs="SimSun"/>
          <w:color w:val="000000"/>
          <w:sz w:val="24"/>
          <w:szCs w:val="24"/>
        </w:rPr>
        <w:t xml:space="preserve">, Ferrante M, Henckaerts L, Pierik M, Rutgeerts P, Vermeire S. Predictive model for the outcome of infliximab therapy in Crohn's disease </w:t>
      </w:r>
      <w:r w:rsidRPr="00B918F9">
        <w:rPr>
          <w:rFonts w:ascii="Book Antiqua" w:hAnsi="Book Antiqua" w:cs="SimSun"/>
          <w:color w:val="000000"/>
          <w:sz w:val="24"/>
          <w:szCs w:val="24"/>
        </w:rPr>
        <w:lastRenderedPageBreak/>
        <w:t>based on apoptotic pharmacogenetic index and clinical predictors. </w:t>
      </w:r>
      <w:r w:rsidRPr="00B918F9">
        <w:rPr>
          <w:rFonts w:ascii="Book Antiqua" w:hAnsi="Book Antiqua" w:cs="SimSun"/>
          <w:i/>
          <w:iCs/>
          <w:color w:val="000000"/>
          <w:sz w:val="24"/>
          <w:szCs w:val="24"/>
        </w:rPr>
        <w:t>Inflamm Bowel Dis</w:t>
      </w:r>
      <w:r w:rsidRPr="00B918F9">
        <w:rPr>
          <w:rFonts w:ascii="Book Antiqua" w:hAnsi="Book Antiqua" w:cs="SimSun"/>
          <w:color w:val="000000"/>
          <w:sz w:val="24"/>
          <w:szCs w:val="24"/>
        </w:rPr>
        <w:t> 2007; </w:t>
      </w:r>
      <w:r w:rsidRPr="00B918F9">
        <w:rPr>
          <w:rFonts w:ascii="Book Antiqua" w:hAnsi="Book Antiqua" w:cs="SimSun"/>
          <w:b/>
          <w:bCs/>
          <w:color w:val="000000"/>
          <w:sz w:val="24"/>
          <w:szCs w:val="24"/>
        </w:rPr>
        <w:t>13</w:t>
      </w:r>
      <w:r w:rsidRPr="00B918F9">
        <w:rPr>
          <w:rFonts w:ascii="Book Antiqua" w:hAnsi="Book Antiqua" w:cs="SimSun"/>
          <w:color w:val="000000"/>
          <w:sz w:val="24"/>
          <w:szCs w:val="24"/>
        </w:rPr>
        <w:t>: 372-379 [PMID: 17206723 DOI: 10.1002/ibd.20024]</w:t>
      </w:r>
    </w:p>
    <w:p w14:paraId="68B3386A"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65 </w:t>
      </w:r>
      <w:r w:rsidRPr="00B918F9">
        <w:rPr>
          <w:rFonts w:ascii="Book Antiqua" w:hAnsi="Book Antiqua" w:cs="SimSun"/>
          <w:b/>
          <w:bCs/>
          <w:color w:val="000000"/>
          <w:sz w:val="24"/>
          <w:szCs w:val="24"/>
        </w:rPr>
        <w:t>Willot S</w:t>
      </w:r>
      <w:r w:rsidRPr="00B918F9">
        <w:rPr>
          <w:rFonts w:ascii="Book Antiqua" w:hAnsi="Book Antiqua" w:cs="SimSun"/>
          <w:color w:val="000000"/>
          <w:sz w:val="24"/>
          <w:szCs w:val="24"/>
        </w:rPr>
        <w:t>, Vermeire S, Ohresser M, Rutgeerts P, Paintaud G, Belaiche J, De Vos M, Van Gossum A, Franchimont D, Colombel JF, Watier H, Louis E. No association between C-reactive protein gene polymorphisms and decrease of C-reactive protein serum concentration after infliximab treatment in Crohn's disease. </w:t>
      </w:r>
      <w:r w:rsidRPr="00B918F9">
        <w:rPr>
          <w:rFonts w:ascii="Book Antiqua" w:hAnsi="Book Antiqua" w:cs="SimSun"/>
          <w:i/>
          <w:iCs/>
          <w:color w:val="000000"/>
          <w:sz w:val="24"/>
          <w:szCs w:val="24"/>
        </w:rPr>
        <w:t>Pharmacogenet Genomics</w:t>
      </w:r>
      <w:r w:rsidRPr="00B918F9">
        <w:rPr>
          <w:rFonts w:ascii="Book Antiqua" w:hAnsi="Book Antiqua" w:cs="SimSun"/>
          <w:color w:val="000000"/>
          <w:sz w:val="24"/>
          <w:szCs w:val="24"/>
        </w:rPr>
        <w:t> 2006; </w:t>
      </w:r>
      <w:r w:rsidRPr="00B918F9">
        <w:rPr>
          <w:rFonts w:ascii="Book Antiqua" w:hAnsi="Book Antiqua" w:cs="SimSun"/>
          <w:b/>
          <w:bCs/>
          <w:color w:val="000000"/>
          <w:sz w:val="24"/>
          <w:szCs w:val="24"/>
        </w:rPr>
        <w:t>16</w:t>
      </w:r>
      <w:r w:rsidRPr="00B918F9">
        <w:rPr>
          <w:rFonts w:ascii="Book Antiqua" w:hAnsi="Book Antiqua" w:cs="SimSun"/>
          <w:color w:val="000000"/>
          <w:sz w:val="24"/>
          <w:szCs w:val="24"/>
        </w:rPr>
        <w:t>: 37-42 [PMID: 16344720 DOI: 10.1097/01.fpc.0000182776.57437.d8]</w:t>
      </w:r>
    </w:p>
    <w:p w14:paraId="3E883517"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66 </w:t>
      </w:r>
      <w:r w:rsidRPr="00B918F9">
        <w:rPr>
          <w:rFonts w:ascii="Book Antiqua" w:hAnsi="Book Antiqua" w:cs="SimSun"/>
          <w:b/>
          <w:bCs/>
          <w:color w:val="000000"/>
          <w:sz w:val="24"/>
          <w:szCs w:val="24"/>
        </w:rPr>
        <w:t>Dideberg V</w:t>
      </w:r>
      <w:r w:rsidRPr="00B918F9">
        <w:rPr>
          <w:rFonts w:ascii="Book Antiqua" w:hAnsi="Book Antiqua" w:cs="SimSun"/>
          <w:color w:val="000000"/>
          <w:sz w:val="24"/>
          <w:szCs w:val="24"/>
        </w:rPr>
        <w:t>, Louis E, Farnir F, Bertoli S, Vermeire S, Rutgeerts P, De Vos M, Van Gossum A, Belaiche J, Bours V. Lymphotoxin alpha gene in Crohn's disease patients: absence of implication in the response to infliximab in a large cohort study. </w:t>
      </w:r>
      <w:r w:rsidRPr="00B918F9">
        <w:rPr>
          <w:rFonts w:ascii="Book Antiqua" w:hAnsi="Book Antiqua" w:cs="SimSun"/>
          <w:i/>
          <w:iCs/>
          <w:color w:val="000000"/>
          <w:sz w:val="24"/>
          <w:szCs w:val="24"/>
        </w:rPr>
        <w:t>Pharmacogenet Genomics</w:t>
      </w:r>
      <w:r w:rsidRPr="00B918F9">
        <w:rPr>
          <w:rFonts w:ascii="Book Antiqua" w:hAnsi="Book Antiqua" w:cs="SimSun"/>
          <w:color w:val="000000"/>
          <w:sz w:val="24"/>
          <w:szCs w:val="24"/>
        </w:rPr>
        <w:t> 2006; </w:t>
      </w:r>
      <w:r w:rsidRPr="00B918F9">
        <w:rPr>
          <w:rFonts w:ascii="Book Antiqua" w:hAnsi="Book Antiqua" w:cs="SimSun"/>
          <w:b/>
          <w:bCs/>
          <w:color w:val="000000"/>
          <w:sz w:val="24"/>
          <w:szCs w:val="24"/>
        </w:rPr>
        <w:t>16</w:t>
      </w:r>
      <w:r w:rsidRPr="00B918F9">
        <w:rPr>
          <w:rFonts w:ascii="Book Antiqua" w:hAnsi="Book Antiqua" w:cs="SimSun"/>
          <w:color w:val="000000"/>
          <w:sz w:val="24"/>
          <w:szCs w:val="24"/>
        </w:rPr>
        <w:t>: 369-373 [PMID: 16609369 DOI: 10.1097/01.fpc.0000204993.91806.b1]</w:t>
      </w:r>
    </w:p>
    <w:p w14:paraId="0A69937E"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67 </w:t>
      </w:r>
      <w:r w:rsidRPr="00B918F9">
        <w:rPr>
          <w:rFonts w:ascii="Book Antiqua" w:hAnsi="Book Antiqua" w:cs="SimSun"/>
          <w:b/>
          <w:bCs/>
          <w:color w:val="000000"/>
          <w:sz w:val="24"/>
          <w:szCs w:val="24"/>
        </w:rPr>
        <w:t>Dideberg V</w:t>
      </w:r>
      <w:r w:rsidRPr="00B918F9">
        <w:rPr>
          <w:rFonts w:ascii="Book Antiqua" w:hAnsi="Book Antiqua" w:cs="SimSun"/>
          <w:color w:val="000000"/>
          <w:sz w:val="24"/>
          <w:szCs w:val="24"/>
        </w:rPr>
        <w:t>, Théâtre E, Farnir F, Vermeire S, Rutgeerts P, De Vos M, Belaiche J, Franchimont D, Van Gossum A, Louis E, Bours V. The TNF/ADAM 17 system: implication of an ADAM 17 haplotype in the clinical response to infliximab in Crohn's disease. </w:t>
      </w:r>
      <w:r w:rsidRPr="00B918F9">
        <w:rPr>
          <w:rFonts w:ascii="Book Antiqua" w:hAnsi="Book Antiqua" w:cs="SimSun"/>
          <w:i/>
          <w:iCs/>
          <w:color w:val="000000"/>
          <w:sz w:val="24"/>
          <w:szCs w:val="24"/>
        </w:rPr>
        <w:t>Pharmacogenet Genomics</w:t>
      </w:r>
      <w:r w:rsidRPr="00B918F9">
        <w:rPr>
          <w:rFonts w:ascii="Book Antiqua" w:hAnsi="Book Antiqua" w:cs="SimSun"/>
          <w:color w:val="000000"/>
          <w:sz w:val="24"/>
          <w:szCs w:val="24"/>
        </w:rPr>
        <w:t> 2006; </w:t>
      </w:r>
      <w:r w:rsidRPr="00B918F9">
        <w:rPr>
          <w:rFonts w:ascii="Book Antiqua" w:hAnsi="Book Antiqua" w:cs="SimSun"/>
          <w:b/>
          <w:bCs/>
          <w:color w:val="000000"/>
          <w:sz w:val="24"/>
          <w:szCs w:val="24"/>
        </w:rPr>
        <w:t>16</w:t>
      </w:r>
      <w:r w:rsidRPr="00B918F9">
        <w:rPr>
          <w:rFonts w:ascii="Book Antiqua" w:hAnsi="Book Antiqua" w:cs="SimSun"/>
          <w:color w:val="000000"/>
          <w:sz w:val="24"/>
          <w:szCs w:val="24"/>
        </w:rPr>
        <w:t>: 727-734 [PMID: 17001292 DOI: 10.1097/01.fpc.0000230117.26581.a4]</w:t>
      </w:r>
    </w:p>
    <w:p w14:paraId="0F4BFDFA"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68 </w:t>
      </w:r>
      <w:r w:rsidRPr="00B918F9">
        <w:rPr>
          <w:rFonts w:ascii="Book Antiqua" w:hAnsi="Book Antiqua" w:cs="SimSun"/>
          <w:b/>
          <w:bCs/>
          <w:color w:val="000000"/>
          <w:sz w:val="24"/>
          <w:szCs w:val="24"/>
        </w:rPr>
        <w:t>Jürgens M</w:t>
      </w:r>
      <w:r w:rsidRPr="00B918F9">
        <w:rPr>
          <w:rFonts w:ascii="Book Antiqua" w:hAnsi="Book Antiqua" w:cs="SimSun"/>
          <w:color w:val="000000"/>
          <w:sz w:val="24"/>
          <w:szCs w:val="24"/>
        </w:rPr>
        <w:t>, Laubender RP, Hartl F, Weidinger M, Seiderer J, Wagner J, Wetzke M, Beigel F, Pfennig S, Stallhofer J, Schnitzler F, Tillack C, Lohse P, Göke B, Glas J, Ochsenkühn T, Brand S. Disease activity, ANCA, and IL23R genotype status determine early response to infliximab in patients with ulcerative colitis. </w:t>
      </w:r>
      <w:r w:rsidRPr="00B918F9">
        <w:rPr>
          <w:rFonts w:ascii="Book Antiqua" w:hAnsi="Book Antiqua" w:cs="SimSun"/>
          <w:i/>
          <w:iCs/>
          <w:color w:val="000000"/>
          <w:sz w:val="24"/>
          <w:szCs w:val="24"/>
        </w:rPr>
        <w:t>Am J Gastroenterol</w:t>
      </w:r>
      <w:r w:rsidRPr="00B918F9">
        <w:rPr>
          <w:rFonts w:ascii="Book Antiqua" w:hAnsi="Book Antiqua" w:cs="SimSun"/>
          <w:color w:val="000000"/>
          <w:sz w:val="24"/>
          <w:szCs w:val="24"/>
        </w:rPr>
        <w:t> 2010; </w:t>
      </w:r>
      <w:r w:rsidRPr="00B918F9">
        <w:rPr>
          <w:rFonts w:ascii="Book Antiqua" w:hAnsi="Book Antiqua" w:cs="SimSun"/>
          <w:b/>
          <w:bCs/>
          <w:color w:val="000000"/>
          <w:sz w:val="24"/>
          <w:szCs w:val="24"/>
        </w:rPr>
        <w:t>105</w:t>
      </w:r>
      <w:r w:rsidRPr="00B918F9">
        <w:rPr>
          <w:rFonts w:ascii="Book Antiqua" w:hAnsi="Book Antiqua" w:cs="SimSun"/>
          <w:color w:val="000000"/>
          <w:sz w:val="24"/>
          <w:szCs w:val="24"/>
        </w:rPr>
        <w:t>: 1811-1819 [PMID: 20197757 DOI: 10.1038/ajg.2010.95]</w:t>
      </w:r>
    </w:p>
    <w:p w14:paraId="715B11F2"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69 </w:t>
      </w:r>
      <w:r w:rsidRPr="00B918F9">
        <w:rPr>
          <w:rFonts w:ascii="Book Antiqua" w:hAnsi="Book Antiqua" w:cs="SimSun"/>
          <w:b/>
          <w:bCs/>
          <w:color w:val="000000"/>
          <w:sz w:val="24"/>
          <w:szCs w:val="24"/>
        </w:rPr>
        <w:t>Dubinsky MC</w:t>
      </w:r>
      <w:r w:rsidRPr="00B918F9">
        <w:rPr>
          <w:rFonts w:ascii="Book Antiqua" w:hAnsi="Book Antiqua" w:cs="SimSun"/>
          <w:color w:val="000000"/>
          <w:sz w:val="24"/>
          <w:szCs w:val="24"/>
        </w:rPr>
        <w:t>, Mei L, Friedman M, Dhere T, Haritunians T, Hakonarson H, Kim C, Glessner J, Targan SR, McGovern DP, Taylor KD, Rotter JI. Genome wide association (GWA) predictors of anti-TNFalpha therapeutic responsiveness in pediatric inflammatory bowel disease. </w:t>
      </w:r>
      <w:r w:rsidRPr="00B918F9">
        <w:rPr>
          <w:rFonts w:ascii="Book Antiqua" w:hAnsi="Book Antiqua" w:cs="SimSun"/>
          <w:i/>
          <w:iCs/>
          <w:color w:val="000000"/>
          <w:sz w:val="24"/>
          <w:szCs w:val="24"/>
        </w:rPr>
        <w:t>Inflamm Bowel Dis</w:t>
      </w:r>
      <w:r w:rsidRPr="00B918F9">
        <w:rPr>
          <w:rFonts w:ascii="Book Antiqua" w:hAnsi="Book Antiqua" w:cs="SimSun"/>
          <w:color w:val="000000"/>
          <w:sz w:val="24"/>
          <w:szCs w:val="24"/>
        </w:rPr>
        <w:t> 2010; </w:t>
      </w:r>
      <w:r w:rsidRPr="00B918F9">
        <w:rPr>
          <w:rFonts w:ascii="Book Antiqua" w:hAnsi="Book Antiqua" w:cs="SimSun"/>
          <w:b/>
          <w:bCs/>
          <w:color w:val="000000"/>
          <w:sz w:val="24"/>
          <w:szCs w:val="24"/>
        </w:rPr>
        <w:t>16</w:t>
      </w:r>
      <w:r w:rsidRPr="00B918F9">
        <w:rPr>
          <w:rFonts w:ascii="Book Antiqua" w:hAnsi="Book Antiqua" w:cs="SimSun"/>
          <w:color w:val="000000"/>
          <w:sz w:val="24"/>
          <w:szCs w:val="24"/>
        </w:rPr>
        <w:t>: 1357-1366 [PMID: 20014019 DOI: 10.1002/ibd.21174]</w:t>
      </w:r>
    </w:p>
    <w:p w14:paraId="4DCC5E9C"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70 </w:t>
      </w:r>
      <w:r w:rsidRPr="00B918F9">
        <w:rPr>
          <w:rFonts w:ascii="Book Antiqua" w:hAnsi="Book Antiqua" w:cs="SimSun"/>
          <w:b/>
          <w:bCs/>
          <w:color w:val="000000"/>
          <w:sz w:val="24"/>
          <w:szCs w:val="24"/>
        </w:rPr>
        <w:t>Colombel JF</w:t>
      </w:r>
      <w:r w:rsidRPr="00B918F9">
        <w:rPr>
          <w:rFonts w:ascii="Book Antiqua" w:hAnsi="Book Antiqua" w:cs="SimSun"/>
          <w:color w:val="000000"/>
          <w:sz w:val="24"/>
          <w:szCs w:val="24"/>
        </w:rPr>
        <w:t xml:space="preserve">, Sandborn WJ, Reinisch W, Mantzaris GJ, Kornbluth A, Rachmilewitz D, Lichtiger S, D'Haens G, Diamond RH, Broussard DL, Tang KL, </w:t>
      </w:r>
      <w:r w:rsidRPr="00B918F9">
        <w:rPr>
          <w:rFonts w:ascii="Book Antiqua" w:hAnsi="Book Antiqua" w:cs="SimSun"/>
          <w:color w:val="000000"/>
          <w:sz w:val="24"/>
          <w:szCs w:val="24"/>
        </w:rPr>
        <w:lastRenderedPageBreak/>
        <w:t>van der Woude CJ, Rutgeerts P. Infliximab, azathioprine, or combination therapy for Crohn's disease. </w:t>
      </w:r>
      <w:r w:rsidRPr="00B918F9">
        <w:rPr>
          <w:rFonts w:ascii="Book Antiqua" w:hAnsi="Book Antiqua" w:cs="SimSun"/>
          <w:i/>
          <w:iCs/>
          <w:color w:val="000000"/>
          <w:sz w:val="24"/>
          <w:szCs w:val="24"/>
        </w:rPr>
        <w:t>N Engl J Med</w:t>
      </w:r>
      <w:r w:rsidRPr="00B918F9">
        <w:rPr>
          <w:rFonts w:ascii="Book Antiqua" w:hAnsi="Book Antiqua" w:cs="SimSun"/>
          <w:color w:val="000000"/>
          <w:sz w:val="24"/>
          <w:szCs w:val="24"/>
        </w:rPr>
        <w:t> 2010; </w:t>
      </w:r>
      <w:r w:rsidRPr="00B918F9">
        <w:rPr>
          <w:rFonts w:ascii="Book Antiqua" w:hAnsi="Book Antiqua" w:cs="SimSun"/>
          <w:b/>
          <w:bCs/>
          <w:color w:val="000000"/>
          <w:sz w:val="24"/>
          <w:szCs w:val="24"/>
        </w:rPr>
        <w:t>362</w:t>
      </w:r>
      <w:r w:rsidRPr="00B918F9">
        <w:rPr>
          <w:rFonts w:ascii="Book Antiqua" w:hAnsi="Book Antiqua" w:cs="SimSun"/>
          <w:color w:val="000000"/>
          <w:sz w:val="24"/>
          <w:szCs w:val="24"/>
        </w:rPr>
        <w:t>: 1383-1395 [PMID: 20393175 DOI: 10.1056]</w:t>
      </w:r>
    </w:p>
    <w:p w14:paraId="34565D84"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71 </w:t>
      </w:r>
      <w:r w:rsidRPr="00B918F9">
        <w:rPr>
          <w:rFonts w:ascii="Book Antiqua" w:hAnsi="Book Antiqua" w:cs="SimSun"/>
          <w:b/>
          <w:bCs/>
          <w:color w:val="000000"/>
          <w:sz w:val="24"/>
          <w:szCs w:val="24"/>
        </w:rPr>
        <w:t>Mazor Y</w:t>
      </w:r>
      <w:r w:rsidRPr="00B918F9">
        <w:rPr>
          <w:rFonts w:ascii="Book Antiqua" w:hAnsi="Book Antiqua" w:cs="SimSun"/>
          <w:color w:val="000000"/>
          <w:sz w:val="24"/>
          <w:szCs w:val="24"/>
        </w:rPr>
        <w:t>, Almog R, Kopylov U, Ben Hur D, Blatt A, Dahan A, Waterman M, Ben-Horin S, Chowers Y. Adalimumab drug and antibody levels as predictors of clinical and laboratory response in patients with Crohn's disease. </w:t>
      </w:r>
      <w:r w:rsidRPr="00B918F9">
        <w:rPr>
          <w:rFonts w:ascii="Book Antiqua" w:hAnsi="Book Antiqua" w:cs="SimSun"/>
          <w:i/>
          <w:iCs/>
          <w:color w:val="000000"/>
          <w:sz w:val="24"/>
          <w:szCs w:val="24"/>
        </w:rPr>
        <w:t>Aliment Pharmacol Ther</w:t>
      </w:r>
      <w:r w:rsidRPr="00B918F9">
        <w:rPr>
          <w:rFonts w:ascii="Book Antiqua" w:hAnsi="Book Antiqua" w:cs="SimSun"/>
          <w:color w:val="000000"/>
          <w:sz w:val="24"/>
          <w:szCs w:val="24"/>
        </w:rPr>
        <w:t> 2014; </w:t>
      </w:r>
      <w:r w:rsidRPr="00B918F9">
        <w:rPr>
          <w:rFonts w:ascii="Book Antiqua" w:hAnsi="Book Antiqua" w:cs="SimSun"/>
          <w:b/>
          <w:bCs/>
          <w:color w:val="000000"/>
          <w:sz w:val="24"/>
          <w:szCs w:val="24"/>
        </w:rPr>
        <w:t>40</w:t>
      </w:r>
      <w:r w:rsidRPr="00B918F9">
        <w:rPr>
          <w:rFonts w:ascii="Book Antiqua" w:hAnsi="Book Antiqua" w:cs="SimSun"/>
          <w:color w:val="000000"/>
          <w:sz w:val="24"/>
          <w:szCs w:val="24"/>
        </w:rPr>
        <w:t>: 620-628 [PMID: 25039584 DOI: 10.1111/apt.12869]</w:t>
      </w:r>
    </w:p>
    <w:p w14:paraId="704E586F"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72 </w:t>
      </w:r>
      <w:r w:rsidRPr="00B918F9">
        <w:rPr>
          <w:rFonts w:ascii="Book Antiqua" w:hAnsi="Book Antiqua" w:cs="SimSun"/>
          <w:b/>
          <w:bCs/>
          <w:color w:val="000000"/>
          <w:sz w:val="24"/>
          <w:szCs w:val="24"/>
        </w:rPr>
        <w:t>Vaughn BP</w:t>
      </w:r>
      <w:r w:rsidRPr="00B918F9">
        <w:rPr>
          <w:rFonts w:ascii="Book Antiqua" w:hAnsi="Book Antiqua" w:cs="SimSun"/>
          <w:color w:val="000000"/>
          <w:sz w:val="24"/>
          <w:szCs w:val="24"/>
        </w:rPr>
        <w:t>, Martinez-Vazquez M, Patwardhan VR, Moss AC, Sandborn WJ, Cheifetz AS. Proactive therapeutic concentration monitoring of infliximab may improve outcomes for patients with inflammatory bowel disease: results from a pilot observational study. </w:t>
      </w:r>
      <w:r w:rsidRPr="00B918F9">
        <w:rPr>
          <w:rFonts w:ascii="Book Antiqua" w:hAnsi="Book Antiqua" w:cs="SimSun"/>
          <w:i/>
          <w:iCs/>
          <w:color w:val="000000"/>
          <w:sz w:val="24"/>
          <w:szCs w:val="24"/>
        </w:rPr>
        <w:t>Inflamm Bowel Dis</w:t>
      </w:r>
      <w:r w:rsidRPr="00B918F9">
        <w:rPr>
          <w:rFonts w:ascii="Book Antiqua" w:hAnsi="Book Antiqua" w:cs="SimSun"/>
          <w:color w:val="000000"/>
          <w:sz w:val="24"/>
          <w:szCs w:val="24"/>
        </w:rPr>
        <w:t> 2014; </w:t>
      </w:r>
      <w:r w:rsidRPr="00B918F9">
        <w:rPr>
          <w:rFonts w:ascii="Book Antiqua" w:hAnsi="Book Antiqua" w:cs="SimSun"/>
          <w:b/>
          <w:bCs/>
          <w:color w:val="000000"/>
          <w:sz w:val="24"/>
          <w:szCs w:val="24"/>
        </w:rPr>
        <w:t>20</w:t>
      </w:r>
      <w:r w:rsidRPr="00B918F9">
        <w:rPr>
          <w:rFonts w:ascii="Book Antiqua" w:hAnsi="Book Antiqua" w:cs="SimSun"/>
          <w:color w:val="000000"/>
          <w:sz w:val="24"/>
          <w:szCs w:val="24"/>
        </w:rPr>
        <w:t>: 1996-2003 [PMID: 25192499 DOI: 10.1987/MIB.0000000000000156]</w:t>
      </w:r>
    </w:p>
    <w:p w14:paraId="08A37F1B"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73 </w:t>
      </w:r>
      <w:r w:rsidRPr="00B918F9">
        <w:rPr>
          <w:rFonts w:ascii="Book Antiqua" w:hAnsi="Book Antiqua" w:cs="SimSun"/>
          <w:b/>
          <w:bCs/>
          <w:color w:val="000000"/>
          <w:sz w:val="24"/>
          <w:szCs w:val="24"/>
        </w:rPr>
        <w:t>Lobo ED</w:t>
      </w:r>
      <w:r w:rsidRPr="00B918F9">
        <w:rPr>
          <w:rFonts w:ascii="Book Antiqua" w:hAnsi="Book Antiqua" w:cs="SimSun"/>
          <w:color w:val="000000"/>
          <w:sz w:val="24"/>
          <w:szCs w:val="24"/>
        </w:rPr>
        <w:t>, Hansen RJ, Balthasar JP. Antibody pharmacokinetics and pharmacodynamics. </w:t>
      </w:r>
      <w:r w:rsidRPr="00B918F9">
        <w:rPr>
          <w:rFonts w:ascii="Book Antiqua" w:hAnsi="Book Antiqua" w:cs="SimSun"/>
          <w:i/>
          <w:iCs/>
          <w:color w:val="000000"/>
          <w:sz w:val="24"/>
          <w:szCs w:val="24"/>
        </w:rPr>
        <w:t>J Pharm Sci</w:t>
      </w:r>
      <w:r w:rsidRPr="00B918F9">
        <w:rPr>
          <w:rFonts w:ascii="Book Antiqua" w:hAnsi="Book Antiqua" w:cs="SimSun"/>
          <w:color w:val="000000"/>
          <w:sz w:val="24"/>
          <w:szCs w:val="24"/>
        </w:rPr>
        <w:t> 2004; </w:t>
      </w:r>
      <w:r w:rsidRPr="00B918F9">
        <w:rPr>
          <w:rFonts w:ascii="Book Antiqua" w:hAnsi="Book Antiqua" w:cs="SimSun"/>
          <w:b/>
          <w:bCs/>
          <w:color w:val="000000"/>
          <w:sz w:val="24"/>
          <w:szCs w:val="24"/>
        </w:rPr>
        <w:t>93</w:t>
      </w:r>
      <w:r w:rsidRPr="00B918F9">
        <w:rPr>
          <w:rFonts w:ascii="Book Antiqua" w:hAnsi="Book Antiqua" w:cs="SimSun"/>
          <w:color w:val="000000"/>
          <w:sz w:val="24"/>
          <w:szCs w:val="24"/>
        </w:rPr>
        <w:t>: 2645-2668 [PMID: 15389672 DOI: 10.1002/jps.20178]</w:t>
      </w:r>
    </w:p>
    <w:p w14:paraId="034FEE21"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74 </w:t>
      </w:r>
      <w:r w:rsidRPr="00B918F9">
        <w:rPr>
          <w:rFonts w:ascii="Book Antiqua" w:hAnsi="Book Antiqua" w:cs="SimSun"/>
          <w:b/>
          <w:bCs/>
          <w:color w:val="000000"/>
          <w:sz w:val="24"/>
          <w:szCs w:val="24"/>
        </w:rPr>
        <w:t>Colombel JF</w:t>
      </w:r>
      <w:r w:rsidRPr="00B918F9">
        <w:rPr>
          <w:rFonts w:ascii="Book Antiqua" w:hAnsi="Book Antiqua" w:cs="SimSun"/>
          <w:color w:val="000000"/>
          <w:sz w:val="24"/>
          <w:szCs w:val="24"/>
        </w:rPr>
        <w:t>, Feagan BG, Sandborn WJ, Van Assche G, Robinson AM. Therapeutic drug monitoring of biologics for inflammatory bowel disease. </w:t>
      </w:r>
      <w:r w:rsidRPr="00B918F9">
        <w:rPr>
          <w:rFonts w:ascii="Book Antiqua" w:hAnsi="Book Antiqua" w:cs="SimSun"/>
          <w:i/>
          <w:iCs/>
          <w:color w:val="000000"/>
          <w:sz w:val="24"/>
          <w:szCs w:val="24"/>
        </w:rPr>
        <w:t>Inflamm Bowel Dis</w:t>
      </w:r>
      <w:r w:rsidRPr="00B918F9">
        <w:rPr>
          <w:rFonts w:ascii="Book Antiqua" w:hAnsi="Book Antiqua" w:cs="SimSun"/>
          <w:color w:val="000000"/>
          <w:sz w:val="24"/>
          <w:szCs w:val="24"/>
        </w:rPr>
        <w:t> 2012; </w:t>
      </w:r>
      <w:r w:rsidRPr="00B918F9">
        <w:rPr>
          <w:rFonts w:ascii="Book Antiqua" w:hAnsi="Book Antiqua" w:cs="SimSun"/>
          <w:b/>
          <w:bCs/>
          <w:color w:val="000000"/>
          <w:sz w:val="24"/>
          <w:szCs w:val="24"/>
        </w:rPr>
        <w:t>18</w:t>
      </w:r>
      <w:r w:rsidRPr="00B918F9">
        <w:rPr>
          <w:rFonts w:ascii="Book Antiqua" w:hAnsi="Book Antiqua" w:cs="SimSun"/>
          <w:color w:val="000000"/>
          <w:sz w:val="24"/>
          <w:szCs w:val="24"/>
        </w:rPr>
        <w:t>: 349-358 [PMID: 22021134 DOI: 10.1002/ibd.21831]</w:t>
      </w:r>
    </w:p>
    <w:p w14:paraId="2C6F07C2"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75 </w:t>
      </w:r>
      <w:r w:rsidRPr="00B918F9">
        <w:rPr>
          <w:rFonts w:ascii="Book Antiqua" w:hAnsi="Book Antiqua" w:cs="SimSun"/>
          <w:b/>
          <w:bCs/>
          <w:color w:val="000000"/>
          <w:sz w:val="24"/>
          <w:szCs w:val="24"/>
        </w:rPr>
        <w:t>Ben-Horin S</w:t>
      </w:r>
      <w:r w:rsidRPr="00B918F9">
        <w:rPr>
          <w:rFonts w:ascii="Book Antiqua" w:hAnsi="Book Antiqua" w:cs="SimSun"/>
          <w:color w:val="000000"/>
          <w:sz w:val="24"/>
          <w:szCs w:val="24"/>
        </w:rPr>
        <w:t>, Chowers Y. Review article: loss of response to anti-TNF treatments in Crohn's disease. </w:t>
      </w:r>
      <w:r w:rsidRPr="00B918F9">
        <w:rPr>
          <w:rFonts w:ascii="Book Antiqua" w:hAnsi="Book Antiqua" w:cs="SimSun"/>
          <w:i/>
          <w:iCs/>
          <w:color w:val="000000"/>
          <w:sz w:val="24"/>
          <w:szCs w:val="24"/>
        </w:rPr>
        <w:t>Aliment Pharmacol Ther</w:t>
      </w:r>
      <w:r w:rsidRPr="00B918F9">
        <w:rPr>
          <w:rFonts w:ascii="Book Antiqua" w:hAnsi="Book Antiqua" w:cs="SimSun"/>
          <w:color w:val="000000"/>
          <w:sz w:val="24"/>
          <w:szCs w:val="24"/>
        </w:rPr>
        <w:t> 2011; </w:t>
      </w:r>
      <w:r w:rsidRPr="00B918F9">
        <w:rPr>
          <w:rFonts w:ascii="Book Antiqua" w:hAnsi="Book Antiqua" w:cs="SimSun"/>
          <w:b/>
          <w:bCs/>
          <w:color w:val="000000"/>
          <w:sz w:val="24"/>
          <w:szCs w:val="24"/>
        </w:rPr>
        <w:t>33</w:t>
      </w:r>
      <w:r w:rsidRPr="00B918F9">
        <w:rPr>
          <w:rFonts w:ascii="Book Antiqua" w:hAnsi="Book Antiqua" w:cs="SimSun"/>
          <w:color w:val="000000"/>
          <w:sz w:val="24"/>
          <w:szCs w:val="24"/>
        </w:rPr>
        <w:t>: 987-995 [PMID: 21366636 DOI: 10.1111]</w:t>
      </w:r>
    </w:p>
    <w:p w14:paraId="3A8977EB"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76 </w:t>
      </w:r>
      <w:r w:rsidRPr="00B918F9">
        <w:rPr>
          <w:rFonts w:ascii="Book Antiqua" w:hAnsi="Book Antiqua" w:cs="SimSun"/>
          <w:b/>
          <w:bCs/>
          <w:color w:val="000000"/>
          <w:sz w:val="24"/>
          <w:szCs w:val="24"/>
        </w:rPr>
        <w:t>Papamichael K</w:t>
      </w:r>
      <w:r w:rsidRPr="00B918F9">
        <w:rPr>
          <w:rFonts w:ascii="Book Antiqua" w:hAnsi="Book Antiqua" w:cs="SimSun"/>
          <w:color w:val="000000"/>
          <w:sz w:val="24"/>
          <w:szCs w:val="24"/>
        </w:rPr>
        <w:t>, Gils A, Rutgeerts P, Levesque BG, Vermeire S, Sandborn WJ, Vande Casteele N. Role for therapeutic drug monitoring during induction therapy with TNF antagonists in IBD: evolution in the definition and management of primary nonresponse. </w:t>
      </w:r>
      <w:r w:rsidRPr="00B918F9">
        <w:rPr>
          <w:rFonts w:ascii="Book Antiqua" w:hAnsi="Book Antiqua" w:cs="SimSun"/>
          <w:i/>
          <w:iCs/>
          <w:color w:val="000000"/>
          <w:sz w:val="24"/>
          <w:szCs w:val="24"/>
        </w:rPr>
        <w:t>Inflamm Bowel Dis</w:t>
      </w:r>
      <w:r w:rsidRPr="00B918F9">
        <w:rPr>
          <w:rFonts w:ascii="Book Antiqua" w:hAnsi="Book Antiqua" w:cs="SimSun"/>
          <w:color w:val="000000"/>
          <w:sz w:val="24"/>
          <w:szCs w:val="24"/>
        </w:rPr>
        <w:t> 2015; </w:t>
      </w:r>
      <w:r w:rsidRPr="00B918F9">
        <w:rPr>
          <w:rFonts w:ascii="Book Antiqua" w:hAnsi="Book Antiqua" w:cs="SimSun"/>
          <w:b/>
          <w:bCs/>
          <w:color w:val="000000"/>
          <w:sz w:val="24"/>
          <w:szCs w:val="24"/>
        </w:rPr>
        <w:t>21</w:t>
      </w:r>
      <w:r w:rsidRPr="00B918F9">
        <w:rPr>
          <w:rFonts w:ascii="Book Antiqua" w:hAnsi="Book Antiqua" w:cs="SimSun"/>
          <w:color w:val="000000"/>
          <w:sz w:val="24"/>
          <w:szCs w:val="24"/>
        </w:rPr>
        <w:t>: 182-197 [PMID: 25222660 DOI: 10.1097/MIB.0000000000000202]</w:t>
      </w:r>
    </w:p>
    <w:p w14:paraId="46CA4611"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77 </w:t>
      </w:r>
      <w:r w:rsidRPr="00B918F9">
        <w:rPr>
          <w:rFonts w:ascii="Book Antiqua" w:hAnsi="Book Antiqua" w:cs="SimSun"/>
          <w:b/>
          <w:bCs/>
          <w:color w:val="000000"/>
          <w:sz w:val="24"/>
          <w:szCs w:val="24"/>
        </w:rPr>
        <w:t>Hanauer SB</w:t>
      </w:r>
      <w:r w:rsidRPr="00B918F9">
        <w:rPr>
          <w:rFonts w:ascii="Book Antiqua" w:hAnsi="Book Antiqua" w:cs="SimSun"/>
          <w:color w:val="000000"/>
          <w:sz w:val="24"/>
          <w:szCs w:val="24"/>
        </w:rPr>
        <w:t xml:space="preserve">, Feagan BG, Lichtenstein GR, Mayer LF, Schreiber S, Colombel JF, Rachmilewitz D, Wolf DC, Olson A, Bao W, Rutgeerts P. Maintenance infliximab for Crohn's disease: the ACCENT I randomised </w:t>
      </w:r>
      <w:r w:rsidRPr="00B918F9">
        <w:rPr>
          <w:rFonts w:ascii="Book Antiqua" w:hAnsi="Book Antiqua" w:cs="SimSun"/>
          <w:color w:val="000000"/>
          <w:sz w:val="24"/>
          <w:szCs w:val="24"/>
        </w:rPr>
        <w:lastRenderedPageBreak/>
        <w:t>trial. </w:t>
      </w:r>
      <w:r w:rsidRPr="00B918F9">
        <w:rPr>
          <w:rFonts w:ascii="Book Antiqua" w:hAnsi="Book Antiqua" w:cs="SimSun"/>
          <w:i/>
          <w:iCs/>
          <w:color w:val="000000"/>
          <w:sz w:val="24"/>
          <w:szCs w:val="24"/>
        </w:rPr>
        <w:t>Lancet</w:t>
      </w:r>
      <w:r w:rsidRPr="00B918F9">
        <w:rPr>
          <w:rFonts w:ascii="Book Antiqua" w:hAnsi="Book Antiqua" w:cs="SimSun"/>
          <w:color w:val="000000"/>
          <w:sz w:val="24"/>
          <w:szCs w:val="24"/>
        </w:rPr>
        <w:t> 2002; </w:t>
      </w:r>
      <w:r w:rsidRPr="00B918F9">
        <w:rPr>
          <w:rFonts w:ascii="Book Antiqua" w:hAnsi="Book Antiqua" w:cs="SimSun"/>
          <w:b/>
          <w:bCs/>
          <w:color w:val="000000"/>
          <w:sz w:val="24"/>
          <w:szCs w:val="24"/>
        </w:rPr>
        <w:t>359</w:t>
      </w:r>
      <w:r w:rsidRPr="00B918F9">
        <w:rPr>
          <w:rFonts w:ascii="Book Antiqua" w:hAnsi="Book Antiqua" w:cs="SimSun"/>
          <w:color w:val="000000"/>
          <w:sz w:val="24"/>
          <w:szCs w:val="24"/>
        </w:rPr>
        <w:t>: 1541-1549 [PMID: 12047962 DOI: 10.1016/S0140-6736(02)08512-4]</w:t>
      </w:r>
    </w:p>
    <w:p w14:paraId="58EECFE4"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78 </w:t>
      </w:r>
      <w:r w:rsidRPr="00B918F9">
        <w:rPr>
          <w:rFonts w:ascii="Book Antiqua" w:hAnsi="Book Antiqua" w:cs="SimSun"/>
          <w:b/>
          <w:bCs/>
          <w:color w:val="000000"/>
          <w:sz w:val="24"/>
          <w:szCs w:val="24"/>
        </w:rPr>
        <w:t>Sands BE</w:t>
      </w:r>
      <w:r w:rsidRPr="00B918F9">
        <w:rPr>
          <w:rFonts w:ascii="Book Antiqua" w:hAnsi="Book Antiqua" w:cs="SimSun"/>
          <w:color w:val="000000"/>
          <w:sz w:val="24"/>
          <w:szCs w:val="24"/>
        </w:rPr>
        <w:t>, Anderson FH, Bernstein CN, Chey WY, Feagan BG, Fedorak RN, Kamm MA, Korzenik JR, Lashner BA, Onken JE, Rachmilewitz D, Rutgeerts P, Wild G, Wolf DC, Marsters PA, Travers SB, Blank MA, van Deventer SJ. Infliximab maintenance therapy for fistulizing Crohn's disease. </w:t>
      </w:r>
      <w:r w:rsidRPr="00B918F9">
        <w:rPr>
          <w:rFonts w:ascii="Book Antiqua" w:hAnsi="Book Antiqua" w:cs="SimSun"/>
          <w:i/>
          <w:iCs/>
          <w:color w:val="000000"/>
          <w:sz w:val="24"/>
          <w:szCs w:val="24"/>
        </w:rPr>
        <w:t>N Engl J Med</w:t>
      </w:r>
      <w:r w:rsidRPr="00B918F9">
        <w:rPr>
          <w:rFonts w:ascii="Book Antiqua" w:hAnsi="Book Antiqua" w:cs="SimSun"/>
          <w:color w:val="000000"/>
          <w:sz w:val="24"/>
          <w:szCs w:val="24"/>
        </w:rPr>
        <w:t> 2004; </w:t>
      </w:r>
      <w:r w:rsidRPr="00B918F9">
        <w:rPr>
          <w:rFonts w:ascii="Book Antiqua" w:hAnsi="Book Antiqua" w:cs="SimSun"/>
          <w:b/>
          <w:bCs/>
          <w:color w:val="000000"/>
          <w:sz w:val="24"/>
          <w:szCs w:val="24"/>
        </w:rPr>
        <w:t>350</w:t>
      </w:r>
      <w:r w:rsidRPr="00B918F9">
        <w:rPr>
          <w:rFonts w:ascii="Book Antiqua" w:hAnsi="Book Antiqua" w:cs="SimSun"/>
          <w:color w:val="000000"/>
          <w:sz w:val="24"/>
          <w:szCs w:val="24"/>
        </w:rPr>
        <w:t>: 876-885 [PMID: 14985485 DOI: 10.1056/NEJMoa030815]</w:t>
      </w:r>
    </w:p>
    <w:p w14:paraId="5CAA563D"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79 </w:t>
      </w:r>
      <w:r w:rsidRPr="00B918F9">
        <w:rPr>
          <w:rFonts w:ascii="Book Antiqua" w:hAnsi="Book Antiqua" w:cs="SimSun"/>
          <w:b/>
          <w:bCs/>
          <w:color w:val="000000"/>
          <w:sz w:val="24"/>
          <w:szCs w:val="24"/>
        </w:rPr>
        <w:t>Hanauer SB</w:t>
      </w:r>
      <w:r w:rsidRPr="00B918F9">
        <w:rPr>
          <w:rFonts w:ascii="Book Antiqua" w:hAnsi="Book Antiqua" w:cs="SimSun"/>
          <w:color w:val="000000"/>
          <w:sz w:val="24"/>
          <w:szCs w:val="24"/>
        </w:rPr>
        <w:t>, Sandborn WJ, Rutgeerts P, Fedorak RN, Lukas M, MacIntosh D, Panaccione R, Wolf D, Pollack P. Human anti-tumor necrosis factor monoclonal antibody (adalimumab) in Crohn's disease: the CLASSIC-I trial. </w:t>
      </w:r>
      <w:r w:rsidRPr="00B918F9">
        <w:rPr>
          <w:rFonts w:ascii="Book Antiqua" w:hAnsi="Book Antiqua" w:cs="SimSun"/>
          <w:i/>
          <w:iCs/>
          <w:color w:val="000000"/>
          <w:sz w:val="24"/>
          <w:szCs w:val="24"/>
        </w:rPr>
        <w:t>Gastroenterology</w:t>
      </w:r>
      <w:r w:rsidRPr="00B918F9">
        <w:rPr>
          <w:rFonts w:ascii="Book Antiqua" w:hAnsi="Book Antiqua" w:cs="SimSun"/>
          <w:color w:val="000000"/>
          <w:sz w:val="24"/>
          <w:szCs w:val="24"/>
        </w:rPr>
        <w:t> 2006; </w:t>
      </w:r>
      <w:r w:rsidRPr="00B918F9">
        <w:rPr>
          <w:rFonts w:ascii="Book Antiqua" w:hAnsi="Book Antiqua" w:cs="SimSun"/>
          <w:b/>
          <w:bCs/>
          <w:color w:val="000000"/>
          <w:sz w:val="24"/>
          <w:szCs w:val="24"/>
        </w:rPr>
        <w:t>130</w:t>
      </w:r>
      <w:r w:rsidRPr="00B918F9">
        <w:rPr>
          <w:rFonts w:ascii="Book Antiqua" w:hAnsi="Book Antiqua" w:cs="SimSun"/>
          <w:color w:val="000000"/>
          <w:sz w:val="24"/>
          <w:szCs w:val="24"/>
        </w:rPr>
        <w:t>: 323-33; quiz 591 [PMID: 16472588 DOI: 10.1053/j.gastro.2005.11.030]</w:t>
      </w:r>
    </w:p>
    <w:p w14:paraId="0DBB3808"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80 </w:t>
      </w:r>
      <w:r w:rsidRPr="00B918F9">
        <w:rPr>
          <w:rFonts w:ascii="Book Antiqua" w:hAnsi="Book Antiqua" w:cs="SimSun"/>
          <w:b/>
          <w:bCs/>
          <w:color w:val="000000"/>
          <w:sz w:val="24"/>
          <w:szCs w:val="24"/>
        </w:rPr>
        <w:t>Sandborn WJ</w:t>
      </w:r>
      <w:r w:rsidRPr="00B918F9">
        <w:rPr>
          <w:rFonts w:ascii="Book Antiqua" w:hAnsi="Book Antiqua" w:cs="SimSun"/>
          <w:color w:val="000000"/>
          <w:sz w:val="24"/>
          <w:szCs w:val="24"/>
        </w:rPr>
        <w:t>, Hanauer SB, Rutgeerts P, Fedorak RN, Lukas M, MacIntosh DG, Panaccione R, Wolf D, Kent JD, Bittle B, Li J, Pollack PF. Adalimumab for maintenance treatment of Crohn's disease: results of the CLASSIC II trial. </w:t>
      </w:r>
      <w:r w:rsidRPr="00B918F9">
        <w:rPr>
          <w:rFonts w:ascii="Book Antiqua" w:hAnsi="Book Antiqua" w:cs="SimSun"/>
          <w:i/>
          <w:iCs/>
          <w:color w:val="000000"/>
          <w:sz w:val="24"/>
          <w:szCs w:val="24"/>
        </w:rPr>
        <w:t>Gut</w:t>
      </w:r>
      <w:r w:rsidRPr="00B918F9">
        <w:rPr>
          <w:rFonts w:ascii="Book Antiqua" w:hAnsi="Book Antiqua" w:cs="SimSun"/>
          <w:color w:val="000000"/>
          <w:sz w:val="24"/>
          <w:szCs w:val="24"/>
        </w:rPr>
        <w:t> 2007; </w:t>
      </w:r>
      <w:r w:rsidRPr="00B918F9">
        <w:rPr>
          <w:rFonts w:ascii="Book Antiqua" w:hAnsi="Book Antiqua" w:cs="SimSun"/>
          <w:b/>
          <w:bCs/>
          <w:color w:val="000000"/>
          <w:sz w:val="24"/>
          <w:szCs w:val="24"/>
        </w:rPr>
        <w:t>56</w:t>
      </w:r>
      <w:r w:rsidRPr="00B918F9">
        <w:rPr>
          <w:rFonts w:ascii="Book Antiqua" w:hAnsi="Book Antiqua" w:cs="SimSun"/>
          <w:color w:val="000000"/>
          <w:sz w:val="24"/>
          <w:szCs w:val="24"/>
        </w:rPr>
        <w:t>: 1232-1239 [PMID: 17299059 DOI: 10.1136/gut.2006.106781]</w:t>
      </w:r>
    </w:p>
    <w:p w14:paraId="62614486"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81 </w:t>
      </w:r>
      <w:r w:rsidRPr="00B918F9">
        <w:rPr>
          <w:rFonts w:ascii="Book Antiqua" w:hAnsi="Book Antiqua" w:cs="SimSun"/>
          <w:b/>
          <w:bCs/>
          <w:color w:val="000000"/>
          <w:sz w:val="24"/>
          <w:szCs w:val="24"/>
        </w:rPr>
        <w:t>Gisbert JP</w:t>
      </w:r>
      <w:r w:rsidRPr="00B918F9">
        <w:rPr>
          <w:rFonts w:ascii="Book Antiqua" w:hAnsi="Book Antiqua" w:cs="SimSun"/>
          <w:color w:val="000000"/>
          <w:sz w:val="24"/>
          <w:szCs w:val="24"/>
        </w:rPr>
        <w:t>, Panés J. Loss of response and requirement of infliximab dose intensification in Crohn's disease: a review. </w:t>
      </w:r>
      <w:r w:rsidRPr="00B918F9">
        <w:rPr>
          <w:rFonts w:ascii="Book Antiqua" w:hAnsi="Book Antiqua" w:cs="SimSun"/>
          <w:i/>
          <w:iCs/>
          <w:color w:val="000000"/>
          <w:sz w:val="24"/>
          <w:szCs w:val="24"/>
        </w:rPr>
        <w:t>Am J Gastroenterol</w:t>
      </w:r>
      <w:r w:rsidRPr="00B918F9">
        <w:rPr>
          <w:rFonts w:ascii="Book Antiqua" w:hAnsi="Book Antiqua" w:cs="SimSun"/>
          <w:color w:val="000000"/>
          <w:sz w:val="24"/>
          <w:szCs w:val="24"/>
        </w:rPr>
        <w:t> 2009; </w:t>
      </w:r>
      <w:r w:rsidRPr="00B918F9">
        <w:rPr>
          <w:rFonts w:ascii="Book Antiqua" w:hAnsi="Book Antiqua" w:cs="SimSun"/>
          <w:b/>
          <w:bCs/>
          <w:color w:val="000000"/>
          <w:sz w:val="24"/>
          <w:szCs w:val="24"/>
        </w:rPr>
        <w:t>104</w:t>
      </w:r>
      <w:r w:rsidRPr="00B918F9">
        <w:rPr>
          <w:rFonts w:ascii="Book Antiqua" w:hAnsi="Book Antiqua" w:cs="SimSun"/>
          <w:color w:val="000000"/>
          <w:sz w:val="24"/>
          <w:szCs w:val="24"/>
        </w:rPr>
        <w:t>: 760-767 [PMID: 19174781 DOI: 10.1038/ajg.2008.88]</w:t>
      </w:r>
    </w:p>
    <w:p w14:paraId="488EBCAB"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82 </w:t>
      </w:r>
      <w:r w:rsidRPr="00B918F9">
        <w:rPr>
          <w:rFonts w:ascii="Book Antiqua" w:hAnsi="Book Antiqua" w:cs="SimSun"/>
          <w:b/>
          <w:bCs/>
          <w:color w:val="000000"/>
          <w:sz w:val="24"/>
          <w:szCs w:val="24"/>
        </w:rPr>
        <w:t>Peters CP</w:t>
      </w:r>
      <w:r w:rsidRPr="00B918F9">
        <w:rPr>
          <w:rFonts w:ascii="Book Antiqua" w:hAnsi="Book Antiqua" w:cs="SimSun"/>
          <w:color w:val="000000"/>
          <w:sz w:val="24"/>
          <w:szCs w:val="24"/>
        </w:rPr>
        <w:t>, Eshuis EJ, Toxopeüs FM, Hellemons ME, Jansen JM, D'Haens GR, Fockens P, Stokkers PC, Tuynman HA, van Bodegraven AA, Ponsioen CY. Adalimumab for Crohn's disease: long-term sustained benefit in a population-based cohort of 438 patients. </w:t>
      </w:r>
      <w:r w:rsidRPr="00B918F9">
        <w:rPr>
          <w:rFonts w:ascii="Book Antiqua" w:hAnsi="Book Antiqua" w:cs="SimSun"/>
          <w:i/>
          <w:iCs/>
          <w:color w:val="000000"/>
          <w:sz w:val="24"/>
          <w:szCs w:val="24"/>
        </w:rPr>
        <w:t>J Crohns Colitis</w:t>
      </w:r>
      <w:r w:rsidRPr="00B918F9">
        <w:rPr>
          <w:rFonts w:ascii="Book Antiqua" w:hAnsi="Book Antiqua" w:cs="SimSun"/>
          <w:color w:val="000000"/>
          <w:sz w:val="24"/>
          <w:szCs w:val="24"/>
        </w:rPr>
        <w:t> 2014; </w:t>
      </w:r>
      <w:r w:rsidRPr="00B918F9">
        <w:rPr>
          <w:rFonts w:ascii="Book Antiqua" w:hAnsi="Book Antiqua" w:cs="SimSun"/>
          <w:b/>
          <w:bCs/>
          <w:color w:val="000000"/>
          <w:sz w:val="24"/>
          <w:szCs w:val="24"/>
        </w:rPr>
        <w:t>8</w:t>
      </w:r>
      <w:r w:rsidRPr="00B918F9">
        <w:rPr>
          <w:rFonts w:ascii="Book Antiqua" w:hAnsi="Book Antiqua" w:cs="SimSun"/>
          <w:color w:val="000000"/>
          <w:sz w:val="24"/>
          <w:szCs w:val="24"/>
        </w:rPr>
        <w:t>: 866-875 [PMID: 24491515 DOI: 10.1016/j.crohns.2014.01.012]</w:t>
      </w:r>
    </w:p>
    <w:p w14:paraId="26E8CCDB"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 xml:space="preserve">83 </w:t>
      </w:r>
      <w:r w:rsidRPr="00B918F9">
        <w:rPr>
          <w:rFonts w:ascii="Book Antiqua" w:hAnsi="Book Antiqua"/>
          <w:b/>
          <w:bCs/>
          <w:color w:val="000000"/>
          <w:sz w:val="24"/>
          <w:szCs w:val="24"/>
        </w:rPr>
        <w:t>Yanai H</w:t>
      </w:r>
      <w:r w:rsidRPr="00B918F9">
        <w:rPr>
          <w:rFonts w:ascii="Book Antiqua" w:hAnsi="Book Antiqua"/>
          <w:color w:val="000000"/>
          <w:sz w:val="24"/>
          <w:szCs w:val="24"/>
        </w:rPr>
        <w:t>, Hanauer SB. Assessing response and loss of response to biological therapies in IBD.</w:t>
      </w:r>
      <w:r w:rsidRPr="00B918F9">
        <w:rPr>
          <w:rStyle w:val="apple-converted-space"/>
          <w:rFonts w:ascii="Book Antiqua" w:hAnsi="Book Antiqua"/>
          <w:sz w:val="24"/>
          <w:szCs w:val="24"/>
        </w:rPr>
        <w:t> </w:t>
      </w:r>
      <w:r w:rsidRPr="00B918F9">
        <w:rPr>
          <w:rFonts w:ascii="Book Antiqua" w:hAnsi="Book Antiqua"/>
          <w:i/>
          <w:iCs/>
          <w:color w:val="000000"/>
          <w:sz w:val="24"/>
          <w:szCs w:val="24"/>
        </w:rPr>
        <w:t>Am J Gastroenterol</w:t>
      </w:r>
      <w:r w:rsidRPr="00B918F9">
        <w:rPr>
          <w:rStyle w:val="apple-converted-space"/>
          <w:rFonts w:ascii="Book Antiqua" w:hAnsi="Book Antiqua"/>
          <w:sz w:val="24"/>
          <w:szCs w:val="24"/>
        </w:rPr>
        <w:t> </w:t>
      </w:r>
      <w:r w:rsidRPr="00B918F9">
        <w:rPr>
          <w:rFonts w:ascii="Book Antiqua" w:hAnsi="Book Antiqua"/>
          <w:color w:val="000000"/>
          <w:sz w:val="24"/>
          <w:szCs w:val="24"/>
        </w:rPr>
        <w:t>2011;</w:t>
      </w:r>
      <w:r w:rsidRPr="00B918F9">
        <w:rPr>
          <w:rStyle w:val="apple-converted-space"/>
          <w:rFonts w:ascii="Book Antiqua" w:hAnsi="Book Antiqua"/>
          <w:sz w:val="24"/>
          <w:szCs w:val="24"/>
        </w:rPr>
        <w:t> </w:t>
      </w:r>
      <w:r w:rsidRPr="00B918F9">
        <w:rPr>
          <w:rFonts w:ascii="Book Antiqua" w:hAnsi="Book Antiqua"/>
          <w:b/>
          <w:bCs/>
          <w:color w:val="000000"/>
          <w:sz w:val="24"/>
          <w:szCs w:val="24"/>
        </w:rPr>
        <w:t>106</w:t>
      </w:r>
      <w:r w:rsidRPr="00B918F9">
        <w:rPr>
          <w:rFonts w:ascii="Book Antiqua" w:hAnsi="Book Antiqua"/>
          <w:color w:val="000000"/>
          <w:sz w:val="24"/>
          <w:szCs w:val="24"/>
        </w:rPr>
        <w:t>: 685-698 [PMID: 21427713 DOI: 10.1038/ajg.2011.103]</w:t>
      </w:r>
    </w:p>
    <w:p w14:paraId="4C07B424"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84 </w:t>
      </w:r>
      <w:r w:rsidRPr="00B918F9">
        <w:rPr>
          <w:rFonts w:ascii="Book Antiqua" w:hAnsi="Book Antiqua" w:cs="SimSun"/>
          <w:b/>
          <w:bCs/>
          <w:color w:val="000000"/>
          <w:sz w:val="24"/>
          <w:szCs w:val="24"/>
        </w:rPr>
        <w:t>Moss AC</w:t>
      </w:r>
      <w:r w:rsidRPr="00B918F9">
        <w:rPr>
          <w:rFonts w:ascii="Book Antiqua" w:hAnsi="Book Antiqua" w:cs="SimSun"/>
          <w:color w:val="000000"/>
          <w:sz w:val="24"/>
          <w:szCs w:val="24"/>
        </w:rPr>
        <w:t>. Optimizing the use of biological therapy in patients with inflammatory bowel disease. </w:t>
      </w:r>
      <w:r w:rsidRPr="00B918F9">
        <w:rPr>
          <w:rFonts w:ascii="Book Antiqua" w:hAnsi="Book Antiqua" w:cs="SimSun"/>
          <w:i/>
          <w:iCs/>
          <w:color w:val="000000"/>
          <w:sz w:val="24"/>
          <w:szCs w:val="24"/>
        </w:rPr>
        <w:t>Gastroenterol Rep (Oxf)</w:t>
      </w:r>
      <w:r w:rsidRPr="00B918F9">
        <w:rPr>
          <w:rFonts w:ascii="Book Antiqua" w:hAnsi="Book Antiqua" w:cs="SimSun"/>
          <w:color w:val="000000"/>
          <w:sz w:val="24"/>
          <w:szCs w:val="24"/>
        </w:rPr>
        <w:t> 2015; </w:t>
      </w:r>
      <w:r w:rsidRPr="00B918F9">
        <w:rPr>
          <w:rFonts w:ascii="Book Antiqua" w:hAnsi="Book Antiqua" w:cs="SimSun"/>
          <w:b/>
          <w:bCs/>
          <w:color w:val="000000"/>
          <w:sz w:val="24"/>
          <w:szCs w:val="24"/>
        </w:rPr>
        <w:t>3</w:t>
      </w:r>
      <w:r w:rsidRPr="00B918F9">
        <w:rPr>
          <w:rFonts w:ascii="Book Antiqua" w:hAnsi="Book Antiqua" w:cs="SimSun"/>
          <w:color w:val="000000"/>
          <w:sz w:val="24"/>
          <w:szCs w:val="24"/>
        </w:rPr>
        <w:t>: 63-68 [PMID: 25567472 DOI: 10.1093/gastro/gou087]</w:t>
      </w:r>
    </w:p>
    <w:p w14:paraId="5E96A6F6"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lastRenderedPageBreak/>
        <w:t>85 </w:t>
      </w:r>
      <w:r w:rsidRPr="00B918F9">
        <w:rPr>
          <w:rFonts w:ascii="Book Antiqua" w:hAnsi="Book Antiqua" w:cs="SimSun"/>
          <w:b/>
          <w:bCs/>
          <w:color w:val="000000"/>
          <w:sz w:val="24"/>
          <w:szCs w:val="24"/>
        </w:rPr>
        <w:t>Warman A</w:t>
      </w:r>
      <w:r w:rsidRPr="00B918F9">
        <w:rPr>
          <w:rFonts w:ascii="Book Antiqua" w:hAnsi="Book Antiqua" w:cs="SimSun"/>
          <w:color w:val="000000"/>
          <w:sz w:val="24"/>
          <w:szCs w:val="24"/>
        </w:rPr>
        <w:t>, Straathof JW, Derijks LJ. Therapeutic drug monitoring of infliximab in inflammatory bowel disease patients in a teaching hospital setting: results of a prospective cohort study. </w:t>
      </w:r>
      <w:r w:rsidRPr="00B918F9">
        <w:rPr>
          <w:rFonts w:ascii="Book Antiqua" w:hAnsi="Book Antiqua" w:cs="SimSun"/>
          <w:i/>
          <w:iCs/>
          <w:color w:val="000000"/>
          <w:sz w:val="24"/>
          <w:szCs w:val="24"/>
        </w:rPr>
        <w:t>Eur J Gastroenterol Hepatol</w:t>
      </w:r>
      <w:r w:rsidRPr="00B918F9">
        <w:rPr>
          <w:rFonts w:ascii="Book Antiqua" w:hAnsi="Book Antiqua" w:cs="SimSun"/>
          <w:color w:val="000000"/>
          <w:sz w:val="24"/>
          <w:szCs w:val="24"/>
        </w:rPr>
        <w:t> 2015; </w:t>
      </w:r>
      <w:r w:rsidRPr="00B918F9">
        <w:rPr>
          <w:rFonts w:ascii="Book Antiqua" w:hAnsi="Book Antiqua" w:cs="SimSun"/>
          <w:b/>
          <w:bCs/>
          <w:color w:val="000000"/>
          <w:sz w:val="24"/>
          <w:szCs w:val="24"/>
        </w:rPr>
        <w:t>27</w:t>
      </w:r>
      <w:r w:rsidRPr="00B918F9">
        <w:rPr>
          <w:rFonts w:ascii="Book Antiqua" w:hAnsi="Book Antiqua" w:cs="SimSun"/>
          <w:color w:val="000000"/>
          <w:sz w:val="24"/>
          <w:szCs w:val="24"/>
        </w:rPr>
        <w:t>: 242-248 [PMID: 25569569 DOI: 10.1097/MEG.0000000000000279]</w:t>
      </w:r>
    </w:p>
    <w:p w14:paraId="54901C0F"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 xml:space="preserve">86 </w:t>
      </w:r>
      <w:r w:rsidRPr="00B918F9">
        <w:rPr>
          <w:rFonts w:ascii="Book Antiqua" w:hAnsi="Book Antiqua"/>
          <w:b/>
          <w:bCs/>
          <w:color w:val="000000"/>
          <w:sz w:val="24"/>
          <w:szCs w:val="24"/>
        </w:rPr>
        <w:t>Chaparro M</w:t>
      </w:r>
      <w:r w:rsidRPr="00B918F9">
        <w:rPr>
          <w:rFonts w:ascii="Book Antiqua" w:hAnsi="Book Antiqua"/>
          <w:color w:val="000000"/>
          <w:sz w:val="24"/>
          <w:szCs w:val="24"/>
        </w:rPr>
        <w:t>, Guerra I, Muñoz-Linares P, Gisbert JP. Systematic review: antibodies and anti-TNF-α levels in inflammatory bowel disease.</w:t>
      </w:r>
      <w:r w:rsidRPr="00B918F9">
        <w:rPr>
          <w:rStyle w:val="apple-converted-space"/>
          <w:rFonts w:ascii="Book Antiqua" w:hAnsi="Book Antiqua"/>
          <w:sz w:val="24"/>
          <w:szCs w:val="24"/>
        </w:rPr>
        <w:t> </w:t>
      </w:r>
      <w:r w:rsidRPr="00B918F9">
        <w:rPr>
          <w:rFonts w:ascii="Book Antiqua" w:hAnsi="Book Antiqua"/>
          <w:i/>
          <w:iCs/>
          <w:color w:val="000000"/>
          <w:sz w:val="24"/>
          <w:szCs w:val="24"/>
        </w:rPr>
        <w:t>Aliment Pharmacol Ther</w:t>
      </w:r>
      <w:r w:rsidRPr="00B918F9">
        <w:rPr>
          <w:rStyle w:val="apple-converted-space"/>
          <w:rFonts w:ascii="Book Antiqua" w:hAnsi="Book Antiqua"/>
          <w:sz w:val="24"/>
          <w:szCs w:val="24"/>
        </w:rPr>
        <w:t> </w:t>
      </w:r>
      <w:r w:rsidRPr="00B918F9">
        <w:rPr>
          <w:rFonts w:ascii="Book Antiqua" w:hAnsi="Book Antiqua"/>
          <w:color w:val="000000"/>
          <w:sz w:val="24"/>
          <w:szCs w:val="24"/>
        </w:rPr>
        <w:t>2012;</w:t>
      </w:r>
      <w:r w:rsidRPr="00B918F9">
        <w:rPr>
          <w:rStyle w:val="apple-converted-space"/>
          <w:rFonts w:ascii="Book Antiqua" w:hAnsi="Book Antiqua"/>
          <w:sz w:val="24"/>
          <w:szCs w:val="24"/>
        </w:rPr>
        <w:t> </w:t>
      </w:r>
      <w:r w:rsidRPr="00B918F9">
        <w:rPr>
          <w:rFonts w:ascii="Book Antiqua" w:hAnsi="Book Antiqua"/>
          <w:b/>
          <w:bCs/>
          <w:color w:val="000000"/>
          <w:sz w:val="24"/>
          <w:szCs w:val="24"/>
        </w:rPr>
        <w:t>35</w:t>
      </w:r>
      <w:r w:rsidRPr="00B918F9">
        <w:rPr>
          <w:rFonts w:ascii="Book Antiqua" w:hAnsi="Book Antiqua"/>
          <w:color w:val="000000"/>
          <w:sz w:val="24"/>
          <w:szCs w:val="24"/>
        </w:rPr>
        <w:t>: 971-986 [PMID: 22443153 DOI: 10.1111/j.1365-2036.2012.05057.x]</w:t>
      </w:r>
    </w:p>
    <w:p w14:paraId="37914C7B"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87 </w:t>
      </w:r>
      <w:r w:rsidRPr="00B918F9">
        <w:rPr>
          <w:rFonts w:ascii="Book Antiqua" w:hAnsi="Book Antiqua" w:cs="SimSun"/>
          <w:b/>
          <w:bCs/>
          <w:color w:val="000000"/>
          <w:sz w:val="24"/>
          <w:szCs w:val="24"/>
        </w:rPr>
        <w:t>Nanda KS</w:t>
      </w:r>
      <w:r w:rsidRPr="00B918F9">
        <w:rPr>
          <w:rFonts w:ascii="Book Antiqua" w:hAnsi="Book Antiqua" w:cs="SimSun"/>
          <w:color w:val="000000"/>
          <w:sz w:val="24"/>
          <w:szCs w:val="24"/>
        </w:rPr>
        <w:t>, Cheifetz AS, Moss AC. Impact of antibodies to infliximab on clinical outcomes and serum infliximab levels in patients with inflammatory bowel disease (IBD): a meta-analysis. </w:t>
      </w:r>
      <w:r w:rsidRPr="00B918F9">
        <w:rPr>
          <w:rFonts w:ascii="Book Antiqua" w:hAnsi="Book Antiqua" w:cs="SimSun"/>
          <w:i/>
          <w:iCs/>
          <w:color w:val="000000"/>
          <w:sz w:val="24"/>
          <w:szCs w:val="24"/>
        </w:rPr>
        <w:t>Am J Gastroenterol</w:t>
      </w:r>
      <w:r w:rsidRPr="00B918F9">
        <w:rPr>
          <w:rFonts w:ascii="Book Antiqua" w:hAnsi="Book Antiqua" w:cs="SimSun"/>
          <w:color w:val="000000"/>
          <w:sz w:val="24"/>
          <w:szCs w:val="24"/>
        </w:rPr>
        <w:t> 2013; </w:t>
      </w:r>
      <w:r w:rsidRPr="00B918F9">
        <w:rPr>
          <w:rFonts w:ascii="Book Antiqua" w:hAnsi="Book Antiqua" w:cs="SimSun"/>
          <w:b/>
          <w:bCs/>
          <w:color w:val="000000"/>
          <w:sz w:val="24"/>
          <w:szCs w:val="24"/>
        </w:rPr>
        <w:t>108</w:t>
      </w:r>
      <w:r w:rsidRPr="00B918F9">
        <w:rPr>
          <w:rFonts w:ascii="Book Antiqua" w:hAnsi="Book Antiqua" w:cs="SimSun"/>
          <w:color w:val="000000"/>
          <w:sz w:val="24"/>
          <w:szCs w:val="24"/>
        </w:rPr>
        <w:t>: 40-7; quiz 48 [PMID: 23147525 DOI: 10.1038/ajg.2012.363]</w:t>
      </w:r>
    </w:p>
    <w:p w14:paraId="5C2FED23"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88 </w:t>
      </w:r>
      <w:r w:rsidRPr="00B918F9">
        <w:rPr>
          <w:rFonts w:ascii="Book Antiqua" w:hAnsi="Book Antiqua" w:cs="SimSun"/>
          <w:b/>
          <w:bCs/>
          <w:color w:val="000000"/>
          <w:sz w:val="24"/>
          <w:szCs w:val="24"/>
        </w:rPr>
        <w:t>McLean MH</w:t>
      </w:r>
      <w:r w:rsidRPr="00B918F9">
        <w:rPr>
          <w:rFonts w:ascii="Book Antiqua" w:hAnsi="Book Antiqua" w:cs="SimSun"/>
          <w:color w:val="000000"/>
          <w:sz w:val="24"/>
          <w:szCs w:val="24"/>
        </w:rPr>
        <w:t>, Neurath MF, Durum SK. Targeting interleukins for the treatment of inflammatory bowel disease-what lies beyond anti-TNF therapy? </w:t>
      </w:r>
      <w:r w:rsidRPr="00B918F9">
        <w:rPr>
          <w:rFonts w:ascii="Book Antiqua" w:hAnsi="Book Antiqua" w:cs="SimSun"/>
          <w:i/>
          <w:iCs/>
          <w:color w:val="000000"/>
          <w:sz w:val="24"/>
          <w:szCs w:val="24"/>
        </w:rPr>
        <w:t>Inflamm Bowel Dis</w:t>
      </w:r>
      <w:r w:rsidRPr="00B918F9">
        <w:rPr>
          <w:rFonts w:ascii="Book Antiqua" w:hAnsi="Book Antiqua" w:cs="SimSun"/>
          <w:color w:val="000000"/>
          <w:sz w:val="24"/>
          <w:szCs w:val="24"/>
        </w:rPr>
        <w:t> 2014; </w:t>
      </w:r>
      <w:r w:rsidRPr="00B918F9">
        <w:rPr>
          <w:rFonts w:ascii="Book Antiqua" w:hAnsi="Book Antiqua" w:cs="SimSun"/>
          <w:b/>
          <w:bCs/>
          <w:color w:val="000000"/>
          <w:sz w:val="24"/>
          <w:szCs w:val="24"/>
        </w:rPr>
        <w:t>20</w:t>
      </w:r>
      <w:r w:rsidRPr="00B918F9">
        <w:rPr>
          <w:rFonts w:ascii="Book Antiqua" w:hAnsi="Book Antiqua" w:cs="SimSun"/>
          <w:color w:val="000000"/>
          <w:sz w:val="24"/>
          <w:szCs w:val="24"/>
        </w:rPr>
        <w:t>: 389-397 [PMID: 24356385 DOI: 10.1097/01.MIB.0000437616.37000.41]</w:t>
      </w:r>
    </w:p>
    <w:p w14:paraId="35A94B7B"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89 </w:t>
      </w:r>
      <w:r w:rsidRPr="00B918F9">
        <w:rPr>
          <w:rFonts w:ascii="Book Antiqua" w:hAnsi="Book Antiqua" w:cs="SimSun"/>
          <w:b/>
          <w:bCs/>
          <w:color w:val="000000"/>
          <w:sz w:val="24"/>
          <w:szCs w:val="24"/>
        </w:rPr>
        <w:t>Parrello T</w:t>
      </w:r>
      <w:r w:rsidRPr="00B918F9">
        <w:rPr>
          <w:rFonts w:ascii="Book Antiqua" w:hAnsi="Book Antiqua" w:cs="SimSun"/>
          <w:color w:val="000000"/>
          <w:sz w:val="24"/>
          <w:szCs w:val="24"/>
        </w:rPr>
        <w:t>, Monteleone G, Cucchiara S, Monteleone I, Sebkova L, Doldo P, Luzza F, Pallone F. Up-regulation of the IL-12 receptor beta 2 chain in Crohn's disease. </w:t>
      </w:r>
      <w:r w:rsidRPr="00B918F9">
        <w:rPr>
          <w:rFonts w:ascii="Book Antiqua" w:hAnsi="Book Antiqua" w:cs="SimSun"/>
          <w:i/>
          <w:iCs/>
          <w:color w:val="000000"/>
          <w:sz w:val="24"/>
          <w:szCs w:val="24"/>
        </w:rPr>
        <w:t>J Immunol</w:t>
      </w:r>
      <w:r w:rsidRPr="00B918F9">
        <w:rPr>
          <w:rFonts w:ascii="Book Antiqua" w:hAnsi="Book Antiqua" w:cs="SimSun"/>
          <w:color w:val="000000"/>
          <w:sz w:val="24"/>
          <w:szCs w:val="24"/>
        </w:rPr>
        <w:t> 2000; </w:t>
      </w:r>
      <w:r w:rsidRPr="00B918F9">
        <w:rPr>
          <w:rFonts w:ascii="Book Antiqua" w:hAnsi="Book Antiqua" w:cs="SimSun"/>
          <w:b/>
          <w:bCs/>
          <w:color w:val="000000"/>
          <w:sz w:val="24"/>
          <w:szCs w:val="24"/>
        </w:rPr>
        <w:t>165</w:t>
      </w:r>
      <w:r w:rsidRPr="00B918F9">
        <w:rPr>
          <w:rFonts w:ascii="Book Antiqua" w:hAnsi="Book Antiqua" w:cs="SimSun"/>
          <w:color w:val="000000"/>
          <w:sz w:val="24"/>
          <w:szCs w:val="24"/>
        </w:rPr>
        <w:t>: 7234-7239 [PMID: 11120856 DOI: 10.4049/jimmunol.165.12.7234]</w:t>
      </w:r>
    </w:p>
    <w:p w14:paraId="3AC17983"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90 </w:t>
      </w:r>
      <w:r w:rsidRPr="00B918F9">
        <w:rPr>
          <w:rFonts w:ascii="Book Antiqua" w:hAnsi="Book Antiqua" w:cs="SimSun"/>
          <w:b/>
          <w:bCs/>
          <w:color w:val="000000"/>
          <w:sz w:val="24"/>
          <w:szCs w:val="24"/>
        </w:rPr>
        <w:t>Iwakura Y</w:t>
      </w:r>
      <w:r w:rsidRPr="00B918F9">
        <w:rPr>
          <w:rFonts w:ascii="Book Antiqua" w:hAnsi="Book Antiqua" w:cs="SimSun"/>
          <w:color w:val="000000"/>
          <w:sz w:val="24"/>
          <w:szCs w:val="24"/>
        </w:rPr>
        <w:t>, Ishigame H. The IL-23/IL-17 axis in inflammation. </w:t>
      </w:r>
      <w:r w:rsidRPr="00B918F9">
        <w:rPr>
          <w:rFonts w:ascii="Book Antiqua" w:hAnsi="Book Antiqua" w:cs="SimSun"/>
          <w:i/>
          <w:iCs/>
          <w:color w:val="000000"/>
          <w:sz w:val="24"/>
          <w:szCs w:val="24"/>
        </w:rPr>
        <w:t>J Clin Invest</w:t>
      </w:r>
      <w:r w:rsidRPr="00B918F9">
        <w:rPr>
          <w:rFonts w:ascii="Book Antiqua" w:hAnsi="Book Antiqua" w:cs="SimSun"/>
          <w:color w:val="000000"/>
          <w:sz w:val="24"/>
          <w:szCs w:val="24"/>
        </w:rPr>
        <w:t> 2006; </w:t>
      </w:r>
      <w:r w:rsidRPr="00B918F9">
        <w:rPr>
          <w:rFonts w:ascii="Book Antiqua" w:hAnsi="Book Antiqua" w:cs="SimSun"/>
          <w:b/>
          <w:bCs/>
          <w:color w:val="000000"/>
          <w:sz w:val="24"/>
          <w:szCs w:val="24"/>
        </w:rPr>
        <w:t>116</w:t>
      </w:r>
      <w:r w:rsidRPr="00B918F9">
        <w:rPr>
          <w:rFonts w:ascii="Book Antiqua" w:hAnsi="Book Antiqua" w:cs="SimSun"/>
          <w:color w:val="000000"/>
          <w:sz w:val="24"/>
          <w:szCs w:val="24"/>
        </w:rPr>
        <w:t>: 1218-1222 [PMID: 16670765 DOI: 10.1172/JCI28508]</w:t>
      </w:r>
    </w:p>
    <w:p w14:paraId="2B5F6989"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91 </w:t>
      </w:r>
      <w:r w:rsidRPr="00B918F9">
        <w:rPr>
          <w:rFonts w:ascii="Book Antiqua" w:hAnsi="Book Antiqua" w:cs="SimSun"/>
          <w:b/>
          <w:bCs/>
          <w:color w:val="000000"/>
          <w:sz w:val="24"/>
          <w:szCs w:val="24"/>
        </w:rPr>
        <w:t>Neurath MF</w:t>
      </w:r>
      <w:r w:rsidRPr="00B918F9">
        <w:rPr>
          <w:rFonts w:ascii="Book Antiqua" w:hAnsi="Book Antiqua" w:cs="SimSun"/>
          <w:color w:val="000000"/>
          <w:sz w:val="24"/>
          <w:szCs w:val="24"/>
        </w:rPr>
        <w:t>, Fuss I, Kelsall BL, Stüber E, Strober W. Antibodies to interleukin 12 abrogate established experimental colitis in mice. </w:t>
      </w:r>
      <w:r w:rsidRPr="00B918F9">
        <w:rPr>
          <w:rFonts w:ascii="Book Antiqua" w:hAnsi="Book Antiqua" w:cs="SimSun"/>
          <w:i/>
          <w:iCs/>
          <w:color w:val="000000"/>
          <w:sz w:val="24"/>
          <w:szCs w:val="24"/>
        </w:rPr>
        <w:t>J Exp Med</w:t>
      </w:r>
      <w:r w:rsidRPr="00B918F9">
        <w:rPr>
          <w:rFonts w:ascii="Book Antiqua" w:hAnsi="Book Antiqua" w:cs="SimSun"/>
          <w:color w:val="000000"/>
          <w:sz w:val="24"/>
          <w:szCs w:val="24"/>
        </w:rPr>
        <w:t> 1995; </w:t>
      </w:r>
      <w:r w:rsidRPr="00B918F9">
        <w:rPr>
          <w:rFonts w:ascii="Book Antiqua" w:hAnsi="Book Antiqua" w:cs="SimSun"/>
          <w:b/>
          <w:bCs/>
          <w:color w:val="000000"/>
          <w:sz w:val="24"/>
          <w:szCs w:val="24"/>
        </w:rPr>
        <w:t>182</w:t>
      </w:r>
      <w:r w:rsidRPr="00B918F9">
        <w:rPr>
          <w:rFonts w:ascii="Book Antiqua" w:hAnsi="Book Antiqua" w:cs="SimSun"/>
          <w:color w:val="000000"/>
          <w:sz w:val="24"/>
          <w:szCs w:val="24"/>
        </w:rPr>
        <w:t>: 1281-1290 [PMID: 7595199 DOI: 10.1084/jem.182.5.1281]</w:t>
      </w:r>
    </w:p>
    <w:p w14:paraId="06608989"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92 </w:t>
      </w:r>
      <w:r w:rsidRPr="00B918F9">
        <w:rPr>
          <w:rFonts w:ascii="Book Antiqua" w:hAnsi="Book Antiqua" w:cs="SimSun"/>
          <w:b/>
          <w:bCs/>
          <w:color w:val="000000"/>
          <w:sz w:val="24"/>
          <w:szCs w:val="24"/>
        </w:rPr>
        <w:t>Elson CO</w:t>
      </w:r>
      <w:r w:rsidRPr="00B918F9">
        <w:rPr>
          <w:rFonts w:ascii="Book Antiqua" w:hAnsi="Book Antiqua" w:cs="SimSun"/>
          <w:color w:val="000000"/>
          <w:sz w:val="24"/>
          <w:szCs w:val="24"/>
        </w:rPr>
        <w:t>, Cong Y, Weaver CT, Schoeb TR, McClanahan TK, Fick RB, Kastelein RA. Monoclonal anti-interleukin 23 reverses active colitis in a T cell-mediated model in mice. </w:t>
      </w:r>
      <w:r w:rsidRPr="00B918F9">
        <w:rPr>
          <w:rFonts w:ascii="Book Antiqua" w:hAnsi="Book Antiqua" w:cs="SimSun"/>
          <w:i/>
          <w:iCs/>
          <w:color w:val="000000"/>
          <w:sz w:val="24"/>
          <w:szCs w:val="24"/>
        </w:rPr>
        <w:t>Gastroenterology</w:t>
      </w:r>
      <w:r w:rsidRPr="00B918F9">
        <w:rPr>
          <w:rFonts w:ascii="Book Antiqua" w:hAnsi="Book Antiqua" w:cs="SimSun"/>
          <w:color w:val="000000"/>
          <w:sz w:val="24"/>
          <w:szCs w:val="24"/>
        </w:rPr>
        <w:t> 2007; </w:t>
      </w:r>
      <w:r w:rsidRPr="00B918F9">
        <w:rPr>
          <w:rFonts w:ascii="Book Antiqua" w:hAnsi="Book Antiqua" w:cs="SimSun"/>
          <w:b/>
          <w:bCs/>
          <w:color w:val="000000"/>
          <w:sz w:val="24"/>
          <w:szCs w:val="24"/>
        </w:rPr>
        <w:t>132</w:t>
      </w:r>
      <w:r w:rsidRPr="00B918F9">
        <w:rPr>
          <w:rFonts w:ascii="Book Antiqua" w:hAnsi="Book Antiqua" w:cs="SimSun"/>
          <w:color w:val="000000"/>
          <w:sz w:val="24"/>
          <w:szCs w:val="24"/>
        </w:rPr>
        <w:t>: 2359-2370 [PMID: 17570211 DOI: 10.1053/j.gastro.2007.03.104]</w:t>
      </w:r>
    </w:p>
    <w:p w14:paraId="4088FB4D"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93 </w:t>
      </w:r>
      <w:r w:rsidRPr="00B918F9">
        <w:rPr>
          <w:rFonts w:ascii="Book Antiqua" w:hAnsi="Book Antiqua" w:cs="SimSun"/>
          <w:b/>
          <w:bCs/>
          <w:color w:val="000000"/>
          <w:sz w:val="24"/>
          <w:szCs w:val="24"/>
        </w:rPr>
        <w:t>Duerr RH</w:t>
      </w:r>
      <w:r w:rsidRPr="00B918F9">
        <w:rPr>
          <w:rFonts w:ascii="Book Antiqua" w:hAnsi="Book Antiqua" w:cs="SimSun"/>
          <w:color w:val="000000"/>
          <w:sz w:val="24"/>
          <w:szCs w:val="24"/>
        </w:rPr>
        <w:t xml:space="preserve">, Taylor KD, Brant SR, Rioux JD, Silverberg MS, Daly MJ, Steinhart AH, Abraham C, Regueiro M, Griffiths A, Dassopoulos T, Bitton A, Yang H, </w:t>
      </w:r>
      <w:r w:rsidRPr="00B918F9">
        <w:rPr>
          <w:rFonts w:ascii="Book Antiqua" w:hAnsi="Book Antiqua" w:cs="SimSun"/>
          <w:color w:val="000000"/>
          <w:sz w:val="24"/>
          <w:szCs w:val="24"/>
        </w:rPr>
        <w:lastRenderedPageBreak/>
        <w:t>Targan S, Datta LW, Kistner EO, Schumm LP, Lee AT, Gregersen PK, Barmada MM, Rotter JI, Nicolae DL, Cho JH. A genome-wide association study identifies IL23R as an inflammatory bowel disease gene. </w:t>
      </w:r>
      <w:r w:rsidRPr="00B918F9">
        <w:rPr>
          <w:rFonts w:ascii="Book Antiqua" w:hAnsi="Book Antiqua" w:cs="SimSun"/>
          <w:i/>
          <w:iCs/>
          <w:color w:val="000000"/>
          <w:sz w:val="24"/>
          <w:szCs w:val="24"/>
        </w:rPr>
        <w:t>Science</w:t>
      </w:r>
      <w:r w:rsidRPr="00B918F9">
        <w:rPr>
          <w:rFonts w:ascii="Book Antiqua" w:hAnsi="Book Antiqua" w:cs="SimSun"/>
          <w:color w:val="000000"/>
          <w:sz w:val="24"/>
          <w:szCs w:val="24"/>
        </w:rPr>
        <w:t> 2006; </w:t>
      </w:r>
      <w:r w:rsidRPr="00B918F9">
        <w:rPr>
          <w:rFonts w:ascii="Book Antiqua" w:hAnsi="Book Antiqua" w:cs="SimSun"/>
          <w:b/>
          <w:bCs/>
          <w:color w:val="000000"/>
          <w:sz w:val="24"/>
          <w:szCs w:val="24"/>
        </w:rPr>
        <w:t>314</w:t>
      </w:r>
      <w:r w:rsidRPr="00B918F9">
        <w:rPr>
          <w:rFonts w:ascii="Book Antiqua" w:hAnsi="Book Antiqua" w:cs="SimSun"/>
          <w:color w:val="000000"/>
          <w:sz w:val="24"/>
          <w:szCs w:val="24"/>
        </w:rPr>
        <w:t>: 1461-1463 [PMID: 17068223 DOI: 10.1126/science.1135245]</w:t>
      </w:r>
    </w:p>
    <w:p w14:paraId="621D8B18"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94 </w:t>
      </w:r>
      <w:r w:rsidRPr="00B918F9">
        <w:rPr>
          <w:rFonts w:ascii="Book Antiqua" w:hAnsi="Book Antiqua" w:cs="SimSun"/>
          <w:b/>
          <w:bCs/>
          <w:color w:val="000000"/>
          <w:sz w:val="24"/>
          <w:szCs w:val="24"/>
        </w:rPr>
        <w:t>Kastelein RA</w:t>
      </w:r>
      <w:r w:rsidRPr="00B918F9">
        <w:rPr>
          <w:rFonts w:ascii="Book Antiqua" w:hAnsi="Book Antiqua" w:cs="SimSun"/>
          <w:color w:val="000000"/>
          <w:sz w:val="24"/>
          <w:szCs w:val="24"/>
        </w:rPr>
        <w:t>, Hunter CA, Cua DJ. Discovery and biology of IL-23 and IL-27: related but functionally distinct regulators of inflammation. </w:t>
      </w:r>
      <w:r w:rsidRPr="00B918F9">
        <w:rPr>
          <w:rFonts w:ascii="Book Antiqua" w:hAnsi="Book Antiqua" w:cs="SimSun"/>
          <w:i/>
          <w:iCs/>
          <w:color w:val="000000"/>
          <w:sz w:val="24"/>
          <w:szCs w:val="24"/>
        </w:rPr>
        <w:t>Annu Rev Immunol</w:t>
      </w:r>
      <w:r w:rsidRPr="00B918F9">
        <w:rPr>
          <w:rFonts w:ascii="Book Antiqua" w:hAnsi="Book Antiqua" w:cs="SimSun"/>
          <w:color w:val="000000"/>
          <w:sz w:val="24"/>
          <w:szCs w:val="24"/>
        </w:rPr>
        <w:t> 2007; </w:t>
      </w:r>
      <w:r w:rsidRPr="00B918F9">
        <w:rPr>
          <w:rFonts w:ascii="Book Antiqua" w:hAnsi="Book Antiqua" w:cs="SimSun"/>
          <w:b/>
          <w:bCs/>
          <w:color w:val="000000"/>
          <w:sz w:val="24"/>
          <w:szCs w:val="24"/>
        </w:rPr>
        <w:t>25</w:t>
      </w:r>
      <w:r w:rsidRPr="00B918F9">
        <w:rPr>
          <w:rFonts w:ascii="Book Antiqua" w:hAnsi="Book Antiqua" w:cs="SimSun"/>
          <w:color w:val="000000"/>
          <w:sz w:val="24"/>
          <w:szCs w:val="24"/>
        </w:rPr>
        <w:t>: 221-242 [PMID: 17291186 DOI: 10.1146/annurev.immunol.22.012703.104758]</w:t>
      </w:r>
    </w:p>
    <w:p w14:paraId="226DF48F"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95 </w:t>
      </w:r>
      <w:r w:rsidRPr="00B918F9">
        <w:rPr>
          <w:rFonts w:ascii="Book Antiqua" w:hAnsi="Book Antiqua" w:cs="SimSun"/>
          <w:b/>
          <w:bCs/>
          <w:color w:val="000000"/>
          <w:sz w:val="24"/>
          <w:szCs w:val="24"/>
        </w:rPr>
        <w:t>Sandborn WJ</w:t>
      </w:r>
      <w:r w:rsidRPr="00B918F9">
        <w:rPr>
          <w:rFonts w:ascii="Book Antiqua" w:hAnsi="Book Antiqua" w:cs="SimSun"/>
          <w:color w:val="000000"/>
          <w:sz w:val="24"/>
          <w:szCs w:val="24"/>
        </w:rPr>
        <w:t>, Feagan BG, Fedorak RN, Scherl E, Fleisher MR, Katz S, Johanns J, Blank M, Rutgeerts P; Ustekinumab Crohn's Disease Study Group. A randomized trial of Ustekinumab, a human interleukin-12/23 monoclonal antibody, in patients with moderate-to-severe Crohn's disease. </w:t>
      </w:r>
      <w:r w:rsidRPr="00B918F9">
        <w:rPr>
          <w:rFonts w:ascii="Book Antiqua" w:hAnsi="Book Antiqua" w:cs="SimSun"/>
          <w:i/>
          <w:iCs/>
          <w:color w:val="000000"/>
          <w:sz w:val="24"/>
          <w:szCs w:val="24"/>
        </w:rPr>
        <w:t>Gastroenterology</w:t>
      </w:r>
      <w:r w:rsidRPr="00B918F9">
        <w:rPr>
          <w:rFonts w:ascii="Book Antiqua" w:hAnsi="Book Antiqua" w:cs="SimSun"/>
          <w:color w:val="000000"/>
          <w:sz w:val="24"/>
          <w:szCs w:val="24"/>
        </w:rPr>
        <w:t> 2008; </w:t>
      </w:r>
      <w:r w:rsidRPr="00B918F9">
        <w:rPr>
          <w:rFonts w:ascii="Book Antiqua" w:hAnsi="Book Antiqua" w:cs="SimSun"/>
          <w:b/>
          <w:bCs/>
          <w:color w:val="000000"/>
          <w:sz w:val="24"/>
          <w:szCs w:val="24"/>
        </w:rPr>
        <w:t>135</w:t>
      </w:r>
      <w:r w:rsidRPr="00B918F9">
        <w:rPr>
          <w:rFonts w:ascii="Book Antiqua" w:hAnsi="Book Antiqua" w:cs="SimSun"/>
          <w:color w:val="000000"/>
          <w:sz w:val="24"/>
          <w:szCs w:val="24"/>
        </w:rPr>
        <w:t>: 1130-1141 [PMID: 18706417 DOI: 10.1053/j.gastro.2008.07.014]</w:t>
      </w:r>
    </w:p>
    <w:p w14:paraId="6F4BC772"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96 </w:t>
      </w:r>
      <w:r w:rsidRPr="00B918F9">
        <w:rPr>
          <w:rFonts w:ascii="Book Antiqua" w:hAnsi="Book Antiqua" w:cs="SimSun"/>
          <w:b/>
          <w:bCs/>
          <w:color w:val="000000"/>
          <w:sz w:val="24"/>
          <w:szCs w:val="24"/>
        </w:rPr>
        <w:t>Sandborn WJ</w:t>
      </w:r>
      <w:r w:rsidRPr="00B918F9">
        <w:rPr>
          <w:rFonts w:ascii="Book Antiqua" w:hAnsi="Book Antiqua" w:cs="SimSun"/>
          <w:color w:val="000000"/>
          <w:sz w:val="24"/>
          <w:szCs w:val="24"/>
        </w:rPr>
        <w:t>, Gasink C, Gao LL, Blank MA, Johanns J, Guzzo C, Sands BE, Hanauer SB, Targan S, Rutgeerts P, Ghosh S, de Villiers WJ, Panaccione R, Greenberg G, Schreiber S, Lichtiger S, Feagan BG. Ustekinumab induction and maintenance therapy in refractory Crohn's disease. </w:t>
      </w:r>
      <w:r w:rsidRPr="00B918F9">
        <w:rPr>
          <w:rFonts w:ascii="Book Antiqua" w:hAnsi="Book Antiqua" w:cs="SimSun"/>
          <w:i/>
          <w:iCs/>
          <w:color w:val="000000"/>
          <w:sz w:val="24"/>
          <w:szCs w:val="24"/>
        </w:rPr>
        <w:t>N Engl J Med</w:t>
      </w:r>
      <w:r w:rsidRPr="00B918F9">
        <w:rPr>
          <w:rFonts w:ascii="Book Antiqua" w:hAnsi="Book Antiqua" w:cs="SimSun"/>
          <w:color w:val="000000"/>
          <w:sz w:val="24"/>
          <w:szCs w:val="24"/>
        </w:rPr>
        <w:t> 2012; </w:t>
      </w:r>
      <w:r w:rsidRPr="00B918F9">
        <w:rPr>
          <w:rFonts w:ascii="Book Antiqua" w:hAnsi="Book Antiqua" w:cs="SimSun"/>
          <w:b/>
          <w:bCs/>
          <w:color w:val="000000"/>
          <w:sz w:val="24"/>
          <w:szCs w:val="24"/>
        </w:rPr>
        <w:t>367</w:t>
      </w:r>
      <w:r w:rsidRPr="00B918F9">
        <w:rPr>
          <w:rFonts w:ascii="Book Antiqua" w:hAnsi="Book Antiqua" w:cs="SimSun"/>
          <w:color w:val="000000"/>
          <w:sz w:val="24"/>
          <w:szCs w:val="24"/>
        </w:rPr>
        <w:t>: 1519-1528 [PMID: 23075178 DOI: 10.1056/NEJMoa1203572]</w:t>
      </w:r>
    </w:p>
    <w:p w14:paraId="492F54C7"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97 A Study to Evaluate the Safety and Efficacy of Ustekinumab in Patients With Moderately to Severely Active Crohn's Disease Who Have Failed or Are Intolerant to Tumor Necrosis Factor (TNF) Antagonist Therapy (UNITI-1). 2015. Available from: URL: https: //clinicaltrials.gov/ct2/show/results/NCT01369329</w:t>
      </w:r>
    </w:p>
    <w:p w14:paraId="37D43394"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98 Available from: URL: https: //clinicaltrials.gov/ct2/show/NCT01369342?term=ustekinumabcrohn&amp;rank=2se</w:t>
      </w:r>
    </w:p>
    <w:p w14:paraId="62CB9413"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99 Available from: URL: https: //clinicaltrials.gov/ct2/show/NCT01369355?term=ustekinumab crohn&amp;rank=1</w:t>
      </w:r>
    </w:p>
    <w:p w14:paraId="36FC788A"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lastRenderedPageBreak/>
        <w:t>100 </w:t>
      </w:r>
      <w:r w:rsidRPr="00B918F9">
        <w:rPr>
          <w:rFonts w:ascii="Book Antiqua" w:hAnsi="Book Antiqua" w:cs="SimSun"/>
          <w:b/>
          <w:bCs/>
          <w:color w:val="000000"/>
          <w:sz w:val="24"/>
          <w:szCs w:val="24"/>
        </w:rPr>
        <w:t>Panaccione R</w:t>
      </w:r>
      <w:r w:rsidRPr="00B918F9">
        <w:rPr>
          <w:rFonts w:ascii="Book Antiqua" w:hAnsi="Book Antiqua" w:cs="SimSun"/>
          <w:color w:val="000000"/>
          <w:sz w:val="24"/>
          <w:szCs w:val="24"/>
        </w:rPr>
        <w:t>, Sandborn WJ, Gordon GL, Lee SD, Safdi A, Sedghi S, Feagan BG, Hanauer S, Reinisch W, Valentine JF, Huang B, Carcereri R. Briakinumab for treatment of Crohn's disease: results of a randomized trial. </w:t>
      </w:r>
      <w:r w:rsidRPr="00B918F9">
        <w:rPr>
          <w:rFonts w:ascii="Book Antiqua" w:hAnsi="Book Antiqua" w:cs="SimSun"/>
          <w:i/>
          <w:iCs/>
          <w:color w:val="000000"/>
          <w:sz w:val="24"/>
          <w:szCs w:val="24"/>
        </w:rPr>
        <w:t>Inflamm Bowel Dis</w:t>
      </w:r>
      <w:r w:rsidRPr="00B918F9">
        <w:rPr>
          <w:rFonts w:ascii="Book Antiqua" w:hAnsi="Book Antiqua" w:cs="SimSun"/>
          <w:color w:val="000000"/>
          <w:sz w:val="24"/>
          <w:szCs w:val="24"/>
        </w:rPr>
        <w:t> 2015; </w:t>
      </w:r>
      <w:r w:rsidRPr="00B918F9">
        <w:rPr>
          <w:rFonts w:ascii="Book Antiqua" w:hAnsi="Book Antiqua" w:cs="SimSun"/>
          <w:b/>
          <w:bCs/>
          <w:color w:val="000000"/>
          <w:sz w:val="24"/>
          <w:szCs w:val="24"/>
        </w:rPr>
        <w:t>21</w:t>
      </w:r>
      <w:r w:rsidRPr="00B918F9">
        <w:rPr>
          <w:rFonts w:ascii="Book Antiqua" w:hAnsi="Book Antiqua" w:cs="SimSun"/>
          <w:color w:val="000000"/>
          <w:sz w:val="24"/>
          <w:szCs w:val="24"/>
        </w:rPr>
        <w:t>: 1329-1340 [PMID: 25989338 DOI: 10.1097/MIB.0000000000000366]</w:t>
      </w:r>
    </w:p>
    <w:p w14:paraId="0EA92598"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101 </w:t>
      </w:r>
      <w:r w:rsidRPr="00B918F9">
        <w:rPr>
          <w:rFonts w:ascii="Book Antiqua" w:hAnsi="Book Antiqua" w:cs="SimSun"/>
          <w:b/>
          <w:bCs/>
          <w:color w:val="000000"/>
          <w:sz w:val="24"/>
          <w:szCs w:val="24"/>
        </w:rPr>
        <w:t>Sands BE</w:t>
      </w:r>
      <w:r w:rsidRPr="00B918F9">
        <w:rPr>
          <w:rFonts w:ascii="Book Antiqua" w:hAnsi="Book Antiqua" w:cs="SimSun"/>
          <w:color w:val="000000"/>
          <w:sz w:val="24"/>
          <w:szCs w:val="24"/>
        </w:rPr>
        <w:t>, Jacobson EW, Sylwestrowicz T, Younes Z, Dryden G, Fedorak R, Greenbloom S. Randomized, double-blind, placebo-controlled trial of the oral interleukin-12/23 inhibitor apilimod mesylate for treatment of active Crohn's disease. </w:t>
      </w:r>
      <w:r w:rsidRPr="00B918F9">
        <w:rPr>
          <w:rFonts w:ascii="Book Antiqua" w:hAnsi="Book Antiqua" w:cs="SimSun"/>
          <w:i/>
          <w:iCs/>
          <w:color w:val="000000"/>
          <w:sz w:val="24"/>
          <w:szCs w:val="24"/>
        </w:rPr>
        <w:t>Inflamm Bowel Dis</w:t>
      </w:r>
      <w:r w:rsidRPr="00B918F9">
        <w:rPr>
          <w:rFonts w:ascii="Book Antiqua" w:hAnsi="Book Antiqua" w:cs="SimSun"/>
          <w:color w:val="000000"/>
          <w:sz w:val="24"/>
          <w:szCs w:val="24"/>
        </w:rPr>
        <w:t> 2010; </w:t>
      </w:r>
      <w:r w:rsidRPr="00B918F9">
        <w:rPr>
          <w:rFonts w:ascii="Book Antiqua" w:hAnsi="Book Antiqua" w:cs="SimSun"/>
          <w:b/>
          <w:bCs/>
          <w:color w:val="000000"/>
          <w:sz w:val="24"/>
          <w:szCs w:val="24"/>
        </w:rPr>
        <w:t>16</w:t>
      </w:r>
      <w:r w:rsidRPr="00B918F9">
        <w:rPr>
          <w:rFonts w:ascii="Book Antiqua" w:hAnsi="Book Antiqua" w:cs="SimSun"/>
          <w:color w:val="000000"/>
          <w:sz w:val="24"/>
          <w:szCs w:val="24"/>
        </w:rPr>
        <w:t>: 1209-1218 [PMID: 19918967 DOI: 10.1002/ibd.21159]</w:t>
      </w:r>
    </w:p>
    <w:p w14:paraId="0A13FB6F"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102 </w:t>
      </w:r>
      <w:r w:rsidRPr="00B918F9">
        <w:rPr>
          <w:rFonts w:ascii="Book Antiqua" w:hAnsi="Book Antiqua" w:cs="SimSun"/>
          <w:b/>
          <w:bCs/>
          <w:color w:val="000000"/>
          <w:sz w:val="24"/>
          <w:szCs w:val="24"/>
        </w:rPr>
        <w:t>Melton L</w:t>
      </w:r>
      <w:r w:rsidRPr="00B918F9">
        <w:rPr>
          <w:rFonts w:ascii="Book Antiqua" w:hAnsi="Book Antiqua" w:cs="SimSun"/>
          <w:color w:val="000000"/>
          <w:sz w:val="24"/>
          <w:szCs w:val="24"/>
        </w:rPr>
        <w:t>, Coombs A. Actemra poised to launch IL-6 inhibitors. </w:t>
      </w:r>
      <w:r w:rsidRPr="00B918F9">
        <w:rPr>
          <w:rFonts w:ascii="Book Antiqua" w:hAnsi="Book Antiqua" w:cs="SimSun"/>
          <w:i/>
          <w:iCs/>
          <w:color w:val="000000"/>
          <w:sz w:val="24"/>
          <w:szCs w:val="24"/>
        </w:rPr>
        <w:t>Nat Biotechnol</w:t>
      </w:r>
      <w:r w:rsidRPr="00B918F9">
        <w:rPr>
          <w:rFonts w:ascii="Book Antiqua" w:hAnsi="Book Antiqua" w:cs="SimSun"/>
          <w:color w:val="000000"/>
          <w:sz w:val="24"/>
          <w:szCs w:val="24"/>
        </w:rPr>
        <w:t> 2008; </w:t>
      </w:r>
      <w:r w:rsidRPr="00B918F9">
        <w:rPr>
          <w:rFonts w:ascii="Book Antiqua" w:hAnsi="Book Antiqua" w:cs="SimSun"/>
          <w:b/>
          <w:bCs/>
          <w:color w:val="000000"/>
          <w:sz w:val="24"/>
          <w:szCs w:val="24"/>
        </w:rPr>
        <w:t>26</w:t>
      </w:r>
      <w:r w:rsidRPr="00B918F9">
        <w:rPr>
          <w:rFonts w:ascii="Book Antiqua" w:hAnsi="Book Antiqua" w:cs="SimSun"/>
          <w:color w:val="000000"/>
          <w:sz w:val="24"/>
          <w:szCs w:val="24"/>
        </w:rPr>
        <w:t>: 957-959 [PMID: 18779787 DOI: 10.1038/nbt0908-957]</w:t>
      </w:r>
    </w:p>
    <w:p w14:paraId="3BA1822E"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103 </w:t>
      </w:r>
      <w:r w:rsidRPr="00B918F9">
        <w:rPr>
          <w:rFonts w:ascii="Book Antiqua" w:hAnsi="Book Antiqua" w:cs="SimSun"/>
          <w:b/>
          <w:bCs/>
          <w:color w:val="000000"/>
          <w:sz w:val="24"/>
          <w:szCs w:val="24"/>
        </w:rPr>
        <w:t>Kishimoto T</w:t>
      </w:r>
      <w:r w:rsidRPr="00B918F9">
        <w:rPr>
          <w:rFonts w:ascii="Book Antiqua" w:hAnsi="Book Antiqua" w:cs="SimSun"/>
          <w:color w:val="000000"/>
          <w:sz w:val="24"/>
          <w:szCs w:val="24"/>
        </w:rPr>
        <w:t>. The biology of interleukin-6. </w:t>
      </w:r>
      <w:r w:rsidRPr="00B918F9">
        <w:rPr>
          <w:rFonts w:ascii="Book Antiqua" w:hAnsi="Book Antiqua" w:cs="SimSun"/>
          <w:i/>
          <w:iCs/>
          <w:color w:val="000000"/>
          <w:sz w:val="24"/>
          <w:szCs w:val="24"/>
        </w:rPr>
        <w:t>Blood</w:t>
      </w:r>
      <w:r w:rsidRPr="00B918F9">
        <w:rPr>
          <w:rFonts w:ascii="Book Antiqua" w:hAnsi="Book Antiqua" w:cs="SimSun"/>
          <w:color w:val="000000"/>
          <w:sz w:val="24"/>
          <w:szCs w:val="24"/>
        </w:rPr>
        <w:t> 1989; </w:t>
      </w:r>
      <w:r w:rsidRPr="00B918F9">
        <w:rPr>
          <w:rFonts w:ascii="Book Antiqua" w:hAnsi="Book Antiqua" w:cs="SimSun"/>
          <w:b/>
          <w:bCs/>
          <w:color w:val="000000"/>
          <w:sz w:val="24"/>
          <w:szCs w:val="24"/>
        </w:rPr>
        <w:t>74</w:t>
      </w:r>
      <w:r w:rsidRPr="00B918F9">
        <w:rPr>
          <w:rFonts w:ascii="Book Antiqua" w:hAnsi="Book Antiqua" w:cs="SimSun"/>
          <w:color w:val="000000"/>
          <w:sz w:val="24"/>
          <w:szCs w:val="24"/>
        </w:rPr>
        <w:t>: 1-10 [PMID: 2473791]</w:t>
      </w:r>
    </w:p>
    <w:p w14:paraId="3E0BE2AC"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104 </w:t>
      </w:r>
      <w:r w:rsidRPr="00B918F9">
        <w:rPr>
          <w:rFonts w:ascii="Book Antiqua" w:hAnsi="Book Antiqua" w:cs="SimSun"/>
          <w:b/>
          <w:bCs/>
          <w:color w:val="000000"/>
          <w:sz w:val="24"/>
          <w:szCs w:val="24"/>
        </w:rPr>
        <w:t>Jones SA</w:t>
      </w:r>
      <w:r w:rsidRPr="00B918F9">
        <w:rPr>
          <w:rFonts w:ascii="Book Antiqua" w:hAnsi="Book Antiqua" w:cs="SimSun"/>
          <w:color w:val="000000"/>
          <w:sz w:val="24"/>
          <w:szCs w:val="24"/>
        </w:rPr>
        <w:t>, Horiuchi S, Topley N, Yamamoto N, Fuller GM. The soluble interleukin 6 receptor: mechanisms of production and implications in disease. </w:t>
      </w:r>
      <w:r w:rsidRPr="00B918F9">
        <w:rPr>
          <w:rFonts w:ascii="Book Antiqua" w:hAnsi="Book Antiqua" w:cs="SimSun"/>
          <w:i/>
          <w:iCs/>
          <w:color w:val="000000"/>
          <w:sz w:val="24"/>
          <w:szCs w:val="24"/>
        </w:rPr>
        <w:t>FASEB J</w:t>
      </w:r>
      <w:r w:rsidRPr="00B918F9">
        <w:rPr>
          <w:rFonts w:ascii="Book Antiqua" w:hAnsi="Book Antiqua" w:cs="SimSun"/>
          <w:color w:val="000000"/>
          <w:sz w:val="24"/>
          <w:szCs w:val="24"/>
        </w:rPr>
        <w:t> 2001; </w:t>
      </w:r>
      <w:r w:rsidRPr="00B918F9">
        <w:rPr>
          <w:rFonts w:ascii="Book Antiqua" w:hAnsi="Book Antiqua" w:cs="SimSun"/>
          <w:b/>
          <w:bCs/>
          <w:color w:val="000000"/>
          <w:sz w:val="24"/>
          <w:szCs w:val="24"/>
        </w:rPr>
        <w:t>15</w:t>
      </w:r>
      <w:r w:rsidRPr="00B918F9">
        <w:rPr>
          <w:rFonts w:ascii="Book Antiqua" w:hAnsi="Book Antiqua" w:cs="SimSun"/>
          <w:color w:val="000000"/>
          <w:sz w:val="24"/>
          <w:szCs w:val="24"/>
        </w:rPr>
        <w:t>: 43-58 [PMID: 11149892 DOI: 10.1096/fj.99-1003rev]</w:t>
      </w:r>
    </w:p>
    <w:p w14:paraId="6903B0A8"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105 </w:t>
      </w:r>
      <w:r w:rsidRPr="00B918F9">
        <w:rPr>
          <w:rFonts w:ascii="Book Antiqua" w:hAnsi="Book Antiqua" w:cs="SimSun"/>
          <w:b/>
          <w:bCs/>
          <w:color w:val="000000"/>
          <w:sz w:val="24"/>
          <w:szCs w:val="24"/>
        </w:rPr>
        <w:t>Mitsuyama K</w:t>
      </w:r>
      <w:r w:rsidRPr="00B918F9">
        <w:rPr>
          <w:rFonts w:ascii="Book Antiqua" w:hAnsi="Book Antiqua" w:cs="SimSun"/>
          <w:color w:val="000000"/>
          <w:sz w:val="24"/>
          <w:szCs w:val="24"/>
        </w:rPr>
        <w:t>, Toyonaga A, Sasaki E, Ishida O, Ikeda H, Tsuruta O, Harada K, Tateishi H, Nishiyama T, Tanikawa K. Soluble interleukin-6 receptors in inflammatory bowel disease: relation to circulating interleukin-6. </w:t>
      </w:r>
      <w:r w:rsidRPr="00B918F9">
        <w:rPr>
          <w:rFonts w:ascii="Book Antiqua" w:hAnsi="Book Antiqua" w:cs="SimSun"/>
          <w:i/>
          <w:iCs/>
          <w:color w:val="000000"/>
          <w:sz w:val="24"/>
          <w:szCs w:val="24"/>
        </w:rPr>
        <w:t>Gut</w:t>
      </w:r>
      <w:r w:rsidRPr="00B918F9">
        <w:rPr>
          <w:rFonts w:ascii="Book Antiqua" w:hAnsi="Book Antiqua" w:cs="SimSun"/>
          <w:color w:val="000000"/>
          <w:sz w:val="24"/>
          <w:szCs w:val="24"/>
        </w:rPr>
        <w:t> 1995; </w:t>
      </w:r>
      <w:r w:rsidRPr="00B918F9">
        <w:rPr>
          <w:rFonts w:ascii="Book Antiqua" w:hAnsi="Book Antiqua" w:cs="SimSun"/>
          <w:b/>
          <w:bCs/>
          <w:color w:val="000000"/>
          <w:sz w:val="24"/>
          <w:szCs w:val="24"/>
        </w:rPr>
        <w:t>36</w:t>
      </w:r>
      <w:r w:rsidRPr="00B918F9">
        <w:rPr>
          <w:rFonts w:ascii="Book Antiqua" w:hAnsi="Book Antiqua" w:cs="SimSun"/>
          <w:color w:val="000000"/>
          <w:sz w:val="24"/>
          <w:szCs w:val="24"/>
        </w:rPr>
        <w:t>: 45-49 [PMID: 7890234 DOI: 10.1136/gut.36.1.45]</w:t>
      </w:r>
    </w:p>
    <w:p w14:paraId="4D9D0482"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106 </w:t>
      </w:r>
      <w:r w:rsidRPr="00B918F9">
        <w:rPr>
          <w:rFonts w:ascii="Book Antiqua" w:hAnsi="Book Antiqua" w:cs="SimSun"/>
          <w:b/>
          <w:bCs/>
          <w:color w:val="000000"/>
          <w:sz w:val="24"/>
          <w:szCs w:val="24"/>
        </w:rPr>
        <w:t>Hosokawa T</w:t>
      </w:r>
      <w:r w:rsidRPr="00B918F9">
        <w:rPr>
          <w:rFonts w:ascii="Book Antiqua" w:hAnsi="Book Antiqua" w:cs="SimSun"/>
          <w:color w:val="000000"/>
          <w:sz w:val="24"/>
          <w:szCs w:val="24"/>
        </w:rPr>
        <w:t>, Kusugami K, Ina K, Ando T, Shinoda M, Imada A, Ohsuga M, Sakai T, Matsuura T, Ito K, Kaneshiro K. Interleukin-6 and soluble interleukin-6 receptor in the colonic mucosa of inflammatory bowel disease. </w:t>
      </w:r>
      <w:r w:rsidRPr="00B918F9">
        <w:rPr>
          <w:rFonts w:ascii="Book Antiqua" w:hAnsi="Book Antiqua" w:cs="SimSun"/>
          <w:i/>
          <w:iCs/>
          <w:color w:val="000000"/>
          <w:sz w:val="24"/>
          <w:szCs w:val="24"/>
        </w:rPr>
        <w:t>J Gastroenterol Hepatol</w:t>
      </w:r>
      <w:r w:rsidRPr="00B918F9">
        <w:rPr>
          <w:rFonts w:ascii="Book Antiqua" w:hAnsi="Book Antiqua" w:cs="SimSun"/>
          <w:color w:val="000000"/>
          <w:sz w:val="24"/>
          <w:szCs w:val="24"/>
        </w:rPr>
        <w:t> 1999; </w:t>
      </w:r>
      <w:r w:rsidRPr="00B918F9">
        <w:rPr>
          <w:rFonts w:ascii="Book Antiqua" w:hAnsi="Book Antiqua" w:cs="SimSun"/>
          <w:b/>
          <w:bCs/>
          <w:color w:val="000000"/>
          <w:sz w:val="24"/>
          <w:szCs w:val="24"/>
        </w:rPr>
        <w:t>14</w:t>
      </w:r>
      <w:r w:rsidRPr="00B918F9">
        <w:rPr>
          <w:rFonts w:ascii="Book Antiqua" w:hAnsi="Book Antiqua" w:cs="SimSun"/>
          <w:color w:val="000000"/>
          <w:sz w:val="24"/>
          <w:szCs w:val="24"/>
        </w:rPr>
        <w:t>: 987-996 [PMID: 10530495 DOI: 10.1046/j.1440-1746.1999.01989.x]</w:t>
      </w:r>
    </w:p>
    <w:p w14:paraId="1BC2C326"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107 </w:t>
      </w:r>
      <w:r w:rsidRPr="00B918F9">
        <w:rPr>
          <w:rFonts w:ascii="Book Antiqua" w:hAnsi="Book Antiqua" w:cs="SimSun"/>
          <w:b/>
          <w:bCs/>
          <w:color w:val="000000"/>
          <w:sz w:val="24"/>
          <w:szCs w:val="24"/>
        </w:rPr>
        <w:t>Ito H</w:t>
      </w:r>
      <w:r w:rsidRPr="00B918F9">
        <w:rPr>
          <w:rFonts w:ascii="Book Antiqua" w:hAnsi="Book Antiqua" w:cs="SimSun"/>
          <w:color w:val="000000"/>
          <w:sz w:val="24"/>
          <w:szCs w:val="24"/>
        </w:rPr>
        <w:t>, Takazoe M, Fukuda Y, Hibi T, Kusugami K, Andoh A, Matsumoto T, Yamamura T, Azuma J, Nishimoto N, Yoshizaki K, Shimoyama T, Kishimoto T. A pilot randomized trial of a human anti-interleukin-6 receptor monoclonal antibody in active Crohn's disease. </w:t>
      </w:r>
      <w:r w:rsidRPr="00B918F9">
        <w:rPr>
          <w:rFonts w:ascii="Book Antiqua" w:hAnsi="Book Antiqua" w:cs="SimSun"/>
          <w:i/>
          <w:iCs/>
          <w:color w:val="000000"/>
          <w:sz w:val="24"/>
          <w:szCs w:val="24"/>
        </w:rPr>
        <w:t>Gastroenterology</w:t>
      </w:r>
      <w:r w:rsidRPr="00B918F9">
        <w:rPr>
          <w:rFonts w:ascii="Book Antiqua" w:hAnsi="Book Antiqua" w:cs="SimSun"/>
          <w:color w:val="000000"/>
          <w:sz w:val="24"/>
          <w:szCs w:val="24"/>
        </w:rPr>
        <w:t> 2004; </w:t>
      </w:r>
      <w:r w:rsidRPr="00B918F9">
        <w:rPr>
          <w:rFonts w:ascii="Book Antiqua" w:hAnsi="Book Antiqua" w:cs="SimSun"/>
          <w:b/>
          <w:bCs/>
          <w:color w:val="000000"/>
          <w:sz w:val="24"/>
          <w:szCs w:val="24"/>
        </w:rPr>
        <w:t>126</w:t>
      </w:r>
      <w:r w:rsidRPr="00B918F9">
        <w:rPr>
          <w:rFonts w:ascii="Book Antiqua" w:hAnsi="Book Antiqua" w:cs="SimSun"/>
          <w:color w:val="000000"/>
          <w:sz w:val="24"/>
          <w:szCs w:val="24"/>
        </w:rPr>
        <w:t>: 989-96; discussion 947 [PMID: 15057738 DOI: 10.1053/j.gastro.2004.01.012]</w:t>
      </w:r>
    </w:p>
    <w:p w14:paraId="19C54D11"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lastRenderedPageBreak/>
        <w:t>108 </w:t>
      </w:r>
      <w:r w:rsidRPr="00B918F9">
        <w:rPr>
          <w:rFonts w:ascii="Book Antiqua" w:hAnsi="Book Antiqua" w:cs="SimSun"/>
          <w:b/>
          <w:bCs/>
          <w:color w:val="000000"/>
          <w:sz w:val="24"/>
          <w:szCs w:val="24"/>
        </w:rPr>
        <w:t>Nishimoto N</w:t>
      </w:r>
      <w:r w:rsidRPr="00B918F9">
        <w:rPr>
          <w:rFonts w:ascii="Book Antiqua" w:hAnsi="Book Antiqua" w:cs="SimSun"/>
          <w:color w:val="000000"/>
          <w:sz w:val="24"/>
          <w:szCs w:val="24"/>
        </w:rPr>
        <w:t>, Ito K, Takagi N. Safety and efficacy profiles of tocilizumab monotherapy in Japanese patients with rheumatoid arthritis: meta-analysis of six initial trials and five long-term extensions. </w:t>
      </w:r>
      <w:r w:rsidRPr="00B918F9">
        <w:rPr>
          <w:rFonts w:ascii="Book Antiqua" w:hAnsi="Book Antiqua" w:cs="SimSun"/>
          <w:i/>
          <w:iCs/>
          <w:color w:val="000000"/>
          <w:sz w:val="24"/>
          <w:szCs w:val="24"/>
        </w:rPr>
        <w:t>Mod Rheumatol</w:t>
      </w:r>
      <w:r w:rsidRPr="00B918F9">
        <w:rPr>
          <w:rFonts w:ascii="Book Antiqua" w:hAnsi="Book Antiqua" w:cs="SimSun"/>
          <w:color w:val="000000"/>
          <w:sz w:val="24"/>
          <w:szCs w:val="24"/>
        </w:rPr>
        <w:t> 2010; </w:t>
      </w:r>
      <w:r w:rsidRPr="00B918F9">
        <w:rPr>
          <w:rFonts w:ascii="Book Antiqua" w:hAnsi="Book Antiqua" w:cs="SimSun"/>
          <w:b/>
          <w:bCs/>
          <w:color w:val="000000"/>
          <w:sz w:val="24"/>
          <w:szCs w:val="24"/>
        </w:rPr>
        <w:t>20</w:t>
      </w:r>
      <w:r w:rsidRPr="00B918F9">
        <w:rPr>
          <w:rFonts w:ascii="Book Antiqua" w:hAnsi="Book Antiqua" w:cs="SimSun"/>
          <w:color w:val="000000"/>
          <w:sz w:val="24"/>
          <w:szCs w:val="24"/>
        </w:rPr>
        <w:t>: 222-232 [PMID: 20221663 DOI: 10.1007/s10165-010-0279-5]</w:t>
      </w:r>
    </w:p>
    <w:p w14:paraId="412A4ADC"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109 Available from: URL: http: //www.clinicaltrials.gov/ct2/show/study/NCT01545050?show_locs=Y</w:t>
      </w:r>
    </w:p>
    <w:p w14:paraId="0E86B0EB"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110 Available from: URL: https: //www.clinicaltrials.gov/ct2/show/NCT01287897?term=PF-04236921&amp;rank=4</w:t>
      </w:r>
    </w:p>
    <w:p w14:paraId="603DD66D"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111 </w:t>
      </w:r>
      <w:r w:rsidRPr="00B918F9">
        <w:rPr>
          <w:rFonts w:ascii="Book Antiqua" w:hAnsi="Book Antiqua" w:cs="SimSun"/>
          <w:b/>
          <w:bCs/>
          <w:color w:val="000000"/>
          <w:sz w:val="24"/>
          <w:szCs w:val="24"/>
        </w:rPr>
        <w:t>Creed TJ</w:t>
      </w:r>
      <w:r w:rsidRPr="00B918F9">
        <w:rPr>
          <w:rFonts w:ascii="Book Antiqua" w:hAnsi="Book Antiqua" w:cs="SimSun"/>
          <w:color w:val="000000"/>
          <w:sz w:val="24"/>
          <w:szCs w:val="24"/>
        </w:rPr>
        <w:t>, Norman MR, Probert CS, Harvey RF, Shaw IS, Smithson J, Anderson J, Moorghen M, Gupta J, Shepherd NA, Dayan CM, Hearing SD. Basiliximab (anti-CD25) in combination with steroids may be an effective new treatment for steroid-resistant ulcerative colitis. </w:t>
      </w:r>
      <w:r w:rsidRPr="00B918F9">
        <w:rPr>
          <w:rFonts w:ascii="Book Antiqua" w:hAnsi="Book Antiqua" w:cs="SimSun"/>
          <w:i/>
          <w:iCs/>
          <w:color w:val="000000"/>
          <w:sz w:val="24"/>
          <w:szCs w:val="24"/>
        </w:rPr>
        <w:t>Aliment Pharmacol Ther</w:t>
      </w:r>
      <w:r w:rsidRPr="00B918F9">
        <w:rPr>
          <w:rFonts w:ascii="Book Antiqua" w:hAnsi="Book Antiqua" w:cs="SimSun"/>
          <w:color w:val="000000"/>
          <w:sz w:val="24"/>
          <w:szCs w:val="24"/>
        </w:rPr>
        <w:t> 2003; </w:t>
      </w:r>
      <w:r w:rsidRPr="00B918F9">
        <w:rPr>
          <w:rFonts w:ascii="Book Antiqua" w:hAnsi="Book Antiqua" w:cs="SimSun"/>
          <w:b/>
          <w:bCs/>
          <w:color w:val="000000"/>
          <w:sz w:val="24"/>
          <w:szCs w:val="24"/>
        </w:rPr>
        <w:t>18</w:t>
      </w:r>
      <w:r w:rsidRPr="00B918F9">
        <w:rPr>
          <w:rFonts w:ascii="Book Antiqua" w:hAnsi="Book Antiqua" w:cs="SimSun"/>
          <w:color w:val="000000"/>
          <w:sz w:val="24"/>
          <w:szCs w:val="24"/>
        </w:rPr>
        <w:t>: 65-75 [PMID: 12848627 DOI: 10.1046/j.1365-2036.2003.01639.x]</w:t>
      </w:r>
    </w:p>
    <w:p w14:paraId="3F57F022"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112 </w:t>
      </w:r>
      <w:r w:rsidRPr="00B918F9">
        <w:rPr>
          <w:rFonts w:ascii="Book Antiqua" w:hAnsi="Book Antiqua" w:cs="SimSun"/>
          <w:b/>
          <w:bCs/>
          <w:color w:val="000000"/>
          <w:sz w:val="24"/>
          <w:szCs w:val="24"/>
        </w:rPr>
        <w:t>Creed TJ</w:t>
      </w:r>
      <w:r w:rsidRPr="00B918F9">
        <w:rPr>
          <w:rFonts w:ascii="Book Antiqua" w:hAnsi="Book Antiqua" w:cs="SimSun"/>
          <w:color w:val="000000"/>
          <w:sz w:val="24"/>
          <w:szCs w:val="24"/>
        </w:rPr>
        <w:t>, Probert CS, Norman MN, Moorghen M, Shepherd NA, Hearing SD, Dayan CM; BASBUC INVESTIGATORS. Basiliximab for the treatment of steroid-resistant ulcerative colitis: further experience in moderate and severe disease. </w:t>
      </w:r>
      <w:r w:rsidRPr="00B918F9">
        <w:rPr>
          <w:rFonts w:ascii="Book Antiqua" w:hAnsi="Book Antiqua" w:cs="SimSun"/>
          <w:i/>
          <w:iCs/>
          <w:color w:val="000000"/>
          <w:sz w:val="24"/>
          <w:szCs w:val="24"/>
        </w:rPr>
        <w:t>Aliment Pharmacol Ther</w:t>
      </w:r>
      <w:r w:rsidRPr="00B918F9">
        <w:rPr>
          <w:rFonts w:ascii="Book Antiqua" w:hAnsi="Book Antiqua" w:cs="SimSun"/>
          <w:color w:val="000000"/>
          <w:sz w:val="24"/>
          <w:szCs w:val="24"/>
        </w:rPr>
        <w:t> 2006; </w:t>
      </w:r>
      <w:r w:rsidRPr="00B918F9">
        <w:rPr>
          <w:rFonts w:ascii="Book Antiqua" w:hAnsi="Book Antiqua" w:cs="SimSun"/>
          <w:b/>
          <w:bCs/>
          <w:color w:val="000000"/>
          <w:sz w:val="24"/>
          <w:szCs w:val="24"/>
        </w:rPr>
        <w:t>23</w:t>
      </w:r>
      <w:r w:rsidRPr="00B918F9">
        <w:rPr>
          <w:rFonts w:ascii="Book Antiqua" w:hAnsi="Book Antiqua" w:cs="SimSun"/>
          <w:color w:val="000000"/>
          <w:sz w:val="24"/>
          <w:szCs w:val="24"/>
        </w:rPr>
        <w:t>: 1435-1442 [PMID: 16669958 DOI: 10.1111/j.1365-2036.2006.02904.x]</w:t>
      </w:r>
    </w:p>
    <w:p w14:paraId="2BA42EB5"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113 </w:t>
      </w:r>
      <w:r w:rsidRPr="00B918F9">
        <w:rPr>
          <w:rFonts w:ascii="Book Antiqua" w:hAnsi="Book Antiqua" w:cs="SimSun"/>
          <w:b/>
          <w:bCs/>
          <w:color w:val="000000"/>
          <w:sz w:val="24"/>
          <w:szCs w:val="24"/>
        </w:rPr>
        <w:t>Van Assche G</w:t>
      </w:r>
      <w:r w:rsidRPr="00B918F9">
        <w:rPr>
          <w:rFonts w:ascii="Book Antiqua" w:hAnsi="Book Antiqua" w:cs="SimSun"/>
          <w:color w:val="000000"/>
          <w:sz w:val="24"/>
          <w:szCs w:val="24"/>
        </w:rPr>
        <w:t>, Sandborn WJ, Feagan BG, Salzberg BA, Silvers D, Monroe PS, Pandak WM, Anderson FH, Valentine JF, Wild GE, Geenen DJ, Sprague R, Targan SR, Rutgeerts P, Vexler V, Young D, Shames RS. Daclizumab, a humanised monoclonal antibody to the interleukin 2 receptor (CD25), for the treatment of moderately to severely active ulcerative colitis: a randomised, double blind, placebo controlled, dose ranging trial. </w:t>
      </w:r>
      <w:r w:rsidRPr="00B918F9">
        <w:rPr>
          <w:rFonts w:ascii="Book Antiqua" w:hAnsi="Book Antiqua" w:cs="SimSun"/>
          <w:i/>
          <w:iCs/>
          <w:color w:val="000000"/>
          <w:sz w:val="24"/>
          <w:szCs w:val="24"/>
        </w:rPr>
        <w:t>Gut</w:t>
      </w:r>
      <w:r w:rsidRPr="00B918F9">
        <w:rPr>
          <w:rFonts w:ascii="Book Antiqua" w:hAnsi="Book Antiqua" w:cs="SimSun"/>
          <w:color w:val="000000"/>
          <w:sz w:val="24"/>
          <w:szCs w:val="24"/>
        </w:rPr>
        <w:t> 2006; </w:t>
      </w:r>
      <w:r w:rsidRPr="00B918F9">
        <w:rPr>
          <w:rFonts w:ascii="Book Antiqua" w:hAnsi="Book Antiqua" w:cs="SimSun"/>
          <w:b/>
          <w:bCs/>
          <w:color w:val="000000"/>
          <w:sz w:val="24"/>
          <w:szCs w:val="24"/>
        </w:rPr>
        <w:t>55</w:t>
      </w:r>
      <w:r w:rsidRPr="00B918F9">
        <w:rPr>
          <w:rFonts w:ascii="Book Antiqua" w:hAnsi="Book Antiqua" w:cs="SimSun"/>
          <w:color w:val="000000"/>
          <w:sz w:val="24"/>
          <w:szCs w:val="24"/>
        </w:rPr>
        <w:t>: 1568-1574 [PMID: 16603634 DOI: 10.1136/gut.2005.089854]</w:t>
      </w:r>
    </w:p>
    <w:p w14:paraId="54A08DE0"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114 </w:t>
      </w:r>
      <w:r w:rsidRPr="00B918F9">
        <w:rPr>
          <w:rFonts w:ascii="Book Antiqua" w:hAnsi="Book Antiqua" w:cs="SimSun"/>
          <w:b/>
          <w:bCs/>
          <w:color w:val="000000"/>
          <w:sz w:val="24"/>
          <w:szCs w:val="24"/>
        </w:rPr>
        <w:t>Heller F</w:t>
      </w:r>
      <w:r w:rsidRPr="00B918F9">
        <w:rPr>
          <w:rFonts w:ascii="Book Antiqua" w:hAnsi="Book Antiqua" w:cs="SimSun"/>
          <w:color w:val="000000"/>
          <w:sz w:val="24"/>
          <w:szCs w:val="24"/>
        </w:rPr>
        <w:t>, Florian P, Bojarski C, Richter J, Christ M, Hillenbrand B, Mankertz J, Gitter AH, Bürgel N, Fromm M, Zeitz M, Fuss I, Strober W, Schulzke JD. Interleukin-13 is the key effector Th2 cytokine in ulcerative colitis that affects epithelial tight junctions, apoptosis, and cell restitution. </w:t>
      </w:r>
      <w:r w:rsidRPr="00B918F9">
        <w:rPr>
          <w:rFonts w:ascii="Book Antiqua" w:hAnsi="Book Antiqua" w:cs="SimSun"/>
          <w:i/>
          <w:iCs/>
          <w:color w:val="000000"/>
          <w:sz w:val="24"/>
          <w:szCs w:val="24"/>
        </w:rPr>
        <w:t>Gastroenterology</w:t>
      </w:r>
      <w:r w:rsidRPr="00B918F9">
        <w:rPr>
          <w:rFonts w:ascii="Book Antiqua" w:hAnsi="Book Antiqua" w:cs="SimSun"/>
          <w:color w:val="000000"/>
          <w:sz w:val="24"/>
          <w:szCs w:val="24"/>
        </w:rPr>
        <w:t> 2005; </w:t>
      </w:r>
      <w:r w:rsidRPr="00B918F9">
        <w:rPr>
          <w:rFonts w:ascii="Book Antiqua" w:hAnsi="Book Antiqua" w:cs="SimSun"/>
          <w:b/>
          <w:bCs/>
          <w:color w:val="000000"/>
          <w:sz w:val="24"/>
          <w:szCs w:val="24"/>
        </w:rPr>
        <w:t>129</w:t>
      </w:r>
      <w:r w:rsidRPr="00B918F9">
        <w:rPr>
          <w:rFonts w:ascii="Book Antiqua" w:hAnsi="Book Antiqua" w:cs="SimSun"/>
          <w:color w:val="000000"/>
          <w:sz w:val="24"/>
          <w:szCs w:val="24"/>
        </w:rPr>
        <w:t>: 550-564 [PMID: 16083712 DOI: 10.1053/j.gastro.2005.05.002]</w:t>
      </w:r>
    </w:p>
    <w:p w14:paraId="2E6FA617"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lastRenderedPageBreak/>
        <w:t>115 </w:t>
      </w:r>
      <w:r w:rsidRPr="00B918F9">
        <w:rPr>
          <w:rFonts w:ascii="Book Antiqua" w:hAnsi="Book Antiqua" w:cs="SimSun"/>
          <w:b/>
          <w:bCs/>
          <w:color w:val="000000"/>
          <w:sz w:val="24"/>
          <w:szCs w:val="24"/>
        </w:rPr>
        <w:t>Danese S</w:t>
      </w:r>
      <w:r w:rsidRPr="00B918F9">
        <w:rPr>
          <w:rFonts w:ascii="Book Antiqua" w:hAnsi="Book Antiqua" w:cs="SimSun"/>
          <w:color w:val="000000"/>
          <w:sz w:val="24"/>
          <w:szCs w:val="24"/>
        </w:rPr>
        <w:t>. IBD: of mice and men-shedding new light on IL-13 activity in IBD. </w:t>
      </w:r>
      <w:r w:rsidRPr="00B918F9">
        <w:rPr>
          <w:rFonts w:ascii="Book Antiqua" w:hAnsi="Book Antiqua" w:cs="SimSun"/>
          <w:i/>
          <w:iCs/>
          <w:color w:val="000000"/>
          <w:sz w:val="24"/>
          <w:szCs w:val="24"/>
        </w:rPr>
        <w:t>Nat Rev Gastroenterol Hepatol</w:t>
      </w:r>
      <w:r w:rsidRPr="00B918F9">
        <w:rPr>
          <w:rFonts w:ascii="Book Antiqua" w:hAnsi="Book Antiqua" w:cs="SimSun"/>
          <w:color w:val="000000"/>
          <w:sz w:val="24"/>
          <w:szCs w:val="24"/>
        </w:rPr>
        <w:t> 2011; </w:t>
      </w:r>
      <w:r w:rsidRPr="00B918F9">
        <w:rPr>
          <w:rFonts w:ascii="Book Antiqua" w:hAnsi="Book Antiqua" w:cs="SimSun"/>
          <w:b/>
          <w:bCs/>
          <w:color w:val="000000"/>
          <w:sz w:val="24"/>
          <w:szCs w:val="24"/>
        </w:rPr>
        <w:t>8</w:t>
      </w:r>
      <w:r w:rsidRPr="00B918F9">
        <w:rPr>
          <w:rFonts w:ascii="Book Antiqua" w:hAnsi="Book Antiqua" w:cs="SimSun"/>
          <w:color w:val="000000"/>
          <w:sz w:val="24"/>
          <w:szCs w:val="24"/>
        </w:rPr>
        <w:t>: 128-129 [PMID: 21304479 DOI: 10.1038/nrgastro.2011.17]</w:t>
      </w:r>
    </w:p>
    <w:p w14:paraId="0C43806C"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116 </w:t>
      </w:r>
      <w:r w:rsidRPr="00B918F9">
        <w:rPr>
          <w:rFonts w:ascii="Book Antiqua" w:hAnsi="Book Antiqua" w:cs="SimSun"/>
          <w:b/>
          <w:bCs/>
          <w:color w:val="000000"/>
          <w:sz w:val="24"/>
          <w:szCs w:val="24"/>
        </w:rPr>
        <w:t>Reinisch W</w:t>
      </w:r>
      <w:r w:rsidRPr="00B918F9">
        <w:rPr>
          <w:rFonts w:ascii="Book Antiqua" w:hAnsi="Book Antiqua" w:cs="SimSun"/>
          <w:color w:val="000000"/>
          <w:sz w:val="24"/>
          <w:szCs w:val="24"/>
        </w:rPr>
        <w:t>, Panés J, Khurana S, Toth G, Hua F, Comer GM, Hinz M, Page K, O'Toole M, Moorehead TM, Zhu H, Sun Y, Cataldi F. Anrukinzumab, an anti-interleukin 13 monoclonal antibody, in active UC: efficacy and safety from a phase IIa randomised multicentre study. </w:t>
      </w:r>
      <w:r w:rsidRPr="00B918F9">
        <w:rPr>
          <w:rFonts w:ascii="Book Antiqua" w:hAnsi="Book Antiqua" w:cs="SimSun"/>
          <w:i/>
          <w:iCs/>
          <w:color w:val="000000"/>
          <w:sz w:val="24"/>
          <w:szCs w:val="24"/>
        </w:rPr>
        <w:t>Gut</w:t>
      </w:r>
      <w:r w:rsidRPr="00B918F9">
        <w:rPr>
          <w:rFonts w:ascii="Book Antiqua" w:hAnsi="Book Antiqua" w:cs="SimSun"/>
          <w:color w:val="000000"/>
          <w:sz w:val="24"/>
          <w:szCs w:val="24"/>
        </w:rPr>
        <w:t> 2015; </w:t>
      </w:r>
      <w:r w:rsidRPr="00B918F9">
        <w:rPr>
          <w:rFonts w:ascii="Book Antiqua" w:hAnsi="Book Antiqua" w:cs="SimSun"/>
          <w:b/>
          <w:bCs/>
          <w:color w:val="000000"/>
          <w:sz w:val="24"/>
          <w:szCs w:val="24"/>
        </w:rPr>
        <w:t>64</w:t>
      </w:r>
      <w:r w:rsidRPr="00B918F9">
        <w:rPr>
          <w:rFonts w:ascii="Book Antiqua" w:hAnsi="Book Antiqua" w:cs="SimSun"/>
          <w:color w:val="000000"/>
          <w:sz w:val="24"/>
          <w:szCs w:val="24"/>
        </w:rPr>
        <w:t>: 894-900 [PMID: 25567115 DOI: 10.1136/gutjnl-2014-308337]</w:t>
      </w:r>
    </w:p>
    <w:p w14:paraId="14A26E54"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117 </w:t>
      </w:r>
      <w:r w:rsidRPr="00B918F9">
        <w:rPr>
          <w:rFonts w:ascii="Book Antiqua" w:hAnsi="Book Antiqua" w:cs="SimSun"/>
          <w:b/>
          <w:bCs/>
          <w:color w:val="000000"/>
          <w:sz w:val="24"/>
          <w:szCs w:val="24"/>
        </w:rPr>
        <w:t>Danese S</w:t>
      </w:r>
      <w:r w:rsidRPr="00B918F9">
        <w:rPr>
          <w:rFonts w:ascii="Book Antiqua" w:hAnsi="Book Antiqua" w:cs="SimSun"/>
          <w:color w:val="000000"/>
          <w:sz w:val="24"/>
          <w:szCs w:val="24"/>
        </w:rPr>
        <w:t>, Rudziński J, Brandt W, Dupas JL, Peyrin-Biroulet L, Bouhnik Y, Kleczkowski D, Uebel P, Lukas M, Knutsson M, Erlandsson F, Hansen MB, Keshav S. Tralokinumab for moderate-to-severe UC: a randomised, double-blind, placebo-controlled, phase IIa study. </w:t>
      </w:r>
      <w:r w:rsidRPr="00B918F9">
        <w:rPr>
          <w:rFonts w:ascii="Book Antiqua" w:hAnsi="Book Antiqua" w:cs="SimSun"/>
          <w:i/>
          <w:iCs/>
          <w:color w:val="000000"/>
          <w:sz w:val="24"/>
          <w:szCs w:val="24"/>
        </w:rPr>
        <w:t>Gut</w:t>
      </w:r>
      <w:r w:rsidRPr="00B918F9">
        <w:rPr>
          <w:rFonts w:ascii="Book Antiqua" w:hAnsi="Book Antiqua" w:cs="SimSun"/>
          <w:color w:val="000000"/>
          <w:sz w:val="24"/>
          <w:szCs w:val="24"/>
        </w:rPr>
        <w:t> 2015; </w:t>
      </w:r>
      <w:r w:rsidRPr="00B918F9">
        <w:rPr>
          <w:rFonts w:ascii="Book Antiqua" w:hAnsi="Book Antiqua" w:cs="SimSun"/>
          <w:b/>
          <w:bCs/>
          <w:color w:val="000000"/>
          <w:sz w:val="24"/>
          <w:szCs w:val="24"/>
        </w:rPr>
        <w:t>64</w:t>
      </w:r>
      <w:r w:rsidRPr="00B918F9">
        <w:rPr>
          <w:rFonts w:ascii="Book Antiqua" w:hAnsi="Book Antiqua" w:cs="SimSun"/>
          <w:color w:val="000000"/>
          <w:sz w:val="24"/>
          <w:szCs w:val="24"/>
        </w:rPr>
        <w:t>: 243-249 [PMID: 25304132 DOI: 10.1136/gutjnl-2014-308004]</w:t>
      </w:r>
    </w:p>
    <w:p w14:paraId="366F3DBF"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118 Available from: URL: https: //www.clinicaltrials.gov/ct2/show/study/NCT01355614?term=qax576&amp;rank=9</w:t>
      </w:r>
    </w:p>
    <w:p w14:paraId="64A088D3"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119 </w:t>
      </w:r>
      <w:r w:rsidRPr="00B918F9">
        <w:rPr>
          <w:rFonts w:ascii="Book Antiqua" w:hAnsi="Book Antiqua" w:cs="SimSun"/>
          <w:b/>
          <w:bCs/>
          <w:color w:val="000000"/>
          <w:sz w:val="24"/>
          <w:szCs w:val="24"/>
        </w:rPr>
        <w:t>Herrlinger KR</w:t>
      </w:r>
      <w:r w:rsidRPr="00B918F9">
        <w:rPr>
          <w:rFonts w:ascii="Book Antiqua" w:hAnsi="Book Antiqua" w:cs="SimSun"/>
          <w:color w:val="000000"/>
          <w:sz w:val="24"/>
          <w:szCs w:val="24"/>
        </w:rPr>
        <w:t>, Diculescu M, Fellermann K, Hartmann H, Howaldt S, Nikolov R, Petrov A, Reindl W, Otte JM, Stoynov S, Strauch U, Sturm A, Voiosu R, Ammendola A, Dietrich B, Hentsch B, Stange EF. Efficacy, safety and tolerability of vidofludimus in patients with inflammatory bowel disease: the ENTRANCE study. </w:t>
      </w:r>
      <w:r w:rsidRPr="00B918F9">
        <w:rPr>
          <w:rFonts w:ascii="Book Antiqua" w:hAnsi="Book Antiqua" w:cs="SimSun"/>
          <w:i/>
          <w:iCs/>
          <w:color w:val="000000"/>
          <w:sz w:val="24"/>
          <w:szCs w:val="24"/>
        </w:rPr>
        <w:t>J Crohns Colitis</w:t>
      </w:r>
      <w:r w:rsidRPr="00B918F9">
        <w:rPr>
          <w:rFonts w:ascii="Book Antiqua" w:hAnsi="Book Antiqua" w:cs="SimSun"/>
          <w:color w:val="000000"/>
          <w:sz w:val="24"/>
          <w:szCs w:val="24"/>
        </w:rPr>
        <w:t> 2013; </w:t>
      </w:r>
      <w:r w:rsidRPr="00B918F9">
        <w:rPr>
          <w:rFonts w:ascii="Book Antiqua" w:hAnsi="Book Antiqua" w:cs="SimSun"/>
          <w:b/>
          <w:bCs/>
          <w:color w:val="000000"/>
          <w:sz w:val="24"/>
          <w:szCs w:val="24"/>
        </w:rPr>
        <w:t>7</w:t>
      </w:r>
      <w:r w:rsidRPr="00B918F9">
        <w:rPr>
          <w:rFonts w:ascii="Book Antiqua" w:hAnsi="Book Antiqua" w:cs="SimSun"/>
          <w:color w:val="000000"/>
          <w:sz w:val="24"/>
          <w:szCs w:val="24"/>
        </w:rPr>
        <w:t>: 636-643 [PMID: 23078909 DOI: 10.1016/j.crohns.2012.09.016]</w:t>
      </w:r>
    </w:p>
    <w:p w14:paraId="7DADE895"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 xml:space="preserve">120 </w:t>
      </w:r>
      <w:r w:rsidRPr="00B918F9">
        <w:rPr>
          <w:rFonts w:ascii="Book Antiqua" w:hAnsi="Book Antiqua" w:cs="SimSun"/>
          <w:b/>
          <w:color w:val="000000"/>
          <w:sz w:val="24"/>
          <w:szCs w:val="24"/>
        </w:rPr>
        <w:t>Targan S</w:t>
      </w:r>
      <w:r w:rsidRPr="00B918F9">
        <w:rPr>
          <w:rFonts w:ascii="Book Antiqua" w:hAnsi="Book Antiqua" w:cs="SimSun"/>
          <w:color w:val="000000"/>
          <w:sz w:val="24"/>
          <w:szCs w:val="24"/>
        </w:rPr>
        <w:t xml:space="preserve">, Feagan B, Vermeire S, Panaccione R, Melmed G, Blosch C, Newmark R, Zhang N, . A Randomized, Double-Blind, Placebo-Controlled Study to Evaluate the Safety, Tolerability, and Efficacy of AMG 827 in Subjects With Moderate to Severe Crohn's Disease. </w:t>
      </w:r>
      <w:r w:rsidRPr="00B918F9">
        <w:rPr>
          <w:rFonts w:ascii="Book Antiqua" w:hAnsi="Book Antiqua" w:cs="SimSun"/>
          <w:i/>
          <w:color w:val="000000"/>
          <w:sz w:val="24"/>
          <w:szCs w:val="24"/>
        </w:rPr>
        <w:t>Gastroenterology</w:t>
      </w:r>
      <w:r w:rsidRPr="00B918F9">
        <w:rPr>
          <w:rFonts w:ascii="Book Antiqua" w:hAnsi="Book Antiqua" w:cs="SimSun"/>
          <w:color w:val="000000"/>
          <w:sz w:val="24"/>
          <w:szCs w:val="24"/>
        </w:rPr>
        <w:t xml:space="preserve"> 2012; </w:t>
      </w:r>
      <w:r w:rsidRPr="00B918F9">
        <w:rPr>
          <w:rFonts w:ascii="Book Antiqua" w:hAnsi="Book Antiqua" w:cs="SimSun"/>
          <w:b/>
          <w:color w:val="000000"/>
          <w:sz w:val="24"/>
          <w:szCs w:val="24"/>
        </w:rPr>
        <w:t>143</w:t>
      </w:r>
      <w:r w:rsidRPr="00B918F9">
        <w:rPr>
          <w:rFonts w:ascii="Book Antiqua" w:hAnsi="Book Antiqua" w:cs="SimSun"/>
          <w:color w:val="000000"/>
          <w:sz w:val="24"/>
          <w:szCs w:val="24"/>
        </w:rPr>
        <w:t>: e26 [DOI: 10.1053/j.gastro.2012.07.084]</w:t>
      </w:r>
    </w:p>
    <w:p w14:paraId="13C0857B"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121 Available from: URL: https: //clinicaltrials.gov/ct2/show/NCT01035645?term=gsk1070806&amp;rank=2</w:t>
      </w:r>
    </w:p>
    <w:p w14:paraId="5BCD81FE"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122 Available from: URL: https: //clinicaltrials.gov/ct2/results?term=PF-05230900 &amp;Search=Search</w:t>
      </w:r>
    </w:p>
    <w:p w14:paraId="7600E3F5"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lastRenderedPageBreak/>
        <w:t>123 </w:t>
      </w:r>
      <w:r w:rsidRPr="00B918F9">
        <w:rPr>
          <w:rFonts w:ascii="Book Antiqua" w:hAnsi="Book Antiqua"/>
          <w:b/>
          <w:bCs/>
          <w:color w:val="000000"/>
          <w:sz w:val="24"/>
          <w:szCs w:val="24"/>
        </w:rPr>
        <w:t>Pallone F</w:t>
      </w:r>
      <w:r w:rsidRPr="00B918F9">
        <w:rPr>
          <w:rFonts w:ascii="Book Antiqua" w:hAnsi="Book Antiqua"/>
          <w:color w:val="000000"/>
          <w:sz w:val="24"/>
          <w:szCs w:val="24"/>
        </w:rPr>
        <w:t>, Fina D, Caruso R, Monteleone G. Role of IL-21 in inflammatory bowel disease.</w:t>
      </w:r>
      <w:r w:rsidRPr="00B918F9">
        <w:rPr>
          <w:rStyle w:val="apple-converted-space"/>
          <w:rFonts w:ascii="Book Antiqua" w:hAnsi="Book Antiqua"/>
          <w:sz w:val="24"/>
          <w:szCs w:val="24"/>
        </w:rPr>
        <w:t> </w:t>
      </w:r>
      <w:r w:rsidRPr="00B918F9">
        <w:rPr>
          <w:rFonts w:ascii="Book Antiqua" w:hAnsi="Book Antiqua"/>
          <w:i/>
          <w:iCs/>
          <w:color w:val="000000"/>
          <w:sz w:val="24"/>
          <w:szCs w:val="24"/>
        </w:rPr>
        <w:t>Expert Rev Clin Immunol</w:t>
      </w:r>
      <w:r w:rsidRPr="00B918F9">
        <w:rPr>
          <w:rStyle w:val="apple-converted-space"/>
          <w:rFonts w:ascii="Book Antiqua" w:hAnsi="Book Antiqua"/>
          <w:sz w:val="24"/>
          <w:szCs w:val="24"/>
        </w:rPr>
        <w:t> </w:t>
      </w:r>
      <w:r w:rsidRPr="00B918F9">
        <w:rPr>
          <w:rFonts w:ascii="Book Antiqua" w:hAnsi="Book Antiqua"/>
          <w:color w:val="000000"/>
          <w:sz w:val="24"/>
          <w:szCs w:val="24"/>
        </w:rPr>
        <w:t>2010;</w:t>
      </w:r>
      <w:r w:rsidRPr="00B918F9">
        <w:rPr>
          <w:rStyle w:val="apple-converted-space"/>
          <w:rFonts w:ascii="Book Antiqua" w:hAnsi="Book Antiqua"/>
          <w:sz w:val="24"/>
          <w:szCs w:val="24"/>
        </w:rPr>
        <w:t> </w:t>
      </w:r>
      <w:r w:rsidRPr="00B918F9">
        <w:rPr>
          <w:rFonts w:ascii="Book Antiqua" w:hAnsi="Book Antiqua"/>
          <w:b/>
          <w:bCs/>
          <w:color w:val="000000"/>
          <w:sz w:val="24"/>
          <w:szCs w:val="24"/>
        </w:rPr>
        <w:t>6</w:t>
      </w:r>
      <w:r w:rsidRPr="00B918F9">
        <w:rPr>
          <w:rFonts w:ascii="Book Antiqua" w:hAnsi="Book Antiqua"/>
          <w:color w:val="000000"/>
          <w:sz w:val="24"/>
          <w:szCs w:val="24"/>
        </w:rPr>
        <w:t>: 537-541 [PMID: 20594126]</w:t>
      </w:r>
    </w:p>
    <w:p w14:paraId="1B36236B"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124 </w:t>
      </w:r>
      <w:r w:rsidRPr="00B918F9">
        <w:rPr>
          <w:rFonts w:ascii="Book Antiqua" w:hAnsi="Book Antiqua" w:cs="SimSun"/>
          <w:b/>
          <w:bCs/>
          <w:color w:val="000000"/>
          <w:sz w:val="24"/>
          <w:szCs w:val="24"/>
        </w:rPr>
        <w:t>Rovedatti L</w:t>
      </w:r>
      <w:r w:rsidRPr="00B918F9">
        <w:rPr>
          <w:rFonts w:ascii="Book Antiqua" w:hAnsi="Book Antiqua" w:cs="SimSun"/>
          <w:color w:val="000000"/>
          <w:sz w:val="24"/>
          <w:szCs w:val="24"/>
        </w:rPr>
        <w:t>, Kudo T, Biancheri P, Sarra M, Knowles CH, Rampton DS, Corazza GR, Monteleone G, Di Sabatino A, Macdonald TT. Differential regulation of interleukin 17 and interferon gamma production in inflammatory bowel disease. </w:t>
      </w:r>
      <w:r w:rsidRPr="00B918F9">
        <w:rPr>
          <w:rFonts w:ascii="Book Antiqua" w:hAnsi="Book Antiqua" w:cs="SimSun"/>
          <w:i/>
          <w:iCs/>
          <w:color w:val="000000"/>
          <w:sz w:val="24"/>
          <w:szCs w:val="24"/>
        </w:rPr>
        <w:t>Gut</w:t>
      </w:r>
      <w:r w:rsidRPr="00B918F9">
        <w:rPr>
          <w:rFonts w:ascii="Book Antiqua" w:hAnsi="Book Antiqua" w:cs="SimSun"/>
          <w:color w:val="000000"/>
          <w:sz w:val="24"/>
          <w:szCs w:val="24"/>
        </w:rPr>
        <w:t> 2009; </w:t>
      </w:r>
      <w:r w:rsidRPr="00B918F9">
        <w:rPr>
          <w:rFonts w:ascii="Book Antiqua" w:hAnsi="Book Antiqua" w:cs="SimSun"/>
          <w:b/>
          <w:bCs/>
          <w:color w:val="000000"/>
          <w:sz w:val="24"/>
          <w:szCs w:val="24"/>
        </w:rPr>
        <w:t>58</w:t>
      </w:r>
      <w:r w:rsidRPr="00B918F9">
        <w:rPr>
          <w:rFonts w:ascii="Book Antiqua" w:hAnsi="Book Antiqua" w:cs="SimSun"/>
          <w:color w:val="000000"/>
          <w:sz w:val="24"/>
          <w:szCs w:val="24"/>
        </w:rPr>
        <w:t>: 1629-1636 [PMID: 19740775 DOI: 10.1136/gut.2009.182170]</w:t>
      </w:r>
    </w:p>
    <w:p w14:paraId="06F98BA1"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125 </w:t>
      </w:r>
      <w:r w:rsidRPr="00B918F9">
        <w:rPr>
          <w:rFonts w:ascii="Book Antiqua" w:hAnsi="Book Antiqua" w:cs="SimSun"/>
          <w:b/>
          <w:bCs/>
          <w:color w:val="000000"/>
          <w:sz w:val="24"/>
          <w:szCs w:val="24"/>
        </w:rPr>
        <w:t>Ludwiczek O</w:t>
      </w:r>
      <w:r w:rsidRPr="00B918F9">
        <w:rPr>
          <w:rFonts w:ascii="Book Antiqua" w:hAnsi="Book Antiqua" w:cs="SimSun"/>
          <w:color w:val="000000"/>
          <w:sz w:val="24"/>
          <w:szCs w:val="24"/>
        </w:rPr>
        <w:t>, Kaser A, Novick D, Dinarello CA, Rubinstein M, Tilg H. Elevated systemic levels of free interleukin-18 (IL-18) in patients with Crohn's disease. </w:t>
      </w:r>
      <w:r w:rsidRPr="00B918F9">
        <w:rPr>
          <w:rFonts w:ascii="Book Antiqua" w:hAnsi="Book Antiqua" w:cs="SimSun"/>
          <w:i/>
          <w:iCs/>
          <w:color w:val="000000"/>
          <w:sz w:val="24"/>
          <w:szCs w:val="24"/>
        </w:rPr>
        <w:t>Eur Cytokine Netw</w:t>
      </w:r>
      <w:r w:rsidRPr="00B918F9">
        <w:rPr>
          <w:rFonts w:ascii="Book Antiqua" w:hAnsi="Book Antiqua" w:cs="SimSun"/>
          <w:color w:val="000000"/>
          <w:sz w:val="24"/>
          <w:szCs w:val="24"/>
        </w:rPr>
        <w:t> ; </w:t>
      </w:r>
      <w:r w:rsidRPr="00B918F9">
        <w:rPr>
          <w:rFonts w:ascii="Book Antiqua" w:hAnsi="Book Antiqua" w:cs="SimSun"/>
          <w:b/>
          <w:bCs/>
          <w:color w:val="000000"/>
          <w:sz w:val="24"/>
          <w:szCs w:val="24"/>
        </w:rPr>
        <w:t>16</w:t>
      </w:r>
      <w:r w:rsidRPr="00B918F9">
        <w:rPr>
          <w:rFonts w:ascii="Book Antiqua" w:hAnsi="Book Antiqua" w:cs="SimSun"/>
          <w:color w:val="000000"/>
          <w:sz w:val="24"/>
          <w:szCs w:val="24"/>
        </w:rPr>
        <w:t>: 27-33 [PMID: 15809203]</w:t>
      </w:r>
    </w:p>
    <w:p w14:paraId="2E6E451B"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126 </w:t>
      </w:r>
      <w:r w:rsidRPr="00B918F9">
        <w:rPr>
          <w:rFonts w:ascii="Book Antiqua" w:hAnsi="Book Antiqua" w:cs="SimSun"/>
          <w:b/>
          <w:bCs/>
          <w:color w:val="000000"/>
          <w:sz w:val="24"/>
          <w:szCs w:val="24"/>
        </w:rPr>
        <w:t>Fedorak RN</w:t>
      </w:r>
      <w:r w:rsidRPr="00B918F9">
        <w:rPr>
          <w:rFonts w:ascii="Book Antiqua" w:hAnsi="Book Antiqua" w:cs="SimSun"/>
          <w:color w:val="000000"/>
          <w:sz w:val="24"/>
          <w:szCs w:val="24"/>
        </w:rPr>
        <w:t>, Gangl A, Elson CO, Rutgeerts P, Schreiber S, Wild G, Hanauer SB, Kilian A, Cohard M, LeBeaut A, Feagan B. Recombinant human interleukin 10 in the treatment of patients with mild to moderately active Crohn's disease. The Interleukin 10 Inflammatory Bowel Disease Cooperative Study Group. </w:t>
      </w:r>
      <w:r w:rsidRPr="00B918F9">
        <w:rPr>
          <w:rFonts w:ascii="Book Antiqua" w:hAnsi="Book Antiqua" w:cs="SimSun"/>
          <w:i/>
          <w:iCs/>
          <w:color w:val="000000"/>
          <w:sz w:val="24"/>
          <w:szCs w:val="24"/>
        </w:rPr>
        <w:t>Gastroenterology</w:t>
      </w:r>
      <w:r w:rsidRPr="00B918F9">
        <w:rPr>
          <w:rFonts w:ascii="Book Antiqua" w:hAnsi="Book Antiqua" w:cs="SimSun"/>
          <w:color w:val="000000"/>
          <w:sz w:val="24"/>
          <w:szCs w:val="24"/>
        </w:rPr>
        <w:t> 2000; </w:t>
      </w:r>
      <w:r w:rsidRPr="00B918F9">
        <w:rPr>
          <w:rFonts w:ascii="Book Antiqua" w:hAnsi="Book Antiqua" w:cs="SimSun"/>
          <w:b/>
          <w:bCs/>
          <w:color w:val="000000"/>
          <w:sz w:val="24"/>
          <w:szCs w:val="24"/>
        </w:rPr>
        <w:t>119</w:t>
      </w:r>
      <w:r w:rsidRPr="00B918F9">
        <w:rPr>
          <w:rFonts w:ascii="Book Antiqua" w:hAnsi="Book Antiqua" w:cs="SimSun"/>
          <w:color w:val="000000"/>
          <w:sz w:val="24"/>
          <w:szCs w:val="24"/>
        </w:rPr>
        <w:t>: 1473-1482 [PMID: 11113068 DOI: 10.1053/gast.2000.20229]</w:t>
      </w:r>
    </w:p>
    <w:p w14:paraId="575DD754"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127 </w:t>
      </w:r>
      <w:r w:rsidRPr="00B918F9">
        <w:rPr>
          <w:rFonts w:ascii="Book Antiqua" w:hAnsi="Book Antiqua" w:cs="SimSun"/>
          <w:b/>
          <w:bCs/>
          <w:color w:val="000000"/>
          <w:sz w:val="24"/>
          <w:szCs w:val="24"/>
        </w:rPr>
        <w:t>Schreiber S</w:t>
      </w:r>
      <w:r w:rsidRPr="00B918F9">
        <w:rPr>
          <w:rFonts w:ascii="Book Antiqua" w:hAnsi="Book Antiqua" w:cs="SimSun"/>
          <w:color w:val="000000"/>
          <w:sz w:val="24"/>
          <w:szCs w:val="24"/>
        </w:rPr>
        <w:t>, Fedorak RN, Nielsen OH, Wild G, Williams CN, Nikolaus S, Jacyna M, Lashner BA, Gangl A, Rutgeerts P, Isaacs K, van Deventer SJ, Koningsberger JC, Cohard M, LeBeaut A, Hanauer SB. Safety and efficacy of recombinant human interleukin 10 in chronic active Crohn's disease. Crohn's Disease IL-10 Cooperative Study Group. </w:t>
      </w:r>
      <w:r w:rsidRPr="00B918F9">
        <w:rPr>
          <w:rFonts w:ascii="Book Antiqua" w:hAnsi="Book Antiqua" w:cs="SimSun"/>
          <w:i/>
          <w:iCs/>
          <w:color w:val="000000"/>
          <w:sz w:val="24"/>
          <w:szCs w:val="24"/>
        </w:rPr>
        <w:t>Gastroenterology</w:t>
      </w:r>
      <w:r w:rsidRPr="00B918F9">
        <w:rPr>
          <w:rFonts w:ascii="Book Antiqua" w:hAnsi="Book Antiqua" w:cs="SimSun"/>
          <w:color w:val="000000"/>
          <w:sz w:val="24"/>
          <w:szCs w:val="24"/>
        </w:rPr>
        <w:t> 2000; </w:t>
      </w:r>
      <w:r w:rsidRPr="00B918F9">
        <w:rPr>
          <w:rFonts w:ascii="Book Antiqua" w:hAnsi="Book Antiqua" w:cs="SimSun"/>
          <w:b/>
          <w:bCs/>
          <w:color w:val="000000"/>
          <w:sz w:val="24"/>
          <w:szCs w:val="24"/>
        </w:rPr>
        <w:t>119</w:t>
      </w:r>
      <w:r w:rsidRPr="00B918F9">
        <w:rPr>
          <w:rFonts w:ascii="Book Antiqua" w:hAnsi="Book Antiqua" w:cs="SimSun"/>
          <w:color w:val="000000"/>
          <w:sz w:val="24"/>
          <w:szCs w:val="24"/>
        </w:rPr>
        <w:t>: 1461-1472 [PMID: 11113067 DOI: 10.1053/gast.2000.20196]</w:t>
      </w:r>
    </w:p>
    <w:p w14:paraId="461A8609"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128 </w:t>
      </w:r>
      <w:r w:rsidRPr="00B918F9">
        <w:rPr>
          <w:rFonts w:ascii="Book Antiqua" w:hAnsi="Book Antiqua" w:cs="SimSun"/>
          <w:b/>
          <w:bCs/>
          <w:color w:val="000000"/>
          <w:sz w:val="24"/>
          <w:szCs w:val="24"/>
        </w:rPr>
        <w:t>Colombel JF</w:t>
      </w:r>
      <w:r w:rsidRPr="00B918F9">
        <w:rPr>
          <w:rFonts w:ascii="Book Antiqua" w:hAnsi="Book Antiqua" w:cs="SimSun"/>
          <w:color w:val="000000"/>
          <w:sz w:val="24"/>
          <w:szCs w:val="24"/>
        </w:rPr>
        <w:t>, Rutgeerts P, Malchow H, Jacyna M, Nielsen OH, Rask-Madsen J, Van Deventer S, Ferguson A, Desreumaux P, Forbes A, Geboes K, Melani L, Cohard M. Interleukin 10 (Tenovil) in the prevention of postoperative recurrence of Crohn's disease. </w:t>
      </w:r>
      <w:r w:rsidRPr="00B918F9">
        <w:rPr>
          <w:rFonts w:ascii="Book Antiqua" w:hAnsi="Book Antiqua" w:cs="SimSun"/>
          <w:i/>
          <w:iCs/>
          <w:color w:val="000000"/>
          <w:sz w:val="24"/>
          <w:szCs w:val="24"/>
        </w:rPr>
        <w:t>Gut</w:t>
      </w:r>
      <w:r w:rsidRPr="00B918F9">
        <w:rPr>
          <w:rFonts w:ascii="Book Antiqua" w:hAnsi="Book Antiqua" w:cs="SimSun"/>
          <w:color w:val="000000"/>
          <w:sz w:val="24"/>
          <w:szCs w:val="24"/>
        </w:rPr>
        <w:t> 2001; </w:t>
      </w:r>
      <w:r w:rsidRPr="00B918F9">
        <w:rPr>
          <w:rFonts w:ascii="Book Antiqua" w:hAnsi="Book Antiqua" w:cs="SimSun"/>
          <w:b/>
          <w:bCs/>
          <w:color w:val="000000"/>
          <w:sz w:val="24"/>
          <w:szCs w:val="24"/>
        </w:rPr>
        <w:t>49</w:t>
      </w:r>
      <w:r w:rsidRPr="00B918F9">
        <w:rPr>
          <w:rFonts w:ascii="Book Antiqua" w:hAnsi="Book Antiqua" w:cs="SimSun"/>
          <w:color w:val="000000"/>
          <w:sz w:val="24"/>
          <w:szCs w:val="24"/>
        </w:rPr>
        <w:t>: 42-46 [PMID: 11413109 DOI: 10.1136/gut.49.1.42]</w:t>
      </w:r>
    </w:p>
    <w:p w14:paraId="0294DCEB"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129 </w:t>
      </w:r>
      <w:r w:rsidRPr="00B918F9">
        <w:rPr>
          <w:rFonts w:ascii="Book Antiqua" w:hAnsi="Book Antiqua"/>
          <w:b/>
          <w:bCs/>
          <w:color w:val="000000"/>
          <w:sz w:val="24"/>
          <w:szCs w:val="24"/>
        </w:rPr>
        <w:t>Herrlinger KR</w:t>
      </w:r>
      <w:r w:rsidRPr="00B918F9">
        <w:rPr>
          <w:rFonts w:ascii="Book Antiqua" w:hAnsi="Book Antiqua"/>
          <w:color w:val="000000"/>
          <w:sz w:val="24"/>
          <w:szCs w:val="24"/>
        </w:rPr>
        <w:t xml:space="preserve">, Witthoeft T, Raedler A, Bokemeyer B, Krummenerl T, Schulzke JD, Boerner N, Kueppers B, Emmrich J, Mescheder A, Schwertschlag U, Shapiro M, Stange EF. Randomized, double blind controlled trial of </w:t>
      </w:r>
      <w:r w:rsidRPr="00B918F9">
        <w:rPr>
          <w:rFonts w:ascii="Book Antiqua" w:hAnsi="Book Antiqua"/>
          <w:color w:val="000000"/>
          <w:sz w:val="24"/>
          <w:szCs w:val="24"/>
        </w:rPr>
        <w:lastRenderedPageBreak/>
        <w:t>subcutaneous recombinant human interleukin-11 versus prednisolone in active Crohn's disease.</w:t>
      </w:r>
      <w:r w:rsidRPr="00B918F9">
        <w:rPr>
          <w:rStyle w:val="apple-converted-space"/>
          <w:rFonts w:ascii="Book Antiqua" w:hAnsi="Book Antiqua"/>
          <w:sz w:val="24"/>
          <w:szCs w:val="24"/>
        </w:rPr>
        <w:t> </w:t>
      </w:r>
      <w:r w:rsidRPr="00B918F9">
        <w:rPr>
          <w:rFonts w:ascii="Book Antiqua" w:hAnsi="Book Antiqua"/>
          <w:i/>
          <w:iCs/>
          <w:color w:val="000000"/>
          <w:sz w:val="24"/>
          <w:szCs w:val="24"/>
        </w:rPr>
        <w:t>Am J Gastroenterol</w:t>
      </w:r>
      <w:r w:rsidRPr="00B918F9">
        <w:rPr>
          <w:rStyle w:val="apple-converted-space"/>
          <w:rFonts w:ascii="Book Antiqua" w:hAnsi="Book Antiqua"/>
          <w:sz w:val="24"/>
          <w:szCs w:val="24"/>
        </w:rPr>
        <w:t> </w:t>
      </w:r>
      <w:r w:rsidRPr="00B918F9">
        <w:rPr>
          <w:rFonts w:ascii="Book Antiqua" w:hAnsi="Book Antiqua"/>
          <w:color w:val="000000"/>
          <w:sz w:val="24"/>
          <w:szCs w:val="24"/>
        </w:rPr>
        <w:t>2006;</w:t>
      </w:r>
      <w:r w:rsidRPr="00B918F9">
        <w:rPr>
          <w:rStyle w:val="apple-converted-space"/>
          <w:rFonts w:ascii="Book Antiqua" w:hAnsi="Book Antiqua"/>
          <w:sz w:val="24"/>
          <w:szCs w:val="24"/>
        </w:rPr>
        <w:t> </w:t>
      </w:r>
      <w:r w:rsidRPr="00B918F9">
        <w:rPr>
          <w:rFonts w:ascii="Book Antiqua" w:hAnsi="Book Antiqua"/>
          <w:b/>
          <w:bCs/>
          <w:color w:val="000000"/>
          <w:sz w:val="24"/>
          <w:szCs w:val="24"/>
        </w:rPr>
        <w:t>101</w:t>
      </w:r>
      <w:r w:rsidRPr="00B918F9">
        <w:rPr>
          <w:rFonts w:ascii="Book Antiqua" w:hAnsi="Book Antiqua"/>
          <w:color w:val="000000"/>
          <w:sz w:val="24"/>
          <w:szCs w:val="24"/>
        </w:rPr>
        <w:t>: 793-797 [PMID: 16635225]</w:t>
      </w:r>
    </w:p>
    <w:p w14:paraId="23EBC817"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130 </w:t>
      </w:r>
      <w:r w:rsidRPr="00B918F9">
        <w:rPr>
          <w:rFonts w:ascii="Book Antiqua" w:hAnsi="Book Antiqua" w:cs="SimSun"/>
          <w:b/>
          <w:bCs/>
          <w:color w:val="000000"/>
          <w:sz w:val="24"/>
          <w:szCs w:val="24"/>
        </w:rPr>
        <w:t>Pena Rossi C</w:t>
      </w:r>
      <w:r w:rsidRPr="00B918F9">
        <w:rPr>
          <w:rFonts w:ascii="Book Antiqua" w:hAnsi="Book Antiqua" w:cs="SimSun"/>
          <w:color w:val="000000"/>
          <w:sz w:val="24"/>
          <w:szCs w:val="24"/>
        </w:rPr>
        <w:t>, Hanauer SB, Tomasevic R, Hunter JO, Shafran I, Graffner H. Interferon beta-1a for the maintenance of remission in patients with Crohn's disease: results of a phase II dose-finding study. </w:t>
      </w:r>
      <w:r w:rsidRPr="00B918F9">
        <w:rPr>
          <w:rFonts w:ascii="Book Antiqua" w:hAnsi="Book Antiqua" w:cs="SimSun"/>
          <w:i/>
          <w:iCs/>
          <w:color w:val="000000"/>
          <w:sz w:val="24"/>
          <w:szCs w:val="24"/>
        </w:rPr>
        <w:t>BMC Gastroenterol</w:t>
      </w:r>
      <w:r w:rsidRPr="00B918F9">
        <w:rPr>
          <w:rFonts w:ascii="Book Antiqua" w:hAnsi="Book Antiqua" w:cs="SimSun"/>
          <w:color w:val="000000"/>
          <w:sz w:val="24"/>
          <w:szCs w:val="24"/>
        </w:rPr>
        <w:t> 2009; </w:t>
      </w:r>
      <w:r w:rsidRPr="00B918F9">
        <w:rPr>
          <w:rFonts w:ascii="Book Antiqua" w:hAnsi="Book Antiqua" w:cs="SimSun"/>
          <w:b/>
          <w:bCs/>
          <w:color w:val="000000"/>
          <w:sz w:val="24"/>
          <w:szCs w:val="24"/>
        </w:rPr>
        <w:t>9</w:t>
      </w:r>
      <w:r w:rsidRPr="00B918F9">
        <w:rPr>
          <w:rFonts w:ascii="Book Antiqua" w:hAnsi="Book Antiqua" w:cs="SimSun"/>
          <w:color w:val="000000"/>
          <w:sz w:val="24"/>
          <w:szCs w:val="24"/>
        </w:rPr>
        <w:t>: 22 [PMID: 19302707 DOI: 10.1186/1471-230X-9-22]</w:t>
      </w:r>
    </w:p>
    <w:p w14:paraId="2767CDFC"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131 </w:t>
      </w:r>
      <w:r w:rsidRPr="00B918F9">
        <w:rPr>
          <w:rFonts w:ascii="Book Antiqua" w:hAnsi="Book Antiqua" w:cs="SimSun"/>
          <w:b/>
          <w:bCs/>
          <w:color w:val="000000"/>
          <w:sz w:val="24"/>
          <w:szCs w:val="24"/>
        </w:rPr>
        <w:t>Charo IF</w:t>
      </w:r>
      <w:r w:rsidRPr="00B918F9">
        <w:rPr>
          <w:rFonts w:ascii="Book Antiqua" w:hAnsi="Book Antiqua" w:cs="SimSun"/>
          <w:color w:val="000000"/>
          <w:sz w:val="24"/>
          <w:szCs w:val="24"/>
        </w:rPr>
        <w:t>, Ransohoff RM. The many roles of chemokines and chemokine receptors in inflammation. </w:t>
      </w:r>
      <w:r w:rsidRPr="00B918F9">
        <w:rPr>
          <w:rFonts w:ascii="Book Antiqua" w:hAnsi="Book Antiqua" w:cs="SimSun"/>
          <w:i/>
          <w:iCs/>
          <w:color w:val="000000"/>
          <w:sz w:val="24"/>
          <w:szCs w:val="24"/>
        </w:rPr>
        <w:t>N Engl J Med</w:t>
      </w:r>
      <w:r w:rsidRPr="00B918F9">
        <w:rPr>
          <w:rFonts w:ascii="Book Antiqua" w:hAnsi="Book Antiqua" w:cs="SimSun"/>
          <w:color w:val="000000"/>
          <w:sz w:val="24"/>
          <w:szCs w:val="24"/>
        </w:rPr>
        <w:t> 2006; </w:t>
      </w:r>
      <w:r w:rsidRPr="00B918F9">
        <w:rPr>
          <w:rFonts w:ascii="Book Antiqua" w:hAnsi="Book Antiqua" w:cs="SimSun"/>
          <w:b/>
          <w:bCs/>
          <w:color w:val="000000"/>
          <w:sz w:val="24"/>
          <w:szCs w:val="24"/>
        </w:rPr>
        <w:t>354</w:t>
      </w:r>
      <w:r w:rsidRPr="00B918F9">
        <w:rPr>
          <w:rFonts w:ascii="Book Antiqua" w:hAnsi="Book Antiqua" w:cs="SimSun"/>
          <w:color w:val="000000"/>
          <w:sz w:val="24"/>
          <w:szCs w:val="24"/>
        </w:rPr>
        <w:t>: 610-621 [PMID: 16467548 DOI: 10.1056/NEJMra052723]</w:t>
      </w:r>
    </w:p>
    <w:p w14:paraId="54560CCB"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132 </w:t>
      </w:r>
      <w:r w:rsidRPr="00B918F9">
        <w:rPr>
          <w:rFonts w:ascii="Book Antiqua" w:hAnsi="Book Antiqua" w:cs="SimSun"/>
          <w:b/>
          <w:bCs/>
          <w:color w:val="000000"/>
          <w:sz w:val="24"/>
          <w:szCs w:val="24"/>
        </w:rPr>
        <w:t>Zabel BA</w:t>
      </w:r>
      <w:r w:rsidRPr="00B918F9">
        <w:rPr>
          <w:rFonts w:ascii="Book Antiqua" w:hAnsi="Book Antiqua" w:cs="SimSun"/>
          <w:color w:val="000000"/>
          <w:sz w:val="24"/>
          <w:szCs w:val="24"/>
        </w:rPr>
        <w:t>, Agace WW, Campbell JJ, Heath HM, Parent D, Roberts AI, Ebert EC, Kassam N, Qin S, Zovko M, LaRosa GJ, Yang LL, Soler D, Butcher EC, Ponath PD, Parker CM, Andrew DP. Human G protein-coupled receptor GPR-9-6/CC chemokine receptor 9 is selectively expressed on intestinal homing T lymphocytes, mucosal lymphocytes, and thymocytes and is required for thymus-expressed chemokine-mediated chemotaxis. </w:t>
      </w:r>
      <w:r w:rsidRPr="00B918F9">
        <w:rPr>
          <w:rFonts w:ascii="Book Antiqua" w:hAnsi="Book Antiqua" w:cs="SimSun"/>
          <w:i/>
          <w:iCs/>
          <w:color w:val="000000"/>
          <w:sz w:val="24"/>
          <w:szCs w:val="24"/>
        </w:rPr>
        <w:t>J Exp Med</w:t>
      </w:r>
      <w:r w:rsidRPr="00B918F9">
        <w:rPr>
          <w:rFonts w:ascii="Book Antiqua" w:hAnsi="Book Antiqua" w:cs="SimSun"/>
          <w:color w:val="000000"/>
          <w:sz w:val="24"/>
          <w:szCs w:val="24"/>
        </w:rPr>
        <w:t> 1999; </w:t>
      </w:r>
      <w:r w:rsidRPr="00B918F9">
        <w:rPr>
          <w:rFonts w:ascii="Book Antiqua" w:hAnsi="Book Antiqua" w:cs="SimSun"/>
          <w:b/>
          <w:bCs/>
          <w:color w:val="000000"/>
          <w:sz w:val="24"/>
          <w:szCs w:val="24"/>
        </w:rPr>
        <w:t>190</w:t>
      </w:r>
      <w:r w:rsidRPr="00B918F9">
        <w:rPr>
          <w:rFonts w:ascii="Book Antiqua" w:hAnsi="Book Antiqua" w:cs="SimSun"/>
          <w:color w:val="000000"/>
          <w:sz w:val="24"/>
          <w:szCs w:val="24"/>
        </w:rPr>
        <w:t>: 1241-1256 [PMID: 10544196 DOI: 10.1084/jem.190.9.1241]</w:t>
      </w:r>
    </w:p>
    <w:p w14:paraId="0435B632"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133 </w:t>
      </w:r>
      <w:r w:rsidRPr="00B918F9">
        <w:rPr>
          <w:rFonts w:ascii="Book Antiqua" w:hAnsi="Book Antiqua" w:cs="SimSun"/>
          <w:b/>
          <w:bCs/>
          <w:color w:val="000000"/>
          <w:sz w:val="24"/>
          <w:szCs w:val="24"/>
        </w:rPr>
        <w:t>Kunkel EJ</w:t>
      </w:r>
      <w:r w:rsidRPr="00B918F9">
        <w:rPr>
          <w:rFonts w:ascii="Book Antiqua" w:hAnsi="Book Antiqua" w:cs="SimSun"/>
          <w:color w:val="000000"/>
          <w:sz w:val="24"/>
          <w:szCs w:val="24"/>
        </w:rPr>
        <w:t>, Campbell JJ, Haraldsen G, Pan J, Boisvert J, Roberts AI, Ebert EC, Vierra MA, Goodman SB, Genovese MC, Wardlaw AJ, Greenberg HB, Parker CM, Butcher EC, Andrew DP, Agace WW. Lymphocyte CC chemokine receptor 9 and epithelial thymus-expressed chemokine (TECK) expression distinguish the small intestinal immune compartment: Epithelial expression of tissue-specific chemokines as an organizing principle in regional immunity. </w:t>
      </w:r>
      <w:r w:rsidRPr="00B918F9">
        <w:rPr>
          <w:rFonts w:ascii="Book Antiqua" w:hAnsi="Book Antiqua" w:cs="SimSun"/>
          <w:i/>
          <w:iCs/>
          <w:color w:val="000000"/>
          <w:sz w:val="24"/>
          <w:szCs w:val="24"/>
        </w:rPr>
        <w:t>J Exp Med</w:t>
      </w:r>
      <w:r w:rsidRPr="00B918F9">
        <w:rPr>
          <w:rFonts w:ascii="Book Antiqua" w:hAnsi="Book Antiqua" w:cs="SimSun"/>
          <w:color w:val="000000"/>
          <w:sz w:val="24"/>
          <w:szCs w:val="24"/>
        </w:rPr>
        <w:t> 2000; </w:t>
      </w:r>
      <w:r w:rsidRPr="00B918F9">
        <w:rPr>
          <w:rFonts w:ascii="Book Antiqua" w:hAnsi="Book Antiqua" w:cs="SimSun"/>
          <w:b/>
          <w:bCs/>
          <w:color w:val="000000"/>
          <w:sz w:val="24"/>
          <w:szCs w:val="24"/>
        </w:rPr>
        <w:t>192</w:t>
      </w:r>
      <w:r w:rsidRPr="00B918F9">
        <w:rPr>
          <w:rFonts w:ascii="Book Antiqua" w:hAnsi="Book Antiqua" w:cs="SimSun"/>
          <w:color w:val="000000"/>
          <w:sz w:val="24"/>
          <w:szCs w:val="24"/>
        </w:rPr>
        <w:t>: 761-768 [PMID: 10974041 DOI: 10.1084/jem.192.5.761]</w:t>
      </w:r>
    </w:p>
    <w:p w14:paraId="1B9B459A"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134 </w:t>
      </w:r>
      <w:r w:rsidRPr="00B918F9">
        <w:rPr>
          <w:rFonts w:ascii="Book Antiqua" w:hAnsi="Book Antiqua" w:cs="SimSun"/>
          <w:b/>
          <w:bCs/>
          <w:color w:val="000000"/>
          <w:sz w:val="24"/>
          <w:szCs w:val="24"/>
        </w:rPr>
        <w:t>Papadakis KA</w:t>
      </w:r>
      <w:r w:rsidRPr="00B918F9">
        <w:rPr>
          <w:rFonts w:ascii="Book Antiqua" w:hAnsi="Book Antiqua" w:cs="SimSun"/>
          <w:color w:val="000000"/>
          <w:sz w:val="24"/>
          <w:szCs w:val="24"/>
        </w:rPr>
        <w:t>, Prehn J, Moreno ST, Cheng L, Kouroumalis EA, Deem R, Breaverman T, Ponath PD, Andrew DP, Green PH, Hodge MR, Binder SW, Targan SR. CCR9-positive lymphocytes and thymus-expressed chemokine distinguish small bowel from colonic Crohn's disease. </w:t>
      </w:r>
      <w:r w:rsidRPr="00B918F9">
        <w:rPr>
          <w:rFonts w:ascii="Book Antiqua" w:hAnsi="Book Antiqua" w:cs="SimSun"/>
          <w:i/>
          <w:iCs/>
          <w:color w:val="000000"/>
          <w:sz w:val="24"/>
          <w:szCs w:val="24"/>
        </w:rPr>
        <w:t>Gastroenterology</w:t>
      </w:r>
      <w:r w:rsidRPr="00B918F9">
        <w:rPr>
          <w:rFonts w:ascii="Book Antiqua" w:hAnsi="Book Antiqua" w:cs="SimSun"/>
          <w:color w:val="000000"/>
          <w:sz w:val="24"/>
          <w:szCs w:val="24"/>
        </w:rPr>
        <w:t> 2001; </w:t>
      </w:r>
      <w:r w:rsidRPr="00B918F9">
        <w:rPr>
          <w:rFonts w:ascii="Book Antiqua" w:hAnsi="Book Antiqua" w:cs="SimSun"/>
          <w:b/>
          <w:bCs/>
          <w:color w:val="000000"/>
          <w:sz w:val="24"/>
          <w:szCs w:val="24"/>
        </w:rPr>
        <w:t>121</w:t>
      </w:r>
      <w:r w:rsidRPr="00B918F9">
        <w:rPr>
          <w:rFonts w:ascii="Book Antiqua" w:hAnsi="Book Antiqua" w:cs="SimSun"/>
          <w:color w:val="000000"/>
          <w:sz w:val="24"/>
          <w:szCs w:val="24"/>
        </w:rPr>
        <w:t>: 246-254 [PMID: 11487533 DOI: 10.1053/gast.2001.27154]</w:t>
      </w:r>
    </w:p>
    <w:p w14:paraId="2EC9E995"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135 </w:t>
      </w:r>
      <w:r w:rsidRPr="00B918F9">
        <w:rPr>
          <w:rFonts w:ascii="Book Antiqua" w:hAnsi="Book Antiqua" w:cs="SimSun"/>
          <w:b/>
          <w:bCs/>
          <w:color w:val="000000"/>
          <w:sz w:val="24"/>
          <w:szCs w:val="24"/>
        </w:rPr>
        <w:t>Walters MJ</w:t>
      </w:r>
      <w:r w:rsidRPr="00B918F9">
        <w:rPr>
          <w:rFonts w:ascii="Book Antiqua" w:hAnsi="Book Antiqua" w:cs="SimSun"/>
          <w:color w:val="000000"/>
          <w:sz w:val="24"/>
          <w:szCs w:val="24"/>
        </w:rPr>
        <w:t xml:space="preserve">, Wang Y, Lai N, Baumgart T, Zhao BN, Dairaghi DJ, Bekker P, Ertl LS, Penfold ME, Jaen JC, Keshav S, Wendt E, Pennell A, Ungashe S, Wei Z, </w:t>
      </w:r>
      <w:r w:rsidRPr="00B918F9">
        <w:rPr>
          <w:rFonts w:ascii="Book Antiqua" w:hAnsi="Book Antiqua" w:cs="SimSun"/>
          <w:color w:val="000000"/>
          <w:sz w:val="24"/>
          <w:szCs w:val="24"/>
        </w:rPr>
        <w:lastRenderedPageBreak/>
        <w:t>Wright JJ, Schall TJ. Characterization of CCX282-B, an orally bioavailable antagonist of the CCR9 chemokine receptor, for treatment of inflammatory bowel disease. </w:t>
      </w:r>
      <w:r w:rsidRPr="00B918F9">
        <w:rPr>
          <w:rFonts w:ascii="Book Antiqua" w:hAnsi="Book Antiqua" w:cs="SimSun"/>
          <w:i/>
          <w:iCs/>
          <w:color w:val="000000"/>
          <w:sz w:val="24"/>
          <w:szCs w:val="24"/>
        </w:rPr>
        <w:t>J Pharmacol Exp Ther</w:t>
      </w:r>
      <w:r w:rsidRPr="00B918F9">
        <w:rPr>
          <w:rFonts w:ascii="Book Antiqua" w:hAnsi="Book Antiqua" w:cs="SimSun"/>
          <w:color w:val="000000"/>
          <w:sz w:val="24"/>
          <w:szCs w:val="24"/>
        </w:rPr>
        <w:t> 2010; </w:t>
      </w:r>
      <w:r w:rsidRPr="00B918F9">
        <w:rPr>
          <w:rFonts w:ascii="Book Antiqua" w:hAnsi="Book Antiqua" w:cs="SimSun"/>
          <w:b/>
          <w:bCs/>
          <w:color w:val="000000"/>
          <w:sz w:val="24"/>
          <w:szCs w:val="24"/>
        </w:rPr>
        <w:t>335</w:t>
      </w:r>
      <w:r w:rsidRPr="00B918F9">
        <w:rPr>
          <w:rFonts w:ascii="Book Antiqua" w:hAnsi="Book Antiqua" w:cs="SimSun"/>
          <w:color w:val="000000"/>
          <w:sz w:val="24"/>
          <w:szCs w:val="24"/>
        </w:rPr>
        <w:t>: 61-69 [PMID: 20660125 DOI: 10.1124/jpet.110.169714]</w:t>
      </w:r>
    </w:p>
    <w:p w14:paraId="1312BB4B"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136 </w:t>
      </w:r>
      <w:r w:rsidRPr="00B918F9">
        <w:rPr>
          <w:rFonts w:ascii="Book Antiqua" w:hAnsi="Book Antiqua" w:cs="SimSun"/>
          <w:b/>
          <w:bCs/>
          <w:color w:val="000000"/>
          <w:sz w:val="24"/>
          <w:szCs w:val="24"/>
        </w:rPr>
        <w:t>Keshav S</w:t>
      </w:r>
      <w:r w:rsidRPr="00B918F9">
        <w:rPr>
          <w:rFonts w:ascii="Book Antiqua" w:hAnsi="Book Antiqua" w:cs="SimSun"/>
          <w:color w:val="000000"/>
          <w:sz w:val="24"/>
          <w:szCs w:val="24"/>
        </w:rPr>
        <w:t>, Vaňásek T, Niv Y, Petryka R, Howaldt S, Bafutto M, Rácz I, Hetzel D, Nielsen OH, Vermeire S, Reinisch W, Karlén P, Schreiber S, Schall TJ, Bekker P. A randomized controlled trial of the efficacy and safety of CCX282-B, an orally-administered blocker of chemokine receptor CCR9, for patients with Crohn's disease. </w:t>
      </w:r>
      <w:r w:rsidRPr="00B918F9">
        <w:rPr>
          <w:rFonts w:ascii="Book Antiqua" w:hAnsi="Book Antiqua" w:cs="SimSun"/>
          <w:i/>
          <w:iCs/>
          <w:color w:val="000000"/>
          <w:sz w:val="24"/>
          <w:szCs w:val="24"/>
        </w:rPr>
        <w:t>PLoS One</w:t>
      </w:r>
      <w:r w:rsidRPr="00B918F9">
        <w:rPr>
          <w:rFonts w:ascii="Book Antiqua" w:hAnsi="Book Antiqua" w:cs="SimSun"/>
          <w:color w:val="000000"/>
          <w:sz w:val="24"/>
          <w:szCs w:val="24"/>
        </w:rPr>
        <w:t> 2013; </w:t>
      </w:r>
      <w:r w:rsidRPr="00B918F9">
        <w:rPr>
          <w:rFonts w:ascii="Book Antiqua" w:hAnsi="Book Antiqua" w:cs="SimSun"/>
          <w:b/>
          <w:bCs/>
          <w:color w:val="000000"/>
          <w:sz w:val="24"/>
          <w:szCs w:val="24"/>
        </w:rPr>
        <w:t>8</w:t>
      </w:r>
      <w:r w:rsidRPr="00B918F9">
        <w:rPr>
          <w:rFonts w:ascii="Book Antiqua" w:hAnsi="Book Antiqua" w:cs="SimSun"/>
          <w:color w:val="000000"/>
          <w:sz w:val="24"/>
          <w:szCs w:val="24"/>
        </w:rPr>
        <w:t>: e60094 [PMID: 23527300 DOI: 10.1371/journal.pone.0060094]</w:t>
      </w:r>
    </w:p>
    <w:p w14:paraId="50A7EEA2"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137 </w:t>
      </w:r>
      <w:r w:rsidRPr="00B918F9">
        <w:rPr>
          <w:rFonts w:ascii="Book Antiqua" w:hAnsi="Book Antiqua" w:cs="SimSun"/>
          <w:b/>
          <w:bCs/>
          <w:color w:val="000000"/>
          <w:sz w:val="24"/>
          <w:szCs w:val="24"/>
        </w:rPr>
        <w:t>Luster AD</w:t>
      </w:r>
      <w:r w:rsidRPr="00B918F9">
        <w:rPr>
          <w:rFonts w:ascii="Book Antiqua" w:hAnsi="Book Antiqua" w:cs="SimSun"/>
          <w:color w:val="000000"/>
          <w:sz w:val="24"/>
          <w:szCs w:val="24"/>
        </w:rPr>
        <w:t>, Unkeless JC, Ravetch JV. Gamma-interferon transcriptionally regulates an early-response gene containing homology to platelet proteins. </w:t>
      </w:r>
      <w:r w:rsidRPr="00B918F9">
        <w:rPr>
          <w:rFonts w:ascii="Book Antiqua" w:hAnsi="Book Antiqua" w:cs="SimSun"/>
          <w:i/>
          <w:iCs/>
          <w:color w:val="000000"/>
          <w:sz w:val="24"/>
          <w:szCs w:val="24"/>
        </w:rPr>
        <w:t>Nature</w:t>
      </w:r>
      <w:r w:rsidRPr="00B918F9">
        <w:rPr>
          <w:rFonts w:ascii="Book Antiqua" w:hAnsi="Book Antiqua" w:cs="SimSun"/>
          <w:color w:val="000000"/>
          <w:sz w:val="24"/>
          <w:szCs w:val="24"/>
        </w:rPr>
        <w:t> ; </w:t>
      </w:r>
      <w:r w:rsidRPr="00B918F9">
        <w:rPr>
          <w:rFonts w:ascii="Book Antiqua" w:hAnsi="Book Antiqua" w:cs="SimSun"/>
          <w:b/>
          <w:bCs/>
          <w:color w:val="000000"/>
          <w:sz w:val="24"/>
          <w:szCs w:val="24"/>
        </w:rPr>
        <w:t>315</w:t>
      </w:r>
      <w:r w:rsidRPr="00B918F9">
        <w:rPr>
          <w:rFonts w:ascii="Book Antiqua" w:hAnsi="Book Antiqua" w:cs="SimSun"/>
          <w:color w:val="000000"/>
          <w:sz w:val="24"/>
          <w:szCs w:val="24"/>
        </w:rPr>
        <w:t>: 672-676 [PMID: 3925348 DOI: 10.1038/315672a0]</w:t>
      </w:r>
    </w:p>
    <w:p w14:paraId="557A9424"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138 </w:t>
      </w:r>
      <w:r w:rsidRPr="00B918F9">
        <w:rPr>
          <w:rFonts w:ascii="Book Antiqua" w:hAnsi="Book Antiqua" w:cs="SimSun"/>
          <w:b/>
          <w:bCs/>
          <w:color w:val="000000"/>
          <w:sz w:val="24"/>
          <w:szCs w:val="24"/>
        </w:rPr>
        <w:t>Dufour JH</w:t>
      </w:r>
      <w:r w:rsidRPr="00B918F9">
        <w:rPr>
          <w:rFonts w:ascii="Book Antiqua" w:hAnsi="Book Antiqua" w:cs="SimSun"/>
          <w:color w:val="000000"/>
          <w:sz w:val="24"/>
          <w:szCs w:val="24"/>
        </w:rPr>
        <w:t>, Dziejman M, Liu MT, Leung JH, Lane TE, Luster AD. IFN-gamma-inducible protein 10 (IP-10; CXCL10)-deficient mice reveal a role for IP-10 in effector T cell generation and trafficking. </w:t>
      </w:r>
      <w:r w:rsidRPr="00B918F9">
        <w:rPr>
          <w:rFonts w:ascii="Book Antiqua" w:hAnsi="Book Antiqua" w:cs="SimSun"/>
          <w:i/>
          <w:iCs/>
          <w:color w:val="000000"/>
          <w:sz w:val="24"/>
          <w:szCs w:val="24"/>
        </w:rPr>
        <w:t>J Immunol</w:t>
      </w:r>
      <w:r w:rsidRPr="00B918F9">
        <w:rPr>
          <w:rFonts w:ascii="Book Antiqua" w:hAnsi="Book Antiqua" w:cs="SimSun"/>
          <w:color w:val="000000"/>
          <w:sz w:val="24"/>
          <w:szCs w:val="24"/>
        </w:rPr>
        <w:t> 2002; </w:t>
      </w:r>
      <w:r w:rsidRPr="00B918F9">
        <w:rPr>
          <w:rFonts w:ascii="Book Antiqua" w:hAnsi="Book Antiqua" w:cs="SimSun"/>
          <w:b/>
          <w:bCs/>
          <w:color w:val="000000"/>
          <w:sz w:val="24"/>
          <w:szCs w:val="24"/>
        </w:rPr>
        <w:t>168</w:t>
      </w:r>
      <w:r w:rsidRPr="00B918F9">
        <w:rPr>
          <w:rFonts w:ascii="Book Antiqua" w:hAnsi="Book Antiqua" w:cs="SimSun"/>
          <w:color w:val="000000"/>
          <w:sz w:val="24"/>
          <w:szCs w:val="24"/>
        </w:rPr>
        <w:t>: 3195-3204 [PMID: 11907072 DOI: 10.4049/jimmunol.168.7.3195]</w:t>
      </w:r>
    </w:p>
    <w:p w14:paraId="5A921A5E"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139 </w:t>
      </w:r>
      <w:r w:rsidRPr="00B918F9">
        <w:rPr>
          <w:rFonts w:ascii="Book Antiqua" w:hAnsi="Book Antiqua" w:cs="SimSun"/>
          <w:b/>
          <w:bCs/>
          <w:color w:val="000000"/>
          <w:sz w:val="24"/>
          <w:szCs w:val="24"/>
        </w:rPr>
        <w:t>Romagnani P</w:t>
      </w:r>
      <w:r w:rsidRPr="00B918F9">
        <w:rPr>
          <w:rFonts w:ascii="Book Antiqua" w:hAnsi="Book Antiqua" w:cs="SimSun"/>
          <w:color w:val="000000"/>
          <w:sz w:val="24"/>
          <w:szCs w:val="24"/>
        </w:rPr>
        <w:t>, Maggi L, Mazzinghi B, Cosmi L, Lasagni L, Liotta F, Lazzeri E, Angeli R, Rotondi M, Filì L, Parronchi P, Serio M, Maggi E, Romagnani S, Annunziato F. CXCR3-mediated opposite effects of CXCL10 and CXCL4 on TH1 or TH2 cytokine production. </w:t>
      </w:r>
      <w:r w:rsidRPr="00B918F9">
        <w:rPr>
          <w:rFonts w:ascii="Book Antiqua" w:hAnsi="Book Antiqua" w:cs="SimSun"/>
          <w:i/>
          <w:iCs/>
          <w:color w:val="000000"/>
          <w:sz w:val="24"/>
          <w:szCs w:val="24"/>
        </w:rPr>
        <w:t>J Allergy Clin Immunol</w:t>
      </w:r>
      <w:r w:rsidRPr="00B918F9">
        <w:rPr>
          <w:rFonts w:ascii="Book Antiqua" w:hAnsi="Book Antiqua" w:cs="SimSun"/>
          <w:color w:val="000000"/>
          <w:sz w:val="24"/>
          <w:szCs w:val="24"/>
        </w:rPr>
        <w:t> 2005; </w:t>
      </w:r>
      <w:r w:rsidRPr="00B918F9">
        <w:rPr>
          <w:rFonts w:ascii="Book Antiqua" w:hAnsi="Book Antiqua" w:cs="SimSun"/>
          <w:b/>
          <w:bCs/>
          <w:color w:val="000000"/>
          <w:sz w:val="24"/>
          <w:szCs w:val="24"/>
        </w:rPr>
        <w:t>116</w:t>
      </w:r>
      <w:r w:rsidRPr="00B918F9">
        <w:rPr>
          <w:rFonts w:ascii="Book Antiqua" w:hAnsi="Book Antiqua" w:cs="SimSun"/>
          <w:color w:val="000000"/>
          <w:sz w:val="24"/>
          <w:szCs w:val="24"/>
        </w:rPr>
        <w:t>: 1372-1379 [PMID: 16337473 DOI: 10.1016/j.jaci.2005.09.035]</w:t>
      </w:r>
    </w:p>
    <w:p w14:paraId="320A7A91"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140 </w:t>
      </w:r>
      <w:r w:rsidRPr="00B918F9">
        <w:rPr>
          <w:rFonts w:ascii="Book Antiqua" w:hAnsi="Book Antiqua" w:cs="SimSun"/>
          <w:b/>
          <w:bCs/>
          <w:color w:val="000000"/>
          <w:sz w:val="24"/>
          <w:szCs w:val="24"/>
        </w:rPr>
        <w:t>Torres J</w:t>
      </w:r>
      <w:r w:rsidRPr="00B918F9">
        <w:rPr>
          <w:rFonts w:ascii="Book Antiqua" w:hAnsi="Book Antiqua" w:cs="SimSun"/>
          <w:color w:val="000000"/>
          <w:sz w:val="24"/>
          <w:szCs w:val="24"/>
        </w:rPr>
        <w:t>, Danese S, Colombel JF. New therapeutic avenues in ulcerative colitis: thinking out of the box. </w:t>
      </w:r>
      <w:r w:rsidRPr="00B918F9">
        <w:rPr>
          <w:rFonts w:ascii="Book Antiqua" w:hAnsi="Book Antiqua" w:cs="SimSun"/>
          <w:i/>
          <w:iCs/>
          <w:color w:val="000000"/>
          <w:sz w:val="24"/>
          <w:szCs w:val="24"/>
        </w:rPr>
        <w:t>Gut</w:t>
      </w:r>
      <w:r w:rsidRPr="00B918F9">
        <w:rPr>
          <w:rFonts w:ascii="Book Antiqua" w:hAnsi="Book Antiqua" w:cs="SimSun"/>
          <w:color w:val="000000"/>
          <w:sz w:val="24"/>
          <w:szCs w:val="24"/>
        </w:rPr>
        <w:t> 2013; </w:t>
      </w:r>
      <w:r w:rsidRPr="00B918F9">
        <w:rPr>
          <w:rFonts w:ascii="Book Antiqua" w:hAnsi="Book Antiqua" w:cs="SimSun"/>
          <w:b/>
          <w:bCs/>
          <w:color w:val="000000"/>
          <w:sz w:val="24"/>
          <w:szCs w:val="24"/>
        </w:rPr>
        <w:t>62</w:t>
      </w:r>
      <w:r w:rsidRPr="00B918F9">
        <w:rPr>
          <w:rFonts w:ascii="Book Antiqua" w:hAnsi="Book Antiqua" w:cs="SimSun"/>
          <w:color w:val="000000"/>
          <w:sz w:val="24"/>
          <w:szCs w:val="24"/>
        </w:rPr>
        <w:t>: 1642-1652 [PMID: 24104885 DOI: 10.1136/gutjnl-2012-303959]</w:t>
      </w:r>
    </w:p>
    <w:p w14:paraId="570CCE29"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141 </w:t>
      </w:r>
      <w:r w:rsidRPr="00B918F9">
        <w:rPr>
          <w:rFonts w:ascii="Book Antiqua" w:hAnsi="Book Antiqua" w:cs="SimSun"/>
          <w:b/>
          <w:bCs/>
          <w:color w:val="000000"/>
          <w:sz w:val="24"/>
          <w:szCs w:val="24"/>
        </w:rPr>
        <w:t>Sasaki S</w:t>
      </w:r>
      <w:r w:rsidRPr="00B918F9">
        <w:rPr>
          <w:rFonts w:ascii="Book Antiqua" w:hAnsi="Book Antiqua" w:cs="SimSun"/>
          <w:color w:val="000000"/>
          <w:sz w:val="24"/>
          <w:szCs w:val="24"/>
        </w:rPr>
        <w:t>, Yoneyama H, Suzuki K, Suriki H, Aiba T, Watanabe S, Kawauchi Y, Kawachi H, Shimizu F, Matsushima K, Asakura H, Narumi S. Blockade of CXCL10 protects mice from acute colitis and enhances crypt cell survival. </w:t>
      </w:r>
      <w:r w:rsidRPr="00B918F9">
        <w:rPr>
          <w:rFonts w:ascii="Book Antiqua" w:hAnsi="Book Antiqua" w:cs="SimSun"/>
          <w:i/>
          <w:iCs/>
          <w:color w:val="000000"/>
          <w:sz w:val="24"/>
          <w:szCs w:val="24"/>
        </w:rPr>
        <w:t>Eur J Immunol</w:t>
      </w:r>
      <w:r w:rsidRPr="00B918F9">
        <w:rPr>
          <w:rFonts w:ascii="Book Antiqua" w:hAnsi="Book Antiqua" w:cs="SimSun"/>
          <w:color w:val="000000"/>
          <w:sz w:val="24"/>
          <w:szCs w:val="24"/>
        </w:rPr>
        <w:t> 2002; </w:t>
      </w:r>
      <w:r w:rsidRPr="00B918F9">
        <w:rPr>
          <w:rFonts w:ascii="Book Antiqua" w:hAnsi="Book Antiqua" w:cs="SimSun"/>
          <w:b/>
          <w:bCs/>
          <w:color w:val="000000"/>
          <w:sz w:val="24"/>
          <w:szCs w:val="24"/>
        </w:rPr>
        <w:t>32</w:t>
      </w:r>
      <w:r w:rsidRPr="00B918F9">
        <w:rPr>
          <w:rFonts w:ascii="Book Antiqua" w:hAnsi="Book Antiqua" w:cs="SimSun"/>
          <w:color w:val="000000"/>
          <w:sz w:val="24"/>
          <w:szCs w:val="24"/>
        </w:rPr>
        <w:t>: 3197-3205 [PMID: 12555665 DOI: 10.1002/1521-4141(200211)32:11&lt;3197::AID-IMMU3197&gt;3.0.CO;2-1]</w:t>
      </w:r>
    </w:p>
    <w:p w14:paraId="214DF1A8"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lastRenderedPageBreak/>
        <w:t xml:space="preserve">142 </w:t>
      </w:r>
      <w:r w:rsidRPr="00B918F9">
        <w:rPr>
          <w:rFonts w:ascii="Book Antiqua" w:hAnsi="Book Antiqua" w:cs="SimSun"/>
          <w:b/>
          <w:color w:val="000000"/>
          <w:sz w:val="24"/>
          <w:szCs w:val="24"/>
        </w:rPr>
        <w:t>Hardi R</w:t>
      </w:r>
      <w:r w:rsidRPr="00B918F9">
        <w:rPr>
          <w:rFonts w:ascii="Book Antiqua" w:hAnsi="Book Antiqua" w:cs="SimSun"/>
          <w:color w:val="000000"/>
          <w:sz w:val="24"/>
          <w:szCs w:val="24"/>
        </w:rPr>
        <w:t xml:space="preserve">, Mayer L, Targan SR, Yellin M, Cardarelli P, Das K. A phase 1 open-label, single-dose, dose-escalation study of MDX-1100, a high-affinity, neutralizing, fully human Igg1(kappa) anti-CXCL10 (Ip10) monoclonal antibody, in ulcerative colitis. </w:t>
      </w:r>
      <w:r w:rsidRPr="00B918F9">
        <w:rPr>
          <w:rFonts w:ascii="Book Antiqua" w:hAnsi="Book Antiqua" w:cs="SimSun"/>
          <w:i/>
          <w:color w:val="000000"/>
          <w:sz w:val="24"/>
          <w:szCs w:val="24"/>
        </w:rPr>
        <w:t>Gastroenterology</w:t>
      </w:r>
      <w:r w:rsidRPr="00B918F9">
        <w:rPr>
          <w:rFonts w:ascii="Book Antiqua" w:hAnsi="Book Antiqua" w:cs="SimSun"/>
          <w:color w:val="000000"/>
          <w:sz w:val="24"/>
          <w:szCs w:val="24"/>
        </w:rPr>
        <w:t xml:space="preserve"> 2008; </w:t>
      </w:r>
      <w:r w:rsidRPr="00B918F9">
        <w:rPr>
          <w:rFonts w:ascii="Book Antiqua" w:hAnsi="Book Antiqua" w:cs="SimSun"/>
          <w:b/>
          <w:color w:val="000000"/>
          <w:sz w:val="24"/>
          <w:szCs w:val="24"/>
        </w:rPr>
        <w:t>134</w:t>
      </w:r>
      <w:r w:rsidRPr="00B918F9">
        <w:rPr>
          <w:rFonts w:ascii="Book Antiqua" w:hAnsi="Book Antiqua" w:cs="SimSun"/>
          <w:color w:val="000000"/>
          <w:sz w:val="24"/>
          <w:szCs w:val="24"/>
        </w:rPr>
        <w:t>: A99–A100 [DOI: 10.1016/S0016-5085(08)60466-7]</w:t>
      </w:r>
    </w:p>
    <w:p w14:paraId="463C900D"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143 </w:t>
      </w:r>
      <w:r w:rsidRPr="00B918F9">
        <w:rPr>
          <w:rFonts w:ascii="Book Antiqua" w:hAnsi="Book Antiqua" w:cs="SimSun"/>
          <w:b/>
          <w:bCs/>
          <w:color w:val="000000"/>
          <w:sz w:val="24"/>
          <w:szCs w:val="24"/>
        </w:rPr>
        <w:t>Yellin M</w:t>
      </w:r>
      <w:r w:rsidRPr="00B918F9">
        <w:rPr>
          <w:rFonts w:ascii="Book Antiqua" w:hAnsi="Book Antiqua" w:cs="SimSun"/>
          <w:color w:val="000000"/>
          <w:sz w:val="24"/>
          <w:szCs w:val="24"/>
        </w:rPr>
        <w:t>, Paliienko I, Balanescu A, Ter-Vartanian S, Tseluyko V, Xu LA, Tao X, Cardarelli PM, Leblanc H, Nichol G, Ancuta C, Chirieac R, Luo A. A phase II, randomized, double-blind, placebo-controlled study evaluating the efficacy and safety of MDX-1100, a fully human anti-CXCL10 monoclonal antibody, in combination with methotrexate in patients with rheumatoid arthritis. </w:t>
      </w:r>
      <w:r w:rsidRPr="00B918F9">
        <w:rPr>
          <w:rFonts w:ascii="Book Antiqua" w:hAnsi="Book Antiqua" w:cs="SimSun"/>
          <w:i/>
          <w:iCs/>
          <w:color w:val="000000"/>
          <w:sz w:val="24"/>
          <w:szCs w:val="24"/>
        </w:rPr>
        <w:t>Arthritis Rheum</w:t>
      </w:r>
      <w:r w:rsidRPr="00B918F9">
        <w:rPr>
          <w:rFonts w:ascii="Book Antiqua" w:hAnsi="Book Antiqua" w:cs="SimSun"/>
          <w:color w:val="000000"/>
          <w:sz w:val="24"/>
          <w:szCs w:val="24"/>
        </w:rPr>
        <w:t> 2012; </w:t>
      </w:r>
      <w:r w:rsidRPr="00B918F9">
        <w:rPr>
          <w:rFonts w:ascii="Book Antiqua" w:hAnsi="Book Antiqua" w:cs="SimSun"/>
          <w:b/>
          <w:bCs/>
          <w:color w:val="000000"/>
          <w:sz w:val="24"/>
          <w:szCs w:val="24"/>
        </w:rPr>
        <w:t>64</w:t>
      </w:r>
      <w:r w:rsidRPr="00B918F9">
        <w:rPr>
          <w:rFonts w:ascii="Book Antiqua" w:hAnsi="Book Antiqua" w:cs="SimSun"/>
          <w:color w:val="000000"/>
          <w:sz w:val="24"/>
          <w:szCs w:val="24"/>
        </w:rPr>
        <w:t>: 1730-1739 [PMID: 22147649 DOI: 10.1002/art.34330]</w:t>
      </w:r>
    </w:p>
    <w:p w14:paraId="1C6F0A48"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144 </w:t>
      </w:r>
      <w:r w:rsidRPr="00B918F9">
        <w:rPr>
          <w:rFonts w:ascii="Book Antiqua" w:hAnsi="Book Antiqua" w:cs="SimSun"/>
          <w:b/>
          <w:bCs/>
          <w:color w:val="000000"/>
          <w:sz w:val="24"/>
          <w:szCs w:val="24"/>
        </w:rPr>
        <w:t>Mayer L</w:t>
      </w:r>
      <w:r w:rsidRPr="00B918F9">
        <w:rPr>
          <w:rFonts w:ascii="Book Antiqua" w:hAnsi="Book Antiqua" w:cs="SimSun"/>
          <w:color w:val="000000"/>
          <w:sz w:val="24"/>
          <w:szCs w:val="24"/>
        </w:rPr>
        <w:t>, Sandborn WJ, Stepanov Y, Geboes K, Hardi R, Yellin M, Tao X, Xu LA, Salter-Cid L, Gujrathi S, Aranda R, Luo AY. Anti-IP-10 antibody (BMS-936557) for ulcerative colitis: a phase II randomised study. </w:t>
      </w:r>
      <w:r w:rsidRPr="00B918F9">
        <w:rPr>
          <w:rFonts w:ascii="Book Antiqua" w:hAnsi="Book Antiqua" w:cs="SimSun"/>
          <w:i/>
          <w:iCs/>
          <w:color w:val="000000"/>
          <w:sz w:val="24"/>
          <w:szCs w:val="24"/>
        </w:rPr>
        <w:t>Gut</w:t>
      </w:r>
      <w:r w:rsidRPr="00B918F9">
        <w:rPr>
          <w:rFonts w:ascii="Book Antiqua" w:hAnsi="Book Antiqua" w:cs="SimSun"/>
          <w:color w:val="000000"/>
          <w:sz w:val="24"/>
          <w:szCs w:val="24"/>
        </w:rPr>
        <w:t> 2014; </w:t>
      </w:r>
      <w:r w:rsidRPr="00B918F9">
        <w:rPr>
          <w:rFonts w:ascii="Book Antiqua" w:hAnsi="Book Antiqua" w:cs="SimSun"/>
          <w:b/>
          <w:bCs/>
          <w:color w:val="000000"/>
          <w:sz w:val="24"/>
          <w:szCs w:val="24"/>
        </w:rPr>
        <w:t>63</w:t>
      </w:r>
      <w:r w:rsidRPr="00B918F9">
        <w:rPr>
          <w:rFonts w:ascii="Book Antiqua" w:hAnsi="Book Antiqua" w:cs="SimSun"/>
          <w:color w:val="000000"/>
          <w:sz w:val="24"/>
          <w:szCs w:val="24"/>
        </w:rPr>
        <w:t>: 442-450 [PMID: 23461895 DOI: 10.1136/gutjnl-2012-303424]</w:t>
      </w:r>
    </w:p>
    <w:p w14:paraId="6AEA318A"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145 Available from: URL: https: //clinicaltrials.gov/ct2/show/NCT01466374?term=BMS-936557&amp;rank=1</w:t>
      </w:r>
    </w:p>
    <w:p w14:paraId="357B5C9E"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146 Available from: URL: https: //clinicaltrials.gov/ct2/show/record/NCT01294410?term=BMS-936557&amp;rank=2&amp;show_locs=Y</w:t>
      </w:r>
    </w:p>
    <w:p w14:paraId="589CD903"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147 </w:t>
      </w:r>
      <w:r w:rsidRPr="00B918F9">
        <w:rPr>
          <w:rFonts w:ascii="Book Antiqua" w:hAnsi="Book Antiqua" w:cs="SimSun"/>
          <w:b/>
          <w:bCs/>
          <w:color w:val="000000"/>
          <w:sz w:val="24"/>
          <w:szCs w:val="24"/>
        </w:rPr>
        <w:t>Antonelli A</w:t>
      </w:r>
      <w:r w:rsidRPr="00B918F9">
        <w:rPr>
          <w:rFonts w:ascii="Book Antiqua" w:hAnsi="Book Antiqua" w:cs="SimSun"/>
          <w:color w:val="000000"/>
          <w:sz w:val="24"/>
          <w:szCs w:val="24"/>
        </w:rPr>
        <w:t>, Ferrari SM, Giuggioli D, Ferrannini E, Ferri C, Fallahi P. Chemokine (C-X-C motif) ligand (CXCL)10 in autoimmune diseases. </w:t>
      </w:r>
      <w:r w:rsidRPr="00B918F9">
        <w:rPr>
          <w:rFonts w:ascii="Book Antiqua" w:hAnsi="Book Antiqua" w:cs="SimSun"/>
          <w:i/>
          <w:iCs/>
          <w:color w:val="000000"/>
          <w:sz w:val="24"/>
          <w:szCs w:val="24"/>
        </w:rPr>
        <w:t>Autoimmun Rev</w:t>
      </w:r>
      <w:r w:rsidRPr="00B918F9">
        <w:rPr>
          <w:rFonts w:ascii="Book Antiqua" w:hAnsi="Book Antiqua" w:cs="SimSun"/>
          <w:color w:val="000000"/>
          <w:sz w:val="24"/>
          <w:szCs w:val="24"/>
        </w:rPr>
        <w:t> 2014; </w:t>
      </w:r>
      <w:r w:rsidRPr="00B918F9">
        <w:rPr>
          <w:rFonts w:ascii="Book Antiqua" w:hAnsi="Book Antiqua" w:cs="SimSun"/>
          <w:b/>
          <w:bCs/>
          <w:color w:val="000000"/>
          <w:sz w:val="24"/>
          <w:szCs w:val="24"/>
        </w:rPr>
        <w:t>13</w:t>
      </w:r>
      <w:r w:rsidRPr="00B918F9">
        <w:rPr>
          <w:rFonts w:ascii="Book Antiqua" w:hAnsi="Book Antiqua" w:cs="SimSun"/>
          <w:color w:val="000000"/>
          <w:sz w:val="24"/>
          <w:szCs w:val="24"/>
        </w:rPr>
        <w:t>: 272-280 [PMID: 24189283 DOI: 10.1016/j.autrev.2013.10.010]</w:t>
      </w:r>
    </w:p>
    <w:p w14:paraId="143E2A19"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148 </w:t>
      </w:r>
      <w:r w:rsidRPr="00B918F9">
        <w:rPr>
          <w:rFonts w:ascii="Book Antiqua" w:hAnsi="Book Antiqua" w:cs="SimSun"/>
          <w:b/>
          <w:bCs/>
          <w:color w:val="000000"/>
          <w:sz w:val="24"/>
          <w:szCs w:val="24"/>
        </w:rPr>
        <w:t>Grip O</w:t>
      </w:r>
      <w:r w:rsidRPr="00B918F9">
        <w:rPr>
          <w:rFonts w:ascii="Book Antiqua" w:hAnsi="Book Antiqua" w:cs="SimSun"/>
          <w:color w:val="000000"/>
          <w:sz w:val="24"/>
          <w:szCs w:val="24"/>
        </w:rPr>
        <w:t>, Janciauskiene S. Atorvastatin reduces plasma levels of chemokine (CXCL10) in patients with Crohn's disease. </w:t>
      </w:r>
      <w:r w:rsidRPr="00B918F9">
        <w:rPr>
          <w:rFonts w:ascii="Book Antiqua" w:hAnsi="Book Antiqua" w:cs="SimSun"/>
          <w:i/>
          <w:iCs/>
          <w:color w:val="000000"/>
          <w:sz w:val="24"/>
          <w:szCs w:val="24"/>
        </w:rPr>
        <w:t>PLoS One</w:t>
      </w:r>
      <w:r w:rsidRPr="00B918F9">
        <w:rPr>
          <w:rFonts w:ascii="Book Antiqua" w:hAnsi="Book Antiqua" w:cs="SimSun"/>
          <w:color w:val="000000"/>
          <w:sz w:val="24"/>
          <w:szCs w:val="24"/>
        </w:rPr>
        <w:t> 2009; </w:t>
      </w:r>
      <w:r w:rsidRPr="00B918F9">
        <w:rPr>
          <w:rFonts w:ascii="Book Antiqua" w:hAnsi="Book Antiqua" w:cs="SimSun"/>
          <w:b/>
          <w:bCs/>
          <w:color w:val="000000"/>
          <w:sz w:val="24"/>
          <w:szCs w:val="24"/>
        </w:rPr>
        <w:t>4</w:t>
      </w:r>
      <w:r w:rsidRPr="00B918F9">
        <w:rPr>
          <w:rFonts w:ascii="Book Antiqua" w:hAnsi="Book Antiqua" w:cs="SimSun"/>
          <w:color w:val="000000"/>
          <w:sz w:val="24"/>
          <w:szCs w:val="24"/>
        </w:rPr>
        <w:t>: e5263 [PMID: 19421322 DOI: 10.1371/journal.pone.0005263]</w:t>
      </w:r>
    </w:p>
    <w:p w14:paraId="2FE1CB0A"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149 </w:t>
      </w:r>
      <w:r w:rsidRPr="00B918F9">
        <w:rPr>
          <w:rFonts w:ascii="Book Antiqua" w:hAnsi="Book Antiqua" w:cs="SimSun"/>
          <w:b/>
          <w:bCs/>
          <w:color w:val="000000"/>
          <w:sz w:val="24"/>
          <w:szCs w:val="24"/>
        </w:rPr>
        <w:t>Coburn LA</w:t>
      </w:r>
      <w:r w:rsidRPr="00B918F9">
        <w:rPr>
          <w:rFonts w:ascii="Book Antiqua" w:hAnsi="Book Antiqua" w:cs="SimSun"/>
          <w:color w:val="000000"/>
          <w:sz w:val="24"/>
          <w:szCs w:val="24"/>
        </w:rPr>
        <w:t>, Horst SN, Chaturvedi R, Brown CT, Allaman MM, Scull BP, Singh K, Piazuelo MB, Chitnavis MV, Hodges ME, Rosen MJ, Williams CS, Slaughter JC, Beaulieu DB, Schwartz DA, Wilson KT. High-throughput multi-</w:t>
      </w:r>
      <w:r w:rsidRPr="00B918F9">
        <w:rPr>
          <w:rFonts w:ascii="Book Antiqua" w:hAnsi="Book Antiqua" w:cs="SimSun"/>
          <w:color w:val="000000"/>
          <w:sz w:val="24"/>
          <w:szCs w:val="24"/>
        </w:rPr>
        <w:lastRenderedPageBreak/>
        <w:t>analyte Luminex profiling implicates eotaxin-1 in ulcerative colitis. </w:t>
      </w:r>
      <w:r w:rsidRPr="00B918F9">
        <w:rPr>
          <w:rFonts w:ascii="Book Antiqua" w:hAnsi="Book Antiqua" w:cs="SimSun"/>
          <w:i/>
          <w:iCs/>
          <w:color w:val="000000"/>
          <w:sz w:val="24"/>
          <w:szCs w:val="24"/>
        </w:rPr>
        <w:t>PLoS One</w:t>
      </w:r>
      <w:r w:rsidRPr="00B918F9">
        <w:rPr>
          <w:rFonts w:ascii="Book Antiqua" w:hAnsi="Book Antiqua" w:cs="SimSun"/>
          <w:color w:val="000000"/>
          <w:sz w:val="24"/>
          <w:szCs w:val="24"/>
        </w:rPr>
        <w:t> 2013; </w:t>
      </w:r>
      <w:r w:rsidRPr="00B918F9">
        <w:rPr>
          <w:rFonts w:ascii="Book Antiqua" w:hAnsi="Book Antiqua" w:cs="SimSun"/>
          <w:b/>
          <w:bCs/>
          <w:color w:val="000000"/>
          <w:sz w:val="24"/>
          <w:szCs w:val="24"/>
        </w:rPr>
        <w:t>8</w:t>
      </w:r>
      <w:r w:rsidRPr="00B918F9">
        <w:rPr>
          <w:rFonts w:ascii="Book Antiqua" w:hAnsi="Book Antiqua" w:cs="SimSun"/>
          <w:color w:val="000000"/>
          <w:sz w:val="24"/>
          <w:szCs w:val="24"/>
        </w:rPr>
        <w:t>: e82300 [PMID: 24367513 DOI: 10.1371/journal.pone.0082300]</w:t>
      </w:r>
    </w:p>
    <w:p w14:paraId="0436FCD4"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150 Available from: URL: https: //www.clinicaltrials.gov/ct2/show/record/NCT01671956?term=bertilimumab&amp;rank=1</w:t>
      </w:r>
    </w:p>
    <w:p w14:paraId="4C8DFB5A"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151 </w:t>
      </w:r>
      <w:r w:rsidRPr="00B918F9">
        <w:rPr>
          <w:rFonts w:ascii="Book Antiqua" w:hAnsi="Book Antiqua" w:cs="SimSun"/>
          <w:b/>
          <w:bCs/>
          <w:color w:val="000000"/>
          <w:sz w:val="24"/>
          <w:szCs w:val="24"/>
        </w:rPr>
        <w:t>Zagury D</w:t>
      </w:r>
      <w:r w:rsidRPr="00B918F9">
        <w:rPr>
          <w:rFonts w:ascii="Book Antiqua" w:hAnsi="Book Antiqua" w:cs="SimSun"/>
          <w:color w:val="000000"/>
          <w:sz w:val="24"/>
          <w:szCs w:val="24"/>
        </w:rPr>
        <w:t>, Le Buanec H, Bizzini B, Burny A, Lewis G, Gallo RC. Active versus passive anti-cytokine antibody therapy against cytokine-associated chronic diseases. </w:t>
      </w:r>
      <w:r w:rsidRPr="00B918F9">
        <w:rPr>
          <w:rFonts w:ascii="Book Antiqua" w:hAnsi="Book Antiqua" w:cs="SimSun"/>
          <w:i/>
          <w:iCs/>
          <w:color w:val="000000"/>
          <w:sz w:val="24"/>
          <w:szCs w:val="24"/>
        </w:rPr>
        <w:t>Cytokine Growth Factor Rev</w:t>
      </w:r>
      <w:r w:rsidRPr="00B918F9">
        <w:rPr>
          <w:rFonts w:ascii="Book Antiqua" w:hAnsi="Book Antiqua" w:cs="SimSun"/>
          <w:color w:val="000000"/>
          <w:sz w:val="24"/>
          <w:szCs w:val="24"/>
        </w:rPr>
        <w:t> 2003; </w:t>
      </w:r>
      <w:r w:rsidRPr="00B918F9">
        <w:rPr>
          <w:rFonts w:ascii="Book Antiqua" w:hAnsi="Book Antiqua" w:cs="SimSun"/>
          <w:b/>
          <w:bCs/>
          <w:color w:val="000000"/>
          <w:sz w:val="24"/>
          <w:szCs w:val="24"/>
        </w:rPr>
        <w:t>14</w:t>
      </w:r>
      <w:r w:rsidRPr="00B918F9">
        <w:rPr>
          <w:rFonts w:ascii="Book Antiqua" w:hAnsi="Book Antiqua" w:cs="SimSun"/>
          <w:color w:val="000000"/>
          <w:sz w:val="24"/>
          <w:szCs w:val="24"/>
        </w:rPr>
        <w:t>: 123-137 [PMID: 12651224 DOI: 10.1016/S1359-6101(03)00004-2]</w:t>
      </w:r>
    </w:p>
    <w:p w14:paraId="7DF07738"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 xml:space="preserve">152 Vandepapeliere P, Malan F, Rogler G, van der Bijl A, Kruger F. Safety, Immunogenicity and Clinical Phase I-II Results of TNFa-Kinoid Immunotherapeutic in Crohn’s Disease Patients. </w:t>
      </w:r>
      <w:r w:rsidRPr="00B918F9">
        <w:rPr>
          <w:rFonts w:ascii="Book Antiqua" w:hAnsi="Book Antiqua" w:cs="SimSun"/>
          <w:i/>
          <w:color w:val="000000"/>
          <w:sz w:val="24"/>
          <w:szCs w:val="24"/>
        </w:rPr>
        <w:t>Gastroenterology</w:t>
      </w:r>
      <w:r w:rsidRPr="00B918F9">
        <w:rPr>
          <w:rFonts w:ascii="Book Antiqua" w:hAnsi="Book Antiqua" w:cs="SimSun"/>
          <w:color w:val="000000"/>
          <w:sz w:val="24"/>
          <w:szCs w:val="24"/>
        </w:rPr>
        <w:t xml:space="preserve"> 2011: </w:t>
      </w:r>
      <w:r w:rsidRPr="00B918F9">
        <w:rPr>
          <w:rFonts w:ascii="Book Antiqua" w:hAnsi="Book Antiqua" w:cs="SimSun"/>
          <w:b/>
          <w:color w:val="000000"/>
          <w:sz w:val="24"/>
          <w:szCs w:val="24"/>
        </w:rPr>
        <w:t>140</w:t>
      </w:r>
      <w:r w:rsidRPr="00B918F9">
        <w:rPr>
          <w:rFonts w:ascii="Book Antiqua" w:hAnsi="Book Antiqua" w:cs="SimSun"/>
          <w:color w:val="000000"/>
          <w:sz w:val="24"/>
          <w:szCs w:val="24"/>
        </w:rPr>
        <w:t xml:space="preserve"> Suppl 1: S123 [DOI: 10.1016/S0016-5085(11)60501-5]</w:t>
      </w:r>
    </w:p>
    <w:p w14:paraId="0D1AA325"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 xml:space="preserve">153 </w:t>
      </w:r>
      <w:r w:rsidRPr="00B918F9">
        <w:rPr>
          <w:rFonts w:ascii="Book Antiqua" w:hAnsi="Book Antiqua" w:cs="Book Antiqua"/>
          <w:bCs/>
          <w:sz w:val="24"/>
          <w:szCs w:val="24"/>
        </w:rPr>
        <w:t>Dewit</w:t>
      </w:r>
      <w:r w:rsidRPr="00B918F9">
        <w:rPr>
          <w:rFonts w:ascii="Book Antiqua" w:hAnsi="Book Antiqua" w:cs="Book Antiqua"/>
          <w:bCs/>
          <w:sz w:val="24"/>
          <w:szCs w:val="24"/>
          <w:lang w:val="en-US"/>
        </w:rPr>
        <w:t xml:space="preserve"> O</w:t>
      </w:r>
      <w:r w:rsidRPr="00B918F9">
        <w:rPr>
          <w:rFonts w:ascii="Book Antiqua" w:hAnsi="Book Antiqua" w:cs="Book Antiqua"/>
          <w:sz w:val="24"/>
          <w:szCs w:val="24"/>
          <w:lang w:val="en-US"/>
        </w:rPr>
        <w:t>, Hebut</w:t>
      </w:r>
      <w:r w:rsidRPr="00B918F9">
        <w:rPr>
          <w:rFonts w:ascii="Book Antiqua" w:hAnsi="Book Antiqua" w:cs="Book Antiqua"/>
          <w:sz w:val="24"/>
          <w:szCs w:val="24"/>
        </w:rPr>
        <w:t>erne X, Dupas J, Howaldt S, Bures J, Schreiber</w:t>
      </w:r>
      <w:r w:rsidRPr="00B918F9">
        <w:rPr>
          <w:rFonts w:ascii="Book Antiqua" w:hAnsi="Book Antiqua" w:cs="Book Antiqua"/>
          <w:sz w:val="24"/>
          <w:szCs w:val="24"/>
          <w:lang w:val="en-US"/>
        </w:rPr>
        <w:t xml:space="preserve"> S, Pace A, Klaus J, Bouhnik Y, Reinshagen M, ALlez M, Hoffmann P, D´Haens G, Van Bondegraven A, Stimac D, Goetz M, Kahi S, Vandepapeliere P, Colombel JF, Rutgers P</w:t>
      </w:r>
      <w:r w:rsidRPr="00B918F9">
        <w:rPr>
          <w:rFonts w:ascii="Book Antiqua" w:hAnsi="Book Antiqua" w:cs="Book Antiqua"/>
          <w:sz w:val="24"/>
          <w:szCs w:val="24"/>
        </w:rPr>
        <w:t>,</w:t>
      </w:r>
      <w:r w:rsidRPr="00B918F9">
        <w:rPr>
          <w:rFonts w:ascii="Book Antiqua" w:hAnsi="Book Antiqua" w:cs="Book Antiqua"/>
          <w:sz w:val="24"/>
          <w:szCs w:val="24"/>
          <w:lang w:val="en-US"/>
        </w:rPr>
        <w:t xml:space="preserve"> Vermiere S. Results of a phase II, randomized, double blind, controlled trial of the efficacy of active therapeutic immunization with TNFKinoid in patients with moderate to severe Crohn’s disease with secondary resistance to TNFα antagonist. </w:t>
      </w:r>
      <w:r w:rsidRPr="00B918F9">
        <w:rPr>
          <w:rFonts w:ascii="Book Antiqua" w:hAnsi="Book Antiqua" w:cs="Book Antiqua"/>
          <w:i/>
          <w:sz w:val="24"/>
          <w:szCs w:val="24"/>
          <w:lang w:val="en-US"/>
        </w:rPr>
        <w:t>Gastroenterology</w:t>
      </w:r>
      <w:r w:rsidRPr="00B918F9">
        <w:rPr>
          <w:rFonts w:ascii="Book Antiqua" w:hAnsi="Book Antiqua" w:cs="Book Antiqua"/>
          <w:sz w:val="24"/>
          <w:szCs w:val="24"/>
          <w:lang w:val="en-US"/>
        </w:rPr>
        <w:t xml:space="preserve"> 2012: </w:t>
      </w:r>
      <w:r w:rsidRPr="00B918F9">
        <w:rPr>
          <w:rFonts w:ascii="Book Antiqua" w:hAnsi="Book Antiqua" w:cs="Book Antiqua"/>
          <w:b/>
          <w:sz w:val="24"/>
          <w:szCs w:val="24"/>
          <w:lang w:val="en-US"/>
        </w:rPr>
        <w:t>142</w:t>
      </w:r>
      <w:r w:rsidRPr="00B918F9">
        <w:rPr>
          <w:rFonts w:ascii="Book Antiqua" w:hAnsi="Book Antiqua" w:cs="Book Antiqua"/>
          <w:sz w:val="24"/>
          <w:szCs w:val="24"/>
          <w:lang w:val="en-US"/>
        </w:rPr>
        <w:t xml:space="preserve">: S567-S568 [DOI: </w:t>
      </w:r>
      <w:r w:rsidRPr="00B918F9">
        <w:rPr>
          <w:rFonts w:ascii="Book Antiqua" w:hAnsi="Book Antiqua" w:cs="Book Antiqua"/>
          <w:sz w:val="24"/>
          <w:szCs w:val="24"/>
        </w:rPr>
        <w:t>10.1016/S0016-5085(12)62179-9</w:t>
      </w:r>
      <w:r w:rsidRPr="00B918F9">
        <w:rPr>
          <w:rFonts w:ascii="Book Antiqua" w:hAnsi="Book Antiqua" w:cs="Book Antiqua"/>
          <w:sz w:val="24"/>
          <w:szCs w:val="24"/>
          <w:lang w:val="en-US"/>
        </w:rPr>
        <w:t>]</w:t>
      </w:r>
    </w:p>
    <w:p w14:paraId="51F18966"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154 </w:t>
      </w:r>
      <w:r w:rsidRPr="00B918F9">
        <w:rPr>
          <w:rFonts w:ascii="Book Antiqua" w:hAnsi="Book Antiqua" w:cs="SimSun"/>
          <w:b/>
          <w:bCs/>
          <w:color w:val="000000"/>
          <w:sz w:val="24"/>
          <w:szCs w:val="24"/>
        </w:rPr>
        <w:t>Aaronson DS</w:t>
      </w:r>
      <w:r w:rsidRPr="00B918F9">
        <w:rPr>
          <w:rFonts w:ascii="Book Antiqua" w:hAnsi="Book Antiqua" w:cs="SimSun"/>
          <w:color w:val="000000"/>
          <w:sz w:val="24"/>
          <w:szCs w:val="24"/>
        </w:rPr>
        <w:t>, Horvath CM. A road map for those who don't know JAK-STAT. </w:t>
      </w:r>
      <w:r w:rsidRPr="00B918F9">
        <w:rPr>
          <w:rFonts w:ascii="Book Antiqua" w:hAnsi="Book Antiqua" w:cs="SimSun"/>
          <w:i/>
          <w:iCs/>
          <w:color w:val="000000"/>
          <w:sz w:val="24"/>
          <w:szCs w:val="24"/>
        </w:rPr>
        <w:t>Science</w:t>
      </w:r>
      <w:r w:rsidRPr="00B918F9">
        <w:rPr>
          <w:rFonts w:ascii="Book Antiqua" w:hAnsi="Book Antiqua" w:cs="SimSun"/>
          <w:color w:val="000000"/>
          <w:sz w:val="24"/>
          <w:szCs w:val="24"/>
        </w:rPr>
        <w:t> 2002; </w:t>
      </w:r>
      <w:r w:rsidRPr="00B918F9">
        <w:rPr>
          <w:rFonts w:ascii="Book Antiqua" w:hAnsi="Book Antiqua" w:cs="SimSun"/>
          <w:b/>
          <w:bCs/>
          <w:color w:val="000000"/>
          <w:sz w:val="24"/>
          <w:szCs w:val="24"/>
        </w:rPr>
        <w:t>296</w:t>
      </w:r>
      <w:r w:rsidRPr="00B918F9">
        <w:rPr>
          <w:rFonts w:ascii="Book Antiqua" w:hAnsi="Book Antiqua" w:cs="SimSun"/>
          <w:color w:val="000000"/>
          <w:sz w:val="24"/>
          <w:szCs w:val="24"/>
        </w:rPr>
        <w:t>: 1653-1655 [PMID: 12040185 DOI: 10.1126/science.1071545]</w:t>
      </w:r>
    </w:p>
    <w:p w14:paraId="3A30E86B"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155 </w:t>
      </w:r>
      <w:r w:rsidRPr="00B918F9">
        <w:rPr>
          <w:rFonts w:ascii="Book Antiqua" w:hAnsi="Book Antiqua"/>
          <w:b/>
          <w:bCs/>
          <w:color w:val="000000"/>
          <w:sz w:val="24"/>
          <w:szCs w:val="24"/>
        </w:rPr>
        <w:t>Seavey MM</w:t>
      </w:r>
      <w:r w:rsidRPr="00B918F9">
        <w:rPr>
          <w:rFonts w:ascii="Book Antiqua" w:hAnsi="Book Antiqua"/>
          <w:color w:val="000000"/>
          <w:sz w:val="24"/>
          <w:szCs w:val="24"/>
        </w:rPr>
        <w:t>, Dobrzanski P. The many faces of Janus kinase.</w:t>
      </w:r>
      <w:r w:rsidRPr="00B918F9">
        <w:rPr>
          <w:rStyle w:val="apple-converted-space"/>
          <w:rFonts w:ascii="Book Antiqua" w:hAnsi="Book Antiqua"/>
          <w:sz w:val="24"/>
          <w:szCs w:val="24"/>
        </w:rPr>
        <w:t> </w:t>
      </w:r>
      <w:r w:rsidRPr="00B918F9">
        <w:rPr>
          <w:rFonts w:ascii="Book Antiqua" w:hAnsi="Book Antiqua"/>
          <w:i/>
          <w:iCs/>
          <w:color w:val="000000"/>
          <w:sz w:val="24"/>
          <w:szCs w:val="24"/>
        </w:rPr>
        <w:t>Biochem Pharmacol</w:t>
      </w:r>
      <w:r w:rsidRPr="00B918F9">
        <w:rPr>
          <w:rStyle w:val="apple-converted-space"/>
          <w:rFonts w:ascii="Book Antiqua" w:hAnsi="Book Antiqua"/>
          <w:sz w:val="24"/>
          <w:szCs w:val="24"/>
        </w:rPr>
        <w:t> </w:t>
      </w:r>
      <w:r w:rsidRPr="00B918F9">
        <w:rPr>
          <w:rFonts w:ascii="Book Antiqua" w:hAnsi="Book Antiqua"/>
          <w:color w:val="000000"/>
          <w:sz w:val="24"/>
          <w:szCs w:val="24"/>
        </w:rPr>
        <w:t>2012;</w:t>
      </w:r>
      <w:r w:rsidRPr="00B918F9">
        <w:rPr>
          <w:rStyle w:val="apple-converted-space"/>
          <w:rFonts w:ascii="Book Antiqua" w:hAnsi="Book Antiqua"/>
          <w:sz w:val="24"/>
          <w:szCs w:val="24"/>
        </w:rPr>
        <w:t> </w:t>
      </w:r>
      <w:r w:rsidRPr="00B918F9">
        <w:rPr>
          <w:rFonts w:ascii="Book Antiqua" w:hAnsi="Book Antiqua"/>
          <w:b/>
          <w:bCs/>
          <w:color w:val="000000"/>
          <w:sz w:val="24"/>
          <w:szCs w:val="24"/>
        </w:rPr>
        <w:t>83</w:t>
      </w:r>
      <w:r w:rsidRPr="00B918F9">
        <w:rPr>
          <w:rFonts w:ascii="Book Antiqua" w:hAnsi="Book Antiqua"/>
          <w:color w:val="000000"/>
          <w:sz w:val="24"/>
          <w:szCs w:val="24"/>
        </w:rPr>
        <w:t>: 1136-1145 [PMID: 22209716 DOI: 10.1016/j.bcp.2011.12.024]</w:t>
      </w:r>
    </w:p>
    <w:p w14:paraId="01512CF6"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156 </w:t>
      </w:r>
      <w:r w:rsidRPr="00B918F9">
        <w:rPr>
          <w:rFonts w:ascii="Book Antiqua" w:hAnsi="Book Antiqua"/>
          <w:b/>
          <w:bCs/>
          <w:color w:val="000000"/>
          <w:sz w:val="24"/>
          <w:szCs w:val="24"/>
        </w:rPr>
        <w:t>O'Shea JJ</w:t>
      </w:r>
      <w:r w:rsidRPr="00B918F9">
        <w:rPr>
          <w:rFonts w:ascii="Book Antiqua" w:hAnsi="Book Antiqua"/>
          <w:color w:val="000000"/>
          <w:sz w:val="24"/>
          <w:szCs w:val="24"/>
        </w:rPr>
        <w:t>, Plenge R. JAK and STAT signaling molecules in immunoregulation and immune-mediated disease.</w:t>
      </w:r>
      <w:r w:rsidRPr="00B918F9">
        <w:rPr>
          <w:rStyle w:val="apple-converted-space"/>
          <w:rFonts w:ascii="Book Antiqua" w:hAnsi="Book Antiqua"/>
          <w:sz w:val="24"/>
          <w:szCs w:val="24"/>
        </w:rPr>
        <w:t> </w:t>
      </w:r>
      <w:r w:rsidRPr="00B918F9">
        <w:rPr>
          <w:rFonts w:ascii="Book Antiqua" w:hAnsi="Book Antiqua"/>
          <w:i/>
          <w:iCs/>
          <w:color w:val="000000"/>
          <w:sz w:val="24"/>
          <w:szCs w:val="24"/>
        </w:rPr>
        <w:t>Immunity</w:t>
      </w:r>
      <w:r w:rsidRPr="00B918F9">
        <w:rPr>
          <w:rStyle w:val="apple-converted-space"/>
          <w:rFonts w:ascii="Book Antiqua" w:hAnsi="Book Antiqua"/>
          <w:sz w:val="24"/>
          <w:szCs w:val="24"/>
        </w:rPr>
        <w:t> </w:t>
      </w:r>
      <w:r w:rsidRPr="00B918F9">
        <w:rPr>
          <w:rFonts w:ascii="Book Antiqua" w:hAnsi="Book Antiqua"/>
          <w:color w:val="000000"/>
          <w:sz w:val="24"/>
          <w:szCs w:val="24"/>
        </w:rPr>
        <w:t>2012;</w:t>
      </w:r>
      <w:r w:rsidRPr="00B918F9">
        <w:rPr>
          <w:rStyle w:val="apple-converted-space"/>
          <w:rFonts w:ascii="Book Antiqua" w:hAnsi="Book Antiqua"/>
          <w:sz w:val="24"/>
          <w:szCs w:val="24"/>
        </w:rPr>
        <w:t> </w:t>
      </w:r>
      <w:r w:rsidRPr="00B918F9">
        <w:rPr>
          <w:rFonts w:ascii="Book Antiqua" w:hAnsi="Book Antiqua"/>
          <w:b/>
          <w:bCs/>
          <w:color w:val="000000"/>
          <w:sz w:val="24"/>
          <w:szCs w:val="24"/>
        </w:rPr>
        <w:t>36</w:t>
      </w:r>
      <w:r w:rsidRPr="00B918F9">
        <w:rPr>
          <w:rFonts w:ascii="Book Antiqua" w:hAnsi="Book Antiqua"/>
          <w:color w:val="000000"/>
          <w:sz w:val="24"/>
          <w:szCs w:val="24"/>
        </w:rPr>
        <w:t>: 542-550 [PMID: 22520847 DOI: 10.1016/j.immuni.2012.03.014]</w:t>
      </w:r>
    </w:p>
    <w:p w14:paraId="223695E9"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157 </w:t>
      </w:r>
      <w:r w:rsidRPr="00B918F9">
        <w:rPr>
          <w:rFonts w:ascii="Book Antiqua" w:hAnsi="Book Antiqua" w:cs="SimSun"/>
          <w:b/>
          <w:bCs/>
          <w:color w:val="000000"/>
          <w:sz w:val="24"/>
          <w:szCs w:val="24"/>
        </w:rPr>
        <w:t>Ghoreschi K</w:t>
      </w:r>
      <w:r w:rsidRPr="00B918F9">
        <w:rPr>
          <w:rFonts w:ascii="Book Antiqua" w:hAnsi="Book Antiqua" w:cs="SimSun"/>
          <w:color w:val="000000"/>
          <w:sz w:val="24"/>
          <w:szCs w:val="24"/>
        </w:rPr>
        <w:t xml:space="preserve">, Jesson MI, Li X, Lee JL, Ghosh S, Alsup JW, Warner JD, Tanaka M, Steward-Tharp SM, Gadina M, Thomas CJ, Minnerly JC, Storer CE, </w:t>
      </w:r>
      <w:r w:rsidRPr="00B918F9">
        <w:rPr>
          <w:rFonts w:ascii="Book Antiqua" w:hAnsi="Book Antiqua" w:cs="SimSun"/>
          <w:color w:val="000000"/>
          <w:sz w:val="24"/>
          <w:szCs w:val="24"/>
        </w:rPr>
        <w:lastRenderedPageBreak/>
        <w:t>LaBranche TP, Radi ZA, Dowty ME, Head RD, Meyer DM, Kishore N, O'Shea JJ. Modulation of innate and adaptive immune responses by tofacitinib (CP-690,550). </w:t>
      </w:r>
      <w:r w:rsidRPr="00B918F9">
        <w:rPr>
          <w:rFonts w:ascii="Book Antiqua" w:hAnsi="Book Antiqua" w:cs="SimSun"/>
          <w:i/>
          <w:iCs/>
          <w:color w:val="000000"/>
          <w:sz w:val="24"/>
          <w:szCs w:val="24"/>
        </w:rPr>
        <w:t>J Immunol</w:t>
      </w:r>
      <w:r w:rsidRPr="00B918F9">
        <w:rPr>
          <w:rFonts w:ascii="Book Antiqua" w:hAnsi="Book Antiqua" w:cs="SimSun"/>
          <w:color w:val="000000"/>
          <w:sz w:val="24"/>
          <w:szCs w:val="24"/>
        </w:rPr>
        <w:t> 2011; </w:t>
      </w:r>
      <w:r w:rsidRPr="00B918F9">
        <w:rPr>
          <w:rFonts w:ascii="Book Antiqua" w:hAnsi="Book Antiqua" w:cs="SimSun"/>
          <w:b/>
          <w:bCs/>
          <w:color w:val="000000"/>
          <w:sz w:val="24"/>
          <w:szCs w:val="24"/>
        </w:rPr>
        <w:t>186</w:t>
      </w:r>
      <w:r w:rsidRPr="00B918F9">
        <w:rPr>
          <w:rFonts w:ascii="Book Antiqua" w:hAnsi="Book Antiqua" w:cs="SimSun"/>
          <w:color w:val="000000"/>
          <w:sz w:val="24"/>
          <w:szCs w:val="24"/>
        </w:rPr>
        <w:t>: 4234-4243 [PMID: 21383241 DOI: 10.4049/jimmunol.1003668]</w:t>
      </w:r>
    </w:p>
    <w:p w14:paraId="2321DC7F"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158 </w:t>
      </w:r>
      <w:r w:rsidRPr="00B918F9">
        <w:rPr>
          <w:rFonts w:ascii="Book Antiqua" w:hAnsi="Book Antiqua" w:cs="SimSun"/>
          <w:b/>
          <w:bCs/>
          <w:color w:val="000000"/>
          <w:sz w:val="24"/>
          <w:szCs w:val="24"/>
        </w:rPr>
        <w:t>Flanagan ME</w:t>
      </w:r>
      <w:r w:rsidRPr="00B918F9">
        <w:rPr>
          <w:rFonts w:ascii="Book Antiqua" w:hAnsi="Book Antiqua" w:cs="SimSun"/>
          <w:color w:val="000000"/>
          <w:sz w:val="24"/>
          <w:szCs w:val="24"/>
        </w:rPr>
        <w:t>, Blumenkopf TA, Brissette WH, Brown MF, Casavant JM, Shang-Poa C, Doty JL, Elliott EA, Fisher MB, Hines M, Kent C, Kudlacz EM, Lillie BM, Magnuson KS, McCurdy SP, Munchhof MJ, Perry BD, Sawyer PS, Strelevitz TJ, Subramanyam C, Sun J, Whipple DA, Changelian PS. Discovery of CP-690,550: a potent and selective Janus kinase (JAK) inhibitor for the treatment of autoimmune diseases and organ transplant rejection. </w:t>
      </w:r>
      <w:r w:rsidRPr="00B918F9">
        <w:rPr>
          <w:rFonts w:ascii="Book Antiqua" w:hAnsi="Book Antiqua" w:cs="SimSun"/>
          <w:i/>
          <w:iCs/>
          <w:color w:val="000000"/>
          <w:sz w:val="24"/>
          <w:szCs w:val="24"/>
        </w:rPr>
        <w:t>J Med Chem</w:t>
      </w:r>
      <w:r w:rsidRPr="00B918F9">
        <w:rPr>
          <w:rFonts w:ascii="Book Antiqua" w:hAnsi="Book Antiqua" w:cs="SimSun"/>
          <w:color w:val="000000"/>
          <w:sz w:val="24"/>
          <w:szCs w:val="24"/>
        </w:rPr>
        <w:t> 2010; </w:t>
      </w:r>
      <w:r w:rsidRPr="00B918F9">
        <w:rPr>
          <w:rFonts w:ascii="Book Antiqua" w:hAnsi="Book Antiqua" w:cs="SimSun"/>
          <w:b/>
          <w:bCs/>
          <w:color w:val="000000"/>
          <w:sz w:val="24"/>
          <w:szCs w:val="24"/>
        </w:rPr>
        <w:t>53</w:t>
      </w:r>
      <w:r w:rsidRPr="00B918F9">
        <w:rPr>
          <w:rFonts w:ascii="Book Antiqua" w:hAnsi="Book Antiqua" w:cs="SimSun"/>
          <w:color w:val="000000"/>
          <w:sz w:val="24"/>
          <w:szCs w:val="24"/>
        </w:rPr>
        <w:t>: 8468-8484 [PMID: 21105711 DOI: 10.1021/jm1004286]</w:t>
      </w:r>
    </w:p>
    <w:p w14:paraId="6514B2BD"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159 </w:t>
      </w:r>
      <w:r w:rsidRPr="00B918F9">
        <w:rPr>
          <w:rFonts w:ascii="Book Antiqua" w:hAnsi="Book Antiqua" w:cs="SimSun"/>
          <w:b/>
          <w:bCs/>
          <w:color w:val="000000"/>
          <w:sz w:val="24"/>
          <w:szCs w:val="24"/>
        </w:rPr>
        <w:t>Changelian PS</w:t>
      </w:r>
      <w:r w:rsidRPr="00B918F9">
        <w:rPr>
          <w:rFonts w:ascii="Book Antiqua" w:hAnsi="Book Antiqua" w:cs="SimSun"/>
          <w:color w:val="000000"/>
          <w:sz w:val="24"/>
          <w:szCs w:val="24"/>
        </w:rPr>
        <w:t>, Moshinsky D, Kuhn CF, Flanagan ME, Munchhof MJ, Harris TM, Whipple DA, Doty JL, Sun J, Kent CR, Magnuson KS, Perregaux DG, Sawyer PS, Kudlacz EM. The specificity of JAK3 kinase inhibitors. </w:t>
      </w:r>
      <w:r w:rsidRPr="00B918F9">
        <w:rPr>
          <w:rFonts w:ascii="Book Antiqua" w:hAnsi="Book Antiqua" w:cs="SimSun"/>
          <w:i/>
          <w:iCs/>
          <w:color w:val="000000"/>
          <w:sz w:val="24"/>
          <w:szCs w:val="24"/>
        </w:rPr>
        <w:t>Blood</w:t>
      </w:r>
      <w:r w:rsidRPr="00B918F9">
        <w:rPr>
          <w:rFonts w:ascii="Book Antiqua" w:hAnsi="Book Antiqua" w:cs="SimSun"/>
          <w:color w:val="000000"/>
          <w:sz w:val="24"/>
          <w:szCs w:val="24"/>
        </w:rPr>
        <w:t> 2008; </w:t>
      </w:r>
      <w:r w:rsidRPr="00B918F9">
        <w:rPr>
          <w:rFonts w:ascii="Book Antiqua" w:hAnsi="Book Antiqua" w:cs="SimSun"/>
          <w:b/>
          <w:bCs/>
          <w:color w:val="000000"/>
          <w:sz w:val="24"/>
          <w:szCs w:val="24"/>
        </w:rPr>
        <w:t>111</w:t>
      </w:r>
      <w:r w:rsidRPr="00B918F9">
        <w:rPr>
          <w:rFonts w:ascii="Book Antiqua" w:hAnsi="Book Antiqua" w:cs="SimSun"/>
          <w:color w:val="000000"/>
          <w:sz w:val="24"/>
          <w:szCs w:val="24"/>
        </w:rPr>
        <w:t>: 2155-2157 [PMID: 18094329 DOI: 10.1182/blood-2007-09-115030]</w:t>
      </w:r>
    </w:p>
    <w:p w14:paraId="6619E080"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160 </w:t>
      </w:r>
      <w:r w:rsidRPr="00B918F9">
        <w:rPr>
          <w:rFonts w:ascii="Book Antiqua" w:hAnsi="Book Antiqua" w:cs="SimSun"/>
          <w:b/>
          <w:bCs/>
          <w:color w:val="000000"/>
          <w:sz w:val="24"/>
          <w:szCs w:val="24"/>
        </w:rPr>
        <w:t>Sewgobind VD</w:t>
      </w:r>
      <w:r w:rsidRPr="00B918F9">
        <w:rPr>
          <w:rFonts w:ascii="Book Antiqua" w:hAnsi="Book Antiqua" w:cs="SimSun"/>
          <w:color w:val="000000"/>
          <w:sz w:val="24"/>
          <w:szCs w:val="24"/>
        </w:rPr>
        <w:t>, Quaedackers ME, van der Laan LJ, Kraaijeveld R, Korevaar SS, Chan G, Weimar W, Baan CC. The Jak inhibitor CP-690,550 preserves the function of CD4CD25FoxP3 regulatory T cells and inhibits effector T cells. </w:t>
      </w:r>
      <w:r w:rsidRPr="00B918F9">
        <w:rPr>
          <w:rFonts w:ascii="Book Antiqua" w:hAnsi="Book Antiqua" w:cs="SimSun"/>
          <w:i/>
          <w:iCs/>
          <w:color w:val="000000"/>
          <w:sz w:val="24"/>
          <w:szCs w:val="24"/>
        </w:rPr>
        <w:t>Am J Transplant</w:t>
      </w:r>
      <w:r w:rsidRPr="00B918F9">
        <w:rPr>
          <w:rFonts w:ascii="Book Antiqua" w:hAnsi="Book Antiqua" w:cs="SimSun"/>
          <w:color w:val="000000"/>
          <w:sz w:val="24"/>
          <w:szCs w:val="24"/>
        </w:rPr>
        <w:t> 2010; </w:t>
      </w:r>
      <w:r w:rsidRPr="00B918F9">
        <w:rPr>
          <w:rFonts w:ascii="Book Antiqua" w:hAnsi="Book Antiqua" w:cs="SimSun"/>
          <w:b/>
          <w:bCs/>
          <w:color w:val="000000"/>
          <w:sz w:val="24"/>
          <w:szCs w:val="24"/>
        </w:rPr>
        <w:t>10</w:t>
      </w:r>
      <w:r w:rsidRPr="00B918F9">
        <w:rPr>
          <w:rFonts w:ascii="Book Antiqua" w:hAnsi="Book Antiqua" w:cs="SimSun"/>
          <w:color w:val="000000"/>
          <w:sz w:val="24"/>
          <w:szCs w:val="24"/>
        </w:rPr>
        <w:t>: 1785-1795 [PMID: 20626385 DOI: 10.1111/j.1600-6143.2010.03200.x]</w:t>
      </w:r>
    </w:p>
    <w:p w14:paraId="09C67CF3"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 xml:space="preserve">161 </w:t>
      </w:r>
      <w:r w:rsidRPr="00B918F9">
        <w:rPr>
          <w:rFonts w:ascii="Book Antiqua" w:hAnsi="Book Antiqua" w:cs="SimSun"/>
          <w:b/>
          <w:color w:val="000000"/>
          <w:sz w:val="24"/>
          <w:szCs w:val="24"/>
        </w:rPr>
        <w:t>Sandborn WJ</w:t>
      </w:r>
      <w:r w:rsidRPr="00B918F9">
        <w:rPr>
          <w:rFonts w:ascii="Book Antiqua" w:hAnsi="Book Antiqua" w:cs="SimSun"/>
          <w:color w:val="000000"/>
          <w:sz w:val="24"/>
          <w:szCs w:val="24"/>
        </w:rPr>
        <w:t xml:space="preserve">, Ghosh S, Panes J, Vranic I, Spanton Ch, Niezychowski W. Phase 2 randomized study of CP-690,550, an oral janus kinase inhibitor, in active Crohn’s disease. </w:t>
      </w:r>
      <w:r w:rsidRPr="00B918F9">
        <w:rPr>
          <w:rFonts w:ascii="Book Antiqua" w:hAnsi="Book Antiqua" w:cs="SimSun"/>
          <w:i/>
          <w:color w:val="000000"/>
          <w:sz w:val="24"/>
          <w:szCs w:val="24"/>
        </w:rPr>
        <w:t>Gastroenterology</w:t>
      </w:r>
      <w:r w:rsidRPr="00B918F9">
        <w:rPr>
          <w:rFonts w:ascii="Book Antiqua" w:hAnsi="Book Antiqua" w:cs="SimSun"/>
          <w:color w:val="000000"/>
          <w:sz w:val="24"/>
          <w:szCs w:val="24"/>
        </w:rPr>
        <w:t xml:space="preserve"> 2011; </w:t>
      </w:r>
      <w:r w:rsidRPr="00B918F9">
        <w:rPr>
          <w:rFonts w:ascii="Book Antiqua" w:hAnsi="Book Antiqua" w:cs="SimSun"/>
          <w:b/>
          <w:color w:val="000000"/>
          <w:sz w:val="24"/>
          <w:szCs w:val="24"/>
        </w:rPr>
        <w:t>140</w:t>
      </w:r>
      <w:r w:rsidRPr="00B918F9">
        <w:rPr>
          <w:rFonts w:ascii="Book Antiqua" w:hAnsi="Book Antiqua" w:cs="SimSun"/>
          <w:color w:val="000000"/>
          <w:sz w:val="24"/>
          <w:szCs w:val="24"/>
        </w:rPr>
        <w:t>: S110 [DOI: 10.1016/S0016-5085(11)60445-9]</w:t>
      </w:r>
    </w:p>
    <w:p w14:paraId="1EB41FB7"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162 </w:t>
      </w:r>
      <w:r w:rsidRPr="00B918F9">
        <w:rPr>
          <w:rFonts w:ascii="Book Antiqua" w:hAnsi="Book Antiqua" w:cs="SimSun"/>
          <w:b/>
          <w:bCs/>
          <w:color w:val="000000"/>
          <w:sz w:val="24"/>
          <w:szCs w:val="24"/>
        </w:rPr>
        <w:t>Sandborn WJ</w:t>
      </w:r>
      <w:r w:rsidRPr="00B918F9">
        <w:rPr>
          <w:rFonts w:ascii="Book Antiqua" w:hAnsi="Book Antiqua" w:cs="SimSun"/>
          <w:color w:val="000000"/>
          <w:sz w:val="24"/>
          <w:szCs w:val="24"/>
        </w:rPr>
        <w:t>, Ghosh S, Panes J, Vranic I, Su C, Rousell S, Niezychowski W; Study A3921063 Investigators. Tofacitinib, an oral Janus kinase inhibitor, in active ulcerative colitis. </w:t>
      </w:r>
      <w:r w:rsidRPr="00B918F9">
        <w:rPr>
          <w:rFonts w:ascii="Book Antiqua" w:hAnsi="Book Antiqua" w:cs="SimSun"/>
          <w:i/>
          <w:iCs/>
          <w:color w:val="000000"/>
          <w:sz w:val="24"/>
          <w:szCs w:val="24"/>
        </w:rPr>
        <w:t>N Engl J Med</w:t>
      </w:r>
      <w:r w:rsidRPr="00B918F9">
        <w:rPr>
          <w:rFonts w:ascii="Book Antiqua" w:hAnsi="Book Antiqua" w:cs="SimSun"/>
          <w:color w:val="000000"/>
          <w:sz w:val="24"/>
          <w:szCs w:val="24"/>
        </w:rPr>
        <w:t> 2012; </w:t>
      </w:r>
      <w:r w:rsidRPr="00B918F9">
        <w:rPr>
          <w:rFonts w:ascii="Book Antiqua" w:hAnsi="Book Antiqua" w:cs="SimSun"/>
          <w:b/>
          <w:bCs/>
          <w:color w:val="000000"/>
          <w:sz w:val="24"/>
          <w:szCs w:val="24"/>
        </w:rPr>
        <w:t>367</w:t>
      </w:r>
      <w:r w:rsidRPr="00B918F9">
        <w:rPr>
          <w:rFonts w:ascii="Book Antiqua" w:hAnsi="Book Antiqua" w:cs="SimSun"/>
          <w:color w:val="000000"/>
          <w:sz w:val="24"/>
          <w:szCs w:val="24"/>
        </w:rPr>
        <w:t>: 616-624 [PMID: 22894574 DOI: 10.1056/NEJMoa1112168]</w:t>
      </w:r>
    </w:p>
    <w:p w14:paraId="7F31741C"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163 </w:t>
      </w:r>
      <w:r w:rsidRPr="00B918F9">
        <w:rPr>
          <w:rFonts w:ascii="Book Antiqua" w:hAnsi="Book Antiqua" w:cs="SimSun"/>
          <w:b/>
          <w:bCs/>
          <w:color w:val="000000"/>
          <w:sz w:val="24"/>
          <w:szCs w:val="24"/>
        </w:rPr>
        <w:t>Panés J</w:t>
      </w:r>
      <w:r w:rsidRPr="00B918F9">
        <w:rPr>
          <w:rFonts w:ascii="Book Antiqua" w:hAnsi="Book Antiqua" w:cs="SimSun"/>
          <w:color w:val="000000"/>
          <w:sz w:val="24"/>
          <w:szCs w:val="24"/>
        </w:rPr>
        <w:t xml:space="preserve">, Su C, Bushmakin AG, Cappelleri JC, Mamolo C, Healey P. Randomized trial of tofacitinib in active ulcerative colitis: analysis of efficacy </w:t>
      </w:r>
      <w:r w:rsidRPr="00B918F9">
        <w:rPr>
          <w:rFonts w:ascii="Book Antiqua" w:hAnsi="Book Antiqua" w:cs="SimSun"/>
          <w:color w:val="000000"/>
          <w:sz w:val="24"/>
          <w:szCs w:val="24"/>
        </w:rPr>
        <w:lastRenderedPageBreak/>
        <w:t>based on patient-reported outcomes. </w:t>
      </w:r>
      <w:r w:rsidRPr="00B918F9">
        <w:rPr>
          <w:rFonts w:ascii="Book Antiqua" w:hAnsi="Book Antiqua" w:cs="SimSun"/>
          <w:i/>
          <w:iCs/>
          <w:color w:val="000000"/>
          <w:sz w:val="24"/>
          <w:szCs w:val="24"/>
        </w:rPr>
        <w:t>BMC Gastroenterol</w:t>
      </w:r>
      <w:r w:rsidRPr="00B918F9">
        <w:rPr>
          <w:rFonts w:ascii="Book Antiqua" w:hAnsi="Book Antiqua" w:cs="SimSun"/>
          <w:color w:val="000000"/>
          <w:sz w:val="24"/>
          <w:szCs w:val="24"/>
        </w:rPr>
        <w:t> 2015; </w:t>
      </w:r>
      <w:r w:rsidRPr="00B918F9">
        <w:rPr>
          <w:rFonts w:ascii="Book Antiqua" w:hAnsi="Book Antiqua" w:cs="SimSun"/>
          <w:b/>
          <w:bCs/>
          <w:color w:val="000000"/>
          <w:sz w:val="24"/>
          <w:szCs w:val="24"/>
        </w:rPr>
        <w:t>15</w:t>
      </w:r>
      <w:r w:rsidRPr="00B918F9">
        <w:rPr>
          <w:rFonts w:ascii="Book Antiqua" w:hAnsi="Book Antiqua" w:cs="SimSun"/>
          <w:color w:val="000000"/>
          <w:sz w:val="24"/>
          <w:szCs w:val="24"/>
        </w:rPr>
        <w:t>: 14 [PMID: 25651782 DOI: 10.1186/s12876-015-0239-9]</w:t>
      </w:r>
    </w:p>
    <w:p w14:paraId="27406510"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164 </w:t>
      </w:r>
      <w:r w:rsidRPr="00B918F9">
        <w:rPr>
          <w:rFonts w:ascii="Book Antiqua" w:hAnsi="Book Antiqua" w:cs="SimSun"/>
          <w:b/>
          <w:bCs/>
          <w:color w:val="000000"/>
          <w:sz w:val="24"/>
          <w:szCs w:val="24"/>
        </w:rPr>
        <w:t>Mannon P</w:t>
      </w:r>
      <w:r w:rsidRPr="00B918F9">
        <w:rPr>
          <w:rFonts w:ascii="Book Antiqua" w:hAnsi="Book Antiqua" w:cs="SimSun"/>
          <w:color w:val="000000"/>
          <w:sz w:val="24"/>
          <w:szCs w:val="24"/>
        </w:rPr>
        <w:t>, Reinisch W. Interleukin 13 and its role in gut defence and inflammation. </w:t>
      </w:r>
      <w:r w:rsidRPr="00B918F9">
        <w:rPr>
          <w:rFonts w:ascii="Book Antiqua" w:hAnsi="Book Antiqua" w:cs="SimSun"/>
          <w:i/>
          <w:iCs/>
          <w:color w:val="000000"/>
          <w:sz w:val="24"/>
          <w:szCs w:val="24"/>
        </w:rPr>
        <w:t>Gut</w:t>
      </w:r>
      <w:r w:rsidRPr="00B918F9">
        <w:rPr>
          <w:rFonts w:ascii="Book Antiqua" w:hAnsi="Book Antiqua" w:cs="SimSun"/>
          <w:color w:val="000000"/>
          <w:sz w:val="24"/>
          <w:szCs w:val="24"/>
        </w:rPr>
        <w:t> 2012; </w:t>
      </w:r>
      <w:r w:rsidRPr="00B918F9">
        <w:rPr>
          <w:rFonts w:ascii="Book Antiqua" w:hAnsi="Book Antiqua" w:cs="SimSun"/>
          <w:b/>
          <w:bCs/>
          <w:color w:val="000000"/>
          <w:sz w:val="24"/>
          <w:szCs w:val="24"/>
        </w:rPr>
        <w:t>61</w:t>
      </w:r>
      <w:r w:rsidRPr="00B918F9">
        <w:rPr>
          <w:rFonts w:ascii="Book Antiqua" w:hAnsi="Book Antiqua" w:cs="SimSun"/>
          <w:color w:val="000000"/>
          <w:sz w:val="24"/>
          <w:szCs w:val="24"/>
        </w:rPr>
        <w:t>: 1765-1773 [PMID: 22942239 DOI: 10.1136/gutjnl-2012-303461]</w:t>
      </w:r>
    </w:p>
    <w:p w14:paraId="6C71D946"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 xml:space="preserve">165 </w:t>
      </w:r>
      <w:r w:rsidRPr="00B918F9">
        <w:rPr>
          <w:rFonts w:ascii="Book Antiqua" w:hAnsi="Book Antiqua" w:cs="SimSun"/>
          <w:b/>
          <w:color w:val="000000"/>
          <w:sz w:val="24"/>
          <w:szCs w:val="24"/>
        </w:rPr>
        <w:t>Sandborn WJ</w:t>
      </w:r>
      <w:r w:rsidRPr="00B918F9">
        <w:rPr>
          <w:rFonts w:ascii="Book Antiqua" w:hAnsi="Book Antiqua" w:cs="SimSun"/>
          <w:color w:val="000000"/>
          <w:sz w:val="24"/>
          <w:szCs w:val="24"/>
        </w:rPr>
        <w:t>, Colombel JF, Enns R, FEagan B, Hanauer S, Lawrance I, Panaccione R, Sander M, Schreiber S, Targan S, Van Deventer S, Goldblun R, Despain D, Hogge G, Rutgeerts P. Natalizumab induction and maintenance therapy for Crohn's disease. </w:t>
      </w:r>
      <w:r w:rsidRPr="00B918F9">
        <w:rPr>
          <w:rFonts w:ascii="Book Antiqua" w:hAnsi="Book Antiqua" w:cs="SimSun"/>
          <w:i/>
          <w:iCs/>
          <w:color w:val="000000"/>
          <w:sz w:val="24"/>
          <w:szCs w:val="24"/>
        </w:rPr>
        <w:t>N Engl J Med</w:t>
      </w:r>
      <w:r w:rsidRPr="00B918F9">
        <w:rPr>
          <w:rFonts w:ascii="Book Antiqua" w:hAnsi="Book Antiqua" w:cs="SimSun"/>
          <w:color w:val="000000"/>
          <w:sz w:val="24"/>
          <w:szCs w:val="24"/>
        </w:rPr>
        <w:t> 2015; </w:t>
      </w:r>
      <w:r w:rsidRPr="00B918F9">
        <w:rPr>
          <w:rFonts w:ascii="Book Antiqua" w:hAnsi="Book Antiqua" w:cs="SimSun"/>
          <w:b/>
          <w:bCs/>
          <w:color w:val="000000"/>
          <w:sz w:val="24"/>
          <w:szCs w:val="24"/>
        </w:rPr>
        <w:t>372</w:t>
      </w:r>
      <w:r w:rsidRPr="00B918F9">
        <w:rPr>
          <w:rFonts w:ascii="Book Antiqua" w:hAnsi="Book Antiqua" w:cs="SimSun"/>
          <w:color w:val="000000"/>
          <w:sz w:val="24"/>
          <w:szCs w:val="24"/>
        </w:rPr>
        <w:t>: 2074 [PMID: 25992761 DOI: 10.1056/NEJMx140055]</w:t>
      </w:r>
    </w:p>
    <w:p w14:paraId="66A930B0"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166 </w:t>
      </w:r>
      <w:r w:rsidRPr="00B918F9">
        <w:rPr>
          <w:rFonts w:ascii="Book Antiqua" w:hAnsi="Book Antiqua" w:cs="SimSun"/>
          <w:b/>
          <w:bCs/>
          <w:color w:val="000000"/>
          <w:sz w:val="24"/>
          <w:szCs w:val="24"/>
        </w:rPr>
        <w:t>Targan SR</w:t>
      </w:r>
      <w:r w:rsidRPr="00B918F9">
        <w:rPr>
          <w:rFonts w:ascii="Book Antiqua" w:hAnsi="Book Antiqua" w:cs="SimSun"/>
          <w:color w:val="000000"/>
          <w:sz w:val="24"/>
          <w:szCs w:val="24"/>
        </w:rPr>
        <w:t>, Feagan BG, Fedorak RN, Lashner BA, Panaccione R, Present DH, Spehlmann ME, Rutgeerts PJ, Tulassay Z, Volfova M, Wolf DC, Hernandez C, Bornstein J, Sandborn WJ. Natalizumab for the treatment of active Crohn's disease: results of the ENCORE Trial. </w:t>
      </w:r>
      <w:r w:rsidRPr="00B918F9">
        <w:rPr>
          <w:rFonts w:ascii="Book Antiqua" w:hAnsi="Book Antiqua" w:cs="SimSun"/>
          <w:i/>
          <w:iCs/>
          <w:color w:val="000000"/>
          <w:sz w:val="24"/>
          <w:szCs w:val="24"/>
        </w:rPr>
        <w:t>Gastroenterology</w:t>
      </w:r>
      <w:r w:rsidRPr="00B918F9">
        <w:rPr>
          <w:rFonts w:ascii="Book Antiqua" w:hAnsi="Book Antiqua" w:cs="SimSun"/>
          <w:color w:val="000000"/>
          <w:sz w:val="24"/>
          <w:szCs w:val="24"/>
        </w:rPr>
        <w:t> 2007; </w:t>
      </w:r>
      <w:r w:rsidRPr="00B918F9">
        <w:rPr>
          <w:rFonts w:ascii="Book Antiqua" w:hAnsi="Book Antiqua" w:cs="SimSun"/>
          <w:b/>
          <w:bCs/>
          <w:color w:val="000000"/>
          <w:sz w:val="24"/>
          <w:szCs w:val="24"/>
        </w:rPr>
        <w:t>132</w:t>
      </w:r>
      <w:r w:rsidRPr="00B918F9">
        <w:rPr>
          <w:rFonts w:ascii="Book Antiqua" w:hAnsi="Book Antiqua" w:cs="SimSun"/>
          <w:color w:val="000000"/>
          <w:sz w:val="24"/>
          <w:szCs w:val="24"/>
        </w:rPr>
        <w:t>: 1672-1683 [PMID: 17484865 DOI: 10.1053/j.gastro.2007.03.024]</w:t>
      </w:r>
    </w:p>
    <w:p w14:paraId="03BDBD1D"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167 </w:t>
      </w:r>
      <w:r w:rsidRPr="00B918F9">
        <w:rPr>
          <w:rFonts w:ascii="Book Antiqua" w:hAnsi="Book Antiqua" w:cs="SimSun"/>
          <w:b/>
          <w:bCs/>
          <w:color w:val="000000"/>
          <w:sz w:val="24"/>
          <w:szCs w:val="24"/>
        </w:rPr>
        <w:t>Kleinschmidt-DeMasters BK</w:t>
      </w:r>
      <w:r w:rsidRPr="00B918F9">
        <w:rPr>
          <w:rFonts w:ascii="Book Antiqua" w:hAnsi="Book Antiqua" w:cs="SimSun"/>
          <w:color w:val="000000"/>
          <w:sz w:val="24"/>
          <w:szCs w:val="24"/>
        </w:rPr>
        <w:t>, Tyler KL. Progressive multifocal leukoencephalopathy complicating treatment with natalizumab and interferon beta-1a for multiple sclerosis. </w:t>
      </w:r>
      <w:r w:rsidRPr="00B918F9">
        <w:rPr>
          <w:rFonts w:ascii="Book Antiqua" w:hAnsi="Book Antiqua" w:cs="SimSun"/>
          <w:i/>
          <w:iCs/>
          <w:color w:val="000000"/>
          <w:sz w:val="24"/>
          <w:szCs w:val="24"/>
        </w:rPr>
        <w:t>N Engl J Med</w:t>
      </w:r>
      <w:r w:rsidRPr="00B918F9">
        <w:rPr>
          <w:rFonts w:ascii="Book Antiqua" w:hAnsi="Book Antiqua" w:cs="SimSun"/>
          <w:color w:val="000000"/>
          <w:sz w:val="24"/>
          <w:szCs w:val="24"/>
        </w:rPr>
        <w:t> 2005; </w:t>
      </w:r>
      <w:r w:rsidRPr="00B918F9">
        <w:rPr>
          <w:rFonts w:ascii="Book Antiqua" w:hAnsi="Book Antiqua" w:cs="SimSun"/>
          <w:b/>
          <w:bCs/>
          <w:color w:val="000000"/>
          <w:sz w:val="24"/>
          <w:szCs w:val="24"/>
        </w:rPr>
        <w:t>353</w:t>
      </w:r>
      <w:r w:rsidRPr="00B918F9">
        <w:rPr>
          <w:rFonts w:ascii="Book Antiqua" w:hAnsi="Book Antiqua" w:cs="SimSun"/>
          <w:color w:val="000000"/>
          <w:sz w:val="24"/>
          <w:szCs w:val="24"/>
        </w:rPr>
        <w:t>: 369-374 [PMID: 15947079 DOI: 10.1056/NEJMoa051782]</w:t>
      </w:r>
    </w:p>
    <w:p w14:paraId="210CA79A"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168 </w:t>
      </w:r>
      <w:r w:rsidRPr="00B918F9">
        <w:rPr>
          <w:rFonts w:ascii="Book Antiqua" w:hAnsi="Book Antiqua" w:cs="SimSun"/>
          <w:b/>
          <w:bCs/>
          <w:color w:val="000000"/>
          <w:sz w:val="24"/>
          <w:szCs w:val="24"/>
        </w:rPr>
        <w:t>Van Assche G</w:t>
      </w:r>
      <w:r w:rsidRPr="00B918F9">
        <w:rPr>
          <w:rFonts w:ascii="Book Antiqua" w:hAnsi="Book Antiqua" w:cs="SimSun"/>
          <w:color w:val="000000"/>
          <w:sz w:val="24"/>
          <w:szCs w:val="24"/>
        </w:rPr>
        <w:t>, Van Ranst M, Sciot R, Dubois B, Vermeire S, Noman M, Verbeeck J, Geboes K, Robberecht W, Rutgeerts P. Progressive multifocal leukoencephalopathy after natalizumab therapy for Crohn's disease. </w:t>
      </w:r>
      <w:r w:rsidRPr="00B918F9">
        <w:rPr>
          <w:rFonts w:ascii="Book Antiqua" w:hAnsi="Book Antiqua" w:cs="SimSun"/>
          <w:i/>
          <w:iCs/>
          <w:color w:val="000000"/>
          <w:sz w:val="24"/>
          <w:szCs w:val="24"/>
        </w:rPr>
        <w:t>N Engl J Med</w:t>
      </w:r>
      <w:r w:rsidRPr="00B918F9">
        <w:rPr>
          <w:rFonts w:ascii="Book Antiqua" w:hAnsi="Book Antiqua" w:cs="SimSun"/>
          <w:color w:val="000000"/>
          <w:sz w:val="24"/>
          <w:szCs w:val="24"/>
        </w:rPr>
        <w:t> 2005; </w:t>
      </w:r>
      <w:r w:rsidRPr="00B918F9">
        <w:rPr>
          <w:rFonts w:ascii="Book Antiqua" w:hAnsi="Book Antiqua" w:cs="SimSun"/>
          <w:b/>
          <w:bCs/>
          <w:color w:val="000000"/>
          <w:sz w:val="24"/>
          <w:szCs w:val="24"/>
        </w:rPr>
        <w:t>353</w:t>
      </w:r>
      <w:r w:rsidRPr="00B918F9">
        <w:rPr>
          <w:rFonts w:ascii="Book Antiqua" w:hAnsi="Book Antiqua" w:cs="SimSun"/>
          <w:color w:val="000000"/>
          <w:sz w:val="24"/>
          <w:szCs w:val="24"/>
        </w:rPr>
        <w:t>: 362-368 [PMID: 15947080 DOI: 10.1056/NEJMoa051586]</w:t>
      </w:r>
    </w:p>
    <w:p w14:paraId="7D867CE8"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169 </w:t>
      </w:r>
      <w:r w:rsidRPr="00B918F9">
        <w:rPr>
          <w:rFonts w:ascii="Book Antiqua" w:hAnsi="Book Antiqua" w:cs="SimSun"/>
          <w:b/>
          <w:bCs/>
          <w:color w:val="000000"/>
          <w:sz w:val="24"/>
          <w:szCs w:val="24"/>
        </w:rPr>
        <w:t>Lobatón T</w:t>
      </w:r>
      <w:r w:rsidRPr="00B918F9">
        <w:rPr>
          <w:rFonts w:ascii="Book Antiqua" w:hAnsi="Book Antiqua" w:cs="SimSun"/>
          <w:color w:val="000000"/>
          <w:sz w:val="24"/>
          <w:szCs w:val="24"/>
        </w:rPr>
        <w:t>, Vermeire S, Van Assche G, Rutgeerts P. Review article: anti-adhesion therapies for inflammatory bowel disease. </w:t>
      </w:r>
      <w:r w:rsidRPr="00B918F9">
        <w:rPr>
          <w:rFonts w:ascii="Book Antiqua" w:hAnsi="Book Antiqua" w:cs="SimSun"/>
          <w:i/>
          <w:iCs/>
          <w:color w:val="000000"/>
          <w:sz w:val="24"/>
          <w:szCs w:val="24"/>
        </w:rPr>
        <w:t>Aliment Pharmacol Ther</w:t>
      </w:r>
      <w:r w:rsidRPr="00B918F9">
        <w:rPr>
          <w:rFonts w:ascii="Book Antiqua" w:hAnsi="Book Antiqua" w:cs="SimSun"/>
          <w:color w:val="000000"/>
          <w:sz w:val="24"/>
          <w:szCs w:val="24"/>
        </w:rPr>
        <w:t> 2014; </w:t>
      </w:r>
      <w:r w:rsidRPr="00B918F9">
        <w:rPr>
          <w:rFonts w:ascii="Book Antiqua" w:hAnsi="Book Antiqua" w:cs="SimSun"/>
          <w:b/>
          <w:bCs/>
          <w:color w:val="000000"/>
          <w:sz w:val="24"/>
          <w:szCs w:val="24"/>
        </w:rPr>
        <w:t>39</w:t>
      </w:r>
      <w:r w:rsidRPr="00B918F9">
        <w:rPr>
          <w:rFonts w:ascii="Book Antiqua" w:hAnsi="Book Antiqua" w:cs="SimSun"/>
          <w:color w:val="000000"/>
          <w:sz w:val="24"/>
          <w:szCs w:val="24"/>
        </w:rPr>
        <w:t>: 579-594 [PMID: 24479980 DOI: 10.1111/apt.12639]</w:t>
      </w:r>
    </w:p>
    <w:p w14:paraId="2B72D8CD"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170 </w:t>
      </w:r>
      <w:r w:rsidRPr="00B918F9">
        <w:rPr>
          <w:rFonts w:ascii="Book Antiqua" w:hAnsi="Book Antiqua" w:cs="SimSun"/>
          <w:b/>
          <w:bCs/>
          <w:color w:val="000000"/>
          <w:sz w:val="24"/>
          <w:szCs w:val="24"/>
        </w:rPr>
        <w:t>Feagan BG</w:t>
      </w:r>
      <w:r w:rsidRPr="00B918F9">
        <w:rPr>
          <w:rFonts w:ascii="Book Antiqua" w:hAnsi="Book Antiqua" w:cs="SimSun"/>
          <w:color w:val="000000"/>
          <w:sz w:val="24"/>
          <w:szCs w:val="24"/>
        </w:rPr>
        <w:t>, Rutgeerts P, Sands BE, Hanauer S, Colombel JF, Sandborn WJ, Van Assche G, Axler J, Kim HJ, Danese S, Fox I, Milch C, Sankoh S, Wyant T, Xu J, Parikh A. Vedolizumab as induction and maintenance therapy for ulcerative colitis. </w:t>
      </w:r>
      <w:r w:rsidRPr="00B918F9">
        <w:rPr>
          <w:rFonts w:ascii="Book Antiqua" w:hAnsi="Book Antiqua" w:cs="SimSun"/>
          <w:i/>
          <w:iCs/>
          <w:color w:val="000000"/>
          <w:sz w:val="24"/>
          <w:szCs w:val="24"/>
        </w:rPr>
        <w:t>N Engl J Med</w:t>
      </w:r>
      <w:r w:rsidRPr="00B918F9">
        <w:rPr>
          <w:rFonts w:ascii="Book Antiqua" w:hAnsi="Book Antiqua" w:cs="SimSun"/>
          <w:color w:val="000000"/>
          <w:sz w:val="24"/>
          <w:szCs w:val="24"/>
        </w:rPr>
        <w:t> 2013; </w:t>
      </w:r>
      <w:r w:rsidRPr="00B918F9">
        <w:rPr>
          <w:rFonts w:ascii="Book Antiqua" w:hAnsi="Book Antiqua" w:cs="SimSun"/>
          <w:b/>
          <w:bCs/>
          <w:color w:val="000000"/>
          <w:sz w:val="24"/>
          <w:szCs w:val="24"/>
        </w:rPr>
        <w:t>369</w:t>
      </w:r>
      <w:r w:rsidRPr="00B918F9">
        <w:rPr>
          <w:rFonts w:ascii="Book Antiqua" w:hAnsi="Book Antiqua" w:cs="SimSun"/>
          <w:color w:val="000000"/>
          <w:sz w:val="24"/>
          <w:szCs w:val="24"/>
        </w:rPr>
        <w:t>: 699-710 [PMID: 23964932 DOI: 10.1056/NEJMoa1215734]</w:t>
      </w:r>
    </w:p>
    <w:p w14:paraId="6FF4085C"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lastRenderedPageBreak/>
        <w:t>171 </w:t>
      </w:r>
      <w:r w:rsidRPr="00B918F9">
        <w:rPr>
          <w:rFonts w:ascii="Book Antiqua" w:hAnsi="Book Antiqua" w:cs="SimSun"/>
          <w:b/>
          <w:bCs/>
          <w:color w:val="000000"/>
          <w:sz w:val="24"/>
          <w:szCs w:val="24"/>
        </w:rPr>
        <w:t>Sandborn WJ</w:t>
      </w:r>
      <w:r w:rsidRPr="00B918F9">
        <w:rPr>
          <w:rFonts w:ascii="Book Antiqua" w:hAnsi="Book Antiqua" w:cs="SimSun"/>
          <w:color w:val="000000"/>
          <w:sz w:val="24"/>
          <w:szCs w:val="24"/>
        </w:rPr>
        <w:t>, Feagan BG, Rutgeerts P, Hanauer S, Colombel JF, Sands BE, Lukas M, Fedorak RN, Lee S, Bressler B, Fox I, Rosario M, Sankoh S, Xu J, Stephens K, Milch C, Parikh A. Vedolizumab as induction and maintenance therapy for Crohn's disease. </w:t>
      </w:r>
      <w:r w:rsidRPr="00B918F9">
        <w:rPr>
          <w:rFonts w:ascii="Book Antiqua" w:hAnsi="Book Antiqua" w:cs="SimSun"/>
          <w:i/>
          <w:iCs/>
          <w:color w:val="000000"/>
          <w:sz w:val="24"/>
          <w:szCs w:val="24"/>
        </w:rPr>
        <w:t>N Engl J Med</w:t>
      </w:r>
      <w:r w:rsidRPr="00B918F9">
        <w:rPr>
          <w:rFonts w:ascii="Book Antiqua" w:hAnsi="Book Antiqua" w:cs="SimSun"/>
          <w:color w:val="000000"/>
          <w:sz w:val="24"/>
          <w:szCs w:val="24"/>
        </w:rPr>
        <w:t> 2013; </w:t>
      </w:r>
      <w:r w:rsidRPr="00B918F9">
        <w:rPr>
          <w:rFonts w:ascii="Book Antiqua" w:hAnsi="Book Antiqua" w:cs="SimSun"/>
          <w:b/>
          <w:bCs/>
          <w:color w:val="000000"/>
          <w:sz w:val="24"/>
          <w:szCs w:val="24"/>
        </w:rPr>
        <w:t>369</w:t>
      </w:r>
      <w:r w:rsidRPr="00B918F9">
        <w:rPr>
          <w:rFonts w:ascii="Book Antiqua" w:hAnsi="Book Antiqua" w:cs="SimSun"/>
          <w:color w:val="000000"/>
          <w:sz w:val="24"/>
          <w:szCs w:val="24"/>
        </w:rPr>
        <w:t>: 711-721 [PMID: 23964933 DOI: 10.1056/NEJMoa1215739]</w:t>
      </w:r>
    </w:p>
    <w:p w14:paraId="7FF1B418"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172 </w:t>
      </w:r>
      <w:r w:rsidRPr="00B918F9">
        <w:rPr>
          <w:rFonts w:ascii="Book Antiqua" w:hAnsi="Book Antiqua" w:cs="SimSun"/>
          <w:b/>
          <w:bCs/>
          <w:color w:val="000000"/>
          <w:sz w:val="24"/>
          <w:szCs w:val="24"/>
        </w:rPr>
        <w:t>Pan WJ</w:t>
      </w:r>
      <w:r w:rsidRPr="00B918F9">
        <w:rPr>
          <w:rFonts w:ascii="Book Antiqua" w:hAnsi="Book Antiqua" w:cs="SimSun"/>
          <w:color w:val="000000"/>
          <w:sz w:val="24"/>
          <w:szCs w:val="24"/>
        </w:rPr>
        <w:t>, Köck K, Rees WA, Sullivan BA, Evangelista CM, Yen M, Andrews JM, Radford-Smith GL, Prince PJ, Reynhardt KO, Doherty DR, Patel SK, Krill CD, Zhou K, Shen J, Smith LE, Gow JM, Lee J, Treacy AM, Yu Z, Platt VM, Borie DC. Clinical pharmacology of AMG 181, a gut-specific human anti-α4β7 monoclonal antibody, for treating inflammatory bowel diseases. </w:t>
      </w:r>
      <w:r w:rsidRPr="00B918F9">
        <w:rPr>
          <w:rFonts w:ascii="Book Antiqua" w:hAnsi="Book Antiqua" w:cs="SimSun"/>
          <w:i/>
          <w:iCs/>
          <w:color w:val="000000"/>
          <w:sz w:val="24"/>
          <w:szCs w:val="24"/>
        </w:rPr>
        <w:t>Br J Clin Pharmacol</w:t>
      </w:r>
      <w:r w:rsidRPr="00B918F9">
        <w:rPr>
          <w:rFonts w:ascii="Book Antiqua" w:hAnsi="Book Antiqua" w:cs="SimSun"/>
          <w:color w:val="000000"/>
          <w:sz w:val="24"/>
          <w:szCs w:val="24"/>
        </w:rPr>
        <w:t> 2014; </w:t>
      </w:r>
      <w:r w:rsidRPr="00B918F9">
        <w:rPr>
          <w:rFonts w:ascii="Book Antiqua" w:hAnsi="Book Antiqua" w:cs="SimSun"/>
          <w:b/>
          <w:bCs/>
          <w:color w:val="000000"/>
          <w:sz w:val="24"/>
          <w:szCs w:val="24"/>
        </w:rPr>
        <w:t>78</w:t>
      </w:r>
      <w:r w:rsidRPr="00B918F9">
        <w:rPr>
          <w:rFonts w:ascii="Book Antiqua" w:hAnsi="Book Antiqua" w:cs="SimSun"/>
          <w:color w:val="000000"/>
          <w:sz w:val="24"/>
          <w:szCs w:val="24"/>
        </w:rPr>
        <w:t>: 1315-1333 [PMID: 24803302 DOI: 10.1111/bcp.12418]</w:t>
      </w:r>
    </w:p>
    <w:p w14:paraId="7696F487"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173 Available at: URL: https: //clinicaltrials.gov/ct2/show/NCT01696396?term=amg181&amp;rank=3</w:t>
      </w:r>
    </w:p>
    <w:p w14:paraId="182FC9F8"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174 Available at: URL: https: //clinicaltrials.gov/ct2/show/NCT01694485?term=amg181&amp;rank=4</w:t>
      </w:r>
    </w:p>
    <w:p w14:paraId="7C63EA5C"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175 </w:t>
      </w:r>
      <w:r w:rsidRPr="00B918F9">
        <w:rPr>
          <w:rFonts w:ascii="Book Antiqua" w:hAnsi="Book Antiqua" w:cs="SimSun"/>
          <w:b/>
          <w:bCs/>
          <w:color w:val="000000"/>
          <w:sz w:val="24"/>
          <w:szCs w:val="24"/>
        </w:rPr>
        <w:t>Sugiura T</w:t>
      </w:r>
      <w:r w:rsidRPr="00B918F9">
        <w:rPr>
          <w:rFonts w:ascii="Book Antiqua" w:hAnsi="Book Antiqua" w:cs="SimSun"/>
          <w:color w:val="000000"/>
          <w:sz w:val="24"/>
          <w:szCs w:val="24"/>
        </w:rPr>
        <w:t>, Kageyama S, Andou A, Miyazawa T, Ejima C, Nakayama A, Dohi T, Eda H. Oral treatment with a novel small molecule alpha 4 integrin antagonist, AJM300, prevents the development of experimental colitis in mice. </w:t>
      </w:r>
      <w:r w:rsidRPr="00B918F9">
        <w:rPr>
          <w:rFonts w:ascii="Book Antiqua" w:hAnsi="Book Antiqua" w:cs="SimSun"/>
          <w:i/>
          <w:iCs/>
          <w:color w:val="000000"/>
          <w:sz w:val="24"/>
          <w:szCs w:val="24"/>
        </w:rPr>
        <w:t>J Crohns Colitis</w:t>
      </w:r>
      <w:r w:rsidRPr="00B918F9">
        <w:rPr>
          <w:rFonts w:ascii="Book Antiqua" w:hAnsi="Book Antiqua" w:cs="SimSun"/>
          <w:color w:val="000000"/>
          <w:sz w:val="24"/>
          <w:szCs w:val="24"/>
        </w:rPr>
        <w:t> 2013; </w:t>
      </w:r>
      <w:r w:rsidRPr="00B918F9">
        <w:rPr>
          <w:rFonts w:ascii="Book Antiqua" w:hAnsi="Book Antiqua" w:cs="SimSun"/>
          <w:b/>
          <w:bCs/>
          <w:color w:val="000000"/>
          <w:sz w:val="24"/>
          <w:szCs w:val="24"/>
        </w:rPr>
        <w:t>7</w:t>
      </w:r>
      <w:r w:rsidRPr="00B918F9">
        <w:rPr>
          <w:rFonts w:ascii="Book Antiqua" w:hAnsi="Book Antiqua" w:cs="SimSun"/>
          <w:color w:val="000000"/>
          <w:sz w:val="24"/>
          <w:szCs w:val="24"/>
        </w:rPr>
        <w:t>: e533-e542 [PMID: 23623333 DOI: 10.1016/j.crohns.2013.03.014]</w:t>
      </w:r>
    </w:p>
    <w:p w14:paraId="2022BF43"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 xml:space="preserve">176 </w:t>
      </w:r>
      <w:r w:rsidRPr="00B918F9">
        <w:rPr>
          <w:rFonts w:ascii="Book Antiqua" w:hAnsi="Book Antiqua" w:cs="Book Antiqua"/>
          <w:b/>
          <w:bCs/>
          <w:sz w:val="24"/>
          <w:szCs w:val="24"/>
          <w:lang w:val="en-US"/>
        </w:rPr>
        <w:t>Watanabe M</w:t>
      </w:r>
      <w:r w:rsidRPr="00B918F9">
        <w:rPr>
          <w:rFonts w:ascii="Book Antiqua" w:hAnsi="Book Antiqua" w:cs="Book Antiqua"/>
          <w:sz w:val="24"/>
          <w:szCs w:val="24"/>
          <w:lang w:val="en-US"/>
        </w:rPr>
        <w:t xml:space="preserve">, Yoshimura N, Motoya S, Tominaga K, Iwakiri R, Watanebe K, Hibi T. AJM300, an Oral α4 Integrin Antagonist, for Active Ulcerative Colitis: A Multicenter, Randomized, Double-Blind, Placebo-Controlled Phase 2A Study. </w:t>
      </w:r>
      <w:r w:rsidRPr="00B918F9">
        <w:rPr>
          <w:rFonts w:ascii="Book Antiqua" w:hAnsi="Book Antiqua" w:cs="Book Antiqua"/>
          <w:i/>
          <w:sz w:val="24"/>
          <w:szCs w:val="24"/>
          <w:lang w:val="en-US"/>
        </w:rPr>
        <w:t>Gastroenterology</w:t>
      </w:r>
      <w:r w:rsidRPr="00B918F9">
        <w:rPr>
          <w:rFonts w:ascii="Book Antiqua" w:hAnsi="Book Antiqua" w:cs="Book Antiqua"/>
          <w:sz w:val="24"/>
          <w:szCs w:val="24"/>
          <w:lang w:val="en-US"/>
        </w:rPr>
        <w:t xml:space="preserve"> 2013; </w:t>
      </w:r>
      <w:r w:rsidRPr="00B918F9">
        <w:rPr>
          <w:rFonts w:ascii="Book Antiqua" w:hAnsi="Book Antiqua" w:cs="Book Antiqua"/>
          <w:b/>
          <w:sz w:val="24"/>
          <w:szCs w:val="24"/>
          <w:lang w:val="en-US"/>
        </w:rPr>
        <w:t>146</w:t>
      </w:r>
      <w:r w:rsidRPr="00B918F9">
        <w:rPr>
          <w:rFonts w:ascii="Book Antiqua" w:hAnsi="Book Antiqua" w:cs="Book Antiqua"/>
          <w:sz w:val="24"/>
          <w:szCs w:val="24"/>
          <w:lang w:val="en-US"/>
        </w:rPr>
        <w:t>; S82</w:t>
      </w:r>
    </w:p>
    <w:p w14:paraId="70104022"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 xml:space="preserve">177 </w:t>
      </w:r>
      <w:r w:rsidRPr="00B918F9">
        <w:rPr>
          <w:rFonts w:ascii="Book Antiqua" w:hAnsi="Book Antiqua" w:cs="Book Antiqua"/>
          <w:b/>
          <w:bCs/>
          <w:sz w:val="24"/>
          <w:szCs w:val="24"/>
          <w:lang w:val="en-US"/>
        </w:rPr>
        <w:t>Vermeire S</w:t>
      </w:r>
      <w:r w:rsidRPr="00B918F9">
        <w:rPr>
          <w:rFonts w:ascii="Book Antiqua" w:hAnsi="Book Antiqua" w:cs="Book Antiqua"/>
          <w:sz w:val="24"/>
          <w:szCs w:val="24"/>
          <w:lang w:val="en-US"/>
        </w:rPr>
        <w:t>, O’Byrne S, Williams M, Mansfield J, Feagan B, Panés J, Baumgart D, Schreiber S, Dotan I, Sandbro</w:t>
      </w:r>
      <w:r w:rsidRPr="00B918F9">
        <w:rPr>
          <w:rFonts w:ascii="Book Antiqua" w:hAnsi="Book Antiqua" w:cs="Book Antiqua"/>
          <w:sz w:val="24"/>
          <w:szCs w:val="24"/>
        </w:rPr>
        <w:t>n W, Keir M, Luca D, Rutgeers P</w:t>
      </w:r>
      <w:r w:rsidRPr="00B918F9">
        <w:rPr>
          <w:rFonts w:ascii="Book Antiqua" w:hAnsi="Book Antiqua" w:cs="SimSun"/>
          <w:color w:val="000000"/>
          <w:sz w:val="24"/>
          <w:szCs w:val="24"/>
        </w:rPr>
        <w:t xml:space="preserve">. Differentiation between etrolizumab (rhuMAb beta7) and placebo in the Eucalyptus phase II randomized double-blind placebo-controlled induction study to evaluate efficacy and safety in patients with refractory moderate-to-severely active ulcerative colitis. </w:t>
      </w:r>
      <w:r w:rsidRPr="00B918F9">
        <w:rPr>
          <w:rFonts w:ascii="Book Antiqua" w:hAnsi="Book Antiqua" w:cs="SimSun"/>
          <w:i/>
          <w:color w:val="000000"/>
          <w:sz w:val="24"/>
          <w:szCs w:val="24"/>
        </w:rPr>
        <w:t>Gastroenterology</w:t>
      </w:r>
      <w:r w:rsidRPr="00B918F9">
        <w:rPr>
          <w:rFonts w:ascii="Book Antiqua" w:hAnsi="Book Antiqua" w:cs="SimSun"/>
          <w:color w:val="000000"/>
          <w:sz w:val="24"/>
          <w:szCs w:val="24"/>
        </w:rPr>
        <w:t xml:space="preserve"> 2013; </w:t>
      </w:r>
      <w:r w:rsidRPr="00B918F9">
        <w:rPr>
          <w:rFonts w:ascii="Book Antiqua" w:hAnsi="Book Antiqua" w:cs="SimSun"/>
          <w:b/>
          <w:color w:val="000000"/>
          <w:sz w:val="24"/>
          <w:szCs w:val="24"/>
        </w:rPr>
        <w:t>144</w:t>
      </w:r>
      <w:r w:rsidRPr="00B918F9">
        <w:rPr>
          <w:rFonts w:ascii="Book Antiqua" w:hAnsi="Book Antiqua" w:cs="SimSun"/>
          <w:color w:val="000000"/>
          <w:sz w:val="24"/>
          <w:szCs w:val="24"/>
        </w:rPr>
        <w:t>: S-36 [DOI: 10.1016/S0016-5085(13)60130-4]</w:t>
      </w:r>
    </w:p>
    <w:p w14:paraId="3A794D8A"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lastRenderedPageBreak/>
        <w:t>178 </w:t>
      </w:r>
      <w:r w:rsidRPr="00B918F9">
        <w:rPr>
          <w:rFonts w:ascii="Book Antiqua" w:hAnsi="Book Antiqua" w:cs="SimSun"/>
          <w:b/>
          <w:bCs/>
          <w:color w:val="000000"/>
          <w:sz w:val="24"/>
          <w:szCs w:val="24"/>
        </w:rPr>
        <w:t>Pullen N</w:t>
      </w:r>
      <w:r w:rsidRPr="00B918F9">
        <w:rPr>
          <w:rFonts w:ascii="Book Antiqua" w:hAnsi="Book Antiqua" w:cs="SimSun"/>
          <w:color w:val="000000"/>
          <w:sz w:val="24"/>
          <w:szCs w:val="24"/>
        </w:rPr>
        <w:t>, Molloy E, Carter D, Syntin P, Clemo F, Finco-Kent D, Reagan W, Zhao S, Kawabata T, Sreckovic S. Pharmacological characterization of PF-00547659, an anti-human MAdCAM monoclonal antibody. </w:t>
      </w:r>
      <w:r w:rsidRPr="00B918F9">
        <w:rPr>
          <w:rFonts w:ascii="Book Antiqua" w:hAnsi="Book Antiqua" w:cs="SimSun"/>
          <w:i/>
          <w:iCs/>
          <w:color w:val="000000"/>
          <w:sz w:val="24"/>
          <w:szCs w:val="24"/>
        </w:rPr>
        <w:t>Br J Pharmacol</w:t>
      </w:r>
      <w:r w:rsidRPr="00B918F9">
        <w:rPr>
          <w:rFonts w:ascii="Book Antiqua" w:hAnsi="Book Antiqua" w:cs="SimSun"/>
          <w:color w:val="000000"/>
          <w:sz w:val="24"/>
          <w:szCs w:val="24"/>
        </w:rPr>
        <w:t> 2009; </w:t>
      </w:r>
      <w:r w:rsidRPr="00B918F9">
        <w:rPr>
          <w:rFonts w:ascii="Book Antiqua" w:hAnsi="Book Antiqua" w:cs="SimSun"/>
          <w:b/>
          <w:bCs/>
          <w:color w:val="000000"/>
          <w:sz w:val="24"/>
          <w:szCs w:val="24"/>
        </w:rPr>
        <w:t>157</w:t>
      </w:r>
      <w:r w:rsidRPr="00B918F9">
        <w:rPr>
          <w:rFonts w:ascii="Book Antiqua" w:hAnsi="Book Antiqua" w:cs="SimSun"/>
          <w:color w:val="000000"/>
          <w:sz w:val="24"/>
          <w:szCs w:val="24"/>
        </w:rPr>
        <w:t>: 281-293 [PMID: 19366349 DOI: 10.1111/j.1476-5381.2009.00137.x]</w:t>
      </w:r>
    </w:p>
    <w:p w14:paraId="5AA08444" w14:textId="77777777" w:rsidR="00CE0E43" w:rsidRPr="00B918F9" w:rsidRDefault="00CE0E43" w:rsidP="00954CEE">
      <w:pPr>
        <w:widowControl w:val="0"/>
        <w:autoSpaceDE w:val="0"/>
        <w:autoSpaceDN w:val="0"/>
        <w:adjustRightInd w:val="0"/>
        <w:snapToGrid w:val="0"/>
        <w:spacing w:after="0" w:line="360" w:lineRule="auto"/>
        <w:jc w:val="both"/>
        <w:rPr>
          <w:rFonts w:ascii="Book Antiqua" w:eastAsiaTheme="minorEastAsia" w:hAnsi="Book Antiqua" w:cs="Book Antiqua"/>
          <w:kern w:val="2"/>
          <w:sz w:val="24"/>
          <w:szCs w:val="24"/>
          <w:lang w:val="en-US"/>
        </w:rPr>
      </w:pPr>
      <w:r w:rsidRPr="00B918F9">
        <w:rPr>
          <w:rFonts w:ascii="Book Antiqua" w:hAnsi="Book Antiqua" w:cs="SimSun"/>
          <w:color w:val="000000"/>
          <w:sz w:val="24"/>
          <w:szCs w:val="24"/>
        </w:rPr>
        <w:t xml:space="preserve">179 </w:t>
      </w:r>
      <w:r w:rsidRPr="00B918F9">
        <w:rPr>
          <w:rFonts w:ascii="Book Antiqua" w:hAnsi="Book Antiqua" w:cs="Book Antiqua"/>
          <w:b/>
          <w:bCs/>
          <w:sz w:val="24"/>
          <w:szCs w:val="24"/>
          <w:lang w:val="en-US"/>
        </w:rPr>
        <w:t>Vermeire S</w:t>
      </w:r>
      <w:r w:rsidRPr="00B918F9">
        <w:rPr>
          <w:rFonts w:ascii="Book Antiqua" w:hAnsi="Book Antiqua" w:cs="Book Antiqua"/>
          <w:sz w:val="24"/>
          <w:szCs w:val="24"/>
          <w:lang w:val="en-US"/>
        </w:rPr>
        <w:t xml:space="preserve">, Sandborn W, Danese S, Hebuterne X, Salzberg B, Klopocka M, Tarabar D, Vanasek T, Gregus M, Hellstern P, Kim J-S, M. Sparrow M, Gorelick KJ, Ahmad A, Hassan-Zahraee M, Pradhan V, Cataldi F, Reinisch W. TURANDOT: a randomized, multicenter double-blind, placebo-controlled study of the safety and efficacy of Anti-MAdCAM Antibody PF-00547659 (PF) in patients with moderate to severe Ulcerative Colitis (UC). </w:t>
      </w:r>
      <w:r w:rsidRPr="00B918F9">
        <w:rPr>
          <w:rFonts w:ascii="Book Antiqua" w:hAnsi="Book Antiqua" w:cs="Book Antiqua"/>
          <w:i/>
          <w:sz w:val="24"/>
          <w:szCs w:val="24"/>
          <w:lang w:val="en-US"/>
        </w:rPr>
        <w:t>J Crohns Colitis</w:t>
      </w:r>
      <w:r w:rsidRPr="00B918F9">
        <w:rPr>
          <w:rFonts w:ascii="Book Antiqua" w:hAnsi="Book Antiqua" w:cs="Book Antiqua"/>
          <w:sz w:val="24"/>
          <w:szCs w:val="24"/>
          <w:lang w:val="en-US"/>
        </w:rPr>
        <w:t xml:space="preserve"> 2015; Suppl 1: S13 </w:t>
      </w:r>
    </w:p>
    <w:p w14:paraId="5AFF1C70"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180 </w:t>
      </w:r>
      <w:r w:rsidRPr="00B918F9">
        <w:rPr>
          <w:rFonts w:ascii="Book Antiqua" w:hAnsi="Book Antiqua" w:cs="SimSun"/>
          <w:b/>
          <w:bCs/>
          <w:color w:val="000000"/>
          <w:sz w:val="24"/>
          <w:szCs w:val="24"/>
        </w:rPr>
        <w:t>Brück W</w:t>
      </w:r>
      <w:r w:rsidRPr="00B918F9">
        <w:rPr>
          <w:rFonts w:ascii="Book Antiqua" w:hAnsi="Book Antiqua" w:cs="SimSun"/>
          <w:color w:val="000000"/>
          <w:sz w:val="24"/>
          <w:szCs w:val="24"/>
        </w:rPr>
        <w:t>, Wegner C. Insight into the mechanism of laquinimod action. </w:t>
      </w:r>
      <w:r w:rsidRPr="00B918F9">
        <w:rPr>
          <w:rFonts w:ascii="Book Antiqua" w:hAnsi="Book Antiqua" w:cs="SimSun"/>
          <w:i/>
          <w:iCs/>
          <w:color w:val="000000"/>
          <w:sz w:val="24"/>
          <w:szCs w:val="24"/>
        </w:rPr>
        <w:t>J Neurol Sci</w:t>
      </w:r>
      <w:r w:rsidRPr="00B918F9">
        <w:rPr>
          <w:rFonts w:ascii="Book Antiqua" w:hAnsi="Book Antiqua" w:cs="SimSun"/>
          <w:color w:val="000000"/>
          <w:sz w:val="24"/>
          <w:szCs w:val="24"/>
        </w:rPr>
        <w:t> 2011; </w:t>
      </w:r>
      <w:r w:rsidRPr="00B918F9">
        <w:rPr>
          <w:rFonts w:ascii="Book Antiqua" w:hAnsi="Book Antiqua" w:cs="SimSun"/>
          <w:b/>
          <w:bCs/>
          <w:color w:val="000000"/>
          <w:sz w:val="24"/>
          <w:szCs w:val="24"/>
        </w:rPr>
        <w:t>306</w:t>
      </w:r>
      <w:r w:rsidRPr="00B918F9">
        <w:rPr>
          <w:rFonts w:ascii="Book Antiqua" w:hAnsi="Book Antiqua" w:cs="SimSun"/>
          <w:color w:val="000000"/>
          <w:sz w:val="24"/>
          <w:szCs w:val="24"/>
        </w:rPr>
        <w:t>: 173-179 [PMID: 21429524 DOI: 10.1016/j.jns.2011.02.019]</w:t>
      </w:r>
    </w:p>
    <w:p w14:paraId="07F2D892"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181 </w:t>
      </w:r>
      <w:r w:rsidRPr="00B918F9">
        <w:rPr>
          <w:rFonts w:ascii="Book Antiqua" w:hAnsi="Book Antiqua" w:cs="SimSun"/>
          <w:b/>
          <w:bCs/>
          <w:color w:val="000000"/>
          <w:sz w:val="24"/>
          <w:szCs w:val="24"/>
        </w:rPr>
        <w:t>Yang JS</w:t>
      </w:r>
      <w:r w:rsidRPr="00B918F9">
        <w:rPr>
          <w:rFonts w:ascii="Book Antiqua" w:hAnsi="Book Antiqua" w:cs="SimSun"/>
          <w:color w:val="000000"/>
          <w:sz w:val="24"/>
          <w:szCs w:val="24"/>
        </w:rPr>
        <w:t>, Xu LY, Xiao BG, Hedlund G, Link H. Laquinimod (ABR-215062) suppresses the development of experimental autoimmune encephalomyelitis, modulates the Th1/Th2 balance and induces the Th3 cytokine TGF-beta in Lewis rats. </w:t>
      </w:r>
      <w:r w:rsidRPr="00B918F9">
        <w:rPr>
          <w:rFonts w:ascii="Book Antiqua" w:hAnsi="Book Antiqua" w:cs="SimSun"/>
          <w:i/>
          <w:iCs/>
          <w:color w:val="000000"/>
          <w:sz w:val="24"/>
          <w:szCs w:val="24"/>
        </w:rPr>
        <w:t>J Neuroimmunol</w:t>
      </w:r>
      <w:r w:rsidRPr="00B918F9">
        <w:rPr>
          <w:rFonts w:ascii="Book Antiqua" w:hAnsi="Book Antiqua" w:cs="SimSun"/>
          <w:color w:val="000000"/>
          <w:sz w:val="24"/>
          <w:szCs w:val="24"/>
        </w:rPr>
        <w:t> 2004; </w:t>
      </w:r>
      <w:r w:rsidRPr="00B918F9">
        <w:rPr>
          <w:rFonts w:ascii="Book Antiqua" w:hAnsi="Book Antiqua" w:cs="SimSun"/>
          <w:b/>
          <w:bCs/>
          <w:color w:val="000000"/>
          <w:sz w:val="24"/>
          <w:szCs w:val="24"/>
        </w:rPr>
        <w:t>156</w:t>
      </w:r>
      <w:r w:rsidRPr="00B918F9">
        <w:rPr>
          <w:rFonts w:ascii="Book Antiqua" w:hAnsi="Book Antiqua" w:cs="SimSun"/>
          <w:color w:val="000000"/>
          <w:sz w:val="24"/>
          <w:szCs w:val="24"/>
        </w:rPr>
        <w:t>: 3-9 [PMID: 15465591 DOI: 10.1016/j.jneuroim.2004.02.016]</w:t>
      </w:r>
    </w:p>
    <w:p w14:paraId="0A6B1164"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182</w:t>
      </w:r>
      <w:r w:rsidRPr="00B918F9">
        <w:rPr>
          <w:rFonts w:ascii="Book Antiqua" w:hAnsi="Book Antiqua" w:cs="SimSun"/>
          <w:b/>
          <w:color w:val="000000"/>
          <w:sz w:val="24"/>
          <w:szCs w:val="24"/>
        </w:rPr>
        <w:t xml:space="preserve"> D’haens G</w:t>
      </w:r>
      <w:r w:rsidRPr="00B918F9">
        <w:rPr>
          <w:rFonts w:ascii="Book Antiqua" w:hAnsi="Book Antiqua" w:cs="SimSun"/>
          <w:color w:val="000000"/>
          <w:sz w:val="24"/>
          <w:szCs w:val="24"/>
        </w:rPr>
        <w:t xml:space="preserve">, Colombel J, Sandborn W, Rutgeerts P, Feagan B. Safety and efficacy of laquinimod in inducing clinical and biochemical improvement in active Crohn’s disease: results of an exploratory trial. </w:t>
      </w:r>
      <w:r w:rsidRPr="00B918F9">
        <w:rPr>
          <w:rFonts w:ascii="Book Antiqua" w:hAnsi="Book Antiqua" w:cs="SimSun"/>
          <w:i/>
          <w:color w:val="000000"/>
          <w:sz w:val="24"/>
          <w:szCs w:val="24"/>
        </w:rPr>
        <w:t>Gastroenterology</w:t>
      </w:r>
      <w:r w:rsidRPr="00B918F9">
        <w:rPr>
          <w:rFonts w:ascii="Book Antiqua" w:hAnsi="Book Antiqua" w:cs="SimSun"/>
          <w:color w:val="000000"/>
          <w:sz w:val="24"/>
          <w:szCs w:val="24"/>
        </w:rPr>
        <w:t xml:space="preserve"> 2013; </w:t>
      </w:r>
      <w:r w:rsidRPr="00B918F9">
        <w:rPr>
          <w:rFonts w:ascii="Book Antiqua" w:hAnsi="Book Antiqua" w:cs="SimSun"/>
          <w:b/>
          <w:color w:val="000000"/>
          <w:sz w:val="24"/>
          <w:szCs w:val="24"/>
        </w:rPr>
        <w:t>144</w:t>
      </w:r>
      <w:r w:rsidRPr="00B918F9">
        <w:rPr>
          <w:rFonts w:ascii="Book Antiqua" w:hAnsi="Book Antiqua" w:cs="SimSun"/>
          <w:color w:val="000000"/>
          <w:sz w:val="24"/>
          <w:szCs w:val="24"/>
        </w:rPr>
        <w:t>: S21 [DOI: 10.1016/S0016-5085(13)60070-0]</w:t>
      </w:r>
    </w:p>
    <w:p w14:paraId="4886CD38"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183 </w:t>
      </w:r>
      <w:r w:rsidRPr="00B918F9">
        <w:rPr>
          <w:rFonts w:ascii="Book Antiqua" w:hAnsi="Book Antiqua" w:cs="SimSun"/>
          <w:b/>
          <w:bCs/>
          <w:color w:val="000000"/>
          <w:sz w:val="24"/>
          <w:szCs w:val="24"/>
        </w:rPr>
        <w:t>He SH</w:t>
      </w:r>
      <w:r w:rsidRPr="00B918F9">
        <w:rPr>
          <w:rFonts w:ascii="Book Antiqua" w:hAnsi="Book Antiqua" w:cs="SimSun"/>
          <w:color w:val="000000"/>
          <w:sz w:val="24"/>
          <w:szCs w:val="24"/>
        </w:rPr>
        <w:t>. Key role of mast cells and their major secretory products in inflammatory bowel disease. </w:t>
      </w:r>
      <w:r w:rsidRPr="00B918F9">
        <w:rPr>
          <w:rFonts w:ascii="Book Antiqua" w:hAnsi="Book Antiqua" w:cs="SimSun"/>
          <w:i/>
          <w:iCs/>
          <w:color w:val="000000"/>
          <w:sz w:val="24"/>
          <w:szCs w:val="24"/>
        </w:rPr>
        <w:t>World J Gastroenterol</w:t>
      </w:r>
      <w:r w:rsidRPr="00B918F9">
        <w:rPr>
          <w:rFonts w:ascii="Book Antiqua" w:hAnsi="Book Antiqua" w:cs="SimSun"/>
          <w:color w:val="000000"/>
          <w:sz w:val="24"/>
          <w:szCs w:val="24"/>
        </w:rPr>
        <w:t> 2004; </w:t>
      </w:r>
      <w:r w:rsidRPr="00B918F9">
        <w:rPr>
          <w:rFonts w:ascii="Book Antiqua" w:hAnsi="Book Antiqua" w:cs="SimSun"/>
          <w:b/>
          <w:bCs/>
          <w:color w:val="000000"/>
          <w:sz w:val="24"/>
          <w:szCs w:val="24"/>
        </w:rPr>
        <w:t>10</w:t>
      </w:r>
      <w:r w:rsidRPr="00B918F9">
        <w:rPr>
          <w:rFonts w:ascii="Book Antiqua" w:hAnsi="Book Antiqua" w:cs="SimSun"/>
          <w:color w:val="000000"/>
          <w:sz w:val="24"/>
          <w:szCs w:val="24"/>
        </w:rPr>
        <w:t>: 309-318 [PMID: 14760748]</w:t>
      </w:r>
    </w:p>
    <w:p w14:paraId="767BB768"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184 </w:t>
      </w:r>
      <w:r w:rsidRPr="00B918F9">
        <w:rPr>
          <w:rFonts w:ascii="Book Antiqua" w:hAnsi="Book Antiqua" w:cs="SimSun"/>
          <w:b/>
          <w:bCs/>
          <w:color w:val="000000"/>
          <w:sz w:val="24"/>
          <w:szCs w:val="24"/>
        </w:rPr>
        <w:t>Beunk L</w:t>
      </w:r>
      <w:r w:rsidRPr="00B918F9">
        <w:rPr>
          <w:rFonts w:ascii="Book Antiqua" w:hAnsi="Book Antiqua" w:cs="SimSun"/>
          <w:color w:val="000000"/>
          <w:sz w:val="24"/>
          <w:szCs w:val="24"/>
        </w:rPr>
        <w:t>, Verwoerd A, van Overveld FJ, Rijkers GT. Role of mast cells in mucosal diseases: current concepts and strategies for treatment. </w:t>
      </w:r>
      <w:r w:rsidRPr="00B918F9">
        <w:rPr>
          <w:rFonts w:ascii="Book Antiqua" w:hAnsi="Book Antiqua" w:cs="SimSun"/>
          <w:i/>
          <w:iCs/>
          <w:color w:val="000000"/>
          <w:sz w:val="24"/>
          <w:szCs w:val="24"/>
        </w:rPr>
        <w:t>Expert Rev Clin Immunol</w:t>
      </w:r>
      <w:r w:rsidRPr="00B918F9">
        <w:rPr>
          <w:rFonts w:ascii="Book Antiqua" w:hAnsi="Book Antiqua" w:cs="SimSun"/>
          <w:color w:val="000000"/>
          <w:sz w:val="24"/>
          <w:szCs w:val="24"/>
        </w:rPr>
        <w:t> 2013; </w:t>
      </w:r>
      <w:r w:rsidRPr="00B918F9">
        <w:rPr>
          <w:rFonts w:ascii="Book Antiqua" w:hAnsi="Book Antiqua" w:cs="SimSun"/>
          <w:b/>
          <w:bCs/>
          <w:color w:val="000000"/>
          <w:sz w:val="24"/>
          <w:szCs w:val="24"/>
        </w:rPr>
        <w:t>9</w:t>
      </w:r>
      <w:r w:rsidRPr="00B918F9">
        <w:rPr>
          <w:rFonts w:ascii="Book Antiqua" w:hAnsi="Book Antiqua" w:cs="SimSun"/>
          <w:color w:val="000000"/>
          <w:sz w:val="24"/>
          <w:szCs w:val="24"/>
        </w:rPr>
        <w:t>: 53-63 [PMID: 23256764 DOI: 10.1586/eci.12.82]</w:t>
      </w:r>
    </w:p>
    <w:p w14:paraId="0337F75D"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185 </w:t>
      </w:r>
      <w:r w:rsidRPr="00B918F9">
        <w:rPr>
          <w:rFonts w:ascii="Book Antiqua" w:hAnsi="Book Antiqua" w:cs="SimSun"/>
          <w:b/>
          <w:bCs/>
          <w:color w:val="000000"/>
          <w:sz w:val="24"/>
          <w:szCs w:val="24"/>
        </w:rPr>
        <w:t>D'allard D</w:t>
      </w:r>
      <w:r w:rsidRPr="00B918F9">
        <w:rPr>
          <w:rFonts w:ascii="Book Antiqua" w:hAnsi="Book Antiqua" w:cs="SimSun"/>
          <w:color w:val="000000"/>
          <w:sz w:val="24"/>
          <w:szCs w:val="24"/>
        </w:rPr>
        <w:t xml:space="preserve">, Gay J, Descarpentries C, Frisan E, Adam K, Verdier F, Floquet C, Dubreuil P, Lacombe C, Fontenay M, Mayeux P, Kosmider O. Tyrosine </w:t>
      </w:r>
      <w:r w:rsidRPr="00B918F9">
        <w:rPr>
          <w:rFonts w:ascii="Book Antiqua" w:hAnsi="Book Antiqua" w:cs="SimSun"/>
          <w:color w:val="000000"/>
          <w:sz w:val="24"/>
          <w:szCs w:val="24"/>
        </w:rPr>
        <w:lastRenderedPageBreak/>
        <w:t>kinase inhibitors induce down-regulation of c-Kit by targeting the ATP pocket. </w:t>
      </w:r>
      <w:r w:rsidRPr="00B918F9">
        <w:rPr>
          <w:rFonts w:ascii="Book Antiqua" w:hAnsi="Book Antiqua" w:cs="SimSun"/>
          <w:i/>
          <w:iCs/>
          <w:color w:val="000000"/>
          <w:sz w:val="24"/>
          <w:szCs w:val="24"/>
        </w:rPr>
        <w:t>PLoS One</w:t>
      </w:r>
      <w:r w:rsidRPr="00B918F9">
        <w:rPr>
          <w:rFonts w:ascii="Book Antiqua" w:hAnsi="Book Antiqua" w:cs="SimSun"/>
          <w:color w:val="000000"/>
          <w:sz w:val="24"/>
          <w:szCs w:val="24"/>
        </w:rPr>
        <w:t> 2013; </w:t>
      </w:r>
      <w:r w:rsidRPr="00B918F9">
        <w:rPr>
          <w:rFonts w:ascii="Book Antiqua" w:hAnsi="Book Antiqua" w:cs="SimSun"/>
          <w:b/>
          <w:bCs/>
          <w:color w:val="000000"/>
          <w:sz w:val="24"/>
          <w:szCs w:val="24"/>
        </w:rPr>
        <w:t>8</w:t>
      </w:r>
      <w:r w:rsidRPr="00B918F9">
        <w:rPr>
          <w:rFonts w:ascii="Book Antiqua" w:hAnsi="Book Antiqua" w:cs="SimSun"/>
          <w:color w:val="000000"/>
          <w:sz w:val="24"/>
          <w:szCs w:val="24"/>
        </w:rPr>
        <w:t>: e60961 [PMID: 23637779 DOI: 10.1371/journal.pone.0060961]</w:t>
      </w:r>
    </w:p>
    <w:p w14:paraId="15195187"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186 Available at: URL: https: //www.clinicaltrialsregister.eu/ctr-search/search?query=masitinib and crohn</w:t>
      </w:r>
    </w:p>
    <w:p w14:paraId="07595801"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187 </w:t>
      </w:r>
      <w:r w:rsidRPr="00B918F9">
        <w:rPr>
          <w:rFonts w:ascii="Book Antiqua" w:hAnsi="Book Antiqua" w:cs="SimSun"/>
          <w:b/>
          <w:bCs/>
          <w:color w:val="000000"/>
          <w:sz w:val="24"/>
          <w:szCs w:val="24"/>
        </w:rPr>
        <w:t>Baumgart DC</w:t>
      </w:r>
      <w:r w:rsidRPr="00B918F9">
        <w:rPr>
          <w:rFonts w:ascii="Book Antiqua" w:hAnsi="Book Antiqua" w:cs="SimSun"/>
          <w:color w:val="000000"/>
          <w:sz w:val="24"/>
          <w:szCs w:val="24"/>
        </w:rPr>
        <w:t>, Targan SR, Dignass AU, Mayer L, van Assche G, Hommes DW, Hanauer SB, Mahadevan U, Reinisch W, Plevy SE, Salzberg BA, Buchman AL, Mechkov GM, Krastev ZA, Lowder JN, Frankel MB, Sandborn WJ. Prospective randomized open-label multicenter phase I/II dose escalation trial of visilizumab (HuM291) in severe steroid-refractory ulcerative colitis. </w:t>
      </w:r>
      <w:r w:rsidRPr="00B918F9">
        <w:rPr>
          <w:rFonts w:ascii="Book Antiqua" w:hAnsi="Book Antiqua" w:cs="SimSun"/>
          <w:i/>
          <w:iCs/>
          <w:color w:val="000000"/>
          <w:sz w:val="24"/>
          <w:szCs w:val="24"/>
        </w:rPr>
        <w:t>Inflamm Bowel Dis</w:t>
      </w:r>
      <w:r w:rsidRPr="00B918F9">
        <w:rPr>
          <w:rFonts w:ascii="Book Antiqua" w:hAnsi="Book Antiqua" w:cs="SimSun"/>
          <w:color w:val="000000"/>
          <w:sz w:val="24"/>
          <w:szCs w:val="24"/>
        </w:rPr>
        <w:t> 2010; </w:t>
      </w:r>
      <w:r w:rsidRPr="00B918F9">
        <w:rPr>
          <w:rFonts w:ascii="Book Antiqua" w:hAnsi="Book Antiqua" w:cs="SimSun"/>
          <w:b/>
          <w:bCs/>
          <w:color w:val="000000"/>
          <w:sz w:val="24"/>
          <w:szCs w:val="24"/>
        </w:rPr>
        <w:t>16</w:t>
      </w:r>
      <w:r w:rsidRPr="00B918F9">
        <w:rPr>
          <w:rFonts w:ascii="Book Antiqua" w:hAnsi="Book Antiqua" w:cs="SimSun"/>
          <w:color w:val="000000"/>
          <w:sz w:val="24"/>
          <w:szCs w:val="24"/>
        </w:rPr>
        <w:t>: 620-629 [PMID: 19714757 DOI: 10.1002/ibd.21084]</w:t>
      </w:r>
    </w:p>
    <w:p w14:paraId="0991CC13"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188 </w:t>
      </w:r>
      <w:r w:rsidRPr="00B918F9">
        <w:rPr>
          <w:rFonts w:ascii="Book Antiqua" w:hAnsi="Book Antiqua" w:cs="SimSun"/>
          <w:b/>
          <w:bCs/>
          <w:color w:val="000000"/>
          <w:sz w:val="24"/>
          <w:szCs w:val="24"/>
        </w:rPr>
        <w:t>Baumgart DC</w:t>
      </w:r>
      <w:r w:rsidRPr="00B918F9">
        <w:rPr>
          <w:rFonts w:ascii="Book Antiqua" w:hAnsi="Book Antiqua" w:cs="SimSun"/>
          <w:color w:val="000000"/>
          <w:sz w:val="24"/>
          <w:szCs w:val="24"/>
        </w:rPr>
        <w:t>, Lowder JN, Targan SR, Sandborn WJ, Frankel MB. Transient cytokine-induced liver injury following administration of the humanized anti-CD3 antibody visilizumab (HuM291) in Crohn's disease. </w:t>
      </w:r>
      <w:r w:rsidRPr="00B918F9">
        <w:rPr>
          <w:rFonts w:ascii="Book Antiqua" w:hAnsi="Book Antiqua" w:cs="SimSun"/>
          <w:i/>
          <w:iCs/>
          <w:color w:val="000000"/>
          <w:sz w:val="24"/>
          <w:szCs w:val="24"/>
        </w:rPr>
        <w:t>Am J Gastroenterol</w:t>
      </w:r>
      <w:r w:rsidRPr="00B918F9">
        <w:rPr>
          <w:rFonts w:ascii="Book Antiqua" w:hAnsi="Book Antiqua" w:cs="SimSun"/>
          <w:color w:val="000000"/>
          <w:sz w:val="24"/>
          <w:szCs w:val="24"/>
        </w:rPr>
        <w:t> 2009; </w:t>
      </w:r>
      <w:r w:rsidRPr="00B918F9">
        <w:rPr>
          <w:rFonts w:ascii="Book Antiqua" w:hAnsi="Book Antiqua" w:cs="SimSun"/>
          <w:b/>
          <w:bCs/>
          <w:color w:val="000000"/>
          <w:sz w:val="24"/>
          <w:szCs w:val="24"/>
        </w:rPr>
        <w:t>104</w:t>
      </w:r>
      <w:r w:rsidRPr="00B918F9">
        <w:rPr>
          <w:rFonts w:ascii="Book Antiqua" w:hAnsi="Book Antiqua" w:cs="SimSun"/>
          <w:color w:val="000000"/>
          <w:sz w:val="24"/>
          <w:szCs w:val="24"/>
        </w:rPr>
        <w:t>: 868-876 [PMID: 19240707 DOI: 10.1038/ajg.2008.138]</w:t>
      </w:r>
    </w:p>
    <w:p w14:paraId="394EA0BC"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189 </w:t>
      </w:r>
      <w:r w:rsidRPr="00B918F9">
        <w:rPr>
          <w:rFonts w:ascii="Book Antiqua" w:hAnsi="Book Antiqua" w:cs="SimSun"/>
          <w:b/>
          <w:bCs/>
          <w:color w:val="000000"/>
          <w:sz w:val="24"/>
          <w:szCs w:val="24"/>
        </w:rPr>
        <w:t>Blombery P</w:t>
      </w:r>
      <w:r w:rsidRPr="00B918F9">
        <w:rPr>
          <w:rFonts w:ascii="Book Antiqua" w:hAnsi="Book Antiqua" w:cs="SimSun"/>
          <w:color w:val="000000"/>
          <w:sz w:val="24"/>
          <w:szCs w:val="24"/>
        </w:rPr>
        <w:t>, Prince HM, Levinson M, Pianko S, Maxwell E, Bhathal P. Rituximab-induced immunodysregulatory ileocolitis in a patient with follicular lymphoma. </w:t>
      </w:r>
      <w:r w:rsidRPr="00B918F9">
        <w:rPr>
          <w:rFonts w:ascii="Book Antiqua" w:hAnsi="Book Antiqua" w:cs="SimSun"/>
          <w:i/>
          <w:iCs/>
          <w:color w:val="000000"/>
          <w:sz w:val="24"/>
          <w:szCs w:val="24"/>
        </w:rPr>
        <w:t>J Clin Oncol</w:t>
      </w:r>
      <w:r w:rsidRPr="00B918F9">
        <w:rPr>
          <w:rFonts w:ascii="Book Antiqua" w:hAnsi="Book Antiqua" w:cs="SimSun"/>
          <w:color w:val="000000"/>
          <w:sz w:val="24"/>
          <w:szCs w:val="24"/>
        </w:rPr>
        <w:t> 2011; </w:t>
      </w:r>
      <w:r w:rsidRPr="00B918F9">
        <w:rPr>
          <w:rFonts w:ascii="Book Antiqua" w:hAnsi="Book Antiqua" w:cs="SimSun"/>
          <w:b/>
          <w:bCs/>
          <w:color w:val="000000"/>
          <w:sz w:val="24"/>
          <w:szCs w:val="24"/>
        </w:rPr>
        <w:t>29</w:t>
      </w:r>
      <w:r w:rsidRPr="00B918F9">
        <w:rPr>
          <w:rFonts w:ascii="Book Antiqua" w:hAnsi="Book Antiqua" w:cs="SimSun"/>
          <w:color w:val="000000"/>
          <w:sz w:val="24"/>
          <w:szCs w:val="24"/>
        </w:rPr>
        <w:t>: e110-e112 [PMID: 21098319 DOI: 10.1200/JCO.2010.31.8899]</w:t>
      </w:r>
    </w:p>
    <w:p w14:paraId="1879301B"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190 </w:t>
      </w:r>
      <w:r w:rsidRPr="00B918F9">
        <w:rPr>
          <w:rFonts w:ascii="Book Antiqua" w:hAnsi="Book Antiqua" w:cs="SimSun"/>
          <w:b/>
          <w:bCs/>
          <w:color w:val="000000"/>
          <w:sz w:val="24"/>
          <w:szCs w:val="24"/>
        </w:rPr>
        <w:t>El Fassi D</w:t>
      </w:r>
      <w:r w:rsidRPr="00B918F9">
        <w:rPr>
          <w:rFonts w:ascii="Book Antiqua" w:hAnsi="Book Antiqua" w:cs="SimSun"/>
          <w:color w:val="000000"/>
          <w:sz w:val="24"/>
          <w:szCs w:val="24"/>
        </w:rPr>
        <w:t>, Nielsen CH, Kjeldsen J, Clemmensen O, Hegedüs L. Ulcerative colitis following B lymphocyte depletion with rituximab in a patient with Graves' disease. </w:t>
      </w:r>
      <w:r w:rsidRPr="00B918F9">
        <w:rPr>
          <w:rFonts w:ascii="Book Antiqua" w:hAnsi="Book Antiqua" w:cs="SimSun"/>
          <w:i/>
          <w:iCs/>
          <w:color w:val="000000"/>
          <w:sz w:val="24"/>
          <w:szCs w:val="24"/>
        </w:rPr>
        <w:t>Gut</w:t>
      </w:r>
      <w:r w:rsidRPr="00B918F9">
        <w:rPr>
          <w:rFonts w:ascii="Book Antiqua" w:hAnsi="Book Antiqua" w:cs="SimSun"/>
          <w:color w:val="000000"/>
          <w:sz w:val="24"/>
          <w:szCs w:val="24"/>
        </w:rPr>
        <w:t> 2008; </w:t>
      </w:r>
      <w:r w:rsidRPr="00B918F9">
        <w:rPr>
          <w:rFonts w:ascii="Book Antiqua" w:hAnsi="Book Antiqua" w:cs="SimSun"/>
          <w:b/>
          <w:bCs/>
          <w:color w:val="000000"/>
          <w:sz w:val="24"/>
          <w:szCs w:val="24"/>
        </w:rPr>
        <w:t>57</w:t>
      </w:r>
      <w:r w:rsidRPr="00B918F9">
        <w:rPr>
          <w:rFonts w:ascii="Book Antiqua" w:hAnsi="Book Antiqua" w:cs="SimSun"/>
          <w:color w:val="000000"/>
          <w:sz w:val="24"/>
          <w:szCs w:val="24"/>
        </w:rPr>
        <w:t>: 714-715 [PMID: 18408106 DOI: 10.1136/gut.2007.138305]</w:t>
      </w:r>
    </w:p>
    <w:p w14:paraId="7C372D2F"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191 </w:t>
      </w:r>
      <w:r w:rsidRPr="00B918F9">
        <w:rPr>
          <w:rFonts w:ascii="Book Antiqua" w:hAnsi="Book Antiqua" w:cs="SimSun"/>
          <w:b/>
          <w:bCs/>
          <w:color w:val="000000"/>
          <w:sz w:val="24"/>
          <w:szCs w:val="24"/>
        </w:rPr>
        <w:t>Ardelean DS</w:t>
      </w:r>
      <w:r w:rsidRPr="00B918F9">
        <w:rPr>
          <w:rFonts w:ascii="Book Antiqua" w:hAnsi="Book Antiqua" w:cs="SimSun"/>
          <w:color w:val="000000"/>
          <w:sz w:val="24"/>
          <w:szCs w:val="24"/>
        </w:rPr>
        <w:t>, Gonska T, Wires S, Cutz E, Griffiths A, Harvey E, Tse SM, Benseler SM. Severe ulcerative colitis after rituximab therapy. </w:t>
      </w:r>
      <w:r w:rsidRPr="00B918F9">
        <w:rPr>
          <w:rFonts w:ascii="Book Antiqua" w:hAnsi="Book Antiqua" w:cs="SimSun"/>
          <w:i/>
          <w:iCs/>
          <w:color w:val="000000"/>
          <w:sz w:val="24"/>
          <w:szCs w:val="24"/>
        </w:rPr>
        <w:t>Pediatrics</w:t>
      </w:r>
      <w:r w:rsidRPr="00B918F9">
        <w:rPr>
          <w:rFonts w:ascii="Book Antiqua" w:hAnsi="Book Antiqua" w:cs="SimSun"/>
          <w:color w:val="000000"/>
          <w:sz w:val="24"/>
          <w:szCs w:val="24"/>
        </w:rPr>
        <w:t> 2010; </w:t>
      </w:r>
      <w:r w:rsidRPr="00B918F9">
        <w:rPr>
          <w:rFonts w:ascii="Book Antiqua" w:hAnsi="Book Antiqua" w:cs="SimSun"/>
          <w:b/>
          <w:bCs/>
          <w:color w:val="000000"/>
          <w:sz w:val="24"/>
          <w:szCs w:val="24"/>
        </w:rPr>
        <w:t>126</w:t>
      </w:r>
      <w:r w:rsidRPr="00B918F9">
        <w:rPr>
          <w:rFonts w:ascii="Book Antiqua" w:hAnsi="Book Antiqua" w:cs="SimSun"/>
          <w:color w:val="000000"/>
          <w:sz w:val="24"/>
          <w:szCs w:val="24"/>
        </w:rPr>
        <w:t>: e243-e246 [PMID: 20566611 DOI: 10.1542/peds.2009-3395]</w:t>
      </w:r>
    </w:p>
    <w:p w14:paraId="6BCD58CF"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192 </w:t>
      </w:r>
      <w:r w:rsidRPr="00B918F9">
        <w:rPr>
          <w:rFonts w:ascii="Book Antiqua" w:hAnsi="Book Antiqua" w:cs="SimSun"/>
          <w:b/>
          <w:bCs/>
          <w:color w:val="000000"/>
          <w:sz w:val="24"/>
          <w:szCs w:val="24"/>
        </w:rPr>
        <w:t>Goetz M</w:t>
      </w:r>
      <w:r w:rsidRPr="00B918F9">
        <w:rPr>
          <w:rFonts w:ascii="Book Antiqua" w:hAnsi="Book Antiqua" w:cs="SimSun"/>
          <w:color w:val="000000"/>
          <w:sz w:val="24"/>
          <w:szCs w:val="24"/>
        </w:rPr>
        <w:t>, Atreya R, Ghalibafian M, Galle PR, Neurath MF. Exacerbation of ulcerative colitis after rituximab salvage therapy. </w:t>
      </w:r>
      <w:r w:rsidRPr="00B918F9">
        <w:rPr>
          <w:rFonts w:ascii="Book Antiqua" w:hAnsi="Book Antiqua" w:cs="SimSun"/>
          <w:i/>
          <w:iCs/>
          <w:color w:val="000000"/>
          <w:sz w:val="24"/>
          <w:szCs w:val="24"/>
        </w:rPr>
        <w:t>Inflamm Bowel Dis</w:t>
      </w:r>
      <w:r w:rsidRPr="00B918F9">
        <w:rPr>
          <w:rFonts w:ascii="Book Antiqua" w:hAnsi="Book Antiqua" w:cs="SimSun"/>
          <w:color w:val="000000"/>
          <w:sz w:val="24"/>
          <w:szCs w:val="24"/>
        </w:rPr>
        <w:t> 2007; </w:t>
      </w:r>
      <w:r w:rsidRPr="00B918F9">
        <w:rPr>
          <w:rFonts w:ascii="Book Antiqua" w:hAnsi="Book Antiqua" w:cs="SimSun"/>
          <w:b/>
          <w:bCs/>
          <w:color w:val="000000"/>
          <w:sz w:val="24"/>
          <w:szCs w:val="24"/>
        </w:rPr>
        <w:t>13</w:t>
      </w:r>
      <w:r w:rsidRPr="00B918F9">
        <w:rPr>
          <w:rFonts w:ascii="Book Antiqua" w:hAnsi="Book Antiqua" w:cs="SimSun"/>
          <w:color w:val="000000"/>
          <w:sz w:val="24"/>
          <w:szCs w:val="24"/>
        </w:rPr>
        <w:t>: 1365-1368 [PMID: 17604367 DOI: 10.1002/ibd.20215]</w:t>
      </w:r>
    </w:p>
    <w:p w14:paraId="3FD4FD41"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lastRenderedPageBreak/>
        <w:t xml:space="preserve">193 </w:t>
      </w:r>
      <w:r w:rsidRPr="00B918F9">
        <w:rPr>
          <w:rFonts w:ascii="Book Antiqua" w:hAnsi="Book Antiqua" w:cs="SimSun"/>
          <w:b/>
          <w:color w:val="000000"/>
          <w:sz w:val="24"/>
          <w:szCs w:val="24"/>
        </w:rPr>
        <w:t>Hanauer SB</w:t>
      </w:r>
      <w:r w:rsidRPr="00B918F9">
        <w:rPr>
          <w:rFonts w:ascii="Book Antiqua" w:hAnsi="Book Antiqua" w:cs="SimSun"/>
          <w:color w:val="000000"/>
          <w:sz w:val="24"/>
          <w:szCs w:val="24"/>
        </w:rPr>
        <w:t xml:space="preserve">, Sandborn WJ, Sands BE, Rutgeers P, Panaccione R, Bressler B, Whiteside M, Swanink R, Aranda R, Luo A. A randomized placebo-controlled trial of abatacept for moderately-to-severely active Crohn’s disease (CD). </w:t>
      </w:r>
      <w:r w:rsidRPr="00B918F9">
        <w:rPr>
          <w:rFonts w:ascii="Book Antiqua" w:hAnsi="Book Antiqua" w:cs="SimSun"/>
          <w:i/>
          <w:color w:val="000000"/>
          <w:sz w:val="24"/>
          <w:szCs w:val="24"/>
        </w:rPr>
        <w:t>Gastroenterology</w:t>
      </w:r>
      <w:r w:rsidRPr="00B918F9">
        <w:rPr>
          <w:rFonts w:ascii="Book Antiqua" w:hAnsi="Book Antiqua" w:cs="SimSun"/>
          <w:color w:val="000000"/>
          <w:sz w:val="24"/>
          <w:szCs w:val="24"/>
        </w:rPr>
        <w:t xml:space="preserve"> 2010; </w:t>
      </w:r>
      <w:r w:rsidRPr="00B918F9">
        <w:rPr>
          <w:rFonts w:ascii="Book Antiqua" w:hAnsi="Book Antiqua" w:cs="SimSun"/>
          <w:b/>
          <w:color w:val="000000"/>
          <w:sz w:val="24"/>
          <w:szCs w:val="24"/>
        </w:rPr>
        <w:t>138</w:t>
      </w:r>
      <w:r w:rsidRPr="00B918F9">
        <w:rPr>
          <w:rFonts w:ascii="Book Antiqua" w:hAnsi="Book Antiqua" w:cs="SimSun"/>
          <w:color w:val="000000"/>
          <w:sz w:val="24"/>
          <w:szCs w:val="24"/>
        </w:rPr>
        <w:t>: S-86 [DOI: 10.1016/S0016-5085(10)60394-0]</w:t>
      </w:r>
    </w:p>
    <w:p w14:paraId="69046A6C"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194 </w:t>
      </w:r>
      <w:r w:rsidRPr="00B918F9">
        <w:rPr>
          <w:rFonts w:ascii="Book Antiqua" w:hAnsi="Book Antiqua" w:cs="SimSun"/>
          <w:b/>
          <w:bCs/>
          <w:color w:val="000000"/>
          <w:sz w:val="24"/>
          <w:szCs w:val="24"/>
        </w:rPr>
        <w:t>Sandborn WJ</w:t>
      </w:r>
      <w:r w:rsidRPr="00B918F9">
        <w:rPr>
          <w:rFonts w:ascii="Book Antiqua" w:hAnsi="Book Antiqua" w:cs="SimSun"/>
          <w:color w:val="000000"/>
          <w:sz w:val="24"/>
          <w:szCs w:val="24"/>
        </w:rPr>
        <w:t>, Colombel JF, Sands BE, Rutgeerts P, Targan SR, Panaccione R, Bressler B, Geboes K, Schreiber S, Aranda R, Gujrathi S, Luo A, Peng Y, Salter-Cid L, Hanauer SB. Abatacept for Crohn's disease and ulcerative colitis. </w:t>
      </w:r>
      <w:r w:rsidRPr="00B918F9">
        <w:rPr>
          <w:rFonts w:ascii="Book Antiqua" w:hAnsi="Book Antiqua" w:cs="SimSun"/>
          <w:i/>
          <w:iCs/>
          <w:color w:val="000000"/>
          <w:sz w:val="24"/>
          <w:szCs w:val="24"/>
        </w:rPr>
        <w:t>Gastroenterology</w:t>
      </w:r>
      <w:r w:rsidRPr="00B918F9">
        <w:rPr>
          <w:rFonts w:ascii="Book Antiqua" w:hAnsi="Book Antiqua" w:cs="SimSun"/>
          <w:color w:val="000000"/>
          <w:sz w:val="24"/>
          <w:szCs w:val="24"/>
        </w:rPr>
        <w:t> 2012; </w:t>
      </w:r>
      <w:r w:rsidRPr="00B918F9">
        <w:rPr>
          <w:rFonts w:ascii="Book Antiqua" w:hAnsi="Book Antiqua" w:cs="SimSun"/>
          <w:b/>
          <w:bCs/>
          <w:color w:val="000000"/>
          <w:sz w:val="24"/>
          <w:szCs w:val="24"/>
        </w:rPr>
        <w:t>143</w:t>
      </w:r>
      <w:r w:rsidRPr="00B918F9">
        <w:rPr>
          <w:rFonts w:ascii="Book Antiqua" w:hAnsi="Book Antiqua" w:cs="SimSun"/>
          <w:color w:val="000000"/>
          <w:sz w:val="24"/>
          <w:szCs w:val="24"/>
        </w:rPr>
        <w:t>: 62-69.e4 [PMID: 22504093 DOI: 10.1053/j.gastro.2012.04.010]</w:t>
      </w:r>
    </w:p>
    <w:p w14:paraId="697399D5"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195 </w:t>
      </w:r>
      <w:r w:rsidRPr="00B918F9">
        <w:rPr>
          <w:rFonts w:ascii="Book Antiqua" w:hAnsi="Book Antiqua" w:cs="SimSun"/>
          <w:b/>
          <w:bCs/>
          <w:color w:val="000000"/>
          <w:sz w:val="24"/>
          <w:szCs w:val="24"/>
        </w:rPr>
        <w:t>Monteleone G</w:t>
      </w:r>
      <w:r w:rsidRPr="00B918F9">
        <w:rPr>
          <w:rFonts w:ascii="Book Antiqua" w:hAnsi="Book Antiqua" w:cs="SimSun"/>
          <w:color w:val="000000"/>
          <w:sz w:val="24"/>
          <w:szCs w:val="24"/>
        </w:rPr>
        <w:t>, Kumberova A, Croft NM, McKenzie C, Steer HW, MacDonald TT. Blocking Smad7 restores TGF-beta1 signaling in chronic inflammatory bowel disease. </w:t>
      </w:r>
      <w:r w:rsidRPr="00B918F9">
        <w:rPr>
          <w:rFonts w:ascii="Book Antiqua" w:hAnsi="Book Antiqua" w:cs="SimSun"/>
          <w:i/>
          <w:iCs/>
          <w:color w:val="000000"/>
          <w:sz w:val="24"/>
          <w:szCs w:val="24"/>
        </w:rPr>
        <w:t>J Clin Invest</w:t>
      </w:r>
      <w:r w:rsidRPr="00B918F9">
        <w:rPr>
          <w:rFonts w:ascii="Book Antiqua" w:hAnsi="Book Antiqua" w:cs="SimSun"/>
          <w:color w:val="000000"/>
          <w:sz w:val="24"/>
          <w:szCs w:val="24"/>
        </w:rPr>
        <w:t> 2001; </w:t>
      </w:r>
      <w:r w:rsidRPr="00B918F9">
        <w:rPr>
          <w:rFonts w:ascii="Book Antiqua" w:hAnsi="Book Antiqua" w:cs="SimSun"/>
          <w:b/>
          <w:bCs/>
          <w:color w:val="000000"/>
          <w:sz w:val="24"/>
          <w:szCs w:val="24"/>
        </w:rPr>
        <w:t>108</w:t>
      </w:r>
      <w:r w:rsidRPr="00B918F9">
        <w:rPr>
          <w:rFonts w:ascii="Book Antiqua" w:hAnsi="Book Antiqua" w:cs="SimSun"/>
          <w:color w:val="000000"/>
          <w:sz w:val="24"/>
          <w:szCs w:val="24"/>
        </w:rPr>
        <w:t>: 601-609 [PMID: 11518734 DOI: 10.1172/JCI12821]</w:t>
      </w:r>
    </w:p>
    <w:p w14:paraId="12E1701A"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196 </w:t>
      </w:r>
      <w:r w:rsidRPr="00B918F9">
        <w:rPr>
          <w:rFonts w:ascii="Book Antiqua" w:hAnsi="Book Antiqua" w:cs="SimSun"/>
          <w:b/>
          <w:bCs/>
          <w:color w:val="000000"/>
          <w:sz w:val="24"/>
          <w:szCs w:val="24"/>
        </w:rPr>
        <w:t>Monteleone G</w:t>
      </w:r>
      <w:r w:rsidRPr="00B918F9">
        <w:rPr>
          <w:rFonts w:ascii="Book Antiqua" w:hAnsi="Book Antiqua" w:cs="SimSun"/>
          <w:color w:val="000000"/>
          <w:sz w:val="24"/>
          <w:szCs w:val="24"/>
        </w:rPr>
        <w:t>, Fantini MC, Onali S, Zorzi F, Sancesario G, Bernardini S, Calabrese E, Viti F, Monteleone I, Biancone L, Pallone F. Phase I clinical trial of Smad7 knockdown using antisense oligonucleotide in patients with active Crohn's disease. </w:t>
      </w:r>
      <w:r w:rsidRPr="00B918F9">
        <w:rPr>
          <w:rFonts w:ascii="Book Antiqua" w:hAnsi="Book Antiqua" w:cs="SimSun"/>
          <w:i/>
          <w:iCs/>
          <w:color w:val="000000"/>
          <w:sz w:val="24"/>
          <w:szCs w:val="24"/>
        </w:rPr>
        <w:t>Mol Ther</w:t>
      </w:r>
      <w:r w:rsidRPr="00B918F9">
        <w:rPr>
          <w:rFonts w:ascii="Book Antiqua" w:hAnsi="Book Antiqua" w:cs="SimSun"/>
          <w:color w:val="000000"/>
          <w:sz w:val="24"/>
          <w:szCs w:val="24"/>
        </w:rPr>
        <w:t> 2012; </w:t>
      </w:r>
      <w:r w:rsidRPr="00B918F9">
        <w:rPr>
          <w:rFonts w:ascii="Book Antiqua" w:hAnsi="Book Antiqua" w:cs="SimSun"/>
          <w:b/>
          <w:bCs/>
          <w:color w:val="000000"/>
          <w:sz w:val="24"/>
          <w:szCs w:val="24"/>
        </w:rPr>
        <w:t>20</w:t>
      </w:r>
      <w:r w:rsidRPr="00B918F9">
        <w:rPr>
          <w:rFonts w:ascii="Book Antiqua" w:hAnsi="Book Antiqua" w:cs="SimSun"/>
          <w:color w:val="000000"/>
          <w:sz w:val="24"/>
          <w:szCs w:val="24"/>
        </w:rPr>
        <w:t>: 870-876 [PMID: 22252452 DOI: 10.1038/mt.2011.290]</w:t>
      </w:r>
    </w:p>
    <w:p w14:paraId="6D964240"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197 </w:t>
      </w:r>
      <w:r w:rsidRPr="00B918F9">
        <w:rPr>
          <w:rFonts w:ascii="Book Antiqua" w:hAnsi="Book Antiqua" w:cs="SimSun"/>
          <w:b/>
          <w:bCs/>
          <w:color w:val="000000"/>
          <w:sz w:val="24"/>
          <w:szCs w:val="24"/>
        </w:rPr>
        <w:t>Monteleone G</w:t>
      </w:r>
      <w:r w:rsidRPr="00B918F9">
        <w:rPr>
          <w:rFonts w:ascii="Book Antiqua" w:hAnsi="Book Antiqua" w:cs="SimSun"/>
          <w:color w:val="000000"/>
          <w:sz w:val="24"/>
          <w:szCs w:val="24"/>
        </w:rPr>
        <w:t>, Neurath MF, Ardizzone S, Di Sabatino A, Fantini MC, Castiglione F, Scribano ML, Armuzzi A, Caprioli F, Sturniolo GC, Rogai F, Vecchi M, Atreya R, Bossa F, Onali S, Fichera M, Corazza GR, Biancone L, Savarino V, Pica R, Orlando A, Pallone F. Mongersen, an oral SMAD7 antisense oligonucleotide, and Crohn's disease. </w:t>
      </w:r>
      <w:r w:rsidRPr="00B918F9">
        <w:rPr>
          <w:rFonts w:ascii="Book Antiqua" w:hAnsi="Book Antiqua" w:cs="SimSun"/>
          <w:i/>
          <w:iCs/>
          <w:color w:val="000000"/>
          <w:sz w:val="24"/>
          <w:szCs w:val="24"/>
        </w:rPr>
        <w:t>N Engl J Med</w:t>
      </w:r>
      <w:r w:rsidRPr="00B918F9">
        <w:rPr>
          <w:rFonts w:ascii="Book Antiqua" w:hAnsi="Book Antiqua" w:cs="SimSun"/>
          <w:color w:val="000000"/>
          <w:sz w:val="24"/>
          <w:szCs w:val="24"/>
        </w:rPr>
        <w:t> 2015; </w:t>
      </w:r>
      <w:r w:rsidRPr="00B918F9">
        <w:rPr>
          <w:rFonts w:ascii="Book Antiqua" w:hAnsi="Book Antiqua" w:cs="SimSun"/>
          <w:b/>
          <w:bCs/>
          <w:color w:val="000000"/>
          <w:sz w:val="24"/>
          <w:szCs w:val="24"/>
        </w:rPr>
        <w:t>372</w:t>
      </w:r>
      <w:r w:rsidRPr="00B918F9">
        <w:rPr>
          <w:rFonts w:ascii="Book Antiqua" w:hAnsi="Book Antiqua" w:cs="SimSun"/>
          <w:color w:val="000000"/>
          <w:sz w:val="24"/>
          <w:szCs w:val="24"/>
        </w:rPr>
        <w:t>: 1104-1113 [PMID: 25785968 DOI: 10.1056/NEJMoa1407250]</w:t>
      </w:r>
    </w:p>
    <w:p w14:paraId="387882EB"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 xml:space="preserve">198 </w:t>
      </w:r>
      <w:r w:rsidRPr="00B918F9">
        <w:rPr>
          <w:rFonts w:ascii="Book Antiqua" w:hAnsi="Book Antiqua" w:cs="Book Antiqua"/>
          <w:b/>
          <w:bCs/>
          <w:sz w:val="24"/>
          <w:szCs w:val="24"/>
          <w:lang w:val="en-US"/>
        </w:rPr>
        <w:t>Sandborn W</w:t>
      </w:r>
      <w:r w:rsidRPr="00B918F9">
        <w:rPr>
          <w:rFonts w:ascii="Book Antiqua" w:hAnsi="Book Antiqua" w:cs="Book Antiqua"/>
          <w:sz w:val="24"/>
          <w:szCs w:val="24"/>
          <w:lang w:val="en-US"/>
        </w:rPr>
        <w:t xml:space="preserve">, Feagan B, Wolf D, D'Haens G, Vermeire S, Hanauer S, Ghosh S, Smith H, Cravets M, Frohna P, Gujrathi S, Olson A. OP024. A randomized, double-blind, placebo-controlled induction trial of an oral S1P receptor modulator (RPC1063) in moderate to severe Ulcerative Colitis: Results of the TOUCHSTONE study. </w:t>
      </w:r>
      <w:r w:rsidRPr="00B918F9">
        <w:rPr>
          <w:rFonts w:ascii="Book Antiqua" w:hAnsi="Book Antiqua" w:cs="Book Antiqua"/>
          <w:i/>
          <w:sz w:val="24"/>
          <w:szCs w:val="24"/>
          <w:lang w:val="en-US"/>
        </w:rPr>
        <w:t xml:space="preserve">J Crohns Colitis </w:t>
      </w:r>
      <w:r w:rsidRPr="00B918F9">
        <w:rPr>
          <w:rFonts w:ascii="Book Antiqua" w:hAnsi="Book Antiqua" w:cs="Book Antiqua"/>
          <w:sz w:val="24"/>
          <w:szCs w:val="24"/>
          <w:lang w:val="en-US"/>
        </w:rPr>
        <w:t>2015</w:t>
      </w:r>
      <w:r w:rsidRPr="00B918F9">
        <w:rPr>
          <w:rFonts w:ascii="Book Antiqua" w:hAnsi="Book Antiqua" w:cs="Book Antiqua"/>
          <w:sz w:val="24"/>
          <w:szCs w:val="24"/>
        </w:rPr>
        <w:t>;</w:t>
      </w:r>
      <w:r w:rsidRPr="00B918F9">
        <w:rPr>
          <w:rFonts w:ascii="Book Antiqua" w:hAnsi="Book Antiqua" w:cs="Book Antiqua"/>
          <w:sz w:val="24"/>
          <w:szCs w:val="24"/>
          <w:lang w:val="en-US"/>
        </w:rPr>
        <w:t xml:space="preserve"> Suppl</w:t>
      </w:r>
      <w:r w:rsidRPr="00B918F9">
        <w:rPr>
          <w:rFonts w:ascii="Book Antiqua" w:hAnsi="Book Antiqua" w:cs="Book Antiqua"/>
          <w:sz w:val="24"/>
          <w:szCs w:val="24"/>
        </w:rPr>
        <w:t xml:space="preserve"> </w:t>
      </w:r>
      <w:r w:rsidRPr="00B918F9">
        <w:rPr>
          <w:rFonts w:ascii="Book Antiqua" w:hAnsi="Book Antiqua" w:cs="Book Antiqua"/>
          <w:sz w:val="24"/>
          <w:szCs w:val="24"/>
          <w:lang w:val="en-US"/>
        </w:rPr>
        <w:t>1: S15</w:t>
      </w:r>
    </w:p>
    <w:p w14:paraId="024339FB"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 xml:space="preserve">199 </w:t>
      </w:r>
      <w:r w:rsidRPr="00B918F9">
        <w:rPr>
          <w:rFonts w:ascii="Book Antiqua" w:hAnsi="Book Antiqua" w:cs="Book Antiqua"/>
          <w:b/>
          <w:bCs/>
          <w:sz w:val="24"/>
          <w:szCs w:val="24"/>
          <w:lang w:val="en-US"/>
        </w:rPr>
        <w:t>Vermeire S</w:t>
      </w:r>
      <w:r w:rsidRPr="00B918F9">
        <w:rPr>
          <w:rFonts w:ascii="Book Antiqua" w:hAnsi="Book Antiqua" w:cs="Book Antiqua"/>
          <w:sz w:val="24"/>
          <w:szCs w:val="24"/>
          <w:lang w:val="en-US"/>
        </w:rPr>
        <w:t xml:space="preserve">, Kojecky V, Knoflicek V, Reinisch W, Van Kaem T, Namour F, Beetens J, Vanhoutte F. DOP030. GLPG0974, an FFA2 antagonist, in ulcerative </w:t>
      </w:r>
      <w:r w:rsidRPr="00B918F9">
        <w:rPr>
          <w:rFonts w:ascii="Book Antiqua" w:hAnsi="Book Antiqua" w:cs="Book Antiqua"/>
          <w:sz w:val="24"/>
          <w:szCs w:val="24"/>
          <w:lang w:val="en-US"/>
        </w:rPr>
        <w:lastRenderedPageBreak/>
        <w:t xml:space="preserve">colitis: efficacy and safety in a multicenter proof-of-concept study. </w:t>
      </w:r>
      <w:r w:rsidRPr="00B918F9">
        <w:rPr>
          <w:rFonts w:ascii="Book Antiqua" w:hAnsi="Book Antiqua" w:cs="Book Antiqua"/>
          <w:i/>
          <w:sz w:val="24"/>
          <w:szCs w:val="24"/>
          <w:lang w:val="en-US"/>
        </w:rPr>
        <w:t>J Crohns Colitis</w:t>
      </w:r>
      <w:r w:rsidRPr="00B918F9">
        <w:rPr>
          <w:rFonts w:ascii="Book Antiqua" w:hAnsi="Book Antiqua" w:cs="Book Antiqua"/>
          <w:sz w:val="24"/>
          <w:szCs w:val="24"/>
          <w:lang w:val="en-US"/>
        </w:rPr>
        <w:t xml:space="preserve"> 2015; Suppl 1: S39</w:t>
      </w:r>
    </w:p>
    <w:p w14:paraId="68140608"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200 </w:t>
      </w:r>
      <w:r w:rsidRPr="00B918F9">
        <w:rPr>
          <w:rFonts w:ascii="Book Antiqua" w:hAnsi="Book Antiqua" w:cs="SimSun"/>
          <w:b/>
          <w:bCs/>
          <w:color w:val="000000"/>
          <w:sz w:val="24"/>
          <w:szCs w:val="24"/>
        </w:rPr>
        <w:t>Martínez-Montiel Mdel P</w:t>
      </w:r>
      <w:r w:rsidRPr="00B918F9">
        <w:rPr>
          <w:rFonts w:ascii="Book Antiqua" w:hAnsi="Book Antiqua" w:cs="SimSun"/>
          <w:color w:val="000000"/>
          <w:sz w:val="24"/>
          <w:szCs w:val="24"/>
        </w:rPr>
        <w:t>, Gómez-Gómez GJ, Flores AI. Therapy with stem cells in inflammatory bowel disease. </w:t>
      </w:r>
      <w:r w:rsidRPr="00B918F9">
        <w:rPr>
          <w:rFonts w:ascii="Book Antiqua" w:hAnsi="Book Antiqua" w:cs="SimSun"/>
          <w:i/>
          <w:iCs/>
          <w:color w:val="000000"/>
          <w:sz w:val="24"/>
          <w:szCs w:val="24"/>
        </w:rPr>
        <w:t>World J Gastroenterol</w:t>
      </w:r>
      <w:r w:rsidRPr="00B918F9">
        <w:rPr>
          <w:rFonts w:ascii="Book Antiqua" w:hAnsi="Book Antiqua" w:cs="SimSun"/>
          <w:color w:val="000000"/>
          <w:sz w:val="24"/>
          <w:szCs w:val="24"/>
        </w:rPr>
        <w:t> 2014; </w:t>
      </w:r>
      <w:r w:rsidRPr="00B918F9">
        <w:rPr>
          <w:rFonts w:ascii="Book Antiqua" w:hAnsi="Book Antiqua" w:cs="SimSun"/>
          <w:b/>
          <w:bCs/>
          <w:color w:val="000000"/>
          <w:sz w:val="24"/>
          <w:szCs w:val="24"/>
        </w:rPr>
        <w:t>20</w:t>
      </w:r>
      <w:r w:rsidRPr="00B918F9">
        <w:rPr>
          <w:rFonts w:ascii="Book Antiqua" w:hAnsi="Book Antiqua" w:cs="SimSun"/>
          <w:color w:val="000000"/>
          <w:sz w:val="24"/>
          <w:szCs w:val="24"/>
        </w:rPr>
        <w:t>: 1211-1227 [PMID: 24574796 DOI: 10.3748/wjg.v20.i5.1211]</w:t>
      </w:r>
    </w:p>
    <w:p w14:paraId="6338556C"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201 </w:t>
      </w:r>
      <w:r w:rsidRPr="00B918F9">
        <w:rPr>
          <w:rFonts w:ascii="Book Antiqua" w:hAnsi="Book Antiqua" w:cs="SimSun"/>
          <w:b/>
          <w:bCs/>
          <w:color w:val="000000"/>
          <w:sz w:val="24"/>
          <w:szCs w:val="24"/>
        </w:rPr>
        <w:t>Flores AI</w:t>
      </w:r>
      <w:r w:rsidRPr="00B918F9">
        <w:rPr>
          <w:rFonts w:ascii="Book Antiqua" w:hAnsi="Book Antiqua" w:cs="SimSun"/>
          <w:color w:val="000000"/>
          <w:sz w:val="24"/>
          <w:szCs w:val="24"/>
        </w:rPr>
        <w:t>, Gómez-Gómez GJ, Masedo-González Á, Martínez-Montiel MP. Stem cell therapy in inflammatory bowel disease: A promising therapeutic strategy? </w:t>
      </w:r>
      <w:r w:rsidRPr="00B918F9">
        <w:rPr>
          <w:rFonts w:ascii="Book Antiqua" w:hAnsi="Book Antiqua" w:cs="SimSun"/>
          <w:i/>
          <w:iCs/>
          <w:color w:val="000000"/>
          <w:sz w:val="24"/>
          <w:szCs w:val="24"/>
        </w:rPr>
        <w:t>World J Stem Cells</w:t>
      </w:r>
      <w:r w:rsidRPr="00B918F9">
        <w:rPr>
          <w:rFonts w:ascii="Book Antiqua" w:hAnsi="Book Antiqua" w:cs="SimSun"/>
          <w:color w:val="000000"/>
          <w:sz w:val="24"/>
          <w:szCs w:val="24"/>
        </w:rPr>
        <w:t> 2015; </w:t>
      </w:r>
      <w:r w:rsidRPr="00B918F9">
        <w:rPr>
          <w:rFonts w:ascii="Book Antiqua" w:hAnsi="Book Antiqua" w:cs="SimSun"/>
          <w:b/>
          <w:bCs/>
          <w:color w:val="000000"/>
          <w:sz w:val="24"/>
          <w:szCs w:val="24"/>
        </w:rPr>
        <w:t>7</w:t>
      </w:r>
      <w:r w:rsidRPr="00B918F9">
        <w:rPr>
          <w:rFonts w:ascii="Book Antiqua" w:hAnsi="Book Antiqua" w:cs="SimSun"/>
          <w:color w:val="000000"/>
          <w:sz w:val="24"/>
          <w:szCs w:val="24"/>
        </w:rPr>
        <w:t>: 343-351 [PMID: 25815119 DOI: 10.4252/wjsc.v7.i2.343]</w:t>
      </w:r>
    </w:p>
    <w:p w14:paraId="0331EC07"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202 </w:t>
      </w:r>
      <w:r w:rsidRPr="00B918F9">
        <w:rPr>
          <w:rFonts w:ascii="Book Antiqua" w:hAnsi="Book Antiqua" w:cs="SimSun"/>
          <w:b/>
          <w:bCs/>
          <w:color w:val="000000"/>
          <w:sz w:val="24"/>
          <w:szCs w:val="24"/>
        </w:rPr>
        <w:t>Ng SC</w:t>
      </w:r>
      <w:r w:rsidRPr="00B918F9">
        <w:rPr>
          <w:rFonts w:ascii="Book Antiqua" w:hAnsi="Book Antiqua" w:cs="SimSun"/>
          <w:color w:val="000000"/>
          <w:sz w:val="24"/>
          <w:szCs w:val="24"/>
        </w:rPr>
        <w:t>, Lam YT, Tsoi KK, Chan FK, Sung JJ, Wu JC. Systematic review: the efficacy of herbal therapy in inflammatory bowel disease. </w:t>
      </w:r>
      <w:r w:rsidRPr="00B918F9">
        <w:rPr>
          <w:rFonts w:ascii="Book Antiqua" w:hAnsi="Book Antiqua" w:cs="SimSun"/>
          <w:i/>
          <w:iCs/>
          <w:color w:val="000000"/>
          <w:sz w:val="24"/>
          <w:szCs w:val="24"/>
        </w:rPr>
        <w:t>Aliment Pharmacol Ther</w:t>
      </w:r>
      <w:r w:rsidRPr="00B918F9">
        <w:rPr>
          <w:rFonts w:ascii="Book Antiqua" w:hAnsi="Book Antiqua" w:cs="SimSun"/>
          <w:color w:val="000000"/>
          <w:sz w:val="24"/>
          <w:szCs w:val="24"/>
        </w:rPr>
        <w:t> 2013; </w:t>
      </w:r>
      <w:r w:rsidRPr="00B918F9">
        <w:rPr>
          <w:rFonts w:ascii="Book Antiqua" w:hAnsi="Book Antiqua" w:cs="SimSun"/>
          <w:b/>
          <w:bCs/>
          <w:color w:val="000000"/>
          <w:sz w:val="24"/>
          <w:szCs w:val="24"/>
        </w:rPr>
        <w:t>38</w:t>
      </w:r>
      <w:r w:rsidRPr="00B918F9">
        <w:rPr>
          <w:rFonts w:ascii="Book Antiqua" w:hAnsi="Book Antiqua" w:cs="SimSun"/>
          <w:color w:val="000000"/>
          <w:sz w:val="24"/>
          <w:szCs w:val="24"/>
        </w:rPr>
        <w:t>: 854-863 [PMID: 23981095 DOI: 10.1111/apt.12464]</w:t>
      </w:r>
    </w:p>
    <w:p w14:paraId="2D386937"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203 </w:t>
      </w:r>
      <w:r w:rsidRPr="00B918F9">
        <w:rPr>
          <w:rFonts w:ascii="Book Antiqua" w:hAnsi="Book Antiqua" w:cs="SimSun"/>
          <w:b/>
          <w:bCs/>
          <w:color w:val="000000"/>
          <w:sz w:val="24"/>
          <w:szCs w:val="24"/>
        </w:rPr>
        <w:t>Michelsen KS</w:t>
      </w:r>
      <w:r w:rsidRPr="00B918F9">
        <w:rPr>
          <w:rFonts w:ascii="Book Antiqua" w:hAnsi="Book Antiqua" w:cs="SimSun"/>
          <w:color w:val="000000"/>
          <w:sz w:val="24"/>
          <w:szCs w:val="24"/>
        </w:rPr>
        <w:t>, Wong MH, Ko B, Thomas LS, Dhall D, Targan SR. HMPL-004 (Andrographis paniculata extract) prevents development of murine colitis by inhibiting T-cell proliferation and TH1/TH17 responses. </w:t>
      </w:r>
      <w:r w:rsidRPr="00B918F9">
        <w:rPr>
          <w:rFonts w:ascii="Book Antiqua" w:hAnsi="Book Antiqua" w:cs="SimSun"/>
          <w:i/>
          <w:iCs/>
          <w:color w:val="000000"/>
          <w:sz w:val="24"/>
          <w:szCs w:val="24"/>
        </w:rPr>
        <w:t>Inflamm Bowel Dis</w:t>
      </w:r>
      <w:r w:rsidRPr="00B918F9">
        <w:rPr>
          <w:rFonts w:ascii="Book Antiqua" w:hAnsi="Book Antiqua" w:cs="SimSun"/>
          <w:color w:val="000000"/>
          <w:sz w:val="24"/>
          <w:szCs w:val="24"/>
        </w:rPr>
        <w:t> 2013; </w:t>
      </w:r>
      <w:r w:rsidRPr="00B918F9">
        <w:rPr>
          <w:rFonts w:ascii="Book Antiqua" w:hAnsi="Book Antiqua" w:cs="SimSun"/>
          <w:b/>
          <w:bCs/>
          <w:color w:val="000000"/>
          <w:sz w:val="24"/>
          <w:szCs w:val="24"/>
        </w:rPr>
        <w:t>19</w:t>
      </w:r>
      <w:r w:rsidRPr="00B918F9">
        <w:rPr>
          <w:rFonts w:ascii="Book Antiqua" w:hAnsi="Book Antiqua" w:cs="SimSun"/>
          <w:color w:val="000000"/>
          <w:sz w:val="24"/>
          <w:szCs w:val="24"/>
        </w:rPr>
        <w:t>: 151-164 [PMID: 23292349 DOI: 10.1002/ibd.22983]</w:t>
      </w:r>
    </w:p>
    <w:p w14:paraId="68291DF3"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204 </w:t>
      </w:r>
      <w:r w:rsidRPr="00B918F9">
        <w:rPr>
          <w:rFonts w:ascii="Book Antiqua" w:hAnsi="Book Antiqua" w:cs="SimSun"/>
          <w:b/>
          <w:bCs/>
          <w:color w:val="000000"/>
          <w:sz w:val="24"/>
          <w:szCs w:val="24"/>
        </w:rPr>
        <w:t>Rossen NG</w:t>
      </w:r>
      <w:r w:rsidRPr="00B918F9">
        <w:rPr>
          <w:rFonts w:ascii="Book Antiqua" w:hAnsi="Book Antiqua" w:cs="SimSun"/>
          <w:color w:val="000000"/>
          <w:sz w:val="24"/>
          <w:szCs w:val="24"/>
        </w:rPr>
        <w:t>, MacDonald JK, de Vries EM, D'Haens GR, de Vos WM, Zoetendal EG, Ponsioen CY. Fecal microbiota transplantation as novel therapy in gastroenterology: A systematic review. </w:t>
      </w:r>
      <w:r w:rsidRPr="00B918F9">
        <w:rPr>
          <w:rFonts w:ascii="Book Antiqua" w:hAnsi="Book Antiqua" w:cs="SimSun"/>
          <w:i/>
          <w:iCs/>
          <w:color w:val="000000"/>
          <w:sz w:val="24"/>
          <w:szCs w:val="24"/>
        </w:rPr>
        <w:t>World J Gastroenterol</w:t>
      </w:r>
      <w:r w:rsidRPr="00B918F9">
        <w:rPr>
          <w:rFonts w:ascii="Book Antiqua" w:hAnsi="Book Antiqua" w:cs="SimSun"/>
          <w:color w:val="000000"/>
          <w:sz w:val="24"/>
          <w:szCs w:val="24"/>
        </w:rPr>
        <w:t> 2015; </w:t>
      </w:r>
      <w:r w:rsidRPr="00B918F9">
        <w:rPr>
          <w:rFonts w:ascii="Book Antiqua" w:hAnsi="Book Antiqua" w:cs="SimSun"/>
          <w:b/>
          <w:bCs/>
          <w:color w:val="000000"/>
          <w:sz w:val="24"/>
          <w:szCs w:val="24"/>
        </w:rPr>
        <w:t>21</w:t>
      </w:r>
      <w:r w:rsidRPr="00B918F9">
        <w:rPr>
          <w:rFonts w:ascii="Book Antiqua" w:hAnsi="Book Antiqua" w:cs="SimSun"/>
          <w:color w:val="000000"/>
          <w:sz w:val="24"/>
          <w:szCs w:val="24"/>
        </w:rPr>
        <w:t>: 5359-5371 [PMID: 25954111 DOI: 10.3748/wjg.v21.i17.5359]</w:t>
      </w:r>
    </w:p>
    <w:p w14:paraId="0C6EE240"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205 </w:t>
      </w:r>
      <w:r w:rsidRPr="00B918F9">
        <w:rPr>
          <w:rFonts w:ascii="Book Antiqua" w:hAnsi="Book Antiqua" w:cs="SimSun"/>
          <w:b/>
          <w:bCs/>
          <w:color w:val="000000"/>
          <w:sz w:val="24"/>
          <w:szCs w:val="24"/>
        </w:rPr>
        <w:t>Angelberger S</w:t>
      </w:r>
      <w:r w:rsidRPr="00B918F9">
        <w:rPr>
          <w:rFonts w:ascii="Book Antiqua" w:hAnsi="Book Antiqua" w:cs="SimSun"/>
          <w:color w:val="000000"/>
          <w:sz w:val="24"/>
          <w:szCs w:val="24"/>
        </w:rPr>
        <w:t>, Reinisch W, Makristathis A, Lichtenberger C, Dejaco C, Papay P, Novacek G, Trauner M, Loy A, Berry D. Temporal bacterial community dynamics vary among ulcerative colitis patients after fecal microbiota transplantation. </w:t>
      </w:r>
      <w:r w:rsidRPr="00B918F9">
        <w:rPr>
          <w:rFonts w:ascii="Book Antiqua" w:hAnsi="Book Antiqua" w:cs="SimSun"/>
          <w:i/>
          <w:iCs/>
          <w:color w:val="000000"/>
          <w:sz w:val="24"/>
          <w:szCs w:val="24"/>
        </w:rPr>
        <w:t>Am J Gastroenterol</w:t>
      </w:r>
      <w:r w:rsidRPr="00B918F9">
        <w:rPr>
          <w:rFonts w:ascii="Book Antiqua" w:hAnsi="Book Antiqua" w:cs="SimSun"/>
          <w:color w:val="000000"/>
          <w:sz w:val="24"/>
          <w:szCs w:val="24"/>
        </w:rPr>
        <w:t> 2013; </w:t>
      </w:r>
      <w:r w:rsidRPr="00B918F9">
        <w:rPr>
          <w:rFonts w:ascii="Book Antiqua" w:hAnsi="Book Antiqua" w:cs="SimSun"/>
          <w:b/>
          <w:bCs/>
          <w:color w:val="000000"/>
          <w:sz w:val="24"/>
          <w:szCs w:val="24"/>
        </w:rPr>
        <w:t>108</w:t>
      </w:r>
      <w:r w:rsidRPr="00B918F9">
        <w:rPr>
          <w:rFonts w:ascii="Book Antiqua" w:hAnsi="Book Antiqua" w:cs="SimSun"/>
          <w:color w:val="000000"/>
          <w:sz w:val="24"/>
          <w:szCs w:val="24"/>
        </w:rPr>
        <w:t>: 1620-1630 [PMID: 24060759 DOI: 10.1038/ajg.2013.257]</w:t>
      </w:r>
    </w:p>
    <w:p w14:paraId="14EA651A"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 xml:space="preserve">206 </w:t>
      </w:r>
      <w:r w:rsidRPr="00B918F9">
        <w:rPr>
          <w:rFonts w:ascii="Book Antiqua" w:hAnsi="Book Antiqua" w:cs="SimSun"/>
          <w:b/>
          <w:color w:val="000000"/>
          <w:sz w:val="24"/>
          <w:szCs w:val="24"/>
        </w:rPr>
        <w:t>Vermeire S</w:t>
      </w:r>
      <w:r w:rsidRPr="00B918F9">
        <w:rPr>
          <w:rFonts w:ascii="Book Antiqua" w:hAnsi="Book Antiqua" w:cs="SimSun"/>
          <w:color w:val="000000"/>
          <w:sz w:val="24"/>
          <w:szCs w:val="24"/>
        </w:rPr>
        <w:t xml:space="preserve">, Joossens M, Verbeke K, Hildebrand F, Machiels K, Van den Broeck K, Van Assche G, Paul J. Rutgeerts, Jeroen Raes23. Pilot Study on the Safety and Efficacy of Faecal Microbiota Transplantation in Refractory Crohn. </w:t>
      </w:r>
      <w:r w:rsidRPr="00B918F9">
        <w:rPr>
          <w:rFonts w:ascii="Book Antiqua" w:hAnsi="Book Antiqua" w:cs="SimSun"/>
          <w:i/>
          <w:color w:val="000000"/>
          <w:sz w:val="24"/>
          <w:szCs w:val="24"/>
        </w:rPr>
        <w:t>Gastroenterology</w:t>
      </w:r>
      <w:r w:rsidRPr="00B918F9">
        <w:rPr>
          <w:rFonts w:ascii="Book Antiqua" w:hAnsi="Book Antiqua" w:cs="SimSun"/>
          <w:color w:val="000000"/>
          <w:sz w:val="24"/>
          <w:szCs w:val="24"/>
        </w:rPr>
        <w:t xml:space="preserve"> 2012; </w:t>
      </w:r>
      <w:r w:rsidRPr="00B918F9">
        <w:rPr>
          <w:rFonts w:ascii="Book Antiqua" w:hAnsi="Book Antiqua" w:cs="SimSun"/>
          <w:b/>
          <w:color w:val="000000"/>
          <w:sz w:val="24"/>
          <w:szCs w:val="24"/>
        </w:rPr>
        <w:t>142</w:t>
      </w:r>
      <w:r w:rsidRPr="00B918F9">
        <w:rPr>
          <w:rFonts w:ascii="Book Antiqua" w:hAnsi="Book Antiqua" w:cs="SimSun"/>
          <w:color w:val="000000"/>
          <w:sz w:val="24"/>
          <w:szCs w:val="24"/>
        </w:rPr>
        <w:t xml:space="preserve"> Suppl 5: S360 [DOI: 10.1016/S0016-5085(12)61356-0]</w:t>
      </w:r>
    </w:p>
    <w:p w14:paraId="7F356498"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lastRenderedPageBreak/>
        <w:t xml:space="preserve">207 </w:t>
      </w:r>
      <w:r w:rsidRPr="00B918F9">
        <w:rPr>
          <w:rFonts w:ascii="Book Antiqua" w:hAnsi="Book Antiqua" w:cs="SimSun"/>
          <w:b/>
          <w:color w:val="000000"/>
          <w:sz w:val="24"/>
          <w:szCs w:val="24"/>
        </w:rPr>
        <w:t>Greenberg A</w:t>
      </w:r>
      <w:r w:rsidRPr="00B918F9">
        <w:rPr>
          <w:rFonts w:ascii="Book Antiqua" w:hAnsi="Book Antiqua" w:cs="SimSun"/>
          <w:color w:val="000000"/>
          <w:sz w:val="24"/>
          <w:szCs w:val="24"/>
        </w:rPr>
        <w:t>, Aroniadis O, Shelton C, Brandt LJ. Long-term followup study of fecal microbiota transplantation (FMT) for Inflammatory Bowel Disease (IBD). ACG Annu Sci Meet Abstr 2013; San Diego, EEUU. P1629</w:t>
      </w:r>
    </w:p>
    <w:p w14:paraId="3E61065E"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208 </w:t>
      </w:r>
      <w:r w:rsidRPr="00B918F9">
        <w:rPr>
          <w:rFonts w:ascii="Book Antiqua" w:hAnsi="Book Antiqua" w:cs="SimSun"/>
          <w:b/>
          <w:bCs/>
          <w:color w:val="000000"/>
          <w:sz w:val="24"/>
          <w:szCs w:val="24"/>
        </w:rPr>
        <w:t>Borody TJ</w:t>
      </w:r>
      <w:r w:rsidRPr="00B918F9">
        <w:rPr>
          <w:rFonts w:ascii="Book Antiqua" w:hAnsi="Book Antiqua" w:cs="SimSun"/>
          <w:color w:val="000000"/>
          <w:sz w:val="24"/>
          <w:szCs w:val="24"/>
        </w:rPr>
        <w:t>, Warren EF, Leis S, Surace R, Ashman O. Treatment of ulcerative colitis using fecal bacteriotherapy. </w:t>
      </w:r>
      <w:r w:rsidRPr="00B918F9">
        <w:rPr>
          <w:rFonts w:ascii="Book Antiqua" w:hAnsi="Book Antiqua" w:cs="SimSun"/>
          <w:i/>
          <w:iCs/>
          <w:color w:val="000000"/>
          <w:sz w:val="24"/>
          <w:szCs w:val="24"/>
        </w:rPr>
        <w:t>J Clin Gastroenterol</w:t>
      </w:r>
      <w:r w:rsidRPr="00B918F9">
        <w:rPr>
          <w:rFonts w:ascii="Book Antiqua" w:hAnsi="Book Antiqua" w:cs="SimSun"/>
          <w:color w:val="000000"/>
          <w:sz w:val="24"/>
          <w:szCs w:val="24"/>
        </w:rPr>
        <w:t> 2003; </w:t>
      </w:r>
      <w:r w:rsidRPr="00B918F9">
        <w:rPr>
          <w:rFonts w:ascii="Book Antiqua" w:hAnsi="Book Antiqua" w:cs="SimSun"/>
          <w:b/>
          <w:bCs/>
          <w:color w:val="000000"/>
          <w:sz w:val="24"/>
          <w:szCs w:val="24"/>
        </w:rPr>
        <w:t>37</w:t>
      </w:r>
      <w:r w:rsidRPr="00B918F9">
        <w:rPr>
          <w:rFonts w:ascii="Book Antiqua" w:hAnsi="Book Antiqua" w:cs="SimSun"/>
          <w:color w:val="000000"/>
          <w:sz w:val="24"/>
          <w:szCs w:val="24"/>
        </w:rPr>
        <w:t>: 42-47 [PMID: 12811208 DOI: 10.1097/00004836-200307]</w:t>
      </w:r>
    </w:p>
    <w:p w14:paraId="2B3E1440"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209 </w:t>
      </w:r>
      <w:r w:rsidRPr="00B918F9">
        <w:rPr>
          <w:rFonts w:ascii="Book Antiqua" w:hAnsi="Book Antiqua" w:cs="SimSun"/>
          <w:b/>
          <w:bCs/>
          <w:color w:val="000000"/>
          <w:sz w:val="24"/>
          <w:szCs w:val="24"/>
        </w:rPr>
        <w:t>Kunde S</w:t>
      </w:r>
      <w:r w:rsidRPr="00B918F9">
        <w:rPr>
          <w:rFonts w:ascii="Book Antiqua" w:hAnsi="Book Antiqua" w:cs="SimSun"/>
          <w:color w:val="000000"/>
          <w:sz w:val="24"/>
          <w:szCs w:val="24"/>
        </w:rPr>
        <w:t>, Pham A, Bonczyk S, Crumb T, Duba M, Conrad H, Cloney D, Kugathasan S. Safety, tolerability, and clinical response after fecal transplantation in children and young adults with ulcerative colitis. </w:t>
      </w:r>
      <w:r w:rsidRPr="00B918F9">
        <w:rPr>
          <w:rFonts w:ascii="Book Antiqua" w:hAnsi="Book Antiqua" w:cs="SimSun"/>
          <w:i/>
          <w:iCs/>
          <w:color w:val="000000"/>
          <w:sz w:val="24"/>
          <w:szCs w:val="24"/>
        </w:rPr>
        <w:t>J Pediatr Gastroenterol Nutr</w:t>
      </w:r>
      <w:r w:rsidRPr="00B918F9">
        <w:rPr>
          <w:rFonts w:ascii="Book Antiqua" w:hAnsi="Book Antiqua" w:cs="SimSun"/>
          <w:color w:val="000000"/>
          <w:sz w:val="24"/>
          <w:szCs w:val="24"/>
        </w:rPr>
        <w:t> 2013; </w:t>
      </w:r>
      <w:r w:rsidRPr="00B918F9">
        <w:rPr>
          <w:rFonts w:ascii="Book Antiqua" w:hAnsi="Book Antiqua" w:cs="SimSun"/>
          <w:b/>
          <w:bCs/>
          <w:color w:val="000000"/>
          <w:sz w:val="24"/>
          <w:szCs w:val="24"/>
        </w:rPr>
        <w:t>56</w:t>
      </w:r>
      <w:r w:rsidRPr="00B918F9">
        <w:rPr>
          <w:rFonts w:ascii="Book Antiqua" w:hAnsi="Book Antiqua" w:cs="SimSun"/>
          <w:color w:val="000000"/>
          <w:sz w:val="24"/>
          <w:szCs w:val="24"/>
        </w:rPr>
        <w:t>: 597-601 [PMID: 23542823 DOI: 10.1097/MPG.0b013e318292fa0d]</w:t>
      </w:r>
    </w:p>
    <w:p w14:paraId="079B9566" w14:textId="77777777" w:rsidR="00CE0E43" w:rsidRPr="00B918F9" w:rsidRDefault="00CE0E43" w:rsidP="00954CEE">
      <w:pPr>
        <w:adjustRightInd w:val="0"/>
        <w:snapToGrid w:val="0"/>
        <w:spacing w:after="0" w:line="360" w:lineRule="auto"/>
        <w:jc w:val="both"/>
        <w:rPr>
          <w:rFonts w:ascii="Book Antiqua" w:hAnsi="Book Antiqua" w:cs="SimSun"/>
          <w:color w:val="000000"/>
          <w:sz w:val="24"/>
          <w:szCs w:val="24"/>
        </w:rPr>
      </w:pPr>
      <w:r w:rsidRPr="00B918F9">
        <w:rPr>
          <w:rFonts w:ascii="Book Antiqua" w:hAnsi="Book Antiqua" w:cs="SimSun"/>
          <w:color w:val="000000"/>
          <w:sz w:val="24"/>
          <w:szCs w:val="24"/>
        </w:rPr>
        <w:t>210 </w:t>
      </w:r>
      <w:r w:rsidRPr="00B918F9">
        <w:rPr>
          <w:rFonts w:ascii="Book Antiqua" w:hAnsi="Book Antiqua" w:cs="SimSun"/>
          <w:b/>
          <w:bCs/>
          <w:color w:val="000000"/>
          <w:sz w:val="24"/>
          <w:szCs w:val="24"/>
        </w:rPr>
        <w:t>Kump PK</w:t>
      </w:r>
      <w:r w:rsidRPr="00B918F9">
        <w:rPr>
          <w:rFonts w:ascii="Book Antiqua" w:hAnsi="Book Antiqua" w:cs="SimSun"/>
          <w:color w:val="000000"/>
          <w:sz w:val="24"/>
          <w:szCs w:val="24"/>
        </w:rPr>
        <w:t>, Gröchenig HP, Lackner S, Trajanoski S, Reicht G, Hoffmann KM, Deutschmann A, Wenzl HH, Petritsch W, Krejs GJ, Gorkiewicz G, Högenauer C. Alteration of intestinal dysbiosis by fecal microbiota transplantation does not induce remission in patients with chronic active ulcerative colitis. </w:t>
      </w:r>
      <w:r w:rsidRPr="00B918F9">
        <w:rPr>
          <w:rFonts w:ascii="Book Antiqua" w:hAnsi="Book Antiqua" w:cs="SimSun"/>
          <w:i/>
          <w:iCs/>
          <w:color w:val="000000"/>
          <w:sz w:val="24"/>
          <w:szCs w:val="24"/>
        </w:rPr>
        <w:t>Inflamm Bowel Dis</w:t>
      </w:r>
      <w:r w:rsidRPr="00B918F9">
        <w:rPr>
          <w:rFonts w:ascii="Book Antiqua" w:hAnsi="Book Antiqua" w:cs="SimSun"/>
          <w:color w:val="000000"/>
          <w:sz w:val="24"/>
          <w:szCs w:val="24"/>
        </w:rPr>
        <w:t> 2013; </w:t>
      </w:r>
      <w:r w:rsidRPr="00B918F9">
        <w:rPr>
          <w:rFonts w:ascii="Book Antiqua" w:hAnsi="Book Antiqua" w:cs="SimSun"/>
          <w:b/>
          <w:bCs/>
          <w:color w:val="000000"/>
          <w:sz w:val="24"/>
          <w:szCs w:val="24"/>
        </w:rPr>
        <w:t>19</w:t>
      </w:r>
      <w:r w:rsidRPr="00B918F9">
        <w:rPr>
          <w:rFonts w:ascii="Book Antiqua" w:hAnsi="Book Antiqua" w:cs="SimSun"/>
          <w:color w:val="000000"/>
          <w:sz w:val="24"/>
          <w:szCs w:val="24"/>
        </w:rPr>
        <w:t>: 2155-2165 [PMID: 23899544 DOI: 10.1097/MIB.0b013e31829ea325]</w:t>
      </w:r>
    </w:p>
    <w:p w14:paraId="76BF1BBB" w14:textId="77777777" w:rsidR="00CE0E43" w:rsidRPr="00B918F9" w:rsidRDefault="00CE0E43" w:rsidP="00954CEE">
      <w:pPr>
        <w:adjustRightInd w:val="0"/>
        <w:snapToGrid w:val="0"/>
        <w:spacing w:after="0" w:line="360" w:lineRule="auto"/>
        <w:jc w:val="both"/>
        <w:rPr>
          <w:rFonts w:ascii="Book Antiqua" w:hAnsi="Book Antiqua"/>
          <w:sz w:val="24"/>
          <w:szCs w:val="24"/>
        </w:rPr>
      </w:pPr>
      <w:r w:rsidRPr="00B918F9">
        <w:rPr>
          <w:rFonts w:ascii="Book Antiqua" w:hAnsi="Book Antiqua" w:cs="SimSun"/>
          <w:color w:val="000000"/>
          <w:sz w:val="24"/>
          <w:szCs w:val="24"/>
        </w:rPr>
        <w:t xml:space="preserve">211 </w:t>
      </w:r>
      <w:r w:rsidRPr="00B918F9">
        <w:rPr>
          <w:rFonts w:ascii="Book Antiqua" w:hAnsi="Book Antiqua" w:cs="Book Antiqua"/>
          <w:b/>
          <w:bCs/>
          <w:sz w:val="24"/>
          <w:szCs w:val="24"/>
          <w:lang w:val="en-GB" w:eastAsia="es-ES"/>
        </w:rPr>
        <w:t>Kump PK</w:t>
      </w:r>
      <w:r w:rsidRPr="00B918F9">
        <w:rPr>
          <w:rFonts w:ascii="Book Antiqua" w:hAnsi="Book Antiqua" w:cs="Book Antiqua"/>
          <w:sz w:val="24"/>
          <w:szCs w:val="24"/>
          <w:lang w:val="en-GB" w:eastAsia="es-ES"/>
        </w:rPr>
        <w:t xml:space="preserve">, Gröchenig HP, Spindelböck W, Gorkiewicz G, Wenzl H, Petritsch W, Reicht G. Preliminary clinical results of repeatedly fecal microbiota transplantation (FMT) in chronic active ulcerative colitis. </w:t>
      </w:r>
      <w:r w:rsidRPr="00B918F9">
        <w:rPr>
          <w:rFonts w:ascii="Book Antiqua" w:hAnsi="Book Antiqua" w:cs="Book Antiqua"/>
          <w:i/>
          <w:sz w:val="24"/>
          <w:szCs w:val="24"/>
          <w:lang w:val="en-GB" w:eastAsia="es-ES"/>
        </w:rPr>
        <w:t>United</w:t>
      </w:r>
      <w:r w:rsidRPr="00B918F9">
        <w:rPr>
          <w:rFonts w:ascii="Book Antiqua" w:hAnsi="Book Antiqua" w:cs="Book Antiqua"/>
          <w:sz w:val="24"/>
          <w:szCs w:val="24"/>
          <w:lang w:val="en-GB" w:eastAsia="es-ES"/>
        </w:rPr>
        <w:t xml:space="preserve"> </w:t>
      </w:r>
      <w:r w:rsidRPr="00B918F9">
        <w:rPr>
          <w:rFonts w:ascii="Book Antiqua" w:hAnsi="Book Antiqua" w:cs="Book Antiqua"/>
          <w:i/>
          <w:sz w:val="24"/>
          <w:szCs w:val="24"/>
          <w:lang w:val="en-GB" w:eastAsia="es-ES"/>
        </w:rPr>
        <w:t>European Gastroenterol J</w:t>
      </w:r>
      <w:r w:rsidRPr="00B918F9">
        <w:rPr>
          <w:rFonts w:ascii="Book Antiqua" w:hAnsi="Book Antiqua" w:cs="Book Antiqua"/>
          <w:sz w:val="24"/>
          <w:szCs w:val="24"/>
          <w:lang w:val="en-GB" w:eastAsia="es-ES"/>
        </w:rPr>
        <w:t xml:space="preserve"> 2013; </w:t>
      </w:r>
      <w:r w:rsidRPr="00B918F9">
        <w:rPr>
          <w:rFonts w:ascii="Book Antiqua" w:hAnsi="Book Antiqua" w:cs="Book Antiqua"/>
          <w:b/>
          <w:sz w:val="24"/>
          <w:szCs w:val="24"/>
          <w:lang w:val="en-GB" w:eastAsia="es-ES"/>
        </w:rPr>
        <w:t>1</w:t>
      </w:r>
      <w:r w:rsidRPr="00B918F9">
        <w:rPr>
          <w:rFonts w:ascii="Book Antiqua" w:hAnsi="Book Antiqua" w:cs="Book Antiqua"/>
          <w:sz w:val="24"/>
          <w:szCs w:val="24"/>
          <w:lang w:val="en-GB" w:eastAsia="es-ES"/>
        </w:rPr>
        <w:t xml:space="preserve"> Suppl 1: A57 [DOI: 10.1177/2050640613502899]</w:t>
      </w:r>
    </w:p>
    <w:p w14:paraId="27ADA1C0" w14:textId="77777777" w:rsidR="00CE0E43" w:rsidRDefault="00CE0E43" w:rsidP="00954CEE">
      <w:pPr>
        <w:adjustRightInd w:val="0"/>
        <w:snapToGrid w:val="0"/>
        <w:spacing w:after="0" w:line="360" w:lineRule="auto"/>
        <w:jc w:val="both"/>
        <w:rPr>
          <w:rFonts w:ascii="Book Antiqua" w:hAnsi="Book Antiqua" w:cs="Book Antiqua"/>
          <w:b/>
          <w:bCs/>
          <w:sz w:val="24"/>
          <w:szCs w:val="24"/>
          <w:lang w:val="en-GB" w:eastAsia="zh-CN"/>
        </w:rPr>
      </w:pPr>
    </w:p>
    <w:p w14:paraId="0D28F1E0" w14:textId="14BA91F3" w:rsidR="00CE0E43" w:rsidRDefault="00CE0E43" w:rsidP="00954CEE">
      <w:pPr>
        <w:adjustRightInd w:val="0"/>
        <w:snapToGrid w:val="0"/>
        <w:spacing w:after="0" w:line="360" w:lineRule="auto"/>
        <w:jc w:val="right"/>
        <w:rPr>
          <w:rFonts w:ascii="Book Antiqua" w:hAnsi="Book Antiqua"/>
          <w:b/>
          <w:bCs/>
          <w:sz w:val="24"/>
        </w:rPr>
      </w:pPr>
      <w:r>
        <w:rPr>
          <w:rFonts w:ascii="Book Antiqua" w:hAnsi="Book Antiqua"/>
          <w:b/>
          <w:bCs/>
          <w:sz w:val="24"/>
        </w:rPr>
        <w:t>P-Reviewer:</w:t>
      </w:r>
      <w:r>
        <w:rPr>
          <w:rFonts w:ascii="Book Antiqua" w:hAnsi="Book Antiqua" w:hint="eastAsia"/>
          <w:b/>
          <w:bCs/>
          <w:sz w:val="24"/>
          <w:lang w:eastAsia="zh-CN"/>
        </w:rPr>
        <w:t xml:space="preserve"> </w:t>
      </w:r>
      <w:r w:rsidRPr="00CE0E43">
        <w:rPr>
          <w:rFonts w:ascii="Book Antiqua" w:hAnsi="Book Antiqua"/>
          <w:bCs/>
          <w:sz w:val="24"/>
        </w:rPr>
        <w:t>Lakatos</w:t>
      </w:r>
      <w:r w:rsidRPr="00CE0E43">
        <w:rPr>
          <w:rFonts w:ascii="Book Antiqua" w:hAnsi="Book Antiqua" w:hint="eastAsia"/>
          <w:bCs/>
          <w:sz w:val="24"/>
          <w:lang w:eastAsia="zh-CN"/>
        </w:rPr>
        <w:t xml:space="preserve"> PL, </w:t>
      </w:r>
      <w:r w:rsidRPr="00CE0E43">
        <w:rPr>
          <w:rFonts w:ascii="Book Antiqua" w:hAnsi="Book Antiqua"/>
          <w:bCs/>
          <w:sz w:val="24"/>
          <w:lang w:eastAsia="zh-CN"/>
        </w:rPr>
        <w:t>Marie</w:t>
      </w:r>
      <w:r w:rsidRPr="00CE0E43">
        <w:rPr>
          <w:rFonts w:ascii="Book Antiqua" w:hAnsi="Book Antiqua" w:hint="eastAsia"/>
          <w:bCs/>
          <w:sz w:val="24"/>
          <w:lang w:eastAsia="zh-CN"/>
        </w:rPr>
        <w:t xml:space="preserve"> JC</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14:paraId="23EA0567"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GB" w:eastAsia="es-ES"/>
        </w:rPr>
      </w:pPr>
    </w:p>
    <w:p w14:paraId="63DE037A"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GB" w:eastAsia="es-ES"/>
        </w:rPr>
      </w:pPr>
    </w:p>
    <w:p w14:paraId="57384EF6"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GB" w:eastAsia="es-ES"/>
        </w:rPr>
      </w:pPr>
    </w:p>
    <w:p w14:paraId="263A25EF" w14:textId="7BCE19E2" w:rsidR="00CE0E43" w:rsidRDefault="00CE0E43" w:rsidP="00954CEE">
      <w:pPr>
        <w:autoSpaceDE w:val="0"/>
        <w:autoSpaceDN w:val="0"/>
        <w:adjustRightInd w:val="0"/>
        <w:snapToGrid w:val="0"/>
        <w:spacing w:after="0" w:line="360" w:lineRule="auto"/>
        <w:jc w:val="both"/>
        <w:rPr>
          <w:rFonts w:ascii="Book Antiqua" w:hAnsi="Book Antiqua" w:cs="Book Antiqua"/>
          <w:sz w:val="24"/>
          <w:szCs w:val="24"/>
          <w:lang w:val="en-US"/>
        </w:rPr>
      </w:pPr>
      <w:r>
        <w:rPr>
          <w:rFonts w:ascii="Book Antiqua" w:hAnsi="Book Antiqua" w:cs="Book Antiqua"/>
          <w:sz w:val="24"/>
          <w:szCs w:val="24"/>
          <w:lang w:val="en-US"/>
        </w:rPr>
        <w:br w:type="page"/>
      </w:r>
    </w:p>
    <w:p w14:paraId="3F788C68" w14:textId="53E38517" w:rsidR="006138C7" w:rsidRPr="009046D6" w:rsidRDefault="00CE0E43" w:rsidP="00954CEE">
      <w:pPr>
        <w:autoSpaceDE w:val="0"/>
        <w:autoSpaceDN w:val="0"/>
        <w:adjustRightInd w:val="0"/>
        <w:snapToGrid w:val="0"/>
        <w:spacing w:after="0" w:line="360" w:lineRule="auto"/>
        <w:jc w:val="both"/>
        <w:rPr>
          <w:rFonts w:ascii="Book Antiqua" w:hAnsi="Book Antiqua" w:cs="Book Antiqua"/>
          <w:b/>
          <w:sz w:val="24"/>
          <w:szCs w:val="24"/>
          <w:lang w:val="en-US" w:eastAsia="zh-CN"/>
        </w:rPr>
      </w:pPr>
      <w:r w:rsidRPr="009046D6">
        <w:rPr>
          <w:rFonts w:ascii="Book Antiqua" w:hAnsi="Book Antiqua" w:cs="Book Antiqua"/>
          <w:b/>
          <w:sz w:val="24"/>
          <w:szCs w:val="24"/>
          <w:lang w:val="en-US"/>
        </w:rPr>
        <w:lastRenderedPageBreak/>
        <w:t>Table 1</w:t>
      </w:r>
      <w:r w:rsidRPr="009046D6">
        <w:rPr>
          <w:rFonts w:ascii="Book Antiqua" w:hAnsi="Book Antiqua" w:cs="Book Antiqua" w:hint="eastAsia"/>
          <w:b/>
          <w:sz w:val="24"/>
          <w:szCs w:val="24"/>
          <w:lang w:val="en-US" w:eastAsia="zh-CN"/>
        </w:rPr>
        <w:t xml:space="preserve"> </w:t>
      </w:r>
      <w:r w:rsidR="006138C7" w:rsidRPr="009046D6">
        <w:rPr>
          <w:rFonts w:ascii="Book Antiqua" w:hAnsi="Book Antiqua" w:cs="Book Antiqua"/>
          <w:b/>
          <w:caps/>
          <w:sz w:val="24"/>
          <w:szCs w:val="24"/>
          <w:lang w:val="en-US"/>
        </w:rPr>
        <w:t>a</w:t>
      </w:r>
      <w:r w:rsidR="006138C7" w:rsidRPr="009046D6">
        <w:rPr>
          <w:rFonts w:ascii="Book Antiqua" w:hAnsi="Book Antiqua" w:cs="Book Antiqua"/>
          <w:b/>
          <w:sz w:val="24"/>
          <w:szCs w:val="24"/>
          <w:lang w:val="en-US"/>
        </w:rPr>
        <w:t xml:space="preserve">zatioprine treatment basis of individuals </w:t>
      </w:r>
      <w:r w:rsidR="009046D6" w:rsidRPr="009046D6">
        <w:rPr>
          <w:rFonts w:ascii="Book Antiqua" w:hAnsi="Book Antiqua" w:cs="Book Antiqua"/>
          <w:b/>
          <w:sz w:val="24"/>
          <w:szCs w:val="24"/>
          <w:lang w:val="en-US"/>
        </w:rPr>
        <w:t xml:space="preserve">thiopurine methyltransferase </w:t>
      </w:r>
      <w:r w:rsidR="009046D6">
        <w:rPr>
          <w:rFonts w:ascii="Book Antiqua" w:hAnsi="Book Antiqua" w:cs="Book Antiqua"/>
          <w:b/>
          <w:sz w:val="24"/>
          <w:szCs w:val="24"/>
          <w:lang w:val="en-US"/>
        </w:rPr>
        <w:t>status</w:t>
      </w:r>
    </w:p>
    <w:tbl>
      <w:tblPr>
        <w:tblW w:w="0" w:type="auto"/>
        <w:tblBorders>
          <w:top w:val="single" w:sz="4" w:space="0" w:color="auto"/>
          <w:bottom w:val="single" w:sz="4" w:space="0" w:color="auto"/>
        </w:tblBorders>
        <w:tblLook w:val="00A0" w:firstRow="1" w:lastRow="0" w:firstColumn="1" w:lastColumn="0" w:noHBand="0" w:noVBand="0"/>
      </w:tblPr>
      <w:tblGrid>
        <w:gridCol w:w="2881"/>
        <w:gridCol w:w="2881"/>
        <w:gridCol w:w="2882"/>
      </w:tblGrid>
      <w:tr w:rsidR="006138C7" w:rsidRPr="00390EBD" w14:paraId="4FAAD471" w14:textId="77777777" w:rsidTr="009046D6">
        <w:tc>
          <w:tcPr>
            <w:tcW w:w="2881" w:type="dxa"/>
            <w:tcBorders>
              <w:top w:val="single" w:sz="4" w:space="0" w:color="auto"/>
              <w:bottom w:val="single" w:sz="4" w:space="0" w:color="auto"/>
            </w:tcBorders>
          </w:tcPr>
          <w:p w14:paraId="0EAF488D"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b/>
                <w:bCs/>
                <w:sz w:val="24"/>
                <w:szCs w:val="24"/>
                <w:lang w:val="en-US"/>
              </w:rPr>
            </w:pPr>
          </w:p>
          <w:p w14:paraId="757F09BC"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b/>
                <w:bCs/>
                <w:sz w:val="24"/>
                <w:szCs w:val="24"/>
              </w:rPr>
            </w:pPr>
            <w:r w:rsidRPr="00390EBD">
              <w:rPr>
                <w:rFonts w:ascii="Book Antiqua" w:hAnsi="Book Antiqua" w:cs="Book Antiqua"/>
                <w:b/>
                <w:bCs/>
                <w:sz w:val="24"/>
                <w:szCs w:val="24"/>
              </w:rPr>
              <w:t>TMPT genotype</w:t>
            </w:r>
          </w:p>
        </w:tc>
        <w:tc>
          <w:tcPr>
            <w:tcW w:w="2881" w:type="dxa"/>
            <w:tcBorders>
              <w:top w:val="single" w:sz="4" w:space="0" w:color="auto"/>
              <w:bottom w:val="single" w:sz="4" w:space="0" w:color="auto"/>
            </w:tcBorders>
          </w:tcPr>
          <w:p w14:paraId="25A55A33"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b/>
                <w:bCs/>
                <w:sz w:val="24"/>
                <w:szCs w:val="24"/>
                <w:lang w:val="en-US"/>
              </w:rPr>
            </w:pPr>
            <w:r w:rsidRPr="00390EBD">
              <w:rPr>
                <w:rFonts w:ascii="Book Antiqua" w:hAnsi="Book Antiqua" w:cs="Book Antiqua"/>
                <w:b/>
                <w:bCs/>
                <w:sz w:val="24"/>
                <w:szCs w:val="24"/>
                <w:lang w:val="en-US"/>
              </w:rPr>
              <w:t>TPMT fenotype (activity) (pmol/mgHb)</w:t>
            </w:r>
          </w:p>
        </w:tc>
        <w:tc>
          <w:tcPr>
            <w:tcW w:w="2882" w:type="dxa"/>
            <w:tcBorders>
              <w:top w:val="single" w:sz="4" w:space="0" w:color="auto"/>
              <w:bottom w:val="single" w:sz="4" w:space="0" w:color="auto"/>
            </w:tcBorders>
          </w:tcPr>
          <w:p w14:paraId="53821564"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b/>
                <w:bCs/>
                <w:sz w:val="24"/>
                <w:szCs w:val="24"/>
                <w:lang w:val="en-US"/>
              </w:rPr>
            </w:pPr>
          </w:p>
          <w:p w14:paraId="407B8661"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b/>
                <w:bCs/>
                <w:sz w:val="24"/>
                <w:szCs w:val="24"/>
              </w:rPr>
            </w:pPr>
            <w:r w:rsidRPr="00390EBD">
              <w:rPr>
                <w:rFonts w:ascii="Book Antiqua" w:hAnsi="Book Antiqua" w:cs="Book Antiqua"/>
                <w:b/>
                <w:bCs/>
                <w:sz w:val="24"/>
                <w:szCs w:val="24"/>
              </w:rPr>
              <w:t>Treatment dosis</w:t>
            </w:r>
          </w:p>
          <w:p w14:paraId="5DDF040A"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b/>
                <w:bCs/>
                <w:sz w:val="24"/>
                <w:szCs w:val="24"/>
              </w:rPr>
            </w:pPr>
            <w:r w:rsidRPr="00390EBD">
              <w:rPr>
                <w:rFonts w:ascii="Book Antiqua" w:hAnsi="Book Antiqua" w:cs="Book Antiqua"/>
                <w:b/>
                <w:bCs/>
                <w:sz w:val="24"/>
                <w:szCs w:val="24"/>
              </w:rPr>
              <w:t>(mg/kg)</w:t>
            </w:r>
          </w:p>
        </w:tc>
      </w:tr>
      <w:tr w:rsidR="006138C7" w:rsidRPr="00390EBD" w14:paraId="7A8D312D" w14:textId="77777777" w:rsidTr="009046D6">
        <w:tc>
          <w:tcPr>
            <w:tcW w:w="2881" w:type="dxa"/>
            <w:tcBorders>
              <w:top w:val="single" w:sz="4" w:space="0" w:color="auto"/>
            </w:tcBorders>
          </w:tcPr>
          <w:p w14:paraId="67A4C099"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p>
          <w:p w14:paraId="367DADB6"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Homozygous</w:t>
            </w:r>
          </w:p>
        </w:tc>
        <w:tc>
          <w:tcPr>
            <w:tcW w:w="2881" w:type="dxa"/>
            <w:tcBorders>
              <w:top w:val="single" w:sz="4" w:space="0" w:color="auto"/>
            </w:tcBorders>
          </w:tcPr>
          <w:p w14:paraId="0E7DE9D3"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p>
          <w:p w14:paraId="0F7FFACE"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&lt; 10</w:t>
            </w:r>
          </w:p>
        </w:tc>
        <w:tc>
          <w:tcPr>
            <w:tcW w:w="2882" w:type="dxa"/>
            <w:tcBorders>
              <w:top w:val="single" w:sz="4" w:space="0" w:color="auto"/>
            </w:tcBorders>
          </w:tcPr>
          <w:p w14:paraId="3BC55853"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p>
          <w:p w14:paraId="1CDA376E" w14:textId="7187E3AF"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Avoid or consider</w:t>
            </w:r>
            <w:r w:rsidR="00D95AD7">
              <w:rPr>
                <w:rFonts w:ascii="Book Antiqua" w:hAnsi="Book Antiqua" w:cs="Book Antiqua"/>
                <w:sz w:val="24"/>
                <w:szCs w:val="24"/>
              </w:rPr>
              <w:t xml:space="preserve"> </w:t>
            </w:r>
            <w:r w:rsidRPr="00390EBD">
              <w:rPr>
                <w:rFonts w:ascii="Book Antiqua" w:hAnsi="Book Antiqua" w:cs="Book Antiqua"/>
                <w:sz w:val="24"/>
                <w:szCs w:val="24"/>
              </w:rPr>
              <w:t>0</w:t>
            </w:r>
            <w:r w:rsidR="009046D6">
              <w:rPr>
                <w:rFonts w:ascii="Book Antiqua" w:hAnsi="Book Antiqua" w:cs="Book Antiqua" w:hint="eastAsia"/>
                <w:sz w:val="24"/>
                <w:szCs w:val="24"/>
                <w:lang w:eastAsia="zh-CN"/>
              </w:rPr>
              <w:t>.</w:t>
            </w:r>
            <w:r w:rsidRPr="00390EBD">
              <w:rPr>
                <w:rFonts w:ascii="Book Antiqua" w:hAnsi="Book Antiqua" w:cs="Book Antiqua"/>
                <w:sz w:val="24"/>
                <w:szCs w:val="24"/>
              </w:rPr>
              <w:t>1-0</w:t>
            </w:r>
            <w:r w:rsidR="009046D6">
              <w:rPr>
                <w:rFonts w:ascii="Book Antiqua" w:hAnsi="Book Antiqua" w:cs="Book Antiqua" w:hint="eastAsia"/>
                <w:sz w:val="24"/>
                <w:szCs w:val="24"/>
                <w:lang w:eastAsia="zh-CN"/>
              </w:rPr>
              <w:t>.</w:t>
            </w:r>
            <w:r w:rsidRPr="00390EBD">
              <w:rPr>
                <w:rFonts w:ascii="Book Antiqua" w:hAnsi="Book Antiqua" w:cs="Book Antiqua"/>
                <w:sz w:val="24"/>
                <w:szCs w:val="24"/>
              </w:rPr>
              <w:t>2</w:t>
            </w:r>
          </w:p>
        </w:tc>
      </w:tr>
      <w:tr w:rsidR="006138C7" w:rsidRPr="00390EBD" w14:paraId="7E39BEAA" w14:textId="77777777" w:rsidTr="009046D6">
        <w:tc>
          <w:tcPr>
            <w:tcW w:w="2881" w:type="dxa"/>
          </w:tcPr>
          <w:p w14:paraId="15A490B9"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p>
          <w:p w14:paraId="6550C8F8"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Heterozygous</w:t>
            </w:r>
          </w:p>
          <w:p w14:paraId="673AC209"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p>
        </w:tc>
        <w:tc>
          <w:tcPr>
            <w:tcW w:w="2881" w:type="dxa"/>
          </w:tcPr>
          <w:p w14:paraId="5432BB58"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p>
          <w:p w14:paraId="394A0446"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10-24</w:t>
            </w:r>
          </w:p>
        </w:tc>
        <w:tc>
          <w:tcPr>
            <w:tcW w:w="2882" w:type="dxa"/>
          </w:tcPr>
          <w:p w14:paraId="6792BB15"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p>
          <w:p w14:paraId="032003AD" w14:textId="1E9E6EAA"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1-1</w:t>
            </w:r>
            <w:r w:rsidR="009046D6">
              <w:rPr>
                <w:rFonts w:ascii="Book Antiqua" w:hAnsi="Book Antiqua" w:cs="Book Antiqua" w:hint="eastAsia"/>
                <w:sz w:val="24"/>
                <w:szCs w:val="24"/>
                <w:lang w:eastAsia="zh-CN"/>
              </w:rPr>
              <w:t>.</w:t>
            </w:r>
            <w:r w:rsidRPr="00390EBD">
              <w:rPr>
                <w:rFonts w:ascii="Book Antiqua" w:hAnsi="Book Antiqua" w:cs="Book Antiqua"/>
                <w:sz w:val="24"/>
                <w:szCs w:val="24"/>
              </w:rPr>
              <w:t>5</w:t>
            </w:r>
          </w:p>
        </w:tc>
      </w:tr>
      <w:tr w:rsidR="006138C7" w:rsidRPr="00390EBD" w14:paraId="346A1F41" w14:textId="77777777" w:rsidTr="009046D6">
        <w:tc>
          <w:tcPr>
            <w:tcW w:w="2881" w:type="dxa"/>
          </w:tcPr>
          <w:p w14:paraId="08547028"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p>
          <w:p w14:paraId="2A5F6468" w14:textId="626D0843"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 xml:space="preserve">Wild </w:t>
            </w:r>
            <w:r w:rsidR="009046D6" w:rsidRPr="00390EBD">
              <w:rPr>
                <w:rFonts w:ascii="Book Antiqua" w:hAnsi="Book Antiqua" w:cs="Book Antiqua"/>
                <w:sz w:val="24"/>
                <w:szCs w:val="24"/>
              </w:rPr>
              <w:t>t</w:t>
            </w:r>
            <w:r w:rsidRPr="00390EBD">
              <w:rPr>
                <w:rFonts w:ascii="Book Antiqua" w:hAnsi="Book Antiqua" w:cs="Book Antiqua"/>
                <w:sz w:val="24"/>
                <w:szCs w:val="24"/>
              </w:rPr>
              <w:t>ype (Normal)</w:t>
            </w:r>
          </w:p>
          <w:p w14:paraId="289BB443"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p>
        </w:tc>
        <w:tc>
          <w:tcPr>
            <w:tcW w:w="2881" w:type="dxa"/>
          </w:tcPr>
          <w:p w14:paraId="785F36F1"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p>
          <w:p w14:paraId="77CBBC20"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25-35</w:t>
            </w:r>
          </w:p>
        </w:tc>
        <w:tc>
          <w:tcPr>
            <w:tcW w:w="2882" w:type="dxa"/>
          </w:tcPr>
          <w:p w14:paraId="5DFD0C23"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p>
          <w:p w14:paraId="4FC785F0" w14:textId="3997FFCD"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2-2</w:t>
            </w:r>
            <w:r w:rsidR="009046D6">
              <w:rPr>
                <w:rFonts w:ascii="Book Antiqua" w:hAnsi="Book Antiqua" w:cs="Book Antiqua" w:hint="eastAsia"/>
                <w:sz w:val="24"/>
                <w:szCs w:val="24"/>
                <w:lang w:eastAsia="zh-CN"/>
              </w:rPr>
              <w:t>.</w:t>
            </w:r>
            <w:r w:rsidRPr="00390EBD">
              <w:rPr>
                <w:rFonts w:ascii="Book Antiqua" w:hAnsi="Book Antiqua" w:cs="Book Antiqua"/>
                <w:sz w:val="24"/>
                <w:szCs w:val="24"/>
              </w:rPr>
              <w:t>5</w:t>
            </w:r>
          </w:p>
        </w:tc>
      </w:tr>
      <w:tr w:rsidR="006138C7" w:rsidRPr="00390EBD" w14:paraId="2022B3AE" w14:textId="77777777" w:rsidTr="009046D6">
        <w:tc>
          <w:tcPr>
            <w:tcW w:w="2881" w:type="dxa"/>
          </w:tcPr>
          <w:p w14:paraId="663DDCFF"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p>
          <w:p w14:paraId="6E54216A" w14:textId="6ED0FED2"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 xml:space="preserve">Wild </w:t>
            </w:r>
            <w:r w:rsidR="009046D6" w:rsidRPr="00390EBD">
              <w:rPr>
                <w:rFonts w:ascii="Book Antiqua" w:hAnsi="Book Antiqua" w:cs="Book Antiqua"/>
                <w:sz w:val="24"/>
                <w:szCs w:val="24"/>
              </w:rPr>
              <w:t>t</w:t>
            </w:r>
            <w:r w:rsidRPr="00390EBD">
              <w:rPr>
                <w:rFonts w:ascii="Book Antiqua" w:hAnsi="Book Antiqua" w:cs="Book Antiqua"/>
                <w:sz w:val="24"/>
                <w:szCs w:val="24"/>
              </w:rPr>
              <w:t>ype (High)</w:t>
            </w:r>
          </w:p>
          <w:p w14:paraId="2C92C63C"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p>
        </w:tc>
        <w:tc>
          <w:tcPr>
            <w:tcW w:w="2881" w:type="dxa"/>
          </w:tcPr>
          <w:p w14:paraId="15CBC6D6"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p>
          <w:p w14:paraId="4597CDD1" w14:textId="19AA416C"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&gt;</w:t>
            </w:r>
            <w:r w:rsidR="009046D6">
              <w:rPr>
                <w:rFonts w:ascii="Book Antiqua" w:hAnsi="Book Antiqua" w:cs="Book Antiqua" w:hint="eastAsia"/>
                <w:sz w:val="24"/>
                <w:szCs w:val="24"/>
                <w:lang w:eastAsia="zh-CN"/>
              </w:rPr>
              <w:t xml:space="preserve"> </w:t>
            </w:r>
            <w:r w:rsidRPr="00390EBD">
              <w:rPr>
                <w:rFonts w:ascii="Book Antiqua" w:hAnsi="Book Antiqua" w:cs="Book Antiqua"/>
                <w:sz w:val="24"/>
                <w:szCs w:val="24"/>
              </w:rPr>
              <w:t>35</w:t>
            </w:r>
          </w:p>
        </w:tc>
        <w:tc>
          <w:tcPr>
            <w:tcW w:w="2882" w:type="dxa"/>
          </w:tcPr>
          <w:p w14:paraId="6BBFAF1A"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p>
          <w:p w14:paraId="33AD7307" w14:textId="2172786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0</w:t>
            </w:r>
            <w:r w:rsidR="009046D6">
              <w:rPr>
                <w:rFonts w:ascii="Book Antiqua" w:hAnsi="Book Antiqua" w:cs="Book Antiqua" w:hint="eastAsia"/>
                <w:sz w:val="24"/>
                <w:szCs w:val="24"/>
                <w:lang w:eastAsia="zh-CN"/>
              </w:rPr>
              <w:t>.</w:t>
            </w:r>
            <w:r w:rsidRPr="00390EBD">
              <w:rPr>
                <w:rFonts w:ascii="Book Antiqua" w:hAnsi="Book Antiqua" w:cs="Book Antiqua"/>
                <w:sz w:val="24"/>
                <w:szCs w:val="24"/>
              </w:rPr>
              <w:t>5 + 100 mg Allopurinol</w:t>
            </w:r>
          </w:p>
        </w:tc>
      </w:tr>
    </w:tbl>
    <w:p w14:paraId="6E53CF68" w14:textId="2BA2A540" w:rsidR="006138C7" w:rsidRPr="00390EBD" w:rsidRDefault="009046D6" w:rsidP="00954CEE">
      <w:pPr>
        <w:autoSpaceDE w:val="0"/>
        <w:autoSpaceDN w:val="0"/>
        <w:adjustRightInd w:val="0"/>
        <w:snapToGrid w:val="0"/>
        <w:spacing w:after="0" w:line="360" w:lineRule="auto"/>
        <w:jc w:val="both"/>
        <w:rPr>
          <w:rFonts w:ascii="Book Antiqua" w:hAnsi="Book Antiqua" w:cs="Book Antiqua"/>
          <w:sz w:val="24"/>
          <w:szCs w:val="24"/>
          <w:lang w:val="en-GB" w:eastAsia="zh-CN"/>
        </w:rPr>
      </w:pPr>
      <w:r w:rsidRPr="009046D6">
        <w:rPr>
          <w:rFonts w:ascii="Book Antiqua" w:hAnsi="Book Antiqua" w:cs="Book Antiqua"/>
          <w:sz w:val="24"/>
          <w:szCs w:val="24"/>
          <w:lang w:val="en-US"/>
        </w:rPr>
        <w:t>TMPT</w:t>
      </w:r>
      <w:r>
        <w:rPr>
          <w:rFonts w:ascii="Book Antiqua" w:hAnsi="Book Antiqua" w:cs="Book Antiqua" w:hint="eastAsia"/>
          <w:sz w:val="24"/>
          <w:szCs w:val="24"/>
          <w:lang w:val="en-US" w:eastAsia="zh-CN"/>
        </w:rPr>
        <w:t>:</w:t>
      </w:r>
      <w:r w:rsidRPr="009046D6">
        <w:rPr>
          <w:rFonts w:ascii="Book Antiqua" w:hAnsi="Book Antiqua" w:cs="Book Antiqua"/>
          <w:sz w:val="24"/>
          <w:szCs w:val="24"/>
          <w:lang w:val="en-US"/>
        </w:rPr>
        <w:t xml:space="preserve"> </w:t>
      </w:r>
      <w:r w:rsidRPr="009046D6">
        <w:rPr>
          <w:rFonts w:ascii="Book Antiqua" w:hAnsi="Book Antiqua" w:cs="Book Antiqua"/>
          <w:caps/>
          <w:sz w:val="24"/>
          <w:szCs w:val="24"/>
          <w:lang w:val="en-US"/>
        </w:rPr>
        <w:t>t</w:t>
      </w:r>
      <w:r w:rsidRPr="00390EBD">
        <w:rPr>
          <w:rFonts w:ascii="Book Antiqua" w:hAnsi="Book Antiqua" w:cs="Book Antiqua"/>
          <w:sz w:val="24"/>
          <w:szCs w:val="24"/>
          <w:lang w:val="en-US"/>
        </w:rPr>
        <w:t>hiopurine methyltransferase</w:t>
      </w:r>
      <w:r>
        <w:rPr>
          <w:rFonts w:ascii="Book Antiqua" w:hAnsi="Book Antiqua" w:cs="Book Antiqua" w:hint="eastAsia"/>
          <w:sz w:val="24"/>
          <w:szCs w:val="24"/>
          <w:lang w:val="en-US" w:eastAsia="zh-CN"/>
        </w:rPr>
        <w:t>.</w:t>
      </w:r>
    </w:p>
    <w:p w14:paraId="2048C7A3"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eastAsia="es-ES"/>
        </w:rPr>
      </w:pPr>
    </w:p>
    <w:p w14:paraId="231F7FA0"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eastAsia="es-ES"/>
        </w:rPr>
      </w:pPr>
    </w:p>
    <w:p w14:paraId="0A6FD493"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eastAsia="es-ES"/>
        </w:rPr>
      </w:pPr>
    </w:p>
    <w:p w14:paraId="7F3ACEC2"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eastAsia="es-ES"/>
        </w:rPr>
      </w:pPr>
    </w:p>
    <w:p w14:paraId="0E1AF3FF"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eastAsia="es-ES"/>
        </w:rPr>
      </w:pPr>
    </w:p>
    <w:p w14:paraId="3B0F3981"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eastAsia="es-ES"/>
        </w:rPr>
      </w:pPr>
    </w:p>
    <w:p w14:paraId="521DE8B9"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eastAsia="es-ES"/>
        </w:rPr>
      </w:pPr>
    </w:p>
    <w:p w14:paraId="6075D965"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eastAsia="es-ES"/>
        </w:rPr>
      </w:pPr>
    </w:p>
    <w:p w14:paraId="2421EFE1"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eastAsia="es-ES"/>
        </w:rPr>
      </w:pPr>
    </w:p>
    <w:p w14:paraId="44FC4BB3"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eastAsia="es-ES"/>
        </w:rPr>
      </w:pPr>
    </w:p>
    <w:p w14:paraId="1DF0FE60"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eastAsia="es-ES"/>
        </w:rPr>
      </w:pPr>
    </w:p>
    <w:p w14:paraId="415B7561" w14:textId="6FFCC893" w:rsidR="009046D6" w:rsidRDefault="009046D6" w:rsidP="00954CEE">
      <w:pPr>
        <w:autoSpaceDE w:val="0"/>
        <w:autoSpaceDN w:val="0"/>
        <w:adjustRightInd w:val="0"/>
        <w:snapToGrid w:val="0"/>
        <w:spacing w:after="0" w:line="360" w:lineRule="auto"/>
        <w:jc w:val="both"/>
        <w:rPr>
          <w:rFonts w:ascii="Book Antiqua" w:hAnsi="Book Antiqua" w:cs="Book Antiqua"/>
          <w:sz w:val="24"/>
          <w:szCs w:val="24"/>
          <w:lang w:val="en-US" w:eastAsia="es-ES"/>
        </w:rPr>
      </w:pPr>
      <w:r>
        <w:rPr>
          <w:rFonts w:ascii="Book Antiqua" w:hAnsi="Book Antiqua" w:cs="Book Antiqua"/>
          <w:sz w:val="24"/>
          <w:szCs w:val="24"/>
          <w:lang w:val="en-US" w:eastAsia="es-ES"/>
        </w:rPr>
        <w:br w:type="page"/>
      </w:r>
    </w:p>
    <w:p w14:paraId="6CB2CF2B" w14:textId="158B5F93" w:rsidR="006138C7" w:rsidRPr="009046D6" w:rsidRDefault="009046D6" w:rsidP="00954CEE">
      <w:pPr>
        <w:autoSpaceDE w:val="0"/>
        <w:autoSpaceDN w:val="0"/>
        <w:adjustRightInd w:val="0"/>
        <w:snapToGrid w:val="0"/>
        <w:spacing w:after="0" w:line="360" w:lineRule="auto"/>
        <w:jc w:val="both"/>
        <w:rPr>
          <w:rFonts w:ascii="Book Antiqua" w:hAnsi="Book Antiqua" w:cs="Book Antiqua"/>
          <w:b/>
          <w:sz w:val="24"/>
          <w:szCs w:val="24"/>
          <w:lang w:val="en-US" w:eastAsia="es-ES"/>
        </w:rPr>
      </w:pPr>
      <w:r w:rsidRPr="009046D6">
        <w:rPr>
          <w:rFonts w:ascii="Book Antiqua" w:hAnsi="Book Antiqua" w:cs="Book Antiqua"/>
          <w:b/>
          <w:sz w:val="24"/>
          <w:szCs w:val="24"/>
          <w:lang w:val="en-US" w:eastAsia="es-ES"/>
        </w:rPr>
        <w:lastRenderedPageBreak/>
        <w:t>Table 2</w:t>
      </w:r>
      <w:r w:rsidR="006138C7" w:rsidRPr="009046D6">
        <w:rPr>
          <w:rFonts w:ascii="Book Antiqua" w:hAnsi="Book Antiqua" w:cs="Book Antiqua"/>
          <w:b/>
          <w:sz w:val="24"/>
          <w:szCs w:val="24"/>
          <w:lang w:val="en-US" w:eastAsia="es-ES"/>
        </w:rPr>
        <w:t xml:space="preserve"> Genetic association studies of adverse events secondary to azathioprine</w:t>
      </w:r>
      <w:r w:rsidR="00D95AD7" w:rsidRPr="009046D6">
        <w:rPr>
          <w:rFonts w:ascii="Book Antiqua" w:hAnsi="Book Antiqua" w:cs="Book Antiqua"/>
          <w:b/>
          <w:sz w:val="24"/>
          <w:szCs w:val="24"/>
          <w:lang w:val="en-US" w:eastAsia="es-ES"/>
        </w:rPr>
        <w:t xml:space="preserve"> </w:t>
      </w:r>
      <w:r w:rsidR="006138C7" w:rsidRPr="009046D6">
        <w:rPr>
          <w:rFonts w:ascii="Book Antiqua" w:hAnsi="Book Antiqua" w:cs="Book Antiqua"/>
          <w:b/>
          <w:sz w:val="24"/>
          <w:szCs w:val="24"/>
          <w:lang w:val="en-US" w:eastAsia="es-ES"/>
        </w:rPr>
        <w:t xml:space="preserve">in </w:t>
      </w:r>
      <w:r w:rsidRPr="009046D6">
        <w:rPr>
          <w:rFonts w:ascii="Book Antiqua" w:hAnsi="Book Antiqua" w:cs="Book Antiqua"/>
          <w:b/>
          <w:sz w:val="24"/>
          <w:szCs w:val="24"/>
          <w:lang w:val="en-US" w:eastAsia="es-ES"/>
        </w:rPr>
        <w:t xml:space="preserve">inflammatory bowel disease </w:t>
      </w:r>
      <w:r w:rsidR="006138C7" w:rsidRPr="009046D6">
        <w:rPr>
          <w:rFonts w:ascii="Book Antiqua" w:hAnsi="Book Antiqua" w:cs="Book Antiqua"/>
          <w:b/>
          <w:sz w:val="24"/>
          <w:szCs w:val="24"/>
          <w:lang w:val="en-US" w:eastAsia="es-ES"/>
        </w:rPr>
        <w:t>patients</w:t>
      </w:r>
    </w:p>
    <w:p w14:paraId="22C2A906" w14:textId="77777777" w:rsidR="006138C7" w:rsidRPr="009046D6"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eastAsia="es-ES"/>
        </w:rPr>
      </w:pPr>
    </w:p>
    <w:tbl>
      <w:tblPr>
        <w:tblW w:w="0" w:type="auto"/>
        <w:tblBorders>
          <w:top w:val="single" w:sz="8" w:space="0" w:color="000000"/>
          <w:bottom w:val="single" w:sz="8" w:space="0" w:color="000000"/>
        </w:tblBorders>
        <w:tblLook w:val="00A0" w:firstRow="1" w:lastRow="0" w:firstColumn="1" w:lastColumn="0" w:noHBand="0" w:noVBand="0"/>
      </w:tblPr>
      <w:tblGrid>
        <w:gridCol w:w="1668"/>
        <w:gridCol w:w="1842"/>
        <w:gridCol w:w="3969"/>
        <w:gridCol w:w="1165"/>
      </w:tblGrid>
      <w:tr w:rsidR="006138C7" w:rsidRPr="00390EBD" w14:paraId="7402FA79" w14:textId="77777777" w:rsidTr="009046D6">
        <w:trPr>
          <w:trHeight w:val="436"/>
        </w:trPr>
        <w:tc>
          <w:tcPr>
            <w:tcW w:w="1668" w:type="dxa"/>
            <w:tcBorders>
              <w:top w:val="single" w:sz="8" w:space="0" w:color="000000"/>
              <w:bottom w:val="single" w:sz="8" w:space="0" w:color="000000"/>
            </w:tcBorders>
            <w:shd w:val="clear" w:color="auto" w:fill="auto"/>
          </w:tcPr>
          <w:p w14:paraId="20DAFD29" w14:textId="3CC67BFD" w:rsidR="006138C7" w:rsidRPr="00390EBD" w:rsidRDefault="009046D6" w:rsidP="00954CEE">
            <w:pPr>
              <w:autoSpaceDE w:val="0"/>
              <w:autoSpaceDN w:val="0"/>
              <w:adjustRightInd w:val="0"/>
              <w:snapToGrid w:val="0"/>
              <w:spacing w:after="0" w:line="360" w:lineRule="auto"/>
              <w:jc w:val="both"/>
              <w:rPr>
                <w:rFonts w:ascii="Book Antiqua" w:hAnsi="Book Antiqua" w:cs="Book Antiqua"/>
                <w:b/>
                <w:bCs/>
                <w:color w:val="000000"/>
                <w:sz w:val="24"/>
                <w:szCs w:val="24"/>
                <w:lang w:eastAsia="es-ES"/>
              </w:rPr>
            </w:pPr>
            <w:r w:rsidRPr="009046D6">
              <w:rPr>
                <w:rFonts w:ascii="Book Antiqua" w:hAnsi="Book Antiqua" w:cs="Book Antiqua"/>
                <w:b/>
                <w:bCs/>
                <w:caps/>
                <w:color w:val="000000"/>
                <w:sz w:val="24"/>
                <w:szCs w:val="24"/>
                <w:lang w:eastAsia="es-ES"/>
              </w:rPr>
              <w:t>s</w:t>
            </w:r>
            <w:r w:rsidRPr="00390EBD">
              <w:rPr>
                <w:rFonts w:ascii="Book Antiqua" w:hAnsi="Book Antiqua" w:cs="Book Antiqua"/>
                <w:b/>
                <w:bCs/>
                <w:color w:val="000000"/>
                <w:sz w:val="24"/>
                <w:szCs w:val="24"/>
                <w:lang w:eastAsia="es-ES"/>
              </w:rPr>
              <w:t>tudy (year)</w:t>
            </w:r>
          </w:p>
        </w:tc>
        <w:tc>
          <w:tcPr>
            <w:tcW w:w="1842" w:type="dxa"/>
            <w:tcBorders>
              <w:top w:val="single" w:sz="8" w:space="0" w:color="000000"/>
              <w:bottom w:val="single" w:sz="8" w:space="0" w:color="000000"/>
            </w:tcBorders>
            <w:shd w:val="clear" w:color="auto" w:fill="auto"/>
          </w:tcPr>
          <w:p w14:paraId="0C2EC74B" w14:textId="0963363F" w:rsidR="006138C7" w:rsidRPr="00390EBD" w:rsidRDefault="009046D6" w:rsidP="00954CEE">
            <w:pPr>
              <w:autoSpaceDE w:val="0"/>
              <w:autoSpaceDN w:val="0"/>
              <w:adjustRightInd w:val="0"/>
              <w:snapToGrid w:val="0"/>
              <w:spacing w:after="0" w:line="360" w:lineRule="auto"/>
              <w:jc w:val="both"/>
              <w:rPr>
                <w:rFonts w:ascii="Book Antiqua" w:hAnsi="Book Antiqua" w:cs="Book Antiqua"/>
                <w:b/>
                <w:bCs/>
                <w:color w:val="000000"/>
                <w:sz w:val="24"/>
                <w:szCs w:val="24"/>
                <w:lang w:eastAsia="es-ES"/>
              </w:rPr>
            </w:pPr>
            <w:r w:rsidRPr="00390EBD">
              <w:rPr>
                <w:rFonts w:ascii="Book Antiqua" w:hAnsi="Book Antiqua" w:cs="Book Antiqua"/>
                <w:b/>
                <w:bCs/>
                <w:color w:val="000000"/>
                <w:sz w:val="24"/>
                <w:szCs w:val="24"/>
                <w:lang w:eastAsia="es-ES"/>
              </w:rPr>
              <w:t>nº patients</w:t>
            </w:r>
          </w:p>
        </w:tc>
        <w:tc>
          <w:tcPr>
            <w:tcW w:w="3969" w:type="dxa"/>
            <w:tcBorders>
              <w:top w:val="single" w:sz="8" w:space="0" w:color="000000"/>
              <w:bottom w:val="single" w:sz="8" w:space="0" w:color="000000"/>
            </w:tcBorders>
            <w:shd w:val="clear" w:color="auto" w:fill="auto"/>
          </w:tcPr>
          <w:p w14:paraId="79A040F7" w14:textId="24E208B5" w:rsidR="006138C7" w:rsidRPr="00390EBD" w:rsidRDefault="009046D6" w:rsidP="00954CEE">
            <w:pPr>
              <w:autoSpaceDE w:val="0"/>
              <w:autoSpaceDN w:val="0"/>
              <w:adjustRightInd w:val="0"/>
              <w:snapToGrid w:val="0"/>
              <w:spacing w:after="0" w:line="360" w:lineRule="auto"/>
              <w:jc w:val="both"/>
              <w:rPr>
                <w:rFonts w:ascii="Book Antiqua" w:hAnsi="Book Antiqua" w:cs="Book Antiqua"/>
                <w:b/>
                <w:bCs/>
                <w:color w:val="000000"/>
                <w:sz w:val="24"/>
                <w:szCs w:val="24"/>
                <w:lang w:eastAsia="es-ES"/>
              </w:rPr>
            </w:pPr>
            <w:r w:rsidRPr="009046D6">
              <w:rPr>
                <w:rFonts w:ascii="Book Antiqua" w:hAnsi="Book Antiqua" w:cs="Book Antiqua"/>
                <w:b/>
                <w:bCs/>
                <w:caps/>
                <w:color w:val="000000"/>
                <w:sz w:val="24"/>
                <w:szCs w:val="24"/>
                <w:lang w:eastAsia="es-ES"/>
              </w:rPr>
              <w:t>c</w:t>
            </w:r>
            <w:r w:rsidRPr="00390EBD">
              <w:rPr>
                <w:rFonts w:ascii="Book Antiqua" w:hAnsi="Book Antiqua" w:cs="Book Antiqua"/>
                <w:b/>
                <w:bCs/>
                <w:color w:val="000000"/>
                <w:sz w:val="24"/>
                <w:szCs w:val="24"/>
                <w:lang w:eastAsia="es-ES"/>
              </w:rPr>
              <w:t>onclusion</w:t>
            </w:r>
          </w:p>
        </w:tc>
        <w:tc>
          <w:tcPr>
            <w:tcW w:w="1165" w:type="dxa"/>
            <w:tcBorders>
              <w:top w:val="single" w:sz="8" w:space="0" w:color="000000"/>
              <w:bottom w:val="single" w:sz="8" w:space="0" w:color="000000"/>
            </w:tcBorders>
            <w:shd w:val="clear" w:color="auto" w:fill="auto"/>
          </w:tcPr>
          <w:p w14:paraId="13E930D4" w14:textId="319E1CD2" w:rsidR="006138C7" w:rsidRPr="00390EBD" w:rsidRDefault="009046D6" w:rsidP="00954CEE">
            <w:pPr>
              <w:autoSpaceDE w:val="0"/>
              <w:autoSpaceDN w:val="0"/>
              <w:adjustRightInd w:val="0"/>
              <w:snapToGrid w:val="0"/>
              <w:spacing w:after="0" w:line="360" w:lineRule="auto"/>
              <w:jc w:val="both"/>
              <w:rPr>
                <w:rFonts w:ascii="Book Antiqua" w:hAnsi="Book Antiqua" w:cs="Book Antiqua"/>
                <w:b/>
                <w:bCs/>
                <w:color w:val="000000"/>
                <w:sz w:val="24"/>
                <w:szCs w:val="24"/>
                <w:lang w:eastAsia="es-ES"/>
              </w:rPr>
            </w:pPr>
            <w:r w:rsidRPr="009046D6">
              <w:rPr>
                <w:rFonts w:ascii="Book Antiqua" w:hAnsi="Book Antiqua" w:cs="Book Antiqua"/>
                <w:b/>
                <w:bCs/>
                <w:caps/>
                <w:color w:val="000000"/>
                <w:sz w:val="24"/>
                <w:szCs w:val="24"/>
                <w:lang w:eastAsia="es-ES"/>
              </w:rPr>
              <w:t>r</w:t>
            </w:r>
            <w:r w:rsidRPr="00390EBD">
              <w:rPr>
                <w:rFonts w:ascii="Book Antiqua" w:hAnsi="Book Antiqua" w:cs="Book Antiqua"/>
                <w:b/>
                <w:bCs/>
                <w:color w:val="000000"/>
                <w:sz w:val="24"/>
                <w:szCs w:val="24"/>
                <w:lang w:eastAsia="es-ES"/>
              </w:rPr>
              <w:t>ef</w:t>
            </w:r>
          </w:p>
        </w:tc>
      </w:tr>
      <w:tr w:rsidR="006138C7" w:rsidRPr="00390EBD" w14:paraId="3E648BBB" w14:textId="77777777" w:rsidTr="009046D6">
        <w:tc>
          <w:tcPr>
            <w:tcW w:w="1668" w:type="dxa"/>
            <w:shd w:val="clear" w:color="auto" w:fill="auto"/>
          </w:tcPr>
          <w:p w14:paraId="314FDC69" w14:textId="7C2B9A4F"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t xml:space="preserve">Mariniki </w:t>
            </w:r>
            <w:r w:rsidR="009046D6" w:rsidRPr="009046D6">
              <w:rPr>
                <w:rFonts w:ascii="Book Antiqua" w:hAnsi="Book Antiqua" w:cs="Book Antiqua"/>
                <w:i/>
                <w:color w:val="000000"/>
                <w:sz w:val="24"/>
                <w:szCs w:val="24"/>
                <w:lang w:eastAsia="es-ES"/>
              </w:rPr>
              <w:t>et al</w:t>
            </w:r>
            <w:r w:rsidRPr="00390EBD">
              <w:rPr>
                <w:rFonts w:ascii="Book Antiqua" w:hAnsi="Book Antiqua" w:cs="Book Antiqua"/>
                <w:color w:val="000000"/>
                <w:sz w:val="24"/>
                <w:szCs w:val="24"/>
                <w:lang w:eastAsia="es-ES"/>
              </w:rPr>
              <w:t xml:space="preserve"> (2004)</w:t>
            </w:r>
          </w:p>
        </w:tc>
        <w:tc>
          <w:tcPr>
            <w:tcW w:w="1842" w:type="dxa"/>
            <w:tcBorders>
              <w:left w:val="nil"/>
              <w:right w:val="nil"/>
            </w:tcBorders>
            <w:shd w:val="clear" w:color="auto" w:fill="auto"/>
          </w:tcPr>
          <w:p w14:paraId="5FC763B6"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p>
          <w:p w14:paraId="7F492676"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t>130</w:t>
            </w:r>
          </w:p>
        </w:tc>
        <w:tc>
          <w:tcPr>
            <w:tcW w:w="3969" w:type="dxa"/>
            <w:shd w:val="clear" w:color="auto" w:fill="auto"/>
          </w:tcPr>
          <w:p w14:paraId="34558BE8"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val="en-US" w:eastAsia="es-ES"/>
              </w:rPr>
            </w:pPr>
            <w:r w:rsidRPr="00390EBD">
              <w:rPr>
                <w:rFonts w:ascii="Book Antiqua" w:hAnsi="Book Antiqua" w:cs="Book Antiqua"/>
                <w:color w:val="000000"/>
                <w:sz w:val="24"/>
                <w:szCs w:val="24"/>
                <w:lang w:val="en-US" w:eastAsia="es-ES"/>
              </w:rPr>
              <w:t>Significant association with flu-illness, rash and pancreatitis.</w:t>
            </w:r>
          </w:p>
          <w:p w14:paraId="50E513AE"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t>No association with mielotoxicity</w:t>
            </w:r>
          </w:p>
        </w:tc>
        <w:tc>
          <w:tcPr>
            <w:tcW w:w="1165" w:type="dxa"/>
            <w:tcBorders>
              <w:left w:val="nil"/>
              <w:right w:val="nil"/>
            </w:tcBorders>
            <w:shd w:val="clear" w:color="auto" w:fill="auto"/>
          </w:tcPr>
          <w:p w14:paraId="7F30D03A"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p>
          <w:p w14:paraId="0EB12EFE" w14:textId="2C51D7BF" w:rsidR="006138C7" w:rsidRPr="00390EBD" w:rsidRDefault="009046D6" w:rsidP="00954CEE">
            <w:pPr>
              <w:autoSpaceDE w:val="0"/>
              <w:autoSpaceDN w:val="0"/>
              <w:adjustRightInd w:val="0"/>
              <w:snapToGrid w:val="0"/>
              <w:spacing w:after="0" w:line="360" w:lineRule="auto"/>
              <w:jc w:val="both"/>
              <w:rPr>
                <w:rFonts w:ascii="Book Antiqua" w:hAnsi="Book Antiqua" w:cs="Book Antiqua"/>
                <w:color w:val="000000"/>
                <w:sz w:val="24"/>
                <w:szCs w:val="24"/>
                <w:lang w:eastAsia="zh-CN"/>
              </w:rPr>
            </w:pPr>
            <w:r>
              <w:rPr>
                <w:rFonts w:ascii="Book Antiqua" w:hAnsi="Book Antiqua" w:cs="Book Antiqua" w:hint="eastAsia"/>
                <w:color w:val="000000"/>
                <w:sz w:val="24"/>
                <w:szCs w:val="24"/>
                <w:lang w:eastAsia="zh-CN"/>
              </w:rPr>
              <w:t>[</w:t>
            </w:r>
            <w:r w:rsidR="006138C7" w:rsidRPr="00390EBD">
              <w:rPr>
                <w:rFonts w:ascii="Book Antiqua" w:hAnsi="Book Antiqua" w:cs="Book Antiqua"/>
                <w:color w:val="000000"/>
                <w:sz w:val="24"/>
                <w:szCs w:val="24"/>
                <w:lang w:eastAsia="es-ES"/>
              </w:rPr>
              <w:t>34</w:t>
            </w:r>
            <w:r>
              <w:rPr>
                <w:rFonts w:ascii="Book Antiqua" w:hAnsi="Book Antiqua" w:cs="Book Antiqua" w:hint="eastAsia"/>
                <w:color w:val="000000"/>
                <w:sz w:val="24"/>
                <w:szCs w:val="24"/>
                <w:lang w:eastAsia="zh-CN"/>
              </w:rPr>
              <w:t>]</w:t>
            </w:r>
          </w:p>
        </w:tc>
      </w:tr>
      <w:tr w:rsidR="006138C7" w:rsidRPr="00390EBD" w14:paraId="66B8F197" w14:textId="77777777" w:rsidTr="009046D6">
        <w:tc>
          <w:tcPr>
            <w:tcW w:w="1668" w:type="dxa"/>
            <w:shd w:val="clear" w:color="auto" w:fill="auto"/>
          </w:tcPr>
          <w:p w14:paraId="32516D63" w14:textId="33E2135E"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t xml:space="preserve">Allorge </w:t>
            </w:r>
            <w:r w:rsidR="009046D6" w:rsidRPr="009046D6">
              <w:rPr>
                <w:rFonts w:ascii="Book Antiqua" w:hAnsi="Book Antiqua" w:cs="Book Antiqua"/>
                <w:i/>
                <w:color w:val="000000"/>
                <w:sz w:val="24"/>
                <w:szCs w:val="24"/>
                <w:lang w:eastAsia="es-ES"/>
              </w:rPr>
              <w:t>et al</w:t>
            </w:r>
            <w:r w:rsidRPr="00390EBD">
              <w:rPr>
                <w:rFonts w:ascii="Book Antiqua" w:hAnsi="Book Antiqua" w:cs="Book Antiqua"/>
                <w:color w:val="000000"/>
                <w:sz w:val="24"/>
                <w:szCs w:val="24"/>
                <w:lang w:eastAsia="es-ES"/>
              </w:rPr>
              <w:t xml:space="preserve"> (2005)</w:t>
            </w:r>
          </w:p>
        </w:tc>
        <w:tc>
          <w:tcPr>
            <w:tcW w:w="1842" w:type="dxa"/>
            <w:shd w:val="clear" w:color="auto" w:fill="auto"/>
          </w:tcPr>
          <w:p w14:paraId="78DE2A61"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p>
          <w:p w14:paraId="7E0CCD03"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t>72</w:t>
            </w:r>
          </w:p>
        </w:tc>
        <w:tc>
          <w:tcPr>
            <w:tcW w:w="3969" w:type="dxa"/>
            <w:shd w:val="clear" w:color="auto" w:fill="auto"/>
          </w:tcPr>
          <w:p w14:paraId="4C21DD02"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val="en-US" w:eastAsia="es-ES"/>
              </w:rPr>
            </w:pPr>
            <w:r w:rsidRPr="00390EBD">
              <w:rPr>
                <w:rFonts w:ascii="Book Antiqua" w:hAnsi="Book Antiqua" w:cs="Book Antiqua"/>
                <w:color w:val="000000"/>
                <w:sz w:val="24"/>
                <w:szCs w:val="24"/>
                <w:lang w:val="en-US" w:eastAsia="es-ES"/>
              </w:rPr>
              <w:t>No association with flu-illness, rash, pancreatitis or mielotoxicity</w:t>
            </w:r>
          </w:p>
        </w:tc>
        <w:tc>
          <w:tcPr>
            <w:tcW w:w="1165" w:type="dxa"/>
            <w:shd w:val="clear" w:color="auto" w:fill="auto"/>
          </w:tcPr>
          <w:p w14:paraId="4A286560"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val="en-US" w:eastAsia="es-ES"/>
              </w:rPr>
            </w:pPr>
          </w:p>
          <w:p w14:paraId="0AC5F0F1" w14:textId="3E1714E9" w:rsidR="006138C7" w:rsidRPr="00390EBD" w:rsidRDefault="009046D6" w:rsidP="00954CEE">
            <w:pPr>
              <w:autoSpaceDE w:val="0"/>
              <w:autoSpaceDN w:val="0"/>
              <w:adjustRightInd w:val="0"/>
              <w:snapToGrid w:val="0"/>
              <w:spacing w:after="0" w:line="360" w:lineRule="auto"/>
              <w:jc w:val="both"/>
              <w:rPr>
                <w:rFonts w:ascii="Book Antiqua" w:hAnsi="Book Antiqua" w:cs="Book Antiqua"/>
                <w:color w:val="000000"/>
                <w:sz w:val="24"/>
                <w:szCs w:val="24"/>
                <w:lang w:eastAsia="zh-CN"/>
              </w:rPr>
            </w:pPr>
            <w:r>
              <w:rPr>
                <w:rFonts w:ascii="Book Antiqua" w:hAnsi="Book Antiqua" w:cs="Book Antiqua" w:hint="eastAsia"/>
                <w:color w:val="000000"/>
                <w:sz w:val="24"/>
                <w:szCs w:val="24"/>
                <w:lang w:eastAsia="zh-CN"/>
              </w:rPr>
              <w:t>[</w:t>
            </w:r>
            <w:r w:rsidR="006138C7" w:rsidRPr="00390EBD">
              <w:rPr>
                <w:rFonts w:ascii="Book Antiqua" w:hAnsi="Book Antiqua" w:cs="Book Antiqua"/>
                <w:color w:val="000000"/>
                <w:sz w:val="24"/>
                <w:szCs w:val="24"/>
                <w:lang w:eastAsia="es-ES"/>
              </w:rPr>
              <w:t>35</w:t>
            </w:r>
            <w:r>
              <w:rPr>
                <w:rFonts w:ascii="Book Antiqua" w:hAnsi="Book Antiqua" w:cs="Book Antiqua" w:hint="eastAsia"/>
                <w:color w:val="000000"/>
                <w:sz w:val="24"/>
                <w:szCs w:val="24"/>
                <w:lang w:eastAsia="zh-CN"/>
              </w:rPr>
              <w:t>]</w:t>
            </w:r>
          </w:p>
        </w:tc>
      </w:tr>
      <w:tr w:rsidR="006138C7" w:rsidRPr="00390EBD" w14:paraId="3AF06779" w14:textId="77777777" w:rsidTr="009046D6">
        <w:tc>
          <w:tcPr>
            <w:tcW w:w="1668" w:type="dxa"/>
            <w:shd w:val="clear" w:color="auto" w:fill="auto"/>
          </w:tcPr>
          <w:p w14:paraId="601915DB" w14:textId="030DBD5E"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t xml:space="preserve">Gearry </w:t>
            </w:r>
            <w:r w:rsidR="009046D6" w:rsidRPr="009046D6">
              <w:rPr>
                <w:rFonts w:ascii="Book Antiqua" w:hAnsi="Book Antiqua" w:cs="Book Antiqua"/>
                <w:i/>
                <w:color w:val="000000"/>
                <w:sz w:val="24"/>
                <w:szCs w:val="24"/>
                <w:lang w:eastAsia="es-ES"/>
              </w:rPr>
              <w:t>et al</w:t>
            </w:r>
          </w:p>
          <w:p w14:paraId="3D6850E5"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t>(2004)</w:t>
            </w:r>
          </w:p>
        </w:tc>
        <w:tc>
          <w:tcPr>
            <w:tcW w:w="1842" w:type="dxa"/>
            <w:tcBorders>
              <w:left w:val="nil"/>
              <w:right w:val="nil"/>
            </w:tcBorders>
            <w:shd w:val="clear" w:color="auto" w:fill="auto"/>
          </w:tcPr>
          <w:p w14:paraId="65F42EF7"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p>
          <w:p w14:paraId="63BAA866"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t>147</w:t>
            </w:r>
          </w:p>
        </w:tc>
        <w:tc>
          <w:tcPr>
            <w:tcW w:w="3969" w:type="dxa"/>
            <w:shd w:val="clear" w:color="auto" w:fill="auto"/>
          </w:tcPr>
          <w:p w14:paraId="0ADB35C3"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val="en-US" w:eastAsia="es-ES"/>
              </w:rPr>
            </w:pPr>
            <w:r w:rsidRPr="00390EBD">
              <w:rPr>
                <w:rFonts w:ascii="Book Antiqua" w:hAnsi="Book Antiqua" w:cs="Book Antiqua"/>
                <w:color w:val="000000"/>
                <w:sz w:val="24"/>
                <w:szCs w:val="24"/>
                <w:lang w:val="en-US" w:eastAsia="es-ES"/>
              </w:rPr>
              <w:t>No association with flu-illness, rash and pancreatitis</w:t>
            </w:r>
          </w:p>
        </w:tc>
        <w:tc>
          <w:tcPr>
            <w:tcW w:w="1165" w:type="dxa"/>
            <w:tcBorders>
              <w:left w:val="nil"/>
              <w:right w:val="nil"/>
            </w:tcBorders>
            <w:shd w:val="clear" w:color="auto" w:fill="auto"/>
          </w:tcPr>
          <w:p w14:paraId="16AA321D"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val="en-US" w:eastAsia="es-ES"/>
              </w:rPr>
            </w:pPr>
          </w:p>
          <w:p w14:paraId="1A5145D3" w14:textId="4A659858" w:rsidR="006138C7" w:rsidRPr="00390EBD" w:rsidRDefault="009046D6" w:rsidP="00954CEE">
            <w:pPr>
              <w:autoSpaceDE w:val="0"/>
              <w:autoSpaceDN w:val="0"/>
              <w:adjustRightInd w:val="0"/>
              <w:snapToGrid w:val="0"/>
              <w:spacing w:after="0" w:line="360" w:lineRule="auto"/>
              <w:jc w:val="both"/>
              <w:rPr>
                <w:rFonts w:ascii="Book Antiqua" w:hAnsi="Book Antiqua" w:cs="Book Antiqua"/>
                <w:color w:val="000000"/>
                <w:sz w:val="24"/>
                <w:szCs w:val="24"/>
                <w:lang w:eastAsia="zh-CN"/>
              </w:rPr>
            </w:pPr>
            <w:r>
              <w:rPr>
                <w:rFonts w:ascii="Book Antiqua" w:hAnsi="Book Antiqua" w:cs="Book Antiqua" w:hint="eastAsia"/>
                <w:color w:val="000000"/>
                <w:sz w:val="24"/>
                <w:szCs w:val="24"/>
                <w:lang w:eastAsia="zh-CN"/>
              </w:rPr>
              <w:t>[</w:t>
            </w:r>
            <w:r w:rsidR="006138C7" w:rsidRPr="00390EBD">
              <w:rPr>
                <w:rFonts w:ascii="Book Antiqua" w:hAnsi="Book Antiqua" w:cs="Book Antiqua"/>
                <w:color w:val="000000"/>
                <w:sz w:val="24"/>
                <w:szCs w:val="24"/>
                <w:lang w:eastAsia="es-ES"/>
              </w:rPr>
              <w:t>36</w:t>
            </w:r>
            <w:r>
              <w:rPr>
                <w:rFonts w:ascii="Book Antiqua" w:hAnsi="Book Antiqua" w:cs="Book Antiqua" w:hint="eastAsia"/>
                <w:color w:val="000000"/>
                <w:sz w:val="24"/>
                <w:szCs w:val="24"/>
                <w:lang w:eastAsia="zh-CN"/>
              </w:rPr>
              <w:t>]</w:t>
            </w:r>
          </w:p>
        </w:tc>
      </w:tr>
      <w:tr w:rsidR="006138C7" w:rsidRPr="00390EBD" w14:paraId="4D62049A" w14:textId="77777777" w:rsidTr="009046D6">
        <w:tc>
          <w:tcPr>
            <w:tcW w:w="1668" w:type="dxa"/>
            <w:shd w:val="clear" w:color="auto" w:fill="auto"/>
          </w:tcPr>
          <w:p w14:paraId="33BE7329" w14:textId="791CABE9"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val="nl-NL" w:eastAsia="es-ES"/>
              </w:rPr>
            </w:pPr>
            <w:r w:rsidRPr="00390EBD">
              <w:rPr>
                <w:rFonts w:ascii="Book Antiqua" w:hAnsi="Book Antiqua" w:cs="Book Antiqua"/>
                <w:color w:val="000000"/>
                <w:sz w:val="24"/>
                <w:szCs w:val="24"/>
                <w:lang w:val="nl-NL" w:eastAsia="es-ES"/>
              </w:rPr>
              <w:t>De Ridder</w:t>
            </w:r>
            <w:r w:rsidR="0020336D" w:rsidRPr="0020336D">
              <w:rPr>
                <w:rFonts w:ascii="Book Antiqua" w:hAnsi="Book Antiqua" w:cs="Book Antiqua"/>
                <w:i/>
                <w:color w:val="000000"/>
                <w:sz w:val="24"/>
                <w:szCs w:val="24"/>
                <w:lang w:val="nl-NL" w:eastAsia="es-ES"/>
              </w:rPr>
              <w:t xml:space="preserve"> </w:t>
            </w:r>
            <w:r w:rsidR="009046D6" w:rsidRPr="009046D6">
              <w:rPr>
                <w:rFonts w:ascii="Book Antiqua" w:hAnsi="Book Antiqua" w:cs="Book Antiqua"/>
                <w:i/>
                <w:color w:val="000000"/>
                <w:sz w:val="24"/>
                <w:szCs w:val="24"/>
                <w:lang w:val="nl-NL" w:eastAsia="es-ES"/>
              </w:rPr>
              <w:t>et al</w:t>
            </w:r>
            <w:r w:rsidRPr="00390EBD">
              <w:rPr>
                <w:rFonts w:ascii="Book Antiqua" w:hAnsi="Book Antiqua" w:cs="Book Antiqua"/>
                <w:color w:val="000000"/>
                <w:sz w:val="24"/>
                <w:szCs w:val="24"/>
                <w:lang w:val="nl-NL" w:eastAsia="es-ES"/>
              </w:rPr>
              <w:t xml:space="preserve"> (2006)</w:t>
            </w:r>
          </w:p>
        </w:tc>
        <w:tc>
          <w:tcPr>
            <w:tcW w:w="1842" w:type="dxa"/>
            <w:shd w:val="clear" w:color="auto" w:fill="auto"/>
          </w:tcPr>
          <w:p w14:paraId="2C54BC72"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val="nl-NL" w:eastAsia="es-ES"/>
              </w:rPr>
            </w:pPr>
          </w:p>
          <w:p w14:paraId="49CE1F01"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t>72</w:t>
            </w:r>
          </w:p>
        </w:tc>
        <w:tc>
          <w:tcPr>
            <w:tcW w:w="3969" w:type="dxa"/>
            <w:shd w:val="clear" w:color="auto" w:fill="auto"/>
          </w:tcPr>
          <w:p w14:paraId="03884F0C"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val="en-US" w:eastAsia="es-ES"/>
              </w:rPr>
            </w:pPr>
          </w:p>
          <w:p w14:paraId="1F4D1F22"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val="en-US" w:eastAsia="es-ES"/>
              </w:rPr>
            </w:pPr>
            <w:r w:rsidRPr="00390EBD">
              <w:rPr>
                <w:rFonts w:ascii="Book Antiqua" w:hAnsi="Book Antiqua" w:cs="Book Antiqua"/>
                <w:color w:val="000000"/>
                <w:sz w:val="24"/>
                <w:szCs w:val="24"/>
                <w:lang w:val="en-US" w:eastAsia="es-ES"/>
              </w:rPr>
              <w:t>No association with side effects</w:t>
            </w:r>
          </w:p>
        </w:tc>
        <w:tc>
          <w:tcPr>
            <w:tcW w:w="1165" w:type="dxa"/>
            <w:shd w:val="clear" w:color="auto" w:fill="auto"/>
          </w:tcPr>
          <w:p w14:paraId="6CB00F6D"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val="en-US" w:eastAsia="es-ES"/>
              </w:rPr>
            </w:pPr>
          </w:p>
          <w:p w14:paraId="394CABA7" w14:textId="2646791A" w:rsidR="006138C7" w:rsidRPr="00390EBD" w:rsidRDefault="009046D6" w:rsidP="00954CEE">
            <w:pPr>
              <w:autoSpaceDE w:val="0"/>
              <w:autoSpaceDN w:val="0"/>
              <w:adjustRightInd w:val="0"/>
              <w:snapToGrid w:val="0"/>
              <w:spacing w:after="0" w:line="360" w:lineRule="auto"/>
              <w:jc w:val="both"/>
              <w:rPr>
                <w:rFonts w:ascii="Book Antiqua" w:hAnsi="Book Antiqua" w:cs="Book Antiqua"/>
                <w:color w:val="000000"/>
                <w:sz w:val="24"/>
                <w:szCs w:val="24"/>
                <w:lang w:eastAsia="zh-CN"/>
              </w:rPr>
            </w:pPr>
            <w:r>
              <w:rPr>
                <w:rFonts w:ascii="Book Antiqua" w:hAnsi="Book Antiqua" w:cs="Book Antiqua" w:hint="eastAsia"/>
                <w:color w:val="000000"/>
                <w:sz w:val="24"/>
                <w:szCs w:val="24"/>
                <w:lang w:eastAsia="zh-CN"/>
              </w:rPr>
              <w:t>[</w:t>
            </w:r>
            <w:r w:rsidR="006138C7" w:rsidRPr="00390EBD">
              <w:rPr>
                <w:rFonts w:ascii="Book Antiqua" w:hAnsi="Book Antiqua" w:cs="Book Antiqua"/>
                <w:color w:val="000000"/>
                <w:sz w:val="24"/>
                <w:szCs w:val="24"/>
                <w:lang w:eastAsia="es-ES"/>
              </w:rPr>
              <w:t>37</w:t>
            </w:r>
            <w:r>
              <w:rPr>
                <w:rFonts w:ascii="Book Antiqua" w:hAnsi="Book Antiqua" w:cs="Book Antiqua" w:hint="eastAsia"/>
                <w:color w:val="000000"/>
                <w:sz w:val="24"/>
                <w:szCs w:val="24"/>
                <w:lang w:eastAsia="zh-CN"/>
              </w:rPr>
              <w:t>]</w:t>
            </w:r>
          </w:p>
        </w:tc>
      </w:tr>
      <w:tr w:rsidR="006138C7" w:rsidRPr="00390EBD" w14:paraId="6EF6A0DE" w14:textId="77777777" w:rsidTr="009046D6">
        <w:tc>
          <w:tcPr>
            <w:tcW w:w="1668" w:type="dxa"/>
            <w:shd w:val="clear" w:color="auto" w:fill="auto"/>
          </w:tcPr>
          <w:p w14:paraId="4457671B" w14:textId="5BFC0832"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t xml:space="preserve">Hindorf </w:t>
            </w:r>
            <w:r w:rsidR="009046D6" w:rsidRPr="009046D6">
              <w:rPr>
                <w:rFonts w:ascii="Book Antiqua" w:hAnsi="Book Antiqua" w:cs="Book Antiqua"/>
                <w:i/>
                <w:color w:val="000000"/>
                <w:sz w:val="24"/>
                <w:szCs w:val="24"/>
                <w:lang w:eastAsia="es-ES"/>
              </w:rPr>
              <w:t>et al</w:t>
            </w:r>
          </w:p>
          <w:p w14:paraId="681B4482"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t>(2006)</w:t>
            </w:r>
          </w:p>
          <w:p w14:paraId="792016ED"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p>
        </w:tc>
        <w:tc>
          <w:tcPr>
            <w:tcW w:w="1842" w:type="dxa"/>
            <w:tcBorders>
              <w:left w:val="nil"/>
              <w:right w:val="nil"/>
            </w:tcBorders>
            <w:shd w:val="clear" w:color="auto" w:fill="auto"/>
          </w:tcPr>
          <w:p w14:paraId="5F1C6AEC"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p>
          <w:p w14:paraId="603EBE11"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t>60</w:t>
            </w:r>
          </w:p>
        </w:tc>
        <w:tc>
          <w:tcPr>
            <w:tcW w:w="3969" w:type="dxa"/>
            <w:shd w:val="clear" w:color="auto" w:fill="auto"/>
          </w:tcPr>
          <w:p w14:paraId="620E8650"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val="en-US" w:eastAsia="es-ES"/>
              </w:rPr>
            </w:pPr>
          </w:p>
          <w:p w14:paraId="624399BB"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val="en-US" w:eastAsia="es-ES"/>
              </w:rPr>
            </w:pPr>
            <w:r w:rsidRPr="00390EBD">
              <w:rPr>
                <w:rFonts w:ascii="Book Antiqua" w:hAnsi="Book Antiqua" w:cs="Book Antiqua"/>
                <w:color w:val="000000"/>
                <w:sz w:val="24"/>
                <w:szCs w:val="24"/>
                <w:lang w:val="en-US" w:eastAsia="es-ES"/>
              </w:rPr>
              <w:t>No association with side effects</w:t>
            </w:r>
          </w:p>
        </w:tc>
        <w:tc>
          <w:tcPr>
            <w:tcW w:w="1165" w:type="dxa"/>
            <w:tcBorders>
              <w:left w:val="nil"/>
              <w:right w:val="nil"/>
            </w:tcBorders>
            <w:shd w:val="clear" w:color="auto" w:fill="auto"/>
          </w:tcPr>
          <w:p w14:paraId="566D7FA3"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val="en-US" w:eastAsia="es-ES"/>
              </w:rPr>
            </w:pPr>
          </w:p>
          <w:p w14:paraId="41C66ED9"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val="en-US" w:eastAsia="es-ES"/>
              </w:rPr>
            </w:pPr>
          </w:p>
          <w:p w14:paraId="7497647A" w14:textId="46C4169E" w:rsidR="006138C7" w:rsidRPr="00390EBD" w:rsidRDefault="009046D6" w:rsidP="00954CEE">
            <w:pPr>
              <w:autoSpaceDE w:val="0"/>
              <w:autoSpaceDN w:val="0"/>
              <w:adjustRightInd w:val="0"/>
              <w:snapToGrid w:val="0"/>
              <w:spacing w:after="0" w:line="360" w:lineRule="auto"/>
              <w:jc w:val="both"/>
              <w:rPr>
                <w:rFonts w:ascii="Book Antiqua" w:hAnsi="Book Antiqua" w:cs="Book Antiqua"/>
                <w:color w:val="000000"/>
                <w:sz w:val="24"/>
                <w:szCs w:val="24"/>
                <w:lang w:eastAsia="zh-CN"/>
              </w:rPr>
            </w:pPr>
            <w:r>
              <w:rPr>
                <w:rFonts w:ascii="Book Antiqua" w:hAnsi="Book Antiqua" w:cs="Book Antiqua" w:hint="eastAsia"/>
                <w:color w:val="000000"/>
                <w:sz w:val="24"/>
                <w:szCs w:val="24"/>
                <w:lang w:eastAsia="zh-CN"/>
              </w:rPr>
              <w:t>[</w:t>
            </w:r>
            <w:r w:rsidR="006138C7" w:rsidRPr="00390EBD">
              <w:rPr>
                <w:rFonts w:ascii="Book Antiqua" w:hAnsi="Book Antiqua" w:cs="Book Antiqua"/>
                <w:color w:val="000000"/>
                <w:sz w:val="24"/>
                <w:szCs w:val="24"/>
                <w:lang w:eastAsia="es-ES"/>
              </w:rPr>
              <w:t>38</w:t>
            </w:r>
            <w:r>
              <w:rPr>
                <w:rFonts w:ascii="Book Antiqua" w:hAnsi="Book Antiqua" w:cs="Book Antiqua" w:hint="eastAsia"/>
                <w:color w:val="000000"/>
                <w:sz w:val="24"/>
                <w:szCs w:val="24"/>
                <w:lang w:eastAsia="zh-CN"/>
              </w:rPr>
              <w:t>]</w:t>
            </w:r>
          </w:p>
        </w:tc>
      </w:tr>
      <w:tr w:rsidR="006138C7" w:rsidRPr="00390EBD" w14:paraId="0C808F01" w14:textId="77777777" w:rsidTr="009046D6">
        <w:tc>
          <w:tcPr>
            <w:tcW w:w="1668" w:type="dxa"/>
            <w:shd w:val="clear" w:color="auto" w:fill="auto"/>
          </w:tcPr>
          <w:p w14:paraId="06864AEE" w14:textId="6ED35E6C"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val="nl-NL" w:eastAsia="es-ES"/>
              </w:rPr>
              <w:t xml:space="preserve">Von Ahsen </w:t>
            </w:r>
            <w:r w:rsidR="009046D6" w:rsidRPr="009046D6">
              <w:rPr>
                <w:rFonts w:ascii="Book Antiqua" w:hAnsi="Book Antiqua" w:cs="Book Antiqua"/>
                <w:i/>
                <w:color w:val="000000"/>
                <w:sz w:val="24"/>
                <w:szCs w:val="24"/>
                <w:lang w:val="nl-NL" w:eastAsia="es-ES"/>
              </w:rPr>
              <w:t>et al</w:t>
            </w:r>
            <w:r w:rsidRPr="00390EBD">
              <w:rPr>
                <w:rFonts w:ascii="Book Antiqua" w:hAnsi="Book Antiqua" w:cs="Book Antiqua"/>
                <w:color w:val="000000"/>
                <w:sz w:val="24"/>
                <w:szCs w:val="24"/>
                <w:lang w:val="nl-NL" w:eastAsia="es-ES"/>
              </w:rPr>
              <w:t xml:space="preserve"> </w:t>
            </w:r>
            <w:r w:rsidRPr="00390EBD">
              <w:rPr>
                <w:rFonts w:ascii="Book Antiqua" w:hAnsi="Book Antiqua" w:cs="Book Antiqua"/>
                <w:color w:val="000000"/>
                <w:sz w:val="24"/>
                <w:szCs w:val="24"/>
                <w:lang w:eastAsia="es-ES"/>
              </w:rPr>
              <w:t>(2005)</w:t>
            </w:r>
          </w:p>
        </w:tc>
        <w:tc>
          <w:tcPr>
            <w:tcW w:w="1842" w:type="dxa"/>
            <w:shd w:val="clear" w:color="auto" w:fill="auto"/>
          </w:tcPr>
          <w:p w14:paraId="68F53DB0"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p>
          <w:p w14:paraId="234C6FBE"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t>71</w:t>
            </w:r>
          </w:p>
        </w:tc>
        <w:tc>
          <w:tcPr>
            <w:tcW w:w="3969" w:type="dxa"/>
            <w:shd w:val="clear" w:color="auto" w:fill="auto"/>
          </w:tcPr>
          <w:p w14:paraId="46678797"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val="en-US" w:eastAsia="es-ES"/>
              </w:rPr>
            </w:pPr>
            <w:r w:rsidRPr="00390EBD">
              <w:rPr>
                <w:rFonts w:ascii="Book Antiqua" w:hAnsi="Book Antiqua" w:cs="Book Antiqua"/>
                <w:color w:val="000000"/>
                <w:sz w:val="24"/>
                <w:szCs w:val="24"/>
                <w:lang w:val="en-US" w:eastAsia="es-ES"/>
              </w:rPr>
              <w:t>Early withdrawal of therapy but not association with specific adverse events</w:t>
            </w:r>
          </w:p>
        </w:tc>
        <w:tc>
          <w:tcPr>
            <w:tcW w:w="1165" w:type="dxa"/>
            <w:shd w:val="clear" w:color="auto" w:fill="auto"/>
          </w:tcPr>
          <w:p w14:paraId="0CC99535"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val="en-US" w:eastAsia="es-ES"/>
              </w:rPr>
            </w:pPr>
          </w:p>
          <w:p w14:paraId="2C6DD491" w14:textId="1F7BDF26" w:rsidR="006138C7" w:rsidRPr="00390EBD" w:rsidRDefault="009046D6" w:rsidP="00954CEE">
            <w:pPr>
              <w:autoSpaceDE w:val="0"/>
              <w:autoSpaceDN w:val="0"/>
              <w:adjustRightInd w:val="0"/>
              <w:snapToGrid w:val="0"/>
              <w:spacing w:after="0" w:line="360" w:lineRule="auto"/>
              <w:jc w:val="both"/>
              <w:rPr>
                <w:rFonts w:ascii="Book Antiqua" w:hAnsi="Book Antiqua" w:cs="Book Antiqua"/>
                <w:color w:val="000000"/>
                <w:sz w:val="24"/>
                <w:szCs w:val="24"/>
                <w:lang w:eastAsia="zh-CN"/>
              </w:rPr>
            </w:pPr>
            <w:r>
              <w:rPr>
                <w:rFonts w:ascii="Book Antiqua" w:hAnsi="Book Antiqua" w:cs="Book Antiqua" w:hint="eastAsia"/>
                <w:color w:val="000000"/>
                <w:sz w:val="24"/>
                <w:szCs w:val="24"/>
                <w:lang w:eastAsia="zh-CN"/>
              </w:rPr>
              <w:t>[</w:t>
            </w:r>
            <w:r w:rsidR="006138C7" w:rsidRPr="00390EBD">
              <w:rPr>
                <w:rFonts w:ascii="Book Antiqua" w:hAnsi="Book Antiqua" w:cs="Book Antiqua"/>
                <w:color w:val="000000"/>
                <w:sz w:val="24"/>
                <w:szCs w:val="24"/>
                <w:lang w:eastAsia="es-ES"/>
              </w:rPr>
              <w:t>39</w:t>
            </w:r>
            <w:r>
              <w:rPr>
                <w:rFonts w:ascii="Book Antiqua" w:hAnsi="Book Antiqua" w:cs="Book Antiqua" w:hint="eastAsia"/>
                <w:color w:val="000000"/>
                <w:sz w:val="24"/>
                <w:szCs w:val="24"/>
                <w:lang w:eastAsia="zh-CN"/>
              </w:rPr>
              <w:t>]</w:t>
            </w:r>
          </w:p>
        </w:tc>
      </w:tr>
      <w:tr w:rsidR="006138C7" w:rsidRPr="00390EBD" w14:paraId="38C982DF" w14:textId="77777777" w:rsidTr="009046D6">
        <w:tc>
          <w:tcPr>
            <w:tcW w:w="1668" w:type="dxa"/>
            <w:shd w:val="clear" w:color="auto" w:fill="auto"/>
          </w:tcPr>
          <w:p w14:paraId="3AFAC20D" w14:textId="3DDA438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t xml:space="preserve">Ansari </w:t>
            </w:r>
            <w:r w:rsidR="009046D6" w:rsidRPr="009046D6">
              <w:rPr>
                <w:rFonts w:ascii="Book Antiqua" w:hAnsi="Book Antiqua" w:cs="Book Antiqua"/>
                <w:i/>
                <w:color w:val="000000"/>
                <w:sz w:val="24"/>
                <w:szCs w:val="24"/>
                <w:lang w:eastAsia="es-ES"/>
              </w:rPr>
              <w:t>et al</w:t>
            </w:r>
            <w:r w:rsidRPr="00390EBD">
              <w:rPr>
                <w:rFonts w:ascii="Book Antiqua" w:hAnsi="Book Antiqua" w:cs="Book Antiqua"/>
                <w:color w:val="000000"/>
                <w:sz w:val="24"/>
                <w:szCs w:val="24"/>
                <w:lang w:eastAsia="es-ES"/>
              </w:rPr>
              <w:t xml:space="preserve"> (2008)</w:t>
            </w:r>
          </w:p>
        </w:tc>
        <w:tc>
          <w:tcPr>
            <w:tcW w:w="1842" w:type="dxa"/>
            <w:tcBorders>
              <w:left w:val="nil"/>
              <w:right w:val="nil"/>
            </w:tcBorders>
            <w:shd w:val="clear" w:color="auto" w:fill="auto"/>
          </w:tcPr>
          <w:p w14:paraId="40F33867"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p>
          <w:p w14:paraId="4DC78C6D"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t>202</w:t>
            </w:r>
          </w:p>
        </w:tc>
        <w:tc>
          <w:tcPr>
            <w:tcW w:w="3969" w:type="dxa"/>
            <w:shd w:val="clear" w:color="auto" w:fill="auto"/>
          </w:tcPr>
          <w:p w14:paraId="7B631699"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val="en-US" w:eastAsia="es-ES"/>
              </w:rPr>
            </w:pPr>
            <w:r w:rsidRPr="00390EBD">
              <w:rPr>
                <w:rFonts w:ascii="Book Antiqua" w:hAnsi="Book Antiqua" w:cs="Book Antiqua"/>
                <w:color w:val="000000"/>
                <w:sz w:val="24"/>
                <w:szCs w:val="24"/>
                <w:lang w:val="en-US" w:eastAsia="es-ES"/>
              </w:rPr>
              <w:t>Association with flu-like symptoms but not withdrawal of therapy</w:t>
            </w:r>
          </w:p>
        </w:tc>
        <w:tc>
          <w:tcPr>
            <w:tcW w:w="1165" w:type="dxa"/>
            <w:tcBorders>
              <w:left w:val="nil"/>
              <w:right w:val="nil"/>
            </w:tcBorders>
            <w:shd w:val="clear" w:color="auto" w:fill="auto"/>
          </w:tcPr>
          <w:p w14:paraId="2366E618"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val="en-US" w:eastAsia="es-ES"/>
              </w:rPr>
            </w:pPr>
          </w:p>
          <w:p w14:paraId="3D95D998" w14:textId="39B797AC" w:rsidR="006138C7" w:rsidRPr="00390EBD" w:rsidRDefault="009046D6" w:rsidP="00954CEE">
            <w:pPr>
              <w:autoSpaceDE w:val="0"/>
              <w:autoSpaceDN w:val="0"/>
              <w:adjustRightInd w:val="0"/>
              <w:snapToGrid w:val="0"/>
              <w:spacing w:after="0" w:line="360" w:lineRule="auto"/>
              <w:jc w:val="both"/>
              <w:rPr>
                <w:rFonts w:ascii="Book Antiqua" w:hAnsi="Book Antiqua" w:cs="Book Antiqua"/>
                <w:color w:val="000000"/>
                <w:sz w:val="24"/>
                <w:szCs w:val="24"/>
                <w:lang w:eastAsia="zh-CN"/>
              </w:rPr>
            </w:pPr>
            <w:r>
              <w:rPr>
                <w:rFonts w:ascii="Book Antiqua" w:hAnsi="Book Antiqua" w:cs="Book Antiqua" w:hint="eastAsia"/>
                <w:color w:val="000000"/>
                <w:sz w:val="24"/>
                <w:szCs w:val="24"/>
                <w:lang w:eastAsia="zh-CN"/>
              </w:rPr>
              <w:t>[</w:t>
            </w:r>
            <w:r w:rsidR="006138C7" w:rsidRPr="00390EBD">
              <w:rPr>
                <w:rFonts w:ascii="Book Antiqua" w:hAnsi="Book Antiqua" w:cs="Book Antiqua"/>
                <w:color w:val="000000"/>
                <w:sz w:val="24"/>
                <w:szCs w:val="24"/>
                <w:lang w:eastAsia="es-ES"/>
              </w:rPr>
              <w:t>40</w:t>
            </w:r>
            <w:r>
              <w:rPr>
                <w:rFonts w:ascii="Book Antiqua" w:hAnsi="Book Antiqua" w:cs="Book Antiqua" w:hint="eastAsia"/>
                <w:color w:val="000000"/>
                <w:sz w:val="24"/>
                <w:szCs w:val="24"/>
                <w:lang w:eastAsia="zh-CN"/>
              </w:rPr>
              <w:t>]</w:t>
            </w:r>
          </w:p>
        </w:tc>
      </w:tr>
      <w:tr w:rsidR="006138C7" w:rsidRPr="00390EBD" w14:paraId="3FDDFF7D" w14:textId="77777777" w:rsidTr="009046D6">
        <w:tc>
          <w:tcPr>
            <w:tcW w:w="1668" w:type="dxa"/>
            <w:shd w:val="clear" w:color="auto" w:fill="auto"/>
          </w:tcPr>
          <w:p w14:paraId="25AE7902" w14:textId="795D7A44"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val="nl-NL" w:eastAsia="es-ES"/>
              </w:rPr>
            </w:pPr>
            <w:r w:rsidRPr="00390EBD">
              <w:rPr>
                <w:rFonts w:ascii="Book Antiqua" w:hAnsi="Book Antiqua" w:cs="Book Antiqua"/>
                <w:color w:val="000000"/>
                <w:sz w:val="24"/>
                <w:szCs w:val="24"/>
                <w:lang w:val="nl-NL" w:eastAsia="es-ES"/>
              </w:rPr>
              <w:t xml:space="preserve">Van Dieren </w:t>
            </w:r>
            <w:r w:rsidR="009046D6" w:rsidRPr="009046D6">
              <w:rPr>
                <w:rFonts w:ascii="Book Antiqua" w:hAnsi="Book Antiqua" w:cs="Book Antiqua"/>
                <w:i/>
                <w:color w:val="000000"/>
                <w:sz w:val="24"/>
                <w:szCs w:val="24"/>
                <w:lang w:val="nl-NL" w:eastAsia="es-ES"/>
              </w:rPr>
              <w:t>et al</w:t>
            </w:r>
            <w:r w:rsidRPr="00390EBD">
              <w:rPr>
                <w:rFonts w:ascii="Book Antiqua" w:hAnsi="Book Antiqua" w:cs="Book Antiqua"/>
                <w:color w:val="000000"/>
                <w:sz w:val="24"/>
                <w:szCs w:val="24"/>
                <w:lang w:val="nl-NL" w:eastAsia="es-ES"/>
              </w:rPr>
              <w:t xml:space="preserve"> (2005)</w:t>
            </w:r>
          </w:p>
        </w:tc>
        <w:tc>
          <w:tcPr>
            <w:tcW w:w="1842" w:type="dxa"/>
            <w:shd w:val="clear" w:color="auto" w:fill="auto"/>
          </w:tcPr>
          <w:p w14:paraId="31650CF5"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val="nl-NL" w:eastAsia="es-ES"/>
              </w:rPr>
            </w:pPr>
          </w:p>
          <w:p w14:paraId="0CAED492"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t>109</w:t>
            </w:r>
          </w:p>
        </w:tc>
        <w:tc>
          <w:tcPr>
            <w:tcW w:w="3969" w:type="dxa"/>
            <w:shd w:val="clear" w:color="auto" w:fill="auto"/>
          </w:tcPr>
          <w:p w14:paraId="2A1D960B" w14:textId="0C7A196C"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val="en-US" w:eastAsia="es-ES"/>
              </w:rPr>
            </w:pPr>
            <w:r w:rsidRPr="00390EBD">
              <w:rPr>
                <w:rFonts w:ascii="Book Antiqua" w:hAnsi="Book Antiqua" w:cs="Book Antiqua"/>
                <w:color w:val="000000"/>
                <w:sz w:val="24"/>
                <w:szCs w:val="24"/>
                <w:shd w:val="clear" w:color="auto" w:fill="FFFFFF"/>
                <w:lang w:val="en-US"/>
              </w:rPr>
              <w:t>Not</w:t>
            </w:r>
            <w:r w:rsidR="00D95AD7">
              <w:rPr>
                <w:rFonts w:ascii="Book Antiqua" w:hAnsi="Book Antiqua" w:cs="Book Antiqua"/>
                <w:color w:val="000000"/>
                <w:sz w:val="24"/>
                <w:szCs w:val="24"/>
                <w:shd w:val="clear" w:color="auto" w:fill="FFFFFF"/>
                <w:lang w:val="en-US"/>
              </w:rPr>
              <w:t xml:space="preserve"> </w:t>
            </w:r>
            <w:r w:rsidRPr="00390EBD">
              <w:rPr>
                <w:rFonts w:ascii="Book Antiqua" w:hAnsi="Book Antiqua" w:cs="Book Antiqua"/>
                <w:color w:val="000000"/>
                <w:sz w:val="24"/>
                <w:szCs w:val="24"/>
                <w:shd w:val="clear" w:color="auto" w:fill="FFFFFF"/>
                <w:lang w:val="en-US"/>
              </w:rPr>
              <w:t>associated with an increased risk for the development of leucopenia and</w:t>
            </w:r>
            <w:r w:rsidR="00D95AD7">
              <w:rPr>
                <w:rFonts w:ascii="Book Antiqua" w:hAnsi="Book Antiqua" w:cs="Book Antiqua"/>
                <w:color w:val="000000"/>
                <w:sz w:val="24"/>
                <w:szCs w:val="24"/>
                <w:shd w:val="clear" w:color="auto" w:fill="FFFFFF"/>
                <w:lang w:val="en-US"/>
              </w:rPr>
              <w:t xml:space="preserve"> </w:t>
            </w:r>
            <w:r w:rsidRPr="00390EBD">
              <w:rPr>
                <w:rFonts w:ascii="Book Antiqua" w:hAnsi="Book Antiqua" w:cs="Book Antiqua"/>
                <w:color w:val="000000"/>
                <w:sz w:val="24"/>
                <w:szCs w:val="24"/>
                <w:shd w:val="clear" w:color="auto" w:fill="FFFFFF"/>
                <w:lang w:val="en-US"/>
              </w:rPr>
              <w:t>other side effects.</w:t>
            </w:r>
          </w:p>
        </w:tc>
        <w:tc>
          <w:tcPr>
            <w:tcW w:w="1165" w:type="dxa"/>
            <w:shd w:val="clear" w:color="auto" w:fill="auto"/>
          </w:tcPr>
          <w:p w14:paraId="4C11F5E4"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val="en-US" w:eastAsia="es-ES"/>
              </w:rPr>
            </w:pPr>
          </w:p>
          <w:p w14:paraId="68131A1F" w14:textId="37E0F811" w:rsidR="006138C7" w:rsidRPr="00390EBD" w:rsidRDefault="009046D6" w:rsidP="00954CEE">
            <w:pPr>
              <w:autoSpaceDE w:val="0"/>
              <w:autoSpaceDN w:val="0"/>
              <w:adjustRightInd w:val="0"/>
              <w:snapToGrid w:val="0"/>
              <w:spacing w:after="0" w:line="360" w:lineRule="auto"/>
              <w:jc w:val="both"/>
              <w:rPr>
                <w:rFonts w:ascii="Book Antiqua" w:hAnsi="Book Antiqua" w:cs="Book Antiqua"/>
                <w:color w:val="000000"/>
                <w:sz w:val="24"/>
                <w:szCs w:val="24"/>
                <w:lang w:eastAsia="zh-CN"/>
              </w:rPr>
            </w:pPr>
            <w:r>
              <w:rPr>
                <w:rFonts w:ascii="Book Antiqua" w:hAnsi="Book Antiqua" w:cs="Book Antiqua" w:hint="eastAsia"/>
                <w:color w:val="000000"/>
                <w:sz w:val="24"/>
                <w:szCs w:val="24"/>
                <w:lang w:eastAsia="zh-CN"/>
              </w:rPr>
              <w:t>[</w:t>
            </w:r>
            <w:r w:rsidR="006138C7" w:rsidRPr="00390EBD">
              <w:rPr>
                <w:rFonts w:ascii="Book Antiqua" w:hAnsi="Book Antiqua" w:cs="Book Antiqua"/>
                <w:color w:val="000000"/>
                <w:sz w:val="24"/>
                <w:szCs w:val="24"/>
                <w:lang w:eastAsia="es-ES"/>
              </w:rPr>
              <w:t>41</w:t>
            </w:r>
            <w:r>
              <w:rPr>
                <w:rFonts w:ascii="Book Antiqua" w:hAnsi="Book Antiqua" w:cs="Book Antiqua" w:hint="eastAsia"/>
                <w:color w:val="000000"/>
                <w:sz w:val="24"/>
                <w:szCs w:val="24"/>
                <w:lang w:eastAsia="zh-CN"/>
              </w:rPr>
              <w:t>]</w:t>
            </w:r>
          </w:p>
        </w:tc>
      </w:tr>
      <w:tr w:rsidR="006138C7" w:rsidRPr="00390EBD" w14:paraId="031BD9A7" w14:textId="77777777" w:rsidTr="009046D6">
        <w:tc>
          <w:tcPr>
            <w:tcW w:w="1668" w:type="dxa"/>
            <w:shd w:val="clear" w:color="auto" w:fill="auto"/>
          </w:tcPr>
          <w:p w14:paraId="429F2B49" w14:textId="122875F2"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t xml:space="preserve">Zelinkova </w:t>
            </w:r>
            <w:r w:rsidR="009046D6" w:rsidRPr="009046D6">
              <w:rPr>
                <w:rFonts w:ascii="Book Antiqua" w:hAnsi="Book Antiqua" w:cs="Book Antiqua"/>
                <w:i/>
                <w:color w:val="000000"/>
                <w:sz w:val="24"/>
                <w:szCs w:val="24"/>
                <w:lang w:eastAsia="es-ES"/>
              </w:rPr>
              <w:t>et al</w:t>
            </w:r>
            <w:r w:rsidRPr="00390EBD">
              <w:rPr>
                <w:rFonts w:ascii="Book Antiqua" w:hAnsi="Book Antiqua" w:cs="Book Antiqua"/>
                <w:color w:val="000000"/>
                <w:sz w:val="24"/>
                <w:szCs w:val="24"/>
                <w:lang w:eastAsia="es-ES"/>
              </w:rPr>
              <w:t xml:space="preserve"> (2006)</w:t>
            </w:r>
          </w:p>
        </w:tc>
        <w:tc>
          <w:tcPr>
            <w:tcW w:w="1842" w:type="dxa"/>
            <w:tcBorders>
              <w:left w:val="nil"/>
              <w:right w:val="nil"/>
            </w:tcBorders>
            <w:shd w:val="clear" w:color="auto" w:fill="auto"/>
          </w:tcPr>
          <w:p w14:paraId="6F4C774B"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p>
          <w:p w14:paraId="6389680A"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t>262</w:t>
            </w:r>
          </w:p>
        </w:tc>
        <w:tc>
          <w:tcPr>
            <w:tcW w:w="3969" w:type="dxa"/>
            <w:shd w:val="clear" w:color="auto" w:fill="auto"/>
          </w:tcPr>
          <w:p w14:paraId="296921C6"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p>
          <w:p w14:paraId="4141701D"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t>Increased risk of leucopenia</w:t>
            </w:r>
          </w:p>
          <w:p w14:paraId="0676D172"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p>
        </w:tc>
        <w:tc>
          <w:tcPr>
            <w:tcW w:w="1165" w:type="dxa"/>
            <w:tcBorders>
              <w:left w:val="nil"/>
              <w:right w:val="nil"/>
            </w:tcBorders>
            <w:shd w:val="clear" w:color="auto" w:fill="auto"/>
          </w:tcPr>
          <w:p w14:paraId="174DABC7"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p>
          <w:p w14:paraId="19C3AEF6" w14:textId="3789F0DE" w:rsidR="006138C7" w:rsidRPr="00390EBD" w:rsidRDefault="009046D6" w:rsidP="00954CEE">
            <w:pPr>
              <w:autoSpaceDE w:val="0"/>
              <w:autoSpaceDN w:val="0"/>
              <w:adjustRightInd w:val="0"/>
              <w:snapToGrid w:val="0"/>
              <w:spacing w:after="0" w:line="360" w:lineRule="auto"/>
              <w:jc w:val="both"/>
              <w:rPr>
                <w:rFonts w:ascii="Book Antiqua" w:hAnsi="Book Antiqua" w:cs="Book Antiqua"/>
                <w:color w:val="000000"/>
                <w:sz w:val="24"/>
                <w:szCs w:val="24"/>
                <w:lang w:eastAsia="zh-CN"/>
              </w:rPr>
            </w:pPr>
            <w:r>
              <w:rPr>
                <w:rFonts w:ascii="Book Antiqua" w:hAnsi="Book Antiqua" w:cs="Book Antiqua" w:hint="eastAsia"/>
                <w:color w:val="000000"/>
                <w:sz w:val="24"/>
                <w:szCs w:val="24"/>
                <w:lang w:eastAsia="zh-CN"/>
              </w:rPr>
              <w:t>[</w:t>
            </w:r>
            <w:r w:rsidR="006138C7" w:rsidRPr="00390EBD">
              <w:rPr>
                <w:rFonts w:ascii="Book Antiqua" w:hAnsi="Book Antiqua" w:cs="Book Antiqua"/>
                <w:color w:val="000000"/>
                <w:sz w:val="24"/>
                <w:szCs w:val="24"/>
                <w:lang w:eastAsia="es-ES"/>
              </w:rPr>
              <w:t>42</w:t>
            </w:r>
            <w:r>
              <w:rPr>
                <w:rFonts w:ascii="Book Antiqua" w:hAnsi="Book Antiqua" w:cs="Book Antiqua" w:hint="eastAsia"/>
                <w:color w:val="000000"/>
                <w:sz w:val="24"/>
                <w:szCs w:val="24"/>
                <w:lang w:eastAsia="zh-CN"/>
              </w:rPr>
              <w:t>]</w:t>
            </w:r>
          </w:p>
        </w:tc>
      </w:tr>
      <w:tr w:rsidR="006138C7" w:rsidRPr="00390EBD" w14:paraId="436D9783" w14:textId="77777777" w:rsidTr="009046D6">
        <w:tc>
          <w:tcPr>
            <w:tcW w:w="1668" w:type="dxa"/>
            <w:shd w:val="clear" w:color="auto" w:fill="auto"/>
          </w:tcPr>
          <w:p w14:paraId="5E799DAE" w14:textId="3C8A1995"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t xml:space="preserve">Uchiyama </w:t>
            </w:r>
            <w:r w:rsidR="009046D6" w:rsidRPr="009046D6">
              <w:rPr>
                <w:rFonts w:ascii="Book Antiqua" w:hAnsi="Book Antiqua" w:cs="Book Antiqua"/>
                <w:i/>
                <w:color w:val="000000"/>
                <w:sz w:val="24"/>
                <w:szCs w:val="24"/>
                <w:lang w:eastAsia="es-ES"/>
              </w:rPr>
              <w:t>et al</w:t>
            </w:r>
            <w:r w:rsidRPr="00390EBD">
              <w:rPr>
                <w:rFonts w:ascii="Book Antiqua" w:hAnsi="Book Antiqua" w:cs="Book Antiqua"/>
                <w:color w:val="000000"/>
                <w:sz w:val="24"/>
                <w:szCs w:val="24"/>
                <w:lang w:eastAsia="es-ES"/>
              </w:rPr>
              <w:t xml:space="preserve"> (2009)</w:t>
            </w:r>
          </w:p>
        </w:tc>
        <w:tc>
          <w:tcPr>
            <w:tcW w:w="1842" w:type="dxa"/>
            <w:shd w:val="clear" w:color="auto" w:fill="auto"/>
          </w:tcPr>
          <w:p w14:paraId="7AA2F706"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p>
          <w:p w14:paraId="58EB97B7"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t>16</w:t>
            </w:r>
          </w:p>
        </w:tc>
        <w:tc>
          <w:tcPr>
            <w:tcW w:w="3969" w:type="dxa"/>
            <w:shd w:val="clear" w:color="auto" w:fill="auto"/>
          </w:tcPr>
          <w:p w14:paraId="61282F1B"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val="en-US" w:eastAsia="es-ES"/>
              </w:rPr>
            </w:pPr>
            <w:r w:rsidRPr="00390EBD">
              <w:rPr>
                <w:rFonts w:ascii="Book Antiqua" w:hAnsi="Book Antiqua" w:cs="Book Antiqua"/>
                <w:color w:val="000000"/>
                <w:sz w:val="24"/>
                <w:szCs w:val="24"/>
                <w:lang w:val="en-US" w:eastAsia="es-ES"/>
              </w:rPr>
              <w:t>Increase risk of mielotoxicity (leucopenia)</w:t>
            </w:r>
          </w:p>
        </w:tc>
        <w:tc>
          <w:tcPr>
            <w:tcW w:w="1165" w:type="dxa"/>
            <w:shd w:val="clear" w:color="auto" w:fill="auto"/>
          </w:tcPr>
          <w:p w14:paraId="5DA400AA"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val="en-US" w:eastAsia="es-ES"/>
              </w:rPr>
            </w:pPr>
          </w:p>
          <w:p w14:paraId="77BA5C23" w14:textId="5660FB44" w:rsidR="006138C7" w:rsidRPr="00390EBD" w:rsidRDefault="009046D6" w:rsidP="00954CEE">
            <w:pPr>
              <w:autoSpaceDE w:val="0"/>
              <w:autoSpaceDN w:val="0"/>
              <w:adjustRightInd w:val="0"/>
              <w:snapToGrid w:val="0"/>
              <w:spacing w:after="0" w:line="360" w:lineRule="auto"/>
              <w:jc w:val="both"/>
              <w:rPr>
                <w:rFonts w:ascii="Book Antiqua" w:hAnsi="Book Antiqua" w:cs="Book Antiqua"/>
                <w:color w:val="000000"/>
                <w:sz w:val="24"/>
                <w:szCs w:val="24"/>
                <w:lang w:eastAsia="zh-CN"/>
              </w:rPr>
            </w:pPr>
            <w:r>
              <w:rPr>
                <w:rFonts w:ascii="Book Antiqua" w:hAnsi="Book Antiqua" w:cs="Book Antiqua" w:hint="eastAsia"/>
                <w:color w:val="000000"/>
                <w:sz w:val="24"/>
                <w:szCs w:val="24"/>
                <w:lang w:eastAsia="zh-CN"/>
              </w:rPr>
              <w:t>[</w:t>
            </w:r>
            <w:r w:rsidR="006138C7" w:rsidRPr="00390EBD">
              <w:rPr>
                <w:rFonts w:ascii="Book Antiqua" w:hAnsi="Book Antiqua" w:cs="Book Antiqua"/>
                <w:color w:val="000000"/>
                <w:sz w:val="24"/>
                <w:szCs w:val="24"/>
                <w:lang w:eastAsia="es-ES"/>
              </w:rPr>
              <w:t>43</w:t>
            </w:r>
            <w:r>
              <w:rPr>
                <w:rFonts w:ascii="Book Antiqua" w:hAnsi="Book Antiqua" w:cs="Book Antiqua" w:hint="eastAsia"/>
                <w:color w:val="000000"/>
                <w:sz w:val="24"/>
                <w:szCs w:val="24"/>
                <w:lang w:eastAsia="zh-CN"/>
              </w:rPr>
              <w:t>]</w:t>
            </w:r>
          </w:p>
        </w:tc>
      </w:tr>
      <w:tr w:rsidR="006138C7" w:rsidRPr="00390EBD" w14:paraId="4F6BC27E" w14:textId="77777777" w:rsidTr="009046D6">
        <w:tc>
          <w:tcPr>
            <w:tcW w:w="1668" w:type="dxa"/>
            <w:shd w:val="clear" w:color="auto" w:fill="auto"/>
          </w:tcPr>
          <w:p w14:paraId="5E5A4C89" w14:textId="35418654"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t xml:space="preserve">Shipkova </w:t>
            </w:r>
            <w:r w:rsidR="009046D6" w:rsidRPr="009046D6">
              <w:rPr>
                <w:rFonts w:ascii="Book Antiqua" w:hAnsi="Book Antiqua" w:cs="Book Antiqua"/>
                <w:i/>
                <w:color w:val="000000"/>
                <w:sz w:val="24"/>
                <w:szCs w:val="24"/>
                <w:lang w:eastAsia="es-ES"/>
              </w:rPr>
              <w:t xml:space="preserve">et </w:t>
            </w:r>
            <w:r w:rsidR="009046D6" w:rsidRPr="009046D6">
              <w:rPr>
                <w:rFonts w:ascii="Book Antiqua" w:hAnsi="Book Antiqua" w:cs="Book Antiqua"/>
                <w:i/>
                <w:color w:val="000000"/>
                <w:sz w:val="24"/>
                <w:szCs w:val="24"/>
                <w:lang w:eastAsia="es-ES"/>
              </w:rPr>
              <w:lastRenderedPageBreak/>
              <w:t>al</w:t>
            </w:r>
            <w:r w:rsidRPr="00390EBD">
              <w:rPr>
                <w:rFonts w:ascii="Book Antiqua" w:hAnsi="Book Antiqua" w:cs="Book Antiqua"/>
                <w:color w:val="000000"/>
                <w:sz w:val="24"/>
                <w:szCs w:val="24"/>
                <w:lang w:eastAsia="es-ES"/>
              </w:rPr>
              <w:t xml:space="preserve"> (2011)</w:t>
            </w:r>
          </w:p>
        </w:tc>
        <w:tc>
          <w:tcPr>
            <w:tcW w:w="1842" w:type="dxa"/>
            <w:tcBorders>
              <w:left w:val="nil"/>
              <w:right w:val="nil"/>
            </w:tcBorders>
            <w:shd w:val="clear" w:color="auto" w:fill="auto"/>
          </w:tcPr>
          <w:p w14:paraId="49371CB4"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p>
          <w:p w14:paraId="625505AC"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lastRenderedPageBreak/>
              <w:t>160</w:t>
            </w:r>
          </w:p>
        </w:tc>
        <w:tc>
          <w:tcPr>
            <w:tcW w:w="3969" w:type="dxa"/>
            <w:shd w:val="clear" w:color="auto" w:fill="auto"/>
          </w:tcPr>
          <w:p w14:paraId="72C780FB"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p>
          <w:p w14:paraId="6AAC13CB"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lastRenderedPageBreak/>
              <w:t>Increase risk of mielotoxicity</w:t>
            </w:r>
          </w:p>
          <w:p w14:paraId="66804143"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p>
        </w:tc>
        <w:tc>
          <w:tcPr>
            <w:tcW w:w="1165" w:type="dxa"/>
            <w:tcBorders>
              <w:left w:val="nil"/>
              <w:right w:val="nil"/>
            </w:tcBorders>
            <w:shd w:val="clear" w:color="auto" w:fill="auto"/>
          </w:tcPr>
          <w:p w14:paraId="6154A478"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p>
          <w:p w14:paraId="07367679" w14:textId="11A6762F" w:rsidR="006138C7" w:rsidRPr="00390EBD" w:rsidRDefault="009046D6" w:rsidP="00954CEE">
            <w:pPr>
              <w:autoSpaceDE w:val="0"/>
              <w:autoSpaceDN w:val="0"/>
              <w:adjustRightInd w:val="0"/>
              <w:snapToGrid w:val="0"/>
              <w:spacing w:after="0" w:line="360" w:lineRule="auto"/>
              <w:jc w:val="both"/>
              <w:rPr>
                <w:rFonts w:ascii="Book Antiqua" w:hAnsi="Book Antiqua" w:cs="Book Antiqua"/>
                <w:color w:val="000000"/>
                <w:sz w:val="24"/>
                <w:szCs w:val="24"/>
                <w:lang w:eastAsia="zh-CN"/>
              </w:rPr>
            </w:pPr>
            <w:r>
              <w:rPr>
                <w:rFonts w:ascii="Book Antiqua" w:hAnsi="Book Antiqua" w:cs="Book Antiqua" w:hint="eastAsia"/>
                <w:color w:val="000000"/>
                <w:sz w:val="24"/>
                <w:szCs w:val="24"/>
                <w:lang w:eastAsia="zh-CN"/>
              </w:rPr>
              <w:lastRenderedPageBreak/>
              <w:t>[</w:t>
            </w:r>
            <w:r w:rsidR="006138C7" w:rsidRPr="00390EBD">
              <w:rPr>
                <w:rFonts w:ascii="Book Antiqua" w:hAnsi="Book Antiqua" w:cs="Book Antiqua"/>
                <w:color w:val="000000"/>
                <w:sz w:val="24"/>
                <w:szCs w:val="24"/>
                <w:lang w:eastAsia="es-ES"/>
              </w:rPr>
              <w:t>44</w:t>
            </w:r>
            <w:r>
              <w:rPr>
                <w:rFonts w:ascii="Book Antiqua" w:hAnsi="Book Antiqua" w:cs="Book Antiqua" w:hint="eastAsia"/>
                <w:color w:val="000000"/>
                <w:sz w:val="24"/>
                <w:szCs w:val="24"/>
                <w:lang w:eastAsia="zh-CN"/>
              </w:rPr>
              <w:t>]</w:t>
            </w:r>
          </w:p>
        </w:tc>
      </w:tr>
      <w:tr w:rsidR="006138C7" w:rsidRPr="00390EBD" w14:paraId="0600E5BF" w14:textId="77777777" w:rsidTr="009046D6">
        <w:tc>
          <w:tcPr>
            <w:tcW w:w="1668" w:type="dxa"/>
            <w:shd w:val="clear" w:color="auto" w:fill="auto"/>
          </w:tcPr>
          <w:p w14:paraId="74114100" w14:textId="2DCB0DF2"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lastRenderedPageBreak/>
              <w:t xml:space="preserve">Kim </w:t>
            </w:r>
            <w:r w:rsidR="009046D6" w:rsidRPr="009046D6">
              <w:rPr>
                <w:rFonts w:ascii="Book Antiqua" w:hAnsi="Book Antiqua" w:cs="Book Antiqua"/>
                <w:i/>
                <w:color w:val="000000"/>
                <w:sz w:val="24"/>
                <w:szCs w:val="24"/>
                <w:lang w:eastAsia="es-ES"/>
              </w:rPr>
              <w:t>et al</w:t>
            </w:r>
            <w:r w:rsidRPr="00390EBD">
              <w:rPr>
                <w:rFonts w:ascii="Book Antiqua" w:hAnsi="Book Antiqua" w:cs="Book Antiqua"/>
                <w:color w:val="000000"/>
                <w:sz w:val="24"/>
                <w:szCs w:val="24"/>
                <w:lang w:eastAsia="es-ES"/>
              </w:rPr>
              <w:t xml:space="preserve"> (2010)</w:t>
            </w:r>
          </w:p>
        </w:tc>
        <w:tc>
          <w:tcPr>
            <w:tcW w:w="1842" w:type="dxa"/>
            <w:shd w:val="clear" w:color="auto" w:fill="auto"/>
          </w:tcPr>
          <w:p w14:paraId="54F7860C"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p>
          <w:p w14:paraId="36DE6DAD"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t>248</w:t>
            </w:r>
          </w:p>
        </w:tc>
        <w:tc>
          <w:tcPr>
            <w:tcW w:w="3969" w:type="dxa"/>
            <w:shd w:val="clear" w:color="auto" w:fill="auto"/>
          </w:tcPr>
          <w:p w14:paraId="0E224E3B"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p>
          <w:p w14:paraId="551FF2BE"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t>No association with leucopenia</w:t>
            </w:r>
          </w:p>
        </w:tc>
        <w:tc>
          <w:tcPr>
            <w:tcW w:w="1165" w:type="dxa"/>
            <w:shd w:val="clear" w:color="auto" w:fill="auto"/>
          </w:tcPr>
          <w:p w14:paraId="45B03D89"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p>
          <w:p w14:paraId="15359ACC" w14:textId="2BD98D4F" w:rsidR="006138C7" w:rsidRPr="00390EBD" w:rsidRDefault="009046D6" w:rsidP="00954CEE">
            <w:pPr>
              <w:autoSpaceDE w:val="0"/>
              <w:autoSpaceDN w:val="0"/>
              <w:adjustRightInd w:val="0"/>
              <w:snapToGrid w:val="0"/>
              <w:spacing w:after="0" w:line="360" w:lineRule="auto"/>
              <w:jc w:val="both"/>
              <w:rPr>
                <w:rFonts w:ascii="Book Antiqua" w:hAnsi="Book Antiqua" w:cs="Book Antiqua"/>
                <w:color w:val="000000"/>
                <w:sz w:val="24"/>
                <w:szCs w:val="24"/>
                <w:lang w:eastAsia="zh-CN"/>
              </w:rPr>
            </w:pPr>
            <w:r>
              <w:rPr>
                <w:rFonts w:ascii="Book Antiqua" w:hAnsi="Book Antiqua" w:cs="Book Antiqua" w:hint="eastAsia"/>
                <w:color w:val="000000"/>
                <w:sz w:val="24"/>
                <w:szCs w:val="24"/>
                <w:lang w:eastAsia="zh-CN"/>
              </w:rPr>
              <w:t>[</w:t>
            </w:r>
            <w:r w:rsidR="006138C7" w:rsidRPr="00390EBD">
              <w:rPr>
                <w:rFonts w:ascii="Book Antiqua" w:hAnsi="Book Antiqua" w:cs="Book Antiqua"/>
                <w:color w:val="000000"/>
                <w:sz w:val="24"/>
                <w:szCs w:val="24"/>
                <w:lang w:eastAsia="es-ES"/>
              </w:rPr>
              <w:t>45</w:t>
            </w:r>
            <w:r>
              <w:rPr>
                <w:rFonts w:ascii="Book Antiqua" w:hAnsi="Book Antiqua" w:cs="Book Antiqua" w:hint="eastAsia"/>
                <w:color w:val="000000"/>
                <w:sz w:val="24"/>
                <w:szCs w:val="24"/>
                <w:lang w:eastAsia="zh-CN"/>
              </w:rPr>
              <w:t>]</w:t>
            </w:r>
          </w:p>
          <w:p w14:paraId="44803869"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p>
        </w:tc>
      </w:tr>
      <w:tr w:rsidR="006138C7" w:rsidRPr="00390EBD" w14:paraId="415BE0C7" w14:textId="77777777" w:rsidTr="009046D6">
        <w:tc>
          <w:tcPr>
            <w:tcW w:w="1668" w:type="dxa"/>
            <w:tcBorders>
              <w:bottom w:val="single" w:sz="8" w:space="0" w:color="000000"/>
            </w:tcBorders>
            <w:shd w:val="clear" w:color="auto" w:fill="auto"/>
          </w:tcPr>
          <w:p w14:paraId="6B7A7C71" w14:textId="11C7C99E"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t>Zabala-Fernandez</w:t>
            </w:r>
            <w:r w:rsidR="00D95AD7">
              <w:rPr>
                <w:rFonts w:ascii="Book Antiqua" w:hAnsi="Book Antiqua" w:cs="Book Antiqua"/>
                <w:color w:val="000000"/>
                <w:sz w:val="24"/>
                <w:szCs w:val="24"/>
                <w:lang w:eastAsia="es-ES"/>
              </w:rPr>
              <w:t xml:space="preserve"> </w:t>
            </w:r>
            <w:r w:rsidR="009046D6" w:rsidRPr="009046D6">
              <w:rPr>
                <w:rFonts w:ascii="Book Antiqua" w:hAnsi="Book Antiqua" w:cs="Book Antiqua"/>
                <w:i/>
                <w:color w:val="000000"/>
                <w:sz w:val="24"/>
                <w:szCs w:val="24"/>
                <w:lang w:eastAsia="es-ES"/>
              </w:rPr>
              <w:t>et al</w:t>
            </w:r>
            <w:r w:rsidRPr="00390EBD">
              <w:rPr>
                <w:rFonts w:ascii="Book Antiqua" w:hAnsi="Book Antiqua" w:cs="Book Antiqua"/>
                <w:color w:val="000000"/>
                <w:sz w:val="24"/>
                <w:szCs w:val="24"/>
                <w:lang w:eastAsia="es-ES"/>
              </w:rPr>
              <w:t xml:space="preserve"> (2011)</w:t>
            </w:r>
          </w:p>
        </w:tc>
        <w:tc>
          <w:tcPr>
            <w:tcW w:w="1842" w:type="dxa"/>
            <w:tcBorders>
              <w:left w:val="nil"/>
              <w:bottom w:val="single" w:sz="8" w:space="0" w:color="000000"/>
              <w:right w:val="nil"/>
            </w:tcBorders>
            <w:shd w:val="clear" w:color="auto" w:fill="auto"/>
          </w:tcPr>
          <w:p w14:paraId="5504F3C2"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p>
          <w:p w14:paraId="3A084B4B"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t>232</w:t>
            </w:r>
          </w:p>
        </w:tc>
        <w:tc>
          <w:tcPr>
            <w:tcW w:w="3969" w:type="dxa"/>
            <w:tcBorders>
              <w:bottom w:val="single" w:sz="8" w:space="0" w:color="000000"/>
            </w:tcBorders>
            <w:shd w:val="clear" w:color="auto" w:fill="auto"/>
          </w:tcPr>
          <w:p w14:paraId="6B3D52B6"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r w:rsidRPr="00390EBD">
              <w:rPr>
                <w:rFonts w:ascii="Book Antiqua" w:hAnsi="Book Antiqua" w:cs="Book Antiqua"/>
                <w:color w:val="000000"/>
                <w:sz w:val="24"/>
                <w:szCs w:val="24"/>
                <w:lang w:eastAsia="es-ES"/>
              </w:rPr>
              <w:t>Significant association with artralgia</w:t>
            </w:r>
          </w:p>
        </w:tc>
        <w:tc>
          <w:tcPr>
            <w:tcW w:w="1165" w:type="dxa"/>
            <w:tcBorders>
              <w:left w:val="nil"/>
              <w:bottom w:val="single" w:sz="8" w:space="0" w:color="000000"/>
              <w:right w:val="nil"/>
            </w:tcBorders>
            <w:shd w:val="clear" w:color="auto" w:fill="auto"/>
          </w:tcPr>
          <w:p w14:paraId="2A9B017C"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color w:val="000000"/>
                <w:sz w:val="24"/>
                <w:szCs w:val="24"/>
                <w:lang w:eastAsia="es-ES"/>
              </w:rPr>
            </w:pPr>
          </w:p>
          <w:p w14:paraId="1794C525" w14:textId="57900DEE" w:rsidR="006138C7" w:rsidRPr="00390EBD" w:rsidRDefault="009046D6" w:rsidP="00954CEE">
            <w:pPr>
              <w:autoSpaceDE w:val="0"/>
              <w:autoSpaceDN w:val="0"/>
              <w:adjustRightInd w:val="0"/>
              <w:snapToGrid w:val="0"/>
              <w:spacing w:after="0" w:line="360" w:lineRule="auto"/>
              <w:jc w:val="both"/>
              <w:rPr>
                <w:rFonts w:ascii="Book Antiqua" w:hAnsi="Book Antiqua" w:cs="Book Antiqua"/>
                <w:color w:val="000000"/>
                <w:sz w:val="24"/>
                <w:szCs w:val="24"/>
                <w:lang w:eastAsia="zh-CN"/>
              </w:rPr>
            </w:pPr>
            <w:r>
              <w:rPr>
                <w:rFonts w:ascii="Book Antiqua" w:hAnsi="Book Antiqua" w:cs="Book Antiqua" w:hint="eastAsia"/>
                <w:color w:val="000000"/>
                <w:sz w:val="24"/>
                <w:szCs w:val="24"/>
                <w:lang w:eastAsia="zh-CN"/>
              </w:rPr>
              <w:t>[</w:t>
            </w:r>
            <w:r w:rsidR="006138C7" w:rsidRPr="00390EBD">
              <w:rPr>
                <w:rFonts w:ascii="Book Antiqua" w:hAnsi="Book Antiqua" w:cs="Book Antiqua"/>
                <w:color w:val="000000"/>
                <w:sz w:val="24"/>
                <w:szCs w:val="24"/>
                <w:lang w:eastAsia="es-ES"/>
              </w:rPr>
              <w:t>46</w:t>
            </w:r>
            <w:r>
              <w:rPr>
                <w:rFonts w:ascii="Book Antiqua" w:hAnsi="Book Antiqua" w:cs="Book Antiqua" w:hint="eastAsia"/>
                <w:color w:val="000000"/>
                <w:sz w:val="24"/>
                <w:szCs w:val="24"/>
                <w:lang w:eastAsia="zh-CN"/>
              </w:rPr>
              <w:t>]</w:t>
            </w:r>
          </w:p>
        </w:tc>
      </w:tr>
    </w:tbl>
    <w:p w14:paraId="7CCAFEF1"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p>
    <w:p w14:paraId="12A35CCA" w14:textId="20993F7D" w:rsidR="009046D6" w:rsidRDefault="009046D6" w:rsidP="00954CEE">
      <w:pPr>
        <w:autoSpaceDE w:val="0"/>
        <w:autoSpaceDN w:val="0"/>
        <w:adjustRightInd w:val="0"/>
        <w:snapToGrid w:val="0"/>
        <w:spacing w:after="0" w:line="360" w:lineRule="auto"/>
        <w:jc w:val="both"/>
        <w:rPr>
          <w:rFonts w:ascii="Book Antiqua" w:hAnsi="Book Antiqua" w:cs="Book Antiqua"/>
          <w:sz w:val="24"/>
          <w:szCs w:val="24"/>
          <w:lang w:val="en-US"/>
        </w:rPr>
      </w:pPr>
      <w:r>
        <w:rPr>
          <w:rFonts w:ascii="Book Antiqua" w:hAnsi="Book Antiqua" w:cs="Book Antiqua"/>
          <w:sz w:val="24"/>
          <w:szCs w:val="24"/>
          <w:lang w:val="en-US"/>
        </w:rPr>
        <w:br w:type="page"/>
      </w:r>
    </w:p>
    <w:tbl>
      <w:tblPr>
        <w:tblpPr w:leftFromText="141" w:rightFromText="141" w:vertAnchor="text" w:horzAnchor="margin" w:tblpXSpec="right" w:tblpY="-70"/>
        <w:tblW w:w="9747" w:type="dxa"/>
        <w:tblBorders>
          <w:top w:val="single" w:sz="8" w:space="0" w:color="000000"/>
          <w:bottom w:val="single" w:sz="8" w:space="0" w:color="000000"/>
        </w:tblBorders>
        <w:tblLook w:val="00A0" w:firstRow="1" w:lastRow="0" w:firstColumn="1" w:lastColumn="0" w:noHBand="0" w:noVBand="0"/>
      </w:tblPr>
      <w:tblGrid>
        <w:gridCol w:w="1794"/>
        <w:gridCol w:w="1203"/>
        <w:gridCol w:w="1705"/>
        <w:gridCol w:w="2136"/>
        <w:gridCol w:w="2215"/>
        <w:gridCol w:w="694"/>
      </w:tblGrid>
      <w:tr w:rsidR="00E4267F" w:rsidRPr="00390EBD" w14:paraId="083DAA6A" w14:textId="77777777" w:rsidTr="00E4267F">
        <w:tc>
          <w:tcPr>
            <w:tcW w:w="9747" w:type="dxa"/>
            <w:gridSpan w:val="6"/>
            <w:tcBorders>
              <w:top w:val="nil"/>
              <w:bottom w:val="single" w:sz="8" w:space="0" w:color="000000"/>
            </w:tcBorders>
          </w:tcPr>
          <w:p w14:paraId="0A7366DC" w14:textId="77777777" w:rsidR="00E4267F" w:rsidRPr="00E4267F" w:rsidRDefault="00E4267F" w:rsidP="00954CEE">
            <w:pPr>
              <w:adjustRightInd w:val="0"/>
              <w:snapToGrid w:val="0"/>
              <w:spacing w:after="0" w:line="360" w:lineRule="auto"/>
              <w:jc w:val="both"/>
              <w:rPr>
                <w:rFonts w:ascii="Book Antiqua" w:hAnsi="Book Antiqua"/>
                <w:b/>
                <w:bCs/>
                <w:caps/>
                <w:color w:val="000000"/>
                <w:sz w:val="24"/>
                <w:szCs w:val="24"/>
                <w:lang w:val="en-GB"/>
              </w:rPr>
            </w:pPr>
            <w:r w:rsidRPr="00E4267F">
              <w:rPr>
                <w:rFonts w:ascii="Book Antiqua" w:hAnsi="Book Antiqua" w:cs="Book Antiqua"/>
                <w:b/>
                <w:sz w:val="24"/>
                <w:szCs w:val="24"/>
                <w:lang w:val="en-US"/>
              </w:rPr>
              <w:lastRenderedPageBreak/>
              <w:t>Table 3</w:t>
            </w:r>
            <w:r w:rsidRPr="00E4267F">
              <w:rPr>
                <w:rFonts w:ascii="Book Antiqua" w:hAnsi="Book Antiqua" w:cs="Book Antiqua" w:hint="eastAsia"/>
                <w:b/>
                <w:sz w:val="24"/>
                <w:szCs w:val="24"/>
                <w:lang w:val="en-US" w:eastAsia="zh-CN"/>
              </w:rPr>
              <w:t xml:space="preserve"> </w:t>
            </w:r>
            <w:r w:rsidRPr="00E4267F">
              <w:rPr>
                <w:rFonts w:ascii="Book Antiqua" w:hAnsi="Book Antiqua" w:cs="Book Antiqua"/>
                <w:b/>
                <w:sz w:val="24"/>
                <w:szCs w:val="24"/>
                <w:lang w:val="en-US"/>
              </w:rPr>
              <w:t xml:space="preserve">Genetic association studies of infliximab response in </w:t>
            </w:r>
            <w:r w:rsidRPr="00E4267F">
              <w:rPr>
                <w:b/>
              </w:rPr>
              <w:t xml:space="preserve"> </w:t>
            </w:r>
            <w:r w:rsidRPr="00E4267F">
              <w:rPr>
                <w:rFonts w:ascii="Book Antiqua" w:hAnsi="Book Antiqua" w:cs="Book Antiqua"/>
                <w:b/>
                <w:sz w:val="24"/>
                <w:szCs w:val="24"/>
                <w:lang w:val="en-US"/>
              </w:rPr>
              <w:t>inflammatory bowel disease patients</w:t>
            </w:r>
          </w:p>
        </w:tc>
      </w:tr>
      <w:tr w:rsidR="00E4267F" w:rsidRPr="00390EBD" w14:paraId="33657E64" w14:textId="77777777" w:rsidTr="00346E50">
        <w:tc>
          <w:tcPr>
            <w:tcW w:w="0" w:type="auto"/>
            <w:tcBorders>
              <w:top w:val="single" w:sz="8" w:space="0" w:color="000000"/>
              <w:bottom w:val="single" w:sz="8" w:space="0" w:color="000000"/>
            </w:tcBorders>
          </w:tcPr>
          <w:p w14:paraId="40BF6998" w14:textId="77777777" w:rsidR="00E4267F" w:rsidRPr="00390EBD" w:rsidRDefault="00E4267F" w:rsidP="00954CEE">
            <w:pPr>
              <w:adjustRightInd w:val="0"/>
              <w:snapToGrid w:val="0"/>
              <w:spacing w:after="0" w:line="360" w:lineRule="auto"/>
              <w:jc w:val="both"/>
              <w:rPr>
                <w:rFonts w:ascii="Book Antiqua" w:hAnsi="Book Antiqua" w:cs="Book Antiqua"/>
                <w:b/>
                <w:bCs/>
                <w:color w:val="000000"/>
                <w:sz w:val="24"/>
                <w:szCs w:val="24"/>
                <w:lang w:val="en-GB"/>
              </w:rPr>
            </w:pPr>
            <w:r w:rsidRPr="009046D6">
              <w:rPr>
                <w:rFonts w:ascii="Book Antiqua" w:hAnsi="Book Antiqua" w:cs="Book Antiqua"/>
                <w:b/>
                <w:bCs/>
                <w:caps/>
                <w:color w:val="000000"/>
                <w:sz w:val="24"/>
                <w:szCs w:val="24"/>
                <w:lang w:val="en-GB"/>
              </w:rPr>
              <w:t>s</w:t>
            </w:r>
            <w:r w:rsidRPr="00390EBD">
              <w:rPr>
                <w:rFonts w:ascii="Book Antiqua" w:hAnsi="Book Antiqua" w:cs="Book Antiqua"/>
                <w:b/>
                <w:bCs/>
                <w:color w:val="000000"/>
                <w:sz w:val="24"/>
                <w:szCs w:val="24"/>
                <w:lang w:val="en-GB"/>
              </w:rPr>
              <w:t>tudy (year)</w:t>
            </w:r>
          </w:p>
        </w:tc>
        <w:tc>
          <w:tcPr>
            <w:tcW w:w="0" w:type="auto"/>
            <w:tcBorders>
              <w:top w:val="single" w:sz="8" w:space="0" w:color="000000"/>
              <w:bottom w:val="single" w:sz="8" w:space="0" w:color="000000"/>
            </w:tcBorders>
          </w:tcPr>
          <w:p w14:paraId="0A42B1D5" w14:textId="77777777" w:rsidR="00E4267F" w:rsidRPr="00390EBD" w:rsidRDefault="00E4267F" w:rsidP="00954CEE">
            <w:pPr>
              <w:adjustRightInd w:val="0"/>
              <w:snapToGrid w:val="0"/>
              <w:spacing w:after="0" w:line="360" w:lineRule="auto"/>
              <w:jc w:val="both"/>
              <w:rPr>
                <w:rFonts w:ascii="Book Antiqua" w:hAnsi="Book Antiqua" w:cs="Book Antiqua"/>
                <w:b/>
                <w:bCs/>
                <w:color w:val="000000"/>
                <w:sz w:val="24"/>
                <w:szCs w:val="24"/>
                <w:lang w:val="en-GB"/>
              </w:rPr>
            </w:pPr>
            <w:r w:rsidRPr="009046D6">
              <w:rPr>
                <w:rFonts w:ascii="Book Antiqua" w:hAnsi="Book Antiqua" w:cs="Book Antiqua"/>
                <w:b/>
                <w:bCs/>
                <w:caps/>
                <w:color w:val="000000"/>
                <w:sz w:val="24"/>
                <w:szCs w:val="24"/>
                <w:lang w:val="en-GB"/>
              </w:rPr>
              <w:t>p</w:t>
            </w:r>
            <w:r w:rsidRPr="00390EBD">
              <w:rPr>
                <w:rFonts w:ascii="Book Antiqua" w:hAnsi="Book Antiqua" w:cs="Book Antiqua"/>
                <w:b/>
                <w:bCs/>
                <w:color w:val="000000"/>
                <w:sz w:val="24"/>
                <w:szCs w:val="24"/>
                <w:lang w:val="en-GB"/>
              </w:rPr>
              <w:t>atients</w:t>
            </w:r>
          </w:p>
          <w:p w14:paraId="3BACE20A" w14:textId="77777777" w:rsidR="00E4267F" w:rsidRPr="00390EBD" w:rsidRDefault="00E4267F" w:rsidP="00954CEE">
            <w:pPr>
              <w:adjustRightInd w:val="0"/>
              <w:snapToGrid w:val="0"/>
              <w:spacing w:after="0" w:line="360" w:lineRule="auto"/>
              <w:jc w:val="both"/>
              <w:rPr>
                <w:rFonts w:ascii="Book Antiqua" w:hAnsi="Book Antiqua" w:cs="Book Antiqua"/>
                <w:b/>
                <w:bCs/>
                <w:color w:val="000000"/>
                <w:sz w:val="24"/>
                <w:szCs w:val="24"/>
                <w:lang w:val="en-GB"/>
              </w:rPr>
            </w:pPr>
            <w:r w:rsidRPr="00390EBD">
              <w:rPr>
                <w:rFonts w:ascii="Book Antiqua" w:hAnsi="Book Antiqua" w:cs="Book Antiqua"/>
                <w:b/>
                <w:bCs/>
                <w:color w:val="000000"/>
                <w:sz w:val="24"/>
                <w:szCs w:val="24"/>
                <w:lang w:val="en-GB"/>
              </w:rPr>
              <w:t>recruited</w:t>
            </w:r>
          </w:p>
        </w:tc>
        <w:tc>
          <w:tcPr>
            <w:tcW w:w="0" w:type="auto"/>
            <w:tcBorders>
              <w:top w:val="single" w:sz="8" w:space="0" w:color="000000"/>
              <w:bottom w:val="single" w:sz="8" w:space="0" w:color="000000"/>
            </w:tcBorders>
          </w:tcPr>
          <w:p w14:paraId="7268732B" w14:textId="77777777" w:rsidR="00E4267F" w:rsidRPr="00390EBD" w:rsidRDefault="00E4267F" w:rsidP="00954CEE">
            <w:pPr>
              <w:adjustRightInd w:val="0"/>
              <w:snapToGrid w:val="0"/>
              <w:spacing w:after="0" w:line="360" w:lineRule="auto"/>
              <w:jc w:val="both"/>
              <w:rPr>
                <w:rFonts w:ascii="Book Antiqua" w:hAnsi="Book Antiqua" w:cs="Book Antiqua"/>
                <w:b/>
                <w:bCs/>
                <w:color w:val="000000"/>
                <w:sz w:val="24"/>
                <w:szCs w:val="24"/>
                <w:lang w:val="en-GB"/>
              </w:rPr>
            </w:pPr>
            <w:r w:rsidRPr="009046D6">
              <w:rPr>
                <w:rFonts w:ascii="Book Antiqua" w:hAnsi="Book Antiqua" w:cs="Book Antiqua"/>
                <w:b/>
                <w:bCs/>
                <w:caps/>
                <w:color w:val="000000"/>
                <w:sz w:val="24"/>
                <w:szCs w:val="24"/>
                <w:lang w:val="en-GB"/>
              </w:rPr>
              <w:t>r</w:t>
            </w:r>
            <w:r w:rsidRPr="00390EBD">
              <w:rPr>
                <w:rFonts w:ascii="Book Antiqua" w:hAnsi="Book Antiqua" w:cs="Book Antiqua"/>
                <w:b/>
                <w:bCs/>
                <w:color w:val="000000"/>
                <w:sz w:val="24"/>
                <w:szCs w:val="24"/>
                <w:lang w:val="en-GB"/>
              </w:rPr>
              <w:t>esponse</w:t>
            </w:r>
          </w:p>
          <w:p w14:paraId="2C173B26" w14:textId="77777777" w:rsidR="00E4267F" w:rsidRPr="00390EBD" w:rsidRDefault="00E4267F" w:rsidP="00954CEE">
            <w:pPr>
              <w:adjustRightInd w:val="0"/>
              <w:snapToGrid w:val="0"/>
              <w:spacing w:after="0" w:line="360" w:lineRule="auto"/>
              <w:jc w:val="both"/>
              <w:rPr>
                <w:rFonts w:ascii="Book Antiqua" w:hAnsi="Book Antiqua" w:cs="Book Antiqua"/>
                <w:b/>
                <w:bCs/>
                <w:color w:val="000000"/>
                <w:sz w:val="24"/>
                <w:szCs w:val="24"/>
                <w:lang w:val="en-GB"/>
              </w:rPr>
            </w:pPr>
            <w:r w:rsidRPr="00390EBD">
              <w:rPr>
                <w:rFonts w:ascii="Book Antiqua" w:hAnsi="Book Antiqua" w:cs="Book Antiqua"/>
                <w:b/>
                <w:bCs/>
                <w:color w:val="000000"/>
                <w:sz w:val="24"/>
                <w:szCs w:val="24"/>
                <w:lang w:val="en-GB"/>
              </w:rPr>
              <w:t>criteria</w:t>
            </w:r>
          </w:p>
        </w:tc>
        <w:tc>
          <w:tcPr>
            <w:tcW w:w="2136" w:type="dxa"/>
            <w:tcBorders>
              <w:top w:val="single" w:sz="8" w:space="0" w:color="000000"/>
              <w:bottom w:val="single" w:sz="8" w:space="0" w:color="000000"/>
            </w:tcBorders>
          </w:tcPr>
          <w:p w14:paraId="1244E451" w14:textId="77777777" w:rsidR="00E4267F" w:rsidRPr="00390EBD" w:rsidRDefault="00E4267F" w:rsidP="00954CEE">
            <w:pPr>
              <w:adjustRightInd w:val="0"/>
              <w:snapToGrid w:val="0"/>
              <w:spacing w:after="0" w:line="360" w:lineRule="auto"/>
              <w:jc w:val="both"/>
              <w:rPr>
                <w:rFonts w:ascii="Book Antiqua" w:hAnsi="Book Antiqua" w:cs="Book Antiqua"/>
                <w:b/>
                <w:bCs/>
                <w:color w:val="000000"/>
                <w:sz w:val="24"/>
                <w:szCs w:val="24"/>
                <w:lang w:val="en-GB"/>
              </w:rPr>
            </w:pPr>
            <w:r w:rsidRPr="009046D6">
              <w:rPr>
                <w:rFonts w:ascii="Book Antiqua" w:hAnsi="Book Antiqua" w:cs="Book Antiqua"/>
                <w:b/>
                <w:bCs/>
                <w:caps/>
                <w:color w:val="000000"/>
                <w:sz w:val="24"/>
                <w:szCs w:val="24"/>
                <w:lang w:val="en-GB"/>
              </w:rPr>
              <w:t>g</w:t>
            </w:r>
            <w:r w:rsidRPr="00390EBD">
              <w:rPr>
                <w:rFonts w:ascii="Book Antiqua" w:hAnsi="Book Antiqua" w:cs="Book Antiqua"/>
                <w:b/>
                <w:bCs/>
                <w:color w:val="000000"/>
                <w:sz w:val="24"/>
                <w:szCs w:val="24"/>
                <w:lang w:val="en-GB"/>
              </w:rPr>
              <w:t>enes</w:t>
            </w:r>
          </w:p>
          <w:p w14:paraId="77F7C426" w14:textId="77777777" w:rsidR="00E4267F" w:rsidRPr="00390EBD" w:rsidRDefault="00E4267F" w:rsidP="00954CEE">
            <w:pPr>
              <w:adjustRightInd w:val="0"/>
              <w:snapToGrid w:val="0"/>
              <w:spacing w:after="0" w:line="360" w:lineRule="auto"/>
              <w:jc w:val="both"/>
              <w:rPr>
                <w:rFonts w:ascii="Book Antiqua" w:hAnsi="Book Antiqua" w:cs="Book Antiqua"/>
                <w:b/>
                <w:bCs/>
                <w:color w:val="000000"/>
                <w:sz w:val="24"/>
                <w:szCs w:val="24"/>
                <w:lang w:val="en-GB"/>
              </w:rPr>
            </w:pPr>
            <w:r w:rsidRPr="00390EBD">
              <w:rPr>
                <w:rFonts w:ascii="Book Antiqua" w:hAnsi="Book Antiqua" w:cs="Book Antiqua"/>
                <w:b/>
                <w:bCs/>
                <w:color w:val="000000"/>
                <w:sz w:val="24"/>
                <w:szCs w:val="24"/>
                <w:lang w:val="en-GB"/>
              </w:rPr>
              <w:t>investigated</w:t>
            </w:r>
          </w:p>
        </w:tc>
        <w:tc>
          <w:tcPr>
            <w:tcW w:w="2215" w:type="dxa"/>
            <w:tcBorders>
              <w:top w:val="single" w:sz="8" w:space="0" w:color="000000"/>
              <w:bottom w:val="single" w:sz="8" w:space="0" w:color="000000"/>
            </w:tcBorders>
          </w:tcPr>
          <w:p w14:paraId="772CE601" w14:textId="77777777" w:rsidR="00E4267F" w:rsidRPr="00390EBD" w:rsidRDefault="00E4267F" w:rsidP="00954CEE">
            <w:pPr>
              <w:adjustRightInd w:val="0"/>
              <w:snapToGrid w:val="0"/>
              <w:spacing w:after="0" w:line="360" w:lineRule="auto"/>
              <w:jc w:val="both"/>
              <w:rPr>
                <w:rFonts w:ascii="Book Antiqua" w:hAnsi="Book Antiqua" w:cs="Book Antiqua"/>
                <w:b/>
                <w:bCs/>
                <w:color w:val="000000"/>
                <w:sz w:val="24"/>
                <w:szCs w:val="24"/>
                <w:lang w:val="en-GB"/>
              </w:rPr>
            </w:pPr>
            <w:r w:rsidRPr="009046D6">
              <w:rPr>
                <w:rFonts w:ascii="Book Antiqua" w:hAnsi="Book Antiqua" w:cs="Book Antiqua"/>
                <w:b/>
                <w:bCs/>
                <w:caps/>
                <w:color w:val="000000"/>
                <w:sz w:val="24"/>
                <w:szCs w:val="24"/>
                <w:lang w:val="en-GB"/>
              </w:rPr>
              <w:t>c</w:t>
            </w:r>
            <w:r w:rsidRPr="00390EBD">
              <w:rPr>
                <w:rFonts w:ascii="Book Antiqua" w:hAnsi="Book Antiqua" w:cs="Book Antiqua"/>
                <w:b/>
                <w:bCs/>
                <w:color w:val="000000"/>
                <w:sz w:val="24"/>
                <w:szCs w:val="24"/>
                <w:lang w:val="en-GB"/>
              </w:rPr>
              <w:t>onclusion</w:t>
            </w:r>
          </w:p>
        </w:tc>
        <w:tc>
          <w:tcPr>
            <w:tcW w:w="694" w:type="dxa"/>
            <w:tcBorders>
              <w:top w:val="single" w:sz="8" w:space="0" w:color="000000"/>
              <w:bottom w:val="single" w:sz="8" w:space="0" w:color="000000"/>
            </w:tcBorders>
          </w:tcPr>
          <w:p w14:paraId="1080AC7A" w14:textId="77777777" w:rsidR="00E4267F" w:rsidRPr="00390EBD" w:rsidRDefault="00E4267F" w:rsidP="00954CEE">
            <w:pPr>
              <w:adjustRightInd w:val="0"/>
              <w:snapToGrid w:val="0"/>
              <w:spacing w:after="0" w:line="360" w:lineRule="auto"/>
              <w:jc w:val="both"/>
              <w:rPr>
                <w:rFonts w:ascii="Book Antiqua" w:hAnsi="Book Antiqua"/>
                <w:b/>
                <w:bCs/>
                <w:color w:val="000000"/>
                <w:sz w:val="24"/>
                <w:szCs w:val="24"/>
                <w:lang w:val="en-GB"/>
              </w:rPr>
            </w:pPr>
            <w:r w:rsidRPr="009046D6">
              <w:rPr>
                <w:rFonts w:ascii="Book Antiqua" w:hAnsi="Book Antiqua"/>
                <w:b/>
                <w:bCs/>
                <w:caps/>
                <w:color w:val="000000"/>
                <w:sz w:val="24"/>
                <w:szCs w:val="24"/>
                <w:lang w:val="en-GB"/>
              </w:rPr>
              <w:t>r</w:t>
            </w:r>
            <w:r w:rsidRPr="00390EBD">
              <w:rPr>
                <w:rFonts w:ascii="Book Antiqua" w:hAnsi="Book Antiqua"/>
                <w:b/>
                <w:bCs/>
                <w:color w:val="000000"/>
                <w:sz w:val="24"/>
                <w:szCs w:val="24"/>
                <w:lang w:val="en-GB"/>
              </w:rPr>
              <w:t>ef</w:t>
            </w:r>
          </w:p>
        </w:tc>
      </w:tr>
      <w:tr w:rsidR="00E4267F" w:rsidRPr="00390EBD" w14:paraId="64A416CC" w14:textId="77777777" w:rsidTr="00346E50">
        <w:tc>
          <w:tcPr>
            <w:tcW w:w="0" w:type="auto"/>
            <w:tcBorders>
              <w:top w:val="single" w:sz="8" w:space="0" w:color="000000"/>
            </w:tcBorders>
          </w:tcPr>
          <w:p w14:paraId="57AE9366"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lang w:val="en-GB"/>
              </w:rPr>
            </w:pPr>
          </w:p>
          <w:p w14:paraId="5F599E6C"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lang w:val="en-GB"/>
              </w:rPr>
            </w:pPr>
            <w:r w:rsidRPr="00390EBD">
              <w:rPr>
                <w:rFonts w:ascii="Book Antiqua" w:hAnsi="Book Antiqua" w:cs="Book Antiqua"/>
                <w:b/>
                <w:bCs/>
                <w:sz w:val="24"/>
                <w:szCs w:val="24"/>
                <w:lang w:val="en-GB"/>
              </w:rPr>
              <w:t xml:space="preserve">Taylor </w:t>
            </w:r>
            <w:r w:rsidRPr="009046D6">
              <w:rPr>
                <w:rFonts w:ascii="Book Antiqua" w:hAnsi="Book Antiqua" w:cs="Book Antiqua"/>
                <w:b/>
                <w:bCs/>
                <w:i/>
                <w:sz w:val="24"/>
                <w:szCs w:val="24"/>
                <w:lang w:val="en-GB"/>
              </w:rPr>
              <w:t>et al</w:t>
            </w:r>
          </w:p>
          <w:p w14:paraId="0C1F846E"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lang w:val="en-GB"/>
              </w:rPr>
            </w:pPr>
            <w:r w:rsidRPr="00390EBD">
              <w:rPr>
                <w:rFonts w:ascii="Book Antiqua" w:hAnsi="Book Antiqua" w:cs="Book Antiqua"/>
                <w:b/>
                <w:bCs/>
                <w:sz w:val="24"/>
                <w:szCs w:val="24"/>
                <w:lang w:val="en-GB"/>
              </w:rPr>
              <w:t>(2001)</w:t>
            </w:r>
          </w:p>
          <w:p w14:paraId="302838B8"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lang w:val="en-GB"/>
              </w:rPr>
            </w:pPr>
          </w:p>
        </w:tc>
        <w:tc>
          <w:tcPr>
            <w:tcW w:w="0" w:type="auto"/>
            <w:tcBorders>
              <w:top w:val="single" w:sz="8" w:space="0" w:color="000000"/>
            </w:tcBorders>
          </w:tcPr>
          <w:p w14:paraId="1214ACA2" w14:textId="77777777" w:rsidR="00E4267F" w:rsidRPr="00390EBD" w:rsidRDefault="00E4267F" w:rsidP="00954CEE">
            <w:pPr>
              <w:adjustRightInd w:val="0"/>
              <w:snapToGrid w:val="0"/>
              <w:spacing w:after="0" w:line="360" w:lineRule="auto"/>
              <w:jc w:val="both"/>
              <w:rPr>
                <w:rFonts w:ascii="Book Antiqua" w:hAnsi="Book Antiqua" w:cs="Book Antiqua"/>
                <w:sz w:val="24"/>
                <w:szCs w:val="24"/>
                <w:lang w:val="en-GB"/>
              </w:rPr>
            </w:pPr>
          </w:p>
          <w:p w14:paraId="3E2F88C3" w14:textId="77777777" w:rsidR="00E4267F" w:rsidRPr="00390EBD" w:rsidRDefault="00E4267F" w:rsidP="00954CEE">
            <w:pPr>
              <w:adjustRightInd w:val="0"/>
              <w:snapToGrid w:val="0"/>
              <w:spacing w:after="0" w:line="360" w:lineRule="auto"/>
              <w:jc w:val="both"/>
              <w:rPr>
                <w:rFonts w:ascii="Book Antiqua" w:hAnsi="Book Antiqua" w:cs="Book Antiqua"/>
                <w:sz w:val="24"/>
                <w:szCs w:val="24"/>
                <w:lang w:val="en-GB"/>
              </w:rPr>
            </w:pPr>
            <w:r w:rsidRPr="00390EBD">
              <w:rPr>
                <w:rFonts w:ascii="Book Antiqua" w:hAnsi="Book Antiqua" w:cs="Book Antiqua"/>
                <w:sz w:val="24"/>
                <w:szCs w:val="24"/>
                <w:lang w:val="en-GB"/>
              </w:rPr>
              <w:t>75</w:t>
            </w:r>
          </w:p>
        </w:tc>
        <w:tc>
          <w:tcPr>
            <w:tcW w:w="0" w:type="auto"/>
            <w:tcBorders>
              <w:top w:val="single" w:sz="8" w:space="0" w:color="000000"/>
            </w:tcBorders>
          </w:tcPr>
          <w:p w14:paraId="409E6660" w14:textId="77777777" w:rsidR="00E4267F" w:rsidRPr="00390EBD" w:rsidRDefault="00E4267F" w:rsidP="00954CEE">
            <w:pPr>
              <w:adjustRightInd w:val="0"/>
              <w:snapToGrid w:val="0"/>
              <w:spacing w:after="0" w:line="360" w:lineRule="auto"/>
              <w:jc w:val="both"/>
              <w:rPr>
                <w:rFonts w:ascii="Book Antiqua" w:hAnsi="Book Antiqua" w:cs="Book Antiqua"/>
                <w:sz w:val="24"/>
                <w:szCs w:val="24"/>
                <w:lang w:val="en-GB"/>
              </w:rPr>
            </w:pPr>
          </w:p>
          <w:p w14:paraId="17CA39EF" w14:textId="77777777" w:rsidR="00E4267F" w:rsidRPr="00390EBD" w:rsidRDefault="00E4267F" w:rsidP="00954CEE">
            <w:pPr>
              <w:adjustRightInd w:val="0"/>
              <w:snapToGrid w:val="0"/>
              <w:spacing w:after="0" w:line="360" w:lineRule="auto"/>
              <w:jc w:val="both"/>
              <w:rPr>
                <w:rFonts w:ascii="Book Antiqua" w:hAnsi="Book Antiqua" w:cs="Book Antiqua"/>
                <w:sz w:val="24"/>
                <w:szCs w:val="24"/>
                <w:lang w:val="en-GB"/>
              </w:rPr>
            </w:pPr>
            <w:r w:rsidRPr="00390EBD">
              <w:rPr>
                <w:rFonts w:ascii="Book Antiqua" w:hAnsi="Book Antiqua" w:cs="Book Antiqua"/>
                <w:sz w:val="24"/>
                <w:szCs w:val="24"/>
                <w:lang w:val="en-GB"/>
              </w:rPr>
              <w:t>CDAI</w:t>
            </w:r>
          </w:p>
        </w:tc>
        <w:tc>
          <w:tcPr>
            <w:tcW w:w="2136" w:type="dxa"/>
            <w:tcBorders>
              <w:top w:val="single" w:sz="8" w:space="0" w:color="000000"/>
            </w:tcBorders>
          </w:tcPr>
          <w:p w14:paraId="441D3D1F" w14:textId="77777777" w:rsidR="00E4267F" w:rsidRPr="00390EBD" w:rsidRDefault="00E4267F" w:rsidP="00954CEE">
            <w:pPr>
              <w:adjustRightInd w:val="0"/>
              <w:snapToGrid w:val="0"/>
              <w:spacing w:after="0" w:line="360" w:lineRule="auto"/>
              <w:jc w:val="both"/>
              <w:rPr>
                <w:rFonts w:ascii="Book Antiqua" w:hAnsi="Book Antiqua" w:cs="Book Antiqua"/>
                <w:sz w:val="24"/>
                <w:szCs w:val="24"/>
                <w:lang w:val="en-GB"/>
              </w:rPr>
            </w:pPr>
          </w:p>
          <w:p w14:paraId="30BEAA0D"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lang w:val="en-GB"/>
              </w:rPr>
              <w:t>Polymor</w:t>
            </w:r>
            <w:r w:rsidRPr="00390EBD">
              <w:rPr>
                <w:rFonts w:ascii="Book Antiqua" w:hAnsi="Book Antiqua" w:cs="Book Antiqua"/>
                <w:sz w:val="24"/>
                <w:szCs w:val="24"/>
              </w:rPr>
              <w:t>phims TNF/LTA region</w:t>
            </w:r>
          </w:p>
        </w:tc>
        <w:tc>
          <w:tcPr>
            <w:tcW w:w="2215" w:type="dxa"/>
            <w:tcBorders>
              <w:top w:val="single" w:sz="8" w:space="0" w:color="000000"/>
            </w:tcBorders>
          </w:tcPr>
          <w:p w14:paraId="1D8E7BC2" w14:textId="77777777" w:rsidR="00E4267F" w:rsidRPr="00390EBD" w:rsidRDefault="00E4267F" w:rsidP="00954CEE">
            <w:pPr>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Homozygosity for the LTA</w:t>
            </w:r>
          </w:p>
          <w:p w14:paraId="7E2E7C71" w14:textId="77777777" w:rsidR="00E4267F" w:rsidRPr="00390EBD" w:rsidRDefault="00E4267F" w:rsidP="00954CEE">
            <w:pPr>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1-1-1-1 haplotype may identify subgroups with poorer response</w:t>
            </w:r>
          </w:p>
        </w:tc>
        <w:tc>
          <w:tcPr>
            <w:tcW w:w="694" w:type="dxa"/>
            <w:tcBorders>
              <w:top w:val="single" w:sz="8" w:space="0" w:color="000000"/>
            </w:tcBorders>
          </w:tcPr>
          <w:p w14:paraId="5868F961"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lang w:val="en-US"/>
              </w:rPr>
            </w:pPr>
          </w:p>
          <w:p w14:paraId="4E33E185"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lang w:val="en-US"/>
              </w:rPr>
            </w:pPr>
          </w:p>
          <w:p w14:paraId="375F78A5"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rPr>
            </w:pPr>
            <w:r w:rsidRPr="00390EBD">
              <w:rPr>
                <w:rFonts w:ascii="Book Antiqua" w:hAnsi="Book Antiqua"/>
                <w:sz w:val="24"/>
                <w:szCs w:val="24"/>
              </w:rPr>
              <w:t>54</w:t>
            </w:r>
          </w:p>
        </w:tc>
      </w:tr>
      <w:tr w:rsidR="00E4267F" w:rsidRPr="00390EBD" w14:paraId="15E2AF49" w14:textId="77777777" w:rsidTr="00346E50">
        <w:trPr>
          <w:trHeight w:val="1019"/>
        </w:trPr>
        <w:tc>
          <w:tcPr>
            <w:tcW w:w="0" w:type="auto"/>
          </w:tcPr>
          <w:p w14:paraId="060B8D8B"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p w14:paraId="0441C386"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r w:rsidRPr="00390EBD">
              <w:rPr>
                <w:rFonts w:ascii="Book Antiqua" w:hAnsi="Book Antiqua" w:cs="Book Antiqua"/>
                <w:b/>
                <w:bCs/>
                <w:sz w:val="24"/>
                <w:szCs w:val="24"/>
              </w:rPr>
              <w:t xml:space="preserve">Louise </w:t>
            </w:r>
            <w:r w:rsidRPr="009046D6">
              <w:rPr>
                <w:rFonts w:ascii="Book Antiqua" w:hAnsi="Book Antiqua" w:cs="Book Antiqua"/>
                <w:b/>
                <w:bCs/>
                <w:i/>
                <w:sz w:val="24"/>
                <w:szCs w:val="24"/>
              </w:rPr>
              <w:t>et al</w:t>
            </w:r>
            <w:r>
              <w:rPr>
                <w:rFonts w:ascii="Book Antiqua" w:hAnsi="Book Antiqua" w:cs="Book Antiqua" w:hint="eastAsia"/>
                <w:b/>
                <w:bCs/>
                <w:i/>
                <w:sz w:val="24"/>
                <w:szCs w:val="24"/>
                <w:lang w:eastAsia="zh-CN"/>
              </w:rPr>
              <w:t xml:space="preserve"> </w:t>
            </w:r>
            <w:r w:rsidRPr="00390EBD">
              <w:rPr>
                <w:rFonts w:ascii="Book Antiqua" w:hAnsi="Book Antiqua" w:cs="Book Antiqua"/>
                <w:b/>
                <w:bCs/>
                <w:sz w:val="24"/>
                <w:szCs w:val="24"/>
              </w:rPr>
              <w:t>(2002)</w:t>
            </w:r>
          </w:p>
        </w:tc>
        <w:tc>
          <w:tcPr>
            <w:tcW w:w="0" w:type="auto"/>
          </w:tcPr>
          <w:p w14:paraId="69F69DBB"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350DF5A9"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226</w:t>
            </w:r>
          </w:p>
        </w:tc>
        <w:tc>
          <w:tcPr>
            <w:tcW w:w="0" w:type="auto"/>
          </w:tcPr>
          <w:p w14:paraId="73962F5B"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63A3A387"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CDAI</w:t>
            </w:r>
          </w:p>
        </w:tc>
        <w:tc>
          <w:tcPr>
            <w:tcW w:w="2136" w:type="dxa"/>
          </w:tcPr>
          <w:p w14:paraId="17C55A6C"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092A95B0"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TNFA</w:t>
            </w:r>
          </w:p>
        </w:tc>
        <w:tc>
          <w:tcPr>
            <w:tcW w:w="2215" w:type="dxa"/>
          </w:tcPr>
          <w:p w14:paraId="41BD3A1C" w14:textId="77777777" w:rsidR="00E4267F" w:rsidRPr="00390EBD" w:rsidRDefault="00E4267F" w:rsidP="00954CEE">
            <w:pPr>
              <w:adjustRightInd w:val="0"/>
              <w:snapToGrid w:val="0"/>
              <w:spacing w:after="0" w:line="360" w:lineRule="auto"/>
              <w:jc w:val="both"/>
              <w:rPr>
                <w:rFonts w:ascii="Book Antiqua" w:hAnsi="Book Antiqua" w:cs="Book Antiqua"/>
                <w:sz w:val="24"/>
                <w:szCs w:val="24"/>
                <w:lang w:val="en-US"/>
              </w:rPr>
            </w:pPr>
          </w:p>
          <w:p w14:paraId="136B0E5B" w14:textId="77777777" w:rsidR="00E4267F" w:rsidRPr="00390EBD" w:rsidRDefault="00E4267F" w:rsidP="00954CEE">
            <w:pPr>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No association with treatment outcome</w:t>
            </w:r>
          </w:p>
        </w:tc>
        <w:tc>
          <w:tcPr>
            <w:tcW w:w="694" w:type="dxa"/>
          </w:tcPr>
          <w:p w14:paraId="0D1265CB"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lang w:val="en-US"/>
              </w:rPr>
            </w:pPr>
          </w:p>
          <w:p w14:paraId="15D7E115"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rPr>
            </w:pPr>
            <w:r w:rsidRPr="00390EBD">
              <w:rPr>
                <w:rFonts w:ascii="Book Antiqua" w:hAnsi="Book Antiqua"/>
                <w:sz w:val="24"/>
                <w:szCs w:val="24"/>
              </w:rPr>
              <w:t>55</w:t>
            </w:r>
          </w:p>
        </w:tc>
      </w:tr>
      <w:tr w:rsidR="00E4267F" w:rsidRPr="00390EBD" w14:paraId="5C8BB8C2" w14:textId="77777777" w:rsidTr="00346E50">
        <w:tc>
          <w:tcPr>
            <w:tcW w:w="0" w:type="auto"/>
          </w:tcPr>
          <w:p w14:paraId="346B3007"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p w14:paraId="0F1E5257"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p w14:paraId="19498642"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r w:rsidRPr="00390EBD">
              <w:rPr>
                <w:rFonts w:ascii="Book Antiqua" w:hAnsi="Book Antiqua" w:cs="Book Antiqua"/>
                <w:b/>
                <w:bCs/>
                <w:sz w:val="24"/>
                <w:szCs w:val="24"/>
              </w:rPr>
              <w:t xml:space="preserve">Mascheretti </w:t>
            </w:r>
            <w:r w:rsidRPr="009046D6">
              <w:rPr>
                <w:rFonts w:ascii="Book Antiqua" w:hAnsi="Book Antiqua" w:cs="Book Antiqua"/>
                <w:b/>
                <w:bCs/>
                <w:i/>
                <w:sz w:val="24"/>
                <w:szCs w:val="24"/>
              </w:rPr>
              <w:t>et al</w:t>
            </w:r>
            <w:r w:rsidRPr="00390EBD">
              <w:rPr>
                <w:rFonts w:ascii="Book Antiqua" w:hAnsi="Book Antiqua" w:cs="Book Antiqua"/>
                <w:b/>
                <w:bCs/>
                <w:sz w:val="24"/>
                <w:szCs w:val="24"/>
              </w:rPr>
              <w:t xml:space="preserve"> (2002)</w:t>
            </w:r>
          </w:p>
        </w:tc>
        <w:tc>
          <w:tcPr>
            <w:tcW w:w="0" w:type="auto"/>
          </w:tcPr>
          <w:p w14:paraId="34B063B9"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6DEE9090"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742CD4C7"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90</w:t>
            </w:r>
          </w:p>
          <w:p w14:paraId="76EBC8DB"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444</w:t>
            </w:r>
          </w:p>
        </w:tc>
        <w:tc>
          <w:tcPr>
            <w:tcW w:w="0" w:type="auto"/>
          </w:tcPr>
          <w:p w14:paraId="4E856F6C"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7010516E"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3D10E8F0"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CDAI</w:t>
            </w:r>
          </w:p>
        </w:tc>
        <w:tc>
          <w:tcPr>
            <w:tcW w:w="2136" w:type="dxa"/>
          </w:tcPr>
          <w:p w14:paraId="4CC52251"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41C2632E"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TNF and TNFR polymorphism</w:t>
            </w:r>
          </w:p>
        </w:tc>
        <w:tc>
          <w:tcPr>
            <w:tcW w:w="2215" w:type="dxa"/>
          </w:tcPr>
          <w:p w14:paraId="5963A8D0" w14:textId="77777777" w:rsidR="00E4267F" w:rsidRPr="00390EBD" w:rsidRDefault="00E4267F"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196Arg homozygotes had poorer clinical response than 196Met</w:t>
            </w:r>
          </w:p>
          <w:p w14:paraId="5F5009E1" w14:textId="77777777" w:rsidR="00E4267F" w:rsidRPr="00390EBD" w:rsidRDefault="00E4267F"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heterozygotes and homozygotes (</w:t>
            </w:r>
            <w:r w:rsidRPr="0020336D">
              <w:rPr>
                <w:rFonts w:ascii="Book Antiqua" w:hAnsi="Book Antiqua" w:cs="Book Antiqua"/>
                <w:i/>
                <w:iCs/>
                <w:caps/>
                <w:sz w:val="24"/>
                <w:szCs w:val="24"/>
                <w:lang w:val="en-US"/>
              </w:rPr>
              <w:t>P =</w:t>
            </w:r>
            <w:r w:rsidRPr="00390EBD">
              <w:rPr>
                <w:rFonts w:ascii="Book Antiqua" w:hAnsi="Book Antiqua" w:cs="Book Antiqua"/>
                <w:sz w:val="24"/>
                <w:szCs w:val="24"/>
                <w:lang w:val="en-US"/>
              </w:rPr>
              <w:t xml:space="preserve"> 0.036).</w:t>
            </w:r>
          </w:p>
          <w:p w14:paraId="1C97E02C" w14:textId="77777777" w:rsidR="00E4267F" w:rsidRPr="00390EBD" w:rsidRDefault="00E4267F"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No predictive treatment outcome</w:t>
            </w:r>
          </w:p>
        </w:tc>
        <w:tc>
          <w:tcPr>
            <w:tcW w:w="694" w:type="dxa"/>
          </w:tcPr>
          <w:p w14:paraId="097FACE3"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lang w:val="en-US"/>
              </w:rPr>
            </w:pPr>
          </w:p>
          <w:p w14:paraId="02183D16"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lang w:val="en-US"/>
              </w:rPr>
            </w:pPr>
          </w:p>
          <w:p w14:paraId="76EC2671"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rPr>
            </w:pPr>
            <w:r w:rsidRPr="00390EBD">
              <w:rPr>
                <w:rFonts w:ascii="Book Antiqua" w:hAnsi="Book Antiqua"/>
                <w:sz w:val="24"/>
                <w:szCs w:val="24"/>
              </w:rPr>
              <w:t>56</w:t>
            </w:r>
          </w:p>
        </w:tc>
      </w:tr>
      <w:tr w:rsidR="00E4267F" w:rsidRPr="00390EBD" w14:paraId="5E9DB92E" w14:textId="77777777" w:rsidTr="00346E50">
        <w:tc>
          <w:tcPr>
            <w:tcW w:w="0" w:type="auto"/>
          </w:tcPr>
          <w:p w14:paraId="773BD70B"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p w14:paraId="4DB5C8C4"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r w:rsidRPr="00390EBD">
              <w:rPr>
                <w:rFonts w:ascii="Book Antiqua" w:hAnsi="Book Antiqua" w:cs="Book Antiqua"/>
                <w:b/>
                <w:bCs/>
                <w:sz w:val="24"/>
                <w:szCs w:val="24"/>
              </w:rPr>
              <w:t xml:space="preserve">Mascheretti </w:t>
            </w:r>
            <w:r w:rsidRPr="009046D6">
              <w:rPr>
                <w:rFonts w:ascii="Book Antiqua" w:hAnsi="Book Antiqua" w:cs="Book Antiqua"/>
                <w:b/>
                <w:bCs/>
                <w:i/>
                <w:sz w:val="24"/>
                <w:szCs w:val="24"/>
              </w:rPr>
              <w:t>et al</w:t>
            </w:r>
            <w:r w:rsidRPr="00390EBD">
              <w:rPr>
                <w:rFonts w:ascii="Book Antiqua" w:hAnsi="Book Antiqua" w:cs="Book Antiqua"/>
                <w:b/>
                <w:bCs/>
                <w:sz w:val="24"/>
                <w:szCs w:val="24"/>
              </w:rPr>
              <w:t xml:space="preserve"> (2002)</w:t>
            </w:r>
          </w:p>
          <w:p w14:paraId="51E3E623"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tc>
        <w:tc>
          <w:tcPr>
            <w:tcW w:w="0" w:type="auto"/>
          </w:tcPr>
          <w:p w14:paraId="2F00ABE0"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47CE7E13"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534</w:t>
            </w:r>
          </w:p>
          <w:p w14:paraId="57C7869A"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tc>
        <w:tc>
          <w:tcPr>
            <w:tcW w:w="0" w:type="auto"/>
          </w:tcPr>
          <w:p w14:paraId="1C83AAC6"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023B25D5"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CDAI</w:t>
            </w:r>
          </w:p>
        </w:tc>
        <w:tc>
          <w:tcPr>
            <w:tcW w:w="2136" w:type="dxa"/>
          </w:tcPr>
          <w:p w14:paraId="3226FCD3"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1CBDF716"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CARD15/NOD2</w:t>
            </w:r>
          </w:p>
        </w:tc>
        <w:tc>
          <w:tcPr>
            <w:tcW w:w="2215" w:type="dxa"/>
          </w:tcPr>
          <w:p w14:paraId="3EBCB599" w14:textId="77777777" w:rsidR="00E4267F" w:rsidRPr="00390EBD" w:rsidRDefault="00E4267F" w:rsidP="00954CEE">
            <w:pPr>
              <w:adjustRightInd w:val="0"/>
              <w:snapToGrid w:val="0"/>
              <w:spacing w:after="0" w:line="360" w:lineRule="auto"/>
              <w:jc w:val="both"/>
              <w:rPr>
                <w:rFonts w:ascii="Book Antiqua" w:hAnsi="Book Antiqua" w:cs="Book Antiqua"/>
                <w:sz w:val="24"/>
                <w:szCs w:val="24"/>
                <w:lang w:val="en-US"/>
              </w:rPr>
            </w:pPr>
          </w:p>
          <w:p w14:paraId="688F87AB" w14:textId="77777777" w:rsidR="00E4267F" w:rsidRPr="00390EBD" w:rsidRDefault="00E4267F" w:rsidP="00954CEE">
            <w:pPr>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 xml:space="preserve">A strong relation to susceptibility to CD but not association with treatment </w:t>
            </w:r>
            <w:r w:rsidRPr="00390EBD">
              <w:rPr>
                <w:rFonts w:ascii="Book Antiqua" w:hAnsi="Book Antiqua" w:cs="Book Antiqua"/>
                <w:sz w:val="24"/>
                <w:szCs w:val="24"/>
                <w:lang w:val="en-US"/>
              </w:rPr>
              <w:lastRenderedPageBreak/>
              <w:t>outcome</w:t>
            </w:r>
          </w:p>
        </w:tc>
        <w:tc>
          <w:tcPr>
            <w:tcW w:w="694" w:type="dxa"/>
          </w:tcPr>
          <w:p w14:paraId="6554AA33"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lang w:val="en-US"/>
              </w:rPr>
            </w:pPr>
          </w:p>
          <w:p w14:paraId="7C1242C3"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lang w:val="en-US"/>
              </w:rPr>
            </w:pPr>
          </w:p>
          <w:p w14:paraId="639823AE"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rPr>
            </w:pPr>
            <w:r w:rsidRPr="00390EBD">
              <w:rPr>
                <w:rFonts w:ascii="Book Antiqua" w:hAnsi="Book Antiqua"/>
                <w:sz w:val="24"/>
                <w:szCs w:val="24"/>
              </w:rPr>
              <w:t>57</w:t>
            </w:r>
          </w:p>
        </w:tc>
      </w:tr>
      <w:tr w:rsidR="00E4267F" w:rsidRPr="00390EBD" w14:paraId="03B4F787" w14:textId="77777777" w:rsidTr="00346E50">
        <w:tc>
          <w:tcPr>
            <w:tcW w:w="0" w:type="auto"/>
          </w:tcPr>
          <w:p w14:paraId="63D5F3EC"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p w14:paraId="21FB9940"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r w:rsidRPr="00390EBD">
              <w:rPr>
                <w:rFonts w:ascii="Book Antiqua" w:hAnsi="Book Antiqua" w:cs="Book Antiqua"/>
                <w:b/>
                <w:bCs/>
                <w:sz w:val="24"/>
                <w:szCs w:val="24"/>
              </w:rPr>
              <w:t>Vermeire</w:t>
            </w:r>
            <w:r>
              <w:rPr>
                <w:rFonts w:ascii="Book Antiqua" w:hAnsi="Book Antiqua" w:cs="Book Antiqua"/>
                <w:b/>
                <w:bCs/>
                <w:sz w:val="24"/>
                <w:szCs w:val="24"/>
              </w:rPr>
              <w:t xml:space="preserve"> </w:t>
            </w:r>
            <w:r w:rsidRPr="009046D6">
              <w:rPr>
                <w:rFonts w:ascii="Book Antiqua" w:hAnsi="Book Antiqua" w:cs="Book Antiqua"/>
                <w:b/>
                <w:bCs/>
                <w:i/>
                <w:sz w:val="24"/>
                <w:szCs w:val="24"/>
              </w:rPr>
              <w:t>et al</w:t>
            </w:r>
            <w:r w:rsidRPr="00390EBD">
              <w:rPr>
                <w:rFonts w:ascii="Book Antiqua" w:hAnsi="Book Antiqua" w:cs="Book Antiqua"/>
                <w:b/>
                <w:bCs/>
                <w:sz w:val="24"/>
                <w:szCs w:val="24"/>
              </w:rPr>
              <w:t xml:space="preserve"> (2002)</w:t>
            </w:r>
          </w:p>
          <w:p w14:paraId="4C32F109"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tc>
        <w:tc>
          <w:tcPr>
            <w:tcW w:w="0" w:type="auto"/>
          </w:tcPr>
          <w:p w14:paraId="5955B65E"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484214A8"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245</w:t>
            </w:r>
          </w:p>
          <w:p w14:paraId="2A1F4913"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tc>
        <w:tc>
          <w:tcPr>
            <w:tcW w:w="0" w:type="auto"/>
          </w:tcPr>
          <w:p w14:paraId="0D4321CA"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63740B96"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CDAI</w:t>
            </w:r>
          </w:p>
        </w:tc>
        <w:tc>
          <w:tcPr>
            <w:tcW w:w="2136" w:type="dxa"/>
          </w:tcPr>
          <w:p w14:paraId="75ED6516"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2F4BF6E7"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CARD15/NOD2</w:t>
            </w:r>
          </w:p>
        </w:tc>
        <w:tc>
          <w:tcPr>
            <w:tcW w:w="2215" w:type="dxa"/>
          </w:tcPr>
          <w:p w14:paraId="104BC3C7" w14:textId="77777777" w:rsidR="00E4267F" w:rsidRPr="00390EBD" w:rsidRDefault="00E4267F" w:rsidP="00954CEE">
            <w:pPr>
              <w:adjustRightInd w:val="0"/>
              <w:snapToGrid w:val="0"/>
              <w:spacing w:after="0" w:line="360" w:lineRule="auto"/>
              <w:jc w:val="both"/>
              <w:rPr>
                <w:rFonts w:ascii="Book Antiqua" w:hAnsi="Book Antiqua" w:cs="Book Antiqua"/>
                <w:sz w:val="24"/>
                <w:szCs w:val="24"/>
                <w:lang w:val="en-US"/>
              </w:rPr>
            </w:pPr>
          </w:p>
          <w:p w14:paraId="45A26430" w14:textId="77777777" w:rsidR="00E4267F" w:rsidRPr="00390EBD" w:rsidRDefault="00E4267F" w:rsidP="00954CEE">
            <w:pPr>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Not</w:t>
            </w:r>
            <w:r>
              <w:rPr>
                <w:rFonts w:ascii="Book Antiqua" w:hAnsi="Book Antiqua" w:cs="Book Antiqua"/>
                <w:sz w:val="24"/>
                <w:szCs w:val="24"/>
                <w:lang w:val="en-US"/>
              </w:rPr>
              <w:t xml:space="preserve"> </w:t>
            </w:r>
            <w:r w:rsidRPr="00390EBD">
              <w:rPr>
                <w:rFonts w:ascii="Book Antiqua" w:hAnsi="Book Antiqua" w:cs="Book Antiqua"/>
                <w:sz w:val="24"/>
                <w:szCs w:val="24"/>
                <w:lang w:val="en-US"/>
              </w:rPr>
              <w:t>predictive of treatment outcome</w:t>
            </w:r>
          </w:p>
        </w:tc>
        <w:tc>
          <w:tcPr>
            <w:tcW w:w="694" w:type="dxa"/>
          </w:tcPr>
          <w:p w14:paraId="01EA5670"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lang w:val="en-US"/>
              </w:rPr>
            </w:pPr>
          </w:p>
          <w:p w14:paraId="1602C7BA"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rPr>
            </w:pPr>
            <w:r w:rsidRPr="00390EBD">
              <w:rPr>
                <w:rFonts w:ascii="Book Antiqua" w:hAnsi="Book Antiqua"/>
                <w:sz w:val="24"/>
                <w:szCs w:val="24"/>
              </w:rPr>
              <w:t>58</w:t>
            </w:r>
          </w:p>
        </w:tc>
      </w:tr>
      <w:tr w:rsidR="00E4267F" w:rsidRPr="00390EBD" w14:paraId="329C23E7" w14:textId="77777777" w:rsidTr="00346E50">
        <w:tc>
          <w:tcPr>
            <w:tcW w:w="0" w:type="auto"/>
          </w:tcPr>
          <w:p w14:paraId="5088AF10"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p w14:paraId="26B0DB6C"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r w:rsidRPr="00390EBD">
              <w:rPr>
                <w:rFonts w:ascii="Book Antiqua" w:hAnsi="Book Antiqua" w:cs="Book Antiqua"/>
                <w:b/>
                <w:bCs/>
                <w:sz w:val="24"/>
                <w:szCs w:val="24"/>
              </w:rPr>
              <w:t xml:space="preserve">Pierik </w:t>
            </w:r>
            <w:r w:rsidRPr="009046D6">
              <w:rPr>
                <w:rFonts w:ascii="Book Antiqua" w:hAnsi="Book Antiqua" w:cs="Book Antiqua"/>
                <w:b/>
                <w:bCs/>
                <w:i/>
                <w:sz w:val="24"/>
                <w:szCs w:val="24"/>
              </w:rPr>
              <w:t>et al</w:t>
            </w:r>
            <w:r w:rsidRPr="00390EBD">
              <w:rPr>
                <w:rFonts w:ascii="Book Antiqua" w:hAnsi="Book Antiqua" w:cs="Book Antiqua"/>
                <w:b/>
                <w:bCs/>
                <w:sz w:val="24"/>
                <w:szCs w:val="24"/>
              </w:rPr>
              <w:t xml:space="preserve"> (2004)</w:t>
            </w:r>
          </w:p>
        </w:tc>
        <w:tc>
          <w:tcPr>
            <w:tcW w:w="0" w:type="auto"/>
          </w:tcPr>
          <w:p w14:paraId="69DE7335"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15F6A235"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166</w:t>
            </w:r>
          </w:p>
          <w:p w14:paraId="31B97896"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tc>
        <w:tc>
          <w:tcPr>
            <w:tcW w:w="0" w:type="auto"/>
          </w:tcPr>
          <w:p w14:paraId="3353E836"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350031AA"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CDAI</w:t>
            </w:r>
          </w:p>
        </w:tc>
        <w:tc>
          <w:tcPr>
            <w:tcW w:w="2136" w:type="dxa"/>
          </w:tcPr>
          <w:p w14:paraId="637E1CA0"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781D061B"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TNF/TNFR</w:t>
            </w:r>
          </w:p>
        </w:tc>
        <w:tc>
          <w:tcPr>
            <w:tcW w:w="2215" w:type="dxa"/>
          </w:tcPr>
          <w:p w14:paraId="0C802DCD" w14:textId="77777777" w:rsidR="00E4267F" w:rsidRPr="00390EBD" w:rsidRDefault="00E4267F"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 xml:space="preserve">Biological response to infliximab was lower in patients carrying </w:t>
            </w:r>
            <w:r w:rsidRPr="00390EBD">
              <w:rPr>
                <w:rFonts w:ascii="Book Antiqua" w:hAnsi="Book Antiqua" w:cs="Book Antiqua"/>
                <w:i/>
                <w:iCs/>
                <w:sz w:val="24"/>
                <w:szCs w:val="24"/>
                <w:lang w:val="en-US"/>
              </w:rPr>
              <w:t>TNFR1</w:t>
            </w:r>
            <w:r w:rsidRPr="00390EBD">
              <w:rPr>
                <w:rFonts w:ascii="Book Antiqua" w:hAnsi="Book Antiqua" w:cs="Book Antiqua"/>
                <w:sz w:val="24"/>
                <w:szCs w:val="24"/>
                <w:lang w:val="en-US"/>
              </w:rPr>
              <w:t>-36G.</w:t>
            </w:r>
          </w:p>
          <w:p w14:paraId="2C69CBD8" w14:textId="77777777" w:rsidR="00E4267F" w:rsidRPr="00390EBD" w:rsidRDefault="00E4267F" w:rsidP="00954CEE">
            <w:pPr>
              <w:autoSpaceDE w:val="0"/>
              <w:autoSpaceDN w:val="0"/>
              <w:adjustRightInd w:val="0"/>
              <w:snapToGrid w:val="0"/>
              <w:spacing w:after="0" w:line="360" w:lineRule="auto"/>
              <w:jc w:val="both"/>
              <w:rPr>
                <w:rFonts w:ascii="Book Antiqua" w:hAnsi="Book Antiqua" w:cs="Book Antiqua"/>
                <w:sz w:val="24"/>
                <w:szCs w:val="24"/>
                <w:lang w:val="en-US"/>
              </w:rPr>
            </w:pPr>
          </w:p>
        </w:tc>
        <w:tc>
          <w:tcPr>
            <w:tcW w:w="694" w:type="dxa"/>
          </w:tcPr>
          <w:p w14:paraId="71BDE40C"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lang w:val="en-US"/>
              </w:rPr>
            </w:pPr>
          </w:p>
          <w:p w14:paraId="1CE2A49C"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lang w:val="en-US"/>
              </w:rPr>
            </w:pPr>
          </w:p>
          <w:p w14:paraId="3DD1BF13"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rPr>
            </w:pPr>
            <w:r w:rsidRPr="00390EBD">
              <w:rPr>
                <w:rFonts w:ascii="Book Antiqua" w:hAnsi="Book Antiqua"/>
                <w:sz w:val="24"/>
                <w:szCs w:val="24"/>
              </w:rPr>
              <w:t>59</w:t>
            </w:r>
          </w:p>
        </w:tc>
      </w:tr>
      <w:tr w:rsidR="00E4267F" w:rsidRPr="00390EBD" w14:paraId="349C55C1" w14:textId="77777777" w:rsidTr="00346E50">
        <w:tc>
          <w:tcPr>
            <w:tcW w:w="0" w:type="auto"/>
          </w:tcPr>
          <w:p w14:paraId="2B1A3341"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p w14:paraId="272D1264"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p w14:paraId="07274EA3"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p w14:paraId="0A00818F"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r w:rsidRPr="00390EBD">
              <w:rPr>
                <w:rFonts w:ascii="Book Antiqua" w:hAnsi="Book Antiqua" w:cs="Book Antiqua"/>
                <w:b/>
                <w:bCs/>
                <w:sz w:val="24"/>
                <w:szCs w:val="24"/>
              </w:rPr>
              <w:t xml:space="preserve">Matsukura </w:t>
            </w:r>
            <w:r w:rsidRPr="009046D6">
              <w:rPr>
                <w:rFonts w:ascii="Book Antiqua" w:hAnsi="Book Antiqua" w:cs="Book Antiqua"/>
                <w:b/>
                <w:bCs/>
                <w:i/>
                <w:sz w:val="24"/>
                <w:szCs w:val="24"/>
              </w:rPr>
              <w:t>et al</w:t>
            </w:r>
            <w:r w:rsidRPr="00390EBD">
              <w:rPr>
                <w:rFonts w:ascii="Book Antiqua" w:hAnsi="Book Antiqua" w:cs="Book Antiqua"/>
                <w:b/>
                <w:bCs/>
                <w:sz w:val="24"/>
                <w:szCs w:val="24"/>
              </w:rPr>
              <w:t xml:space="preserve"> (2008)</w:t>
            </w:r>
          </w:p>
          <w:p w14:paraId="50770338"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tc>
        <w:tc>
          <w:tcPr>
            <w:tcW w:w="0" w:type="auto"/>
          </w:tcPr>
          <w:p w14:paraId="00C364FF"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63064275"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023068B6"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162DC3C5"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80</w:t>
            </w:r>
          </w:p>
        </w:tc>
        <w:tc>
          <w:tcPr>
            <w:tcW w:w="0" w:type="auto"/>
          </w:tcPr>
          <w:p w14:paraId="74BC1224"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6E10DB0C"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17B051D3"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623FC5DF"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HBI</w:t>
            </w:r>
          </w:p>
        </w:tc>
        <w:tc>
          <w:tcPr>
            <w:tcW w:w="2136" w:type="dxa"/>
          </w:tcPr>
          <w:p w14:paraId="4396DB05"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TNFRSF1A</w:t>
            </w:r>
          </w:p>
          <w:p w14:paraId="0D5D34F2"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4BC4F17E"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5D7156D9"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TNFRSF1B</w:t>
            </w:r>
          </w:p>
        </w:tc>
        <w:tc>
          <w:tcPr>
            <w:tcW w:w="2215" w:type="dxa"/>
          </w:tcPr>
          <w:p w14:paraId="601DA822" w14:textId="77777777" w:rsidR="00E4267F" w:rsidRPr="00390EBD" w:rsidRDefault="00E4267F"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28% of G allele heterozygotes and homozygotes responded</w:t>
            </w:r>
          </w:p>
          <w:p w14:paraId="6CC8105E" w14:textId="77777777" w:rsidR="00E4267F" w:rsidRPr="00390EBD" w:rsidRDefault="00E4267F" w:rsidP="00954CEE">
            <w:pPr>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compared to 73% of A allele homozygotes (</w:t>
            </w:r>
            <w:r w:rsidRPr="0020336D">
              <w:rPr>
                <w:rFonts w:ascii="Book Antiqua" w:hAnsi="Book Antiqua" w:cs="Book Antiqua"/>
                <w:i/>
                <w:iCs/>
                <w:caps/>
                <w:sz w:val="24"/>
                <w:szCs w:val="24"/>
                <w:lang w:val="en-US"/>
              </w:rPr>
              <w:t>P =</w:t>
            </w:r>
            <w:r w:rsidRPr="00390EBD">
              <w:rPr>
                <w:rFonts w:ascii="Book Antiqua" w:hAnsi="Book Antiqua" w:cs="Book Antiqua"/>
                <w:sz w:val="24"/>
                <w:szCs w:val="24"/>
                <w:lang w:val="en-US"/>
              </w:rPr>
              <w:t xml:space="preserve"> 0.04)</w:t>
            </w:r>
          </w:p>
          <w:p w14:paraId="5228D531" w14:textId="084728E3" w:rsidR="00E4267F" w:rsidRPr="00390EBD" w:rsidRDefault="00E4267F"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5% of patients with AT haplotype responded compared to 20</w:t>
            </w:r>
            <w:r w:rsidR="000626A0">
              <w:rPr>
                <w:rFonts w:ascii="Book Antiqua" w:hAnsi="Book Antiqua" w:cs="Book Antiqua" w:hint="eastAsia"/>
                <w:sz w:val="24"/>
                <w:szCs w:val="24"/>
                <w:lang w:val="en-US" w:eastAsia="zh-CN"/>
              </w:rPr>
              <w:t>%</w:t>
            </w:r>
            <w:r w:rsidRPr="00390EBD">
              <w:rPr>
                <w:rFonts w:ascii="Book Antiqua" w:hAnsi="Book Antiqua" w:cs="Book Antiqua"/>
                <w:sz w:val="24"/>
                <w:szCs w:val="24"/>
                <w:lang w:val="en-US"/>
              </w:rPr>
              <w:t>–40% of patients with other haplotypes (</w:t>
            </w:r>
            <w:r w:rsidRPr="0020336D">
              <w:rPr>
                <w:rFonts w:ascii="Book Antiqua" w:hAnsi="Book Antiqua" w:cs="Book Antiqua"/>
                <w:i/>
                <w:iCs/>
                <w:caps/>
                <w:sz w:val="24"/>
                <w:szCs w:val="24"/>
                <w:lang w:val="en-US"/>
              </w:rPr>
              <w:t>P =</w:t>
            </w:r>
            <w:r w:rsidRPr="00390EBD">
              <w:rPr>
                <w:rFonts w:ascii="Book Antiqua" w:hAnsi="Book Antiqua" w:cs="Book Antiqua"/>
                <w:sz w:val="24"/>
                <w:szCs w:val="24"/>
                <w:lang w:val="en-US"/>
              </w:rPr>
              <w:t xml:space="preserve"> 0.01)</w:t>
            </w:r>
          </w:p>
          <w:p w14:paraId="038799FD" w14:textId="77777777" w:rsidR="00E4267F" w:rsidRPr="00390EBD" w:rsidRDefault="00E4267F" w:rsidP="00954CEE">
            <w:pPr>
              <w:adjustRightInd w:val="0"/>
              <w:snapToGrid w:val="0"/>
              <w:spacing w:after="0" w:line="360" w:lineRule="auto"/>
              <w:jc w:val="both"/>
              <w:rPr>
                <w:rFonts w:ascii="Book Antiqua" w:hAnsi="Book Antiqua" w:cs="Book Antiqua"/>
                <w:sz w:val="24"/>
                <w:szCs w:val="24"/>
                <w:lang w:val="en-US"/>
              </w:rPr>
            </w:pPr>
          </w:p>
          <w:p w14:paraId="042B2294" w14:textId="77777777" w:rsidR="00E4267F" w:rsidRPr="00390EBD" w:rsidRDefault="00E4267F" w:rsidP="00954CEE">
            <w:pPr>
              <w:adjustRightInd w:val="0"/>
              <w:snapToGrid w:val="0"/>
              <w:spacing w:after="0" w:line="360" w:lineRule="auto"/>
              <w:jc w:val="both"/>
              <w:rPr>
                <w:rFonts w:ascii="Book Antiqua" w:hAnsi="Book Antiqua" w:cs="Book Antiqua"/>
                <w:sz w:val="24"/>
                <w:szCs w:val="24"/>
                <w:lang w:val="en-US"/>
              </w:rPr>
            </w:pPr>
          </w:p>
        </w:tc>
        <w:tc>
          <w:tcPr>
            <w:tcW w:w="694" w:type="dxa"/>
          </w:tcPr>
          <w:p w14:paraId="05DA4CEE"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lang w:val="en-US"/>
              </w:rPr>
            </w:pPr>
          </w:p>
          <w:p w14:paraId="22C5ECAD"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lang w:val="en-US"/>
              </w:rPr>
            </w:pPr>
          </w:p>
          <w:p w14:paraId="1E1574C1"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lang w:val="en-US"/>
              </w:rPr>
            </w:pPr>
          </w:p>
          <w:p w14:paraId="382CC3AA"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lang w:val="en-US"/>
              </w:rPr>
            </w:pPr>
          </w:p>
          <w:p w14:paraId="285B2966"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lang w:val="en-US"/>
              </w:rPr>
            </w:pPr>
          </w:p>
          <w:p w14:paraId="4C500353"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rPr>
            </w:pPr>
            <w:r w:rsidRPr="00390EBD">
              <w:rPr>
                <w:rFonts w:ascii="Book Antiqua" w:hAnsi="Book Antiqua"/>
                <w:sz w:val="24"/>
                <w:szCs w:val="24"/>
              </w:rPr>
              <w:t>60</w:t>
            </w:r>
          </w:p>
        </w:tc>
      </w:tr>
      <w:tr w:rsidR="00E4267F" w:rsidRPr="00390EBD" w14:paraId="1F614F52" w14:textId="77777777" w:rsidTr="00346E50">
        <w:tc>
          <w:tcPr>
            <w:tcW w:w="0" w:type="auto"/>
          </w:tcPr>
          <w:p w14:paraId="6C929557"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p w14:paraId="4E782EB4"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r w:rsidRPr="00390EBD">
              <w:rPr>
                <w:rFonts w:ascii="Book Antiqua" w:hAnsi="Book Antiqua" w:cs="Book Antiqua"/>
                <w:b/>
                <w:bCs/>
                <w:sz w:val="24"/>
                <w:szCs w:val="24"/>
              </w:rPr>
              <w:t xml:space="preserve">Louise </w:t>
            </w:r>
            <w:r w:rsidRPr="009046D6">
              <w:rPr>
                <w:rFonts w:ascii="Book Antiqua" w:hAnsi="Book Antiqua" w:cs="Book Antiqua"/>
                <w:b/>
                <w:bCs/>
                <w:i/>
                <w:sz w:val="24"/>
                <w:szCs w:val="24"/>
              </w:rPr>
              <w:t>et al</w:t>
            </w:r>
            <w:r w:rsidRPr="00390EBD">
              <w:rPr>
                <w:rFonts w:ascii="Book Antiqua" w:hAnsi="Book Antiqua" w:cs="Book Antiqua"/>
                <w:b/>
                <w:bCs/>
                <w:sz w:val="24"/>
                <w:szCs w:val="24"/>
              </w:rPr>
              <w:t xml:space="preserve"> (2004)</w:t>
            </w:r>
          </w:p>
          <w:p w14:paraId="73A49238"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tc>
        <w:tc>
          <w:tcPr>
            <w:tcW w:w="0" w:type="auto"/>
          </w:tcPr>
          <w:p w14:paraId="0B8A5E97"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565B7E14"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200</w:t>
            </w:r>
          </w:p>
        </w:tc>
        <w:tc>
          <w:tcPr>
            <w:tcW w:w="0" w:type="auto"/>
          </w:tcPr>
          <w:p w14:paraId="0F009A16"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25240926"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CDAI</w:t>
            </w:r>
          </w:p>
        </w:tc>
        <w:tc>
          <w:tcPr>
            <w:tcW w:w="2136" w:type="dxa"/>
          </w:tcPr>
          <w:p w14:paraId="727FB165"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27C5718B"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Fc</w:t>
            </w:r>
            <w:r w:rsidRPr="00390EBD">
              <w:rPr>
                <w:rFonts w:ascii="Times New Roman" w:eastAsia="MS Mincho" w:hAnsi="Times New Roman" w:cs="Times New Roman"/>
                <w:sz w:val="24"/>
                <w:szCs w:val="24"/>
              </w:rPr>
              <w:t>ɣ</w:t>
            </w:r>
            <w:r w:rsidRPr="00390EBD">
              <w:rPr>
                <w:rFonts w:ascii="Book Antiqua" w:hAnsi="Book Antiqua" w:cs="Book Antiqua"/>
                <w:sz w:val="24"/>
                <w:szCs w:val="24"/>
              </w:rPr>
              <w:t>RIIIa</w:t>
            </w:r>
          </w:p>
        </w:tc>
        <w:tc>
          <w:tcPr>
            <w:tcW w:w="2215" w:type="dxa"/>
          </w:tcPr>
          <w:p w14:paraId="5CA1B317" w14:textId="77777777" w:rsidR="00E4267F" w:rsidRPr="00390EBD" w:rsidRDefault="00E4267F" w:rsidP="00954CEE">
            <w:pPr>
              <w:adjustRightInd w:val="0"/>
              <w:snapToGrid w:val="0"/>
              <w:spacing w:after="0" w:line="360" w:lineRule="auto"/>
              <w:jc w:val="both"/>
              <w:rPr>
                <w:rFonts w:ascii="Book Antiqua" w:hAnsi="Book Antiqua" w:cs="Book Antiqua"/>
                <w:sz w:val="24"/>
                <w:szCs w:val="24"/>
                <w:lang w:val="en-US"/>
              </w:rPr>
            </w:pPr>
          </w:p>
          <w:p w14:paraId="42607224" w14:textId="77777777" w:rsidR="00E4267F" w:rsidRPr="00390EBD" w:rsidRDefault="00E4267F" w:rsidP="00954CEE">
            <w:pPr>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Positive (V/V genotype) association with good treatment outcome</w:t>
            </w:r>
          </w:p>
        </w:tc>
        <w:tc>
          <w:tcPr>
            <w:tcW w:w="694" w:type="dxa"/>
          </w:tcPr>
          <w:p w14:paraId="0907A16E"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lang w:val="en-US"/>
              </w:rPr>
            </w:pPr>
          </w:p>
          <w:p w14:paraId="04C89DFB"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rPr>
            </w:pPr>
            <w:r w:rsidRPr="00390EBD">
              <w:rPr>
                <w:rFonts w:ascii="Book Antiqua" w:hAnsi="Book Antiqua"/>
                <w:sz w:val="24"/>
                <w:szCs w:val="24"/>
              </w:rPr>
              <w:t>61</w:t>
            </w:r>
          </w:p>
        </w:tc>
      </w:tr>
      <w:tr w:rsidR="00E4267F" w:rsidRPr="00390EBD" w14:paraId="3C230CE8" w14:textId="77777777" w:rsidTr="00346E50">
        <w:tc>
          <w:tcPr>
            <w:tcW w:w="0" w:type="auto"/>
          </w:tcPr>
          <w:p w14:paraId="732CCBE9"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p w14:paraId="1897A2A8"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r w:rsidRPr="00390EBD">
              <w:rPr>
                <w:rFonts w:ascii="Book Antiqua" w:hAnsi="Book Antiqua" w:cs="Book Antiqua"/>
                <w:b/>
                <w:bCs/>
                <w:sz w:val="24"/>
                <w:szCs w:val="24"/>
              </w:rPr>
              <w:t xml:space="preserve">Urcelay </w:t>
            </w:r>
            <w:r w:rsidRPr="009046D6">
              <w:rPr>
                <w:rFonts w:ascii="Book Antiqua" w:hAnsi="Book Antiqua" w:cs="Book Antiqua"/>
                <w:b/>
                <w:bCs/>
                <w:i/>
                <w:sz w:val="24"/>
                <w:szCs w:val="24"/>
              </w:rPr>
              <w:t>et al</w:t>
            </w:r>
            <w:r w:rsidRPr="00390EBD">
              <w:rPr>
                <w:rFonts w:ascii="Book Antiqua" w:hAnsi="Book Antiqua" w:cs="Book Antiqua"/>
                <w:b/>
                <w:bCs/>
                <w:sz w:val="24"/>
                <w:szCs w:val="24"/>
              </w:rPr>
              <w:t xml:space="preserve"> (2005)</w:t>
            </w:r>
          </w:p>
        </w:tc>
        <w:tc>
          <w:tcPr>
            <w:tcW w:w="0" w:type="auto"/>
          </w:tcPr>
          <w:p w14:paraId="0C47C7FF"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38D0479F"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40</w:t>
            </w:r>
          </w:p>
          <w:p w14:paraId="29586B44"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tc>
        <w:tc>
          <w:tcPr>
            <w:tcW w:w="0" w:type="auto"/>
          </w:tcPr>
          <w:p w14:paraId="4017D4A3"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6D454F3F"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CDAI</w:t>
            </w:r>
          </w:p>
        </w:tc>
        <w:tc>
          <w:tcPr>
            <w:tcW w:w="2136" w:type="dxa"/>
          </w:tcPr>
          <w:p w14:paraId="16FE2285"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2E7EFABF"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IBD5(5q31)</w:t>
            </w:r>
          </w:p>
        </w:tc>
        <w:tc>
          <w:tcPr>
            <w:tcW w:w="2215" w:type="dxa"/>
          </w:tcPr>
          <w:p w14:paraId="58662E3A" w14:textId="77777777" w:rsidR="00E4267F" w:rsidRPr="00390EBD" w:rsidRDefault="00E4267F" w:rsidP="00954CEE">
            <w:pPr>
              <w:adjustRightInd w:val="0"/>
              <w:snapToGrid w:val="0"/>
              <w:spacing w:after="0" w:line="360" w:lineRule="auto"/>
              <w:jc w:val="both"/>
              <w:rPr>
                <w:rFonts w:ascii="Book Antiqua" w:hAnsi="Book Antiqua" w:cs="Book Antiqua"/>
                <w:sz w:val="24"/>
                <w:szCs w:val="24"/>
                <w:lang w:val="en-US"/>
              </w:rPr>
            </w:pPr>
          </w:p>
          <w:p w14:paraId="630853CA" w14:textId="77777777" w:rsidR="00E4267F" w:rsidRPr="00390EBD" w:rsidRDefault="00E4267F" w:rsidP="00954CEE">
            <w:pPr>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Polymorphims TT is associated with</w:t>
            </w:r>
            <w:r>
              <w:rPr>
                <w:rFonts w:ascii="Book Antiqua" w:hAnsi="Book Antiqua" w:cs="Book Antiqua"/>
                <w:sz w:val="24"/>
                <w:szCs w:val="24"/>
                <w:lang w:val="en-US"/>
              </w:rPr>
              <w:t xml:space="preserve"> </w:t>
            </w:r>
            <w:r w:rsidRPr="00390EBD">
              <w:rPr>
                <w:rFonts w:ascii="Book Antiqua" w:hAnsi="Book Antiqua" w:cs="Book Antiqua"/>
                <w:sz w:val="24"/>
                <w:szCs w:val="24"/>
                <w:lang w:val="en-US"/>
              </w:rPr>
              <w:t>negative response</w:t>
            </w:r>
          </w:p>
        </w:tc>
        <w:tc>
          <w:tcPr>
            <w:tcW w:w="694" w:type="dxa"/>
          </w:tcPr>
          <w:p w14:paraId="51835BBA"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lang w:val="en-US"/>
              </w:rPr>
            </w:pPr>
          </w:p>
          <w:p w14:paraId="3762C543"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lang w:val="en-US"/>
              </w:rPr>
            </w:pPr>
          </w:p>
          <w:p w14:paraId="63367B3F"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rPr>
            </w:pPr>
            <w:r w:rsidRPr="00390EBD">
              <w:rPr>
                <w:rFonts w:ascii="Book Antiqua" w:hAnsi="Book Antiqua"/>
                <w:sz w:val="24"/>
                <w:szCs w:val="24"/>
              </w:rPr>
              <w:t>62</w:t>
            </w:r>
          </w:p>
        </w:tc>
      </w:tr>
      <w:tr w:rsidR="00E4267F" w:rsidRPr="00390EBD" w14:paraId="2DF78D69" w14:textId="77777777" w:rsidTr="00346E50">
        <w:tc>
          <w:tcPr>
            <w:tcW w:w="0" w:type="auto"/>
          </w:tcPr>
          <w:p w14:paraId="27B30523"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p w14:paraId="19D8D5ED"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r w:rsidRPr="00390EBD">
              <w:rPr>
                <w:rFonts w:ascii="Book Antiqua" w:hAnsi="Book Antiqua" w:cs="Book Antiqua"/>
                <w:b/>
                <w:bCs/>
                <w:sz w:val="24"/>
                <w:szCs w:val="24"/>
              </w:rPr>
              <w:t xml:space="preserve">Hlavaty </w:t>
            </w:r>
            <w:r w:rsidRPr="009046D6">
              <w:rPr>
                <w:rFonts w:ascii="Book Antiqua" w:hAnsi="Book Antiqua" w:cs="Book Antiqua"/>
                <w:b/>
                <w:bCs/>
                <w:i/>
                <w:sz w:val="24"/>
                <w:szCs w:val="24"/>
              </w:rPr>
              <w:t>et al</w:t>
            </w:r>
            <w:r w:rsidRPr="00390EBD">
              <w:rPr>
                <w:rFonts w:ascii="Book Antiqua" w:hAnsi="Book Antiqua" w:cs="Book Antiqua"/>
                <w:b/>
                <w:bCs/>
                <w:sz w:val="24"/>
                <w:szCs w:val="24"/>
              </w:rPr>
              <w:t xml:space="preserve"> (2005)</w:t>
            </w:r>
          </w:p>
        </w:tc>
        <w:tc>
          <w:tcPr>
            <w:tcW w:w="0" w:type="auto"/>
          </w:tcPr>
          <w:p w14:paraId="2E93A024"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70736402"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287</w:t>
            </w:r>
          </w:p>
        </w:tc>
        <w:tc>
          <w:tcPr>
            <w:tcW w:w="0" w:type="auto"/>
          </w:tcPr>
          <w:p w14:paraId="15D0A640"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0086B2F4"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CDAI</w:t>
            </w:r>
          </w:p>
        </w:tc>
        <w:tc>
          <w:tcPr>
            <w:tcW w:w="2136" w:type="dxa"/>
          </w:tcPr>
          <w:p w14:paraId="4A8BFBFA"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774E8EA5"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FASL/CASP9</w:t>
            </w:r>
          </w:p>
        </w:tc>
        <w:tc>
          <w:tcPr>
            <w:tcW w:w="2215" w:type="dxa"/>
          </w:tcPr>
          <w:p w14:paraId="1BC339AB"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2B8813FD"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Positive association</w:t>
            </w:r>
          </w:p>
        </w:tc>
        <w:tc>
          <w:tcPr>
            <w:tcW w:w="694" w:type="dxa"/>
          </w:tcPr>
          <w:p w14:paraId="1E739399"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rPr>
            </w:pPr>
          </w:p>
          <w:p w14:paraId="52F22162"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rPr>
            </w:pPr>
            <w:r w:rsidRPr="00390EBD">
              <w:rPr>
                <w:rFonts w:ascii="Book Antiqua" w:hAnsi="Book Antiqua"/>
                <w:sz w:val="24"/>
                <w:szCs w:val="24"/>
              </w:rPr>
              <w:t>63</w:t>
            </w:r>
          </w:p>
        </w:tc>
      </w:tr>
      <w:tr w:rsidR="00E4267F" w:rsidRPr="00390EBD" w14:paraId="03F9BB67" w14:textId="77777777" w:rsidTr="00346E50">
        <w:tc>
          <w:tcPr>
            <w:tcW w:w="0" w:type="auto"/>
          </w:tcPr>
          <w:p w14:paraId="0CF8C2B3"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p w14:paraId="3E52006E"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p w14:paraId="6AE746AA"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r w:rsidRPr="00390EBD">
              <w:rPr>
                <w:rFonts w:ascii="Book Antiqua" w:hAnsi="Book Antiqua" w:cs="Book Antiqua"/>
                <w:b/>
                <w:bCs/>
                <w:sz w:val="24"/>
                <w:szCs w:val="24"/>
              </w:rPr>
              <w:t xml:space="preserve">Hlavaty </w:t>
            </w:r>
            <w:r w:rsidRPr="009046D6">
              <w:rPr>
                <w:rFonts w:ascii="Book Antiqua" w:hAnsi="Book Antiqua" w:cs="Book Antiqua"/>
                <w:b/>
                <w:bCs/>
                <w:i/>
                <w:sz w:val="24"/>
                <w:szCs w:val="24"/>
              </w:rPr>
              <w:t>et al</w:t>
            </w:r>
            <w:r w:rsidRPr="00390EBD">
              <w:rPr>
                <w:rFonts w:ascii="Book Antiqua" w:hAnsi="Book Antiqua" w:cs="Book Antiqua"/>
                <w:b/>
                <w:bCs/>
                <w:sz w:val="24"/>
                <w:szCs w:val="24"/>
              </w:rPr>
              <w:t xml:space="preserve"> (2007)</w:t>
            </w:r>
          </w:p>
          <w:p w14:paraId="458EC545"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tc>
        <w:tc>
          <w:tcPr>
            <w:tcW w:w="0" w:type="auto"/>
          </w:tcPr>
          <w:p w14:paraId="1132B5EC"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6179C7A5"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17ECE587"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287</w:t>
            </w:r>
          </w:p>
          <w:p w14:paraId="762E24B0"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tc>
        <w:tc>
          <w:tcPr>
            <w:tcW w:w="0" w:type="auto"/>
          </w:tcPr>
          <w:p w14:paraId="63425A10"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038607D6"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47E73F0F"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CDAI</w:t>
            </w:r>
          </w:p>
        </w:tc>
        <w:tc>
          <w:tcPr>
            <w:tcW w:w="2136" w:type="dxa"/>
          </w:tcPr>
          <w:p w14:paraId="0D6B03A2"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5D7727E1"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3F41CE43"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FASL</w:t>
            </w:r>
          </w:p>
        </w:tc>
        <w:tc>
          <w:tcPr>
            <w:tcW w:w="2215" w:type="dxa"/>
          </w:tcPr>
          <w:p w14:paraId="5A92ACEA"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48007F46"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561F7A58"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Negative association (stadistical model)</w:t>
            </w:r>
          </w:p>
        </w:tc>
        <w:tc>
          <w:tcPr>
            <w:tcW w:w="694" w:type="dxa"/>
          </w:tcPr>
          <w:p w14:paraId="10A55A9D"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rPr>
            </w:pPr>
          </w:p>
          <w:p w14:paraId="3291E7F1"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rPr>
            </w:pPr>
          </w:p>
          <w:p w14:paraId="227BD727"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rPr>
            </w:pPr>
            <w:r w:rsidRPr="00390EBD">
              <w:rPr>
                <w:rFonts w:ascii="Book Antiqua" w:hAnsi="Book Antiqua"/>
                <w:sz w:val="24"/>
                <w:szCs w:val="24"/>
              </w:rPr>
              <w:t>64</w:t>
            </w:r>
          </w:p>
        </w:tc>
      </w:tr>
      <w:tr w:rsidR="00E4267F" w:rsidRPr="00390EBD" w14:paraId="4FEEB23B" w14:textId="77777777" w:rsidTr="00346E50">
        <w:tc>
          <w:tcPr>
            <w:tcW w:w="0" w:type="auto"/>
          </w:tcPr>
          <w:p w14:paraId="1E9715CB"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p w14:paraId="252BC924"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r w:rsidRPr="00390EBD">
              <w:rPr>
                <w:rFonts w:ascii="Book Antiqua" w:hAnsi="Book Antiqua" w:cs="Book Antiqua"/>
                <w:b/>
                <w:bCs/>
                <w:sz w:val="24"/>
                <w:szCs w:val="24"/>
              </w:rPr>
              <w:t xml:space="preserve">Willot </w:t>
            </w:r>
            <w:r w:rsidRPr="009046D6">
              <w:rPr>
                <w:rFonts w:ascii="Book Antiqua" w:hAnsi="Book Antiqua" w:cs="Book Antiqua"/>
                <w:b/>
                <w:bCs/>
                <w:i/>
                <w:sz w:val="24"/>
                <w:szCs w:val="24"/>
              </w:rPr>
              <w:t>et al</w:t>
            </w:r>
            <w:r w:rsidRPr="00390EBD">
              <w:rPr>
                <w:rFonts w:ascii="Book Antiqua" w:hAnsi="Book Antiqua" w:cs="Book Antiqua"/>
                <w:b/>
                <w:bCs/>
                <w:sz w:val="24"/>
                <w:szCs w:val="24"/>
              </w:rPr>
              <w:t xml:space="preserve"> (2006)</w:t>
            </w:r>
          </w:p>
        </w:tc>
        <w:tc>
          <w:tcPr>
            <w:tcW w:w="0" w:type="auto"/>
          </w:tcPr>
          <w:p w14:paraId="1BD02CFE"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1C5AC79F"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189</w:t>
            </w:r>
          </w:p>
        </w:tc>
        <w:tc>
          <w:tcPr>
            <w:tcW w:w="0" w:type="auto"/>
          </w:tcPr>
          <w:p w14:paraId="61A8CCD7"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23C74925"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CRP</w:t>
            </w:r>
          </w:p>
        </w:tc>
        <w:tc>
          <w:tcPr>
            <w:tcW w:w="2136" w:type="dxa"/>
          </w:tcPr>
          <w:p w14:paraId="2F4DDFA4" w14:textId="77777777" w:rsidR="00E4267F" w:rsidRPr="00390EBD" w:rsidRDefault="00E4267F" w:rsidP="00954CEE">
            <w:pPr>
              <w:adjustRightInd w:val="0"/>
              <w:snapToGrid w:val="0"/>
              <w:spacing w:after="0" w:line="360" w:lineRule="auto"/>
              <w:jc w:val="both"/>
              <w:rPr>
                <w:rFonts w:ascii="Book Antiqua" w:hAnsi="Book Antiqua" w:cs="Book Antiqua"/>
                <w:color w:val="FF0000"/>
                <w:sz w:val="24"/>
                <w:szCs w:val="24"/>
              </w:rPr>
            </w:pPr>
          </w:p>
          <w:p w14:paraId="59897031"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CRP</w:t>
            </w:r>
          </w:p>
        </w:tc>
        <w:tc>
          <w:tcPr>
            <w:tcW w:w="2215" w:type="dxa"/>
          </w:tcPr>
          <w:p w14:paraId="08A1EAEF" w14:textId="77777777" w:rsidR="00E4267F" w:rsidRPr="00390EBD" w:rsidRDefault="00E4267F" w:rsidP="00954CEE">
            <w:pPr>
              <w:adjustRightInd w:val="0"/>
              <w:snapToGrid w:val="0"/>
              <w:spacing w:after="0" w:line="360" w:lineRule="auto"/>
              <w:jc w:val="both"/>
              <w:rPr>
                <w:rFonts w:ascii="Book Antiqua" w:hAnsi="Book Antiqua" w:cs="Book Antiqua"/>
                <w:sz w:val="24"/>
                <w:szCs w:val="24"/>
                <w:lang w:val="en-US"/>
              </w:rPr>
            </w:pPr>
          </w:p>
          <w:p w14:paraId="46BE9237" w14:textId="77777777" w:rsidR="00E4267F" w:rsidRPr="00390EBD" w:rsidRDefault="00E4267F" w:rsidP="00954CEE">
            <w:pPr>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Polymorphims evaluated are not associated with treatment outcome</w:t>
            </w:r>
          </w:p>
        </w:tc>
        <w:tc>
          <w:tcPr>
            <w:tcW w:w="694" w:type="dxa"/>
          </w:tcPr>
          <w:p w14:paraId="17FC1516"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lang w:val="en-US"/>
              </w:rPr>
            </w:pPr>
          </w:p>
          <w:p w14:paraId="3CC19CF2"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lang w:val="en-US"/>
              </w:rPr>
            </w:pPr>
          </w:p>
          <w:p w14:paraId="6AAED357"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rPr>
            </w:pPr>
            <w:r w:rsidRPr="00390EBD">
              <w:rPr>
                <w:rFonts w:ascii="Book Antiqua" w:hAnsi="Book Antiqua"/>
                <w:sz w:val="24"/>
                <w:szCs w:val="24"/>
              </w:rPr>
              <w:t>65</w:t>
            </w:r>
          </w:p>
        </w:tc>
      </w:tr>
      <w:tr w:rsidR="00E4267F" w:rsidRPr="00390EBD" w14:paraId="2AEC359C" w14:textId="77777777" w:rsidTr="00346E50">
        <w:tc>
          <w:tcPr>
            <w:tcW w:w="0" w:type="auto"/>
          </w:tcPr>
          <w:p w14:paraId="1338646B"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p w14:paraId="75710E52"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r w:rsidRPr="00390EBD">
              <w:rPr>
                <w:rFonts w:ascii="Book Antiqua" w:hAnsi="Book Antiqua" w:cs="Book Antiqua"/>
                <w:b/>
                <w:bCs/>
                <w:sz w:val="24"/>
                <w:szCs w:val="24"/>
              </w:rPr>
              <w:t xml:space="preserve">Dideverg V </w:t>
            </w:r>
            <w:r w:rsidRPr="009046D6">
              <w:rPr>
                <w:rFonts w:ascii="Book Antiqua" w:hAnsi="Book Antiqua" w:cs="Book Antiqua"/>
                <w:b/>
                <w:bCs/>
                <w:i/>
                <w:sz w:val="24"/>
                <w:szCs w:val="24"/>
              </w:rPr>
              <w:t>et al</w:t>
            </w:r>
            <w:r w:rsidRPr="00390EBD">
              <w:rPr>
                <w:rFonts w:ascii="Book Antiqua" w:hAnsi="Book Antiqua" w:cs="Book Antiqua"/>
                <w:b/>
                <w:bCs/>
                <w:sz w:val="24"/>
                <w:szCs w:val="24"/>
              </w:rPr>
              <w:t xml:space="preserve"> (2006)</w:t>
            </w:r>
          </w:p>
          <w:p w14:paraId="0D3F5B80"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tc>
        <w:tc>
          <w:tcPr>
            <w:tcW w:w="0" w:type="auto"/>
          </w:tcPr>
          <w:p w14:paraId="52A5ECC7"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42797FBC"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214</w:t>
            </w:r>
          </w:p>
          <w:p w14:paraId="4A262949"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tc>
        <w:tc>
          <w:tcPr>
            <w:tcW w:w="0" w:type="auto"/>
          </w:tcPr>
          <w:p w14:paraId="350AB521"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76D38422"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CDAI</w:t>
            </w:r>
          </w:p>
        </w:tc>
        <w:tc>
          <w:tcPr>
            <w:tcW w:w="2136" w:type="dxa"/>
          </w:tcPr>
          <w:p w14:paraId="2B8101B1"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0F2AA803"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TNF/LTA region</w:t>
            </w:r>
          </w:p>
        </w:tc>
        <w:tc>
          <w:tcPr>
            <w:tcW w:w="2215" w:type="dxa"/>
          </w:tcPr>
          <w:p w14:paraId="727C4438"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2451FCF9"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No association</w:t>
            </w:r>
          </w:p>
        </w:tc>
        <w:tc>
          <w:tcPr>
            <w:tcW w:w="694" w:type="dxa"/>
          </w:tcPr>
          <w:p w14:paraId="7862B432"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rPr>
            </w:pPr>
          </w:p>
          <w:p w14:paraId="7DA7D6E6"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rPr>
            </w:pPr>
            <w:r>
              <w:rPr>
                <w:rFonts w:ascii="Book Antiqua" w:hAnsi="Book Antiqua"/>
                <w:sz w:val="24"/>
                <w:szCs w:val="24"/>
              </w:rPr>
              <w:t xml:space="preserve"> </w:t>
            </w:r>
            <w:r w:rsidRPr="00390EBD">
              <w:rPr>
                <w:rFonts w:ascii="Book Antiqua" w:hAnsi="Book Antiqua"/>
                <w:sz w:val="24"/>
                <w:szCs w:val="24"/>
              </w:rPr>
              <w:t>66</w:t>
            </w:r>
          </w:p>
        </w:tc>
      </w:tr>
      <w:tr w:rsidR="00E4267F" w:rsidRPr="00390EBD" w14:paraId="0466B491" w14:textId="77777777" w:rsidTr="00346E50">
        <w:tc>
          <w:tcPr>
            <w:tcW w:w="0" w:type="auto"/>
          </w:tcPr>
          <w:p w14:paraId="42D1657B"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p w14:paraId="762F0848"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r w:rsidRPr="00390EBD">
              <w:rPr>
                <w:rFonts w:ascii="Book Antiqua" w:hAnsi="Book Antiqua" w:cs="Book Antiqua"/>
                <w:b/>
                <w:bCs/>
                <w:sz w:val="24"/>
                <w:szCs w:val="24"/>
              </w:rPr>
              <w:t xml:space="preserve">Dideverg V </w:t>
            </w:r>
            <w:r w:rsidRPr="009046D6">
              <w:rPr>
                <w:rFonts w:ascii="Book Antiqua" w:hAnsi="Book Antiqua" w:cs="Book Antiqua"/>
                <w:b/>
                <w:bCs/>
                <w:i/>
                <w:sz w:val="24"/>
                <w:szCs w:val="24"/>
              </w:rPr>
              <w:t>et al</w:t>
            </w:r>
            <w:r w:rsidRPr="00390EBD">
              <w:rPr>
                <w:rFonts w:ascii="Book Antiqua" w:hAnsi="Book Antiqua" w:cs="Book Antiqua"/>
                <w:b/>
                <w:bCs/>
                <w:sz w:val="24"/>
                <w:szCs w:val="24"/>
              </w:rPr>
              <w:t xml:space="preserve"> (2006)</w:t>
            </w:r>
          </w:p>
          <w:p w14:paraId="055DA1E1"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tc>
        <w:tc>
          <w:tcPr>
            <w:tcW w:w="0" w:type="auto"/>
          </w:tcPr>
          <w:p w14:paraId="7417E19E"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53376308"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186</w:t>
            </w:r>
          </w:p>
        </w:tc>
        <w:tc>
          <w:tcPr>
            <w:tcW w:w="0" w:type="auto"/>
          </w:tcPr>
          <w:p w14:paraId="0EDF14AF"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1F292AD5"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CDAI and CRP</w:t>
            </w:r>
          </w:p>
        </w:tc>
        <w:tc>
          <w:tcPr>
            <w:tcW w:w="2136" w:type="dxa"/>
          </w:tcPr>
          <w:p w14:paraId="095CFC22"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4F415428"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ADAM17</w:t>
            </w:r>
          </w:p>
        </w:tc>
        <w:tc>
          <w:tcPr>
            <w:tcW w:w="2215" w:type="dxa"/>
          </w:tcPr>
          <w:p w14:paraId="18465807" w14:textId="77777777" w:rsidR="00E4267F" w:rsidRPr="00390EBD" w:rsidRDefault="00E4267F" w:rsidP="00954CEE">
            <w:pPr>
              <w:autoSpaceDE w:val="0"/>
              <w:autoSpaceDN w:val="0"/>
              <w:adjustRightInd w:val="0"/>
              <w:snapToGrid w:val="0"/>
              <w:spacing w:after="0" w:line="360" w:lineRule="auto"/>
              <w:jc w:val="both"/>
              <w:rPr>
                <w:rFonts w:ascii="Book Antiqua" w:hAnsi="Book Antiqua" w:cs="Book Antiqua"/>
                <w:sz w:val="24"/>
                <w:szCs w:val="24"/>
                <w:lang w:val="en-US"/>
              </w:rPr>
            </w:pPr>
          </w:p>
          <w:p w14:paraId="5DABC1AF" w14:textId="77777777" w:rsidR="00E4267F" w:rsidRPr="00390EBD" w:rsidRDefault="00E4267F"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 xml:space="preserve">Minor allele homozygotes for </w:t>
            </w:r>
            <w:r w:rsidRPr="00390EBD">
              <w:rPr>
                <w:rFonts w:ascii="Book Antiqua" w:hAnsi="Book Antiqua" w:cs="Book Antiqua"/>
                <w:sz w:val="24"/>
                <w:szCs w:val="24"/>
                <w:lang w:val="en-US"/>
              </w:rPr>
              <w:lastRenderedPageBreak/>
              <w:t>each SNP associated with clinical</w:t>
            </w:r>
          </w:p>
          <w:p w14:paraId="213238CF"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response (</w:t>
            </w:r>
            <w:r w:rsidRPr="009046D6">
              <w:rPr>
                <w:rFonts w:ascii="Book Antiqua" w:hAnsi="Book Antiqua" w:cs="Book Antiqua"/>
                <w:i/>
                <w:iCs/>
                <w:caps/>
                <w:sz w:val="24"/>
                <w:szCs w:val="24"/>
              </w:rPr>
              <w:t>P &lt;</w:t>
            </w:r>
            <w:r w:rsidRPr="00390EBD">
              <w:rPr>
                <w:rFonts w:ascii="Book Antiqua" w:hAnsi="Book Antiqua" w:cs="Book Antiqua"/>
                <w:sz w:val="24"/>
                <w:szCs w:val="24"/>
              </w:rPr>
              <w:t xml:space="preserve"> 0.002)</w:t>
            </w:r>
          </w:p>
        </w:tc>
        <w:tc>
          <w:tcPr>
            <w:tcW w:w="694" w:type="dxa"/>
          </w:tcPr>
          <w:p w14:paraId="1EBA15B3"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rPr>
            </w:pPr>
          </w:p>
          <w:p w14:paraId="63DF25DA"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rPr>
            </w:pPr>
          </w:p>
          <w:p w14:paraId="02BC1462"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rPr>
            </w:pPr>
            <w:r>
              <w:rPr>
                <w:rFonts w:ascii="Book Antiqua" w:hAnsi="Book Antiqua"/>
                <w:sz w:val="24"/>
                <w:szCs w:val="24"/>
              </w:rPr>
              <w:t xml:space="preserve"> </w:t>
            </w:r>
            <w:r w:rsidRPr="00390EBD">
              <w:rPr>
                <w:rFonts w:ascii="Book Antiqua" w:hAnsi="Book Antiqua"/>
                <w:sz w:val="24"/>
                <w:szCs w:val="24"/>
              </w:rPr>
              <w:t>67</w:t>
            </w:r>
          </w:p>
        </w:tc>
      </w:tr>
      <w:tr w:rsidR="00E4267F" w:rsidRPr="00390EBD" w14:paraId="60067F11" w14:textId="77777777" w:rsidTr="00346E50">
        <w:tc>
          <w:tcPr>
            <w:tcW w:w="0" w:type="auto"/>
          </w:tcPr>
          <w:p w14:paraId="7329E4A9"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p w14:paraId="29360AE5"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p w14:paraId="194CCDC8"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p w14:paraId="327F3C49"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r w:rsidRPr="00390EBD">
              <w:rPr>
                <w:rFonts w:ascii="Book Antiqua" w:hAnsi="Book Antiqua" w:cs="Book Antiqua"/>
                <w:b/>
                <w:bCs/>
                <w:sz w:val="24"/>
                <w:szCs w:val="24"/>
              </w:rPr>
              <w:t xml:space="preserve">Jürgens </w:t>
            </w:r>
            <w:r w:rsidRPr="009046D6">
              <w:rPr>
                <w:rFonts w:ascii="Book Antiqua" w:hAnsi="Book Antiqua" w:cs="Book Antiqua"/>
                <w:b/>
                <w:bCs/>
                <w:i/>
                <w:sz w:val="24"/>
                <w:szCs w:val="24"/>
              </w:rPr>
              <w:t>et al</w:t>
            </w:r>
            <w:r w:rsidRPr="00390EBD">
              <w:rPr>
                <w:rFonts w:ascii="Book Antiqua" w:hAnsi="Book Antiqua" w:cs="Book Antiqua"/>
                <w:b/>
                <w:bCs/>
                <w:sz w:val="24"/>
                <w:szCs w:val="24"/>
              </w:rPr>
              <w:t xml:space="preserve"> (2010)</w:t>
            </w:r>
          </w:p>
          <w:p w14:paraId="56389310"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tc>
        <w:tc>
          <w:tcPr>
            <w:tcW w:w="0" w:type="auto"/>
          </w:tcPr>
          <w:p w14:paraId="536E9EC8"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55CE53EB"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67764279"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90</w:t>
            </w:r>
          </w:p>
        </w:tc>
        <w:tc>
          <w:tcPr>
            <w:tcW w:w="0" w:type="auto"/>
          </w:tcPr>
          <w:p w14:paraId="3EE10F92"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5B1F384B"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57BF706F"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CAI</w:t>
            </w:r>
          </w:p>
        </w:tc>
        <w:tc>
          <w:tcPr>
            <w:tcW w:w="2136" w:type="dxa"/>
          </w:tcPr>
          <w:p w14:paraId="66492E56"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2083752E"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6E333AAD"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IL-23R</w:t>
            </w:r>
          </w:p>
          <w:p w14:paraId="3E5EFE4D"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IL-2/IL-21</w:t>
            </w:r>
          </w:p>
        </w:tc>
        <w:tc>
          <w:tcPr>
            <w:tcW w:w="2215" w:type="dxa"/>
          </w:tcPr>
          <w:p w14:paraId="5D4EA8C3" w14:textId="77777777" w:rsidR="00E4267F" w:rsidRPr="00390EBD" w:rsidRDefault="00E4267F" w:rsidP="00954CEE">
            <w:pPr>
              <w:autoSpaceDE w:val="0"/>
              <w:autoSpaceDN w:val="0"/>
              <w:adjustRightInd w:val="0"/>
              <w:snapToGrid w:val="0"/>
              <w:spacing w:after="0" w:line="360" w:lineRule="auto"/>
              <w:jc w:val="both"/>
              <w:rPr>
                <w:rFonts w:ascii="Book Antiqua" w:hAnsi="Book Antiqua" w:cs="Book Antiqua"/>
                <w:sz w:val="24"/>
                <w:szCs w:val="24"/>
                <w:lang w:val="en-GB"/>
              </w:rPr>
            </w:pPr>
          </w:p>
          <w:p w14:paraId="2DAD240C" w14:textId="77777777" w:rsidR="00E4267F" w:rsidRPr="00390EBD" w:rsidRDefault="00E4267F" w:rsidP="00954CEE">
            <w:pPr>
              <w:autoSpaceDE w:val="0"/>
              <w:autoSpaceDN w:val="0"/>
              <w:adjustRightInd w:val="0"/>
              <w:snapToGrid w:val="0"/>
              <w:spacing w:after="0" w:line="360" w:lineRule="auto"/>
              <w:jc w:val="both"/>
              <w:rPr>
                <w:rFonts w:ascii="Book Antiqua" w:hAnsi="Book Antiqua" w:cs="Book Antiqua"/>
                <w:sz w:val="24"/>
                <w:szCs w:val="24"/>
                <w:lang w:val="en-GB"/>
              </w:rPr>
            </w:pPr>
            <w:r w:rsidRPr="00390EBD">
              <w:rPr>
                <w:rFonts w:ascii="Book Antiqua" w:hAnsi="Book Antiqua" w:cs="Book Antiqua"/>
                <w:sz w:val="24"/>
                <w:szCs w:val="24"/>
                <w:lang w:val="en-GB"/>
              </w:rPr>
              <w:t>Homozygous carriers of IBD</w:t>
            </w:r>
          </w:p>
          <w:p w14:paraId="664CA6B7" w14:textId="77777777" w:rsidR="00E4267F" w:rsidRPr="00390EBD" w:rsidRDefault="00E4267F"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 xml:space="preserve">risk-increasing </w:t>
            </w:r>
            <w:r w:rsidRPr="00390EBD">
              <w:rPr>
                <w:rFonts w:ascii="Book Antiqua" w:hAnsi="Book Antiqua" w:cs="Book Antiqua"/>
                <w:i/>
                <w:iCs/>
                <w:sz w:val="24"/>
                <w:szCs w:val="24"/>
                <w:lang w:val="en-US"/>
              </w:rPr>
              <w:t xml:space="preserve">IL-23R </w:t>
            </w:r>
            <w:r w:rsidRPr="00390EBD">
              <w:rPr>
                <w:rFonts w:ascii="Book Antiqua" w:hAnsi="Book Antiqua" w:cs="Book Antiqua"/>
                <w:sz w:val="24"/>
                <w:szCs w:val="24"/>
                <w:lang w:val="en-US"/>
              </w:rPr>
              <w:t xml:space="preserve">variants more likely to respond to infliximab than homozygous carriers of IBD risk-decreasing </w:t>
            </w:r>
            <w:r w:rsidRPr="00390EBD">
              <w:rPr>
                <w:rFonts w:ascii="Book Antiqua" w:hAnsi="Book Antiqua" w:cs="Book Antiqua"/>
                <w:i/>
                <w:iCs/>
                <w:sz w:val="24"/>
                <w:szCs w:val="24"/>
                <w:lang w:val="en-US"/>
              </w:rPr>
              <w:t xml:space="preserve">IL-23R </w:t>
            </w:r>
            <w:r w:rsidRPr="00390EBD">
              <w:rPr>
                <w:rFonts w:ascii="Book Antiqua" w:hAnsi="Book Antiqua" w:cs="Book Antiqua"/>
                <w:sz w:val="24"/>
                <w:szCs w:val="24"/>
                <w:lang w:val="en-US"/>
              </w:rPr>
              <w:t>variants (</w:t>
            </w:r>
            <w:r w:rsidRPr="0020336D">
              <w:rPr>
                <w:rFonts w:ascii="Book Antiqua" w:hAnsi="Book Antiqua" w:cs="Book Antiqua"/>
                <w:i/>
                <w:caps/>
                <w:sz w:val="24"/>
                <w:szCs w:val="24"/>
                <w:lang w:val="en-US"/>
              </w:rPr>
              <w:t>p =</w:t>
            </w:r>
            <w:r w:rsidRPr="00390EBD">
              <w:rPr>
                <w:rFonts w:ascii="Book Antiqua" w:hAnsi="Book Antiqua" w:cs="Book Antiqua"/>
                <w:sz w:val="24"/>
                <w:szCs w:val="24"/>
                <w:lang w:val="en-US"/>
              </w:rPr>
              <w:t xml:space="preserve"> 0.001).</w:t>
            </w:r>
          </w:p>
          <w:p w14:paraId="25A4A9D3" w14:textId="77777777" w:rsidR="00E4267F" w:rsidRPr="00390EBD" w:rsidRDefault="00E4267F" w:rsidP="00954CEE">
            <w:pPr>
              <w:autoSpaceDE w:val="0"/>
              <w:autoSpaceDN w:val="0"/>
              <w:adjustRightInd w:val="0"/>
              <w:snapToGrid w:val="0"/>
              <w:spacing w:after="0" w:line="360" w:lineRule="auto"/>
              <w:jc w:val="both"/>
              <w:rPr>
                <w:rFonts w:ascii="Book Antiqua" w:hAnsi="Book Antiqua" w:cs="Book Antiqua"/>
                <w:sz w:val="24"/>
                <w:szCs w:val="24"/>
                <w:lang w:val="en-US"/>
              </w:rPr>
            </w:pPr>
          </w:p>
        </w:tc>
        <w:tc>
          <w:tcPr>
            <w:tcW w:w="694" w:type="dxa"/>
          </w:tcPr>
          <w:p w14:paraId="3913DA58"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lang w:val="en-US"/>
              </w:rPr>
            </w:pPr>
          </w:p>
          <w:p w14:paraId="49AC41E0"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lang w:val="en-US"/>
              </w:rPr>
            </w:pPr>
          </w:p>
          <w:p w14:paraId="70681B65"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lang w:val="en-US"/>
              </w:rPr>
            </w:pPr>
          </w:p>
          <w:p w14:paraId="64EFD68B"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rPr>
            </w:pPr>
            <w:r w:rsidRPr="00390EBD">
              <w:rPr>
                <w:rFonts w:ascii="Book Antiqua" w:hAnsi="Book Antiqua"/>
                <w:sz w:val="24"/>
                <w:szCs w:val="24"/>
              </w:rPr>
              <w:t>68</w:t>
            </w:r>
          </w:p>
        </w:tc>
      </w:tr>
      <w:tr w:rsidR="00E4267F" w:rsidRPr="00390EBD" w14:paraId="5688FB17" w14:textId="77777777" w:rsidTr="00346E50">
        <w:tc>
          <w:tcPr>
            <w:tcW w:w="0" w:type="auto"/>
          </w:tcPr>
          <w:p w14:paraId="74459094"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p w14:paraId="2BC88311"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p w14:paraId="4658DC0C"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p w14:paraId="59FE8D07"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r w:rsidRPr="00390EBD">
              <w:rPr>
                <w:rFonts w:ascii="Book Antiqua" w:hAnsi="Book Antiqua" w:cs="Book Antiqua"/>
                <w:b/>
                <w:bCs/>
                <w:sz w:val="24"/>
                <w:szCs w:val="24"/>
              </w:rPr>
              <w:t xml:space="preserve">Dubinski </w:t>
            </w:r>
            <w:r w:rsidRPr="009046D6">
              <w:rPr>
                <w:rFonts w:ascii="Book Antiqua" w:hAnsi="Book Antiqua" w:cs="Book Antiqua"/>
                <w:b/>
                <w:bCs/>
                <w:i/>
                <w:sz w:val="24"/>
                <w:szCs w:val="24"/>
              </w:rPr>
              <w:t>et al</w:t>
            </w:r>
            <w:r w:rsidRPr="00390EBD">
              <w:rPr>
                <w:rFonts w:ascii="Book Antiqua" w:hAnsi="Book Antiqua" w:cs="Book Antiqua"/>
                <w:b/>
                <w:bCs/>
                <w:sz w:val="24"/>
                <w:szCs w:val="24"/>
              </w:rPr>
              <w:t xml:space="preserve"> (2010)</w:t>
            </w:r>
          </w:p>
          <w:p w14:paraId="15752920" w14:textId="77777777" w:rsidR="00E4267F" w:rsidRPr="00390EBD" w:rsidRDefault="00E4267F" w:rsidP="00954CEE">
            <w:pPr>
              <w:adjustRightInd w:val="0"/>
              <w:snapToGrid w:val="0"/>
              <w:spacing w:after="0" w:line="360" w:lineRule="auto"/>
              <w:jc w:val="both"/>
              <w:rPr>
                <w:rFonts w:ascii="Book Antiqua" w:hAnsi="Book Antiqua" w:cs="Book Antiqua"/>
                <w:b/>
                <w:bCs/>
                <w:sz w:val="24"/>
                <w:szCs w:val="24"/>
              </w:rPr>
            </w:pPr>
          </w:p>
        </w:tc>
        <w:tc>
          <w:tcPr>
            <w:tcW w:w="0" w:type="auto"/>
          </w:tcPr>
          <w:p w14:paraId="4AB77376"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7AD5509A"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648222DF"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p w14:paraId="6F80B9AC"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94</w:t>
            </w:r>
          </w:p>
          <w:p w14:paraId="385FF492"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p>
        </w:tc>
        <w:tc>
          <w:tcPr>
            <w:tcW w:w="0" w:type="auto"/>
          </w:tcPr>
          <w:p w14:paraId="54364CE5" w14:textId="77777777" w:rsidR="00E4267F" w:rsidRPr="00390EBD" w:rsidRDefault="00E4267F" w:rsidP="00954CEE">
            <w:pPr>
              <w:adjustRightInd w:val="0"/>
              <w:snapToGrid w:val="0"/>
              <w:spacing w:after="0" w:line="360" w:lineRule="auto"/>
              <w:jc w:val="both"/>
              <w:rPr>
                <w:rFonts w:ascii="Book Antiqua" w:hAnsi="Book Antiqua" w:cs="Book Antiqua"/>
                <w:sz w:val="24"/>
                <w:szCs w:val="24"/>
                <w:lang w:val="en-US"/>
              </w:rPr>
            </w:pPr>
          </w:p>
          <w:p w14:paraId="4230CE73" w14:textId="77777777" w:rsidR="00E4267F" w:rsidRPr="00390EBD" w:rsidRDefault="00E4267F" w:rsidP="00954CEE">
            <w:pPr>
              <w:adjustRightInd w:val="0"/>
              <w:snapToGrid w:val="0"/>
              <w:spacing w:after="0" w:line="360" w:lineRule="auto"/>
              <w:jc w:val="both"/>
              <w:rPr>
                <w:rFonts w:ascii="Book Antiqua" w:hAnsi="Book Antiqua" w:cs="Book Antiqua"/>
                <w:sz w:val="24"/>
                <w:szCs w:val="24"/>
                <w:lang w:val="en-US"/>
              </w:rPr>
            </w:pPr>
          </w:p>
          <w:p w14:paraId="656CE2C6" w14:textId="77777777" w:rsidR="00E4267F" w:rsidRPr="00390EBD" w:rsidRDefault="00E4267F" w:rsidP="00954CEE">
            <w:pPr>
              <w:adjustRightInd w:val="0"/>
              <w:snapToGrid w:val="0"/>
              <w:spacing w:after="0" w:line="360" w:lineRule="auto"/>
              <w:jc w:val="both"/>
              <w:rPr>
                <w:rFonts w:ascii="Book Antiqua" w:hAnsi="Book Antiqua" w:cs="Book Antiqua"/>
                <w:sz w:val="24"/>
                <w:szCs w:val="24"/>
                <w:lang w:val="en-US"/>
              </w:rPr>
            </w:pPr>
          </w:p>
          <w:p w14:paraId="1D44AD55" w14:textId="77777777" w:rsidR="00E4267F" w:rsidRPr="00390EBD" w:rsidRDefault="00E4267F" w:rsidP="00954CEE">
            <w:pPr>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HBI and Partial Mayo score</w:t>
            </w:r>
          </w:p>
        </w:tc>
        <w:tc>
          <w:tcPr>
            <w:tcW w:w="2136" w:type="dxa"/>
          </w:tcPr>
          <w:p w14:paraId="6EBA62D4" w14:textId="77777777" w:rsidR="00E4267F" w:rsidRPr="00390EBD" w:rsidRDefault="00E4267F"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rs2241880 2q37/</w:t>
            </w:r>
          </w:p>
          <w:p w14:paraId="7F6E4DC2" w14:textId="77777777" w:rsidR="00E4267F" w:rsidRPr="00390EBD" w:rsidRDefault="00E4267F" w:rsidP="00954CEE">
            <w:pPr>
              <w:autoSpaceDE w:val="0"/>
              <w:autoSpaceDN w:val="0"/>
              <w:adjustRightInd w:val="0"/>
              <w:snapToGrid w:val="0"/>
              <w:spacing w:after="0" w:line="360" w:lineRule="auto"/>
              <w:jc w:val="both"/>
              <w:rPr>
                <w:rFonts w:ascii="Book Antiqua" w:hAnsi="Book Antiqua" w:cs="Book Antiqua"/>
                <w:i/>
                <w:iCs/>
                <w:sz w:val="24"/>
                <w:szCs w:val="24"/>
                <w:lang w:val="en-US"/>
              </w:rPr>
            </w:pPr>
            <w:r w:rsidRPr="00390EBD">
              <w:rPr>
                <w:rFonts w:ascii="Book Antiqua" w:hAnsi="Book Antiqua" w:cs="Book Antiqua"/>
                <w:i/>
                <w:iCs/>
                <w:sz w:val="24"/>
                <w:szCs w:val="24"/>
                <w:lang w:val="en-US"/>
              </w:rPr>
              <w:t>ATG16L1</w:t>
            </w:r>
          </w:p>
          <w:p w14:paraId="45A9F726" w14:textId="77777777" w:rsidR="00E4267F" w:rsidRPr="00390EBD" w:rsidRDefault="00E4267F"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rs2188962</w:t>
            </w:r>
          </w:p>
          <w:p w14:paraId="247B4765" w14:textId="77777777" w:rsidR="00E4267F" w:rsidRPr="00390EBD" w:rsidRDefault="00E4267F"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5q31</w:t>
            </w:r>
          </w:p>
          <w:p w14:paraId="286EB852" w14:textId="77777777" w:rsidR="00E4267F" w:rsidRPr="00390EBD" w:rsidRDefault="00E4267F"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rs6908425 6p22/</w:t>
            </w:r>
          </w:p>
          <w:p w14:paraId="3AA1F855" w14:textId="77777777" w:rsidR="00E4267F" w:rsidRPr="00390EBD" w:rsidRDefault="00E4267F" w:rsidP="00954CEE">
            <w:pPr>
              <w:autoSpaceDE w:val="0"/>
              <w:autoSpaceDN w:val="0"/>
              <w:adjustRightInd w:val="0"/>
              <w:snapToGrid w:val="0"/>
              <w:spacing w:after="0" w:line="360" w:lineRule="auto"/>
              <w:jc w:val="both"/>
              <w:rPr>
                <w:rFonts w:ascii="Book Antiqua" w:hAnsi="Book Antiqua" w:cs="Book Antiqua"/>
                <w:i/>
                <w:iCs/>
                <w:sz w:val="24"/>
                <w:szCs w:val="24"/>
                <w:lang w:val="en-US"/>
              </w:rPr>
            </w:pPr>
            <w:r w:rsidRPr="00390EBD">
              <w:rPr>
                <w:rFonts w:ascii="Book Antiqua" w:hAnsi="Book Antiqua" w:cs="Book Antiqua"/>
                <w:i/>
                <w:iCs/>
                <w:sz w:val="24"/>
                <w:szCs w:val="24"/>
                <w:lang w:val="en-US"/>
              </w:rPr>
              <w:t>CDKAL1</w:t>
            </w:r>
          </w:p>
          <w:p w14:paraId="72C0A6D9" w14:textId="77777777" w:rsidR="00E4267F" w:rsidRPr="00390EBD" w:rsidRDefault="00E4267F"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rs762421 21q22/</w:t>
            </w:r>
          </w:p>
          <w:p w14:paraId="63CDC818" w14:textId="77777777" w:rsidR="00E4267F" w:rsidRPr="00390EBD" w:rsidRDefault="00E4267F" w:rsidP="00954CEE">
            <w:pPr>
              <w:autoSpaceDE w:val="0"/>
              <w:autoSpaceDN w:val="0"/>
              <w:adjustRightInd w:val="0"/>
              <w:snapToGrid w:val="0"/>
              <w:spacing w:after="0" w:line="360" w:lineRule="auto"/>
              <w:jc w:val="both"/>
              <w:rPr>
                <w:rFonts w:ascii="Book Antiqua" w:hAnsi="Book Antiqua" w:cs="Book Antiqua"/>
                <w:i/>
                <w:iCs/>
                <w:sz w:val="24"/>
                <w:szCs w:val="24"/>
                <w:lang w:val="en-US"/>
              </w:rPr>
            </w:pPr>
            <w:r w:rsidRPr="00390EBD">
              <w:rPr>
                <w:rFonts w:ascii="Book Antiqua" w:hAnsi="Book Antiqua" w:cs="Book Antiqua"/>
                <w:i/>
                <w:iCs/>
                <w:sz w:val="24"/>
                <w:szCs w:val="24"/>
                <w:lang w:val="en-US"/>
              </w:rPr>
              <w:t>ICOSLG</w:t>
            </w:r>
          </w:p>
          <w:p w14:paraId="688224E5" w14:textId="77777777" w:rsidR="00E4267F" w:rsidRPr="00390EBD" w:rsidRDefault="00E4267F"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rs2395185 6p21/</w:t>
            </w:r>
          </w:p>
          <w:p w14:paraId="63CE5FC6" w14:textId="77777777" w:rsidR="00E4267F" w:rsidRPr="00390EBD" w:rsidRDefault="00E4267F" w:rsidP="00954CEE">
            <w:pPr>
              <w:autoSpaceDE w:val="0"/>
              <w:autoSpaceDN w:val="0"/>
              <w:adjustRightInd w:val="0"/>
              <w:snapToGrid w:val="0"/>
              <w:spacing w:after="0" w:line="360" w:lineRule="auto"/>
              <w:jc w:val="both"/>
              <w:rPr>
                <w:rFonts w:ascii="Book Antiqua" w:hAnsi="Book Antiqua" w:cs="Book Antiqua"/>
                <w:i/>
                <w:iCs/>
                <w:sz w:val="24"/>
                <w:szCs w:val="24"/>
              </w:rPr>
            </w:pPr>
            <w:r w:rsidRPr="00390EBD">
              <w:rPr>
                <w:rFonts w:ascii="Book Antiqua" w:hAnsi="Book Antiqua" w:cs="Book Antiqua"/>
                <w:i/>
                <w:iCs/>
                <w:sz w:val="24"/>
                <w:szCs w:val="24"/>
              </w:rPr>
              <w:t>HLA-DAQ1</w:t>
            </w:r>
          </w:p>
          <w:p w14:paraId="7F3D0F0F" w14:textId="77777777" w:rsidR="00E4267F" w:rsidRPr="00390EBD" w:rsidRDefault="00E4267F"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rs2836878 21q22/</w:t>
            </w:r>
          </w:p>
          <w:p w14:paraId="6477B45F"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i/>
                <w:iCs/>
                <w:sz w:val="24"/>
                <w:szCs w:val="24"/>
              </w:rPr>
              <w:t>BRWD1</w:t>
            </w:r>
          </w:p>
        </w:tc>
        <w:tc>
          <w:tcPr>
            <w:tcW w:w="2215" w:type="dxa"/>
          </w:tcPr>
          <w:p w14:paraId="5F4F9F5D" w14:textId="77777777" w:rsidR="00E4267F" w:rsidRPr="00390EBD" w:rsidRDefault="00E4267F" w:rsidP="00954CEE">
            <w:pPr>
              <w:autoSpaceDE w:val="0"/>
              <w:autoSpaceDN w:val="0"/>
              <w:adjustRightInd w:val="0"/>
              <w:snapToGrid w:val="0"/>
              <w:spacing w:after="0" w:line="360" w:lineRule="auto"/>
              <w:jc w:val="both"/>
              <w:rPr>
                <w:rFonts w:ascii="Book Antiqua" w:hAnsi="Book Antiqua" w:cs="Book Antiqua"/>
                <w:sz w:val="24"/>
                <w:szCs w:val="24"/>
                <w:lang w:val="en-US"/>
              </w:rPr>
            </w:pPr>
          </w:p>
          <w:p w14:paraId="0CA1A07C" w14:textId="77777777" w:rsidR="00E4267F" w:rsidRPr="00390EBD" w:rsidRDefault="00E4267F"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Six known susceptibility loci</w:t>
            </w:r>
          </w:p>
          <w:p w14:paraId="2F966587" w14:textId="77777777" w:rsidR="00E4267F" w:rsidRPr="00390EBD" w:rsidRDefault="00E4267F"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associated with primary nonresponse</w:t>
            </w:r>
          </w:p>
          <w:p w14:paraId="37C1B386" w14:textId="77777777" w:rsidR="00E4267F" w:rsidRPr="00390EBD" w:rsidRDefault="00E4267F" w:rsidP="00954CEE">
            <w:pPr>
              <w:autoSpaceDE w:val="0"/>
              <w:autoSpaceDN w:val="0"/>
              <w:adjustRightInd w:val="0"/>
              <w:snapToGrid w:val="0"/>
              <w:spacing w:after="0" w:line="360" w:lineRule="auto"/>
              <w:jc w:val="both"/>
              <w:rPr>
                <w:rFonts w:ascii="Book Antiqua" w:hAnsi="Book Antiqua" w:cs="Book Antiqua"/>
                <w:i/>
                <w:iCs/>
                <w:sz w:val="24"/>
                <w:szCs w:val="24"/>
                <w:lang w:val="en-US"/>
              </w:rPr>
            </w:pPr>
            <w:r w:rsidRPr="00390EBD">
              <w:rPr>
                <w:rFonts w:ascii="Book Antiqua" w:hAnsi="Book Antiqua" w:cs="Book Antiqua"/>
                <w:sz w:val="24"/>
                <w:szCs w:val="24"/>
                <w:lang w:val="en-US"/>
              </w:rPr>
              <w:t>(</w:t>
            </w:r>
            <w:r w:rsidRPr="009046D6">
              <w:rPr>
                <w:rFonts w:ascii="Book Antiqua" w:hAnsi="Book Antiqua" w:cs="Book Antiqua"/>
                <w:i/>
                <w:caps/>
                <w:sz w:val="24"/>
                <w:szCs w:val="24"/>
                <w:lang w:val="en-US"/>
              </w:rPr>
              <w:t>p &lt;</w:t>
            </w:r>
            <w:r w:rsidRPr="00390EBD">
              <w:rPr>
                <w:rFonts w:ascii="Book Antiqua" w:hAnsi="Book Antiqua" w:cs="Book Antiqua"/>
                <w:sz w:val="24"/>
                <w:szCs w:val="24"/>
                <w:lang w:val="en-US"/>
              </w:rPr>
              <w:t xml:space="preserve"> 0.05). Only the 21q22.2/</w:t>
            </w:r>
            <w:r w:rsidRPr="00390EBD">
              <w:rPr>
                <w:rFonts w:ascii="Book Antiqua" w:hAnsi="Book Antiqua" w:cs="Book Antiqua"/>
                <w:i/>
                <w:iCs/>
                <w:sz w:val="24"/>
                <w:szCs w:val="24"/>
                <w:lang w:val="en-US"/>
              </w:rPr>
              <w:t>BRWDI</w:t>
            </w:r>
          </w:p>
          <w:p w14:paraId="1D110076" w14:textId="77777777" w:rsidR="00E4267F" w:rsidRPr="00390EBD" w:rsidRDefault="00E4267F"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loci remained significant in the</w:t>
            </w:r>
          </w:p>
          <w:p w14:paraId="304B6E1C" w14:textId="77777777" w:rsidR="00E4267F" w:rsidRPr="00390EBD" w:rsidRDefault="00E4267F" w:rsidP="00954CEE">
            <w:pPr>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predictive model</w:t>
            </w:r>
          </w:p>
        </w:tc>
        <w:tc>
          <w:tcPr>
            <w:tcW w:w="694" w:type="dxa"/>
          </w:tcPr>
          <w:p w14:paraId="58CBE756"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rPr>
            </w:pPr>
          </w:p>
          <w:p w14:paraId="2176ACCE"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rPr>
            </w:pPr>
          </w:p>
          <w:p w14:paraId="60D01727"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rPr>
            </w:pPr>
          </w:p>
          <w:p w14:paraId="2A15157A"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rPr>
            </w:pPr>
          </w:p>
          <w:p w14:paraId="05E5A8CA" w14:textId="77777777" w:rsidR="00E4267F" w:rsidRPr="00390EBD" w:rsidRDefault="00E4267F" w:rsidP="00954CEE">
            <w:pPr>
              <w:adjustRightInd w:val="0"/>
              <w:snapToGrid w:val="0"/>
              <w:spacing w:after="0" w:line="360" w:lineRule="auto"/>
              <w:jc w:val="both"/>
              <w:rPr>
                <w:rFonts w:ascii="Book Antiqua" w:hAnsi="Book Antiqua" w:cs="Times New Roman"/>
                <w:sz w:val="24"/>
                <w:szCs w:val="24"/>
              </w:rPr>
            </w:pPr>
            <w:r w:rsidRPr="00390EBD">
              <w:rPr>
                <w:rFonts w:ascii="Book Antiqua" w:hAnsi="Book Antiqua"/>
                <w:sz w:val="24"/>
                <w:szCs w:val="24"/>
              </w:rPr>
              <w:t>69</w:t>
            </w:r>
          </w:p>
        </w:tc>
      </w:tr>
    </w:tbl>
    <w:p w14:paraId="7C2396F0" w14:textId="2764B1CB" w:rsidR="006138C7" w:rsidRPr="000626A0" w:rsidRDefault="000626A0" w:rsidP="00954CEE">
      <w:pPr>
        <w:tabs>
          <w:tab w:val="left" w:pos="720"/>
        </w:tabs>
        <w:autoSpaceDE w:val="0"/>
        <w:autoSpaceDN w:val="0"/>
        <w:adjustRightInd w:val="0"/>
        <w:snapToGrid w:val="0"/>
        <w:spacing w:after="0" w:line="360" w:lineRule="auto"/>
        <w:jc w:val="both"/>
        <w:rPr>
          <w:rFonts w:ascii="Book Antiqua" w:hAnsi="Book Antiqua" w:cs="Book Antiqua"/>
          <w:sz w:val="24"/>
          <w:szCs w:val="24"/>
        </w:rPr>
      </w:pPr>
      <w:r w:rsidRPr="000626A0">
        <w:rPr>
          <w:rFonts w:ascii="Book Antiqua" w:hAnsi="Book Antiqua"/>
          <w:sz w:val="24"/>
          <w:szCs w:val="24"/>
          <w:lang w:eastAsia="zh-CN"/>
        </w:rPr>
        <w:lastRenderedPageBreak/>
        <w:t xml:space="preserve">Aailable from: URL: </w:t>
      </w:r>
      <w:hyperlink r:id="rId7" w:history="1">
        <w:r w:rsidR="006138C7" w:rsidRPr="000626A0">
          <w:rPr>
            <w:rStyle w:val="Hyperlink"/>
            <w:rFonts w:ascii="Book Antiqua" w:hAnsi="Book Antiqua" w:cs="Calibri"/>
            <w:sz w:val="24"/>
            <w:szCs w:val="24"/>
            <w:u w:val="none"/>
          </w:rPr>
          <w:t>http://www.ncbi.nlm.nih.gov/pmc/articles/PMC4419078/</w:t>
        </w:r>
      </w:hyperlink>
    </w:p>
    <w:p w14:paraId="7C626820" w14:textId="77F0EC9D" w:rsidR="000626A0" w:rsidRDefault="000626A0" w:rsidP="00954CEE">
      <w:pPr>
        <w:pStyle w:val="Heading1"/>
        <w:adjustRightInd w:val="0"/>
        <w:snapToGrid w:val="0"/>
        <w:spacing w:before="0" w:after="0" w:line="360" w:lineRule="auto"/>
        <w:jc w:val="both"/>
        <w:rPr>
          <w:rFonts w:ascii="Book Antiqua" w:hAnsi="Book Antiqua" w:cs="Arial"/>
          <w:sz w:val="24"/>
          <w:szCs w:val="24"/>
        </w:rPr>
      </w:pPr>
      <w:r>
        <w:rPr>
          <w:rFonts w:ascii="Book Antiqua" w:hAnsi="Book Antiqua" w:cs="Arial"/>
          <w:sz w:val="24"/>
          <w:szCs w:val="24"/>
        </w:rPr>
        <w:br w:type="page"/>
      </w:r>
    </w:p>
    <w:p w14:paraId="70B22AF5" w14:textId="77777777" w:rsidR="006138C7" w:rsidRPr="00390EBD" w:rsidRDefault="006138C7" w:rsidP="00954CEE">
      <w:pPr>
        <w:pStyle w:val="Heading1"/>
        <w:adjustRightInd w:val="0"/>
        <w:snapToGrid w:val="0"/>
        <w:spacing w:before="0" w:after="0" w:line="360" w:lineRule="auto"/>
        <w:jc w:val="both"/>
        <w:rPr>
          <w:rFonts w:ascii="Book Antiqua" w:hAnsi="Book Antiqua" w:cs="Arial"/>
          <w:sz w:val="24"/>
          <w:szCs w:val="24"/>
        </w:rPr>
      </w:pPr>
    </w:p>
    <w:p w14:paraId="7AC0158E" w14:textId="270FC4E9" w:rsidR="006138C7" w:rsidRPr="000626A0" w:rsidRDefault="000626A0" w:rsidP="00954CEE">
      <w:pPr>
        <w:adjustRightInd w:val="0"/>
        <w:snapToGrid w:val="0"/>
        <w:spacing w:after="0" w:line="360" w:lineRule="auto"/>
        <w:jc w:val="both"/>
        <w:rPr>
          <w:rFonts w:ascii="Book Antiqua" w:hAnsi="Book Antiqua" w:cs="Book Antiqua"/>
          <w:b/>
          <w:sz w:val="24"/>
          <w:szCs w:val="24"/>
          <w:lang w:val="en-US" w:eastAsia="zh-CN"/>
        </w:rPr>
      </w:pPr>
      <w:r w:rsidRPr="000626A0">
        <w:rPr>
          <w:rFonts w:ascii="Book Antiqua" w:hAnsi="Book Antiqua" w:cs="Book Antiqua"/>
          <w:b/>
          <w:sz w:val="24"/>
          <w:szCs w:val="24"/>
          <w:lang w:val="en-US"/>
        </w:rPr>
        <w:t>Table 4</w:t>
      </w:r>
      <w:r w:rsidR="006138C7" w:rsidRPr="000626A0">
        <w:rPr>
          <w:rFonts w:ascii="Book Antiqua" w:hAnsi="Book Antiqua" w:cs="Book Antiqua"/>
          <w:b/>
          <w:sz w:val="24"/>
          <w:szCs w:val="24"/>
          <w:lang w:val="en-US"/>
        </w:rPr>
        <w:t xml:space="preserve"> Risk factor</w:t>
      </w:r>
      <w:r>
        <w:rPr>
          <w:rFonts w:ascii="Book Antiqua" w:hAnsi="Book Antiqua" w:cs="Book Antiqua"/>
          <w:b/>
          <w:sz w:val="24"/>
          <w:szCs w:val="24"/>
          <w:lang w:val="en-US"/>
        </w:rPr>
        <w:t>s associated to primary failure</w:t>
      </w:r>
    </w:p>
    <w:tbl>
      <w:tblPr>
        <w:tblW w:w="0" w:type="auto"/>
        <w:tblBorders>
          <w:top w:val="single" w:sz="8" w:space="0" w:color="000000"/>
          <w:bottom w:val="single" w:sz="8" w:space="0" w:color="000000"/>
        </w:tblBorders>
        <w:tblLook w:val="00A0" w:firstRow="1" w:lastRow="0" w:firstColumn="1" w:lastColumn="0" w:noHBand="0" w:noVBand="0"/>
      </w:tblPr>
      <w:tblGrid>
        <w:gridCol w:w="3968"/>
        <w:gridCol w:w="4078"/>
      </w:tblGrid>
      <w:tr w:rsidR="006138C7" w:rsidRPr="000626A0" w14:paraId="028F8ED4" w14:textId="77777777" w:rsidTr="000626A0">
        <w:trPr>
          <w:trHeight w:val="418"/>
        </w:trPr>
        <w:tc>
          <w:tcPr>
            <w:tcW w:w="3968" w:type="dxa"/>
            <w:tcBorders>
              <w:top w:val="single" w:sz="8" w:space="0" w:color="000000"/>
              <w:bottom w:val="single" w:sz="8" w:space="0" w:color="000000"/>
            </w:tcBorders>
            <w:shd w:val="clear" w:color="auto" w:fill="auto"/>
          </w:tcPr>
          <w:p w14:paraId="3607E651" w14:textId="77777777" w:rsidR="006138C7" w:rsidRPr="000626A0" w:rsidRDefault="006138C7" w:rsidP="00954CEE">
            <w:pPr>
              <w:adjustRightInd w:val="0"/>
              <w:snapToGrid w:val="0"/>
              <w:spacing w:after="0" w:line="360" w:lineRule="auto"/>
              <w:jc w:val="both"/>
              <w:rPr>
                <w:rFonts w:ascii="Book Antiqua" w:hAnsi="Book Antiqua" w:cs="Book Antiqua"/>
                <w:b/>
                <w:sz w:val="24"/>
                <w:szCs w:val="24"/>
              </w:rPr>
            </w:pPr>
            <w:r w:rsidRPr="000626A0">
              <w:rPr>
                <w:rFonts w:ascii="Book Antiqua" w:hAnsi="Book Antiqua" w:cs="Book Antiqua"/>
                <w:b/>
                <w:sz w:val="24"/>
                <w:szCs w:val="24"/>
              </w:rPr>
              <w:t>Crohn's disease</w:t>
            </w:r>
          </w:p>
        </w:tc>
        <w:tc>
          <w:tcPr>
            <w:tcW w:w="4078" w:type="dxa"/>
            <w:tcBorders>
              <w:top w:val="single" w:sz="8" w:space="0" w:color="000000"/>
              <w:bottom w:val="single" w:sz="8" w:space="0" w:color="000000"/>
            </w:tcBorders>
            <w:shd w:val="clear" w:color="auto" w:fill="auto"/>
          </w:tcPr>
          <w:p w14:paraId="681B8378" w14:textId="77777777" w:rsidR="006138C7" w:rsidRPr="000626A0" w:rsidRDefault="006138C7" w:rsidP="00954CEE">
            <w:pPr>
              <w:adjustRightInd w:val="0"/>
              <w:snapToGrid w:val="0"/>
              <w:spacing w:after="0" w:line="360" w:lineRule="auto"/>
              <w:jc w:val="both"/>
              <w:rPr>
                <w:rFonts w:ascii="Book Antiqua" w:hAnsi="Book Antiqua" w:cs="Book Antiqua"/>
                <w:b/>
                <w:sz w:val="24"/>
                <w:szCs w:val="24"/>
              </w:rPr>
            </w:pPr>
            <w:r w:rsidRPr="000626A0">
              <w:rPr>
                <w:rFonts w:ascii="Book Antiqua" w:hAnsi="Book Antiqua" w:cs="Book Antiqua"/>
                <w:b/>
                <w:sz w:val="24"/>
                <w:szCs w:val="24"/>
              </w:rPr>
              <w:t>Ulcerative colitis</w:t>
            </w:r>
          </w:p>
        </w:tc>
      </w:tr>
      <w:tr w:rsidR="006138C7" w:rsidRPr="00390EBD" w14:paraId="1512B6A0" w14:textId="77777777" w:rsidTr="000626A0">
        <w:trPr>
          <w:trHeight w:val="643"/>
        </w:trPr>
        <w:tc>
          <w:tcPr>
            <w:tcW w:w="3968" w:type="dxa"/>
            <w:tcBorders>
              <w:top w:val="single" w:sz="8" w:space="0" w:color="000000"/>
            </w:tcBorders>
            <w:shd w:val="clear" w:color="auto" w:fill="auto"/>
          </w:tcPr>
          <w:p w14:paraId="586714A2" w14:textId="3D177F10" w:rsidR="006138C7" w:rsidRPr="00390EBD" w:rsidRDefault="000626A0" w:rsidP="00954CEE">
            <w:pPr>
              <w:pStyle w:val="ListParagraph"/>
              <w:numPr>
                <w:ilvl w:val="0"/>
                <w:numId w:val="4"/>
              </w:numPr>
              <w:adjustRightInd w:val="0"/>
              <w:snapToGrid w:val="0"/>
              <w:spacing w:after="0" w:line="360" w:lineRule="auto"/>
              <w:ind w:left="0"/>
              <w:contextualSpacing w:val="0"/>
              <w:jc w:val="both"/>
              <w:rPr>
                <w:rFonts w:ascii="Book Antiqua" w:hAnsi="Book Antiqua" w:cs="Book Antiqua"/>
                <w:sz w:val="24"/>
                <w:szCs w:val="24"/>
              </w:rPr>
            </w:pPr>
            <w:r>
              <w:rPr>
                <w:rFonts w:ascii="Book Antiqua" w:hAnsi="Book Antiqua" w:cs="Book Antiqua"/>
                <w:sz w:val="24"/>
                <w:szCs w:val="24"/>
              </w:rPr>
              <w:t>Duration of the disease &gt; 2 yr</w:t>
            </w:r>
          </w:p>
          <w:p w14:paraId="058F7ED9" w14:textId="77777777" w:rsidR="006138C7" w:rsidRPr="00390EBD" w:rsidRDefault="006138C7" w:rsidP="00954CEE">
            <w:pPr>
              <w:pStyle w:val="ListParagraph"/>
              <w:numPr>
                <w:ilvl w:val="0"/>
                <w:numId w:val="4"/>
              </w:numPr>
              <w:adjustRightInd w:val="0"/>
              <w:snapToGrid w:val="0"/>
              <w:spacing w:after="0" w:line="360" w:lineRule="auto"/>
              <w:ind w:left="0"/>
              <w:contextualSpacing w:val="0"/>
              <w:jc w:val="both"/>
              <w:rPr>
                <w:rFonts w:ascii="Book Antiqua" w:hAnsi="Book Antiqua" w:cs="Book Antiqua"/>
                <w:sz w:val="24"/>
                <w:szCs w:val="24"/>
              </w:rPr>
            </w:pPr>
            <w:r w:rsidRPr="00390EBD">
              <w:rPr>
                <w:rFonts w:ascii="Book Antiqua" w:hAnsi="Book Antiqua" w:cs="Book Antiqua"/>
                <w:sz w:val="24"/>
                <w:szCs w:val="24"/>
              </w:rPr>
              <w:t>Smoking</w:t>
            </w:r>
          </w:p>
          <w:p w14:paraId="6D01F5D7" w14:textId="77777777" w:rsidR="006138C7" w:rsidRPr="00390EBD" w:rsidRDefault="006138C7" w:rsidP="00954CEE">
            <w:pPr>
              <w:pStyle w:val="ListParagraph"/>
              <w:numPr>
                <w:ilvl w:val="0"/>
                <w:numId w:val="4"/>
              </w:numPr>
              <w:adjustRightInd w:val="0"/>
              <w:snapToGrid w:val="0"/>
              <w:spacing w:after="0" w:line="360" w:lineRule="auto"/>
              <w:ind w:left="0"/>
              <w:contextualSpacing w:val="0"/>
              <w:jc w:val="both"/>
              <w:rPr>
                <w:rFonts w:ascii="Book Antiqua" w:hAnsi="Book Antiqua" w:cs="Book Antiqua"/>
                <w:sz w:val="24"/>
                <w:szCs w:val="24"/>
              </w:rPr>
            </w:pPr>
            <w:r w:rsidRPr="00390EBD">
              <w:rPr>
                <w:rFonts w:ascii="Book Antiqua" w:hAnsi="Book Antiqua" w:cs="Book Antiqua"/>
                <w:sz w:val="24"/>
                <w:szCs w:val="24"/>
              </w:rPr>
              <w:t>Extensive small bowel involvement</w:t>
            </w:r>
          </w:p>
          <w:p w14:paraId="7F411CFB" w14:textId="77777777" w:rsidR="006138C7" w:rsidRPr="00390EBD" w:rsidRDefault="006138C7" w:rsidP="00954CEE">
            <w:pPr>
              <w:pStyle w:val="ListParagraph"/>
              <w:numPr>
                <w:ilvl w:val="0"/>
                <w:numId w:val="4"/>
              </w:numPr>
              <w:adjustRightInd w:val="0"/>
              <w:snapToGrid w:val="0"/>
              <w:spacing w:after="0" w:line="360" w:lineRule="auto"/>
              <w:ind w:left="0"/>
              <w:contextualSpacing w:val="0"/>
              <w:jc w:val="both"/>
              <w:rPr>
                <w:rFonts w:ascii="Book Antiqua" w:hAnsi="Book Antiqua" w:cs="Book Antiqua"/>
                <w:sz w:val="24"/>
                <w:szCs w:val="24"/>
              </w:rPr>
            </w:pPr>
            <w:r w:rsidRPr="00390EBD">
              <w:rPr>
                <w:rFonts w:ascii="Book Antiqua" w:hAnsi="Book Antiqua" w:cs="Book Antiqua"/>
                <w:sz w:val="24"/>
                <w:szCs w:val="24"/>
              </w:rPr>
              <w:t>Low C</w:t>
            </w:r>
            <w:r w:rsidRPr="00390EBD">
              <w:rPr>
                <w:rFonts w:ascii="Book Antiqua" w:hAnsi="Book Antiqua" w:cs="Book Antiqua"/>
                <w:sz w:val="24"/>
                <w:szCs w:val="24"/>
              </w:rPr>
              <w:noBreakHyphen/>
              <w:t>reactive protein levels</w:t>
            </w:r>
          </w:p>
          <w:p w14:paraId="0001CE56" w14:textId="5135ED9C" w:rsidR="006138C7" w:rsidRPr="00390EBD" w:rsidRDefault="006138C7" w:rsidP="00954CEE">
            <w:pPr>
              <w:pStyle w:val="ListParagraph"/>
              <w:numPr>
                <w:ilvl w:val="0"/>
                <w:numId w:val="4"/>
              </w:numPr>
              <w:adjustRightInd w:val="0"/>
              <w:snapToGrid w:val="0"/>
              <w:spacing w:after="0" w:line="360" w:lineRule="auto"/>
              <w:ind w:left="0"/>
              <w:contextualSpacing w:val="0"/>
              <w:jc w:val="both"/>
              <w:rPr>
                <w:rFonts w:ascii="Book Antiqua" w:hAnsi="Book Antiqua" w:cs="Book Antiqua"/>
                <w:b/>
                <w:bCs/>
                <w:sz w:val="24"/>
                <w:szCs w:val="24"/>
                <w:lang w:val="en-US"/>
              </w:rPr>
            </w:pPr>
            <w:r w:rsidRPr="00390EBD">
              <w:rPr>
                <w:rFonts w:ascii="Book Antiqua" w:hAnsi="Book Antiqua" w:cs="Book Antiqua"/>
                <w:sz w:val="24"/>
                <w:szCs w:val="24"/>
                <w:lang w:val="en-US"/>
              </w:rPr>
              <w:t>Genetic mutations or polymorphisms of the apoptosis and caspase 6 genes and locus IBD</w:t>
            </w:r>
            <w:r w:rsidR="000626A0">
              <w:rPr>
                <w:rFonts w:ascii="Book Antiqua" w:hAnsi="Book Antiqua" w:cs="Book Antiqua" w:hint="eastAsia"/>
                <w:sz w:val="24"/>
                <w:szCs w:val="24"/>
                <w:lang w:val="en-US" w:eastAsia="zh-CN"/>
              </w:rPr>
              <w:t xml:space="preserve"> </w:t>
            </w:r>
            <w:r w:rsidRPr="00390EBD">
              <w:rPr>
                <w:rFonts w:ascii="Book Antiqua" w:hAnsi="Book Antiqua" w:cs="Book Antiqua"/>
                <w:sz w:val="24"/>
                <w:szCs w:val="24"/>
                <w:lang w:val="en-US"/>
              </w:rPr>
              <w:t xml:space="preserve">5 </w:t>
            </w:r>
          </w:p>
        </w:tc>
        <w:tc>
          <w:tcPr>
            <w:tcW w:w="4078" w:type="dxa"/>
            <w:tcBorders>
              <w:top w:val="single" w:sz="8" w:space="0" w:color="000000"/>
            </w:tcBorders>
            <w:shd w:val="clear" w:color="auto" w:fill="auto"/>
          </w:tcPr>
          <w:p w14:paraId="6055642D" w14:textId="77777777" w:rsidR="006138C7" w:rsidRPr="00390EBD" w:rsidRDefault="006138C7" w:rsidP="00954CEE">
            <w:pPr>
              <w:pStyle w:val="ListParagraph"/>
              <w:numPr>
                <w:ilvl w:val="0"/>
                <w:numId w:val="4"/>
              </w:numPr>
              <w:adjustRightInd w:val="0"/>
              <w:snapToGrid w:val="0"/>
              <w:spacing w:after="0" w:line="360" w:lineRule="auto"/>
              <w:ind w:left="0"/>
              <w:contextualSpacing w:val="0"/>
              <w:jc w:val="both"/>
              <w:rPr>
                <w:rFonts w:ascii="Book Antiqua" w:hAnsi="Book Antiqua" w:cs="Book Antiqua"/>
                <w:sz w:val="24"/>
                <w:szCs w:val="24"/>
              </w:rPr>
            </w:pPr>
            <w:r w:rsidRPr="00390EBD">
              <w:rPr>
                <w:rFonts w:ascii="Book Antiqua" w:hAnsi="Book Antiqua" w:cs="Book Antiqua"/>
                <w:sz w:val="24"/>
                <w:szCs w:val="24"/>
              </w:rPr>
              <w:t>Old age</w:t>
            </w:r>
          </w:p>
          <w:p w14:paraId="46F0EF43" w14:textId="77777777" w:rsidR="006138C7" w:rsidRPr="00390EBD" w:rsidRDefault="006138C7" w:rsidP="00954CEE">
            <w:pPr>
              <w:pStyle w:val="ListParagraph"/>
              <w:numPr>
                <w:ilvl w:val="0"/>
                <w:numId w:val="4"/>
              </w:numPr>
              <w:adjustRightInd w:val="0"/>
              <w:snapToGrid w:val="0"/>
              <w:spacing w:after="0" w:line="360" w:lineRule="auto"/>
              <w:ind w:left="0"/>
              <w:contextualSpacing w:val="0"/>
              <w:jc w:val="both"/>
              <w:rPr>
                <w:rFonts w:ascii="Book Antiqua" w:hAnsi="Book Antiqua" w:cs="Book Antiqua"/>
                <w:sz w:val="24"/>
                <w:szCs w:val="24"/>
              </w:rPr>
            </w:pPr>
            <w:r w:rsidRPr="00390EBD">
              <w:rPr>
                <w:rFonts w:ascii="Book Antiqua" w:hAnsi="Book Antiqua" w:cs="Book Antiqua"/>
                <w:sz w:val="24"/>
                <w:szCs w:val="24"/>
              </w:rPr>
              <w:t>Anti</w:t>
            </w:r>
            <w:r w:rsidRPr="00390EBD">
              <w:rPr>
                <w:rFonts w:ascii="Book Antiqua" w:hAnsi="Book Antiqua" w:cs="Book Antiqua"/>
                <w:sz w:val="24"/>
                <w:szCs w:val="24"/>
              </w:rPr>
              <w:noBreakHyphen/>
              <w:t>neutrophil cytoplasmic (ANC) antibodies</w:t>
            </w:r>
          </w:p>
          <w:p w14:paraId="2417A7AC" w14:textId="77777777" w:rsidR="006138C7" w:rsidRPr="00390EBD" w:rsidRDefault="006138C7" w:rsidP="00954CEE">
            <w:pPr>
              <w:pStyle w:val="ListParagraph"/>
              <w:numPr>
                <w:ilvl w:val="0"/>
                <w:numId w:val="4"/>
              </w:numPr>
              <w:adjustRightInd w:val="0"/>
              <w:snapToGrid w:val="0"/>
              <w:spacing w:after="0" w:line="360" w:lineRule="auto"/>
              <w:ind w:left="0"/>
              <w:contextualSpacing w:val="0"/>
              <w:jc w:val="both"/>
              <w:rPr>
                <w:rFonts w:ascii="Book Antiqua" w:hAnsi="Book Antiqua" w:cs="Book Antiqua"/>
                <w:sz w:val="24"/>
                <w:szCs w:val="24"/>
              </w:rPr>
            </w:pPr>
            <w:r w:rsidRPr="00390EBD">
              <w:rPr>
                <w:rFonts w:ascii="Book Antiqua" w:hAnsi="Book Antiqua" w:cs="Book Antiqua"/>
                <w:sz w:val="24"/>
                <w:szCs w:val="24"/>
              </w:rPr>
              <w:t xml:space="preserve">Negative antibodies against </w:t>
            </w:r>
            <w:r w:rsidRPr="00390EBD">
              <w:rPr>
                <w:rFonts w:ascii="Book Antiqua" w:hAnsi="Book Antiqua" w:cs="Book Antiqua"/>
                <w:i/>
                <w:iCs/>
                <w:sz w:val="24"/>
                <w:szCs w:val="24"/>
              </w:rPr>
              <w:t>Saccharomyces cerevisiae</w:t>
            </w:r>
          </w:p>
          <w:p w14:paraId="3A882C27" w14:textId="77777777" w:rsidR="006138C7" w:rsidRPr="00390EBD" w:rsidRDefault="006138C7" w:rsidP="00954CEE">
            <w:pPr>
              <w:pStyle w:val="ListParagraph"/>
              <w:numPr>
                <w:ilvl w:val="0"/>
                <w:numId w:val="4"/>
              </w:numPr>
              <w:adjustRightInd w:val="0"/>
              <w:snapToGrid w:val="0"/>
              <w:spacing w:after="0" w:line="360" w:lineRule="auto"/>
              <w:ind w:left="0"/>
              <w:contextualSpacing w:val="0"/>
              <w:jc w:val="both"/>
              <w:rPr>
                <w:rFonts w:ascii="Book Antiqua" w:hAnsi="Book Antiqua" w:cs="Book Antiqua"/>
                <w:sz w:val="24"/>
                <w:szCs w:val="24"/>
                <w:lang w:val="en-US"/>
              </w:rPr>
            </w:pPr>
            <w:r w:rsidRPr="00390EBD">
              <w:rPr>
                <w:rFonts w:ascii="Book Antiqua" w:hAnsi="Book Antiqua" w:cs="Book Antiqua"/>
                <w:sz w:val="24"/>
                <w:szCs w:val="24"/>
                <w:lang w:val="en-US"/>
              </w:rPr>
              <w:t>Previous exposure to anti</w:t>
            </w:r>
            <w:r w:rsidRPr="00390EBD">
              <w:rPr>
                <w:rFonts w:ascii="Book Antiqua" w:hAnsi="Book Antiqua" w:cs="Book Antiqua"/>
                <w:sz w:val="24"/>
                <w:szCs w:val="24"/>
                <w:lang w:val="en-US"/>
              </w:rPr>
              <w:noBreakHyphen/>
              <w:t>TNF</w:t>
            </w:r>
            <w:r w:rsidRPr="00390EBD">
              <w:rPr>
                <w:rFonts w:ascii="Book Antiqua" w:hAnsi="Book Antiqua" w:cs="Book Antiqua"/>
                <w:sz w:val="24"/>
                <w:szCs w:val="24"/>
                <w:lang w:val="en-US"/>
              </w:rPr>
              <w:noBreakHyphen/>
            </w:r>
            <w:r w:rsidRPr="00390EBD">
              <w:rPr>
                <w:rFonts w:ascii="Book Antiqua" w:hAnsi="Book Antiqua" w:cs="Book Antiqua"/>
                <w:sz w:val="24"/>
                <w:szCs w:val="24"/>
              </w:rPr>
              <w:t>α</w:t>
            </w:r>
            <w:r w:rsidRPr="00390EBD">
              <w:rPr>
                <w:rFonts w:ascii="Book Antiqua" w:hAnsi="Book Antiqua" w:cs="Book Antiqua"/>
                <w:sz w:val="24"/>
                <w:szCs w:val="24"/>
                <w:lang w:val="en-US"/>
              </w:rPr>
              <w:t xml:space="preserve"> drugs</w:t>
            </w:r>
          </w:p>
        </w:tc>
      </w:tr>
    </w:tbl>
    <w:p w14:paraId="3F43CE1B" w14:textId="06EDFA40" w:rsidR="000626A0" w:rsidRDefault="000626A0" w:rsidP="00954CEE">
      <w:pPr>
        <w:autoSpaceDE w:val="0"/>
        <w:autoSpaceDN w:val="0"/>
        <w:adjustRightInd w:val="0"/>
        <w:snapToGrid w:val="0"/>
        <w:spacing w:after="0" w:line="360" w:lineRule="auto"/>
        <w:jc w:val="both"/>
        <w:rPr>
          <w:rFonts w:ascii="Book Antiqua" w:hAnsi="Book Antiqua" w:cs="Book Antiqua"/>
          <w:sz w:val="24"/>
          <w:szCs w:val="24"/>
          <w:lang w:val="en-GB" w:eastAsia="zh-CN"/>
        </w:rPr>
      </w:pPr>
      <w:r w:rsidRPr="00390EBD">
        <w:rPr>
          <w:rFonts w:ascii="Book Antiqua" w:hAnsi="Book Antiqua" w:cs="Book Antiqua"/>
          <w:sz w:val="24"/>
          <w:szCs w:val="24"/>
          <w:lang w:val="en-US"/>
        </w:rPr>
        <w:t>IBD</w:t>
      </w:r>
      <w:r>
        <w:rPr>
          <w:rFonts w:ascii="Book Antiqua" w:hAnsi="Book Antiqua" w:cs="Book Antiqua" w:hint="eastAsia"/>
          <w:sz w:val="24"/>
          <w:szCs w:val="24"/>
          <w:lang w:val="en-US" w:eastAsia="zh-CN"/>
        </w:rPr>
        <w:t xml:space="preserve">: </w:t>
      </w:r>
      <w:r w:rsidRPr="000626A0">
        <w:rPr>
          <w:rFonts w:ascii="Book Antiqua" w:hAnsi="Book Antiqua" w:cs="Book Antiqua"/>
          <w:caps/>
          <w:sz w:val="24"/>
          <w:szCs w:val="24"/>
          <w:lang w:val="en-GB" w:eastAsia="zh-CN"/>
        </w:rPr>
        <w:t>i</w:t>
      </w:r>
      <w:r w:rsidRPr="000626A0">
        <w:rPr>
          <w:rFonts w:ascii="Book Antiqua" w:hAnsi="Book Antiqua" w:cs="Book Antiqua"/>
          <w:sz w:val="24"/>
          <w:szCs w:val="24"/>
          <w:lang w:val="en-GB" w:eastAsia="zh-CN"/>
        </w:rPr>
        <w:t>nflammatory bowel disease</w:t>
      </w:r>
      <w:r>
        <w:rPr>
          <w:rFonts w:ascii="Book Antiqua" w:hAnsi="Book Antiqua" w:cs="Book Antiqua" w:hint="eastAsia"/>
          <w:sz w:val="24"/>
          <w:szCs w:val="24"/>
          <w:lang w:val="en-GB" w:eastAsia="zh-CN"/>
        </w:rPr>
        <w:t>.</w:t>
      </w:r>
    </w:p>
    <w:p w14:paraId="2746B774" w14:textId="77777777" w:rsidR="000626A0" w:rsidRDefault="000626A0" w:rsidP="00954CEE">
      <w:pPr>
        <w:autoSpaceDE w:val="0"/>
        <w:autoSpaceDN w:val="0"/>
        <w:adjustRightInd w:val="0"/>
        <w:snapToGrid w:val="0"/>
        <w:spacing w:after="0" w:line="360" w:lineRule="auto"/>
        <w:jc w:val="both"/>
        <w:rPr>
          <w:rFonts w:ascii="Book Antiqua" w:hAnsi="Book Antiqua" w:cs="Book Antiqua"/>
          <w:sz w:val="24"/>
          <w:szCs w:val="24"/>
          <w:lang w:val="en-GB" w:eastAsia="zh-CN"/>
        </w:rPr>
      </w:pPr>
    </w:p>
    <w:p w14:paraId="09F4E588" w14:textId="443F7257" w:rsidR="000626A0" w:rsidRDefault="000626A0" w:rsidP="00954CEE">
      <w:pPr>
        <w:autoSpaceDE w:val="0"/>
        <w:autoSpaceDN w:val="0"/>
        <w:adjustRightInd w:val="0"/>
        <w:snapToGrid w:val="0"/>
        <w:spacing w:after="0" w:line="360" w:lineRule="auto"/>
        <w:jc w:val="both"/>
        <w:rPr>
          <w:rFonts w:ascii="Book Antiqua" w:hAnsi="Book Antiqua" w:cs="Book Antiqua"/>
          <w:sz w:val="24"/>
          <w:szCs w:val="24"/>
          <w:lang w:val="en-GB"/>
        </w:rPr>
      </w:pPr>
      <w:r>
        <w:rPr>
          <w:rFonts w:ascii="Book Antiqua" w:hAnsi="Book Antiqua" w:cs="Book Antiqua"/>
          <w:sz w:val="24"/>
          <w:szCs w:val="24"/>
          <w:lang w:val="en-GB"/>
        </w:rPr>
        <w:br w:type="page"/>
      </w:r>
    </w:p>
    <w:p w14:paraId="131637E0" w14:textId="6CC80A09" w:rsidR="006138C7" w:rsidRPr="000626A0" w:rsidRDefault="000626A0" w:rsidP="00954CEE">
      <w:pPr>
        <w:adjustRightInd w:val="0"/>
        <w:snapToGrid w:val="0"/>
        <w:spacing w:after="0" w:line="360" w:lineRule="auto"/>
        <w:jc w:val="both"/>
        <w:rPr>
          <w:rFonts w:ascii="Book Antiqua" w:hAnsi="Book Antiqua" w:cs="Book Antiqua"/>
          <w:b/>
          <w:sz w:val="24"/>
          <w:szCs w:val="24"/>
          <w:lang w:val="en-US"/>
        </w:rPr>
      </w:pPr>
      <w:r w:rsidRPr="000626A0">
        <w:rPr>
          <w:rFonts w:ascii="Book Antiqua" w:hAnsi="Book Antiqua" w:cs="Book Antiqua"/>
          <w:b/>
          <w:sz w:val="24"/>
          <w:szCs w:val="24"/>
          <w:lang w:val="en-US"/>
        </w:rPr>
        <w:lastRenderedPageBreak/>
        <w:t>Table 5</w:t>
      </w:r>
      <w:r w:rsidR="006138C7" w:rsidRPr="000626A0">
        <w:rPr>
          <w:rFonts w:ascii="Book Antiqua" w:hAnsi="Book Antiqua" w:cs="Book Antiqua"/>
          <w:b/>
          <w:sz w:val="24"/>
          <w:szCs w:val="24"/>
          <w:lang w:val="en-US"/>
        </w:rPr>
        <w:t xml:space="preserve"> Risk factors associated to secondary failure or loss of response</w:t>
      </w:r>
    </w:p>
    <w:p w14:paraId="566A38F5" w14:textId="77777777" w:rsidR="006138C7" w:rsidRPr="00390EBD" w:rsidRDefault="006138C7" w:rsidP="00954CEE">
      <w:pPr>
        <w:pStyle w:val="ListParagraph"/>
        <w:adjustRightInd w:val="0"/>
        <w:snapToGrid w:val="0"/>
        <w:spacing w:after="0" w:line="360" w:lineRule="auto"/>
        <w:ind w:left="0"/>
        <w:contextualSpacing w:val="0"/>
        <w:jc w:val="both"/>
        <w:rPr>
          <w:rFonts w:ascii="Book Antiqua" w:hAnsi="Book Antiqua" w:cs="Book Antiqua"/>
          <w:sz w:val="24"/>
          <w:szCs w:val="24"/>
          <w:lang w:val="en-US"/>
        </w:rPr>
      </w:pPr>
    </w:p>
    <w:p w14:paraId="4417EBC4" w14:textId="77777777" w:rsidR="006138C7" w:rsidRPr="00390EBD" w:rsidRDefault="006138C7" w:rsidP="00954CEE">
      <w:pPr>
        <w:pStyle w:val="ListParagraph"/>
        <w:numPr>
          <w:ilvl w:val="0"/>
          <w:numId w:val="5"/>
        </w:numPr>
        <w:pBdr>
          <w:top w:val="single" w:sz="8" w:space="1" w:color="000000"/>
          <w:bottom w:val="single" w:sz="8" w:space="1" w:color="000000"/>
        </w:pBdr>
        <w:adjustRightInd w:val="0"/>
        <w:snapToGrid w:val="0"/>
        <w:spacing w:after="0" w:line="360" w:lineRule="auto"/>
        <w:ind w:left="0"/>
        <w:contextualSpacing w:val="0"/>
        <w:jc w:val="both"/>
        <w:rPr>
          <w:rFonts w:ascii="Book Antiqua" w:hAnsi="Book Antiqua" w:cs="Book Antiqua"/>
          <w:sz w:val="24"/>
          <w:szCs w:val="24"/>
          <w:lang w:val="en-US"/>
        </w:rPr>
      </w:pPr>
      <w:r w:rsidRPr="00390EBD">
        <w:rPr>
          <w:rFonts w:ascii="Book Antiqua" w:hAnsi="Book Antiqua" w:cs="Book Antiqua"/>
          <w:sz w:val="24"/>
          <w:szCs w:val="24"/>
          <w:lang w:val="en-US"/>
        </w:rPr>
        <w:t>Individual differences in bioavailability and pharmacokinetics</w:t>
      </w:r>
    </w:p>
    <w:p w14:paraId="64BC9318" w14:textId="7FE3AA6B" w:rsidR="006138C7" w:rsidRPr="00390EBD" w:rsidRDefault="006138C7" w:rsidP="00954CEE">
      <w:pPr>
        <w:pStyle w:val="ListParagraph"/>
        <w:numPr>
          <w:ilvl w:val="0"/>
          <w:numId w:val="5"/>
        </w:numPr>
        <w:pBdr>
          <w:top w:val="single" w:sz="8" w:space="1" w:color="000000"/>
          <w:bottom w:val="single" w:sz="8" w:space="1" w:color="000000"/>
        </w:pBdr>
        <w:adjustRightInd w:val="0"/>
        <w:snapToGrid w:val="0"/>
        <w:spacing w:after="0" w:line="360" w:lineRule="auto"/>
        <w:ind w:left="0"/>
        <w:contextualSpacing w:val="0"/>
        <w:jc w:val="both"/>
        <w:rPr>
          <w:rFonts w:ascii="Book Antiqua" w:hAnsi="Book Antiqua" w:cs="Book Antiqua"/>
          <w:sz w:val="24"/>
          <w:szCs w:val="24"/>
        </w:rPr>
      </w:pPr>
      <w:r w:rsidRPr="00390EBD">
        <w:rPr>
          <w:rFonts w:ascii="Book Antiqua" w:hAnsi="Book Antiqua" w:cs="Book Antiqua"/>
          <w:sz w:val="24"/>
          <w:szCs w:val="24"/>
        </w:rPr>
        <w:t xml:space="preserve">Symptoms not due to </w:t>
      </w:r>
      <w:r w:rsidR="000626A0" w:rsidRPr="000626A0">
        <w:rPr>
          <w:rFonts w:ascii="Book Antiqua" w:hAnsi="Book Antiqua" w:cs="Book Antiqua"/>
          <w:sz w:val="24"/>
          <w:szCs w:val="24"/>
          <w:lang w:val="en-US"/>
        </w:rPr>
        <w:t>inflammatory bowel disease</w:t>
      </w:r>
    </w:p>
    <w:p w14:paraId="3163F834" w14:textId="77777777" w:rsidR="006138C7" w:rsidRPr="00390EBD" w:rsidRDefault="006138C7" w:rsidP="00954CEE">
      <w:pPr>
        <w:pStyle w:val="ListParagraph"/>
        <w:numPr>
          <w:ilvl w:val="0"/>
          <w:numId w:val="5"/>
        </w:numPr>
        <w:pBdr>
          <w:top w:val="single" w:sz="8" w:space="1" w:color="000000"/>
          <w:bottom w:val="single" w:sz="8" w:space="1" w:color="000000"/>
        </w:pBdr>
        <w:adjustRightInd w:val="0"/>
        <w:snapToGrid w:val="0"/>
        <w:spacing w:after="0" w:line="360" w:lineRule="auto"/>
        <w:ind w:left="0"/>
        <w:contextualSpacing w:val="0"/>
        <w:jc w:val="both"/>
        <w:rPr>
          <w:rFonts w:ascii="Book Antiqua" w:hAnsi="Book Antiqua" w:cs="Book Antiqua"/>
          <w:sz w:val="24"/>
          <w:szCs w:val="24"/>
        </w:rPr>
      </w:pPr>
      <w:r w:rsidRPr="00390EBD">
        <w:rPr>
          <w:rFonts w:ascii="Book Antiqua" w:hAnsi="Book Antiqua" w:cs="Book Antiqua"/>
          <w:sz w:val="24"/>
          <w:szCs w:val="24"/>
        </w:rPr>
        <w:t>Lack of adherence to therapy</w:t>
      </w:r>
    </w:p>
    <w:p w14:paraId="6335BFBA" w14:textId="77777777" w:rsidR="006138C7" w:rsidRPr="00390EBD" w:rsidRDefault="006138C7" w:rsidP="00954CEE">
      <w:pPr>
        <w:pStyle w:val="ListParagraph"/>
        <w:numPr>
          <w:ilvl w:val="0"/>
          <w:numId w:val="5"/>
        </w:numPr>
        <w:pBdr>
          <w:top w:val="single" w:sz="8" w:space="1" w:color="000000"/>
          <w:bottom w:val="single" w:sz="8" w:space="1" w:color="000000"/>
        </w:pBdr>
        <w:adjustRightInd w:val="0"/>
        <w:snapToGrid w:val="0"/>
        <w:spacing w:after="0" w:line="360" w:lineRule="auto"/>
        <w:ind w:left="0"/>
        <w:contextualSpacing w:val="0"/>
        <w:jc w:val="both"/>
        <w:rPr>
          <w:rFonts w:ascii="Book Antiqua" w:hAnsi="Book Antiqua" w:cs="Book Antiqua"/>
          <w:sz w:val="24"/>
          <w:szCs w:val="24"/>
        </w:rPr>
      </w:pPr>
      <w:r w:rsidRPr="00390EBD">
        <w:rPr>
          <w:rFonts w:ascii="Book Antiqua" w:hAnsi="Book Antiqua" w:cs="Book Antiqua"/>
          <w:sz w:val="24"/>
          <w:szCs w:val="24"/>
        </w:rPr>
        <w:t>Drug loss in stools</w:t>
      </w:r>
    </w:p>
    <w:p w14:paraId="20091E6F" w14:textId="77777777" w:rsidR="006138C7" w:rsidRPr="00390EBD" w:rsidRDefault="006138C7" w:rsidP="00954CEE">
      <w:pPr>
        <w:pStyle w:val="ListParagraph"/>
        <w:numPr>
          <w:ilvl w:val="0"/>
          <w:numId w:val="5"/>
        </w:numPr>
        <w:pBdr>
          <w:top w:val="single" w:sz="8" w:space="1" w:color="000000"/>
          <w:bottom w:val="single" w:sz="8" w:space="1" w:color="000000"/>
        </w:pBdr>
        <w:adjustRightInd w:val="0"/>
        <w:snapToGrid w:val="0"/>
        <w:spacing w:after="0" w:line="360" w:lineRule="auto"/>
        <w:ind w:left="0"/>
        <w:contextualSpacing w:val="0"/>
        <w:jc w:val="both"/>
        <w:rPr>
          <w:rFonts w:ascii="Book Antiqua" w:hAnsi="Book Antiqua" w:cs="Book Antiqua"/>
          <w:sz w:val="24"/>
          <w:szCs w:val="24"/>
        </w:rPr>
      </w:pPr>
      <w:r w:rsidRPr="00390EBD">
        <w:rPr>
          <w:rFonts w:ascii="Book Antiqua" w:hAnsi="Book Antiqua" w:cs="Book Antiqua"/>
          <w:sz w:val="24"/>
          <w:szCs w:val="24"/>
        </w:rPr>
        <w:t>Intermittent treatments</w:t>
      </w:r>
    </w:p>
    <w:p w14:paraId="18E15654" w14:textId="77777777" w:rsidR="006138C7" w:rsidRPr="00390EBD" w:rsidRDefault="006138C7" w:rsidP="00954CEE">
      <w:pPr>
        <w:pStyle w:val="ListParagraph"/>
        <w:numPr>
          <w:ilvl w:val="0"/>
          <w:numId w:val="5"/>
        </w:numPr>
        <w:pBdr>
          <w:top w:val="single" w:sz="8" w:space="1" w:color="000000"/>
          <w:bottom w:val="single" w:sz="8" w:space="1" w:color="000000"/>
        </w:pBdr>
        <w:adjustRightInd w:val="0"/>
        <w:snapToGrid w:val="0"/>
        <w:spacing w:after="0" w:line="360" w:lineRule="auto"/>
        <w:ind w:left="0"/>
        <w:contextualSpacing w:val="0"/>
        <w:jc w:val="both"/>
        <w:rPr>
          <w:rFonts w:ascii="Book Antiqua" w:hAnsi="Book Antiqua" w:cs="Book Antiqua"/>
          <w:sz w:val="24"/>
          <w:szCs w:val="24"/>
        </w:rPr>
      </w:pPr>
      <w:r w:rsidRPr="00390EBD">
        <w:rPr>
          <w:rFonts w:ascii="Book Antiqua" w:hAnsi="Book Antiqua" w:cs="Book Antiqua"/>
          <w:sz w:val="24"/>
          <w:szCs w:val="24"/>
        </w:rPr>
        <w:t>Non</w:t>
      </w:r>
      <w:r w:rsidRPr="00390EBD">
        <w:rPr>
          <w:rFonts w:ascii="Book Antiqua" w:hAnsi="Book Antiqua" w:cs="Book Antiqua"/>
          <w:sz w:val="24"/>
          <w:szCs w:val="24"/>
        </w:rPr>
        <w:noBreakHyphen/>
        <w:t>inflammatory symptoms</w:t>
      </w:r>
    </w:p>
    <w:p w14:paraId="17B98B5E" w14:textId="77777777" w:rsidR="006138C7" w:rsidRPr="00390EBD" w:rsidRDefault="006138C7" w:rsidP="00954CEE">
      <w:pPr>
        <w:pStyle w:val="ListParagraph"/>
        <w:numPr>
          <w:ilvl w:val="0"/>
          <w:numId w:val="5"/>
        </w:numPr>
        <w:pBdr>
          <w:top w:val="single" w:sz="8" w:space="1" w:color="000000"/>
          <w:bottom w:val="single" w:sz="8" w:space="1" w:color="000000"/>
        </w:pBdr>
        <w:adjustRightInd w:val="0"/>
        <w:snapToGrid w:val="0"/>
        <w:spacing w:after="0" w:line="360" w:lineRule="auto"/>
        <w:ind w:left="0"/>
        <w:contextualSpacing w:val="0"/>
        <w:jc w:val="both"/>
        <w:rPr>
          <w:rFonts w:ascii="Book Antiqua" w:hAnsi="Book Antiqua" w:cs="Book Antiqua"/>
          <w:sz w:val="24"/>
          <w:szCs w:val="24"/>
        </w:rPr>
      </w:pPr>
      <w:r w:rsidRPr="00390EBD">
        <w:rPr>
          <w:rFonts w:ascii="Book Antiqua" w:hAnsi="Book Antiqua" w:cs="Book Antiqua"/>
          <w:sz w:val="24"/>
          <w:szCs w:val="24"/>
        </w:rPr>
        <w:t>Structuring disease pattern</w:t>
      </w:r>
    </w:p>
    <w:p w14:paraId="44244720" w14:textId="77777777" w:rsidR="006138C7" w:rsidRPr="00390EBD" w:rsidRDefault="006138C7" w:rsidP="00954CEE">
      <w:pPr>
        <w:pStyle w:val="ListParagraph"/>
        <w:numPr>
          <w:ilvl w:val="0"/>
          <w:numId w:val="5"/>
        </w:numPr>
        <w:pBdr>
          <w:top w:val="single" w:sz="8" w:space="1" w:color="000000"/>
          <w:bottom w:val="single" w:sz="8" w:space="1" w:color="000000"/>
        </w:pBdr>
        <w:adjustRightInd w:val="0"/>
        <w:snapToGrid w:val="0"/>
        <w:spacing w:after="0" w:line="360" w:lineRule="auto"/>
        <w:ind w:left="0"/>
        <w:contextualSpacing w:val="0"/>
        <w:jc w:val="both"/>
        <w:rPr>
          <w:rFonts w:ascii="Book Antiqua" w:hAnsi="Book Antiqua" w:cs="Book Antiqua"/>
          <w:sz w:val="24"/>
          <w:szCs w:val="24"/>
        </w:rPr>
      </w:pPr>
      <w:r w:rsidRPr="00390EBD">
        <w:rPr>
          <w:rFonts w:ascii="Book Antiqua" w:hAnsi="Book Antiqua" w:cs="Book Antiqua"/>
          <w:sz w:val="24"/>
          <w:szCs w:val="24"/>
        </w:rPr>
        <w:t>Smoking</w:t>
      </w:r>
    </w:p>
    <w:p w14:paraId="3EC97662" w14:textId="77777777" w:rsidR="006138C7" w:rsidRPr="00390EBD" w:rsidRDefault="006138C7" w:rsidP="00954CEE">
      <w:pPr>
        <w:pStyle w:val="ListParagraph"/>
        <w:numPr>
          <w:ilvl w:val="0"/>
          <w:numId w:val="5"/>
        </w:numPr>
        <w:pBdr>
          <w:top w:val="single" w:sz="8" w:space="1" w:color="000000"/>
          <w:bottom w:val="single" w:sz="8" w:space="1" w:color="000000"/>
        </w:pBdr>
        <w:adjustRightInd w:val="0"/>
        <w:snapToGrid w:val="0"/>
        <w:spacing w:after="0" w:line="360" w:lineRule="auto"/>
        <w:ind w:left="0"/>
        <w:contextualSpacing w:val="0"/>
        <w:jc w:val="both"/>
        <w:rPr>
          <w:rFonts w:ascii="Book Antiqua" w:hAnsi="Book Antiqua" w:cs="Book Antiqua"/>
          <w:color w:val="FF0000"/>
          <w:sz w:val="24"/>
          <w:szCs w:val="24"/>
        </w:rPr>
      </w:pPr>
      <w:r w:rsidRPr="00390EBD">
        <w:rPr>
          <w:rFonts w:ascii="Book Antiqua" w:hAnsi="Book Antiqua" w:cs="Book Antiqua"/>
          <w:sz w:val="24"/>
          <w:szCs w:val="24"/>
        </w:rPr>
        <w:t>Development of antibodies</w:t>
      </w:r>
    </w:p>
    <w:p w14:paraId="51CF6CAF" w14:textId="77777777" w:rsidR="006138C7" w:rsidRPr="00390EBD" w:rsidRDefault="006138C7" w:rsidP="00954CEE">
      <w:pPr>
        <w:pStyle w:val="ListParagraph"/>
        <w:adjustRightInd w:val="0"/>
        <w:snapToGrid w:val="0"/>
        <w:spacing w:after="0" w:line="360" w:lineRule="auto"/>
        <w:ind w:left="0"/>
        <w:contextualSpacing w:val="0"/>
        <w:jc w:val="both"/>
        <w:rPr>
          <w:rFonts w:ascii="Book Antiqua" w:hAnsi="Book Antiqua" w:cs="Book Antiqua"/>
          <w:sz w:val="24"/>
          <w:szCs w:val="24"/>
        </w:rPr>
      </w:pPr>
    </w:p>
    <w:p w14:paraId="1D8962AC" w14:textId="155D2A4C" w:rsidR="000626A0" w:rsidRDefault="000626A0" w:rsidP="00954CEE">
      <w:pPr>
        <w:pStyle w:val="ListParagraph"/>
        <w:adjustRightInd w:val="0"/>
        <w:snapToGrid w:val="0"/>
        <w:spacing w:after="0" w:line="360" w:lineRule="auto"/>
        <w:ind w:left="0"/>
        <w:contextualSpacing w:val="0"/>
        <w:jc w:val="both"/>
        <w:rPr>
          <w:rFonts w:ascii="Book Antiqua" w:hAnsi="Book Antiqua" w:cs="Book Antiqua"/>
          <w:sz w:val="24"/>
          <w:szCs w:val="24"/>
        </w:rPr>
      </w:pPr>
      <w:r>
        <w:rPr>
          <w:rFonts w:ascii="Book Antiqua" w:hAnsi="Book Antiqua" w:cs="Book Antiqua"/>
          <w:sz w:val="24"/>
          <w:szCs w:val="24"/>
        </w:rPr>
        <w:br w:type="page"/>
      </w:r>
    </w:p>
    <w:p w14:paraId="6D0B7700" w14:textId="4D902BA9" w:rsidR="006138C7" w:rsidRPr="000626A0" w:rsidRDefault="000626A0" w:rsidP="00954CEE">
      <w:pPr>
        <w:adjustRightInd w:val="0"/>
        <w:snapToGrid w:val="0"/>
        <w:spacing w:after="0" w:line="360" w:lineRule="auto"/>
        <w:jc w:val="both"/>
        <w:rPr>
          <w:rFonts w:ascii="Book Antiqua" w:hAnsi="Book Antiqua" w:cs="Times New Roman"/>
          <w:b/>
          <w:sz w:val="24"/>
          <w:szCs w:val="24"/>
          <w:lang w:val="en-GB" w:eastAsia="zh-CN"/>
        </w:rPr>
      </w:pPr>
      <w:r w:rsidRPr="000626A0">
        <w:rPr>
          <w:rFonts w:ascii="Book Antiqua" w:hAnsi="Book Antiqua" w:cs="Times New Roman"/>
          <w:b/>
          <w:sz w:val="24"/>
          <w:szCs w:val="24"/>
          <w:lang w:val="en-GB"/>
        </w:rPr>
        <w:lastRenderedPageBreak/>
        <w:t>Table 6</w:t>
      </w:r>
      <w:r w:rsidR="006138C7" w:rsidRPr="000626A0">
        <w:rPr>
          <w:rFonts w:ascii="Book Antiqua" w:hAnsi="Book Antiqua" w:cs="Times New Roman"/>
          <w:b/>
          <w:sz w:val="24"/>
          <w:szCs w:val="24"/>
          <w:lang w:val="en-GB"/>
        </w:rPr>
        <w:t xml:space="preserve"> T</w:t>
      </w:r>
      <w:r w:rsidR="006138C7" w:rsidRPr="000626A0">
        <w:rPr>
          <w:rFonts w:ascii="Book Antiqua" w:hAnsi="Book Antiqua" w:cs="Book Antiqua"/>
          <w:b/>
          <w:sz w:val="24"/>
          <w:szCs w:val="24"/>
          <w:lang w:val="en-US"/>
        </w:rPr>
        <w:t xml:space="preserve">reatment algorithm according to </w:t>
      </w:r>
      <w:r w:rsidRPr="000626A0">
        <w:rPr>
          <w:rFonts w:ascii="Book Antiqua" w:hAnsi="Book Antiqua" w:cs="Book Antiqua"/>
          <w:b/>
          <w:sz w:val="24"/>
          <w:szCs w:val="24"/>
          <w:lang w:val="en-US"/>
        </w:rPr>
        <w:t xml:space="preserve">antidrug antibodies </w:t>
      </w:r>
      <w:r w:rsidR="006138C7" w:rsidRPr="000626A0">
        <w:rPr>
          <w:rFonts w:ascii="Book Antiqua" w:hAnsi="Book Antiqua" w:cs="Book Antiqua"/>
          <w:b/>
          <w:sz w:val="24"/>
          <w:szCs w:val="24"/>
          <w:lang w:val="en-US"/>
        </w:rPr>
        <w:t>and drug levels</w:t>
      </w:r>
      <w:r w:rsidR="00D95AD7" w:rsidRPr="000626A0">
        <w:rPr>
          <w:rFonts w:ascii="Book Antiqua" w:hAnsi="Book Antiqua" w:cs="Times New Roman"/>
          <w:b/>
          <w:sz w:val="24"/>
          <w:szCs w:val="24"/>
          <w:lang w:val="en-GB"/>
        </w:rPr>
        <w:t xml:space="preserve"> </w:t>
      </w:r>
    </w:p>
    <w:tbl>
      <w:tblPr>
        <w:tblW w:w="0" w:type="auto"/>
        <w:tblBorders>
          <w:top w:val="single" w:sz="8" w:space="0" w:color="000000" w:themeColor="text1"/>
          <w:bottom w:val="single" w:sz="8" w:space="0" w:color="000000" w:themeColor="text1"/>
        </w:tblBorders>
        <w:tblLook w:val="00A0" w:firstRow="1" w:lastRow="0" w:firstColumn="1" w:lastColumn="0" w:noHBand="0" w:noVBand="0"/>
      </w:tblPr>
      <w:tblGrid>
        <w:gridCol w:w="2881"/>
        <w:gridCol w:w="2472"/>
        <w:gridCol w:w="3291"/>
      </w:tblGrid>
      <w:tr w:rsidR="000626A0" w:rsidRPr="000626A0" w14:paraId="56F21B0E" w14:textId="77777777" w:rsidTr="000626A0">
        <w:tc>
          <w:tcPr>
            <w:tcW w:w="2881" w:type="dxa"/>
            <w:tcBorders>
              <w:top w:val="single" w:sz="8" w:space="0" w:color="000000" w:themeColor="text1"/>
              <w:bottom w:val="single" w:sz="8" w:space="0" w:color="000000" w:themeColor="text1"/>
            </w:tcBorders>
            <w:shd w:val="clear" w:color="auto" w:fill="auto"/>
          </w:tcPr>
          <w:p w14:paraId="6BE11CC7" w14:textId="77777777" w:rsidR="006138C7" w:rsidRPr="000626A0" w:rsidRDefault="006138C7" w:rsidP="00954CEE">
            <w:pPr>
              <w:adjustRightInd w:val="0"/>
              <w:snapToGrid w:val="0"/>
              <w:spacing w:after="0" w:line="360" w:lineRule="auto"/>
              <w:jc w:val="both"/>
              <w:rPr>
                <w:rFonts w:ascii="Book Antiqua" w:hAnsi="Book Antiqua" w:cs="Times New Roman"/>
                <w:b/>
                <w:bCs/>
                <w:color w:val="000000" w:themeColor="text1"/>
                <w:sz w:val="24"/>
                <w:szCs w:val="24"/>
                <w:lang w:val="en-US"/>
              </w:rPr>
            </w:pPr>
            <w:r w:rsidRPr="000626A0">
              <w:rPr>
                <w:rFonts w:ascii="Book Antiqua" w:hAnsi="Book Antiqua" w:cs="Times New Roman"/>
                <w:b/>
                <w:bCs/>
                <w:color w:val="000000" w:themeColor="text1"/>
                <w:sz w:val="24"/>
                <w:szCs w:val="24"/>
                <w:lang w:val="en-US"/>
              </w:rPr>
              <w:t>Anti</w:t>
            </w:r>
            <w:r w:rsidRPr="000626A0">
              <w:rPr>
                <w:rFonts w:ascii="Book Antiqua" w:hAnsi="Book Antiqua" w:cs="Times New Roman"/>
                <w:b/>
                <w:bCs/>
                <w:color w:val="000000" w:themeColor="text1"/>
                <w:sz w:val="24"/>
                <w:szCs w:val="24"/>
                <w:lang w:val="en-US"/>
              </w:rPr>
              <w:noBreakHyphen/>
              <w:t>TNF</w:t>
            </w:r>
            <w:r w:rsidRPr="000626A0">
              <w:rPr>
                <w:rFonts w:ascii="Book Antiqua" w:hAnsi="Book Antiqua" w:cs="Times New Roman"/>
                <w:b/>
                <w:bCs/>
                <w:color w:val="000000" w:themeColor="text1"/>
                <w:sz w:val="24"/>
                <w:szCs w:val="24"/>
                <w:lang w:val="en-US"/>
              </w:rPr>
              <w:noBreakHyphen/>
            </w:r>
            <w:r w:rsidRPr="000626A0">
              <w:rPr>
                <w:rFonts w:ascii="Book Antiqua" w:hAnsi="Book Antiqua" w:cs="Times New Roman"/>
                <w:b/>
                <w:bCs/>
                <w:color w:val="000000" w:themeColor="text1"/>
                <w:sz w:val="24"/>
                <w:szCs w:val="24"/>
              </w:rPr>
              <w:t>α</w:t>
            </w:r>
            <w:r w:rsidRPr="000626A0">
              <w:rPr>
                <w:rFonts w:ascii="Book Antiqua" w:hAnsi="Book Antiqua" w:cs="Times New Roman"/>
                <w:b/>
                <w:bCs/>
                <w:color w:val="000000" w:themeColor="text1"/>
                <w:sz w:val="24"/>
                <w:szCs w:val="24"/>
                <w:lang w:val="en-US"/>
              </w:rPr>
              <w:t xml:space="preserve"> drug levels</w:t>
            </w:r>
          </w:p>
        </w:tc>
        <w:tc>
          <w:tcPr>
            <w:tcW w:w="2472" w:type="dxa"/>
            <w:tcBorders>
              <w:top w:val="single" w:sz="8" w:space="0" w:color="000000" w:themeColor="text1"/>
              <w:bottom w:val="single" w:sz="8" w:space="0" w:color="000000" w:themeColor="text1"/>
            </w:tcBorders>
            <w:shd w:val="clear" w:color="auto" w:fill="auto"/>
          </w:tcPr>
          <w:p w14:paraId="361A0025" w14:textId="77777777" w:rsidR="006138C7" w:rsidRPr="000626A0" w:rsidRDefault="006138C7" w:rsidP="00954CEE">
            <w:pPr>
              <w:adjustRightInd w:val="0"/>
              <w:snapToGrid w:val="0"/>
              <w:spacing w:after="0" w:line="360" w:lineRule="auto"/>
              <w:jc w:val="both"/>
              <w:rPr>
                <w:rFonts w:ascii="Book Antiqua" w:hAnsi="Book Antiqua" w:cs="Times New Roman"/>
                <w:b/>
                <w:bCs/>
                <w:color w:val="000000" w:themeColor="text1"/>
                <w:sz w:val="24"/>
                <w:szCs w:val="24"/>
                <w:lang w:val="en-GB"/>
              </w:rPr>
            </w:pPr>
            <w:r w:rsidRPr="000626A0">
              <w:rPr>
                <w:rFonts w:ascii="Book Antiqua" w:hAnsi="Book Antiqua" w:cs="Times New Roman"/>
                <w:b/>
                <w:bCs/>
                <w:color w:val="000000" w:themeColor="text1"/>
                <w:sz w:val="24"/>
                <w:szCs w:val="24"/>
                <w:lang w:val="en-GB"/>
              </w:rPr>
              <w:t>Antibodies</w:t>
            </w:r>
          </w:p>
        </w:tc>
        <w:tc>
          <w:tcPr>
            <w:tcW w:w="3291" w:type="dxa"/>
            <w:tcBorders>
              <w:top w:val="single" w:sz="8" w:space="0" w:color="000000" w:themeColor="text1"/>
              <w:bottom w:val="single" w:sz="8" w:space="0" w:color="000000" w:themeColor="text1"/>
            </w:tcBorders>
            <w:shd w:val="clear" w:color="auto" w:fill="auto"/>
          </w:tcPr>
          <w:p w14:paraId="1E845D0A" w14:textId="77777777" w:rsidR="006138C7" w:rsidRPr="000626A0" w:rsidRDefault="006138C7" w:rsidP="00954CEE">
            <w:pPr>
              <w:adjustRightInd w:val="0"/>
              <w:snapToGrid w:val="0"/>
              <w:spacing w:after="0" w:line="360" w:lineRule="auto"/>
              <w:jc w:val="both"/>
              <w:rPr>
                <w:rFonts w:ascii="Book Antiqua" w:hAnsi="Book Antiqua" w:cs="Times New Roman"/>
                <w:b/>
                <w:bCs/>
                <w:color w:val="000000" w:themeColor="text1"/>
                <w:sz w:val="24"/>
                <w:szCs w:val="24"/>
                <w:lang w:val="en-GB"/>
              </w:rPr>
            </w:pPr>
            <w:r w:rsidRPr="000626A0">
              <w:rPr>
                <w:rFonts w:ascii="Book Antiqua" w:hAnsi="Book Antiqua" w:cs="Times New Roman"/>
                <w:b/>
                <w:bCs/>
                <w:color w:val="000000" w:themeColor="text1"/>
                <w:sz w:val="24"/>
                <w:szCs w:val="24"/>
                <w:lang w:val="en-GB"/>
              </w:rPr>
              <w:t>Action</w:t>
            </w:r>
          </w:p>
        </w:tc>
      </w:tr>
      <w:tr w:rsidR="000626A0" w:rsidRPr="000626A0" w14:paraId="5B4DD8F3" w14:textId="77777777" w:rsidTr="000626A0">
        <w:tc>
          <w:tcPr>
            <w:tcW w:w="2881" w:type="dxa"/>
            <w:tcBorders>
              <w:top w:val="single" w:sz="8" w:space="0" w:color="000000" w:themeColor="text1"/>
            </w:tcBorders>
            <w:shd w:val="clear" w:color="auto" w:fill="auto"/>
          </w:tcPr>
          <w:p w14:paraId="2104BA6F" w14:textId="77777777" w:rsidR="006138C7" w:rsidRPr="000626A0" w:rsidRDefault="006138C7" w:rsidP="00954CEE">
            <w:pPr>
              <w:adjustRightInd w:val="0"/>
              <w:snapToGrid w:val="0"/>
              <w:spacing w:after="0" w:line="360" w:lineRule="auto"/>
              <w:jc w:val="both"/>
              <w:rPr>
                <w:rFonts w:ascii="Book Antiqua" w:hAnsi="Book Antiqua" w:cs="Times New Roman"/>
                <w:b/>
                <w:bCs/>
                <w:color w:val="000000" w:themeColor="text1"/>
                <w:sz w:val="24"/>
                <w:szCs w:val="24"/>
                <w:lang w:val="en-GB"/>
              </w:rPr>
            </w:pPr>
            <w:r w:rsidRPr="000626A0">
              <w:rPr>
                <w:rFonts w:ascii="Book Antiqua" w:hAnsi="Book Antiqua" w:cs="Times New Roman"/>
                <w:b/>
                <w:bCs/>
                <w:color w:val="000000" w:themeColor="text1"/>
                <w:sz w:val="24"/>
                <w:szCs w:val="24"/>
                <w:lang w:val="en-GB"/>
              </w:rPr>
              <w:t>Low</w:t>
            </w:r>
          </w:p>
        </w:tc>
        <w:tc>
          <w:tcPr>
            <w:tcW w:w="2472" w:type="dxa"/>
            <w:tcBorders>
              <w:top w:val="single" w:sz="8" w:space="0" w:color="000000" w:themeColor="text1"/>
            </w:tcBorders>
            <w:shd w:val="clear" w:color="auto" w:fill="auto"/>
          </w:tcPr>
          <w:p w14:paraId="4D70FFB4" w14:textId="77777777" w:rsidR="006138C7" w:rsidRPr="000626A0" w:rsidRDefault="006138C7" w:rsidP="00954CEE">
            <w:pPr>
              <w:adjustRightInd w:val="0"/>
              <w:snapToGrid w:val="0"/>
              <w:spacing w:after="0" w:line="360" w:lineRule="auto"/>
              <w:jc w:val="both"/>
              <w:rPr>
                <w:rFonts w:ascii="Book Antiqua" w:hAnsi="Book Antiqua" w:cs="Times New Roman"/>
                <w:color w:val="000000" w:themeColor="text1"/>
                <w:sz w:val="24"/>
                <w:szCs w:val="24"/>
                <w:lang w:val="en-GB"/>
              </w:rPr>
            </w:pPr>
            <w:r w:rsidRPr="000626A0">
              <w:rPr>
                <w:rFonts w:ascii="Book Antiqua" w:hAnsi="Book Antiqua" w:cs="Times New Roman"/>
                <w:color w:val="000000" w:themeColor="text1"/>
                <w:sz w:val="24"/>
                <w:szCs w:val="24"/>
                <w:lang w:val="en-GB"/>
              </w:rPr>
              <w:t>Negative</w:t>
            </w:r>
          </w:p>
        </w:tc>
        <w:tc>
          <w:tcPr>
            <w:tcW w:w="3291" w:type="dxa"/>
            <w:tcBorders>
              <w:top w:val="single" w:sz="8" w:space="0" w:color="000000" w:themeColor="text1"/>
            </w:tcBorders>
            <w:shd w:val="clear" w:color="auto" w:fill="auto"/>
          </w:tcPr>
          <w:p w14:paraId="030E6BE5" w14:textId="77777777" w:rsidR="006138C7" w:rsidRPr="000626A0" w:rsidRDefault="006138C7" w:rsidP="00954CEE">
            <w:pPr>
              <w:adjustRightInd w:val="0"/>
              <w:snapToGrid w:val="0"/>
              <w:spacing w:after="0" w:line="360" w:lineRule="auto"/>
              <w:jc w:val="both"/>
              <w:rPr>
                <w:rFonts w:ascii="Book Antiqua" w:hAnsi="Book Antiqua" w:cs="Times New Roman"/>
                <w:color w:val="000000" w:themeColor="text1"/>
                <w:sz w:val="24"/>
                <w:szCs w:val="24"/>
                <w:lang w:val="en-GB"/>
              </w:rPr>
            </w:pPr>
            <w:r w:rsidRPr="000626A0">
              <w:rPr>
                <w:rFonts w:ascii="Book Antiqua" w:hAnsi="Book Antiqua" w:cs="Times New Roman"/>
                <w:color w:val="000000" w:themeColor="text1"/>
                <w:sz w:val="24"/>
                <w:szCs w:val="24"/>
                <w:lang w:val="en-GB"/>
              </w:rPr>
              <w:t>Increase dose</w:t>
            </w:r>
          </w:p>
        </w:tc>
      </w:tr>
      <w:tr w:rsidR="000626A0" w:rsidRPr="000626A0" w14:paraId="5EFDA8F8" w14:textId="77777777" w:rsidTr="000626A0">
        <w:tc>
          <w:tcPr>
            <w:tcW w:w="2881" w:type="dxa"/>
            <w:shd w:val="clear" w:color="auto" w:fill="auto"/>
          </w:tcPr>
          <w:p w14:paraId="5488DB4A" w14:textId="77777777" w:rsidR="006138C7" w:rsidRPr="000626A0" w:rsidRDefault="006138C7" w:rsidP="00954CEE">
            <w:pPr>
              <w:adjustRightInd w:val="0"/>
              <w:snapToGrid w:val="0"/>
              <w:spacing w:after="0" w:line="360" w:lineRule="auto"/>
              <w:jc w:val="both"/>
              <w:rPr>
                <w:rFonts w:ascii="Book Antiqua" w:hAnsi="Book Antiqua" w:cs="Times New Roman"/>
                <w:b/>
                <w:bCs/>
                <w:color w:val="000000" w:themeColor="text1"/>
                <w:sz w:val="24"/>
                <w:szCs w:val="24"/>
                <w:lang w:val="en-GB"/>
              </w:rPr>
            </w:pPr>
            <w:r w:rsidRPr="000626A0">
              <w:rPr>
                <w:rFonts w:ascii="Book Antiqua" w:hAnsi="Book Antiqua" w:cs="Times New Roman"/>
                <w:b/>
                <w:bCs/>
                <w:color w:val="000000" w:themeColor="text1"/>
                <w:sz w:val="24"/>
                <w:szCs w:val="24"/>
                <w:lang w:val="en-GB"/>
              </w:rPr>
              <w:t>Low</w:t>
            </w:r>
          </w:p>
        </w:tc>
        <w:tc>
          <w:tcPr>
            <w:tcW w:w="2472" w:type="dxa"/>
            <w:shd w:val="clear" w:color="auto" w:fill="auto"/>
          </w:tcPr>
          <w:p w14:paraId="21517DC7" w14:textId="77777777" w:rsidR="006138C7" w:rsidRPr="000626A0" w:rsidRDefault="006138C7" w:rsidP="00954CEE">
            <w:pPr>
              <w:adjustRightInd w:val="0"/>
              <w:snapToGrid w:val="0"/>
              <w:spacing w:after="0" w:line="360" w:lineRule="auto"/>
              <w:jc w:val="both"/>
              <w:rPr>
                <w:rFonts w:ascii="Book Antiqua" w:hAnsi="Book Antiqua" w:cs="Times New Roman"/>
                <w:color w:val="000000" w:themeColor="text1"/>
                <w:sz w:val="24"/>
                <w:szCs w:val="24"/>
                <w:lang w:val="en-GB"/>
              </w:rPr>
            </w:pPr>
            <w:r w:rsidRPr="000626A0">
              <w:rPr>
                <w:rFonts w:ascii="Book Antiqua" w:hAnsi="Book Antiqua" w:cs="Times New Roman"/>
                <w:color w:val="000000" w:themeColor="text1"/>
                <w:sz w:val="24"/>
                <w:szCs w:val="24"/>
                <w:lang w:val="en-GB"/>
              </w:rPr>
              <w:t>Positive</w:t>
            </w:r>
          </w:p>
        </w:tc>
        <w:tc>
          <w:tcPr>
            <w:tcW w:w="3291" w:type="dxa"/>
            <w:shd w:val="clear" w:color="auto" w:fill="auto"/>
          </w:tcPr>
          <w:p w14:paraId="4E52F13E" w14:textId="77777777" w:rsidR="006138C7" w:rsidRPr="000626A0" w:rsidRDefault="006138C7" w:rsidP="00954CEE">
            <w:pPr>
              <w:adjustRightInd w:val="0"/>
              <w:snapToGrid w:val="0"/>
              <w:spacing w:after="0" w:line="360" w:lineRule="auto"/>
              <w:jc w:val="both"/>
              <w:rPr>
                <w:rFonts w:ascii="Book Antiqua" w:hAnsi="Book Antiqua" w:cs="Times New Roman"/>
                <w:color w:val="000000" w:themeColor="text1"/>
                <w:sz w:val="24"/>
                <w:szCs w:val="24"/>
                <w:lang w:val="en-GB"/>
              </w:rPr>
            </w:pPr>
            <w:r w:rsidRPr="000626A0">
              <w:rPr>
                <w:rFonts w:ascii="Book Antiqua" w:hAnsi="Book Antiqua" w:cs="Times New Roman"/>
                <w:color w:val="000000" w:themeColor="text1"/>
                <w:sz w:val="24"/>
                <w:szCs w:val="24"/>
                <w:lang w:val="en-GB"/>
              </w:rPr>
              <w:t xml:space="preserve">Switch drug </w:t>
            </w:r>
          </w:p>
        </w:tc>
      </w:tr>
      <w:tr w:rsidR="000626A0" w:rsidRPr="000626A0" w14:paraId="6B904D4B" w14:textId="77777777" w:rsidTr="000626A0">
        <w:tc>
          <w:tcPr>
            <w:tcW w:w="2881" w:type="dxa"/>
            <w:shd w:val="clear" w:color="auto" w:fill="auto"/>
          </w:tcPr>
          <w:p w14:paraId="44481CF1" w14:textId="77777777" w:rsidR="006138C7" w:rsidRPr="000626A0" w:rsidRDefault="006138C7" w:rsidP="00954CEE">
            <w:pPr>
              <w:adjustRightInd w:val="0"/>
              <w:snapToGrid w:val="0"/>
              <w:spacing w:after="0" w:line="360" w:lineRule="auto"/>
              <w:jc w:val="both"/>
              <w:rPr>
                <w:rFonts w:ascii="Book Antiqua" w:hAnsi="Book Antiqua" w:cs="Times New Roman"/>
                <w:b/>
                <w:bCs/>
                <w:color w:val="000000" w:themeColor="text1"/>
                <w:sz w:val="24"/>
                <w:szCs w:val="24"/>
                <w:lang w:val="en-GB"/>
              </w:rPr>
            </w:pPr>
            <w:r w:rsidRPr="000626A0">
              <w:rPr>
                <w:rFonts w:ascii="Book Antiqua" w:hAnsi="Book Antiqua" w:cs="Times New Roman"/>
                <w:b/>
                <w:bCs/>
                <w:color w:val="000000" w:themeColor="text1"/>
                <w:sz w:val="24"/>
                <w:szCs w:val="24"/>
                <w:lang w:val="en-GB"/>
              </w:rPr>
              <w:t>High</w:t>
            </w:r>
          </w:p>
        </w:tc>
        <w:tc>
          <w:tcPr>
            <w:tcW w:w="2472" w:type="dxa"/>
            <w:shd w:val="clear" w:color="auto" w:fill="auto"/>
          </w:tcPr>
          <w:p w14:paraId="1D8B2424" w14:textId="77777777" w:rsidR="006138C7" w:rsidRPr="000626A0" w:rsidRDefault="006138C7" w:rsidP="00954CEE">
            <w:pPr>
              <w:adjustRightInd w:val="0"/>
              <w:snapToGrid w:val="0"/>
              <w:spacing w:after="0" w:line="360" w:lineRule="auto"/>
              <w:jc w:val="both"/>
              <w:rPr>
                <w:rFonts w:ascii="Book Antiqua" w:hAnsi="Book Antiqua" w:cs="Times New Roman"/>
                <w:color w:val="000000" w:themeColor="text1"/>
                <w:sz w:val="24"/>
                <w:szCs w:val="24"/>
                <w:lang w:val="en-GB"/>
              </w:rPr>
            </w:pPr>
            <w:r w:rsidRPr="000626A0">
              <w:rPr>
                <w:rFonts w:ascii="Book Antiqua" w:hAnsi="Book Antiqua" w:cs="Times New Roman"/>
                <w:color w:val="000000" w:themeColor="text1"/>
                <w:sz w:val="24"/>
                <w:szCs w:val="24"/>
                <w:lang w:val="en-GB"/>
              </w:rPr>
              <w:t>Not determined</w:t>
            </w:r>
          </w:p>
        </w:tc>
        <w:tc>
          <w:tcPr>
            <w:tcW w:w="3291" w:type="dxa"/>
            <w:shd w:val="clear" w:color="auto" w:fill="auto"/>
          </w:tcPr>
          <w:p w14:paraId="7DF643B4" w14:textId="77777777" w:rsidR="006138C7" w:rsidRPr="000626A0" w:rsidRDefault="006138C7" w:rsidP="00954CEE">
            <w:pPr>
              <w:adjustRightInd w:val="0"/>
              <w:snapToGrid w:val="0"/>
              <w:spacing w:after="0" w:line="360" w:lineRule="auto"/>
              <w:jc w:val="both"/>
              <w:rPr>
                <w:rFonts w:ascii="Book Antiqua" w:hAnsi="Book Antiqua" w:cs="Times New Roman"/>
                <w:color w:val="000000" w:themeColor="text1"/>
                <w:sz w:val="24"/>
                <w:szCs w:val="24"/>
                <w:lang w:val="en-US"/>
              </w:rPr>
            </w:pPr>
            <w:r w:rsidRPr="000626A0">
              <w:rPr>
                <w:rFonts w:ascii="Book Antiqua" w:hAnsi="Book Antiqua" w:cs="Times New Roman"/>
                <w:color w:val="000000" w:themeColor="text1"/>
                <w:sz w:val="24"/>
                <w:szCs w:val="24"/>
                <w:lang w:val="en-US"/>
              </w:rPr>
              <w:t>Switch to a drug with a different mechanism of action</w:t>
            </w:r>
          </w:p>
        </w:tc>
      </w:tr>
    </w:tbl>
    <w:p w14:paraId="29EDD3D4" w14:textId="77777777" w:rsidR="000626A0" w:rsidRDefault="000626A0" w:rsidP="00954CEE">
      <w:pPr>
        <w:autoSpaceDE w:val="0"/>
        <w:autoSpaceDN w:val="0"/>
        <w:adjustRightInd w:val="0"/>
        <w:snapToGrid w:val="0"/>
        <w:spacing w:after="0" w:line="360" w:lineRule="auto"/>
        <w:jc w:val="both"/>
        <w:rPr>
          <w:rFonts w:ascii="Book Antiqua" w:hAnsi="Book Antiqua" w:cs="Book Antiqua"/>
          <w:sz w:val="24"/>
          <w:szCs w:val="24"/>
          <w:lang w:val="en-US" w:eastAsia="zh-CN"/>
        </w:rPr>
      </w:pPr>
    </w:p>
    <w:p w14:paraId="23E44781" w14:textId="6B142E6A" w:rsidR="000626A0" w:rsidRDefault="000626A0" w:rsidP="00954CEE">
      <w:pPr>
        <w:autoSpaceDE w:val="0"/>
        <w:autoSpaceDN w:val="0"/>
        <w:adjustRightInd w:val="0"/>
        <w:snapToGrid w:val="0"/>
        <w:spacing w:after="0" w:line="360" w:lineRule="auto"/>
        <w:jc w:val="both"/>
        <w:rPr>
          <w:rFonts w:ascii="Book Antiqua" w:hAnsi="Book Antiqua" w:cs="Book Antiqua"/>
          <w:sz w:val="24"/>
          <w:szCs w:val="24"/>
          <w:lang w:val="en-US" w:eastAsia="zh-CN"/>
        </w:rPr>
      </w:pPr>
      <w:r>
        <w:rPr>
          <w:rFonts w:ascii="Book Antiqua" w:hAnsi="Book Antiqua" w:cs="Book Antiqua"/>
          <w:sz w:val="24"/>
          <w:szCs w:val="24"/>
          <w:lang w:val="en-US" w:eastAsia="zh-CN"/>
        </w:rPr>
        <w:br w:type="page"/>
      </w:r>
    </w:p>
    <w:p w14:paraId="19F22EA9" w14:textId="28B0D87B" w:rsidR="006138C7" w:rsidRPr="000626A0" w:rsidRDefault="000626A0" w:rsidP="00954CEE">
      <w:pPr>
        <w:autoSpaceDE w:val="0"/>
        <w:autoSpaceDN w:val="0"/>
        <w:adjustRightInd w:val="0"/>
        <w:snapToGrid w:val="0"/>
        <w:spacing w:after="0" w:line="360" w:lineRule="auto"/>
        <w:jc w:val="both"/>
        <w:rPr>
          <w:rFonts w:ascii="Book Antiqua" w:hAnsi="Book Antiqua" w:cs="Book Antiqua"/>
          <w:b/>
          <w:sz w:val="24"/>
          <w:szCs w:val="24"/>
          <w:lang w:val="en-US"/>
        </w:rPr>
      </w:pPr>
      <w:r w:rsidRPr="000626A0">
        <w:rPr>
          <w:rFonts w:ascii="Book Antiqua" w:hAnsi="Book Antiqua" w:cs="Book Antiqua"/>
          <w:b/>
          <w:sz w:val="24"/>
          <w:szCs w:val="24"/>
          <w:lang w:val="en-US"/>
        </w:rPr>
        <w:lastRenderedPageBreak/>
        <w:t>Table 7</w:t>
      </w:r>
      <w:r w:rsidRPr="000626A0">
        <w:rPr>
          <w:rFonts w:ascii="Book Antiqua" w:hAnsi="Book Antiqua" w:cs="Book Antiqua" w:hint="eastAsia"/>
          <w:b/>
          <w:sz w:val="24"/>
          <w:szCs w:val="24"/>
          <w:lang w:val="en-US" w:eastAsia="zh-CN"/>
        </w:rPr>
        <w:t xml:space="preserve"> </w:t>
      </w:r>
      <w:r w:rsidR="006138C7" w:rsidRPr="000626A0">
        <w:rPr>
          <w:rFonts w:ascii="Book Antiqua" w:hAnsi="Book Antiqua" w:cs="Book Antiqua"/>
          <w:b/>
          <w:sz w:val="24"/>
          <w:szCs w:val="24"/>
          <w:lang w:val="en-US"/>
        </w:rPr>
        <w:t>Treatment with herbal remedies</w:t>
      </w:r>
    </w:p>
    <w:tbl>
      <w:tblPr>
        <w:tblpPr w:leftFromText="141" w:rightFromText="141" w:vertAnchor="text" w:horzAnchor="margin" w:tblpY="116"/>
        <w:tblW w:w="9354" w:type="dxa"/>
        <w:tblBorders>
          <w:top w:val="single" w:sz="8" w:space="0" w:color="000000" w:themeColor="text1"/>
          <w:bottom w:val="single" w:sz="8" w:space="0" w:color="000000" w:themeColor="text1"/>
        </w:tblBorders>
        <w:tblLook w:val="00A0" w:firstRow="1" w:lastRow="0" w:firstColumn="1" w:lastColumn="0" w:noHBand="0" w:noVBand="0"/>
      </w:tblPr>
      <w:tblGrid>
        <w:gridCol w:w="1350"/>
        <w:gridCol w:w="576"/>
        <w:gridCol w:w="1654"/>
        <w:gridCol w:w="1817"/>
        <w:gridCol w:w="1587"/>
        <w:gridCol w:w="2370"/>
      </w:tblGrid>
      <w:tr w:rsidR="006138C7" w:rsidRPr="000626A0" w14:paraId="44A124A9" w14:textId="77777777" w:rsidTr="000626A0">
        <w:trPr>
          <w:trHeight w:val="693"/>
        </w:trPr>
        <w:tc>
          <w:tcPr>
            <w:tcW w:w="1350" w:type="dxa"/>
            <w:tcBorders>
              <w:top w:val="single" w:sz="8" w:space="0" w:color="000000" w:themeColor="text1"/>
              <w:bottom w:val="single" w:sz="8" w:space="0" w:color="000000" w:themeColor="text1"/>
            </w:tcBorders>
          </w:tcPr>
          <w:p w14:paraId="7AF4B8F9" w14:textId="77777777" w:rsidR="006138C7" w:rsidRPr="000626A0" w:rsidRDefault="006138C7" w:rsidP="00954CEE">
            <w:pPr>
              <w:autoSpaceDE w:val="0"/>
              <w:autoSpaceDN w:val="0"/>
              <w:adjustRightInd w:val="0"/>
              <w:snapToGrid w:val="0"/>
              <w:spacing w:after="0" w:line="360" w:lineRule="auto"/>
              <w:jc w:val="both"/>
              <w:rPr>
                <w:rFonts w:ascii="Book Antiqua" w:hAnsi="Book Antiqua" w:cs="Book Antiqua"/>
                <w:b/>
                <w:sz w:val="24"/>
                <w:szCs w:val="24"/>
              </w:rPr>
            </w:pPr>
            <w:r w:rsidRPr="000626A0">
              <w:rPr>
                <w:rFonts w:ascii="Book Antiqua" w:hAnsi="Book Antiqua" w:cs="Book Antiqua"/>
                <w:b/>
                <w:sz w:val="24"/>
                <w:szCs w:val="24"/>
              </w:rPr>
              <w:t>Author</w:t>
            </w:r>
          </w:p>
        </w:tc>
        <w:tc>
          <w:tcPr>
            <w:tcW w:w="576" w:type="dxa"/>
            <w:tcBorders>
              <w:top w:val="single" w:sz="8" w:space="0" w:color="000000" w:themeColor="text1"/>
              <w:bottom w:val="single" w:sz="8" w:space="0" w:color="000000" w:themeColor="text1"/>
            </w:tcBorders>
          </w:tcPr>
          <w:p w14:paraId="19690F69" w14:textId="40D240B5" w:rsidR="006138C7" w:rsidRPr="000626A0" w:rsidRDefault="000626A0" w:rsidP="00954CEE">
            <w:pPr>
              <w:autoSpaceDE w:val="0"/>
              <w:autoSpaceDN w:val="0"/>
              <w:adjustRightInd w:val="0"/>
              <w:snapToGrid w:val="0"/>
              <w:spacing w:after="0" w:line="360" w:lineRule="auto"/>
              <w:jc w:val="both"/>
              <w:rPr>
                <w:rFonts w:ascii="Book Antiqua" w:hAnsi="Book Antiqua" w:cs="Book Antiqua"/>
                <w:b/>
                <w:i/>
                <w:sz w:val="24"/>
                <w:szCs w:val="24"/>
              </w:rPr>
            </w:pPr>
            <w:r w:rsidRPr="000626A0">
              <w:rPr>
                <w:rFonts w:ascii="Book Antiqua" w:hAnsi="Book Antiqua" w:cs="Book Antiqua"/>
                <w:b/>
                <w:i/>
                <w:sz w:val="24"/>
                <w:szCs w:val="24"/>
              </w:rPr>
              <w:t>n</w:t>
            </w:r>
          </w:p>
        </w:tc>
        <w:tc>
          <w:tcPr>
            <w:tcW w:w="1654" w:type="dxa"/>
            <w:tcBorders>
              <w:top w:val="single" w:sz="8" w:space="0" w:color="000000" w:themeColor="text1"/>
              <w:bottom w:val="single" w:sz="8" w:space="0" w:color="000000" w:themeColor="text1"/>
            </w:tcBorders>
          </w:tcPr>
          <w:p w14:paraId="6E80F8CC" w14:textId="77777777" w:rsidR="006138C7" w:rsidRPr="000626A0" w:rsidRDefault="006138C7" w:rsidP="00954CEE">
            <w:pPr>
              <w:autoSpaceDE w:val="0"/>
              <w:autoSpaceDN w:val="0"/>
              <w:adjustRightInd w:val="0"/>
              <w:snapToGrid w:val="0"/>
              <w:spacing w:after="0" w:line="360" w:lineRule="auto"/>
              <w:jc w:val="both"/>
              <w:rPr>
                <w:rFonts w:ascii="Book Antiqua" w:hAnsi="Book Antiqua" w:cs="Book Antiqua"/>
                <w:b/>
                <w:sz w:val="24"/>
                <w:szCs w:val="24"/>
              </w:rPr>
            </w:pPr>
            <w:r w:rsidRPr="000626A0">
              <w:rPr>
                <w:rFonts w:ascii="Book Antiqua" w:hAnsi="Book Antiqua" w:cs="Book Antiqua"/>
                <w:b/>
                <w:sz w:val="24"/>
                <w:szCs w:val="24"/>
              </w:rPr>
              <w:t>Producto</w:t>
            </w:r>
          </w:p>
        </w:tc>
        <w:tc>
          <w:tcPr>
            <w:tcW w:w="1817" w:type="dxa"/>
            <w:tcBorders>
              <w:top w:val="single" w:sz="8" w:space="0" w:color="000000" w:themeColor="text1"/>
              <w:bottom w:val="single" w:sz="8" w:space="0" w:color="000000" w:themeColor="text1"/>
            </w:tcBorders>
          </w:tcPr>
          <w:p w14:paraId="64D59927" w14:textId="77777777" w:rsidR="006138C7" w:rsidRPr="000626A0" w:rsidRDefault="006138C7" w:rsidP="00954CEE">
            <w:pPr>
              <w:autoSpaceDE w:val="0"/>
              <w:autoSpaceDN w:val="0"/>
              <w:adjustRightInd w:val="0"/>
              <w:snapToGrid w:val="0"/>
              <w:spacing w:after="0" w:line="360" w:lineRule="auto"/>
              <w:jc w:val="both"/>
              <w:rPr>
                <w:rFonts w:ascii="Book Antiqua" w:hAnsi="Book Antiqua" w:cs="Book Antiqua"/>
                <w:b/>
                <w:sz w:val="24"/>
                <w:szCs w:val="24"/>
              </w:rPr>
            </w:pPr>
            <w:r w:rsidRPr="000626A0">
              <w:rPr>
                <w:rFonts w:ascii="Book Antiqua" w:hAnsi="Book Antiqua" w:cs="Book Antiqua"/>
                <w:b/>
                <w:sz w:val="24"/>
                <w:szCs w:val="24"/>
              </w:rPr>
              <w:t>Comparador</w:t>
            </w:r>
          </w:p>
        </w:tc>
        <w:tc>
          <w:tcPr>
            <w:tcW w:w="1587" w:type="dxa"/>
            <w:tcBorders>
              <w:top w:val="single" w:sz="8" w:space="0" w:color="000000" w:themeColor="text1"/>
              <w:bottom w:val="single" w:sz="8" w:space="0" w:color="000000" w:themeColor="text1"/>
            </w:tcBorders>
          </w:tcPr>
          <w:p w14:paraId="71614E7F" w14:textId="77777777" w:rsidR="006138C7" w:rsidRPr="000626A0" w:rsidRDefault="006138C7" w:rsidP="00954CEE">
            <w:pPr>
              <w:autoSpaceDE w:val="0"/>
              <w:autoSpaceDN w:val="0"/>
              <w:adjustRightInd w:val="0"/>
              <w:snapToGrid w:val="0"/>
              <w:spacing w:after="0" w:line="360" w:lineRule="auto"/>
              <w:jc w:val="both"/>
              <w:rPr>
                <w:rFonts w:ascii="Book Antiqua" w:hAnsi="Book Antiqua" w:cs="Book Antiqua"/>
                <w:b/>
                <w:sz w:val="24"/>
                <w:szCs w:val="24"/>
              </w:rPr>
            </w:pPr>
            <w:r w:rsidRPr="000626A0">
              <w:rPr>
                <w:rFonts w:ascii="Book Antiqua" w:hAnsi="Book Antiqua" w:cs="Book Antiqua"/>
                <w:b/>
                <w:sz w:val="24"/>
                <w:szCs w:val="24"/>
              </w:rPr>
              <w:t xml:space="preserve">Indicación </w:t>
            </w:r>
          </w:p>
        </w:tc>
        <w:tc>
          <w:tcPr>
            <w:tcW w:w="2370" w:type="dxa"/>
            <w:tcBorders>
              <w:top w:val="single" w:sz="8" w:space="0" w:color="000000" w:themeColor="text1"/>
              <w:bottom w:val="single" w:sz="8" w:space="0" w:color="000000" w:themeColor="text1"/>
            </w:tcBorders>
          </w:tcPr>
          <w:p w14:paraId="3D0D5C77" w14:textId="440C13D9" w:rsidR="006138C7" w:rsidRPr="000626A0" w:rsidRDefault="006138C7" w:rsidP="00954CEE">
            <w:pPr>
              <w:autoSpaceDE w:val="0"/>
              <w:autoSpaceDN w:val="0"/>
              <w:adjustRightInd w:val="0"/>
              <w:snapToGrid w:val="0"/>
              <w:spacing w:after="0" w:line="360" w:lineRule="auto"/>
              <w:jc w:val="both"/>
              <w:rPr>
                <w:rFonts w:ascii="Book Antiqua" w:hAnsi="Book Antiqua" w:cs="Book Antiqua"/>
                <w:b/>
                <w:sz w:val="24"/>
                <w:szCs w:val="24"/>
              </w:rPr>
            </w:pPr>
            <w:r w:rsidRPr="000626A0">
              <w:rPr>
                <w:rFonts w:ascii="Book Antiqua" w:hAnsi="Book Antiqua" w:cs="Book Antiqua"/>
                <w:b/>
                <w:sz w:val="24"/>
                <w:szCs w:val="24"/>
              </w:rPr>
              <w:t>Remisión/</w:t>
            </w:r>
            <w:r w:rsidR="000626A0" w:rsidRPr="000626A0">
              <w:rPr>
                <w:rFonts w:ascii="Book Antiqua" w:hAnsi="Book Antiqua" w:cs="Book Antiqua"/>
                <w:b/>
                <w:sz w:val="24"/>
                <w:szCs w:val="24"/>
              </w:rPr>
              <w:t>r</w:t>
            </w:r>
            <w:r w:rsidRPr="000626A0">
              <w:rPr>
                <w:rFonts w:ascii="Book Antiqua" w:hAnsi="Book Antiqua" w:cs="Book Antiqua"/>
                <w:b/>
                <w:sz w:val="24"/>
                <w:szCs w:val="24"/>
              </w:rPr>
              <w:t xml:space="preserve">esponse herbal </w:t>
            </w:r>
            <w:r w:rsidR="0020336D" w:rsidRPr="000626A0">
              <w:rPr>
                <w:rFonts w:ascii="Book Antiqua" w:hAnsi="Book Antiqua" w:cs="Book Antiqua"/>
                <w:b/>
                <w:i/>
                <w:sz w:val="24"/>
                <w:szCs w:val="24"/>
              </w:rPr>
              <w:t>vs</w:t>
            </w:r>
            <w:r w:rsidRPr="000626A0">
              <w:rPr>
                <w:rFonts w:ascii="Book Antiqua" w:hAnsi="Book Antiqua" w:cs="Book Antiqua"/>
                <w:b/>
                <w:sz w:val="24"/>
                <w:szCs w:val="24"/>
              </w:rPr>
              <w:t xml:space="preserve"> PB or drug (%)</w:t>
            </w:r>
          </w:p>
        </w:tc>
      </w:tr>
      <w:tr w:rsidR="006138C7" w:rsidRPr="00390EBD" w14:paraId="2BF94169" w14:textId="77777777" w:rsidTr="000626A0">
        <w:tc>
          <w:tcPr>
            <w:tcW w:w="1350" w:type="dxa"/>
            <w:tcBorders>
              <w:top w:val="single" w:sz="8" w:space="0" w:color="000000" w:themeColor="text1"/>
            </w:tcBorders>
          </w:tcPr>
          <w:p w14:paraId="750842A7"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Langmead</w:t>
            </w:r>
          </w:p>
        </w:tc>
        <w:tc>
          <w:tcPr>
            <w:tcW w:w="576" w:type="dxa"/>
            <w:tcBorders>
              <w:top w:val="single" w:sz="8" w:space="0" w:color="000000" w:themeColor="text1"/>
            </w:tcBorders>
          </w:tcPr>
          <w:p w14:paraId="58F20A03"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44</w:t>
            </w:r>
          </w:p>
        </w:tc>
        <w:tc>
          <w:tcPr>
            <w:tcW w:w="1654" w:type="dxa"/>
            <w:tcBorders>
              <w:top w:val="single" w:sz="8" w:space="0" w:color="000000" w:themeColor="text1"/>
            </w:tcBorders>
          </w:tcPr>
          <w:p w14:paraId="5876ECFB"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Aloe vera</w:t>
            </w:r>
          </w:p>
        </w:tc>
        <w:tc>
          <w:tcPr>
            <w:tcW w:w="1817" w:type="dxa"/>
            <w:tcBorders>
              <w:top w:val="single" w:sz="8" w:space="0" w:color="000000" w:themeColor="text1"/>
            </w:tcBorders>
          </w:tcPr>
          <w:p w14:paraId="656E357E"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Placebo</w:t>
            </w:r>
          </w:p>
        </w:tc>
        <w:tc>
          <w:tcPr>
            <w:tcW w:w="1587" w:type="dxa"/>
            <w:tcBorders>
              <w:top w:val="single" w:sz="8" w:space="0" w:color="000000" w:themeColor="text1"/>
            </w:tcBorders>
          </w:tcPr>
          <w:p w14:paraId="50071A95"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Induction remission CU</w:t>
            </w:r>
          </w:p>
        </w:tc>
        <w:tc>
          <w:tcPr>
            <w:tcW w:w="2370" w:type="dxa"/>
            <w:tcBorders>
              <w:top w:val="single" w:sz="8" w:space="0" w:color="000000" w:themeColor="text1"/>
            </w:tcBorders>
          </w:tcPr>
          <w:p w14:paraId="3B93B0FA" w14:textId="140CB888"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 xml:space="preserve">30 </w:t>
            </w:r>
            <w:r w:rsidR="0020336D" w:rsidRPr="0020336D">
              <w:rPr>
                <w:rFonts w:ascii="Book Antiqua" w:hAnsi="Book Antiqua" w:cs="Book Antiqua"/>
                <w:i/>
                <w:sz w:val="24"/>
                <w:szCs w:val="24"/>
              </w:rPr>
              <w:t>vs</w:t>
            </w:r>
            <w:r w:rsidRPr="00390EBD">
              <w:rPr>
                <w:rFonts w:ascii="Book Antiqua" w:hAnsi="Book Antiqua" w:cs="Book Antiqua"/>
                <w:sz w:val="24"/>
                <w:szCs w:val="24"/>
              </w:rPr>
              <w:t xml:space="preserve"> 7</w:t>
            </w:r>
          </w:p>
        </w:tc>
      </w:tr>
      <w:tr w:rsidR="006138C7" w:rsidRPr="00390EBD" w14:paraId="34736380" w14:textId="77777777" w:rsidTr="000626A0">
        <w:tc>
          <w:tcPr>
            <w:tcW w:w="1350" w:type="dxa"/>
          </w:tcPr>
          <w:p w14:paraId="144F23C7"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Ben-Arye</w:t>
            </w:r>
          </w:p>
        </w:tc>
        <w:tc>
          <w:tcPr>
            <w:tcW w:w="576" w:type="dxa"/>
          </w:tcPr>
          <w:p w14:paraId="3B1C3979"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23</w:t>
            </w:r>
          </w:p>
        </w:tc>
        <w:tc>
          <w:tcPr>
            <w:tcW w:w="1654" w:type="dxa"/>
          </w:tcPr>
          <w:p w14:paraId="44D5A8EE"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Triticum aestivum</w:t>
            </w:r>
          </w:p>
        </w:tc>
        <w:tc>
          <w:tcPr>
            <w:tcW w:w="1817" w:type="dxa"/>
          </w:tcPr>
          <w:p w14:paraId="53BE815C"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Placebo</w:t>
            </w:r>
          </w:p>
        </w:tc>
        <w:tc>
          <w:tcPr>
            <w:tcW w:w="1587" w:type="dxa"/>
          </w:tcPr>
          <w:p w14:paraId="4E758A87"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Induction remission CU</w:t>
            </w:r>
          </w:p>
        </w:tc>
        <w:tc>
          <w:tcPr>
            <w:tcW w:w="2370" w:type="dxa"/>
          </w:tcPr>
          <w:p w14:paraId="0E502A4C" w14:textId="4A8EF9CC"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 xml:space="preserve">91 </w:t>
            </w:r>
            <w:r w:rsidR="0020336D" w:rsidRPr="0020336D">
              <w:rPr>
                <w:rFonts w:ascii="Book Antiqua" w:hAnsi="Book Antiqua" w:cs="Book Antiqua"/>
                <w:i/>
                <w:sz w:val="24"/>
                <w:szCs w:val="24"/>
              </w:rPr>
              <w:t>vs</w:t>
            </w:r>
            <w:r w:rsidRPr="00390EBD">
              <w:rPr>
                <w:rFonts w:ascii="Book Antiqua" w:hAnsi="Book Antiqua" w:cs="Book Antiqua"/>
                <w:sz w:val="24"/>
                <w:szCs w:val="24"/>
              </w:rPr>
              <w:t xml:space="preserve"> 42</w:t>
            </w:r>
          </w:p>
        </w:tc>
      </w:tr>
      <w:tr w:rsidR="006138C7" w:rsidRPr="00390EBD" w14:paraId="15B37ABA" w14:textId="77777777" w:rsidTr="000626A0">
        <w:tc>
          <w:tcPr>
            <w:tcW w:w="1350" w:type="dxa"/>
          </w:tcPr>
          <w:p w14:paraId="49BD00B0"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Khan</w:t>
            </w:r>
          </w:p>
        </w:tc>
        <w:tc>
          <w:tcPr>
            <w:tcW w:w="576" w:type="dxa"/>
          </w:tcPr>
          <w:p w14:paraId="72D03BF2"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14</w:t>
            </w:r>
          </w:p>
        </w:tc>
        <w:tc>
          <w:tcPr>
            <w:tcW w:w="1654" w:type="dxa"/>
          </w:tcPr>
          <w:p w14:paraId="3998B537"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Bovine colostrum enema</w:t>
            </w:r>
          </w:p>
        </w:tc>
        <w:tc>
          <w:tcPr>
            <w:tcW w:w="1817" w:type="dxa"/>
          </w:tcPr>
          <w:p w14:paraId="326CD406"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Placebo</w:t>
            </w:r>
          </w:p>
        </w:tc>
        <w:tc>
          <w:tcPr>
            <w:tcW w:w="1587" w:type="dxa"/>
          </w:tcPr>
          <w:p w14:paraId="140ECA3E"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Induction remission CU</w:t>
            </w:r>
          </w:p>
        </w:tc>
        <w:tc>
          <w:tcPr>
            <w:tcW w:w="2370" w:type="dxa"/>
          </w:tcPr>
          <w:p w14:paraId="16715AC2"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p>
        </w:tc>
      </w:tr>
      <w:tr w:rsidR="006138C7" w:rsidRPr="00390EBD" w14:paraId="6AF14E93" w14:textId="77777777" w:rsidTr="000626A0">
        <w:tc>
          <w:tcPr>
            <w:tcW w:w="1350" w:type="dxa"/>
          </w:tcPr>
          <w:p w14:paraId="2177F888"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Sandborn</w:t>
            </w:r>
          </w:p>
        </w:tc>
        <w:tc>
          <w:tcPr>
            <w:tcW w:w="576" w:type="dxa"/>
          </w:tcPr>
          <w:p w14:paraId="12862D69"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224</w:t>
            </w:r>
          </w:p>
        </w:tc>
        <w:tc>
          <w:tcPr>
            <w:tcW w:w="1654" w:type="dxa"/>
          </w:tcPr>
          <w:p w14:paraId="4088CADE"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HMPL-004</w:t>
            </w:r>
          </w:p>
        </w:tc>
        <w:tc>
          <w:tcPr>
            <w:tcW w:w="1817" w:type="dxa"/>
          </w:tcPr>
          <w:p w14:paraId="5ADB898D"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Placebo</w:t>
            </w:r>
          </w:p>
        </w:tc>
        <w:tc>
          <w:tcPr>
            <w:tcW w:w="1587" w:type="dxa"/>
          </w:tcPr>
          <w:p w14:paraId="3338DD6F"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Induction remission CU</w:t>
            </w:r>
          </w:p>
        </w:tc>
        <w:tc>
          <w:tcPr>
            <w:tcW w:w="2370" w:type="dxa"/>
          </w:tcPr>
          <w:p w14:paraId="2793C4CA" w14:textId="4B42F833"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 xml:space="preserve">38/60 </w:t>
            </w:r>
            <w:r w:rsidR="0020336D" w:rsidRPr="0020336D">
              <w:rPr>
                <w:rFonts w:ascii="Book Antiqua" w:hAnsi="Book Antiqua" w:cs="Book Antiqua"/>
                <w:i/>
                <w:sz w:val="24"/>
                <w:szCs w:val="24"/>
              </w:rPr>
              <w:t>vs</w:t>
            </w:r>
            <w:r w:rsidRPr="00390EBD">
              <w:rPr>
                <w:rFonts w:ascii="Book Antiqua" w:hAnsi="Book Antiqua" w:cs="Book Antiqua"/>
                <w:sz w:val="24"/>
                <w:szCs w:val="24"/>
              </w:rPr>
              <w:t xml:space="preserve"> 25/40</w:t>
            </w:r>
          </w:p>
        </w:tc>
      </w:tr>
      <w:tr w:rsidR="006138C7" w:rsidRPr="00390EBD" w14:paraId="1CFDC126" w14:textId="77777777" w:rsidTr="000626A0">
        <w:tc>
          <w:tcPr>
            <w:tcW w:w="1350" w:type="dxa"/>
          </w:tcPr>
          <w:p w14:paraId="46604B66"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Fukunaga</w:t>
            </w:r>
          </w:p>
        </w:tc>
        <w:tc>
          <w:tcPr>
            <w:tcW w:w="576" w:type="dxa"/>
          </w:tcPr>
          <w:p w14:paraId="77395467"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30</w:t>
            </w:r>
          </w:p>
        </w:tc>
        <w:tc>
          <w:tcPr>
            <w:tcW w:w="1654" w:type="dxa"/>
          </w:tcPr>
          <w:p w14:paraId="6D67F724"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Xilei-san suppository</w:t>
            </w:r>
          </w:p>
        </w:tc>
        <w:tc>
          <w:tcPr>
            <w:tcW w:w="1817" w:type="dxa"/>
          </w:tcPr>
          <w:p w14:paraId="48810681"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Placebo</w:t>
            </w:r>
          </w:p>
        </w:tc>
        <w:tc>
          <w:tcPr>
            <w:tcW w:w="1587" w:type="dxa"/>
          </w:tcPr>
          <w:p w14:paraId="18E36865"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Induction remission CU</w:t>
            </w:r>
          </w:p>
        </w:tc>
        <w:tc>
          <w:tcPr>
            <w:tcW w:w="2370" w:type="dxa"/>
          </w:tcPr>
          <w:p w14:paraId="6728A2E3" w14:textId="0C328E3B"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 xml:space="preserve">46 </w:t>
            </w:r>
            <w:r w:rsidR="0020336D" w:rsidRPr="0020336D">
              <w:rPr>
                <w:rFonts w:ascii="Book Antiqua" w:hAnsi="Book Antiqua" w:cs="Book Antiqua"/>
                <w:i/>
                <w:sz w:val="24"/>
                <w:szCs w:val="24"/>
              </w:rPr>
              <w:t>vs</w:t>
            </w:r>
            <w:r w:rsidRPr="00390EBD">
              <w:rPr>
                <w:rFonts w:ascii="Book Antiqua" w:hAnsi="Book Antiqua" w:cs="Book Antiqua"/>
                <w:sz w:val="24"/>
                <w:szCs w:val="24"/>
              </w:rPr>
              <w:t xml:space="preserve"> 0</w:t>
            </w:r>
          </w:p>
        </w:tc>
      </w:tr>
      <w:tr w:rsidR="006138C7" w:rsidRPr="00390EBD" w14:paraId="44DA12CE" w14:textId="77777777" w:rsidTr="000626A0">
        <w:tc>
          <w:tcPr>
            <w:tcW w:w="1350" w:type="dxa"/>
          </w:tcPr>
          <w:p w14:paraId="4DE78ABF"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Zhang</w:t>
            </w:r>
          </w:p>
        </w:tc>
        <w:tc>
          <w:tcPr>
            <w:tcW w:w="576" w:type="dxa"/>
          </w:tcPr>
          <w:p w14:paraId="46C2A737"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35</w:t>
            </w:r>
          </w:p>
        </w:tc>
        <w:tc>
          <w:tcPr>
            <w:tcW w:w="1654" w:type="dxa"/>
          </w:tcPr>
          <w:p w14:paraId="3495BD0D"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XIlei-san enema</w:t>
            </w:r>
          </w:p>
        </w:tc>
        <w:tc>
          <w:tcPr>
            <w:tcW w:w="1817" w:type="dxa"/>
          </w:tcPr>
          <w:p w14:paraId="6F826DEB"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Enema dexametasona</w:t>
            </w:r>
          </w:p>
        </w:tc>
        <w:tc>
          <w:tcPr>
            <w:tcW w:w="1587" w:type="dxa"/>
          </w:tcPr>
          <w:p w14:paraId="79BFB42C"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Induction remission CU</w:t>
            </w:r>
          </w:p>
        </w:tc>
        <w:tc>
          <w:tcPr>
            <w:tcW w:w="2370" w:type="dxa"/>
          </w:tcPr>
          <w:p w14:paraId="4A6FFA17"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p>
        </w:tc>
      </w:tr>
      <w:tr w:rsidR="006138C7" w:rsidRPr="00390EBD" w14:paraId="62C490D7" w14:textId="77777777" w:rsidTr="000626A0">
        <w:tc>
          <w:tcPr>
            <w:tcW w:w="1350" w:type="dxa"/>
          </w:tcPr>
          <w:p w14:paraId="7D10497D"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Tang</w:t>
            </w:r>
          </w:p>
        </w:tc>
        <w:tc>
          <w:tcPr>
            <w:tcW w:w="576" w:type="dxa"/>
          </w:tcPr>
          <w:p w14:paraId="74E04CBF"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120</w:t>
            </w:r>
          </w:p>
        </w:tc>
        <w:tc>
          <w:tcPr>
            <w:tcW w:w="1654" w:type="dxa"/>
          </w:tcPr>
          <w:p w14:paraId="5BED43D4"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HMPL-004</w:t>
            </w:r>
          </w:p>
        </w:tc>
        <w:tc>
          <w:tcPr>
            <w:tcW w:w="1817" w:type="dxa"/>
          </w:tcPr>
          <w:p w14:paraId="38501361"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Mesalazina</w:t>
            </w:r>
          </w:p>
        </w:tc>
        <w:tc>
          <w:tcPr>
            <w:tcW w:w="1587" w:type="dxa"/>
          </w:tcPr>
          <w:p w14:paraId="73043146"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Induction remission CU</w:t>
            </w:r>
          </w:p>
        </w:tc>
        <w:tc>
          <w:tcPr>
            <w:tcW w:w="2370" w:type="dxa"/>
          </w:tcPr>
          <w:p w14:paraId="02E33DC0" w14:textId="7CDB3E41"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 xml:space="preserve">21 </w:t>
            </w:r>
            <w:r w:rsidR="0020336D" w:rsidRPr="0020336D">
              <w:rPr>
                <w:rFonts w:ascii="Book Antiqua" w:hAnsi="Book Antiqua" w:cs="Book Antiqua"/>
                <w:i/>
                <w:sz w:val="24"/>
                <w:szCs w:val="24"/>
              </w:rPr>
              <w:t>vs</w:t>
            </w:r>
            <w:r w:rsidRPr="00390EBD">
              <w:rPr>
                <w:rFonts w:ascii="Book Antiqua" w:hAnsi="Book Antiqua" w:cs="Book Antiqua"/>
                <w:sz w:val="24"/>
                <w:szCs w:val="24"/>
              </w:rPr>
              <w:t xml:space="preserve"> 16</w:t>
            </w:r>
          </w:p>
        </w:tc>
      </w:tr>
      <w:tr w:rsidR="006138C7" w:rsidRPr="00390EBD" w14:paraId="5591C827" w14:textId="77777777" w:rsidTr="000626A0">
        <w:tc>
          <w:tcPr>
            <w:tcW w:w="1350" w:type="dxa"/>
          </w:tcPr>
          <w:p w14:paraId="29F57AC0"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Gupta</w:t>
            </w:r>
          </w:p>
        </w:tc>
        <w:tc>
          <w:tcPr>
            <w:tcW w:w="576" w:type="dxa"/>
          </w:tcPr>
          <w:p w14:paraId="4972DEC8"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30</w:t>
            </w:r>
          </w:p>
        </w:tc>
        <w:tc>
          <w:tcPr>
            <w:tcW w:w="1654" w:type="dxa"/>
          </w:tcPr>
          <w:p w14:paraId="56D97FFD"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Boswellia serrata</w:t>
            </w:r>
          </w:p>
        </w:tc>
        <w:tc>
          <w:tcPr>
            <w:tcW w:w="1817" w:type="dxa"/>
          </w:tcPr>
          <w:p w14:paraId="710FE4E0"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Sulfasalazina</w:t>
            </w:r>
          </w:p>
        </w:tc>
        <w:tc>
          <w:tcPr>
            <w:tcW w:w="1587" w:type="dxa"/>
          </w:tcPr>
          <w:p w14:paraId="09CC48A9"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Induction remission CU</w:t>
            </w:r>
          </w:p>
        </w:tc>
        <w:tc>
          <w:tcPr>
            <w:tcW w:w="2370" w:type="dxa"/>
          </w:tcPr>
          <w:p w14:paraId="7D0C226E" w14:textId="7719351B"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 xml:space="preserve">70 </w:t>
            </w:r>
            <w:r w:rsidR="0020336D" w:rsidRPr="0020336D">
              <w:rPr>
                <w:rFonts w:ascii="Book Antiqua" w:hAnsi="Book Antiqua" w:cs="Book Antiqua"/>
                <w:i/>
                <w:sz w:val="24"/>
                <w:szCs w:val="24"/>
              </w:rPr>
              <w:t>vs</w:t>
            </w:r>
            <w:r w:rsidRPr="00390EBD">
              <w:rPr>
                <w:rFonts w:ascii="Book Antiqua" w:hAnsi="Book Antiqua" w:cs="Book Antiqua"/>
                <w:sz w:val="24"/>
                <w:szCs w:val="24"/>
              </w:rPr>
              <w:t xml:space="preserve"> 40</w:t>
            </w:r>
          </w:p>
        </w:tc>
      </w:tr>
      <w:tr w:rsidR="006138C7" w:rsidRPr="00390EBD" w14:paraId="0A3408A6" w14:textId="77777777" w:rsidTr="000626A0">
        <w:tc>
          <w:tcPr>
            <w:tcW w:w="1350" w:type="dxa"/>
          </w:tcPr>
          <w:p w14:paraId="54B8531D"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Cheng</w:t>
            </w:r>
          </w:p>
        </w:tc>
        <w:tc>
          <w:tcPr>
            <w:tcW w:w="576" w:type="dxa"/>
          </w:tcPr>
          <w:p w14:paraId="3E595C4C"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153</w:t>
            </w:r>
          </w:p>
        </w:tc>
        <w:tc>
          <w:tcPr>
            <w:tcW w:w="1654" w:type="dxa"/>
          </w:tcPr>
          <w:p w14:paraId="0536A482"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Jian Pi Ling tablet</w:t>
            </w:r>
          </w:p>
        </w:tc>
        <w:tc>
          <w:tcPr>
            <w:tcW w:w="1817" w:type="dxa"/>
          </w:tcPr>
          <w:p w14:paraId="1C51BAFD"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Sulfasalazina</w:t>
            </w:r>
          </w:p>
          <w:p w14:paraId="067F3263"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Placebo</w:t>
            </w:r>
          </w:p>
        </w:tc>
        <w:tc>
          <w:tcPr>
            <w:tcW w:w="1587" w:type="dxa"/>
          </w:tcPr>
          <w:p w14:paraId="58BCB576"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Induction remission CU</w:t>
            </w:r>
          </w:p>
        </w:tc>
        <w:tc>
          <w:tcPr>
            <w:tcW w:w="2370" w:type="dxa"/>
          </w:tcPr>
          <w:p w14:paraId="5A8A643B" w14:textId="2200B40C"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 xml:space="preserve">53 </w:t>
            </w:r>
            <w:r w:rsidR="0020336D" w:rsidRPr="0020336D">
              <w:rPr>
                <w:rFonts w:ascii="Book Antiqua" w:hAnsi="Book Antiqua" w:cs="Book Antiqua"/>
                <w:i/>
                <w:sz w:val="24"/>
                <w:szCs w:val="24"/>
              </w:rPr>
              <w:t>vs</w:t>
            </w:r>
            <w:r w:rsidRPr="00390EBD">
              <w:rPr>
                <w:rFonts w:ascii="Book Antiqua" w:hAnsi="Book Antiqua" w:cs="Book Antiqua"/>
                <w:sz w:val="24"/>
                <w:szCs w:val="24"/>
              </w:rPr>
              <w:t xml:space="preserve"> 28/19</w:t>
            </w:r>
          </w:p>
        </w:tc>
      </w:tr>
      <w:tr w:rsidR="006138C7" w:rsidRPr="00390EBD" w14:paraId="5B8061B8" w14:textId="77777777" w:rsidTr="000626A0">
        <w:tc>
          <w:tcPr>
            <w:tcW w:w="1350" w:type="dxa"/>
          </w:tcPr>
          <w:p w14:paraId="093C7A49"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lastRenderedPageBreak/>
              <w:t>Wang</w:t>
            </w:r>
          </w:p>
        </w:tc>
        <w:tc>
          <w:tcPr>
            <w:tcW w:w="576" w:type="dxa"/>
          </w:tcPr>
          <w:p w14:paraId="702BFBE9"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106</w:t>
            </w:r>
          </w:p>
        </w:tc>
        <w:tc>
          <w:tcPr>
            <w:tcW w:w="1654" w:type="dxa"/>
          </w:tcPr>
          <w:p w14:paraId="626C1F17"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Kui Jie Quing enemas</w:t>
            </w:r>
          </w:p>
        </w:tc>
        <w:tc>
          <w:tcPr>
            <w:tcW w:w="1817" w:type="dxa"/>
          </w:tcPr>
          <w:p w14:paraId="68F1A286"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Sulfasalazina</w:t>
            </w:r>
          </w:p>
          <w:p w14:paraId="18F4E179"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Prednisolona</w:t>
            </w:r>
          </w:p>
        </w:tc>
        <w:tc>
          <w:tcPr>
            <w:tcW w:w="1587" w:type="dxa"/>
          </w:tcPr>
          <w:p w14:paraId="057A9CED"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Induction remission CU</w:t>
            </w:r>
          </w:p>
        </w:tc>
        <w:tc>
          <w:tcPr>
            <w:tcW w:w="2370" w:type="dxa"/>
          </w:tcPr>
          <w:p w14:paraId="4BE2EBE4" w14:textId="19ED3838"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 xml:space="preserve">72 </w:t>
            </w:r>
            <w:r w:rsidR="0020336D" w:rsidRPr="0020336D">
              <w:rPr>
                <w:rFonts w:ascii="Book Antiqua" w:hAnsi="Book Antiqua" w:cs="Book Antiqua"/>
                <w:i/>
                <w:sz w:val="24"/>
                <w:szCs w:val="24"/>
              </w:rPr>
              <w:t>vs</w:t>
            </w:r>
            <w:r w:rsidRPr="00390EBD">
              <w:rPr>
                <w:rFonts w:ascii="Book Antiqua" w:hAnsi="Book Antiqua" w:cs="Book Antiqua"/>
                <w:sz w:val="24"/>
                <w:szCs w:val="24"/>
              </w:rPr>
              <w:t xml:space="preserve"> 9</w:t>
            </w:r>
          </w:p>
        </w:tc>
      </w:tr>
      <w:tr w:rsidR="006138C7" w:rsidRPr="00390EBD" w14:paraId="1F0F48A0" w14:textId="77777777" w:rsidTr="000626A0">
        <w:tc>
          <w:tcPr>
            <w:tcW w:w="1350" w:type="dxa"/>
          </w:tcPr>
          <w:p w14:paraId="6731AC27"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Cheng</w:t>
            </w:r>
          </w:p>
        </w:tc>
        <w:tc>
          <w:tcPr>
            <w:tcW w:w="576" w:type="dxa"/>
          </w:tcPr>
          <w:p w14:paraId="77A64BFA"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118</w:t>
            </w:r>
          </w:p>
        </w:tc>
        <w:tc>
          <w:tcPr>
            <w:tcW w:w="1654" w:type="dxa"/>
          </w:tcPr>
          <w:p w14:paraId="41BDA0AB"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Yukui tang ablets</w:t>
            </w:r>
          </w:p>
        </w:tc>
        <w:tc>
          <w:tcPr>
            <w:tcW w:w="1817" w:type="dxa"/>
          </w:tcPr>
          <w:p w14:paraId="22C99ADD"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Prednisolonoa</w:t>
            </w:r>
          </w:p>
          <w:p w14:paraId="2B46C27D"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Neomicina</w:t>
            </w:r>
          </w:p>
          <w:p w14:paraId="54A003B6"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Vitamina B</w:t>
            </w:r>
          </w:p>
        </w:tc>
        <w:tc>
          <w:tcPr>
            <w:tcW w:w="1587" w:type="dxa"/>
          </w:tcPr>
          <w:p w14:paraId="19BB2FD7"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Induction remission CU</w:t>
            </w:r>
          </w:p>
        </w:tc>
        <w:tc>
          <w:tcPr>
            <w:tcW w:w="2370" w:type="dxa"/>
          </w:tcPr>
          <w:p w14:paraId="3D2712F6" w14:textId="59C7323A"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 xml:space="preserve">33 </w:t>
            </w:r>
            <w:r w:rsidR="0020336D" w:rsidRPr="0020336D">
              <w:rPr>
                <w:rFonts w:ascii="Book Antiqua" w:hAnsi="Book Antiqua" w:cs="Book Antiqua"/>
                <w:i/>
                <w:sz w:val="24"/>
                <w:szCs w:val="24"/>
              </w:rPr>
              <w:t>vs</w:t>
            </w:r>
            <w:r w:rsidRPr="00390EBD">
              <w:rPr>
                <w:rFonts w:ascii="Book Antiqua" w:hAnsi="Book Antiqua" w:cs="Book Antiqua"/>
                <w:sz w:val="24"/>
                <w:szCs w:val="24"/>
              </w:rPr>
              <w:t xml:space="preserve"> 17</w:t>
            </w:r>
          </w:p>
        </w:tc>
      </w:tr>
      <w:tr w:rsidR="006138C7" w:rsidRPr="00390EBD" w14:paraId="39DFC124" w14:textId="77777777" w:rsidTr="000626A0">
        <w:tc>
          <w:tcPr>
            <w:tcW w:w="1350" w:type="dxa"/>
          </w:tcPr>
          <w:p w14:paraId="2861F320"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Fernández Bañares</w:t>
            </w:r>
          </w:p>
        </w:tc>
        <w:tc>
          <w:tcPr>
            <w:tcW w:w="576" w:type="dxa"/>
          </w:tcPr>
          <w:p w14:paraId="50B8D3A9"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105</w:t>
            </w:r>
          </w:p>
        </w:tc>
        <w:tc>
          <w:tcPr>
            <w:tcW w:w="1654" w:type="dxa"/>
          </w:tcPr>
          <w:p w14:paraId="5D9CEDB5"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Plantago ovata sedes</w:t>
            </w:r>
          </w:p>
        </w:tc>
        <w:tc>
          <w:tcPr>
            <w:tcW w:w="1817" w:type="dxa"/>
          </w:tcPr>
          <w:p w14:paraId="6858277F"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Mesalazine</w:t>
            </w:r>
          </w:p>
        </w:tc>
        <w:tc>
          <w:tcPr>
            <w:tcW w:w="1587" w:type="dxa"/>
          </w:tcPr>
          <w:p w14:paraId="18F01ED0"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Maintenance remission CU</w:t>
            </w:r>
          </w:p>
        </w:tc>
        <w:tc>
          <w:tcPr>
            <w:tcW w:w="2370" w:type="dxa"/>
          </w:tcPr>
          <w:p w14:paraId="4EDAC5B6" w14:textId="00397B89"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 xml:space="preserve">60 </w:t>
            </w:r>
            <w:r w:rsidR="0020336D" w:rsidRPr="0020336D">
              <w:rPr>
                <w:rFonts w:ascii="Book Antiqua" w:hAnsi="Book Antiqua" w:cs="Book Antiqua"/>
                <w:i/>
                <w:sz w:val="24"/>
                <w:szCs w:val="24"/>
              </w:rPr>
              <w:t>vs</w:t>
            </w:r>
            <w:r w:rsidRPr="00390EBD">
              <w:rPr>
                <w:rFonts w:ascii="Book Antiqua" w:hAnsi="Book Antiqua" w:cs="Book Antiqua"/>
                <w:sz w:val="24"/>
                <w:szCs w:val="24"/>
              </w:rPr>
              <w:t xml:space="preserve"> 65</w:t>
            </w:r>
          </w:p>
        </w:tc>
      </w:tr>
      <w:tr w:rsidR="006138C7" w:rsidRPr="00390EBD" w14:paraId="2D9F33E5" w14:textId="77777777" w:rsidTr="000626A0">
        <w:tc>
          <w:tcPr>
            <w:tcW w:w="1350" w:type="dxa"/>
          </w:tcPr>
          <w:p w14:paraId="58015CBD"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Hanai</w:t>
            </w:r>
          </w:p>
        </w:tc>
        <w:tc>
          <w:tcPr>
            <w:tcW w:w="576" w:type="dxa"/>
          </w:tcPr>
          <w:p w14:paraId="474FB69F"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89</w:t>
            </w:r>
          </w:p>
        </w:tc>
        <w:tc>
          <w:tcPr>
            <w:tcW w:w="1654" w:type="dxa"/>
          </w:tcPr>
          <w:p w14:paraId="581DC42F"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Curcumin</w:t>
            </w:r>
          </w:p>
        </w:tc>
        <w:tc>
          <w:tcPr>
            <w:tcW w:w="1817" w:type="dxa"/>
          </w:tcPr>
          <w:p w14:paraId="08FC116D"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Placebo</w:t>
            </w:r>
          </w:p>
        </w:tc>
        <w:tc>
          <w:tcPr>
            <w:tcW w:w="1587" w:type="dxa"/>
          </w:tcPr>
          <w:p w14:paraId="4935279D"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Maintenance remission CU</w:t>
            </w:r>
          </w:p>
        </w:tc>
        <w:tc>
          <w:tcPr>
            <w:tcW w:w="2370" w:type="dxa"/>
          </w:tcPr>
          <w:p w14:paraId="173D8189" w14:textId="46EF63A8"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 xml:space="preserve">95 </w:t>
            </w:r>
            <w:r w:rsidR="0020336D" w:rsidRPr="0020336D">
              <w:rPr>
                <w:rFonts w:ascii="Book Antiqua" w:hAnsi="Book Antiqua" w:cs="Book Antiqua"/>
                <w:i/>
                <w:sz w:val="24"/>
                <w:szCs w:val="24"/>
              </w:rPr>
              <w:t>vs</w:t>
            </w:r>
            <w:r w:rsidRPr="00390EBD">
              <w:rPr>
                <w:rFonts w:ascii="Book Antiqua" w:hAnsi="Book Antiqua" w:cs="Book Antiqua"/>
                <w:sz w:val="24"/>
                <w:szCs w:val="24"/>
              </w:rPr>
              <w:t xml:space="preserve"> 79</w:t>
            </w:r>
          </w:p>
        </w:tc>
      </w:tr>
      <w:tr w:rsidR="006138C7" w:rsidRPr="00390EBD" w14:paraId="1893BC13" w14:textId="77777777" w:rsidTr="000626A0">
        <w:tc>
          <w:tcPr>
            <w:tcW w:w="1350" w:type="dxa"/>
          </w:tcPr>
          <w:p w14:paraId="4F96AAD6"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Greenfield</w:t>
            </w:r>
          </w:p>
        </w:tc>
        <w:tc>
          <w:tcPr>
            <w:tcW w:w="576" w:type="dxa"/>
          </w:tcPr>
          <w:p w14:paraId="6224BAFE"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43</w:t>
            </w:r>
          </w:p>
        </w:tc>
        <w:tc>
          <w:tcPr>
            <w:tcW w:w="1654" w:type="dxa"/>
          </w:tcPr>
          <w:p w14:paraId="362687A7"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Oenothera biennis</w:t>
            </w:r>
          </w:p>
        </w:tc>
        <w:tc>
          <w:tcPr>
            <w:tcW w:w="1817" w:type="dxa"/>
          </w:tcPr>
          <w:p w14:paraId="7F2EE24A"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Evening primrose oil and olive oil</w:t>
            </w:r>
          </w:p>
        </w:tc>
        <w:tc>
          <w:tcPr>
            <w:tcW w:w="1587" w:type="dxa"/>
          </w:tcPr>
          <w:p w14:paraId="44AC1BCE"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Maintenance remission CU</w:t>
            </w:r>
          </w:p>
        </w:tc>
        <w:tc>
          <w:tcPr>
            <w:tcW w:w="2370" w:type="dxa"/>
          </w:tcPr>
          <w:p w14:paraId="19B38F78"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p>
        </w:tc>
      </w:tr>
      <w:tr w:rsidR="006138C7" w:rsidRPr="00390EBD" w14:paraId="164F6B34" w14:textId="77777777" w:rsidTr="000626A0">
        <w:tc>
          <w:tcPr>
            <w:tcW w:w="1350" w:type="dxa"/>
          </w:tcPr>
          <w:p w14:paraId="76A2D155"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Omer</w:t>
            </w:r>
          </w:p>
        </w:tc>
        <w:tc>
          <w:tcPr>
            <w:tcW w:w="576" w:type="dxa"/>
          </w:tcPr>
          <w:p w14:paraId="5F459F11"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40</w:t>
            </w:r>
          </w:p>
        </w:tc>
        <w:tc>
          <w:tcPr>
            <w:tcW w:w="1654" w:type="dxa"/>
          </w:tcPr>
          <w:p w14:paraId="0CF42C51"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Artemisia absinthium</w:t>
            </w:r>
          </w:p>
        </w:tc>
        <w:tc>
          <w:tcPr>
            <w:tcW w:w="1817" w:type="dxa"/>
          </w:tcPr>
          <w:p w14:paraId="0E54CA70"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Placebo</w:t>
            </w:r>
          </w:p>
        </w:tc>
        <w:tc>
          <w:tcPr>
            <w:tcW w:w="1587" w:type="dxa"/>
          </w:tcPr>
          <w:p w14:paraId="65E6E834"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Treatment and prevention recurrence EC</w:t>
            </w:r>
          </w:p>
        </w:tc>
        <w:tc>
          <w:tcPr>
            <w:tcW w:w="2370" w:type="dxa"/>
          </w:tcPr>
          <w:p w14:paraId="6666F199" w14:textId="65B21F6B"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 xml:space="preserve">65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0</w:t>
            </w:r>
          </w:p>
        </w:tc>
      </w:tr>
      <w:tr w:rsidR="006138C7" w:rsidRPr="00390EBD" w14:paraId="5809EE89" w14:textId="77777777" w:rsidTr="000626A0">
        <w:tc>
          <w:tcPr>
            <w:tcW w:w="1350" w:type="dxa"/>
          </w:tcPr>
          <w:p w14:paraId="7FD05D96"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Krebs</w:t>
            </w:r>
          </w:p>
        </w:tc>
        <w:tc>
          <w:tcPr>
            <w:tcW w:w="576" w:type="dxa"/>
          </w:tcPr>
          <w:p w14:paraId="77A3506E"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20</w:t>
            </w:r>
          </w:p>
        </w:tc>
        <w:tc>
          <w:tcPr>
            <w:tcW w:w="1654" w:type="dxa"/>
          </w:tcPr>
          <w:p w14:paraId="4F517F6D"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rPr>
              <w:t>Artemisia absinthium</w:t>
            </w:r>
          </w:p>
        </w:tc>
        <w:tc>
          <w:tcPr>
            <w:tcW w:w="1817" w:type="dxa"/>
          </w:tcPr>
          <w:p w14:paraId="04924EFE"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rPr>
              <w:t>Placebo</w:t>
            </w:r>
          </w:p>
        </w:tc>
        <w:tc>
          <w:tcPr>
            <w:tcW w:w="1587" w:type="dxa"/>
          </w:tcPr>
          <w:p w14:paraId="7BED2A4E"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Treatment and prevention recurrence EC</w:t>
            </w:r>
          </w:p>
        </w:tc>
        <w:tc>
          <w:tcPr>
            <w:tcW w:w="2370" w:type="dxa"/>
          </w:tcPr>
          <w:p w14:paraId="547CEFD7" w14:textId="3B09109B"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 xml:space="preserve">80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20</w:t>
            </w:r>
          </w:p>
        </w:tc>
      </w:tr>
      <w:tr w:rsidR="006138C7" w:rsidRPr="00390EBD" w14:paraId="5183834E" w14:textId="77777777" w:rsidTr="000626A0">
        <w:tc>
          <w:tcPr>
            <w:tcW w:w="1350" w:type="dxa"/>
          </w:tcPr>
          <w:p w14:paraId="1010D909"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Gerhardt</w:t>
            </w:r>
          </w:p>
        </w:tc>
        <w:tc>
          <w:tcPr>
            <w:tcW w:w="576" w:type="dxa"/>
          </w:tcPr>
          <w:p w14:paraId="7162EAE2"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102</w:t>
            </w:r>
          </w:p>
        </w:tc>
        <w:tc>
          <w:tcPr>
            <w:tcW w:w="1654" w:type="dxa"/>
          </w:tcPr>
          <w:p w14:paraId="7AD9DE47"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Boswellia serrata extract</w:t>
            </w:r>
          </w:p>
        </w:tc>
        <w:tc>
          <w:tcPr>
            <w:tcW w:w="1817" w:type="dxa"/>
          </w:tcPr>
          <w:p w14:paraId="13314581"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Mesalazine</w:t>
            </w:r>
          </w:p>
        </w:tc>
        <w:tc>
          <w:tcPr>
            <w:tcW w:w="1587" w:type="dxa"/>
          </w:tcPr>
          <w:p w14:paraId="64441524"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Treatment and prevention recurrence EC</w:t>
            </w:r>
          </w:p>
        </w:tc>
        <w:tc>
          <w:tcPr>
            <w:tcW w:w="2370" w:type="dxa"/>
          </w:tcPr>
          <w:p w14:paraId="22EBF786" w14:textId="4C839DF1"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 xml:space="preserve">36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31</w:t>
            </w:r>
          </w:p>
        </w:tc>
      </w:tr>
      <w:tr w:rsidR="006138C7" w:rsidRPr="00390EBD" w14:paraId="37EB41F1" w14:textId="77777777" w:rsidTr="000626A0">
        <w:tc>
          <w:tcPr>
            <w:tcW w:w="1350" w:type="dxa"/>
          </w:tcPr>
          <w:p w14:paraId="3D5126F2"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Ren</w:t>
            </w:r>
          </w:p>
        </w:tc>
        <w:tc>
          <w:tcPr>
            <w:tcW w:w="576" w:type="dxa"/>
          </w:tcPr>
          <w:p w14:paraId="6D4FE30F"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20</w:t>
            </w:r>
          </w:p>
        </w:tc>
        <w:tc>
          <w:tcPr>
            <w:tcW w:w="1654" w:type="dxa"/>
          </w:tcPr>
          <w:p w14:paraId="2CC6ABCA"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 xml:space="preserve">Tripterygium </w:t>
            </w:r>
            <w:r w:rsidRPr="00390EBD">
              <w:rPr>
                <w:rFonts w:ascii="Book Antiqua" w:hAnsi="Book Antiqua" w:cs="Book Antiqua"/>
                <w:sz w:val="24"/>
                <w:szCs w:val="24"/>
                <w:lang w:val="en-US"/>
              </w:rPr>
              <w:lastRenderedPageBreak/>
              <w:t>wilfordii</w:t>
            </w:r>
          </w:p>
        </w:tc>
        <w:tc>
          <w:tcPr>
            <w:tcW w:w="1817" w:type="dxa"/>
          </w:tcPr>
          <w:p w14:paraId="5CB9293E"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lastRenderedPageBreak/>
              <w:t>Placebo</w:t>
            </w:r>
          </w:p>
        </w:tc>
        <w:tc>
          <w:tcPr>
            <w:tcW w:w="1587" w:type="dxa"/>
          </w:tcPr>
          <w:p w14:paraId="46700697"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 xml:space="preserve">Treatment </w:t>
            </w:r>
            <w:r w:rsidRPr="00390EBD">
              <w:rPr>
                <w:rFonts w:ascii="Book Antiqua" w:hAnsi="Book Antiqua" w:cs="Book Antiqua"/>
                <w:sz w:val="24"/>
                <w:szCs w:val="24"/>
                <w:lang w:val="en-US"/>
              </w:rPr>
              <w:lastRenderedPageBreak/>
              <w:t>and prevention recurrence EC</w:t>
            </w:r>
          </w:p>
        </w:tc>
        <w:tc>
          <w:tcPr>
            <w:tcW w:w="2370" w:type="dxa"/>
          </w:tcPr>
          <w:p w14:paraId="52B9AB3E"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p>
        </w:tc>
      </w:tr>
      <w:tr w:rsidR="006138C7" w:rsidRPr="00390EBD" w14:paraId="0B5C91A6" w14:textId="77777777" w:rsidTr="000626A0">
        <w:tc>
          <w:tcPr>
            <w:tcW w:w="1350" w:type="dxa"/>
          </w:tcPr>
          <w:p w14:paraId="574D7AEA"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lastRenderedPageBreak/>
              <w:t>Holtmeier</w:t>
            </w:r>
          </w:p>
        </w:tc>
        <w:tc>
          <w:tcPr>
            <w:tcW w:w="576" w:type="dxa"/>
          </w:tcPr>
          <w:p w14:paraId="52713DF8"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108</w:t>
            </w:r>
          </w:p>
        </w:tc>
        <w:tc>
          <w:tcPr>
            <w:tcW w:w="1654" w:type="dxa"/>
          </w:tcPr>
          <w:p w14:paraId="5D634090"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Boswellia serrata extract</w:t>
            </w:r>
          </w:p>
        </w:tc>
        <w:tc>
          <w:tcPr>
            <w:tcW w:w="1817" w:type="dxa"/>
          </w:tcPr>
          <w:p w14:paraId="43B0BC9D"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r w:rsidRPr="00390EBD">
              <w:rPr>
                <w:rFonts w:ascii="Book Antiqua" w:hAnsi="Book Antiqua" w:cs="Book Antiqua"/>
                <w:sz w:val="24"/>
                <w:szCs w:val="24"/>
              </w:rPr>
              <w:t>Placebo</w:t>
            </w:r>
          </w:p>
        </w:tc>
        <w:tc>
          <w:tcPr>
            <w:tcW w:w="1587" w:type="dxa"/>
          </w:tcPr>
          <w:p w14:paraId="6E40A6E1"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Treatment and prevention recurrence EC</w:t>
            </w:r>
          </w:p>
        </w:tc>
        <w:tc>
          <w:tcPr>
            <w:tcW w:w="2370" w:type="dxa"/>
          </w:tcPr>
          <w:p w14:paraId="414EE965" w14:textId="23DFB635"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 xml:space="preserve">60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55</w:t>
            </w:r>
          </w:p>
        </w:tc>
      </w:tr>
      <w:tr w:rsidR="006138C7" w:rsidRPr="00390EBD" w14:paraId="4B545970" w14:textId="77777777" w:rsidTr="000626A0">
        <w:tc>
          <w:tcPr>
            <w:tcW w:w="1350" w:type="dxa"/>
          </w:tcPr>
          <w:p w14:paraId="794C4B7E"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Tao</w:t>
            </w:r>
          </w:p>
        </w:tc>
        <w:tc>
          <w:tcPr>
            <w:tcW w:w="576" w:type="dxa"/>
          </w:tcPr>
          <w:p w14:paraId="7EF917D5"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45</w:t>
            </w:r>
          </w:p>
        </w:tc>
        <w:tc>
          <w:tcPr>
            <w:tcW w:w="1654" w:type="dxa"/>
          </w:tcPr>
          <w:p w14:paraId="35143859"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Tripterygium wilfordii</w:t>
            </w:r>
          </w:p>
        </w:tc>
        <w:tc>
          <w:tcPr>
            <w:tcW w:w="1817" w:type="dxa"/>
          </w:tcPr>
          <w:p w14:paraId="63C26C72"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Mesalazine</w:t>
            </w:r>
          </w:p>
        </w:tc>
        <w:tc>
          <w:tcPr>
            <w:tcW w:w="1587" w:type="dxa"/>
          </w:tcPr>
          <w:p w14:paraId="34C74182"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Treatment and prevention recurrence EC</w:t>
            </w:r>
          </w:p>
        </w:tc>
        <w:tc>
          <w:tcPr>
            <w:tcW w:w="2370" w:type="dxa"/>
          </w:tcPr>
          <w:p w14:paraId="5B28E7E0" w14:textId="214C02DD"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 xml:space="preserve">68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61</w:t>
            </w:r>
          </w:p>
        </w:tc>
      </w:tr>
      <w:tr w:rsidR="006138C7" w:rsidRPr="00390EBD" w14:paraId="1498449D" w14:textId="77777777" w:rsidTr="000626A0">
        <w:tc>
          <w:tcPr>
            <w:tcW w:w="1350" w:type="dxa"/>
          </w:tcPr>
          <w:p w14:paraId="7DF7E816"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Liao</w:t>
            </w:r>
          </w:p>
        </w:tc>
        <w:tc>
          <w:tcPr>
            <w:tcW w:w="576" w:type="dxa"/>
          </w:tcPr>
          <w:p w14:paraId="2A8FA25C"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39</w:t>
            </w:r>
          </w:p>
        </w:tc>
        <w:tc>
          <w:tcPr>
            <w:tcW w:w="1654" w:type="dxa"/>
          </w:tcPr>
          <w:p w14:paraId="63545B64"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Tripterygium wilfordii</w:t>
            </w:r>
          </w:p>
        </w:tc>
        <w:tc>
          <w:tcPr>
            <w:tcW w:w="1817" w:type="dxa"/>
          </w:tcPr>
          <w:p w14:paraId="3642FF78"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Sulphasalazine</w:t>
            </w:r>
          </w:p>
        </w:tc>
        <w:tc>
          <w:tcPr>
            <w:tcW w:w="1587" w:type="dxa"/>
          </w:tcPr>
          <w:p w14:paraId="434F66E6"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Treatment and prevention recurrence EC</w:t>
            </w:r>
          </w:p>
        </w:tc>
        <w:tc>
          <w:tcPr>
            <w:tcW w:w="2370" w:type="dxa"/>
          </w:tcPr>
          <w:p w14:paraId="582B6A42" w14:textId="0C40D85F"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rPr>
            </w:pPr>
            <w:r w:rsidRPr="00390EBD">
              <w:rPr>
                <w:rFonts w:ascii="Book Antiqua" w:hAnsi="Book Antiqua" w:cs="Book Antiqua"/>
                <w:sz w:val="24"/>
                <w:szCs w:val="24"/>
                <w:lang w:val="en-US"/>
              </w:rPr>
              <w:t xml:space="preserve">94 </w:t>
            </w:r>
            <w:r w:rsidR="0020336D" w:rsidRPr="0020336D">
              <w:rPr>
                <w:rFonts w:ascii="Book Antiqua" w:hAnsi="Book Antiqua" w:cs="Book Antiqua"/>
                <w:i/>
                <w:sz w:val="24"/>
                <w:szCs w:val="24"/>
                <w:lang w:val="en-US"/>
              </w:rPr>
              <w:t>vs</w:t>
            </w:r>
            <w:r w:rsidRPr="00390EBD">
              <w:rPr>
                <w:rFonts w:ascii="Book Antiqua" w:hAnsi="Book Antiqua" w:cs="Book Antiqua"/>
                <w:sz w:val="24"/>
                <w:szCs w:val="24"/>
                <w:lang w:val="en-US"/>
              </w:rPr>
              <w:t xml:space="preserve"> 75</w:t>
            </w:r>
          </w:p>
        </w:tc>
      </w:tr>
    </w:tbl>
    <w:p w14:paraId="308CFE52" w14:textId="1FA9714B" w:rsidR="006138C7" w:rsidRPr="00C852EA" w:rsidRDefault="006138C7" w:rsidP="00954CEE">
      <w:pPr>
        <w:autoSpaceDE w:val="0"/>
        <w:autoSpaceDN w:val="0"/>
        <w:adjustRightInd w:val="0"/>
        <w:snapToGrid w:val="0"/>
        <w:spacing w:after="0" w:line="360" w:lineRule="auto"/>
        <w:jc w:val="both"/>
        <w:rPr>
          <w:rFonts w:ascii="Book Antiqua" w:hAnsi="Book Antiqua" w:cs="Book Antiqua"/>
          <w:sz w:val="24"/>
          <w:szCs w:val="24"/>
          <w:lang w:val="en-US" w:eastAsia="zh-CN"/>
        </w:rPr>
      </w:pPr>
      <w:r w:rsidRPr="00390EBD">
        <w:rPr>
          <w:rFonts w:ascii="Book Antiqua" w:hAnsi="Book Antiqua" w:cs="Book Antiqua"/>
          <w:sz w:val="24"/>
          <w:szCs w:val="24"/>
          <w:lang w:val="en-US"/>
        </w:rPr>
        <w:t xml:space="preserve">Adapted from Ng </w:t>
      </w:r>
      <w:r w:rsidR="009046D6" w:rsidRPr="009046D6">
        <w:rPr>
          <w:rFonts w:ascii="Book Antiqua" w:hAnsi="Book Antiqua" w:cs="Book Antiqua"/>
          <w:i/>
          <w:sz w:val="24"/>
          <w:szCs w:val="24"/>
          <w:lang w:val="en-US"/>
        </w:rPr>
        <w:t>et al</w:t>
      </w:r>
      <w:r w:rsidRPr="00390EBD">
        <w:rPr>
          <w:rFonts w:ascii="Book Antiqua" w:hAnsi="Book Antiqua" w:cs="Book Antiqua"/>
          <w:sz w:val="24"/>
          <w:szCs w:val="24"/>
          <w:vertAlign w:val="superscript"/>
          <w:lang w:val="en-US"/>
        </w:rPr>
        <w:t>[202]</w:t>
      </w:r>
      <w:r w:rsidR="00C852EA">
        <w:rPr>
          <w:rFonts w:ascii="Book Antiqua" w:hAnsi="Book Antiqua" w:cs="Book Antiqua" w:hint="eastAsia"/>
          <w:sz w:val="24"/>
          <w:szCs w:val="24"/>
          <w:lang w:val="en-US" w:eastAsia="zh-CN"/>
        </w:rPr>
        <w:t>.</w:t>
      </w:r>
    </w:p>
    <w:p w14:paraId="2C056DFA" w14:textId="77777777" w:rsidR="006138C7" w:rsidRPr="00390EBD" w:rsidRDefault="006138C7" w:rsidP="00954CEE">
      <w:pPr>
        <w:autoSpaceDE w:val="0"/>
        <w:autoSpaceDN w:val="0"/>
        <w:adjustRightInd w:val="0"/>
        <w:snapToGrid w:val="0"/>
        <w:spacing w:after="0" w:line="360" w:lineRule="auto"/>
        <w:jc w:val="both"/>
        <w:rPr>
          <w:rFonts w:ascii="Book Antiqua" w:hAnsi="Book Antiqua" w:cs="Times New Roman"/>
          <w:sz w:val="24"/>
          <w:szCs w:val="24"/>
          <w:lang w:val="en-US"/>
        </w:rPr>
      </w:pPr>
    </w:p>
    <w:p w14:paraId="6758CFA8" w14:textId="3CBE3625" w:rsidR="000626A0" w:rsidRDefault="000626A0" w:rsidP="00954CEE">
      <w:pPr>
        <w:autoSpaceDE w:val="0"/>
        <w:autoSpaceDN w:val="0"/>
        <w:adjustRightInd w:val="0"/>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br w:type="page"/>
      </w:r>
    </w:p>
    <w:p w14:paraId="68300AD9" w14:textId="77777777" w:rsidR="006138C7" w:rsidRPr="00390EBD" w:rsidRDefault="006138C7" w:rsidP="00954CEE">
      <w:pPr>
        <w:autoSpaceDE w:val="0"/>
        <w:autoSpaceDN w:val="0"/>
        <w:adjustRightInd w:val="0"/>
        <w:snapToGrid w:val="0"/>
        <w:spacing w:after="0" w:line="360" w:lineRule="auto"/>
        <w:jc w:val="both"/>
        <w:rPr>
          <w:rFonts w:ascii="Book Antiqua" w:hAnsi="Book Antiqua" w:cs="Times New Roman"/>
          <w:sz w:val="24"/>
          <w:szCs w:val="24"/>
          <w:lang w:val="en-US"/>
        </w:rPr>
      </w:pPr>
    </w:p>
    <w:p w14:paraId="47CB3F81" w14:textId="77777777" w:rsidR="006138C7" w:rsidRPr="00390EBD" w:rsidRDefault="001B1BBE" w:rsidP="00954CEE">
      <w:pPr>
        <w:autoSpaceDE w:val="0"/>
        <w:autoSpaceDN w:val="0"/>
        <w:adjustRightInd w:val="0"/>
        <w:snapToGrid w:val="0"/>
        <w:spacing w:after="0" w:line="360" w:lineRule="auto"/>
        <w:jc w:val="both"/>
        <w:rPr>
          <w:rFonts w:ascii="Book Antiqua" w:hAnsi="Book Antiqua" w:cs="Book Antiqua"/>
          <w:noProof/>
          <w:sz w:val="24"/>
          <w:szCs w:val="24"/>
          <w:lang w:eastAsia="es-ES"/>
        </w:rPr>
      </w:pPr>
      <w:r w:rsidRPr="00390EBD">
        <w:rPr>
          <w:rFonts w:ascii="Book Antiqua" w:hAnsi="Book Antiqua" w:cs="Book Antiqua"/>
          <w:noProof/>
          <w:sz w:val="24"/>
          <w:szCs w:val="24"/>
          <w:lang w:val="en-US" w:eastAsia="zh-CN"/>
        </w:rPr>
        <w:drawing>
          <wp:inline distT="0" distB="0" distL="0" distR="0" wp14:anchorId="354487AF" wp14:editId="21160E28">
            <wp:extent cx="4133850" cy="432435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srcRect l="13673" t="3621" r="19861" b="2351"/>
                    <a:stretch>
                      <a:fillRect/>
                    </a:stretch>
                  </pic:blipFill>
                  <pic:spPr bwMode="auto">
                    <a:xfrm>
                      <a:off x="0" y="0"/>
                      <a:ext cx="4133850" cy="4324350"/>
                    </a:xfrm>
                    <a:prstGeom prst="rect">
                      <a:avLst/>
                    </a:prstGeom>
                    <a:noFill/>
                    <a:ln w="9525">
                      <a:noFill/>
                      <a:miter lim="800000"/>
                      <a:headEnd/>
                      <a:tailEnd/>
                    </a:ln>
                  </pic:spPr>
                </pic:pic>
              </a:graphicData>
            </a:graphic>
          </wp:inline>
        </w:drawing>
      </w:r>
    </w:p>
    <w:p w14:paraId="2B8A23A1" w14:textId="071FBB02" w:rsidR="000626A0" w:rsidRDefault="000626A0" w:rsidP="00954CEE">
      <w:pPr>
        <w:autoSpaceDE w:val="0"/>
        <w:autoSpaceDN w:val="0"/>
        <w:adjustRightInd w:val="0"/>
        <w:snapToGrid w:val="0"/>
        <w:spacing w:after="0" w:line="360" w:lineRule="auto"/>
        <w:jc w:val="both"/>
        <w:rPr>
          <w:rFonts w:ascii="Book Antiqua" w:hAnsi="Book Antiqua" w:cs="Book Antiqua"/>
          <w:sz w:val="24"/>
          <w:szCs w:val="24"/>
          <w:lang w:eastAsia="zh-CN"/>
        </w:rPr>
      </w:pPr>
      <w:r w:rsidRPr="000626A0">
        <w:rPr>
          <w:rFonts w:ascii="Book Antiqua" w:hAnsi="Book Antiqua" w:cs="Book Antiqua"/>
          <w:b/>
          <w:sz w:val="24"/>
          <w:szCs w:val="24"/>
          <w:lang w:val="en-US"/>
        </w:rPr>
        <w:t>Fig</w:t>
      </w:r>
      <w:r w:rsidRPr="000626A0">
        <w:rPr>
          <w:rFonts w:ascii="Book Antiqua" w:hAnsi="Book Antiqua" w:cs="Book Antiqua" w:hint="eastAsia"/>
          <w:b/>
          <w:sz w:val="24"/>
          <w:szCs w:val="24"/>
          <w:lang w:val="en-US" w:eastAsia="zh-CN"/>
        </w:rPr>
        <w:t>ure</w:t>
      </w:r>
      <w:r w:rsidRPr="000626A0">
        <w:rPr>
          <w:rFonts w:ascii="Book Antiqua" w:hAnsi="Book Antiqua" w:cs="Book Antiqua"/>
          <w:b/>
          <w:sz w:val="24"/>
          <w:szCs w:val="24"/>
          <w:lang w:val="en-US"/>
        </w:rPr>
        <w:t xml:space="preserve"> 1 Metabolism of azatioprine and 6-mercaptopurine</w:t>
      </w:r>
      <w:r w:rsidRPr="000626A0">
        <w:rPr>
          <w:rFonts w:ascii="Book Antiqua" w:hAnsi="Book Antiqua" w:cs="Book Antiqua" w:hint="eastAsia"/>
          <w:b/>
          <w:sz w:val="24"/>
          <w:szCs w:val="24"/>
          <w:lang w:val="en-US" w:eastAsia="zh-CN"/>
        </w:rPr>
        <w:t xml:space="preserve">. </w:t>
      </w:r>
      <w:r w:rsidR="006138C7" w:rsidRPr="00390EBD">
        <w:rPr>
          <w:rFonts w:ascii="Book Antiqua" w:hAnsi="Book Antiqua" w:cs="Book Antiqua"/>
          <w:sz w:val="24"/>
          <w:szCs w:val="24"/>
        </w:rPr>
        <w:t xml:space="preserve">AZA: </w:t>
      </w:r>
      <w:r w:rsidRPr="00390EBD">
        <w:rPr>
          <w:rFonts w:ascii="Book Antiqua" w:hAnsi="Book Antiqua" w:cs="Book Antiqua"/>
          <w:sz w:val="24"/>
          <w:szCs w:val="24"/>
        </w:rPr>
        <w:t>Azathioprine</w:t>
      </w:r>
      <w:r w:rsidR="006138C7" w:rsidRPr="00390EBD">
        <w:rPr>
          <w:rFonts w:ascii="Book Antiqua" w:hAnsi="Book Antiqua" w:cs="Book Antiqua"/>
          <w:sz w:val="24"/>
          <w:szCs w:val="24"/>
        </w:rPr>
        <w:t xml:space="preserve">; 6-MP: 6- mercaptopurine; 6-MeMP: 6- Methylmercaptopurine; 6-TU: 6-thiouric acid; 8-OH 6MP: 8-hydroxymercaptopurine; 6Me-tIMP: 6-methyl thioinosine monophosphate; 6-tIMP: 6-thioinosine monophosphate; 6-TIDP: 6-thioinosine diphosphate; 6-TITP: 6-thioinosine triphosphate; 6-MeTITP: 6-methylthioinosine triphosphate; tXMP: Thioxanthine monophosphate tGMP: thioguanine monophosphate; tGDP: </w:t>
      </w:r>
      <w:r w:rsidRPr="00390EBD">
        <w:rPr>
          <w:rFonts w:ascii="Book Antiqua" w:hAnsi="Book Antiqua" w:cs="Book Antiqua"/>
          <w:sz w:val="24"/>
          <w:szCs w:val="24"/>
        </w:rPr>
        <w:t xml:space="preserve">Thioguanine </w:t>
      </w:r>
      <w:r w:rsidR="006138C7" w:rsidRPr="00390EBD">
        <w:rPr>
          <w:rFonts w:ascii="Book Antiqua" w:hAnsi="Book Antiqua" w:cs="Book Antiqua"/>
          <w:sz w:val="24"/>
          <w:szCs w:val="24"/>
        </w:rPr>
        <w:t xml:space="preserve">diphosphate; tGTP: </w:t>
      </w:r>
      <w:r w:rsidRPr="00390EBD">
        <w:rPr>
          <w:rFonts w:ascii="Book Antiqua" w:hAnsi="Book Antiqua" w:cs="Book Antiqua"/>
          <w:sz w:val="24"/>
          <w:szCs w:val="24"/>
        </w:rPr>
        <w:t xml:space="preserve">Thioguanine </w:t>
      </w:r>
      <w:r w:rsidR="006138C7" w:rsidRPr="00390EBD">
        <w:rPr>
          <w:rFonts w:ascii="Book Antiqua" w:hAnsi="Book Antiqua" w:cs="Book Antiqua"/>
          <w:sz w:val="24"/>
          <w:szCs w:val="24"/>
        </w:rPr>
        <w:t xml:space="preserve">triphosphate; Me-tGMP: </w:t>
      </w:r>
      <w:r w:rsidRPr="00390EBD">
        <w:rPr>
          <w:rFonts w:ascii="Book Antiqua" w:hAnsi="Book Antiqua" w:cs="Book Antiqua"/>
          <w:sz w:val="24"/>
          <w:szCs w:val="24"/>
        </w:rPr>
        <w:t xml:space="preserve">Methylthioguanine </w:t>
      </w:r>
      <w:r w:rsidR="006138C7" w:rsidRPr="00390EBD">
        <w:rPr>
          <w:rFonts w:ascii="Book Antiqua" w:hAnsi="Book Antiqua" w:cs="Book Antiqua"/>
          <w:sz w:val="24"/>
          <w:szCs w:val="24"/>
        </w:rPr>
        <w:t xml:space="preserve">monophosphate; Deoxy-tGTP: </w:t>
      </w:r>
      <w:r w:rsidRPr="00390EBD">
        <w:rPr>
          <w:rFonts w:ascii="Book Antiqua" w:hAnsi="Book Antiqua" w:cs="Book Antiqua"/>
          <w:sz w:val="24"/>
          <w:szCs w:val="24"/>
        </w:rPr>
        <w:t xml:space="preserve">Deoxythioguanine </w:t>
      </w:r>
      <w:r w:rsidR="006138C7" w:rsidRPr="00390EBD">
        <w:rPr>
          <w:rFonts w:ascii="Book Antiqua" w:hAnsi="Book Antiqua" w:cs="Book Antiqua"/>
          <w:sz w:val="24"/>
          <w:szCs w:val="24"/>
        </w:rPr>
        <w:t xml:space="preserve">triphosphate; GST: </w:t>
      </w:r>
      <w:r w:rsidRPr="00390EBD">
        <w:rPr>
          <w:rFonts w:ascii="Book Antiqua" w:hAnsi="Book Antiqua" w:cs="Book Antiqua"/>
          <w:sz w:val="24"/>
          <w:szCs w:val="24"/>
        </w:rPr>
        <w:t xml:space="preserve">Glutathione </w:t>
      </w:r>
      <w:r w:rsidR="006138C7" w:rsidRPr="00390EBD">
        <w:rPr>
          <w:rFonts w:ascii="Book Antiqua" w:hAnsi="Book Antiqua" w:cs="Book Antiqua"/>
          <w:sz w:val="24"/>
          <w:szCs w:val="24"/>
        </w:rPr>
        <w:t xml:space="preserve">S-transferasa; TPMT: </w:t>
      </w:r>
      <w:r w:rsidRPr="00390EBD">
        <w:rPr>
          <w:rFonts w:ascii="Book Antiqua" w:hAnsi="Book Antiqua" w:cs="Book Antiqua"/>
          <w:sz w:val="24"/>
          <w:szCs w:val="24"/>
        </w:rPr>
        <w:t xml:space="preserve">Thipurine </w:t>
      </w:r>
      <w:r w:rsidR="006138C7" w:rsidRPr="00390EBD">
        <w:rPr>
          <w:rFonts w:ascii="Book Antiqua" w:hAnsi="Book Antiqua" w:cs="Book Antiqua"/>
          <w:sz w:val="24"/>
          <w:szCs w:val="24"/>
        </w:rPr>
        <w:t xml:space="preserve">methyltransferase; XDH: </w:t>
      </w:r>
      <w:r w:rsidRPr="00390EBD">
        <w:rPr>
          <w:rFonts w:ascii="Book Antiqua" w:hAnsi="Book Antiqua" w:cs="Book Antiqua"/>
          <w:sz w:val="24"/>
          <w:szCs w:val="24"/>
        </w:rPr>
        <w:t xml:space="preserve">Xanthine </w:t>
      </w:r>
      <w:r w:rsidR="006138C7" w:rsidRPr="00390EBD">
        <w:rPr>
          <w:rFonts w:ascii="Book Antiqua" w:hAnsi="Book Antiqua" w:cs="Book Antiqua"/>
          <w:sz w:val="24"/>
          <w:szCs w:val="24"/>
        </w:rPr>
        <w:t xml:space="preserve">dehydrogenase; AO: </w:t>
      </w:r>
      <w:r w:rsidRPr="00390EBD">
        <w:rPr>
          <w:rFonts w:ascii="Book Antiqua" w:hAnsi="Book Antiqua" w:cs="Book Antiqua"/>
          <w:sz w:val="24"/>
          <w:szCs w:val="24"/>
        </w:rPr>
        <w:t xml:space="preserve">Aldehyde </w:t>
      </w:r>
      <w:r w:rsidR="006138C7" w:rsidRPr="00390EBD">
        <w:rPr>
          <w:rFonts w:ascii="Book Antiqua" w:hAnsi="Book Antiqua" w:cs="Book Antiqua"/>
          <w:sz w:val="24"/>
          <w:szCs w:val="24"/>
        </w:rPr>
        <w:t xml:space="preserve">oxidase; HGPRT: </w:t>
      </w:r>
      <w:r w:rsidRPr="00390EBD">
        <w:rPr>
          <w:rFonts w:ascii="Book Antiqua" w:hAnsi="Book Antiqua" w:cs="Book Antiqua"/>
          <w:sz w:val="24"/>
          <w:szCs w:val="24"/>
        </w:rPr>
        <w:t xml:space="preserve">Hypoxanthine </w:t>
      </w:r>
      <w:r w:rsidR="006138C7" w:rsidRPr="00390EBD">
        <w:rPr>
          <w:rFonts w:ascii="Book Antiqua" w:hAnsi="Book Antiqua" w:cs="Book Antiqua"/>
          <w:sz w:val="24"/>
          <w:szCs w:val="24"/>
        </w:rPr>
        <w:t xml:space="preserve">guanine phosphoribosyltransferase; IMPDH: </w:t>
      </w:r>
      <w:r w:rsidRPr="00390EBD">
        <w:rPr>
          <w:rFonts w:ascii="Book Antiqua" w:hAnsi="Book Antiqua" w:cs="Book Antiqua"/>
          <w:sz w:val="24"/>
          <w:szCs w:val="24"/>
        </w:rPr>
        <w:t xml:space="preserve">Inopine </w:t>
      </w:r>
      <w:r w:rsidR="006138C7" w:rsidRPr="00390EBD">
        <w:rPr>
          <w:rFonts w:ascii="Book Antiqua" w:hAnsi="Book Antiqua" w:cs="Book Antiqua"/>
          <w:sz w:val="24"/>
          <w:szCs w:val="24"/>
        </w:rPr>
        <w:t xml:space="preserve">monophosphate dehydrogenase; GMPS: </w:t>
      </w:r>
      <w:r w:rsidRPr="00390EBD">
        <w:rPr>
          <w:rFonts w:ascii="Book Antiqua" w:hAnsi="Book Antiqua" w:cs="Book Antiqua"/>
          <w:sz w:val="24"/>
          <w:szCs w:val="24"/>
        </w:rPr>
        <w:t xml:space="preserve">Guanosine </w:t>
      </w:r>
      <w:r w:rsidR="006138C7" w:rsidRPr="00390EBD">
        <w:rPr>
          <w:rFonts w:ascii="Book Antiqua" w:hAnsi="Book Antiqua" w:cs="Book Antiqua"/>
          <w:sz w:val="24"/>
          <w:szCs w:val="24"/>
        </w:rPr>
        <w:t xml:space="preserve">monophosphate synthetase; PK: </w:t>
      </w:r>
      <w:r w:rsidRPr="00390EBD">
        <w:rPr>
          <w:rFonts w:ascii="Book Antiqua" w:hAnsi="Book Antiqua" w:cs="Book Antiqua"/>
          <w:sz w:val="24"/>
          <w:szCs w:val="24"/>
        </w:rPr>
        <w:t>Phosphokinase</w:t>
      </w:r>
      <w:r w:rsidR="006138C7" w:rsidRPr="00390EBD">
        <w:rPr>
          <w:rFonts w:ascii="Book Antiqua" w:hAnsi="Book Antiqua" w:cs="Book Antiqua"/>
          <w:sz w:val="24"/>
          <w:szCs w:val="24"/>
        </w:rPr>
        <w:t xml:space="preserve">; rPK: </w:t>
      </w:r>
      <w:r w:rsidRPr="00390EBD">
        <w:rPr>
          <w:rFonts w:ascii="Book Antiqua" w:hAnsi="Book Antiqua" w:cs="Book Antiqua"/>
          <w:sz w:val="24"/>
          <w:szCs w:val="24"/>
        </w:rPr>
        <w:t xml:space="preserve">Reductase </w:t>
      </w:r>
      <w:r>
        <w:rPr>
          <w:rFonts w:ascii="Book Antiqua" w:hAnsi="Book Antiqua" w:cs="Book Antiqua"/>
          <w:sz w:val="24"/>
          <w:szCs w:val="24"/>
        </w:rPr>
        <w:t>phosphokinase</w:t>
      </w:r>
      <w:r>
        <w:rPr>
          <w:rFonts w:ascii="Book Antiqua" w:hAnsi="Book Antiqua" w:cs="Book Antiqua" w:hint="eastAsia"/>
          <w:sz w:val="24"/>
          <w:szCs w:val="24"/>
          <w:lang w:eastAsia="zh-CN"/>
        </w:rPr>
        <w:t>.</w:t>
      </w:r>
      <w:r>
        <w:rPr>
          <w:rFonts w:ascii="Book Antiqua" w:hAnsi="Book Antiqua" w:cs="Book Antiqua"/>
          <w:sz w:val="24"/>
          <w:szCs w:val="24"/>
          <w:lang w:eastAsia="zh-CN"/>
        </w:rPr>
        <w:br w:type="page"/>
      </w:r>
    </w:p>
    <w:p w14:paraId="67560095" w14:textId="77777777" w:rsidR="006138C7" w:rsidRPr="000626A0" w:rsidRDefault="006138C7" w:rsidP="00954CEE">
      <w:pPr>
        <w:autoSpaceDE w:val="0"/>
        <w:autoSpaceDN w:val="0"/>
        <w:adjustRightInd w:val="0"/>
        <w:snapToGrid w:val="0"/>
        <w:spacing w:after="0" w:line="360" w:lineRule="auto"/>
        <w:jc w:val="both"/>
        <w:rPr>
          <w:rFonts w:ascii="Book Antiqua" w:hAnsi="Book Antiqua" w:cs="Book Antiqua"/>
          <w:b/>
          <w:sz w:val="24"/>
          <w:szCs w:val="24"/>
          <w:lang w:val="en-US" w:eastAsia="zh-CN"/>
        </w:rPr>
      </w:pPr>
    </w:p>
    <w:p w14:paraId="6D85B1ED"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rPr>
      </w:pPr>
    </w:p>
    <w:p w14:paraId="6B971B1A" w14:textId="77777777" w:rsidR="006138C7" w:rsidRPr="00390EBD" w:rsidRDefault="001B1BBE" w:rsidP="00954CEE">
      <w:pPr>
        <w:autoSpaceDE w:val="0"/>
        <w:autoSpaceDN w:val="0"/>
        <w:adjustRightInd w:val="0"/>
        <w:snapToGrid w:val="0"/>
        <w:spacing w:after="0" w:line="360" w:lineRule="auto"/>
        <w:jc w:val="both"/>
        <w:rPr>
          <w:rFonts w:ascii="Book Antiqua" w:hAnsi="Book Antiqua" w:cs="Book Antiqua"/>
          <w:sz w:val="24"/>
          <w:szCs w:val="24"/>
          <w:lang w:val="en-GB"/>
        </w:rPr>
      </w:pPr>
      <w:r w:rsidRPr="00390EBD">
        <w:rPr>
          <w:rFonts w:ascii="Book Antiqua" w:hAnsi="Book Antiqua" w:cs="Book Antiqua"/>
          <w:strike/>
          <w:noProof/>
          <w:sz w:val="24"/>
          <w:szCs w:val="24"/>
          <w:lang w:val="en-US" w:eastAsia="zh-CN"/>
        </w:rPr>
        <w:drawing>
          <wp:inline distT="0" distB="0" distL="0" distR="0" wp14:anchorId="6629D63E" wp14:editId="6E0CEDD3">
            <wp:extent cx="5448300" cy="3924300"/>
            <wp:effectExtent l="19050" t="0" r="0" b="0"/>
            <wp:docPr id="2" name="Diagram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1"/>
                    <pic:cNvPicPr>
                      <a:picLocks noChangeArrowheads="1"/>
                    </pic:cNvPicPr>
                  </pic:nvPicPr>
                  <pic:blipFill>
                    <a:blip r:embed="rId9"/>
                    <a:srcRect t="-36937" b="-37050"/>
                    <a:stretch>
                      <a:fillRect/>
                    </a:stretch>
                  </pic:blipFill>
                  <pic:spPr bwMode="auto">
                    <a:xfrm>
                      <a:off x="0" y="0"/>
                      <a:ext cx="5448300" cy="3924300"/>
                    </a:xfrm>
                    <a:prstGeom prst="rect">
                      <a:avLst/>
                    </a:prstGeom>
                    <a:noFill/>
                    <a:ln w="9525">
                      <a:noFill/>
                      <a:miter lim="800000"/>
                      <a:headEnd/>
                      <a:tailEnd/>
                    </a:ln>
                  </pic:spPr>
                </pic:pic>
              </a:graphicData>
            </a:graphic>
          </wp:inline>
        </w:drawing>
      </w:r>
    </w:p>
    <w:p w14:paraId="1EF7939B" w14:textId="3C10DCBD" w:rsidR="006138C7" w:rsidRPr="000626A0" w:rsidRDefault="000626A0" w:rsidP="00954CEE">
      <w:pPr>
        <w:autoSpaceDE w:val="0"/>
        <w:autoSpaceDN w:val="0"/>
        <w:adjustRightInd w:val="0"/>
        <w:snapToGrid w:val="0"/>
        <w:spacing w:after="0" w:line="360" w:lineRule="auto"/>
        <w:jc w:val="both"/>
        <w:rPr>
          <w:rFonts w:ascii="Book Antiqua" w:hAnsi="Book Antiqua" w:cs="Book Antiqua"/>
          <w:b/>
          <w:sz w:val="24"/>
          <w:szCs w:val="24"/>
          <w:lang w:val="en-US" w:eastAsia="zh-CN"/>
        </w:rPr>
      </w:pPr>
      <w:r>
        <w:rPr>
          <w:rFonts w:ascii="Book Antiqua" w:hAnsi="Book Antiqua" w:cs="Book Antiqua"/>
          <w:b/>
          <w:sz w:val="24"/>
          <w:szCs w:val="24"/>
          <w:lang w:val="en-US"/>
        </w:rPr>
        <w:t>Figure 2</w:t>
      </w:r>
      <w:r w:rsidRPr="000626A0">
        <w:rPr>
          <w:rFonts w:ascii="Book Antiqua" w:hAnsi="Book Antiqua" w:cs="Book Antiqua"/>
          <w:b/>
          <w:sz w:val="24"/>
          <w:szCs w:val="24"/>
          <w:lang w:val="en-US"/>
        </w:rPr>
        <w:t xml:space="preserve"> Algorithm of treatment for non responders patients to thiopurine drugs</w:t>
      </w:r>
      <w:r w:rsidRPr="000626A0">
        <w:rPr>
          <w:rFonts w:ascii="Book Antiqua" w:hAnsi="Book Antiqua" w:cs="Book Antiqua" w:hint="eastAsia"/>
          <w:b/>
          <w:sz w:val="24"/>
          <w:szCs w:val="24"/>
          <w:lang w:val="en-US" w:eastAsia="zh-CN"/>
        </w:rPr>
        <w:t xml:space="preserve">. </w:t>
      </w:r>
      <w:r w:rsidR="006138C7" w:rsidRPr="00390EBD">
        <w:rPr>
          <w:rFonts w:ascii="Book Antiqua" w:hAnsi="Book Antiqua"/>
          <w:sz w:val="24"/>
          <w:szCs w:val="24"/>
          <w:lang w:val="en-GB"/>
        </w:rPr>
        <w:t xml:space="preserve">AZA: </w:t>
      </w:r>
      <w:r w:rsidRPr="00390EBD">
        <w:rPr>
          <w:rFonts w:ascii="Book Antiqua" w:hAnsi="Book Antiqua"/>
          <w:sz w:val="24"/>
          <w:szCs w:val="24"/>
          <w:lang w:val="en-GB"/>
        </w:rPr>
        <w:t>Azathioprine</w:t>
      </w:r>
      <w:r w:rsidR="006138C7" w:rsidRPr="00390EBD">
        <w:rPr>
          <w:rFonts w:ascii="Book Antiqua" w:hAnsi="Book Antiqua"/>
          <w:sz w:val="24"/>
          <w:szCs w:val="24"/>
          <w:lang w:val="en-GB"/>
        </w:rPr>
        <w:t>; 6-MP: 6-mercaptopurine; 6-TG: 6-thioguanine; 6-MeMp: 6-methyl mercaptopurine</w:t>
      </w:r>
      <w:r>
        <w:rPr>
          <w:rFonts w:ascii="Book Antiqua" w:hAnsi="Book Antiqua" w:hint="eastAsia"/>
          <w:sz w:val="24"/>
          <w:szCs w:val="24"/>
          <w:lang w:val="en-GB" w:eastAsia="zh-CN"/>
        </w:rPr>
        <w:t>.</w:t>
      </w:r>
    </w:p>
    <w:p w14:paraId="1AE66F29" w14:textId="55A1B408" w:rsidR="000626A0" w:rsidRDefault="000626A0" w:rsidP="00954CEE">
      <w:pPr>
        <w:adjustRightInd w:val="0"/>
        <w:snapToGrid w:val="0"/>
        <w:spacing w:after="0" w:line="360" w:lineRule="auto"/>
        <w:jc w:val="both"/>
        <w:rPr>
          <w:rFonts w:ascii="Book Antiqua" w:hAnsi="Book Antiqua" w:cs="Book Antiqua"/>
          <w:sz w:val="24"/>
          <w:szCs w:val="24"/>
          <w:lang w:val="en-GB"/>
        </w:rPr>
      </w:pPr>
      <w:r>
        <w:rPr>
          <w:rFonts w:ascii="Book Antiqua" w:hAnsi="Book Antiqua" w:cs="Book Antiqua"/>
          <w:sz w:val="24"/>
          <w:szCs w:val="24"/>
          <w:lang w:val="en-GB"/>
        </w:rPr>
        <w:br w:type="page"/>
      </w:r>
    </w:p>
    <w:p w14:paraId="378485E0" w14:textId="77777777" w:rsidR="006138C7" w:rsidRPr="00390EBD" w:rsidRDefault="006138C7" w:rsidP="00954CEE">
      <w:pPr>
        <w:adjustRightInd w:val="0"/>
        <w:snapToGrid w:val="0"/>
        <w:spacing w:after="0" w:line="360" w:lineRule="auto"/>
        <w:jc w:val="both"/>
        <w:rPr>
          <w:rFonts w:ascii="Book Antiqua" w:hAnsi="Book Antiqua" w:cs="Book Antiqua"/>
          <w:sz w:val="24"/>
          <w:szCs w:val="24"/>
          <w:lang w:val="en-GB"/>
        </w:rPr>
      </w:pPr>
    </w:p>
    <w:p w14:paraId="1543472C" w14:textId="72FDB1C1" w:rsidR="006138C7" w:rsidRPr="00390EBD" w:rsidRDefault="001B1BBE" w:rsidP="00954CEE">
      <w:pPr>
        <w:adjustRightInd w:val="0"/>
        <w:snapToGrid w:val="0"/>
        <w:spacing w:after="0" w:line="360" w:lineRule="auto"/>
        <w:jc w:val="both"/>
        <w:rPr>
          <w:rFonts w:ascii="Book Antiqua" w:hAnsi="Book Antiqua" w:cs="Book Antiqua"/>
          <w:sz w:val="24"/>
          <w:szCs w:val="24"/>
          <w:lang w:val="en-GB" w:eastAsia="zh-CN"/>
        </w:rPr>
      </w:pPr>
      <w:r w:rsidRPr="00390EBD">
        <w:rPr>
          <w:rFonts w:ascii="Book Antiqua" w:hAnsi="Book Antiqua"/>
          <w:noProof/>
          <w:sz w:val="24"/>
          <w:szCs w:val="24"/>
          <w:lang w:val="en-US" w:eastAsia="zh-CN"/>
        </w:rPr>
        <w:drawing>
          <wp:anchor distT="0" distB="0" distL="114300" distR="114300" simplePos="0" relativeHeight="251657728" behindDoc="1" locked="0" layoutInCell="1" allowOverlap="1" wp14:anchorId="010CA7AD" wp14:editId="5D893A3D">
            <wp:simplePos x="0" y="0"/>
            <wp:positionH relativeFrom="column">
              <wp:posOffset>16510</wp:posOffset>
            </wp:positionH>
            <wp:positionV relativeFrom="paragraph">
              <wp:posOffset>403225</wp:posOffset>
            </wp:positionV>
            <wp:extent cx="5398770" cy="2510790"/>
            <wp:effectExtent l="19050" t="0" r="0" b="0"/>
            <wp:wrapTight wrapText="bothSides">
              <wp:wrapPolygon edited="0">
                <wp:start x="-76" y="0"/>
                <wp:lineTo x="-76" y="21469"/>
                <wp:lineTo x="21570" y="21469"/>
                <wp:lineTo x="21570" y="0"/>
                <wp:lineTo x="-76" y="0"/>
              </wp:wrapPolygon>
            </wp:wrapTight>
            <wp:docPr id="3" name="0 Imagen" descr="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Fig 3.jpg"/>
                    <pic:cNvPicPr>
                      <a:picLocks noChangeAspect="1" noChangeArrowheads="1"/>
                    </pic:cNvPicPr>
                  </pic:nvPicPr>
                  <pic:blipFill>
                    <a:blip r:embed="rId10"/>
                    <a:srcRect/>
                    <a:stretch>
                      <a:fillRect/>
                    </a:stretch>
                  </pic:blipFill>
                  <pic:spPr bwMode="auto">
                    <a:xfrm>
                      <a:off x="0" y="0"/>
                      <a:ext cx="5398770" cy="2510790"/>
                    </a:xfrm>
                    <a:prstGeom prst="rect">
                      <a:avLst/>
                    </a:prstGeom>
                    <a:noFill/>
                  </pic:spPr>
                </pic:pic>
              </a:graphicData>
            </a:graphic>
          </wp:anchor>
        </w:drawing>
      </w:r>
    </w:p>
    <w:p w14:paraId="09993A71" w14:textId="6A884F5C" w:rsidR="000626A0" w:rsidRPr="000626A0" w:rsidRDefault="000626A0" w:rsidP="00954CEE">
      <w:pPr>
        <w:adjustRightInd w:val="0"/>
        <w:snapToGrid w:val="0"/>
        <w:spacing w:after="0" w:line="360" w:lineRule="auto"/>
        <w:jc w:val="both"/>
        <w:rPr>
          <w:rFonts w:ascii="Book Antiqua" w:hAnsi="Book Antiqua" w:cs="Book Antiqua"/>
          <w:b/>
          <w:sz w:val="24"/>
          <w:szCs w:val="24"/>
          <w:lang w:val="en-GB" w:eastAsia="zh-CN"/>
        </w:rPr>
      </w:pPr>
      <w:r w:rsidRPr="000626A0">
        <w:rPr>
          <w:rFonts w:ascii="Book Antiqua" w:hAnsi="Book Antiqua" w:cs="Book Antiqua" w:hint="eastAsia"/>
          <w:b/>
          <w:sz w:val="24"/>
          <w:szCs w:val="24"/>
          <w:lang w:val="en-GB" w:eastAsia="zh-CN"/>
        </w:rPr>
        <w:t>F</w:t>
      </w:r>
      <w:r w:rsidRPr="000626A0">
        <w:rPr>
          <w:rFonts w:ascii="Book Antiqua" w:hAnsi="Book Antiqua" w:cs="Book Antiqua"/>
          <w:b/>
          <w:sz w:val="24"/>
          <w:szCs w:val="24"/>
          <w:lang w:val="en-GB"/>
        </w:rPr>
        <w:t>igure 3 True and false determination of antibodies according to drug levels</w:t>
      </w:r>
      <w:r w:rsidRPr="000626A0">
        <w:rPr>
          <w:rFonts w:ascii="Book Antiqua" w:hAnsi="Book Antiqua" w:cs="Book Antiqua" w:hint="eastAsia"/>
          <w:b/>
          <w:sz w:val="24"/>
          <w:szCs w:val="24"/>
          <w:lang w:val="en-GB" w:eastAsia="zh-CN"/>
        </w:rPr>
        <w:t>.</w:t>
      </w:r>
    </w:p>
    <w:p w14:paraId="510E1D34" w14:textId="77777777" w:rsidR="006138C7" w:rsidRPr="000626A0" w:rsidRDefault="006138C7" w:rsidP="00954CEE">
      <w:pPr>
        <w:autoSpaceDE w:val="0"/>
        <w:autoSpaceDN w:val="0"/>
        <w:adjustRightInd w:val="0"/>
        <w:snapToGrid w:val="0"/>
        <w:spacing w:after="0" w:line="360" w:lineRule="auto"/>
        <w:jc w:val="both"/>
        <w:rPr>
          <w:rFonts w:ascii="Book Antiqua" w:hAnsi="Book Antiqua" w:cs="Book Antiqua"/>
          <w:sz w:val="24"/>
          <w:szCs w:val="24"/>
          <w:lang w:val="en-GB"/>
        </w:rPr>
      </w:pPr>
    </w:p>
    <w:p w14:paraId="258332E7" w14:textId="77777777" w:rsidR="006138C7" w:rsidRPr="00390EBD" w:rsidRDefault="006138C7" w:rsidP="00954CEE">
      <w:pPr>
        <w:autoSpaceDE w:val="0"/>
        <w:autoSpaceDN w:val="0"/>
        <w:adjustRightInd w:val="0"/>
        <w:snapToGrid w:val="0"/>
        <w:spacing w:after="0" w:line="360" w:lineRule="auto"/>
        <w:jc w:val="both"/>
        <w:rPr>
          <w:rFonts w:ascii="Book Antiqua" w:hAnsi="Book Antiqua" w:cs="Book Antiqua"/>
          <w:sz w:val="24"/>
          <w:szCs w:val="24"/>
          <w:lang w:val="en-GB"/>
        </w:rPr>
      </w:pPr>
    </w:p>
    <w:sectPr w:rsidR="006138C7" w:rsidRPr="00390EBD" w:rsidSect="00AB528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9F8B7" w14:textId="77777777" w:rsidR="004C4533" w:rsidRDefault="004C4533" w:rsidP="004D1EAC">
      <w:pPr>
        <w:spacing w:after="0" w:line="240" w:lineRule="auto"/>
        <w:rPr>
          <w:rFonts w:cs="Times New Roman"/>
        </w:rPr>
      </w:pPr>
      <w:r>
        <w:rPr>
          <w:rFonts w:cs="Times New Roman"/>
        </w:rPr>
        <w:separator/>
      </w:r>
    </w:p>
  </w:endnote>
  <w:endnote w:type="continuationSeparator" w:id="0">
    <w:p w14:paraId="597DC938" w14:textId="77777777" w:rsidR="004C4533" w:rsidRDefault="004C4533" w:rsidP="004D1EA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Berkeley-Book">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D9C5F" w14:textId="77777777" w:rsidR="004C4533" w:rsidRDefault="004C4533" w:rsidP="004D1EAC">
      <w:pPr>
        <w:spacing w:after="0" w:line="240" w:lineRule="auto"/>
        <w:rPr>
          <w:rFonts w:cs="Times New Roman"/>
        </w:rPr>
      </w:pPr>
      <w:r>
        <w:rPr>
          <w:rFonts w:cs="Times New Roman"/>
        </w:rPr>
        <w:separator/>
      </w:r>
    </w:p>
  </w:footnote>
  <w:footnote w:type="continuationSeparator" w:id="0">
    <w:p w14:paraId="54CA9093" w14:textId="77777777" w:rsidR="004C4533" w:rsidRDefault="004C4533" w:rsidP="004D1EAC">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53AF"/>
    <w:multiLevelType w:val="hybridMultilevel"/>
    <w:tmpl w:val="A510CA06"/>
    <w:lvl w:ilvl="0" w:tplc="91FE5192">
      <w:start w:val="204"/>
      <w:numFmt w:val="decimal"/>
      <w:lvlText w:val="%1."/>
      <w:lvlJc w:val="left"/>
      <w:pPr>
        <w:tabs>
          <w:tab w:val="num" w:pos="780"/>
        </w:tabs>
        <w:ind w:left="780" w:hanging="4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34577B"/>
    <w:multiLevelType w:val="hybridMultilevel"/>
    <w:tmpl w:val="B82874F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A791A12"/>
    <w:multiLevelType w:val="hybridMultilevel"/>
    <w:tmpl w:val="E780DA22"/>
    <w:lvl w:ilvl="0" w:tplc="87EE1506">
      <w:start w:val="204"/>
      <w:numFmt w:val="decimal"/>
      <w:lvlText w:val="%1."/>
      <w:lvlJc w:val="left"/>
      <w:pPr>
        <w:tabs>
          <w:tab w:val="num" w:pos="780"/>
        </w:tabs>
        <w:ind w:left="780" w:hanging="4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17A49F9"/>
    <w:multiLevelType w:val="hybridMultilevel"/>
    <w:tmpl w:val="3AD466E6"/>
    <w:lvl w:ilvl="0" w:tplc="931889A0">
      <w:numFmt w:val="bullet"/>
      <w:lvlText w:val="-"/>
      <w:lvlJc w:val="left"/>
      <w:pPr>
        <w:ind w:left="720" w:hanging="360"/>
      </w:pPr>
      <w:rPr>
        <w:rFonts w:ascii="Book Antiqua" w:eastAsia="Times New Roman" w:hAnsi="Book Antiqu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725176"/>
    <w:multiLevelType w:val="hybridMultilevel"/>
    <w:tmpl w:val="E67A8C8E"/>
    <w:lvl w:ilvl="0" w:tplc="36D87A8A">
      <w:numFmt w:val="bullet"/>
      <w:lvlText w:val="-"/>
      <w:lvlJc w:val="left"/>
      <w:pPr>
        <w:ind w:left="720" w:hanging="360"/>
      </w:pPr>
      <w:rPr>
        <w:rFonts w:ascii="Book Antiqua" w:eastAsia="Times New Roman" w:hAnsi="Book Antiqu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5F93EE1"/>
    <w:multiLevelType w:val="hybridMultilevel"/>
    <w:tmpl w:val="FC0AAD84"/>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7975927"/>
    <w:multiLevelType w:val="hybridMultilevel"/>
    <w:tmpl w:val="861C7BB2"/>
    <w:lvl w:ilvl="0" w:tplc="36D87A8A">
      <w:numFmt w:val="bullet"/>
      <w:lvlText w:val="-"/>
      <w:lvlJc w:val="left"/>
      <w:pPr>
        <w:ind w:left="720" w:hanging="360"/>
      </w:pPr>
      <w:rPr>
        <w:rFonts w:ascii="Book Antiqua" w:eastAsia="Times New Roman" w:hAnsi="Book Antiqu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90B2B26"/>
    <w:multiLevelType w:val="hybridMultilevel"/>
    <w:tmpl w:val="0F64B58A"/>
    <w:lvl w:ilvl="0" w:tplc="544EADDA">
      <w:numFmt w:val="bullet"/>
      <w:lvlText w:val="-"/>
      <w:lvlJc w:val="left"/>
      <w:pPr>
        <w:tabs>
          <w:tab w:val="num" w:pos="720"/>
        </w:tabs>
        <w:ind w:left="720" w:hanging="360"/>
      </w:pPr>
      <w:rPr>
        <w:rFonts w:ascii="Cambria" w:eastAsia="Times New Roman" w:hAnsi="Cambria"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931DC1"/>
    <w:multiLevelType w:val="hybridMultilevel"/>
    <w:tmpl w:val="2AC077E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3"/>
  </w:num>
  <w:num w:numId="4">
    <w:abstractNumId w:val="6"/>
  </w:num>
  <w:num w:numId="5">
    <w:abstractNumId w:val="4"/>
  </w:num>
  <w:num w:numId="6">
    <w:abstractNumId w:val="5"/>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hideSpellingErrors/>
  <w:defaultTabStop w:val="709"/>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B1"/>
    <w:rsid w:val="000053C1"/>
    <w:rsid w:val="00006511"/>
    <w:rsid w:val="00013F5A"/>
    <w:rsid w:val="000174ED"/>
    <w:rsid w:val="00027333"/>
    <w:rsid w:val="00027A34"/>
    <w:rsid w:val="00027A35"/>
    <w:rsid w:val="00037430"/>
    <w:rsid w:val="00040E47"/>
    <w:rsid w:val="00052EAE"/>
    <w:rsid w:val="00057D2F"/>
    <w:rsid w:val="0006165C"/>
    <w:rsid w:val="000626A0"/>
    <w:rsid w:val="0006365F"/>
    <w:rsid w:val="0006403E"/>
    <w:rsid w:val="00064EFF"/>
    <w:rsid w:val="00064FA7"/>
    <w:rsid w:val="000654B1"/>
    <w:rsid w:val="00067DBD"/>
    <w:rsid w:val="00070B8B"/>
    <w:rsid w:val="00082652"/>
    <w:rsid w:val="0008514E"/>
    <w:rsid w:val="0008756A"/>
    <w:rsid w:val="00087F20"/>
    <w:rsid w:val="000A14E6"/>
    <w:rsid w:val="000B0C28"/>
    <w:rsid w:val="000B0CCC"/>
    <w:rsid w:val="000B6B15"/>
    <w:rsid w:val="000C2042"/>
    <w:rsid w:val="000C2D41"/>
    <w:rsid w:val="000C3656"/>
    <w:rsid w:val="000D0823"/>
    <w:rsid w:val="000D1DDF"/>
    <w:rsid w:val="000D4B13"/>
    <w:rsid w:val="000E0080"/>
    <w:rsid w:val="000E2A5C"/>
    <w:rsid w:val="000F07DD"/>
    <w:rsid w:val="000F1F36"/>
    <w:rsid w:val="000F776C"/>
    <w:rsid w:val="000F7E49"/>
    <w:rsid w:val="00107247"/>
    <w:rsid w:val="00123DF7"/>
    <w:rsid w:val="0012584E"/>
    <w:rsid w:val="0012651E"/>
    <w:rsid w:val="001324C7"/>
    <w:rsid w:val="0013605D"/>
    <w:rsid w:val="00137891"/>
    <w:rsid w:val="00142B10"/>
    <w:rsid w:val="00150152"/>
    <w:rsid w:val="0015312A"/>
    <w:rsid w:val="00180280"/>
    <w:rsid w:val="00185469"/>
    <w:rsid w:val="0019151E"/>
    <w:rsid w:val="00191CBC"/>
    <w:rsid w:val="001A6315"/>
    <w:rsid w:val="001B1BBE"/>
    <w:rsid w:val="001B2C67"/>
    <w:rsid w:val="001B543D"/>
    <w:rsid w:val="001B5D82"/>
    <w:rsid w:val="001C1157"/>
    <w:rsid w:val="001C2AE6"/>
    <w:rsid w:val="001D3A41"/>
    <w:rsid w:val="001D6F27"/>
    <w:rsid w:val="001E2A36"/>
    <w:rsid w:val="001E30B6"/>
    <w:rsid w:val="001F7E0B"/>
    <w:rsid w:val="00200F27"/>
    <w:rsid w:val="0020336D"/>
    <w:rsid w:val="002067CD"/>
    <w:rsid w:val="00206CE1"/>
    <w:rsid w:val="00215D55"/>
    <w:rsid w:val="00216017"/>
    <w:rsid w:val="00225A7A"/>
    <w:rsid w:val="00231C11"/>
    <w:rsid w:val="00235358"/>
    <w:rsid w:val="0024394B"/>
    <w:rsid w:val="00244043"/>
    <w:rsid w:val="00257B8A"/>
    <w:rsid w:val="002644F3"/>
    <w:rsid w:val="00273ED5"/>
    <w:rsid w:val="002745AA"/>
    <w:rsid w:val="00283BDF"/>
    <w:rsid w:val="00292FAC"/>
    <w:rsid w:val="002A55CB"/>
    <w:rsid w:val="002C3370"/>
    <w:rsid w:val="002C62E0"/>
    <w:rsid w:val="002C6582"/>
    <w:rsid w:val="002C68DF"/>
    <w:rsid w:val="002D3E15"/>
    <w:rsid w:val="002D6DC0"/>
    <w:rsid w:val="002D78AF"/>
    <w:rsid w:val="002E667E"/>
    <w:rsid w:val="002F5A24"/>
    <w:rsid w:val="002F69F8"/>
    <w:rsid w:val="003020A9"/>
    <w:rsid w:val="0030703F"/>
    <w:rsid w:val="003077B9"/>
    <w:rsid w:val="00315E5D"/>
    <w:rsid w:val="00317ABE"/>
    <w:rsid w:val="00317F81"/>
    <w:rsid w:val="003201C0"/>
    <w:rsid w:val="0035023C"/>
    <w:rsid w:val="00356468"/>
    <w:rsid w:val="00371AF2"/>
    <w:rsid w:val="003727FD"/>
    <w:rsid w:val="003818CA"/>
    <w:rsid w:val="00382589"/>
    <w:rsid w:val="00390EBD"/>
    <w:rsid w:val="00391725"/>
    <w:rsid w:val="003A0E84"/>
    <w:rsid w:val="003A498E"/>
    <w:rsid w:val="003B35E3"/>
    <w:rsid w:val="003B44B3"/>
    <w:rsid w:val="003C3745"/>
    <w:rsid w:val="003C7E28"/>
    <w:rsid w:val="003D3FA3"/>
    <w:rsid w:val="003E0EF4"/>
    <w:rsid w:val="003E76BE"/>
    <w:rsid w:val="003F4CFA"/>
    <w:rsid w:val="003F5B8D"/>
    <w:rsid w:val="003F7C5E"/>
    <w:rsid w:val="00410B51"/>
    <w:rsid w:val="00413AB4"/>
    <w:rsid w:val="004168A4"/>
    <w:rsid w:val="00423B9E"/>
    <w:rsid w:val="00425E4F"/>
    <w:rsid w:val="00432CB2"/>
    <w:rsid w:val="004365D9"/>
    <w:rsid w:val="0045116B"/>
    <w:rsid w:val="004513D9"/>
    <w:rsid w:val="00454108"/>
    <w:rsid w:val="00457CF0"/>
    <w:rsid w:val="004654F9"/>
    <w:rsid w:val="00466B96"/>
    <w:rsid w:val="004718B5"/>
    <w:rsid w:val="00480949"/>
    <w:rsid w:val="004969B8"/>
    <w:rsid w:val="004A44B4"/>
    <w:rsid w:val="004A74B3"/>
    <w:rsid w:val="004B6F42"/>
    <w:rsid w:val="004C4533"/>
    <w:rsid w:val="004D0020"/>
    <w:rsid w:val="004D1E6E"/>
    <w:rsid w:val="004D1EAC"/>
    <w:rsid w:val="004D48DA"/>
    <w:rsid w:val="004D58A3"/>
    <w:rsid w:val="004E1D39"/>
    <w:rsid w:val="004E4463"/>
    <w:rsid w:val="004E4F48"/>
    <w:rsid w:val="004F6FB6"/>
    <w:rsid w:val="00500B0A"/>
    <w:rsid w:val="00500F4E"/>
    <w:rsid w:val="00524459"/>
    <w:rsid w:val="00525E7B"/>
    <w:rsid w:val="00527DF9"/>
    <w:rsid w:val="00527E2F"/>
    <w:rsid w:val="005400D5"/>
    <w:rsid w:val="0054267B"/>
    <w:rsid w:val="005441BB"/>
    <w:rsid w:val="00555046"/>
    <w:rsid w:val="00556AC6"/>
    <w:rsid w:val="00557A5C"/>
    <w:rsid w:val="00562193"/>
    <w:rsid w:val="00564292"/>
    <w:rsid w:val="00571D86"/>
    <w:rsid w:val="00572BCE"/>
    <w:rsid w:val="0057386B"/>
    <w:rsid w:val="00575F29"/>
    <w:rsid w:val="005835FF"/>
    <w:rsid w:val="00583EDB"/>
    <w:rsid w:val="00586D9A"/>
    <w:rsid w:val="00587676"/>
    <w:rsid w:val="00595DE8"/>
    <w:rsid w:val="005965E3"/>
    <w:rsid w:val="005A4DD1"/>
    <w:rsid w:val="005A5D0D"/>
    <w:rsid w:val="005A76ED"/>
    <w:rsid w:val="005B2873"/>
    <w:rsid w:val="005C140F"/>
    <w:rsid w:val="005C1D88"/>
    <w:rsid w:val="005C29F1"/>
    <w:rsid w:val="005C6F26"/>
    <w:rsid w:val="005D1EC4"/>
    <w:rsid w:val="005E1339"/>
    <w:rsid w:val="005E3E21"/>
    <w:rsid w:val="005E41EC"/>
    <w:rsid w:val="005F053C"/>
    <w:rsid w:val="005F05F7"/>
    <w:rsid w:val="005F12E1"/>
    <w:rsid w:val="005F2670"/>
    <w:rsid w:val="005F670C"/>
    <w:rsid w:val="00601490"/>
    <w:rsid w:val="00603061"/>
    <w:rsid w:val="00604CA6"/>
    <w:rsid w:val="00605844"/>
    <w:rsid w:val="006073EE"/>
    <w:rsid w:val="00610A81"/>
    <w:rsid w:val="00611B74"/>
    <w:rsid w:val="006138C7"/>
    <w:rsid w:val="00615398"/>
    <w:rsid w:val="006165D0"/>
    <w:rsid w:val="00623E70"/>
    <w:rsid w:val="00625468"/>
    <w:rsid w:val="00625804"/>
    <w:rsid w:val="0063621E"/>
    <w:rsid w:val="00640337"/>
    <w:rsid w:val="00645820"/>
    <w:rsid w:val="0065230D"/>
    <w:rsid w:val="0065625B"/>
    <w:rsid w:val="006577DB"/>
    <w:rsid w:val="00662538"/>
    <w:rsid w:val="00662DD2"/>
    <w:rsid w:val="00674245"/>
    <w:rsid w:val="00676C06"/>
    <w:rsid w:val="006773A5"/>
    <w:rsid w:val="00685C31"/>
    <w:rsid w:val="006879A0"/>
    <w:rsid w:val="00690250"/>
    <w:rsid w:val="00692B79"/>
    <w:rsid w:val="00693360"/>
    <w:rsid w:val="00696A0D"/>
    <w:rsid w:val="006A194A"/>
    <w:rsid w:val="006A58E9"/>
    <w:rsid w:val="006C407D"/>
    <w:rsid w:val="006C53D5"/>
    <w:rsid w:val="006D1306"/>
    <w:rsid w:val="006D3661"/>
    <w:rsid w:val="006E00BF"/>
    <w:rsid w:val="006E0DB5"/>
    <w:rsid w:val="006E2CDF"/>
    <w:rsid w:val="006F11CB"/>
    <w:rsid w:val="006F17EF"/>
    <w:rsid w:val="006F185E"/>
    <w:rsid w:val="006F22B3"/>
    <w:rsid w:val="006F3D9F"/>
    <w:rsid w:val="006F49FB"/>
    <w:rsid w:val="006F7C04"/>
    <w:rsid w:val="0070175E"/>
    <w:rsid w:val="00705B7C"/>
    <w:rsid w:val="00710BE0"/>
    <w:rsid w:val="007124F4"/>
    <w:rsid w:val="00713FA2"/>
    <w:rsid w:val="00725CB1"/>
    <w:rsid w:val="007308E4"/>
    <w:rsid w:val="007326D8"/>
    <w:rsid w:val="00737FFB"/>
    <w:rsid w:val="00742B99"/>
    <w:rsid w:val="00745205"/>
    <w:rsid w:val="00745207"/>
    <w:rsid w:val="0074572F"/>
    <w:rsid w:val="0074665D"/>
    <w:rsid w:val="00755649"/>
    <w:rsid w:val="0076261A"/>
    <w:rsid w:val="00764F48"/>
    <w:rsid w:val="00794BE0"/>
    <w:rsid w:val="007A1542"/>
    <w:rsid w:val="007A2F2F"/>
    <w:rsid w:val="007A52CF"/>
    <w:rsid w:val="007B21B5"/>
    <w:rsid w:val="007C7083"/>
    <w:rsid w:val="007D138E"/>
    <w:rsid w:val="007D1960"/>
    <w:rsid w:val="007D3C67"/>
    <w:rsid w:val="007D4D65"/>
    <w:rsid w:val="007E78E2"/>
    <w:rsid w:val="007F0E10"/>
    <w:rsid w:val="007F365A"/>
    <w:rsid w:val="007F390A"/>
    <w:rsid w:val="007F4A01"/>
    <w:rsid w:val="007F78A6"/>
    <w:rsid w:val="00806DAF"/>
    <w:rsid w:val="008125C4"/>
    <w:rsid w:val="008141FB"/>
    <w:rsid w:val="00821209"/>
    <w:rsid w:val="00821519"/>
    <w:rsid w:val="008255E7"/>
    <w:rsid w:val="00830393"/>
    <w:rsid w:val="00841BFE"/>
    <w:rsid w:val="0084714D"/>
    <w:rsid w:val="00850ED6"/>
    <w:rsid w:val="0085518A"/>
    <w:rsid w:val="00861914"/>
    <w:rsid w:val="00864608"/>
    <w:rsid w:val="00865FE6"/>
    <w:rsid w:val="00871D16"/>
    <w:rsid w:val="00873D76"/>
    <w:rsid w:val="008773DD"/>
    <w:rsid w:val="008855C9"/>
    <w:rsid w:val="008A299C"/>
    <w:rsid w:val="008A3CCD"/>
    <w:rsid w:val="008A4A68"/>
    <w:rsid w:val="008A4FEC"/>
    <w:rsid w:val="008A67DE"/>
    <w:rsid w:val="008B2275"/>
    <w:rsid w:val="008B5E42"/>
    <w:rsid w:val="008B64C2"/>
    <w:rsid w:val="008C4C06"/>
    <w:rsid w:val="008C50E6"/>
    <w:rsid w:val="008C610A"/>
    <w:rsid w:val="008F141D"/>
    <w:rsid w:val="008F5DAE"/>
    <w:rsid w:val="008F772A"/>
    <w:rsid w:val="009046D6"/>
    <w:rsid w:val="00910C52"/>
    <w:rsid w:val="009174E9"/>
    <w:rsid w:val="00921025"/>
    <w:rsid w:val="00921A05"/>
    <w:rsid w:val="0092332B"/>
    <w:rsid w:val="00925DC2"/>
    <w:rsid w:val="0093002C"/>
    <w:rsid w:val="00933FC3"/>
    <w:rsid w:val="00935B45"/>
    <w:rsid w:val="00940FC5"/>
    <w:rsid w:val="009426E1"/>
    <w:rsid w:val="00944335"/>
    <w:rsid w:val="00946286"/>
    <w:rsid w:val="00950D98"/>
    <w:rsid w:val="00953F66"/>
    <w:rsid w:val="00954CEE"/>
    <w:rsid w:val="0096512C"/>
    <w:rsid w:val="00967404"/>
    <w:rsid w:val="00972456"/>
    <w:rsid w:val="00973FF0"/>
    <w:rsid w:val="00975BE2"/>
    <w:rsid w:val="00984DAB"/>
    <w:rsid w:val="009857BC"/>
    <w:rsid w:val="0098692A"/>
    <w:rsid w:val="00987AD8"/>
    <w:rsid w:val="009936D6"/>
    <w:rsid w:val="009938D9"/>
    <w:rsid w:val="009947D7"/>
    <w:rsid w:val="00995AD4"/>
    <w:rsid w:val="009A3CE1"/>
    <w:rsid w:val="009A61BD"/>
    <w:rsid w:val="009B4D95"/>
    <w:rsid w:val="009B6517"/>
    <w:rsid w:val="009C45A8"/>
    <w:rsid w:val="009D1AF2"/>
    <w:rsid w:val="009D43F7"/>
    <w:rsid w:val="009D475B"/>
    <w:rsid w:val="009E4D9B"/>
    <w:rsid w:val="009F044E"/>
    <w:rsid w:val="009F2523"/>
    <w:rsid w:val="009F2568"/>
    <w:rsid w:val="00A04180"/>
    <w:rsid w:val="00A102B2"/>
    <w:rsid w:val="00A150CB"/>
    <w:rsid w:val="00A21839"/>
    <w:rsid w:val="00A31046"/>
    <w:rsid w:val="00A45668"/>
    <w:rsid w:val="00A46AAC"/>
    <w:rsid w:val="00A5106C"/>
    <w:rsid w:val="00A53483"/>
    <w:rsid w:val="00A5373E"/>
    <w:rsid w:val="00A5505E"/>
    <w:rsid w:val="00A63678"/>
    <w:rsid w:val="00A65A3E"/>
    <w:rsid w:val="00A673FC"/>
    <w:rsid w:val="00A75C54"/>
    <w:rsid w:val="00A82733"/>
    <w:rsid w:val="00A8538E"/>
    <w:rsid w:val="00A934F0"/>
    <w:rsid w:val="00AA1AD2"/>
    <w:rsid w:val="00AB2076"/>
    <w:rsid w:val="00AB2CF3"/>
    <w:rsid w:val="00AB528B"/>
    <w:rsid w:val="00AB5483"/>
    <w:rsid w:val="00AB6F61"/>
    <w:rsid w:val="00AC7A30"/>
    <w:rsid w:val="00AE30B2"/>
    <w:rsid w:val="00AE63A1"/>
    <w:rsid w:val="00AF2C22"/>
    <w:rsid w:val="00AF7293"/>
    <w:rsid w:val="00B02CF3"/>
    <w:rsid w:val="00B037B2"/>
    <w:rsid w:val="00B13B1E"/>
    <w:rsid w:val="00B24876"/>
    <w:rsid w:val="00B27A15"/>
    <w:rsid w:val="00B470AF"/>
    <w:rsid w:val="00B47DA1"/>
    <w:rsid w:val="00B53E9E"/>
    <w:rsid w:val="00B56EBE"/>
    <w:rsid w:val="00B60A86"/>
    <w:rsid w:val="00B6318A"/>
    <w:rsid w:val="00B669B5"/>
    <w:rsid w:val="00B674D5"/>
    <w:rsid w:val="00B7222F"/>
    <w:rsid w:val="00B762E3"/>
    <w:rsid w:val="00B80981"/>
    <w:rsid w:val="00B8493A"/>
    <w:rsid w:val="00B865B9"/>
    <w:rsid w:val="00B876D1"/>
    <w:rsid w:val="00B90976"/>
    <w:rsid w:val="00B916D6"/>
    <w:rsid w:val="00BA00AD"/>
    <w:rsid w:val="00BA5872"/>
    <w:rsid w:val="00BA6280"/>
    <w:rsid w:val="00BB47A2"/>
    <w:rsid w:val="00BB5226"/>
    <w:rsid w:val="00BB5B43"/>
    <w:rsid w:val="00BC235F"/>
    <w:rsid w:val="00BC5A31"/>
    <w:rsid w:val="00BD2C06"/>
    <w:rsid w:val="00BD40C4"/>
    <w:rsid w:val="00BD6EC5"/>
    <w:rsid w:val="00BE156A"/>
    <w:rsid w:val="00BE36EC"/>
    <w:rsid w:val="00BE4C18"/>
    <w:rsid w:val="00BE52F7"/>
    <w:rsid w:val="00BE65C4"/>
    <w:rsid w:val="00BF4054"/>
    <w:rsid w:val="00BF674A"/>
    <w:rsid w:val="00BF72C3"/>
    <w:rsid w:val="00C014EC"/>
    <w:rsid w:val="00C03478"/>
    <w:rsid w:val="00C06062"/>
    <w:rsid w:val="00C11808"/>
    <w:rsid w:val="00C15DFC"/>
    <w:rsid w:val="00C15F29"/>
    <w:rsid w:val="00C2240E"/>
    <w:rsid w:val="00C4248F"/>
    <w:rsid w:val="00C5781C"/>
    <w:rsid w:val="00C73876"/>
    <w:rsid w:val="00C84BCF"/>
    <w:rsid w:val="00C852EA"/>
    <w:rsid w:val="00C910AC"/>
    <w:rsid w:val="00C94B1A"/>
    <w:rsid w:val="00CB16EC"/>
    <w:rsid w:val="00CB740D"/>
    <w:rsid w:val="00CC0DB9"/>
    <w:rsid w:val="00CC60A3"/>
    <w:rsid w:val="00CD16DC"/>
    <w:rsid w:val="00CD6EB6"/>
    <w:rsid w:val="00CE021E"/>
    <w:rsid w:val="00CE05FC"/>
    <w:rsid w:val="00CE0E43"/>
    <w:rsid w:val="00CE4C69"/>
    <w:rsid w:val="00CF3684"/>
    <w:rsid w:val="00D00BEA"/>
    <w:rsid w:val="00D04021"/>
    <w:rsid w:val="00D113E8"/>
    <w:rsid w:val="00D13C79"/>
    <w:rsid w:val="00D1755A"/>
    <w:rsid w:val="00D20C41"/>
    <w:rsid w:val="00D22E66"/>
    <w:rsid w:val="00D24172"/>
    <w:rsid w:val="00D246A5"/>
    <w:rsid w:val="00D25931"/>
    <w:rsid w:val="00D27E99"/>
    <w:rsid w:val="00D357D1"/>
    <w:rsid w:val="00D36616"/>
    <w:rsid w:val="00D50F2C"/>
    <w:rsid w:val="00D523D2"/>
    <w:rsid w:val="00D72B81"/>
    <w:rsid w:val="00D758C0"/>
    <w:rsid w:val="00D75C01"/>
    <w:rsid w:val="00D9428D"/>
    <w:rsid w:val="00D95AD7"/>
    <w:rsid w:val="00DA0024"/>
    <w:rsid w:val="00DA167B"/>
    <w:rsid w:val="00DA1DBE"/>
    <w:rsid w:val="00DA349E"/>
    <w:rsid w:val="00DB180B"/>
    <w:rsid w:val="00DB2099"/>
    <w:rsid w:val="00DB3955"/>
    <w:rsid w:val="00DB399C"/>
    <w:rsid w:val="00DB5CDE"/>
    <w:rsid w:val="00DB7605"/>
    <w:rsid w:val="00DC56D7"/>
    <w:rsid w:val="00DC76E4"/>
    <w:rsid w:val="00DD17AE"/>
    <w:rsid w:val="00DE5492"/>
    <w:rsid w:val="00DE6BD0"/>
    <w:rsid w:val="00DF2D38"/>
    <w:rsid w:val="00DF571E"/>
    <w:rsid w:val="00E00F79"/>
    <w:rsid w:val="00E03632"/>
    <w:rsid w:val="00E07CB4"/>
    <w:rsid w:val="00E10AA6"/>
    <w:rsid w:val="00E1197B"/>
    <w:rsid w:val="00E11A56"/>
    <w:rsid w:val="00E207E2"/>
    <w:rsid w:val="00E23CC7"/>
    <w:rsid w:val="00E24D5F"/>
    <w:rsid w:val="00E34CD3"/>
    <w:rsid w:val="00E37300"/>
    <w:rsid w:val="00E3798C"/>
    <w:rsid w:val="00E41117"/>
    <w:rsid w:val="00E4267F"/>
    <w:rsid w:val="00E47A8B"/>
    <w:rsid w:val="00E62BC3"/>
    <w:rsid w:val="00E6349D"/>
    <w:rsid w:val="00E72CC0"/>
    <w:rsid w:val="00E8521C"/>
    <w:rsid w:val="00E928F7"/>
    <w:rsid w:val="00E959FB"/>
    <w:rsid w:val="00EB0FD6"/>
    <w:rsid w:val="00EB6A3E"/>
    <w:rsid w:val="00EC0716"/>
    <w:rsid w:val="00EC13D1"/>
    <w:rsid w:val="00EC4C3E"/>
    <w:rsid w:val="00EC56D5"/>
    <w:rsid w:val="00EE0910"/>
    <w:rsid w:val="00EE47B2"/>
    <w:rsid w:val="00EE664F"/>
    <w:rsid w:val="00EE684D"/>
    <w:rsid w:val="00F01B90"/>
    <w:rsid w:val="00F03AF5"/>
    <w:rsid w:val="00F05F03"/>
    <w:rsid w:val="00F24E69"/>
    <w:rsid w:val="00F40969"/>
    <w:rsid w:val="00F40EC5"/>
    <w:rsid w:val="00F4483F"/>
    <w:rsid w:val="00F53382"/>
    <w:rsid w:val="00F53AF0"/>
    <w:rsid w:val="00F53E9D"/>
    <w:rsid w:val="00F63E9F"/>
    <w:rsid w:val="00F65B08"/>
    <w:rsid w:val="00F77B57"/>
    <w:rsid w:val="00F852A8"/>
    <w:rsid w:val="00F854AF"/>
    <w:rsid w:val="00F8573E"/>
    <w:rsid w:val="00F8656D"/>
    <w:rsid w:val="00F879EE"/>
    <w:rsid w:val="00F93BF1"/>
    <w:rsid w:val="00F94556"/>
    <w:rsid w:val="00FB06E7"/>
    <w:rsid w:val="00FB5A3B"/>
    <w:rsid w:val="00FB63B9"/>
    <w:rsid w:val="00FB749A"/>
    <w:rsid w:val="00FC644F"/>
    <w:rsid w:val="00FD4082"/>
    <w:rsid w:val="00FD59C3"/>
    <w:rsid w:val="00FE650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DB3BB6"/>
  <w15:docId w15:val="{8FC8AB25-CF0F-42C4-BD8B-D4290B7D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28B"/>
    <w:pPr>
      <w:spacing w:after="200" w:line="276" w:lineRule="auto"/>
    </w:pPr>
    <w:rPr>
      <w:rFonts w:cs="Calibri"/>
      <w:lang w:eastAsia="en-US"/>
    </w:rPr>
  </w:style>
  <w:style w:type="paragraph" w:styleId="Heading1">
    <w:name w:val="heading 1"/>
    <w:basedOn w:val="Normal"/>
    <w:link w:val="Heading1Char"/>
    <w:uiPriority w:val="99"/>
    <w:qFormat/>
    <w:rsid w:val="00E8521C"/>
    <w:pPr>
      <w:spacing w:before="240" w:after="120" w:line="240" w:lineRule="auto"/>
      <w:outlineLvl w:val="0"/>
    </w:pPr>
    <w:rPr>
      <w:rFonts w:ascii="Times New Roman" w:hAnsi="Times New Roman" w:cs="Times New Roman"/>
      <w:b/>
      <w:bCs/>
      <w:color w:val="000000"/>
      <w:kern w:val="36"/>
      <w:sz w:val="33"/>
      <w:szCs w:val="33"/>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521C"/>
    <w:rPr>
      <w:rFonts w:ascii="Times New Roman" w:hAnsi="Times New Roman" w:cs="Times New Roman"/>
      <w:b/>
      <w:bCs/>
      <w:color w:val="000000"/>
      <w:kern w:val="36"/>
      <w:sz w:val="33"/>
      <w:szCs w:val="33"/>
    </w:rPr>
  </w:style>
  <w:style w:type="table" w:customStyle="1" w:styleId="Sombreadomedio1-nfasis11">
    <w:name w:val="Sombreado medio 1 - Énfasis 11"/>
    <w:uiPriority w:val="99"/>
    <w:rsid w:val="00E34CD3"/>
    <w:rPr>
      <w:rFonts w:cs="Calibri"/>
      <w:sz w:val="20"/>
      <w:szCs w:val="20"/>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TableGrid">
    <w:name w:val="Table Grid"/>
    <w:basedOn w:val="TableNormal"/>
    <w:uiPriority w:val="99"/>
    <w:rsid w:val="00BA628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uiPriority w:val="99"/>
    <w:rsid w:val="008A299C"/>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71AF2"/>
    <w:rPr>
      <w:rFonts w:cs="Times New Roman"/>
      <w:color w:val="0000FF"/>
      <w:u w:val="single"/>
    </w:rPr>
  </w:style>
  <w:style w:type="character" w:customStyle="1" w:styleId="apple-converted-space">
    <w:name w:val="apple-converted-space"/>
    <w:basedOn w:val="DefaultParagraphFont"/>
    <w:rsid w:val="00E8521C"/>
    <w:rPr>
      <w:rFonts w:cs="Times New Roman"/>
    </w:rPr>
  </w:style>
  <w:style w:type="table" w:styleId="TableList2">
    <w:name w:val="Table List 2"/>
    <w:basedOn w:val="TableNormal"/>
    <w:uiPriority w:val="99"/>
    <w:rsid w:val="00E8521C"/>
    <w:pPr>
      <w:spacing w:after="200" w:line="276" w:lineRule="auto"/>
    </w:pPr>
    <w:rPr>
      <w:rFonts w:ascii="Times New Roman" w:hAnsi="Times New Roman"/>
      <w:sz w:val="20"/>
      <w:szCs w:val="20"/>
      <w:lang w:val="ca-ES" w:eastAsia="ca-E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E8521C"/>
    <w:pPr>
      <w:ind w:left="720"/>
      <w:contextualSpacing/>
    </w:pPr>
  </w:style>
  <w:style w:type="character" w:customStyle="1" w:styleId="jrnl">
    <w:name w:val="jrnl"/>
    <w:basedOn w:val="DefaultParagraphFont"/>
    <w:uiPriority w:val="99"/>
    <w:rsid w:val="00E8521C"/>
    <w:rPr>
      <w:rFonts w:cs="Times New Roman"/>
    </w:rPr>
  </w:style>
  <w:style w:type="character" w:customStyle="1" w:styleId="highlight">
    <w:name w:val="highlight"/>
    <w:basedOn w:val="DefaultParagraphFont"/>
    <w:uiPriority w:val="99"/>
    <w:rsid w:val="00E8521C"/>
    <w:rPr>
      <w:rFonts w:cs="Times New Roman"/>
    </w:rPr>
  </w:style>
  <w:style w:type="paragraph" w:customStyle="1" w:styleId="desc">
    <w:name w:val="desc"/>
    <w:basedOn w:val="Normal"/>
    <w:uiPriority w:val="99"/>
    <w:rsid w:val="00E8521C"/>
    <w:pPr>
      <w:spacing w:before="100" w:beforeAutospacing="1" w:after="100" w:afterAutospacing="1" w:line="240" w:lineRule="auto"/>
    </w:pPr>
    <w:rPr>
      <w:rFonts w:ascii="Times New Roman" w:hAnsi="Times New Roman" w:cs="Times New Roman"/>
      <w:sz w:val="24"/>
      <w:szCs w:val="24"/>
      <w:lang w:eastAsia="es-ES"/>
    </w:rPr>
  </w:style>
  <w:style w:type="character" w:customStyle="1" w:styleId="citation">
    <w:name w:val="citation"/>
    <w:basedOn w:val="DefaultParagraphFont"/>
    <w:uiPriority w:val="99"/>
    <w:rsid w:val="00E8521C"/>
    <w:rPr>
      <w:rFonts w:cs="Times New Roman"/>
    </w:rPr>
  </w:style>
  <w:style w:type="character" w:customStyle="1" w:styleId="hitinf1">
    <w:name w:val="hit_inf1"/>
    <w:basedOn w:val="DefaultParagraphFont"/>
    <w:uiPriority w:val="99"/>
    <w:rsid w:val="00E8521C"/>
    <w:rPr>
      <w:rFonts w:cs="Times New Roman"/>
      <w:b/>
      <w:bCs/>
      <w:shd w:val="clear" w:color="auto" w:fill="FFEEDD"/>
    </w:rPr>
  </w:style>
  <w:style w:type="character" w:customStyle="1" w:styleId="highlight2">
    <w:name w:val="highlight2"/>
    <w:basedOn w:val="DefaultParagraphFont"/>
    <w:uiPriority w:val="99"/>
    <w:rsid w:val="00E8521C"/>
    <w:rPr>
      <w:rFonts w:cs="Times New Roman"/>
    </w:rPr>
  </w:style>
  <w:style w:type="character" w:customStyle="1" w:styleId="st1">
    <w:name w:val="st1"/>
    <w:basedOn w:val="DefaultParagraphFont"/>
    <w:uiPriority w:val="99"/>
    <w:rsid w:val="00E8521C"/>
    <w:rPr>
      <w:rFonts w:cs="Times New Roman"/>
    </w:rPr>
  </w:style>
  <w:style w:type="character" w:customStyle="1" w:styleId="closebtn1">
    <w:name w:val="closebtn1"/>
    <w:basedOn w:val="DefaultParagraphFont"/>
    <w:uiPriority w:val="99"/>
    <w:rsid w:val="00E8521C"/>
    <w:rPr>
      <w:rFonts w:cs="Times New Roman"/>
      <w:b/>
      <w:bCs/>
      <w:color w:val="333333"/>
      <w:sz w:val="14"/>
      <w:szCs w:val="14"/>
      <w:u w:val="none"/>
      <w:effect w:val="none"/>
      <w:bdr w:val="single" w:sz="12" w:space="3" w:color="AAAAAA" w:frame="1"/>
      <w:shd w:val="clear" w:color="auto" w:fill="FFFFFF"/>
    </w:rPr>
  </w:style>
  <w:style w:type="paragraph" w:styleId="BalloonText">
    <w:name w:val="Balloon Text"/>
    <w:basedOn w:val="Normal"/>
    <w:link w:val="BalloonTextChar"/>
    <w:uiPriority w:val="99"/>
    <w:semiHidden/>
    <w:rsid w:val="000F0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07DD"/>
    <w:rPr>
      <w:rFonts w:ascii="Tahoma" w:hAnsi="Tahoma" w:cs="Tahoma"/>
      <w:sz w:val="16"/>
      <w:szCs w:val="16"/>
      <w:lang w:eastAsia="en-US"/>
    </w:rPr>
  </w:style>
  <w:style w:type="paragraph" w:styleId="CommentText">
    <w:name w:val="annotation text"/>
    <w:basedOn w:val="Normal"/>
    <w:link w:val="CommentTextChar"/>
    <w:uiPriority w:val="99"/>
    <w:semiHidden/>
    <w:rsid w:val="00E3798C"/>
    <w:pPr>
      <w:spacing w:line="240" w:lineRule="auto"/>
    </w:pPr>
    <w:rPr>
      <w:sz w:val="20"/>
      <w:szCs w:val="20"/>
    </w:rPr>
  </w:style>
  <w:style w:type="character" w:customStyle="1" w:styleId="CommentTextChar">
    <w:name w:val="Comment Text Char"/>
    <w:basedOn w:val="DefaultParagraphFont"/>
    <w:link w:val="CommentText"/>
    <w:uiPriority w:val="99"/>
    <w:locked/>
    <w:rsid w:val="00E07CB4"/>
    <w:rPr>
      <w:rFonts w:cs="Times New Roman"/>
      <w:sz w:val="20"/>
      <w:szCs w:val="20"/>
      <w:lang w:eastAsia="en-US"/>
    </w:rPr>
  </w:style>
  <w:style w:type="character" w:styleId="CommentReference">
    <w:name w:val="annotation reference"/>
    <w:basedOn w:val="DefaultParagraphFont"/>
    <w:uiPriority w:val="99"/>
    <w:semiHidden/>
    <w:rsid w:val="00E3798C"/>
    <w:rPr>
      <w:rFonts w:cs="Times New Roman"/>
      <w:sz w:val="16"/>
      <w:szCs w:val="16"/>
    </w:rPr>
  </w:style>
  <w:style w:type="paragraph" w:styleId="Header">
    <w:name w:val="header"/>
    <w:basedOn w:val="Normal"/>
    <w:link w:val="HeaderChar"/>
    <w:uiPriority w:val="99"/>
    <w:rsid w:val="004D1EA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locked/>
    <w:rsid w:val="004D1EAC"/>
    <w:rPr>
      <w:rFonts w:cs="Times New Roman"/>
      <w:sz w:val="18"/>
      <w:szCs w:val="18"/>
      <w:lang w:eastAsia="en-US"/>
    </w:rPr>
  </w:style>
  <w:style w:type="paragraph" w:styleId="Footer">
    <w:name w:val="footer"/>
    <w:basedOn w:val="Normal"/>
    <w:link w:val="FooterChar"/>
    <w:uiPriority w:val="99"/>
    <w:rsid w:val="004D1EA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locked/>
    <w:rsid w:val="004D1EAC"/>
    <w:rPr>
      <w:rFonts w:cs="Times New Roman"/>
      <w:sz w:val="18"/>
      <w:szCs w:val="18"/>
      <w:lang w:eastAsia="en-US"/>
    </w:rPr>
  </w:style>
  <w:style w:type="paragraph" w:styleId="CommentSubject">
    <w:name w:val="annotation subject"/>
    <w:basedOn w:val="CommentText"/>
    <w:next w:val="CommentText"/>
    <w:link w:val="CommentSubjectChar"/>
    <w:uiPriority w:val="99"/>
    <w:semiHidden/>
    <w:rsid w:val="00E07CB4"/>
    <w:pPr>
      <w:spacing w:line="276" w:lineRule="auto"/>
    </w:pPr>
    <w:rPr>
      <w:b/>
      <w:bCs/>
      <w:sz w:val="22"/>
      <w:szCs w:val="22"/>
    </w:rPr>
  </w:style>
  <w:style w:type="character" w:customStyle="1" w:styleId="CommentSubjectChar">
    <w:name w:val="Comment Subject Char"/>
    <w:basedOn w:val="CommentTextChar"/>
    <w:link w:val="CommentSubject"/>
    <w:uiPriority w:val="99"/>
    <w:semiHidden/>
    <w:locked/>
    <w:rsid w:val="00E07CB4"/>
    <w:rPr>
      <w:rFonts w:cs="Times New Roman"/>
      <w:b/>
      <w:bCs/>
      <w:sz w:val="20"/>
      <w:szCs w:val="20"/>
      <w:lang w:eastAsia="en-US"/>
    </w:rPr>
  </w:style>
  <w:style w:type="character" w:customStyle="1" w:styleId="hps">
    <w:name w:val="hps"/>
    <w:basedOn w:val="DefaultParagraphFont"/>
    <w:uiPriority w:val="99"/>
    <w:rsid w:val="00F24E69"/>
    <w:rPr>
      <w:rFonts w:cs="Times New Roman"/>
    </w:rPr>
  </w:style>
  <w:style w:type="character" w:customStyle="1" w:styleId="hpsatn">
    <w:name w:val="hps atn"/>
    <w:basedOn w:val="DefaultParagraphFont"/>
    <w:uiPriority w:val="99"/>
    <w:rsid w:val="00F24E69"/>
    <w:rPr>
      <w:rFonts w:cs="Times New Roman"/>
    </w:rPr>
  </w:style>
  <w:style w:type="character" w:customStyle="1" w:styleId="atn">
    <w:name w:val="atn"/>
    <w:basedOn w:val="DefaultParagraphFont"/>
    <w:uiPriority w:val="99"/>
    <w:rsid w:val="009D43F7"/>
    <w:rPr>
      <w:rFonts w:cs="Times New Roman"/>
    </w:rPr>
  </w:style>
  <w:style w:type="character" w:customStyle="1" w:styleId="shorttext">
    <w:name w:val="short_text"/>
    <w:basedOn w:val="DefaultParagraphFont"/>
    <w:uiPriority w:val="99"/>
    <w:rsid w:val="009D43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7335">
      <w:marLeft w:val="0"/>
      <w:marRight w:val="0"/>
      <w:marTop w:val="0"/>
      <w:marBottom w:val="0"/>
      <w:divBdr>
        <w:top w:val="none" w:sz="0" w:space="0" w:color="auto"/>
        <w:left w:val="none" w:sz="0" w:space="0" w:color="auto"/>
        <w:bottom w:val="none" w:sz="0" w:space="0" w:color="auto"/>
        <w:right w:val="none" w:sz="0" w:space="0" w:color="auto"/>
      </w:divBdr>
      <w:divsChild>
        <w:div w:id="68617356">
          <w:marLeft w:val="0"/>
          <w:marRight w:val="1"/>
          <w:marTop w:val="0"/>
          <w:marBottom w:val="0"/>
          <w:divBdr>
            <w:top w:val="none" w:sz="0" w:space="0" w:color="auto"/>
            <w:left w:val="none" w:sz="0" w:space="0" w:color="auto"/>
            <w:bottom w:val="none" w:sz="0" w:space="0" w:color="auto"/>
            <w:right w:val="none" w:sz="0" w:space="0" w:color="auto"/>
          </w:divBdr>
          <w:divsChild>
            <w:div w:id="68617355">
              <w:marLeft w:val="0"/>
              <w:marRight w:val="0"/>
              <w:marTop w:val="0"/>
              <w:marBottom w:val="0"/>
              <w:divBdr>
                <w:top w:val="none" w:sz="0" w:space="0" w:color="auto"/>
                <w:left w:val="none" w:sz="0" w:space="0" w:color="auto"/>
                <w:bottom w:val="none" w:sz="0" w:space="0" w:color="auto"/>
                <w:right w:val="none" w:sz="0" w:space="0" w:color="auto"/>
              </w:divBdr>
              <w:divsChild>
                <w:div w:id="68617351">
                  <w:marLeft w:val="0"/>
                  <w:marRight w:val="1"/>
                  <w:marTop w:val="0"/>
                  <w:marBottom w:val="0"/>
                  <w:divBdr>
                    <w:top w:val="none" w:sz="0" w:space="0" w:color="auto"/>
                    <w:left w:val="none" w:sz="0" w:space="0" w:color="auto"/>
                    <w:bottom w:val="none" w:sz="0" w:space="0" w:color="auto"/>
                    <w:right w:val="none" w:sz="0" w:space="0" w:color="auto"/>
                  </w:divBdr>
                  <w:divsChild>
                    <w:div w:id="68617347">
                      <w:marLeft w:val="0"/>
                      <w:marRight w:val="0"/>
                      <w:marTop w:val="0"/>
                      <w:marBottom w:val="0"/>
                      <w:divBdr>
                        <w:top w:val="none" w:sz="0" w:space="0" w:color="auto"/>
                        <w:left w:val="none" w:sz="0" w:space="0" w:color="auto"/>
                        <w:bottom w:val="none" w:sz="0" w:space="0" w:color="auto"/>
                        <w:right w:val="none" w:sz="0" w:space="0" w:color="auto"/>
                      </w:divBdr>
                      <w:divsChild>
                        <w:div w:id="68617346">
                          <w:marLeft w:val="0"/>
                          <w:marRight w:val="0"/>
                          <w:marTop w:val="0"/>
                          <w:marBottom w:val="0"/>
                          <w:divBdr>
                            <w:top w:val="none" w:sz="0" w:space="0" w:color="auto"/>
                            <w:left w:val="none" w:sz="0" w:space="0" w:color="auto"/>
                            <w:bottom w:val="none" w:sz="0" w:space="0" w:color="auto"/>
                            <w:right w:val="none" w:sz="0" w:space="0" w:color="auto"/>
                          </w:divBdr>
                          <w:divsChild>
                            <w:div w:id="68617336">
                              <w:marLeft w:val="0"/>
                              <w:marRight w:val="0"/>
                              <w:marTop w:val="120"/>
                              <w:marBottom w:val="360"/>
                              <w:divBdr>
                                <w:top w:val="none" w:sz="0" w:space="0" w:color="auto"/>
                                <w:left w:val="none" w:sz="0" w:space="0" w:color="auto"/>
                                <w:bottom w:val="none" w:sz="0" w:space="0" w:color="auto"/>
                                <w:right w:val="none" w:sz="0" w:space="0" w:color="auto"/>
                              </w:divBdr>
                              <w:divsChild>
                                <w:div w:id="68617343">
                                  <w:marLeft w:val="0"/>
                                  <w:marRight w:val="0"/>
                                  <w:marTop w:val="0"/>
                                  <w:marBottom w:val="0"/>
                                  <w:divBdr>
                                    <w:top w:val="none" w:sz="0" w:space="0" w:color="auto"/>
                                    <w:left w:val="none" w:sz="0" w:space="0" w:color="auto"/>
                                    <w:bottom w:val="none" w:sz="0" w:space="0" w:color="auto"/>
                                    <w:right w:val="none" w:sz="0" w:space="0" w:color="auto"/>
                                  </w:divBdr>
                                  <w:divsChild>
                                    <w:div w:id="686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17339">
      <w:marLeft w:val="0"/>
      <w:marRight w:val="0"/>
      <w:marTop w:val="0"/>
      <w:marBottom w:val="0"/>
      <w:divBdr>
        <w:top w:val="none" w:sz="0" w:space="0" w:color="auto"/>
        <w:left w:val="none" w:sz="0" w:space="0" w:color="auto"/>
        <w:bottom w:val="none" w:sz="0" w:space="0" w:color="auto"/>
        <w:right w:val="none" w:sz="0" w:space="0" w:color="auto"/>
      </w:divBdr>
    </w:div>
    <w:div w:id="68617341">
      <w:marLeft w:val="0"/>
      <w:marRight w:val="0"/>
      <w:marTop w:val="0"/>
      <w:marBottom w:val="0"/>
      <w:divBdr>
        <w:top w:val="none" w:sz="0" w:space="0" w:color="auto"/>
        <w:left w:val="none" w:sz="0" w:space="0" w:color="auto"/>
        <w:bottom w:val="none" w:sz="0" w:space="0" w:color="auto"/>
        <w:right w:val="none" w:sz="0" w:space="0" w:color="auto"/>
      </w:divBdr>
      <w:divsChild>
        <w:div w:id="68617348">
          <w:marLeft w:val="0"/>
          <w:marRight w:val="1"/>
          <w:marTop w:val="0"/>
          <w:marBottom w:val="0"/>
          <w:divBdr>
            <w:top w:val="none" w:sz="0" w:space="0" w:color="auto"/>
            <w:left w:val="none" w:sz="0" w:space="0" w:color="auto"/>
            <w:bottom w:val="none" w:sz="0" w:space="0" w:color="auto"/>
            <w:right w:val="none" w:sz="0" w:space="0" w:color="auto"/>
          </w:divBdr>
          <w:divsChild>
            <w:div w:id="68617340">
              <w:marLeft w:val="0"/>
              <w:marRight w:val="0"/>
              <w:marTop w:val="0"/>
              <w:marBottom w:val="0"/>
              <w:divBdr>
                <w:top w:val="none" w:sz="0" w:space="0" w:color="auto"/>
                <w:left w:val="none" w:sz="0" w:space="0" w:color="auto"/>
                <w:bottom w:val="none" w:sz="0" w:space="0" w:color="auto"/>
                <w:right w:val="none" w:sz="0" w:space="0" w:color="auto"/>
              </w:divBdr>
              <w:divsChild>
                <w:div w:id="68617363">
                  <w:marLeft w:val="0"/>
                  <w:marRight w:val="1"/>
                  <w:marTop w:val="0"/>
                  <w:marBottom w:val="0"/>
                  <w:divBdr>
                    <w:top w:val="none" w:sz="0" w:space="0" w:color="auto"/>
                    <w:left w:val="none" w:sz="0" w:space="0" w:color="auto"/>
                    <w:bottom w:val="none" w:sz="0" w:space="0" w:color="auto"/>
                    <w:right w:val="none" w:sz="0" w:space="0" w:color="auto"/>
                  </w:divBdr>
                  <w:divsChild>
                    <w:div w:id="68617342">
                      <w:marLeft w:val="0"/>
                      <w:marRight w:val="0"/>
                      <w:marTop w:val="0"/>
                      <w:marBottom w:val="0"/>
                      <w:divBdr>
                        <w:top w:val="none" w:sz="0" w:space="0" w:color="auto"/>
                        <w:left w:val="none" w:sz="0" w:space="0" w:color="auto"/>
                        <w:bottom w:val="none" w:sz="0" w:space="0" w:color="auto"/>
                        <w:right w:val="none" w:sz="0" w:space="0" w:color="auto"/>
                      </w:divBdr>
                      <w:divsChild>
                        <w:div w:id="68617366">
                          <w:marLeft w:val="0"/>
                          <w:marRight w:val="0"/>
                          <w:marTop w:val="0"/>
                          <w:marBottom w:val="0"/>
                          <w:divBdr>
                            <w:top w:val="none" w:sz="0" w:space="0" w:color="auto"/>
                            <w:left w:val="none" w:sz="0" w:space="0" w:color="auto"/>
                            <w:bottom w:val="none" w:sz="0" w:space="0" w:color="auto"/>
                            <w:right w:val="none" w:sz="0" w:space="0" w:color="auto"/>
                          </w:divBdr>
                          <w:divsChild>
                            <w:div w:id="68617349">
                              <w:marLeft w:val="0"/>
                              <w:marRight w:val="0"/>
                              <w:marTop w:val="120"/>
                              <w:marBottom w:val="360"/>
                              <w:divBdr>
                                <w:top w:val="none" w:sz="0" w:space="0" w:color="auto"/>
                                <w:left w:val="none" w:sz="0" w:space="0" w:color="auto"/>
                                <w:bottom w:val="none" w:sz="0" w:space="0" w:color="auto"/>
                                <w:right w:val="none" w:sz="0" w:space="0" w:color="auto"/>
                              </w:divBdr>
                              <w:divsChild>
                                <w:div w:id="68617361">
                                  <w:marLeft w:val="0"/>
                                  <w:marRight w:val="0"/>
                                  <w:marTop w:val="0"/>
                                  <w:marBottom w:val="0"/>
                                  <w:divBdr>
                                    <w:top w:val="none" w:sz="0" w:space="0" w:color="auto"/>
                                    <w:left w:val="none" w:sz="0" w:space="0" w:color="auto"/>
                                    <w:bottom w:val="none" w:sz="0" w:space="0" w:color="auto"/>
                                    <w:right w:val="none" w:sz="0" w:space="0" w:color="auto"/>
                                  </w:divBdr>
                                  <w:divsChild>
                                    <w:div w:id="686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17344">
      <w:marLeft w:val="0"/>
      <w:marRight w:val="0"/>
      <w:marTop w:val="0"/>
      <w:marBottom w:val="0"/>
      <w:divBdr>
        <w:top w:val="none" w:sz="0" w:space="0" w:color="auto"/>
        <w:left w:val="none" w:sz="0" w:space="0" w:color="auto"/>
        <w:bottom w:val="none" w:sz="0" w:space="0" w:color="auto"/>
        <w:right w:val="none" w:sz="0" w:space="0" w:color="auto"/>
      </w:divBdr>
    </w:div>
    <w:div w:id="68617345">
      <w:marLeft w:val="0"/>
      <w:marRight w:val="0"/>
      <w:marTop w:val="0"/>
      <w:marBottom w:val="0"/>
      <w:divBdr>
        <w:top w:val="none" w:sz="0" w:space="0" w:color="auto"/>
        <w:left w:val="none" w:sz="0" w:space="0" w:color="auto"/>
        <w:bottom w:val="none" w:sz="0" w:space="0" w:color="auto"/>
        <w:right w:val="none" w:sz="0" w:space="0" w:color="auto"/>
      </w:divBdr>
    </w:div>
    <w:div w:id="68617354">
      <w:marLeft w:val="0"/>
      <w:marRight w:val="0"/>
      <w:marTop w:val="0"/>
      <w:marBottom w:val="0"/>
      <w:divBdr>
        <w:top w:val="none" w:sz="0" w:space="0" w:color="auto"/>
        <w:left w:val="none" w:sz="0" w:space="0" w:color="auto"/>
        <w:bottom w:val="none" w:sz="0" w:space="0" w:color="auto"/>
        <w:right w:val="none" w:sz="0" w:space="0" w:color="auto"/>
      </w:divBdr>
    </w:div>
    <w:div w:id="68617357">
      <w:marLeft w:val="0"/>
      <w:marRight w:val="0"/>
      <w:marTop w:val="0"/>
      <w:marBottom w:val="0"/>
      <w:divBdr>
        <w:top w:val="none" w:sz="0" w:space="0" w:color="auto"/>
        <w:left w:val="none" w:sz="0" w:space="0" w:color="auto"/>
        <w:bottom w:val="none" w:sz="0" w:space="0" w:color="auto"/>
        <w:right w:val="none" w:sz="0" w:space="0" w:color="auto"/>
      </w:divBdr>
    </w:div>
    <w:div w:id="68617360">
      <w:marLeft w:val="0"/>
      <w:marRight w:val="0"/>
      <w:marTop w:val="0"/>
      <w:marBottom w:val="0"/>
      <w:divBdr>
        <w:top w:val="none" w:sz="0" w:space="0" w:color="auto"/>
        <w:left w:val="none" w:sz="0" w:space="0" w:color="auto"/>
        <w:bottom w:val="none" w:sz="0" w:space="0" w:color="auto"/>
        <w:right w:val="none" w:sz="0" w:space="0" w:color="auto"/>
      </w:divBdr>
      <w:divsChild>
        <w:div w:id="68617359">
          <w:marLeft w:val="0"/>
          <w:marRight w:val="1"/>
          <w:marTop w:val="0"/>
          <w:marBottom w:val="0"/>
          <w:divBdr>
            <w:top w:val="none" w:sz="0" w:space="0" w:color="auto"/>
            <w:left w:val="none" w:sz="0" w:space="0" w:color="auto"/>
            <w:bottom w:val="none" w:sz="0" w:space="0" w:color="auto"/>
            <w:right w:val="none" w:sz="0" w:space="0" w:color="auto"/>
          </w:divBdr>
          <w:divsChild>
            <w:div w:id="68617364">
              <w:marLeft w:val="0"/>
              <w:marRight w:val="0"/>
              <w:marTop w:val="0"/>
              <w:marBottom w:val="0"/>
              <w:divBdr>
                <w:top w:val="none" w:sz="0" w:space="0" w:color="auto"/>
                <w:left w:val="none" w:sz="0" w:space="0" w:color="auto"/>
                <w:bottom w:val="none" w:sz="0" w:space="0" w:color="auto"/>
                <w:right w:val="none" w:sz="0" w:space="0" w:color="auto"/>
              </w:divBdr>
              <w:divsChild>
                <w:div w:id="68617338">
                  <w:marLeft w:val="0"/>
                  <w:marRight w:val="1"/>
                  <w:marTop w:val="0"/>
                  <w:marBottom w:val="0"/>
                  <w:divBdr>
                    <w:top w:val="none" w:sz="0" w:space="0" w:color="auto"/>
                    <w:left w:val="none" w:sz="0" w:space="0" w:color="auto"/>
                    <w:bottom w:val="none" w:sz="0" w:space="0" w:color="auto"/>
                    <w:right w:val="none" w:sz="0" w:space="0" w:color="auto"/>
                  </w:divBdr>
                  <w:divsChild>
                    <w:div w:id="68617337">
                      <w:marLeft w:val="0"/>
                      <w:marRight w:val="0"/>
                      <w:marTop w:val="0"/>
                      <w:marBottom w:val="0"/>
                      <w:divBdr>
                        <w:top w:val="none" w:sz="0" w:space="0" w:color="auto"/>
                        <w:left w:val="none" w:sz="0" w:space="0" w:color="auto"/>
                        <w:bottom w:val="none" w:sz="0" w:space="0" w:color="auto"/>
                        <w:right w:val="none" w:sz="0" w:space="0" w:color="auto"/>
                      </w:divBdr>
                      <w:divsChild>
                        <w:div w:id="68617367">
                          <w:marLeft w:val="0"/>
                          <w:marRight w:val="0"/>
                          <w:marTop w:val="0"/>
                          <w:marBottom w:val="0"/>
                          <w:divBdr>
                            <w:top w:val="none" w:sz="0" w:space="0" w:color="auto"/>
                            <w:left w:val="none" w:sz="0" w:space="0" w:color="auto"/>
                            <w:bottom w:val="none" w:sz="0" w:space="0" w:color="auto"/>
                            <w:right w:val="none" w:sz="0" w:space="0" w:color="auto"/>
                          </w:divBdr>
                          <w:divsChild>
                            <w:div w:id="68617350">
                              <w:marLeft w:val="0"/>
                              <w:marRight w:val="0"/>
                              <w:marTop w:val="120"/>
                              <w:marBottom w:val="360"/>
                              <w:divBdr>
                                <w:top w:val="none" w:sz="0" w:space="0" w:color="auto"/>
                                <w:left w:val="none" w:sz="0" w:space="0" w:color="auto"/>
                                <w:bottom w:val="none" w:sz="0" w:space="0" w:color="auto"/>
                                <w:right w:val="none" w:sz="0" w:space="0" w:color="auto"/>
                              </w:divBdr>
                              <w:divsChild>
                                <w:div w:id="68617353">
                                  <w:marLeft w:val="0"/>
                                  <w:marRight w:val="0"/>
                                  <w:marTop w:val="0"/>
                                  <w:marBottom w:val="0"/>
                                  <w:divBdr>
                                    <w:top w:val="none" w:sz="0" w:space="0" w:color="auto"/>
                                    <w:left w:val="none" w:sz="0" w:space="0" w:color="auto"/>
                                    <w:bottom w:val="none" w:sz="0" w:space="0" w:color="auto"/>
                                    <w:right w:val="none" w:sz="0" w:space="0" w:color="auto"/>
                                  </w:divBdr>
                                  <w:divsChild>
                                    <w:div w:id="686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17365">
      <w:marLeft w:val="0"/>
      <w:marRight w:val="0"/>
      <w:marTop w:val="0"/>
      <w:marBottom w:val="0"/>
      <w:divBdr>
        <w:top w:val="none" w:sz="0" w:space="0" w:color="auto"/>
        <w:left w:val="none" w:sz="0" w:space="0" w:color="auto"/>
        <w:bottom w:val="none" w:sz="0" w:space="0" w:color="auto"/>
        <w:right w:val="none" w:sz="0" w:space="0" w:color="auto"/>
      </w:divBdr>
    </w:div>
    <w:div w:id="68617374">
      <w:marLeft w:val="0"/>
      <w:marRight w:val="0"/>
      <w:marTop w:val="0"/>
      <w:marBottom w:val="0"/>
      <w:divBdr>
        <w:top w:val="none" w:sz="0" w:space="0" w:color="auto"/>
        <w:left w:val="none" w:sz="0" w:space="0" w:color="auto"/>
        <w:bottom w:val="none" w:sz="0" w:space="0" w:color="auto"/>
        <w:right w:val="none" w:sz="0" w:space="0" w:color="auto"/>
      </w:divBdr>
      <w:divsChild>
        <w:div w:id="68617384">
          <w:marLeft w:val="0"/>
          <w:marRight w:val="0"/>
          <w:marTop w:val="0"/>
          <w:marBottom w:val="0"/>
          <w:divBdr>
            <w:top w:val="none" w:sz="0" w:space="0" w:color="auto"/>
            <w:left w:val="none" w:sz="0" w:space="0" w:color="auto"/>
            <w:bottom w:val="none" w:sz="0" w:space="0" w:color="auto"/>
            <w:right w:val="none" w:sz="0" w:space="0" w:color="auto"/>
          </w:divBdr>
          <w:divsChild>
            <w:div w:id="68617369">
              <w:marLeft w:val="0"/>
              <w:marRight w:val="0"/>
              <w:marTop w:val="0"/>
              <w:marBottom w:val="0"/>
              <w:divBdr>
                <w:top w:val="none" w:sz="0" w:space="0" w:color="auto"/>
                <w:left w:val="none" w:sz="0" w:space="0" w:color="auto"/>
                <w:bottom w:val="none" w:sz="0" w:space="0" w:color="auto"/>
                <w:right w:val="none" w:sz="0" w:space="0" w:color="auto"/>
              </w:divBdr>
              <w:divsChild>
                <w:div w:id="68617399">
                  <w:marLeft w:val="0"/>
                  <w:marRight w:val="0"/>
                  <w:marTop w:val="0"/>
                  <w:marBottom w:val="0"/>
                  <w:divBdr>
                    <w:top w:val="none" w:sz="0" w:space="0" w:color="auto"/>
                    <w:left w:val="none" w:sz="0" w:space="0" w:color="auto"/>
                    <w:bottom w:val="none" w:sz="0" w:space="0" w:color="auto"/>
                    <w:right w:val="none" w:sz="0" w:space="0" w:color="auto"/>
                  </w:divBdr>
                  <w:divsChild>
                    <w:div w:id="68617395">
                      <w:marLeft w:val="0"/>
                      <w:marRight w:val="0"/>
                      <w:marTop w:val="0"/>
                      <w:marBottom w:val="0"/>
                      <w:divBdr>
                        <w:top w:val="none" w:sz="0" w:space="0" w:color="auto"/>
                        <w:left w:val="none" w:sz="0" w:space="0" w:color="auto"/>
                        <w:bottom w:val="none" w:sz="0" w:space="0" w:color="auto"/>
                        <w:right w:val="none" w:sz="0" w:space="0" w:color="auto"/>
                      </w:divBdr>
                      <w:divsChild>
                        <w:div w:id="68617370">
                          <w:marLeft w:val="0"/>
                          <w:marRight w:val="0"/>
                          <w:marTop w:val="0"/>
                          <w:marBottom w:val="0"/>
                          <w:divBdr>
                            <w:top w:val="none" w:sz="0" w:space="0" w:color="auto"/>
                            <w:left w:val="none" w:sz="0" w:space="0" w:color="auto"/>
                            <w:bottom w:val="none" w:sz="0" w:space="0" w:color="auto"/>
                            <w:right w:val="none" w:sz="0" w:space="0" w:color="auto"/>
                          </w:divBdr>
                          <w:divsChild>
                            <w:div w:id="68617383">
                              <w:marLeft w:val="0"/>
                              <w:marRight w:val="0"/>
                              <w:marTop w:val="0"/>
                              <w:marBottom w:val="0"/>
                              <w:divBdr>
                                <w:top w:val="none" w:sz="0" w:space="0" w:color="auto"/>
                                <w:left w:val="none" w:sz="0" w:space="0" w:color="auto"/>
                                <w:bottom w:val="none" w:sz="0" w:space="0" w:color="auto"/>
                                <w:right w:val="none" w:sz="0" w:space="0" w:color="auto"/>
                              </w:divBdr>
                              <w:divsChild>
                                <w:div w:id="68617389">
                                  <w:marLeft w:val="0"/>
                                  <w:marRight w:val="0"/>
                                  <w:marTop w:val="0"/>
                                  <w:marBottom w:val="0"/>
                                  <w:divBdr>
                                    <w:top w:val="none" w:sz="0" w:space="0" w:color="auto"/>
                                    <w:left w:val="none" w:sz="0" w:space="0" w:color="auto"/>
                                    <w:bottom w:val="none" w:sz="0" w:space="0" w:color="auto"/>
                                    <w:right w:val="none" w:sz="0" w:space="0" w:color="auto"/>
                                  </w:divBdr>
                                  <w:divsChild>
                                    <w:div w:id="68617375">
                                      <w:marLeft w:val="0"/>
                                      <w:marRight w:val="0"/>
                                      <w:marTop w:val="0"/>
                                      <w:marBottom w:val="0"/>
                                      <w:divBdr>
                                        <w:top w:val="none" w:sz="0" w:space="0" w:color="auto"/>
                                        <w:left w:val="none" w:sz="0" w:space="0" w:color="auto"/>
                                        <w:bottom w:val="none" w:sz="0" w:space="0" w:color="auto"/>
                                        <w:right w:val="none" w:sz="0" w:space="0" w:color="auto"/>
                                      </w:divBdr>
                                    </w:div>
                                    <w:div w:id="686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406">
                              <w:marLeft w:val="0"/>
                              <w:marRight w:val="0"/>
                              <w:marTop w:val="0"/>
                              <w:marBottom w:val="0"/>
                              <w:divBdr>
                                <w:top w:val="none" w:sz="0" w:space="0" w:color="auto"/>
                                <w:left w:val="none" w:sz="0" w:space="0" w:color="auto"/>
                                <w:bottom w:val="none" w:sz="0" w:space="0" w:color="auto"/>
                                <w:right w:val="none" w:sz="0" w:space="0" w:color="auto"/>
                              </w:divBdr>
                              <w:divsChild>
                                <w:div w:id="686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17394">
      <w:marLeft w:val="0"/>
      <w:marRight w:val="0"/>
      <w:marTop w:val="0"/>
      <w:marBottom w:val="0"/>
      <w:divBdr>
        <w:top w:val="none" w:sz="0" w:space="0" w:color="auto"/>
        <w:left w:val="none" w:sz="0" w:space="0" w:color="auto"/>
        <w:bottom w:val="none" w:sz="0" w:space="0" w:color="auto"/>
        <w:right w:val="none" w:sz="0" w:space="0" w:color="auto"/>
      </w:divBdr>
      <w:divsChild>
        <w:div w:id="68617397">
          <w:marLeft w:val="0"/>
          <w:marRight w:val="0"/>
          <w:marTop w:val="0"/>
          <w:marBottom w:val="0"/>
          <w:divBdr>
            <w:top w:val="none" w:sz="0" w:space="0" w:color="auto"/>
            <w:left w:val="none" w:sz="0" w:space="0" w:color="auto"/>
            <w:bottom w:val="none" w:sz="0" w:space="0" w:color="auto"/>
            <w:right w:val="none" w:sz="0" w:space="0" w:color="auto"/>
          </w:divBdr>
          <w:divsChild>
            <w:div w:id="68617382">
              <w:marLeft w:val="0"/>
              <w:marRight w:val="0"/>
              <w:marTop w:val="0"/>
              <w:marBottom w:val="0"/>
              <w:divBdr>
                <w:top w:val="none" w:sz="0" w:space="0" w:color="auto"/>
                <w:left w:val="none" w:sz="0" w:space="0" w:color="auto"/>
                <w:bottom w:val="none" w:sz="0" w:space="0" w:color="auto"/>
                <w:right w:val="none" w:sz="0" w:space="0" w:color="auto"/>
              </w:divBdr>
              <w:divsChild>
                <w:div w:id="68617371">
                  <w:marLeft w:val="0"/>
                  <w:marRight w:val="0"/>
                  <w:marTop w:val="0"/>
                  <w:marBottom w:val="0"/>
                  <w:divBdr>
                    <w:top w:val="none" w:sz="0" w:space="0" w:color="auto"/>
                    <w:left w:val="none" w:sz="0" w:space="0" w:color="auto"/>
                    <w:bottom w:val="none" w:sz="0" w:space="0" w:color="auto"/>
                    <w:right w:val="none" w:sz="0" w:space="0" w:color="auto"/>
                  </w:divBdr>
                  <w:divsChild>
                    <w:div w:id="68617386">
                      <w:marLeft w:val="0"/>
                      <w:marRight w:val="0"/>
                      <w:marTop w:val="0"/>
                      <w:marBottom w:val="0"/>
                      <w:divBdr>
                        <w:top w:val="none" w:sz="0" w:space="0" w:color="auto"/>
                        <w:left w:val="none" w:sz="0" w:space="0" w:color="auto"/>
                        <w:bottom w:val="none" w:sz="0" w:space="0" w:color="auto"/>
                        <w:right w:val="none" w:sz="0" w:space="0" w:color="auto"/>
                      </w:divBdr>
                      <w:divsChild>
                        <w:div w:id="68617381">
                          <w:marLeft w:val="0"/>
                          <w:marRight w:val="0"/>
                          <w:marTop w:val="0"/>
                          <w:marBottom w:val="0"/>
                          <w:divBdr>
                            <w:top w:val="none" w:sz="0" w:space="0" w:color="auto"/>
                            <w:left w:val="none" w:sz="0" w:space="0" w:color="auto"/>
                            <w:bottom w:val="none" w:sz="0" w:space="0" w:color="auto"/>
                            <w:right w:val="none" w:sz="0" w:space="0" w:color="auto"/>
                          </w:divBdr>
                          <w:divsChild>
                            <w:div w:id="68617393">
                              <w:marLeft w:val="0"/>
                              <w:marRight w:val="0"/>
                              <w:marTop w:val="0"/>
                              <w:marBottom w:val="0"/>
                              <w:divBdr>
                                <w:top w:val="none" w:sz="0" w:space="0" w:color="auto"/>
                                <w:left w:val="none" w:sz="0" w:space="0" w:color="auto"/>
                                <w:bottom w:val="none" w:sz="0" w:space="0" w:color="auto"/>
                                <w:right w:val="none" w:sz="0" w:space="0" w:color="auto"/>
                              </w:divBdr>
                              <w:divsChild>
                                <w:div w:id="68617379">
                                  <w:marLeft w:val="0"/>
                                  <w:marRight w:val="0"/>
                                  <w:marTop w:val="0"/>
                                  <w:marBottom w:val="0"/>
                                  <w:divBdr>
                                    <w:top w:val="none" w:sz="0" w:space="0" w:color="auto"/>
                                    <w:left w:val="none" w:sz="0" w:space="0" w:color="auto"/>
                                    <w:bottom w:val="none" w:sz="0" w:space="0" w:color="auto"/>
                                    <w:right w:val="none" w:sz="0" w:space="0" w:color="auto"/>
                                  </w:divBdr>
                                  <w:divsChild>
                                    <w:div w:id="686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17398">
      <w:marLeft w:val="0"/>
      <w:marRight w:val="0"/>
      <w:marTop w:val="0"/>
      <w:marBottom w:val="0"/>
      <w:divBdr>
        <w:top w:val="none" w:sz="0" w:space="0" w:color="auto"/>
        <w:left w:val="none" w:sz="0" w:space="0" w:color="auto"/>
        <w:bottom w:val="none" w:sz="0" w:space="0" w:color="auto"/>
        <w:right w:val="none" w:sz="0" w:space="0" w:color="auto"/>
      </w:divBdr>
      <w:divsChild>
        <w:div w:id="68617377">
          <w:marLeft w:val="0"/>
          <w:marRight w:val="0"/>
          <w:marTop w:val="0"/>
          <w:marBottom w:val="0"/>
          <w:divBdr>
            <w:top w:val="none" w:sz="0" w:space="0" w:color="auto"/>
            <w:left w:val="none" w:sz="0" w:space="0" w:color="auto"/>
            <w:bottom w:val="none" w:sz="0" w:space="0" w:color="auto"/>
            <w:right w:val="none" w:sz="0" w:space="0" w:color="auto"/>
          </w:divBdr>
          <w:divsChild>
            <w:div w:id="6861740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sChild>
                    <w:div w:id="68617401">
                      <w:marLeft w:val="0"/>
                      <w:marRight w:val="0"/>
                      <w:marTop w:val="0"/>
                      <w:marBottom w:val="0"/>
                      <w:divBdr>
                        <w:top w:val="none" w:sz="0" w:space="0" w:color="auto"/>
                        <w:left w:val="none" w:sz="0" w:space="0" w:color="auto"/>
                        <w:bottom w:val="none" w:sz="0" w:space="0" w:color="auto"/>
                        <w:right w:val="none" w:sz="0" w:space="0" w:color="auto"/>
                      </w:divBdr>
                      <w:divsChild>
                        <w:div w:id="68617403">
                          <w:marLeft w:val="0"/>
                          <w:marRight w:val="0"/>
                          <w:marTop w:val="0"/>
                          <w:marBottom w:val="0"/>
                          <w:divBdr>
                            <w:top w:val="none" w:sz="0" w:space="0" w:color="auto"/>
                            <w:left w:val="none" w:sz="0" w:space="0" w:color="auto"/>
                            <w:bottom w:val="none" w:sz="0" w:space="0" w:color="auto"/>
                            <w:right w:val="none" w:sz="0" w:space="0" w:color="auto"/>
                          </w:divBdr>
                          <w:divsChild>
                            <w:div w:id="68617396">
                              <w:marLeft w:val="0"/>
                              <w:marRight w:val="0"/>
                              <w:marTop w:val="0"/>
                              <w:marBottom w:val="0"/>
                              <w:divBdr>
                                <w:top w:val="none" w:sz="0" w:space="0" w:color="auto"/>
                                <w:left w:val="none" w:sz="0" w:space="0" w:color="auto"/>
                                <w:bottom w:val="none" w:sz="0" w:space="0" w:color="auto"/>
                                <w:right w:val="none" w:sz="0" w:space="0" w:color="auto"/>
                              </w:divBdr>
                              <w:divsChild>
                                <w:div w:id="68617368">
                                  <w:marLeft w:val="0"/>
                                  <w:marRight w:val="0"/>
                                  <w:marTop w:val="0"/>
                                  <w:marBottom w:val="0"/>
                                  <w:divBdr>
                                    <w:top w:val="none" w:sz="0" w:space="0" w:color="auto"/>
                                    <w:left w:val="none" w:sz="0" w:space="0" w:color="auto"/>
                                    <w:bottom w:val="none" w:sz="0" w:space="0" w:color="auto"/>
                                    <w:right w:val="none" w:sz="0" w:space="0" w:color="auto"/>
                                  </w:divBdr>
                                  <w:divsChild>
                                    <w:div w:id="686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17400">
      <w:marLeft w:val="0"/>
      <w:marRight w:val="0"/>
      <w:marTop w:val="0"/>
      <w:marBottom w:val="0"/>
      <w:divBdr>
        <w:top w:val="none" w:sz="0" w:space="0" w:color="auto"/>
        <w:left w:val="none" w:sz="0" w:space="0" w:color="auto"/>
        <w:bottom w:val="none" w:sz="0" w:space="0" w:color="auto"/>
        <w:right w:val="none" w:sz="0" w:space="0" w:color="auto"/>
      </w:divBdr>
      <w:divsChild>
        <w:div w:id="68617373">
          <w:marLeft w:val="0"/>
          <w:marRight w:val="0"/>
          <w:marTop w:val="0"/>
          <w:marBottom w:val="0"/>
          <w:divBdr>
            <w:top w:val="none" w:sz="0" w:space="0" w:color="auto"/>
            <w:left w:val="none" w:sz="0" w:space="0" w:color="auto"/>
            <w:bottom w:val="none" w:sz="0" w:space="0" w:color="auto"/>
            <w:right w:val="none" w:sz="0" w:space="0" w:color="auto"/>
          </w:divBdr>
          <w:divsChild>
            <w:div w:id="68617392">
              <w:marLeft w:val="0"/>
              <w:marRight w:val="0"/>
              <w:marTop w:val="0"/>
              <w:marBottom w:val="0"/>
              <w:divBdr>
                <w:top w:val="none" w:sz="0" w:space="0" w:color="auto"/>
                <w:left w:val="none" w:sz="0" w:space="0" w:color="auto"/>
                <w:bottom w:val="none" w:sz="0" w:space="0" w:color="auto"/>
                <w:right w:val="none" w:sz="0" w:space="0" w:color="auto"/>
              </w:divBdr>
              <w:divsChild>
                <w:div w:id="68617372">
                  <w:marLeft w:val="0"/>
                  <w:marRight w:val="0"/>
                  <w:marTop w:val="0"/>
                  <w:marBottom w:val="0"/>
                  <w:divBdr>
                    <w:top w:val="none" w:sz="0" w:space="0" w:color="auto"/>
                    <w:left w:val="none" w:sz="0" w:space="0" w:color="auto"/>
                    <w:bottom w:val="none" w:sz="0" w:space="0" w:color="auto"/>
                    <w:right w:val="none" w:sz="0" w:space="0" w:color="auto"/>
                  </w:divBdr>
                  <w:divsChild>
                    <w:div w:id="68617390">
                      <w:marLeft w:val="0"/>
                      <w:marRight w:val="0"/>
                      <w:marTop w:val="0"/>
                      <w:marBottom w:val="0"/>
                      <w:divBdr>
                        <w:top w:val="none" w:sz="0" w:space="0" w:color="auto"/>
                        <w:left w:val="none" w:sz="0" w:space="0" w:color="auto"/>
                        <w:bottom w:val="none" w:sz="0" w:space="0" w:color="auto"/>
                        <w:right w:val="none" w:sz="0" w:space="0" w:color="auto"/>
                      </w:divBdr>
                      <w:divsChild>
                        <w:div w:id="68617385">
                          <w:marLeft w:val="0"/>
                          <w:marRight w:val="0"/>
                          <w:marTop w:val="0"/>
                          <w:marBottom w:val="0"/>
                          <w:divBdr>
                            <w:top w:val="none" w:sz="0" w:space="0" w:color="auto"/>
                            <w:left w:val="none" w:sz="0" w:space="0" w:color="auto"/>
                            <w:bottom w:val="none" w:sz="0" w:space="0" w:color="auto"/>
                            <w:right w:val="none" w:sz="0" w:space="0" w:color="auto"/>
                          </w:divBdr>
                          <w:divsChild>
                            <w:div w:id="68617380">
                              <w:marLeft w:val="0"/>
                              <w:marRight w:val="0"/>
                              <w:marTop w:val="0"/>
                              <w:marBottom w:val="0"/>
                              <w:divBdr>
                                <w:top w:val="none" w:sz="0" w:space="0" w:color="auto"/>
                                <w:left w:val="none" w:sz="0" w:space="0" w:color="auto"/>
                                <w:bottom w:val="none" w:sz="0" w:space="0" w:color="auto"/>
                                <w:right w:val="none" w:sz="0" w:space="0" w:color="auto"/>
                              </w:divBdr>
                              <w:divsChild>
                                <w:div w:id="68617378">
                                  <w:marLeft w:val="0"/>
                                  <w:marRight w:val="0"/>
                                  <w:marTop w:val="0"/>
                                  <w:marBottom w:val="0"/>
                                  <w:divBdr>
                                    <w:top w:val="none" w:sz="0" w:space="0" w:color="auto"/>
                                    <w:left w:val="none" w:sz="0" w:space="0" w:color="auto"/>
                                    <w:bottom w:val="none" w:sz="0" w:space="0" w:color="auto"/>
                                    <w:right w:val="none" w:sz="0" w:space="0" w:color="auto"/>
                                  </w:divBdr>
                                </w:div>
                                <w:div w:id="686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17413">
      <w:marLeft w:val="0"/>
      <w:marRight w:val="0"/>
      <w:marTop w:val="0"/>
      <w:marBottom w:val="0"/>
      <w:divBdr>
        <w:top w:val="none" w:sz="0" w:space="0" w:color="auto"/>
        <w:left w:val="none" w:sz="0" w:space="0" w:color="auto"/>
        <w:bottom w:val="none" w:sz="0" w:space="0" w:color="auto"/>
        <w:right w:val="none" w:sz="0" w:space="0" w:color="auto"/>
      </w:divBdr>
      <w:divsChild>
        <w:div w:id="68617409">
          <w:marLeft w:val="0"/>
          <w:marRight w:val="0"/>
          <w:marTop w:val="0"/>
          <w:marBottom w:val="0"/>
          <w:divBdr>
            <w:top w:val="none" w:sz="0" w:space="0" w:color="auto"/>
            <w:left w:val="none" w:sz="0" w:space="0" w:color="auto"/>
            <w:bottom w:val="none" w:sz="0" w:space="0" w:color="auto"/>
            <w:right w:val="none" w:sz="0" w:space="0" w:color="auto"/>
          </w:divBdr>
          <w:divsChild>
            <w:div w:id="68617408">
              <w:marLeft w:val="0"/>
              <w:marRight w:val="0"/>
              <w:marTop w:val="0"/>
              <w:marBottom w:val="0"/>
              <w:divBdr>
                <w:top w:val="none" w:sz="0" w:space="0" w:color="auto"/>
                <w:left w:val="none" w:sz="0" w:space="0" w:color="auto"/>
                <w:bottom w:val="none" w:sz="0" w:space="0" w:color="auto"/>
                <w:right w:val="none" w:sz="0" w:space="0" w:color="auto"/>
              </w:divBdr>
              <w:divsChild>
                <w:div w:id="68617416">
                  <w:marLeft w:val="0"/>
                  <w:marRight w:val="0"/>
                  <w:marTop w:val="0"/>
                  <w:marBottom w:val="0"/>
                  <w:divBdr>
                    <w:top w:val="none" w:sz="0" w:space="0" w:color="auto"/>
                    <w:left w:val="none" w:sz="0" w:space="0" w:color="auto"/>
                    <w:bottom w:val="none" w:sz="0" w:space="0" w:color="auto"/>
                    <w:right w:val="none" w:sz="0" w:space="0" w:color="auto"/>
                  </w:divBdr>
                  <w:divsChild>
                    <w:div w:id="68617419">
                      <w:marLeft w:val="0"/>
                      <w:marRight w:val="0"/>
                      <w:marTop w:val="0"/>
                      <w:marBottom w:val="0"/>
                      <w:divBdr>
                        <w:top w:val="none" w:sz="0" w:space="0" w:color="auto"/>
                        <w:left w:val="none" w:sz="0" w:space="0" w:color="auto"/>
                        <w:bottom w:val="none" w:sz="0" w:space="0" w:color="auto"/>
                        <w:right w:val="none" w:sz="0" w:space="0" w:color="auto"/>
                      </w:divBdr>
                      <w:divsChild>
                        <w:div w:id="68617414">
                          <w:marLeft w:val="0"/>
                          <w:marRight w:val="0"/>
                          <w:marTop w:val="0"/>
                          <w:marBottom w:val="0"/>
                          <w:divBdr>
                            <w:top w:val="none" w:sz="0" w:space="0" w:color="auto"/>
                            <w:left w:val="none" w:sz="0" w:space="0" w:color="auto"/>
                            <w:bottom w:val="none" w:sz="0" w:space="0" w:color="auto"/>
                            <w:right w:val="none" w:sz="0" w:space="0" w:color="auto"/>
                          </w:divBdr>
                          <w:divsChild>
                            <w:div w:id="68617410">
                              <w:marLeft w:val="0"/>
                              <w:marRight w:val="0"/>
                              <w:marTop w:val="0"/>
                              <w:marBottom w:val="0"/>
                              <w:divBdr>
                                <w:top w:val="none" w:sz="0" w:space="0" w:color="auto"/>
                                <w:left w:val="none" w:sz="0" w:space="0" w:color="auto"/>
                                <w:bottom w:val="none" w:sz="0" w:space="0" w:color="auto"/>
                                <w:right w:val="none" w:sz="0" w:space="0" w:color="auto"/>
                              </w:divBdr>
                              <w:divsChild>
                                <w:div w:id="68617412">
                                  <w:marLeft w:val="0"/>
                                  <w:marRight w:val="0"/>
                                  <w:marTop w:val="0"/>
                                  <w:marBottom w:val="0"/>
                                  <w:divBdr>
                                    <w:top w:val="none" w:sz="0" w:space="0" w:color="auto"/>
                                    <w:left w:val="none" w:sz="0" w:space="0" w:color="auto"/>
                                    <w:bottom w:val="none" w:sz="0" w:space="0" w:color="auto"/>
                                    <w:right w:val="none" w:sz="0" w:space="0" w:color="auto"/>
                                  </w:divBdr>
                                  <w:divsChild>
                                    <w:div w:id="68617418">
                                      <w:marLeft w:val="0"/>
                                      <w:marRight w:val="0"/>
                                      <w:marTop w:val="0"/>
                                      <w:marBottom w:val="0"/>
                                      <w:divBdr>
                                        <w:top w:val="none" w:sz="0" w:space="0" w:color="auto"/>
                                        <w:left w:val="none" w:sz="0" w:space="0" w:color="auto"/>
                                        <w:bottom w:val="none" w:sz="0" w:space="0" w:color="auto"/>
                                        <w:right w:val="none" w:sz="0" w:space="0" w:color="auto"/>
                                      </w:divBdr>
                                      <w:divsChild>
                                        <w:div w:id="68617407">
                                          <w:marLeft w:val="0"/>
                                          <w:marRight w:val="0"/>
                                          <w:marTop w:val="0"/>
                                          <w:marBottom w:val="0"/>
                                          <w:divBdr>
                                            <w:top w:val="none" w:sz="0" w:space="0" w:color="auto"/>
                                            <w:left w:val="none" w:sz="0" w:space="0" w:color="auto"/>
                                            <w:bottom w:val="none" w:sz="0" w:space="0" w:color="auto"/>
                                            <w:right w:val="none" w:sz="0" w:space="0" w:color="auto"/>
                                          </w:divBdr>
                                          <w:divsChild>
                                            <w:div w:id="68617417">
                                              <w:marLeft w:val="0"/>
                                              <w:marRight w:val="0"/>
                                              <w:marTop w:val="0"/>
                                              <w:marBottom w:val="0"/>
                                              <w:divBdr>
                                                <w:top w:val="none" w:sz="0" w:space="0" w:color="auto"/>
                                                <w:left w:val="none" w:sz="0" w:space="0" w:color="auto"/>
                                                <w:bottom w:val="none" w:sz="0" w:space="0" w:color="auto"/>
                                                <w:right w:val="none" w:sz="0" w:space="0" w:color="auto"/>
                                              </w:divBdr>
                                              <w:divsChild>
                                                <w:div w:id="68617411">
                                                  <w:marLeft w:val="0"/>
                                                  <w:marRight w:val="0"/>
                                                  <w:marTop w:val="0"/>
                                                  <w:marBottom w:val="0"/>
                                                  <w:divBdr>
                                                    <w:top w:val="none" w:sz="0" w:space="0" w:color="auto"/>
                                                    <w:left w:val="none" w:sz="0" w:space="0" w:color="auto"/>
                                                    <w:bottom w:val="none" w:sz="0" w:space="0" w:color="auto"/>
                                                    <w:right w:val="none" w:sz="0" w:space="0" w:color="auto"/>
                                                  </w:divBdr>
                                                  <w:divsChild>
                                                    <w:div w:id="686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17431">
      <w:marLeft w:val="0"/>
      <w:marRight w:val="0"/>
      <w:marTop w:val="0"/>
      <w:marBottom w:val="0"/>
      <w:divBdr>
        <w:top w:val="none" w:sz="0" w:space="0" w:color="auto"/>
        <w:left w:val="none" w:sz="0" w:space="0" w:color="auto"/>
        <w:bottom w:val="none" w:sz="0" w:space="0" w:color="auto"/>
        <w:right w:val="none" w:sz="0" w:space="0" w:color="auto"/>
      </w:divBdr>
      <w:divsChild>
        <w:div w:id="68617453">
          <w:marLeft w:val="0"/>
          <w:marRight w:val="0"/>
          <w:marTop w:val="0"/>
          <w:marBottom w:val="0"/>
          <w:divBdr>
            <w:top w:val="none" w:sz="0" w:space="0" w:color="auto"/>
            <w:left w:val="none" w:sz="0" w:space="0" w:color="auto"/>
            <w:bottom w:val="none" w:sz="0" w:space="0" w:color="auto"/>
            <w:right w:val="none" w:sz="0" w:space="0" w:color="auto"/>
          </w:divBdr>
          <w:divsChild>
            <w:div w:id="68617449">
              <w:marLeft w:val="0"/>
              <w:marRight w:val="0"/>
              <w:marTop w:val="0"/>
              <w:marBottom w:val="0"/>
              <w:divBdr>
                <w:top w:val="none" w:sz="0" w:space="0" w:color="auto"/>
                <w:left w:val="none" w:sz="0" w:space="0" w:color="auto"/>
                <w:bottom w:val="none" w:sz="0" w:space="0" w:color="auto"/>
                <w:right w:val="none" w:sz="0" w:space="0" w:color="auto"/>
              </w:divBdr>
              <w:divsChild>
                <w:div w:id="68617440">
                  <w:marLeft w:val="0"/>
                  <w:marRight w:val="0"/>
                  <w:marTop w:val="0"/>
                  <w:marBottom w:val="0"/>
                  <w:divBdr>
                    <w:top w:val="none" w:sz="0" w:space="0" w:color="auto"/>
                    <w:left w:val="none" w:sz="0" w:space="0" w:color="auto"/>
                    <w:bottom w:val="none" w:sz="0" w:space="0" w:color="auto"/>
                    <w:right w:val="none" w:sz="0" w:space="0" w:color="auto"/>
                  </w:divBdr>
                  <w:divsChild>
                    <w:div w:id="68617434">
                      <w:marLeft w:val="0"/>
                      <w:marRight w:val="0"/>
                      <w:marTop w:val="0"/>
                      <w:marBottom w:val="0"/>
                      <w:divBdr>
                        <w:top w:val="none" w:sz="0" w:space="0" w:color="auto"/>
                        <w:left w:val="none" w:sz="0" w:space="0" w:color="auto"/>
                        <w:bottom w:val="none" w:sz="0" w:space="0" w:color="auto"/>
                        <w:right w:val="none" w:sz="0" w:space="0" w:color="auto"/>
                      </w:divBdr>
                      <w:divsChild>
                        <w:div w:id="68617433">
                          <w:marLeft w:val="0"/>
                          <w:marRight w:val="0"/>
                          <w:marTop w:val="0"/>
                          <w:marBottom w:val="0"/>
                          <w:divBdr>
                            <w:top w:val="none" w:sz="0" w:space="0" w:color="auto"/>
                            <w:left w:val="none" w:sz="0" w:space="0" w:color="auto"/>
                            <w:bottom w:val="none" w:sz="0" w:space="0" w:color="auto"/>
                            <w:right w:val="none" w:sz="0" w:space="0" w:color="auto"/>
                          </w:divBdr>
                          <w:divsChild>
                            <w:div w:id="68617454">
                              <w:marLeft w:val="0"/>
                              <w:marRight w:val="0"/>
                              <w:marTop w:val="0"/>
                              <w:marBottom w:val="0"/>
                              <w:divBdr>
                                <w:top w:val="none" w:sz="0" w:space="0" w:color="auto"/>
                                <w:left w:val="none" w:sz="0" w:space="0" w:color="auto"/>
                                <w:bottom w:val="none" w:sz="0" w:space="0" w:color="auto"/>
                                <w:right w:val="none" w:sz="0" w:space="0" w:color="auto"/>
                              </w:divBdr>
                              <w:divsChild>
                                <w:div w:id="68617428">
                                  <w:marLeft w:val="0"/>
                                  <w:marRight w:val="0"/>
                                  <w:marTop w:val="0"/>
                                  <w:marBottom w:val="0"/>
                                  <w:divBdr>
                                    <w:top w:val="none" w:sz="0" w:space="0" w:color="auto"/>
                                    <w:left w:val="none" w:sz="0" w:space="0" w:color="auto"/>
                                    <w:bottom w:val="none" w:sz="0" w:space="0" w:color="auto"/>
                                    <w:right w:val="none" w:sz="0" w:space="0" w:color="auto"/>
                                  </w:divBdr>
                                  <w:divsChild>
                                    <w:div w:id="68617430">
                                      <w:marLeft w:val="0"/>
                                      <w:marRight w:val="0"/>
                                      <w:marTop w:val="0"/>
                                      <w:marBottom w:val="0"/>
                                      <w:divBdr>
                                        <w:top w:val="none" w:sz="0" w:space="0" w:color="auto"/>
                                        <w:left w:val="none" w:sz="0" w:space="0" w:color="auto"/>
                                        <w:bottom w:val="none" w:sz="0" w:space="0" w:color="auto"/>
                                        <w:right w:val="none" w:sz="0" w:space="0" w:color="auto"/>
                                      </w:divBdr>
                                      <w:divsChild>
                                        <w:div w:id="68617424">
                                          <w:marLeft w:val="0"/>
                                          <w:marRight w:val="0"/>
                                          <w:marTop w:val="0"/>
                                          <w:marBottom w:val="0"/>
                                          <w:divBdr>
                                            <w:top w:val="none" w:sz="0" w:space="0" w:color="auto"/>
                                            <w:left w:val="none" w:sz="0" w:space="0" w:color="auto"/>
                                            <w:bottom w:val="none" w:sz="0" w:space="0" w:color="auto"/>
                                            <w:right w:val="none" w:sz="0" w:space="0" w:color="auto"/>
                                          </w:divBdr>
                                          <w:divsChild>
                                            <w:div w:id="68617425">
                                              <w:marLeft w:val="0"/>
                                              <w:marRight w:val="0"/>
                                              <w:marTop w:val="0"/>
                                              <w:marBottom w:val="0"/>
                                              <w:divBdr>
                                                <w:top w:val="none" w:sz="0" w:space="0" w:color="auto"/>
                                                <w:left w:val="none" w:sz="0" w:space="0" w:color="auto"/>
                                                <w:bottom w:val="none" w:sz="0" w:space="0" w:color="auto"/>
                                                <w:right w:val="none" w:sz="0" w:space="0" w:color="auto"/>
                                              </w:divBdr>
                                              <w:divsChild>
                                                <w:div w:id="68617455">
                                                  <w:marLeft w:val="0"/>
                                                  <w:marRight w:val="0"/>
                                                  <w:marTop w:val="0"/>
                                                  <w:marBottom w:val="0"/>
                                                  <w:divBdr>
                                                    <w:top w:val="none" w:sz="0" w:space="0" w:color="auto"/>
                                                    <w:left w:val="none" w:sz="0" w:space="0" w:color="auto"/>
                                                    <w:bottom w:val="none" w:sz="0" w:space="0" w:color="auto"/>
                                                    <w:right w:val="none" w:sz="0" w:space="0" w:color="auto"/>
                                                  </w:divBdr>
                                                  <w:divsChild>
                                                    <w:div w:id="686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17446">
      <w:marLeft w:val="0"/>
      <w:marRight w:val="0"/>
      <w:marTop w:val="0"/>
      <w:marBottom w:val="0"/>
      <w:divBdr>
        <w:top w:val="none" w:sz="0" w:space="0" w:color="auto"/>
        <w:left w:val="none" w:sz="0" w:space="0" w:color="auto"/>
        <w:bottom w:val="none" w:sz="0" w:space="0" w:color="auto"/>
        <w:right w:val="none" w:sz="0" w:space="0" w:color="auto"/>
      </w:divBdr>
      <w:divsChild>
        <w:div w:id="68617445">
          <w:marLeft w:val="0"/>
          <w:marRight w:val="0"/>
          <w:marTop w:val="0"/>
          <w:marBottom w:val="0"/>
          <w:divBdr>
            <w:top w:val="none" w:sz="0" w:space="0" w:color="auto"/>
            <w:left w:val="none" w:sz="0" w:space="0" w:color="auto"/>
            <w:bottom w:val="none" w:sz="0" w:space="0" w:color="auto"/>
            <w:right w:val="none" w:sz="0" w:space="0" w:color="auto"/>
          </w:divBdr>
          <w:divsChild>
            <w:div w:id="68617438">
              <w:marLeft w:val="0"/>
              <w:marRight w:val="0"/>
              <w:marTop w:val="0"/>
              <w:marBottom w:val="0"/>
              <w:divBdr>
                <w:top w:val="none" w:sz="0" w:space="0" w:color="auto"/>
                <w:left w:val="none" w:sz="0" w:space="0" w:color="auto"/>
                <w:bottom w:val="none" w:sz="0" w:space="0" w:color="auto"/>
                <w:right w:val="none" w:sz="0" w:space="0" w:color="auto"/>
              </w:divBdr>
              <w:divsChild>
                <w:div w:id="68617451">
                  <w:marLeft w:val="0"/>
                  <w:marRight w:val="0"/>
                  <w:marTop w:val="0"/>
                  <w:marBottom w:val="0"/>
                  <w:divBdr>
                    <w:top w:val="none" w:sz="0" w:space="0" w:color="auto"/>
                    <w:left w:val="none" w:sz="0" w:space="0" w:color="auto"/>
                    <w:bottom w:val="none" w:sz="0" w:space="0" w:color="auto"/>
                    <w:right w:val="none" w:sz="0" w:space="0" w:color="auto"/>
                  </w:divBdr>
                  <w:divsChild>
                    <w:div w:id="68617422">
                      <w:marLeft w:val="0"/>
                      <w:marRight w:val="0"/>
                      <w:marTop w:val="0"/>
                      <w:marBottom w:val="0"/>
                      <w:divBdr>
                        <w:top w:val="none" w:sz="0" w:space="0" w:color="auto"/>
                        <w:left w:val="none" w:sz="0" w:space="0" w:color="auto"/>
                        <w:bottom w:val="none" w:sz="0" w:space="0" w:color="auto"/>
                        <w:right w:val="none" w:sz="0" w:space="0" w:color="auto"/>
                      </w:divBdr>
                      <w:divsChild>
                        <w:div w:id="68617429">
                          <w:marLeft w:val="0"/>
                          <w:marRight w:val="0"/>
                          <w:marTop w:val="0"/>
                          <w:marBottom w:val="0"/>
                          <w:divBdr>
                            <w:top w:val="none" w:sz="0" w:space="0" w:color="auto"/>
                            <w:left w:val="none" w:sz="0" w:space="0" w:color="auto"/>
                            <w:bottom w:val="none" w:sz="0" w:space="0" w:color="auto"/>
                            <w:right w:val="none" w:sz="0" w:space="0" w:color="auto"/>
                          </w:divBdr>
                          <w:divsChild>
                            <w:div w:id="68617437">
                              <w:marLeft w:val="0"/>
                              <w:marRight w:val="0"/>
                              <w:marTop w:val="0"/>
                              <w:marBottom w:val="0"/>
                              <w:divBdr>
                                <w:top w:val="none" w:sz="0" w:space="0" w:color="auto"/>
                                <w:left w:val="none" w:sz="0" w:space="0" w:color="auto"/>
                                <w:bottom w:val="none" w:sz="0" w:space="0" w:color="auto"/>
                                <w:right w:val="none" w:sz="0" w:space="0" w:color="auto"/>
                              </w:divBdr>
                              <w:divsChild>
                                <w:div w:id="68617442">
                                  <w:marLeft w:val="0"/>
                                  <w:marRight w:val="0"/>
                                  <w:marTop w:val="0"/>
                                  <w:marBottom w:val="0"/>
                                  <w:divBdr>
                                    <w:top w:val="none" w:sz="0" w:space="0" w:color="auto"/>
                                    <w:left w:val="none" w:sz="0" w:space="0" w:color="auto"/>
                                    <w:bottom w:val="none" w:sz="0" w:space="0" w:color="auto"/>
                                    <w:right w:val="none" w:sz="0" w:space="0" w:color="auto"/>
                                  </w:divBdr>
                                  <w:divsChild>
                                    <w:div w:id="68617421">
                                      <w:marLeft w:val="0"/>
                                      <w:marRight w:val="0"/>
                                      <w:marTop w:val="0"/>
                                      <w:marBottom w:val="0"/>
                                      <w:divBdr>
                                        <w:top w:val="none" w:sz="0" w:space="0" w:color="auto"/>
                                        <w:left w:val="none" w:sz="0" w:space="0" w:color="auto"/>
                                        <w:bottom w:val="none" w:sz="0" w:space="0" w:color="auto"/>
                                        <w:right w:val="none" w:sz="0" w:space="0" w:color="auto"/>
                                      </w:divBdr>
                                      <w:divsChild>
                                        <w:div w:id="68617452">
                                          <w:marLeft w:val="0"/>
                                          <w:marRight w:val="0"/>
                                          <w:marTop w:val="0"/>
                                          <w:marBottom w:val="0"/>
                                          <w:divBdr>
                                            <w:top w:val="none" w:sz="0" w:space="0" w:color="auto"/>
                                            <w:left w:val="none" w:sz="0" w:space="0" w:color="auto"/>
                                            <w:bottom w:val="none" w:sz="0" w:space="0" w:color="auto"/>
                                            <w:right w:val="none" w:sz="0" w:space="0" w:color="auto"/>
                                          </w:divBdr>
                                          <w:divsChild>
                                            <w:div w:id="68617420">
                                              <w:marLeft w:val="0"/>
                                              <w:marRight w:val="0"/>
                                              <w:marTop w:val="0"/>
                                              <w:marBottom w:val="0"/>
                                              <w:divBdr>
                                                <w:top w:val="none" w:sz="0" w:space="0" w:color="auto"/>
                                                <w:left w:val="none" w:sz="0" w:space="0" w:color="auto"/>
                                                <w:bottom w:val="none" w:sz="0" w:space="0" w:color="auto"/>
                                                <w:right w:val="none" w:sz="0" w:space="0" w:color="auto"/>
                                              </w:divBdr>
                                              <w:divsChild>
                                                <w:div w:id="68617423">
                                                  <w:marLeft w:val="0"/>
                                                  <w:marRight w:val="0"/>
                                                  <w:marTop w:val="0"/>
                                                  <w:marBottom w:val="0"/>
                                                  <w:divBdr>
                                                    <w:top w:val="none" w:sz="0" w:space="0" w:color="auto"/>
                                                    <w:left w:val="none" w:sz="0" w:space="0" w:color="auto"/>
                                                    <w:bottom w:val="none" w:sz="0" w:space="0" w:color="auto"/>
                                                    <w:right w:val="none" w:sz="0" w:space="0" w:color="auto"/>
                                                  </w:divBdr>
                                                  <w:divsChild>
                                                    <w:div w:id="686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17450">
      <w:marLeft w:val="0"/>
      <w:marRight w:val="0"/>
      <w:marTop w:val="0"/>
      <w:marBottom w:val="0"/>
      <w:divBdr>
        <w:top w:val="none" w:sz="0" w:space="0" w:color="auto"/>
        <w:left w:val="none" w:sz="0" w:space="0" w:color="auto"/>
        <w:bottom w:val="none" w:sz="0" w:space="0" w:color="auto"/>
        <w:right w:val="none" w:sz="0" w:space="0" w:color="auto"/>
      </w:divBdr>
      <w:divsChild>
        <w:div w:id="68617439">
          <w:marLeft w:val="0"/>
          <w:marRight w:val="0"/>
          <w:marTop w:val="0"/>
          <w:marBottom w:val="0"/>
          <w:divBdr>
            <w:top w:val="none" w:sz="0" w:space="0" w:color="auto"/>
            <w:left w:val="none" w:sz="0" w:space="0" w:color="auto"/>
            <w:bottom w:val="none" w:sz="0" w:space="0" w:color="auto"/>
            <w:right w:val="none" w:sz="0" w:space="0" w:color="auto"/>
          </w:divBdr>
          <w:divsChild>
            <w:div w:id="68617443">
              <w:marLeft w:val="0"/>
              <w:marRight w:val="0"/>
              <w:marTop w:val="0"/>
              <w:marBottom w:val="0"/>
              <w:divBdr>
                <w:top w:val="none" w:sz="0" w:space="0" w:color="auto"/>
                <w:left w:val="none" w:sz="0" w:space="0" w:color="auto"/>
                <w:bottom w:val="none" w:sz="0" w:space="0" w:color="auto"/>
                <w:right w:val="none" w:sz="0" w:space="0" w:color="auto"/>
              </w:divBdr>
              <w:divsChild>
                <w:div w:id="68617432">
                  <w:marLeft w:val="0"/>
                  <w:marRight w:val="0"/>
                  <w:marTop w:val="0"/>
                  <w:marBottom w:val="0"/>
                  <w:divBdr>
                    <w:top w:val="none" w:sz="0" w:space="0" w:color="auto"/>
                    <w:left w:val="none" w:sz="0" w:space="0" w:color="auto"/>
                    <w:bottom w:val="none" w:sz="0" w:space="0" w:color="auto"/>
                    <w:right w:val="none" w:sz="0" w:space="0" w:color="auto"/>
                  </w:divBdr>
                  <w:divsChild>
                    <w:div w:id="68617458">
                      <w:marLeft w:val="0"/>
                      <w:marRight w:val="0"/>
                      <w:marTop w:val="0"/>
                      <w:marBottom w:val="0"/>
                      <w:divBdr>
                        <w:top w:val="none" w:sz="0" w:space="0" w:color="auto"/>
                        <w:left w:val="none" w:sz="0" w:space="0" w:color="auto"/>
                        <w:bottom w:val="none" w:sz="0" w:space="0" w:color="auto"/>
                        <w:right w:val="none" w:sz="0" w:space="0" w:color="auto"/>
                      </w:divBdr>
                      <w:divsChild>
                        <w:div w:id="68617447">
                          <w:marLeft w:val="0"/>
                          <w:marRight w:val="0"/>
                          <w:marTop w:val="0"/>
                          <w:marBottom w:val="0"/>
                          <w:divBdr>
                            <w:top w:val="none" w:sz="0" w:space="0" w:color="auto"/>
                            <w:left w:val="none" w:sz="0" w:space="0" w:color="auto"/>
                            <w:bottom w:val="none" w:sz="0" w:space="0" w:color="auto"/>
                            <w:right w:val="none" w:sz="0" w:space="0" w:color="auto"/>
                          </w:divBdr>
                          <w:divsChild>
                            <w:div w:id="68617448">
                              <w:marLeft w:val="0"/>
                              <w:marRight w:val="0"/>
                              <w:marTop w:val="0"/>
                              <w:marBottom w:val="0"/>
                              <w:divBdr>
                                <w:top w:val="none" w:sz="0" w:space="0" w:color="auto"/>
                                <w:left w:val="none" w:sz="0" w:space="0" w:color="auto"/>
                                <w:bottom w:val="none" w:sz="0" w:space="0" w:color="auto"/>
                                <w:right w:val="none" w:sz="0" w:space="0" w:color="auto"/>
                              </w:divBdr>
                              <w:divsChild>
                                <w:div w:id="68617457">
                                  <w:marLeft w:val="0"/>
                                  <w:marRight w:val="0"/>
                                  <w:marTop w:val="0"/>
                                  <w:marBottom w:val="0"/>
                                  <w:divBdr>
                                    <w:top w:val="none" w:sz="0" w:space="0" w:color="auto"/>
                                    <w:left w:val="none" w:sz="0" w:space="0" w:color="auto"/>
                                    <w:bottom w:val="none" w:sz="0" w:space="0" w:color="auto"/>
                                    <w:right w:val="none" w:sz="0" w:space="0" w:color="auto"/>
                                  </w:divBdr>
                                  <w:divsChild>
                                    <w:div w:id="68617426">
                                      <w:marLeft w:val="0"/>
                                      <w:marRight w:val="0"/>
                                      <w:marTop w:val="0"/>
                                      <w:marBottom w:val="0"/>
                                      <w:divBdr>
                                        <w:top w:val="none" w:sz="0" w:space="0" w:color="auto"/>
                                        <w:left w:val="none" w:sz="0" w:space="0" w:color="auto"/>
                                        <w:bottom w:val="none" w:sz="0" w:space="0" w:color="auto"/>
                                        <w:right w:val="none" w:sz="0" w:space="0" w:color="auto"/>
                                      </w:divBdr>
                                      <w:divsChild>
                                        <w:div w:id="68617456">
                                          <w:marLeft w:val="0"/>
                                          <w:marRight w:val="0"/>
                                          <w:marTop w:val="0"/>
                                          <w:marBottom w:val="0"/>
                                          <w:divBdr>
                                            <w:top w:val="none" w:sz="0" w:space="0" w:color="auto"/>
                                            <w:left w:val="none" w:sz="0" w:space="0" w:color="auto"/>
                                            <w:bottom w:val="none" w:sz="0" w:space="0" w:color="auto"/>
                                            <w:right w:val="none" w:sz="0" w:space="0" w:color="auto"/>
                                          </w:divBdr>
                                          <w:divsChild>
                                            <w:div w:id="68617435">
                                              <w:marLeft w:val="0"/>
                                              <w:marRight w:val="0"/>
                                              <w:marTop w:val="0"/>
                                              <w:marBottom w:val="0"/>
                                              <w:divBdr>
                                                <w:top w:val="none" w:sz="0" w:space="0" w:color="auto"/>
                                                <w:left w:val="none" w:sz="0" w:space="0" w:color="auto"/>
                                                <w:bottom w:val="none" w:sz="0" w:space="0" w:color="auto"/>
                                                <w:right w:val="none" w:sz="0" w:space="0" w:color="auto"/>
                                              </w:divBdr>
                                              <w:divsChild>
                                                <w:div w:id="68617436">
                                                  <w:marLeft w:val="0"/>
                                                  <w:marRight w:val="0"/>
                                                  <w:marTop w:val="0"/>
                                                  <w:marBottom w:val="0"/>
                                                  <w:divBdr>
                                                    <w:top w:val="none" w:sz="0" w:space="0" w:color="auto"/>
                                                    <w:left w:val="none" w:sz="0" w:space="0" w:color="auto"/>
                                                    <w:bottom w:val="none" w:sz="0" w:space="0" w:color="auto"/>
                                                    <w:right w:val="none" w:sz="0" w:space="0" w:color="auto"/>
                                                  </w:divBdr>
                                                  <w:divsChild>
                                                    <w:div w:id="686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17465">
      <w:marLeft w:val="0"/>
      <w:marRight w:val="0"/>
      <w:marTop w:val="0"/>
      <w:marBottom w:val="0"/>
      <w:divBdr>
        <w:top w:val="none" w:sz="0" w:space="0" w:color="auto"/>
        <w:left w:val="none" w:sz="0" w:space="0" w:color="auto"/>
        <w:bottom w:val="none" w:sz="0" w:space="0" w:color="auto"/>
        <w:right w:val="none" w:sz="0" w:space="0" w:color="auto"/>
      </w:divBdr>
      <w:divsChild>
        <w:div w:id="68617470">
          <w:marLeft w:val="0"/>
          <w:marRight w:val="0"/>
          <w:marTop w:val="0"/>
          <w:marBottom w:val="0"/>
          <w:divBdr>
            <w:top w:val="none" w:sz="0" w:space="0" w:color="auto"/>
            <w:left w:val="none" w:sz="0" w:space="0" w:color="auto"/>
            <w:bottom w:val="none" w:sz="0" w:space="0" w:color="auto"/>
            <w:right w:val="none" w:sz="0" w:space="0" w:color="auto"/>
          </w:divBdr>
          <w:divsChild>
            <w:div w:id="68617472">
              <w:marLeft w:val="0"/>
              <w:marRight w:val="0"/>
              <w:marTop w:val="0"/>
              <w:marBottom w:val="0"/>
              <w:divBdr>
                <w:top w:val="none" w:sz="0" w:space="0" w:color="auto"/>
                <w:left w:val="none" w:sz="0" w:space="0" w:color="auto"/>
                <w:bottom w:val="none" w:sz="0" w:space="0" w:color="auto"/>
                <w:right w:val="none" w:sz="0" w:space="0" w:color="auto"/>
              </w:divBdr>
              <w:divsChild>
                <w:div w:id="68617474">
                  <w:marLeft w:val="0"/>
                  <w:marRight w:val="0"/>
                  <w:marTop w:val="0"/>
                  <w:marBottom w:val="0"/>
                  <w:divBdr>
                    <w:top w:val="none" w:sz="0" w:space="0" w:color="auto"/>
                    <w:left w:val="none" w:sz="0" w:space="0" w:color="auto"/>
                    <w:bottom w:val="none" w:sz="0" w:space="0" w:color="auto"/>
                    <w:right w:val="none" w:sz="0" w:space="0" w:color="auto"/>
                  </w:divBdr>
                  <w:divsChild>
                    <w:div w:id="68617480">
                      <w:marLeft w:val="0"/>
                      <w:marRight w:val="0"/>
                      <w:marTop w:val="0"/>
                      <w:marBottom w:val="0"/>
                      <w:divBdr>
                        <w:top w:val="none" w:sz="0" w:space="0" w:color="auto"/>
                        <w:left w:val="none" w:sz="0" w:space="0" w:color="auto"/>
                        <w:bottom w:val="none" w:sz="0" w:space="0" w:color="auto"/>
                        <w:right w:val="none" w:sz="0" w:space="0" w:color="auto"/>
                      </w:divBdr>
                      <w:divsChild>
                        <w:div w:id="68617482">
                          <w:marLeft w:val="0"/>
                          <w:marRight w:val="0"/>
                          <w:marTop w:val="0"/>
                          <w:marBottom w:val="0"/>
                          <w:divBdr>
                            <w:top w:val="none" w:sz="0" w:space="0" w:color="auto"/>
                            <w:left w:val="none" w:sz="0" w:space="0" w:color="auto"/>
                            <w:bottom w:val="none" w:sz="0" w:space="0" w:color="auto"/>
                            <w:right w:val="none" w:sz="0" w:space="0" w:color="auto"/>
                          </w:divBdr>
                          <w:divsChild>
                            <w:div w:id="68617461">
                              <w:marLeft w:val="0"/>
                              <w:marRight w:val="0"/>
                              <w:marTop w:val="0"/>
                              <w:marBottom w:val="0"/>
                              <w:divBdr>
                                <w:top w:val="none" w:sz="0" w:space="0" w:color="auto"/>
                                <w:left w:val="none" w:sz="0" w:space="0" w:color="auto"/>
                                <w:bottom w:val="none" w:sz="0" w:space="0" w:color="auto"/>
                                <w:right w:val="none" w:sz="0" w:space="0" w:color="auto"/>
                              </w:divBdr>
                              <w:divsChild>
                                <w:div w:id="68617464">
                                  <w:marLeft w:val="0"/>
                                  <w:marRight w:val="0"/>
                                  <w:marTop w:val="0"/>
                                  <w:marBottom w:val="0"/>
                                  <w:divBdr>
                                    <w:top w:val="none" w:sz="0" w:space="0" w:color="auto"/>
                                    <w:left w:val="none" w:sz="0" w:space="0" w:color="auto"/>
                                    <w:bottom w:val="none" w:sz="0" w:space="0" w:color="auto"/>
                                    <w:right w:val="none" w:sz="0" w:space="0" w:color="auto"/>
                                  </w:divBdr>
                                  <w:divsChild>
                                    <w:div w:id="686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17477">
      <w:marLeft w:val="0"/>
      <w:marRight w:val="0"/>
      <w:marTop w:val="0"/>
      <w:marBottom w:val="0"/>
      <w:divBdr>
        <w:top w:val="none" w:sz="0" w:space="0" w:color="auto"/>
        <w:left w:val="none" w:sz="0" w:space="0" w:color="auto"/>
        <w:bottom w:val="none" w:sz="0" w:space="0" w:color="auto"/>
        <w:right w:val="none" w:sz="0" w:space="0" w:color="auto"/>
      </w:divBdr>
      <w:divsChild>
        <w:div w:id="68617463">
          <w:marLeft w:val="0"/>
          <w:marRight w:val="0"/>
          <w:marTop w:val="0"/>
          <w:marBottom w:val="0"/>
          <w:divBdr>
            <w:top w:val="none" w:sz="0" w:space="0" w:color="auto"/>
            <w:left w:val="none" w:sz="0" w:space="0" w:color="auto"/>
            <w:bottom w:val="none" w:sz="0" w:space="0" w:color="auto"/>
            <w:right w:val="none" w:sz="0" w:space="0" w:color="auto"/>
          </w:divBdr>
          <w:divsChild>
            <w:div w:id="68617476">
              <w:marLeft w:val="0"/>
              <w:marRight w:val="0"/>
              <w:marTop w:val="0"/>
              <w:marBottom w:val="0"/>
              <w:divBdr>
                <w:top w:val="none" w:sz="0" w:space="0" w:color="auto"/>
                <w:left w:val="none" w:sz="0" w:space="0" w:color="auto"/>
                <w:bottom w:val="none" w:sz="0" w:space="0" w:color="auto"/>
                <w:right w:val="none" w:sz="0" w:space="0" w:color="auto"/>
              </w:divBdr>
              <w:divsChild>
                <w:div w:id="68617485">
                  <w:marLeft w:val="0"/>
                  <w:marRight w:val="0"/>
                  <w:marTop w:val="0"/>
                  <w:marBottom w:val="0"/>
                  <w:divBdr>
                    <w:top w:val="none" w:sz="0" w:space="0" w:color="auto"/>
                    <w:left w:val="none" w:sz="0" w:space="0" w:color="auto"/>
                    <w:bottom w:val="none" w:sz="0" w:space="0" w:color="auto"/>
                    <w:right w:val="none" w:sz="0" w:space="0" w:color="auto"/>
                  </w:divBdr>
                  <w:divsChild>
                    <w:div w:id="68617479">
                      <w:marLeft w:val="0"/>
                      <w:marRight w:val="0"/>
                      <w:marTop w:val="0"/>
                      <w:marBottom w:val="0"/>
                      <w:divBdr>
                        <w:top w:val="none" w:sz="0" w:space="0" w:color="auto"/>
                        <w:left w:val="none" w:sz="0" w:space="0" w:color="auto"/>
                        <w:bottom w:val="none" w:sz="0" w:space="0" w:color="auto"/>
                        <w:right w:val="none" w:sz="0" w:space="0" w:color="auto"/>
                      </w:divBdr>
                      <w:divsChild>
                        <w:div w:id="68617460">
                          <w:marLeft w:val="0"/>
                          <w:marRight w:val="0"/>
                          <w:marTop w:val="0"/>
                          <w:marBottom w:val="0"/>
                          <w:divBdr>
                            <w:top w:val="none" w:sz="0" w:space="0" w:color="auto"/>
                            <w:left w:val="none" w:sz="0" w:space="0" w:color="auto"/>
                            <w:bottom w:val="none" w:sz="0" w:space="0" w:color="auto"/>
                            <w:right w:val="none" w:sz="0" w:space="0" w:color="auto"/>
                          </w:divBdr>
                          <w:divsChild>
                            <w:div w:id="68617475">
                              <w:marLeft w:val="0"/>
                              <w:marRight w:val="0"/>
                              <w:marTop w:val="0"/>
                              <w:marBottom w:val="0"/>
                              <w:divBdr>
                                <w:top w:val="none" w:sz="0" w:space="0" w:color="auto"/>
                                <w:left w:val="none" w:sz="0" w:space="0" w:color="auto"/>
                                <w:bottom w:val="none" w:sz="0" w:space="0" w:color="auto"/>
                                <w:right w:val="none" w:sz="0" w:space="0" w:color="auto"/>
                              </w:divBdr>
                              <w:divsChild>
                                <w:div w:id="68617478">
                                  <w:marLeft w:val="0"/>
                                  <w:marRight w:val="0"/>
                                  <w:marTop w:val="0"/>
                                  <w:marBottom w:val="0"/>
                                  <w:divBdr>
                                    <w:top w:val="none" w:sz="0" w:space="0" w:color="auto"/>
                                    <w:left w:val="none" w:sz="0" w:space="0" w:color="auto"/>
                                    <w:bottom w:val="none" w:sz="0" w:space="0" w:color="auto"/>
                                    <w:right w:val="none" w:sz="0" w:space="0" w:color="auto"/>
                                  </w:divBdr>
                                  <w:divsChild>
                                    <w:div w:id="686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17483">
      <w:marLeft w:val="0"/>
      <w:marRight w:val="0"/>
      <w:marTop w:val="0"/>
      <w:marBottom w:val="0"/>
      <w:divBdr>
        <w:top w:val="none" w:sz="0" w:space="0" w:color="auto"/>
        <w:left w:val="none" w:sz="0" w:space="0" w:color="auto"/>
        <w:bottom w:val="none" w:sz="0" w:space="0" w:color="auto"/>
        <w:right w:val="none" w:sz="0" w:space="0" w:color="auto"/>
      </w:divBdr>
      <w:divsChild>
        <w:div w:id="68617468">
          <w:marLeft w:val="0"/>
          <w:marRight w:val="0"/>
          <w:marTop w:val="0"/>
          <w:marBottom w:val="0"/>
          <w:divBdr>
            <w:top w:val="none" w:sz="0" w:space="0" w:color="auto"/>
            <w:left w:val="none" w:sz="0" w:space="0" w:color="auto"/>
            <w:bottom w:val="none" w:sz="0" w:space="0" w:color="auto"/>
            <w:right w:val="none" w:sz="0" w:space="0" w:color="auto"/>
          </w:divBdr>
          <w:divsChild>
            <w:div w:id="68617467">
              <w:marLeft w:val="0"/>
              <w:marRight w:val="0"/>
              <w:marTop w:val="0"/>
              <w:marBottom w:val="0"/>
              <w:divBdr>
                <w:top w:val="none" w:sz="0" w:space="0" w:color="auto"/>
                <w:left w:val="none" w:sz="0" w:space="0" w:color="auto"/>
                <w:bottom w:val="none" w:sz="0" w:space="0" w:color="auto"/>
                <w:right w:val="none" w:sz="0" w:space="0" w:color="auto"/>
              </w:divBdr>
              <w:divsChild>
                <w:div w:id="68617484">
                  <w:marLeft w:val="0"/>
                  <w:marRight w:val="0"/>
                  <w:marTop w:val="0"/>
                  <w:marBottom w:val="0"/>
                  <w:divBdr>
                    <w:top w:val="none" w:sz="0" w:space="0" w:color="auto"/>
                    <w:left w:val="none" w:sz="0" w:space="0" w:color="auto"/>
                    <w:bottom w:val="none" w:sz="0" w:space="0" w:color="auto"/>
                    <w:right w:val="none" w:sz="0" w:space="0" w:color="auto"/>
                  </w:divBdr>
                  <w:divsChild>
                    <w:div w:id="68617473">
                      <w:marLeft w:val="0"/>
                      <w:marRight w:val="0"/>
                      <w:marTop w:val="0"/>
                      <w:marBottom w:val="0"/>
                      <w:divBdr>
                        <w:top w:val="none" w:sz="0" w:space="0" w:color="auto"/>
                        <w:left w:val="none" w:sz="0" w:space="0" w:color="auto"/>
                        <w:bottom w:val="none" w:sz="0" w:space="0" w:color="auto"/>
                        <w:right w:val="none" w:sz="0" w:space="0" w:color="auto"/>
                      </w:divBdr>
                      <w:divsChild>
                        <w:div w:id="68617466">
                          <w:marLeft w:val="0"/>
                          <w:marRight w:val="0"/>
                          <w:marTop w:val="0"/>
                          <w:marBottom w:val="0"/>
                          <w:divBdr>
                            <w:top w:val="none" w:sz="0" w:space="0" w:color="auto"/>
                            <w:left w:val="none" w:sz="0" w:space="0" w:color="auto"/>
                            <w:bottom w:val="none" w:sz="0" w:space="0" w:color="auto"/>
                            <w:right w:val="none" w:sz="0" w:space="0" w:color="auto"/>
                          </w:divBdr>
                          <w:divsChild>
                            <w:div w:id="68617471">
                              <w:marLeft w:val="0"/>
                              <w:marRight w:val="0"/>
                              <w:marTop w:val="0"/>
                              <w:marBottom w:val="0"/>
                              <w:divBdr>
                                <w:top w:val="none" w:sz="0" w:space="0" w:color="auto"/>
                                <w:left w:val="none" w:sz="0" w:space="0" w:color="auto"/>
                                <w:bottom w:val="none" w:sz="0" w:space="0" w:color="auto"/>
                                <w:right w:val="none" w:sz="0" w:space="0" w:color="auto"/>
                              </w:divBdr>
                              <w:divsChild>
                                <w:div w:id="68617481">
                                  <w:marLeft w:val="0"/>
                                  <w:marRight w:val="0"/>
                                  <w:marTop w:val="0"/>
                                  <w:marBottom w:val="0"/>
                                  <w:divBdr>
                                    <w:top w:val="none" w:sz="0" w:space="0" w:color="auto"/>
                                    <w:left w:val="none" w:sz="0" w:space="0" w:color="auto"/>
                                    <w:bottom w:val="none" w:sz="0" w:space="0" w:color="auto"/>
                                    <w:right w:val="none" w:sz="0" w:space="0" w:color="auto"/>
                                  </w:divBdr>
                                  <w:divsChild>
                                    <w:div w:id="686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17491">
      <w:marLeft w:val="0"/>
      <w:marRight w:val="0"/>
      <w:marTop w:val="0"/>
      <w:marBottom w:val="0"/>
      <w:divBdr>
        <w:top w:val="none" w:sz="0" w:space="0" w:color="auto"/>
        <w:left w:val="none" w:sz="0" w:space="0" w:color="auto"/>
        <w:bottom w:val="none" w:sz="0" w:space="0" w:color="auto"/>
        <w:right w:val="none" w:sz="0" w:space="0" w:color="auto"/>
      </w:divBdr>
      <w:divsChild>
        <w:div w:id="68617503">
          <w:marLeft w:val="0"/>
          <w:marRight w:val="0"/>
          <w:marTop w:val="0"/>
          <w:marBottom w:val="0"/>
          <w:divBdr>
            <w:top w:val="none" w:sz="0" w:space="0" w:color="auto"/>
            <w:left w:val="none" w:sz="0" w:space="0" w:color="auto"/>
            <w:bottom w:val="none" w:sz="0" w:space="0" w:color="auto"/>
            <w:right w:val="none" w:sz="0" w:space="0" w:color="auto"/>
          </w:divBdr>
          <w:divsChild>
            <w:div w:id="68617499">
              <w:marLeft w:val="0"/>
              <w:marRight w:val="0"/>
              <w:marTop w:val="0"/>
              <w:marBottom w:val="0"/>
              <w:divBdr>
                <w:top w:val="none" w:sz="0" w:space="0" w:color="auto"/>
                <w:left w:val="none" w:sz="0" w:space="0" w:color="auto"/>
                <w:bottom w:val="none" w:sz="0" w:space="0" w:color="auto"/>
                <w:right w:val="none" w:sz="0" w:space="0" w:color="auto"/>
              </w:divBdr>
              <w:divsChild>
                <w:div w:id="68617498">
                  <w:marLeft w:val="0"/>
                  <w:marRight w:val="0"/>
                  <w:marTop w:val="0"/>
                  <w:marBottom w:val="0"/>
                  <w:divBdr>
                    <w:top w:val="none" w:sz="0" w:space="0" w:color="auto"/>
                    <w:left w:val="none" w:sz="0" w:space="0" w:color="auto"/>
                    <w:bottom w:val="none" w:sz="0" w:space="0" w:color="auto"/>
                    <w:right w:val="none" w:sz="0" w:space="0" w:color="auto"/>
                  </w:divBdr>
                  <w:divsChild>
                    <w:div w:id="68617501">
                      <w:marLeft w:val="0"/>
                      <w:marRight w:val="0"/>
                      <w:marTop w:val="0"/>
                      <w:marBottom w:val="0"/>
                      <w:divBdr>
                        <w:top w:val="none" w:sz="0" w:space="0" w:color="auto"/>
                        <w:left w:val="none" w:sz="0" w:space="0" w:color="auto"/>
                        <w:bottom w:val="none" w:sz="0" w:space="0" w:color="auto"/>
                        <w:right w:val="none" w:sz="0" w:space="0" w:color="auto"/>
                      </w:divBdr>
                      <w:divsChild>
                        <w:div w:id="68617500">
                          <w:marLeft w:val="0"/>
                          <w:marRight w:val="0"/>
                          <w:marTop w:val="0"/>
                          <w:marBottom w:val="0"/>
                          <w:divBdr>
                            <w:top w:val="none" w:sz="0" w:space="0" w:color="auto"/>
                            <w:left w:val="none" w:sz="0" w:space="0" w:color="auto"/>
                            <w:bottom w:val="none" w:sz="0" w:space="0" w:color="auto"/>
                            <w:right w:val="none" w:sz="0" w:space="0" w:color="auto"/>
                          </w:divBdr>
                          <w:divsChild>
                            <w:div w:id="68617488">
                              <w:marLeft w:val="0"/>
                              <w:marRight w:val="0"/>
                              <w:marTop w:val="0"/>
                              <w:marBottom w:val="0"/>
                              <w:divBdr>
                                <w:top w:val="none" w:sz="0" w:space="0" w:color="auto"/>
                                <w:left w:val="none" w:sz="0" w:space="0" w:color="auto"/>
                                <w:bottom w:val="none" w:sz="0" w:space="0" w:color="auto"/>
                                <w:right w:val="none" w:sz="0" w:space="0" w:color="auto"/>
                              </w:divBdr>
                              <w:divsChild>
                                <w:div w:id="68617502">
                                  <w:marLeft w:val="0"/>
                                  <w:marRight w:val="0"/>
                                  <w:marTop w:val="0"/>
                                  <w:marBottom w:val="0"/>
                                  <w:divBdr>
                                    <w:top w:val="none" w:sz="0" w:space="0" w:color="auto"/>
                                    <w:left w:val="none" w:sz="0" w:space="0" w:color="auto"/>
                                    <w:bottom w:val="none" w:sz="0" w:space="0" w:color="auto"/>
                                    <w:right w:val="none" w:sz="0" w:space="0" w:color="auto"/>
                                  </w:divBdr>
                                  <w:divsChild>
                                    <w:div w:id="686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17495">
      <w:marLeft w:val="0"/>
      <w:marRight w:val="0"/>
      <w:marTop w:val="0"/>
      <w:marBottom w:val="0"/>
      <w:divBdr>
        <w:top w:val="none" w:sz="0" w:space="0" w:color="auto"/>
        <w:left w:val="none" w:sz="0" w:space="0" w:color="auto"/>
        <w:bottom w:val="none" w:sz="0" w:space="0" w:color="auto"/>
        <w:right w:val="none" w:sz="0" w:space="0" w:color="auto"/>
      </w:divBdr>
      <w:divsChild>
        <w:div w:id="68617496">
          <w:marLeft w:val="0"/>
          <w:marRight w:val="0"/>
          <w:marTop w:val="0"/>
          <w:marBottom w:val="0"/>
          <w:divBdr>
            <w:top w:val="none" w:sz="0" w:space="0" w:color="auto"/>
            <w:left w:val="none" w:sz="0" w:space="0" w:color="auto"/>
            <w:bottom w:val="none" w:sz="0" w:space="0" w:color="auto"/>
            <w:right w:val="none" w:sz="0" w:space="0" w:color="auto"/>
          </w:divBdr>
          <w:divsChild>
            <w:div w:id="68617487">
              <w:marLeft w:val="0"/>
              <w:marRight w:val="0"/>
              <w:marTop w:val="0"/>
              <w:marBottom w:val="0"/>
              <w:divBdr>
                <w:top w:val="none" w:sz="0" w:space="0" w:color="auto"/>
                <w:left w:val="none" w:sz="0" w:space="0" w:color="auto"/>
                <w:bottom w:val="none" w:sz="0" w:space="0" w:color="auto"/>
                <w:right w:val="none" w:sz="0" w:space="0" w:color="auto"/>
              </w:divBdr>
              <w:divsChild>
                <w:div w:id="68617497">
                  <w:marLeft w:val="0"/>
                  <w:marRight w:val="0"/>
                  <w:marTop w:val="0"/>
                  <w:marBottom w:val="0"/>
                  <w:divBdr>
                    <w:top w:val="none" w:sz="0" w:space="0" w:color="auto"/>
                    <w:left w:val="none" w:sz="0" w:space="0" w:color="auto"/>
                    <w:bottom w:val="none" w:sz="0" w:space="0" w:color="auto"/>
                    <w:right w:val="none" w:sz="0" w:space="0" w:color="auto"/>
                  </w:divBdr>
                  <w:divsChild>
                    <w:div w:id="68617486">
                      <w:marLeft w:val="0"/>
                      <w:marRight w:val="0"/>
                      <w:marTop w:val="0"/>
                      <w:marBottom w:val="0"/>
                      <w:divBdr>
                        <w:top w:val="none" w:sz="0" w:space="0" w:color="auto"/>
                        <w:left w:val="none" w:sz="0" w:space="0" w:color="auto"/>
                        <w:bottom w:val="none" w:sz="0" w:space="0" w:color="auto"/>
                        <w:right w:val="none" w:sz="0" w:space="0" w:color="auto"/>
                      </w:divBdr>
                      <w:divsChild>
                        <w:div w:id="68617493">
                          <w:marLeft w:val="0"/>
                          <w:marRight w:val="0"/>
                          <w:marTop w:val="0"/>
                          <w:marBottom w:val="0"/>
                          <w:divBdr>
                            <w:top w:val="none" w:sz="0" w:space="0" w:color="auto"/>
                            <w:left w:val="none" w:sz="0" w:space="0" w:color="auto"/>
                            <w:bottom w:val="none" w:sz="0" w:space="0" w:color="auto"/>
                            <w:right w:val="none" w:sz="0" w:space="0" w:color="auto"/>
                          </w:divBdr>
                          <w:divsChild>
                            <w:div w:id="68617494">
                              <w:marLeft w:val="0"/>
                              <w:marRight w:val="0"/>
                              <w:marTop w:val="0"/>
                              <w:marBottom w:val="0"/>
                              <w:divBdr>
                                <w:top w:val="none" w:sz="0" w:space="0" w:color="auto"/>
                                <w:left w:val="none" w:sz="0" w:space="0" w:color="auto"/>
                                <w:bottom w:val="none" w:sz="0" w:space="0" w:color="auto"/>
                                <w:right w:val="none" w:sz="0" w:space="0" w:color="auto"/>
                              </w:divBdr>
                              <w:divsChild>
                                <w:div w:id="68617489">
                                  <w:marLeft w:val="0"/>
                                  <w:marRight w:val="0"/>
                                  <w:marTop w:val="0"/>
                                  <w:marBottom w:val="0"/>
                                  <w:divBdr>
                                    <w:top w:val="none" w:sz="0" w:space="0" w:color="auto"/>
                                    <w:left w:val="none" w:sz="0" w:space="0" w:color="auto"/>
                                    <w:bottom w:val="none" w:sz="0" w:space="0" w:color="auto"/>
                                    <w:right w:val="none" w:sz="0" w:space="0" w:color="auto"/>
                                  </w:divBdr>
                                  <w:divsChild>
                                    <w:div w:id="686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25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cbi.nlm.nih.gov/pmc/articles/PMC44190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19124</Words>
  <Characters>109007</Characters>
  <Application>Microsoft Office Word</Application>
  <DocSecurity>0</DocSecurity>
  <Lines>908</Lines>
  <Paragraphs>255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DIRECCIONES FUTURAS EN EII</vt:lpstr>
      <vt:lpstr>DIRECCIONES FUTURAS EN EII</vt:lpstr>
    </vt:vector>
  </TitlesOfParts>
  <Company>Hewlett-Packard Company</Company>
  <LinksUpToDate>false</LinksUpToDate>
  <CharactersWithSpaces>127876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DIRECCIONES FUTURAS EN EII</dc:title>
  <dc:creator>Ángeles Masedo</dc:creator>
  <cp:lastModifiedBy>LS Ma</cp:lastModifiedBy>
  <cp:revision>2</cp:revision>
  <cp:lastPrinted>2015-05-07T15:24:00Z</cp:lastPrinted>
  <dcterms:created xsi:type="dcterms:W3CDTF">2015-09-02T00:33:00Z</dcterms:created>
  <dcterms:modified xsi:type="dcterms:W3CDTF">2015-09-02T00:33:00Z</dcterms:modified>
</cp:coreProperties>
</file>