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E20" w:rsidRPr="004A6DDB" w:rsidRDefault="00C42E20" w:rsidP="009C3795">
      <w:pPr>
        <w:adjustRightInd w:val="0"/>
        <w:snapToGrid w:val="0"/>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rsidR="00C42E20" w:rsidRPr="004A6DDB" w:rsidRDefault="00C42E20" w:rsidP="009C3795">
      <w:pPr>
        <w:adjustRightInd w:val="0"/>
        <w:snapToGrid w:val="0"/>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ESPS Manuscript NO: </w:t>
      </w:r>
      <w:r>
        <w:rPr>
          <w:rFonts w:ascii="Book Antiqua" w:hAnsi="Book Antiqua" w:cs="Arial" w:hint="eastAsia"/>
          <w:b/>
          <w:color w:val="222222"/>
          <w:shd w:val="clear" w:color="auto" w:fill="FFFFFF"/>
        </w:rPr>
        <w:t>20319</w:t>
      </w:r>
    </w:p>
    <w:p w:rsidR="00C42E20" w:rsidRPr="00C42E20" w:rsidRDefault="00C42E20" w:rsidP="009C3795">
      <w:pPr>
        <w:adjustRightInd w:val="0"/>
        <w:snapToGrid w:val="0"/>
        <w:spacing w:line="360" w:lineRule="auto"/>
        <w:jc w:val="both"/>
        <w:rPr>
          <w:rFonts w:ascii="Book Antiqua" w:hAnsi="Book Antiqua" w:cs="Times New Roman"/>
          <w:b/>
          <w:caps/>
        </w:rPr>
      </w:pPr>
      <w:r w:rsidRPr="004A6DDB">
        <w:rPr>
          <w:rFonts w:ascii="Book Antiqua" w:hAnsi="Book Antiqua" w:cs="Arial"/>
          <w:b/>
          <w:color w:val="222222"/>
          <w:shd w:val="clear" w:color="auto" w:fill="FFFFFF"/>
        </w:rPr>
        <w:t>Manuscript Type:</w:t>
      </w:r>
      <w:r>
        <w:rPr>
          <w:rFonts w:ascii="Book Antiqua" w:hAnsi="Book Antiqua" w:cs="Arial" w:hint="eastAsia"/>
          <w:b/>
          <w:color w:val="222222"/>
          <w:shd w:val="clear" w:color="auto" w:fill="FFFFFF"/>
        </w:rPr>
        <w:t xml:space="preserve"> </w:t>
      </w:r>
      <w:r w:rsidRPr="00C42E20">
        <w:rPr>
          <w:rFonts w:ascii="Book Antiqua" w:hAnsi="Book Antiqua" w:cs="Arial" w:hint="eastAsia"/>
          <w:b/>
          <w:caps/>
          <w:color w:val="222222"/>
          <w:shd w:val="clear" w:color="auto" w:fill="FFFFFF"/>
        </w:rPr>
        <w:t>Case report</w:t>
      </w:r>
    </w:p>
    <w:p w:rsidR="00C42E20" w:rsidRPr="00C42E20" w:rsidRDefault="00C42E20" w:rsidP="009C3795">
      <w:pPr>
        <w:adjustRightInd w:val="0"/>
        <w:snapToGrid w:val="0"/>
        <w:spacing w:line="360" w:lineRule="auto"/>
        <w:jc w:val="both"/>
        <w:rPr>
          <w:rFonts w:ascii="Book Antiqua" w:hAnsi="Book Antiqua" w:cs="Times New Roman"/>
          <w:b/>
          <w:caps/>
        </w:rPr>
      </w:pPr>
    </w:p>
    <w:p w:rsidR="00FE1645" w:rsidRPr="00C42E20" w:rsidRDefault="00D836FB" w:rsidP="009C3795">
      <w:pPr>
        <w:adjustRightInd w:val="0"/>
        <w:snapToGrid w:val="0"/>
        <w:spacing w:line="360" w:lineRule="auto"/>
        <w:jc w:val="both"/>
        <w:rPr>
          <w:rFonts w:ascii="Book Antiqua" w:hAnsi="Book Antiqua" w:cs="Times New Roman"/>
          <w:b/>
        </w:rPr>
      </w:pPr>
      <w:r w:rsidRPr="00C42E20">
        <w:rPr>
          <w:rFonts w:ascii="Book Antiqua" w:hAnsi="Book Antiqua" w:cs="Times New Roman"/>
          <w:b/>
        </w:rPr>
        <w:t>Characteristic clinical features of</w:t>
      </w:r>
      <w:r w:rsidR="00FE1645" w:rsidRPr="00C42E20">
        <w:rPr>
          <w:rFonts w:ascii="Book Antiqua" w:hAnsi="Book Antiqua" w:cs="Times New Roman"/>
          <w:b/>
        </w:rPr>
        <w:t xml:space="preserve"> Aspergillus appendicitis: Case report and literature review</w:t>
      </w:r>
    </w:p>
    <w:p w:rsidR="00C42E20" w:rsidRDefault="00C42E20"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rPr>
        <w:t xml:space="preserve">Gjeorgjievski </w:t>
      </w:r>
      <w:r>
        <w:rPr>
          <w:rFonts w:ascii="Book Antiqua" w:hAnsi="Book Antiqua" w:cs="Times New Roman" w:hint="eastAsia"/>
        </w:rPr>
        <w:t xml:space="preserve">M </w:t>
      </w:r>
      <w:r w:rsidRPr="00C42E20">
        <w:rPr>
          <w:rFonts w:ascii="Book Antiqua" w:hAnsi="Book Antiqua" w:cs="Times New Roman"/>
          <w:i/>
        </w:rPr>
        <w:t>et al</w:t>
      </w:r>
      <w:r>
        <w:rPr>
          <w:rFonts w:ascii="Book Antiqua" w:hAnsi="Book Antiqua" w:cs="Times New Roman" w:hint="eastAsia"/>
        </w:rPr>
        <w:t xml:space="preserve">. </w:t>
      </w:r>
      <w:r w:rsidRPr="00C42E20">
        <w:rPr>
          <w:rFonts w:ascii="Book Antiqua" w:hAnsi="Book Antiqua" w:cs="Times New Roman"/>
        </w:rPr>
        <w:t xml:space="preserve">Aspergillus appendicitis associated with neutropenia </w:t>
      </w:r>
      <w:r>
        <w:rPr>
          <w:rFonts w:ascii="Book Antiqua" w:hAnsi="Book Antiqua" w:cs="Times New Roman" w:hint="eastAsia"/>
        </w:rPr>
        <w:t>and</w:t>
      </w:r>
      <w:r w:rsidRPr="00C42E20">
        <w:rPr>
          <w:rFonts w:ascii="Book Antiqua" w:hAnsi="Book Antiqua" w:cs="Times New Roman"/>
        </w:rPr>
        <w:t xml:space="preserve"> AML</w:t>
      </w:r>
    </w:p>
    <w:p w:rsidR="00C42E20" w:rsidRDefault="00C42E20"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rPr>
        <w:t xml:space="preserve">Mihajlo Gjeorgjievski, </w:t>
      </w:r>
      <w:r>
        <w:rPr>
          <w:rFonts w:ascii="Book Antiqua" w:hAnsi="Book Antiqua" w:cs="Times New Roman"/>
        </w:rPr>
        <w:t>Mitual B</w:t>
      </w:r>
      <w:r w:rsidRPr="00C42E20">
        <w:rPr>
          <w:rFonts w:ascii="Book Antiqua" w:hAnsi="Book Antiqua" w:cs="Times New Roman"/>
        </w:rPr>
        <w:t xml:space="preserve"> Amin, </w:t>
      </w:r>
      <w:r>
        <w:rPr>
          <w:rFonts w:ascii="Book Antiqua" w:hAnsi="Book Antiqua" w:cs="Times New Roman"/>
        </w:rPr>
        <w:t>Mitchell S Cappell</w:t>
      </w:r>
    </w:p>
    <w:p w:rsidR="00C42E20" w:rsidRPr="00C42E20" w:rsidRDefault="00C42E20"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b/>
        </w:rPr>
        <w:t>Mihajlo Gjeorgjievski,</w:t>
      </w:r>
      <w:r w:rsidRPr="00C42E20">
        <w:rPr>
          <w:rFonts w:ascii="Book Antiqua" w:hAnsi="Book Antiqua" w:cs="Times New Roman" w:hint="eastAsia"/>
          <w:b/>
        </w:rPr>
        <w:t xml:space="preserve"> </w:t>
      </w:r>
      <w:r w:rsidRPr="00C42E20">
        <w:rPr>
          <w:rFonts w:ascii="Book Antiqua" w:hAnsi="Book Antiqua" w:cs="Times New Roman"/>
          <w:b/>
        </w:rPr>
        <w:t>Mitchell S Cappell</w:t>
      </w:r>
      <w:r w:rsidRPr="00C42E20">
        <w:rPr>
          <w:rFonts w:ascii="Book Antiqua" w:hAnsi="Book Antiqua" w:cs="Times New Roman" w:hint="eastAsia"/>
          <w:b/>
        </w:rPr>
        <w:t>,</w:t>
      </w:r>
      <w:r w:rsidRPr="00C42E20">
        <w:rPr>
          <w:rFonts w:ascii="Book Antiqua" w:hAnsi="Book Antiqua" w:cs="Times New Roman"/>
        </w:rPr>
        <w:t xml:space="preserve"> </w:t>
      </w:r>
      <w:r w:rsidR="00FE1645" w:rsidRPr="00C42E20">
        <w:rPr>
          <w:rFonts w:ascii="Book Antiqua" w:hAnsi="Book Antiqua" w:cs="Times New Roman"/>
        </w:rPr>
        <w:t xml:space="preserve">Division of Gastroenterology </w:t>
      </w:r>
      <w:r>
        <w:rPr>
          <w:rFonts w:ascii="Book Antiqua" w:hAnsi="Book Antiqua" w:cs="Times New Roman"/>
        </w:rPr>
        <w:t>and</w:t>
      </w:r>
      <w:r w:rsidRPr="00C42E20">
        <w:rPr>
          <w:rFonts w:ascii="Book Antiqua" w:hAnsi="Book Antiqua" w:cs="Times New Roman"/>
        </w:rPr>
        <w:t xml:space="preserve"> </w:t>
      </w:r>
      <w:r w:rsidR="00FE1645" w:rsidRPr="00C42E20">
        <w:rPr>
          <w:rFonts w:ascii="Book Antiqua" w:hAnsi="Book Antiqua" w:cs="Times New Roman"/>
        </w:rPr>
        <w:t xml:space="preserve">Hepatology, William Beaumont Hospital, Royal Oak, </w:t>
      </w:r>
      <w:r w:rsidR="00FE1645" w:rsidRPr="00C42E20">
        <w:rPr>
          <w:rFonts w:ascii="Book Antiqua" w:hAnsi="Book Antiqua" w:cs="Times New Roman"/>
          <w:caps/>
        </w:rPr>
        <w:t>Mi</w:t>
      </w:r>
      <w:r>
        <w:rPr>
          <w:rFonts w:ascii="Book Antiqua" w:hAnsi="Book Antiqua" w:cs="Times New Roman" w:hint="eastAsia"/>
          <w:caps/>
        </w:rPr>
        <w:t xml:space="preserve"> </w:t>
      </w:r>
      <w:r w:rsidRPr="00C42E20">
        <w:rPr>
          <w:rFonts w:ascii="Book Antiqua" w:hAnsi="Book Antiqua" w:cs="Times New Roman"/>
        </w:rPr>
        <w:t>48073</w:t>
      </w:r>
      <w:r>
        <w:rPr>
          <w:rFonts w:ascii="Book Antiqua" w:hAnsi="Book Antiqua" w:cs="Times New Roman"/>
        </w:rPr>
        <w:t>, U</w:t>
      </w:r>
      <w:r>
        <w:rPr>
          <w:rFonts w:ascii="Book Antiqua" w:hAnsi="Book Antiqua" w:cs="Times New Roman" w:hint="eastAsia"/>
        </w:rPr>
        <w:t>nited States</w:t>
      </w:r>
    </w:p>
    <w:p w:rsidR="00C42E20" w:rsidRDefault="00C42E20"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b/>
        </w:rPr>
        <w:t xml:space="preserve">Mitual B Amin, </w:t>
      </w:r>
      <w:r w:rsidR="00FE1645" w:rsidRPr="00C42E20">
        <w:rPr>
          <w:rFonts w:ascii="Book Antiqua" w:hAnsi="Book Antiqua" w:cs="Times New Roman"/>
        </w:rPr>
        <w:t xml:space="preserve">Anatomic Pathology, William Beaumont Hospital, Royal Oak, </w:t>
      </w:r>
      <w:r w:rsidRPr="00C42E20">
        <w:rPr>
          <w:rFonts w:ascii="Book Antiqua" w:hAnsi="Book Antiqua" w:cs="Times New Roman"/>
          <w:caps/>
        </w:rPr>
        <w:t>Mi</w:t>
      </w:r>
      <w:r>
        <w:rPr>
          <w:rFonts w:ascii="Book Antiqua" w:hAnsi="Book Antiqua" w:cs="Times New Roman" w:hint="eastAsia"/>
          <w:caps/>
        </w:rPr>
        <w:t xml:space="preserve"> </w:t>
      </w:r>
      <w:r w:rsidRPr="00C42E20">
        <w:rPr>
          <w:rFonts w:ascii="Book Antiqua" w:hAnsi="Book Antiqua" w:cs="Times New Roman"/>
        </w:rPr>
        <w:t>48073</w:t>
      </w:r>
      <w:r>
        <w:rPr>
          <w:rFonts w:ascii="Book Antiqua" w:hAnsi="Book Antiqua" w:cs="Times New Roman"/>
        </w:rPr>
        <w:t>, U</w:t>
      </w:r>
      <w:r>
        <w:rPr>
          <w:rFonts w:ascii="Book Antiqua" w:hAnsi="Book Antiqua" w:cs="Times New Roman" w:hint="eastAsia"/>
        </w:rPr>
        <w:t>nited States</w:t>
      </w:r>
      <w:r w:rsidR="00FE1645" w:rsidRPr="00C42E20">
        <w:rPr>
          <w:rFonts w:ascii="Book Antiqua" w:hAnsi="Book Antiqua" w:cs="Times New Roman"/>
        </w:rPr>
        <w:t xml:space="preserve"> </w:t>
      </w:r>
    </w:p>
    <w:p w:rsidR="00C42E20" w:rsidRDefault="00C42E20" w:rsidP="009C3795">
      <w:pPr>
        <w:adjustRightInd w:val="0"/>
        <w:snapToGrid w:val="0"/>
        <w:spacing w:line="360" w:lineRule="auto"/>
        <w:jc w:val="both"/>
        <w:rPr>
          <w:rFonts w:ascii="Book Antiqua" w:hAnsi="Book Antiqua" w:cs="Times New Roman"/>
        </w:rPr>
      </w:pPr>
    </w:p>
    <w:p w:rsidR="00FE1645" w:rsidRP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b/>
        </w:rPr>
        <w:t>Mitual B Amin, Mitchell S Cappell</w:t>
      </w:r>
      <w:r w:rsidRPr="00C42E20">
        <w:rPr>
          <w:rFonts w:ascii="Book Antiqua" w:hAnsi="Book Antiqua" w:cs="Times New Roman" w:hint="eastAsia"/>
          <w:b/>
        </w:rPr>
        <w:t>,</w:t>
      </w:r>
      <w:r w:rsidR="00FE1645" w:rsidRPr="00C42E20">
        <w:rPr>
          <w:rFonts w:ascii="Book Antiqua" w:hAnsi="Book Antiqua" w:cs="Times New Roman"/>
        </w:rPr>
        <w:t xml:space="preserve"> Oakland University William Beaumont School of Medicine, Royal Oak, </w:t>
      </w:r>
      <w:r w:rsidRPr="00C42E20">
        <w:rPr>
          <w:rFonts w:ascii="Book Antiqua" w:hAnsi="Book Antiqua" w:cs="Times New Roman"/>
          <w:caps/>
        </w:rPr>
        <w:t>Mi</w:t>
      </w:r>
      <w:r>
        <w:rPr>
          <w:rFonts w:ascii="Book Antiqua" w:hAnsi="Book Antiqua" w:cs="Times New Roman" w:hint="eastAsia"/>
          <w:caps/>
        </w:rPr>
        <w:t xml:space="preserve"> </w:t>
      </w:r>
      <w:r w:rsidRPr="00C42E20">
        <w:rPr>
          <w:rFonts w:ascii="Book Antiqua" w:hAnsi="Book Antiqua" w:cs="Times New Roman"/>
        </w:rPr>
        <w:t>48073</w:t>
      </w:r>
      <w:r>
        <w:rPr>
          <w:rFonts w:ascii="Book Antiqua" w:hAnsi="Book Antiqua" w:cs="Times New Roman"/>
        </w:rPr>
        <w:t>, U</w:t>
      </w:r>
      <w:r>
        <w:rPr>
          <w:rFonts w:ascii="Book Antiqua" w:hAnsi="Book Antiqua" w:cs="Times New Roman" w:hint="eastAsia"/>
        </w:rPr>
        <w:t>nited States</w:t>
      </w:r>
    </w:p>
    <w:p w:rsidR="00FE1645" w:rsidRDefault="00FE1645" w:rsidP="009C3795">
      <w:pPr>
        <w:adjustRightInd w:val="0"/>
        <w:snapToGrid w:val="0"/>
        <w:spacing w:line="360" w:lineRule="auto"/>
        <w:jc w:val="both"/>
        <w:rPr>
          <w:rFonts w:ascii="Book Antiqua" w:hAnsi="Book Antiqua" w:cs="Times New Roman"/>
        </w:rPr>
      </w:pPr>
    </w:p>
    <w:p w:rsidR="006F0107" w:rsidRDefault="006F0107" w:rsidP="009C3795">
      <w:pPr>
        <w:adjustRightInd w:val="0"/>
        <w:snapToGrid w:val="0"/>
        <w:spacing w:line="360" w:lineRule="auto"/>
        <w:jc w:val="both"/>
        <w:rPr>
          <w:rFonts w:ascii="Book Antiqua" w:hAnsi="Book Antiqua" w:cs="Book Antiqua"/>
          <w:lang w:val="en-GB"/>
        </w:rPr>
      </w:pPr>
      <w:r w:rsidRPr="00390EBD">
        <w:rPr>
          <w:rFonts w:ascii="Book Antiqua" w:hAnsi="Book Antiqua" w:cs="Book Antiqua"/>
          <w:b/>
          <w:bCs/>
          <w:lang w:val="en-GB" w:eastAsia="es-ES"/>
        </w:rPr>
        <w:t>Author contributions</w:t>
      </w:r>
      <w:r w:rsidRPr="00390EBD">
        <w:rPr>
          <w:rFonts w:ascii="Book Antiqua" w:hAnsi="Book Antiqua" w:cs="Book Antiqua"/>
          <w:lang w:val="en-GB" w:eastAsia="es-ES"/>
        </w:rPr>
        <w:t>:</w:t>
      </w:r>
      <w:r>
        <w:rPr>
          <w:rFonts w:ascii="Book Antiqua" w:hAnsi="Book Antiqua" w:cs="Book Antiqua" w:hint="eastAsia"/>
          <w:lang w:val="en-GB"/>
        </w:rPr>
        <w:t xml:space="preserve"> All authors equally contributed to this paper.</w:t>
      </w:r>
    </w:p>
    <w:p w:rsidR="006F0107" w:rsidRPr="006F0107" w:rsidRDefault="006F0107"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rPr>
      </w:pPr>
      <w:r w:rsidRPr="00C42E20">
        <w:rPr>
          <w:rFonts w:ascii="Book Antiqua" w:hAnsi="Book Antiqua" w:cs="Times New Roman"/>
          <w:b/>
        </w:rPr>
        <w:t>Institutional review board statement:</w:t>
      </w:r>
      <w:r w:rsidRPr="00C42E20">
        <w:rPr>
          <w:rFonts w:ascii="Book Antiqua" w:hAnsi="Book Antiqua" w:cs="Times New Roman"/>
        </w:rPr>
        <w:t xml:space="preserve"> Case report exempted/approved by William Beaumont Hospital IRB on 12/01/2014.</w:t>
      </w:r>
    </w:p>
    <w:p w:rsidR="00FE1645" w:rsidRPr="00C42E20" w:rsidRDefault="00FE1645" w:rsidP="009C3795">
      <w:pPr>
        <w:adjustRightInd w:val="0"/>
        <w:snapToGrid w:val="0"/>
        <w:spacing w:line="360" w:lineRule="auto"/>
        <w:jc w:val="both"/>
        <w:rPr>
          <w:rFonts w:ascii="Book Antiqua" w:hAnsi="Book Antiqua" w:cs="Times New Roman"/>
        </w:rPr>
      </w:pPr>
    </w:p>
    <w:p w:rsidR="00C42E20" w:rsidRDefault="00C42E20" w:rsidP="009C3795">
      <w:pPr>
        <w:adjustRightInd w:val="0"/>
        <w:snapToGrid w:val="0"/>
        <w:spacing w:line="360" w:lineRule="auto"/>
        <w:jc w:val="both"/>
        <w:rPr>
          <w:rFonts w:ascii="Book Antiqua" w:hAnsi="Book Antiqua" w:cs="Times New Roman"/>
          <w:b/>
          <w:bCs/>
        </w:rPr>
      </w:pPr>
      <w:r w:rsidRPr="00C42E20">
        <w:rPr>
          <w:rFonts w:ascii="Book Antiqua" w:hAnsi="Book Antiqua" w:cs="Times New Roman"/>
          <w:b/>
          <w:bCs/>
        </w:rPr>
        <w:t>Conflict-of-interest statement</w:t>
      </w:r>
      <w:r w:rsidR="0023455F" w:rsidRPr="00C42E20">
        <w:rPr>
          <w:rFonts w:ascii="Book Antiqua" w:hAnsi="Book Antiqua" w:cs="Times New Roman"/>
          <w:b/>
        </w:rPr>
        <w:t xml:space="preserve">: </w:t>
      </w:r>
      <w:r w:rsidR="0023455F" w:rsidRPr="00C42E20">
        <w:rPr>
          <w:rFonts w:ascii="Book Antiqua" w:hAnsi="Book Antiqua" w:cs="Times New Roman"/>
        </w:rPr>
        <w:t xml:space="preserve">None for all authors. This paper does not discuss any confidential pharmaceutical industry data reviewed by Dr. Cappell as a consultant for the United States Food </w:t>
      </w:r>
      <w:r>
        <w:rPr>
          <w:rFonts w:ascii="Book Antiqua" w:hAnsi="Book Antiqua" w:cs="Times New Roman" w:hint="eastAsia"/>
        </w:rPr>
        <w:t>and</w:t>
      </w:r>
      <w:r w:rsidR="0023455F" w:rsidRPr="00C42E20">
        <w:rPr>
          <w:rFonts w:ascii="Book Antiqua" w:hAnsi="Book Antiqua" w:cs="Times New Roman"/>
        </w:rPr>
        <w:t xml:space="preserve"> Drug Administration Advisory Committee on Gastrointestinal Drugs.</w:t>
      </w:r>
      <w:r>
        <w:rPr>
          <w:rFonts w:ascii="Book Antiqua" w:hAnsi="Book Antiqua" w:cs="Times New Roman"/>
        </w:rPr>
        <w:t xml:space="preserve"> </w:t>
      </w:r>
      <w:r w:rsidR="0023455F" w:rsidRPr="00C42E20">
        <w:rPr>
          <w:rFonts w:ascii="Book Antiqua" w:hAnsi="Book Antiqua" w:cs="Times New Roman"/>
        </w:rPr>
        <w:t xml:space="preserve"> </w:t>
      </w:r>
    </w:p>
    <w:p w:rsidR="00C42E20" w:rsidRPr="00C42E20" w:rsidRDefault="00C42E20" w:rsidP="009C3795">
      <w:pPr>
        <w:adjustRightInd w:val="0"/>
        <w:snapToGrid w:val="0"/>
        <w:spacing w:line="360" w:lineRule="auto"/>
        <w:jc w:val="both"/>
        <w:rPr>
          <w:rFonts w:ascii="Book Antiqua" w:hAnsi="Book Antiqua" w:cs="Times New Roman"/>
          <w:b/>
        </w:rPr>
      </w:pPr>
    </w:p>
    <w:p w:rsidR="00C42E20" w:rsidRPr="009652B7" w:rsidRDefault="00C42E20" w:rsidP="009C3795">
      <w:pPr>
        <w:adjustRightInd w:val="0"/>
        <w:snapToGrid w:val="0"/>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 xml:space="preserve">which was selected by an in-house editor </w:t>
      </w:r>
      <w:r w:rsidRPr="00C05FCE">
        <w:rPr>
          <w:rFonts w:ascii="Book Antiqua" w:hAnsi="Book Antiqua"/>
          <w:color w:val="000000"/>
        </w:rPr>
        <w:lastRenderedPageBreak/>
        <w:t>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C42E20" w:rsidRPr="00C42E20" w:rsidRDefault="00C42E20" w:rsidP="009C3795">
      <w:pPr>
        <w:adjustRightInd w:val="0"/>
        <w:snapToGrid w:val="0"/>
        <w:spacing w:line="360" w:lineRule="auto"/>
        <w:jc w:val="both"/>
        <w:rPr>
          <w:rFonts w:ascii="Book Antiqua" w:hAnsi="Book Antiqua" w:cs="Times New Roman"/>
        </w:rPr>
      </w:pPr>
    </w:p>
    <w:p w:rsidR="00FE1645" w:rsidRDefault="00FE1645" w:rsidP="009C3795">
      <w:pPr>
        <w:adjustRightInd w:val="0"/>
        <w:snapToGrid w:val="0"/>
        <w:spacing w:line="360" w:lineRule="auto"/>
        <w:jc w:val="both"/>
        <w:rPr>
          <w:rFonts w:ascii="Book Antiqua" w:hAnsi="Book Antiqua" w:cs="Times New Roman"/>
        </w:rPr>
      </w:pPr>
      <w:r w:rsidRPr="00C42E20">
        <w:rPr>
          <w:rFonts w:ascii="Book Antiqua" w:hAnsi="Book Antiqua" w:cs="Times New Roman"/>
          <w:b/>
          <w:caps/>
        </w:rPr>
        <w:t>c</w:t>
      </w:r>
      <w:r w:rsidRPr="00C42E20">
        <w:rPr>
          <w:rFonts w:ascii="Book Antiqua" w:hAnsi="Book Antiqua" w:cs="Times New Roman"/>
          <w:b/>
        </w:rPr>
        <w:t>orrespondence to</w:t>
      </w:r>
      <w:r w:rsidRPr="00C42E20">
        <w:rPr>
          <w:rFonts w:ascii="Book Antiqua" w:hAnsi="Book Antiqua" w:cs="Times New Roman"/>
        </w:rPr>
        <w:t>:</w:t>
      </w:r>
      <w:r w:rsidR="00C42E20" w:rsidRPr="00C42E20">
        <w:rPr>
          <w:rFonts w:ascii="Book Antiqua" w:hAnsi="Book Antiqua" w:cs="Times New Roman" w:hint="eastAsia"/>
          <w:b/>
        </w:rPr>
        <w:t xml:space="preserve"> </w:t>
      </w:r>
      <w:r w:rsidR="00C42E20" w:rsidRPr="00C42E20">
        <w:rPr>
          <w:rFonts w:ascii="Book Antiqua" w:hAnsi="Book Antiqua" w:cs="Times New Roman"/>
          <w:b/>
        </w:rPr>
        <w:t>Mitchell S Cappell, MD, PhD</w:t>
      </w:r>
      <w:r w:rsidR="00C42E20" w:rsidRPr="00C42E20">
        <w:rPr>
          <w:rFonts w:ascii="Book Antiqua" w:hAnsi="Book Antiqua" w:cs="Times New Roman" w:hint="eastAsia"/>
          <w:b/>
        </w:rPr>
        <w:t xml:space="preserve">, </w:t>
      </w:r>
      <w:r w:rsidRPr="00C42E20">
        <w:rPr>
          <w:rFonts w:ascii="Book Antiqua" w:hAnsi="Book Antiqua" w:cs="Times New Roman"/>
          <w:b/>
        </w:rPr>
        <w:t>Chief,</w:t>
      </w:r>
      <w:r w:rsidRPr="00C42E20">
        <w:rPr>
          <w:rFonts w:ascii="Book Antiqua" w:hAnsi="Book Antiqua" w:cs="Times New Roman"/>
        </w:rPr>
        <w:t xml:space="preserve"> Division of Gastroenterology </w:t>
      </w:r>
      <w:r w:rsidR="00C42E20">
        <w:rPr>
          <w:rFonts w:ascii="Book Antiqua" w:hAnsi="Book Antiqua" w:cs="Times New Roman" w:hint="eastAsia"/>
        </w:rPr>
        <w:t>and</w:t>
      </w:r>
      <w:r w:rsidRPr="00C42E20">
        <w:rPr>
          <w:rFonts w:ascii="Book Antiqua" w:hAnsi="Book Antiqua" w:cs="Times New Roman"/>
        </w:rPr>
        <w:t xml:space="preserve"> Hepatology</w:t>
      </w:r>
      <w:r w:rsidR="00C42E20">
        <w:rPr>
          <w:rFonts w:ascii="Book Antiqua" w:hAnsi="Book Antiqua" w:cs="Times New Roman" w:hint="eastAsia"/>
        </w:rPr>
        <w:t xml:space="preserve">, </w:t>
      </w:r>
      <w:r w:rsidRPr="00C42E20">
        <w:rPr>
          <w:rFonts w:ascii="Book Antiqua" w:hAnsi="Book Antiqua" w:cs="Times New Roman"/>
        </w:rPr>
        <w:t>Will</w:t>
      </w:r>
      <w:r w:rsidR="00C42E20">
        <w:rPr>
          <w:rFonts w:ascii="Book Antiqua" w:hAnsi="Book Antiqua" w:cs="Times New Roman"/>
        </w:rPr>
        <w:t>iam Beaumont Hospital, MOB #602</w:t>
      </w:r>
      <w:r w:rsidR="00C42E20">
        <w:rPr>
          <w:rFonts w:ascii="Book Antiqua" w:hAnsi="Book Antiqua" w:cs="Times New Roman" w:hint="eastAsia"/>
        </w:rPr>
        <w:t xml:space="preserve">, </w:t>
      </w:r>
      <w:r w:rsidRPr="00C42E20">
        <w:rPr>
          <w:rFonts w:ascii="Book Antiqua" w:hAnsi="Book Antiqua" w:cs="Times New Roman"/>
        </w:rPr>
        <w:t>3535 West Thirteen Mile Road</w:t>
      </w:r>
      <w:r w:rsidR="00C42E20">
        <w:rPr>
          <w:rFonts w:ascii="Book Antiqua" w:hAnsi="Book Antiqua" w:cs="Times New Roman" w:hint="eastAsia"/>
        </w:rPr>
        <w:t xml:space="preserve">, </w:t>
      </w:r>
      <w:r w:rsidRPr="00C42E20">
        <w:rPr>
          <w:rFonts w:ascii="Book Antiqua" w:hAnsi="Book Antiqua" w:cs="Times New Roman"/>
        </w:rPr>
        <w:t xml:space="preserve">Royal Oak, </w:t>
      </w:r>
      <w:r w:rsidR="00C42E20" w:rsidRPr="00C42E20">
        <w:rPr>
          <w:rFonts w:ascii="Book Antiqua" w:hAnsi="Book Antiqua" w:cs="Times New Roman"/>
          <w:caps/>
        </w:rPr>
        <w:t>Mi</w:t>
      </w:r>
      <w:r w:rsidR="00C42E20">
        <w:rPr>
          <w:rFonts w:ascii="Book Antiqua" w:hAnsi="Book Antiqua" w:cs="Times New Roman" w:hint="eastAsia"/>
          <w:caps/>
        </w:rPr>
        <w:t xml:space="preserve"> </w:t>
      </w:r>
      <w:r w:rsidR="00C42E20" w:rsidRPr="00C42E20">
        <w:rPr>
          <w:rFonts w:ascii="Book Antiqua" w:hAnsi="Book Antiqua" w:cs="Times New Roman"/>
        </w:rPr>
        <w:t>48073</w:t>
      </w:r>
      <w:r w:rsidR="00C42E20">
        <w:rPr>
          <w:rFonts w:ascii="Book Antiqua" w:hAnsi="Book Antiqua" w:cs="Times New Roman"/>
        </w:rPr>
        <w:t>, U</w:t>
      </w:r>
      <w:r w:rsidR="00C42E20">
        <w:rPr>
          <w:rFonts w:ascii="Book Antiqua" w:hAnsi="Book Antiqua" w:cs="Times New Roman" w:hint="eastAsia"/>
        </w:rPr>
        <w:t xml:space="preserve">nited States. </w:t>
      </w:r>
      <w:r w:rsidR="00C42E20" w:rsidRPr="0001137D">
        <w:rPr>
          <w:rFonts w:ascii="Book Antiqua" w:hAnsi="Book Antiqua" w:cs="Times New Roman"/>
        </w:rPr>
        <w:t>mscappell@yahoo.com</w:t>
      </w:r>
    </w:p>
    <w:p w:rsidR="00C42E20" w:rsidRDefault="00C42E20" w:rsidP="009C3795">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w:t>
      </w:r>
      <w:r>
        <w:rPr>
          <w:rFonts w:ascii="Book Antiqua" w:hAnsi="Book Antiqua" w:hint="eastAsia"/>
          <w:color w:val="0A0905"/>
        </w:rPr>
        <w:t>1-</w:t>
      </w:r>
      <w:r>
        <w:rPr>
          <w:rFonts w:ascii="Book Antiqua" w:hAnsi="Book Antiqua" w:cs="Times New Roman"/>
        </w:rPr>
        <w:t>248-551</w:t>
      </w:r>
      <w:r w:rsidRPr="00C42E20">
        <w:rPr>
          <w:rFonts w:ascii="Book Antiqua" w:hAnsi="Book Antiqua" w:cs="Times New Roman"/>
        </w:rPr>
        <w:t>1227</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rsidR="00C42E20" w:rsidRPr="009E3692" w:rsidRDefault="00C42E20" w:rsidP="009C3795">
      <w:pPr>
        <w:adjustRightInd w:val="0"/>
        <w:snapToGrid w:val="0"/>
        <w:spacing w:line="360" w:lineRule="auto"/>
        <w:rPr>
          <w:rFonts w:ascii="Book Antiqua" w:hAnsi="Book Antiqua"/>
        </w:rPr>
      </w:pPr>
      <w:r w:rsidRPr="009E3692">
        <w:rPr>
          <w:rFonts w:ascii="Book Antiqua" w:hAnsi="Book Antiqua"/>
          <w:b/>
        </w:rPr>
        <w:t xml:space="preserve">Fax: </w:t>
      </w:r>
      <w:r w:rsidRPr="009E3692">
        <w:rPr>
          <w:rFonts w:ascii="Book Antiqua" w:hAnsi="Book Antiqua"/>
          <w:color w:val="0A0905"/>
        </w:rPr>
        <w:t>+1-</w:t>
      </w:r>
      <w:r>
        <w:rPr>
          <w:rFonts w:ascii="Book Antiqua" w:hAnsi="Book Antiqua" w:cs="Times New Roman"/>
        </w:rPr>
        <w:t>248-551</w:t>
      </w:r>
      <w:r w:rsidRPr="00C42E20">
        <w:rPr>
          <w:rFonts w:ascii="Book Antiqua" w:hAnsi="Book Antiqua" w:cs="Times New Roman"/>
        </w:rPr>
        <w:t>7581</w:t>
      </w:r>
    </w:p>
    <w:p w:rsidR="00C42E20" w:rsidRDefault="00C42E20" w:rsidP="009C3795">
      <w:pPr>
        <w:adjustRightInd w:val="0"/>
        <w:snapToGrid w:val="0"/>
        <w:spacing w:line="360" w:lineRule="auto"/>
        <w:rPr>
          <w:rFonts w:ascii="Book Antiqua" w:hAnsi="Book Antiqua"/>
          <w:b/>
        </w:rPr>
      </w:pPr>
    </w:p>
    <w:p w:rsidR="00C42E20" w:rsidRPr="00867A3A" w:rsidRDefault="00C42E20" w:rsidP="009C3795">
      <w:pPr>
        <w:adjustRightInd w:val="0"/>
        <w:snapToGrid w:val="0"/>
        <w:spacing w:line="360" w:lineRule="auto"/>
        <w:rPr>
          <w:rFonts w:ascii="Book Antiqua" w:hAnsi="Book Antiqua"/>
          <w:b/>
        </w:rPr>
      </w:pPr>
      <w:r w:rsidRPr="00867A3A">
        <w:rPr>
          <w:rFonts w:ascii="Book Antiqua" w:hAnsi="Book Antiqua"/>
          <w:b/>
        </w:rPr>
        <w:t xml:space="preserve">Received: </w:t>
      </w:r>
      <w:r w:rsidR="00DF3CDE" w:rsidRPr="00A11C75">
        <w:rPr>
          <w:rFonts w:ascii="Book Antiqua" w:hAnsi="Book Antiqua"/>
        </w:rPr>
        <w:t>June</w:t>
      </w:r>
      <w:r w:rsidR="00DF3CDE">
        <w:rPr>
          <w:rFonts w:ascii="Book Antiqua" w:hAnsi="Book Antiqua" w:hint="eastAsia"/>
        </w:rPr>
        <w:t xml:space="preserve"> 1, 2015</w:t>
      </w:r>
      <w:r w:rsidRPr="00867A3A">
        <w:rPr>
          <w:rFonts w:ascii="Book Antiqua" w:hAnsi="Book Antiqua"/>
          <w:b/>
        </w:rPr>
        <w:t xml:space="preserve">  </w:t>
      </w:r>
    </w:p>
    <w:p w:rsidR="00C42E20" w:rsidRPr="00867A3A" w:rsidRDefault="00C42E20" w:rsidP="009C3795">
      <w:pPr>
        <w:adjustRightInd w:val="0"/>
        <w:snapToGrid w:val="0"/>
        <w:spacing w:line="360" w:lineRule="auto"/>
        <w:rPr>
          <w:rFonts w:ascii="Book Antiqua" w:hAnsi="Book Antiqua"/>
          <w:b/>
        </w:rPr>
      </w:pPr>
      <w:r w:rsidRPr="00867A3A">
        <w:rPr>
          <w:rFonts w:ascii="Book Antiqua" w:hAnsi="Book Antiqua"/>
          <w:b/>
        </w:rPr>
        <w:t>Peer-review started:</w:t>
      </w:r>
      <w:r w:rsidR="00DF3CDE">
        <w:rPr>
          <w:rFonts w:ascii="Book Antiqua" w:hAnsi="Book Antiqua" w:hint="eastAsia"/>
          <w:b/>
        </w:rPr>
        <w:t xml:space="preserve"> </w:t>
      </w:r>
      <w:r w:rsidR="00DF3CDE" w:rsidRPr="00A11C75">
        <w:rPr>
          <w:rFonts w:ascii="Book Antiqua" w:hAnsi="Book Antiqua"/>
        </w:rPr>
        <w:t>June</w:t>
      </w:r>
      <w:r w:rsidR="00DF3CDE">
        <w:rPr>
          <w:rFonts w:ascii="Book Antiqua" w:hAnsi="Book Antiqua" w:hint="eastAsia"/>
        </w:rPr>
        <w:t xml:space="preserve"> 2, 2015</w:t>
      </w:r>
    </w:p>
    <w:p w:rsidR="00C42E20" w:rsidRPr="00867A3A" w:rsidRDefault="00C42E20" w:rsidP="009C3795">
      <w:pPr>
        <w:adjustRightInd w:val="0"/>
        <w:snapToGrid w:val="0"/>
        <w:spacing w:line="360" w:lineRule="auto"/>
        <w:rPr>
          <w:rFonts w:ascii="Book Antiqua" w:hAnsi="Book Antiqua"/>
          <w:b/>
        </w:rPr>
      </w:pPr>
      <w:r w:rsidRPr="00867A3A">
        <w:rPr>
          <w:rFonts w:ascii="Book Antiqua" w:hAnsi="Book Antiqua"/>
          <w:b/>
        </w:rPr>
        <w:t>First decision:</w:t>
      </w:r>
      <w:r w:rsidR="00DF3CDE">
        <w:rPr>
          <w:rFonts w:ascii="Book Antiqua" w:hAnsi="Book Antiqua" w:hint="eastAsia"/>
          <w:b/>
        </w:rPr>
        <w:t xml:space="preserve"> </w:t>
      </w:r>
      <w:r w:rsidR="00DF3CDE" w:rsidRPr="00A11C75">
        <w:rPr>
          <w:rFonts w:ascii="Book Antiqua" w:hAnsi="Book Antiqua"/>
        </w:rPr>
        <w:t>June</w:t>
      </w:r>
      <w:r w:rsidR="00DF3CDE">
        <w:rPr>
          <w:rFonts w:ascii="Book Antiqua" w:hAnsi="Book Antiqua" w:hint="eastAsia"/>
        </w:rPr>
        <w:t xml:space="preserve"> 19, 2015</w:t>
      </w:r>
    </w:p>
    <w:p w:rsidR="00C42E20" w:rsidRPr="00867A3A" w:rsidRDefault="00DF3CDE" w:rsidP="009C3795">
      <w:pPr>
        <w:adjustRightInd w:val="0"/>
        <w:snapToGrid w:val="0"/>
        <w:spacing w:line="360" w:lineRule="auto"/>
        <w:rPr>
          <w:rFonts w:ascii="Book Antiqua" w:hAnsi="Book Antiqua"/>
          <w:b/>
        </w:rPr>
      </w:pPr>
      <w:r>
        <w:rPr>
          <w:rFonts w:ascii="Book Antiqua" w:hAnsi="Book Antiqua"/>
          <w:b/>
        </w:rPr>
        <w:t>Revised:</w:t>
      </w:r>
      <w:r>
        <w:rPr>
          <w:rFonts w:ascii="Book Antiqua" w:hAnsi="Book Antiqua" w:hint="eastAsia"/>
          <w:b/>
        </w:rPr>
        <w:t xml:space="preserve"> </w:t>
      </w:r>
      <w:r w:rsidRPr="00A11C75">
        <w:rPr>
          <w:rFonts w:ascii="Book Antiqua" w:hAnsi="Book Antiqua"/>
        </w:rPr>
        <w:t>July</w:t>
      </w:r>
      <w:r>
        <w:rPr>
          <w:rFonts w:ascii="Book Antiqua" w:hAnsi="Book Antiqua" w:hint="eastAsia"/>
        </w:rPr>
        <w:t xml:space="preserve"> 13, 2015</w:t>
      </w:r>
    </w:p>
    <w:p w:rsidR="00C42E20" w:rsidRPr="00926A44" w:rsidRDefault="00C42E20" w:rsidP="00926A44">
      <w:pPr>
        <w:spacing w:line="360" w:lineRule="auto"/>
        <w:rPr>
          <w:rFonts w:ascii="Book Antiqua" w:hAnsi="Book Antiqua"/>
          <w:color w:val="000000"/>
        </w:rPr>
      </w:pPr>
      <w:r w:rsidRPr="00867A3A">
        <w:rPr>
          <w:rFonts w:ascii="Book Antiqua" w:hAnsi="Book Antiqua"/>
          <w:b/>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r w:rsidR="00926A44" w:rsidRPr="00926A44">
        <w:rPr>
          <w:rFonts w:ascii="Book Antiqua" w:hAnsi="Book Antiqua"/>
          <w:color w:val="000000"/>
        </w:rPr>
        <w:t xml:space="preserve"> </w:t>
      </w:r>
      <w:r w:rsidR="00926A44">
        <w:rPr>
          <w:rFonts w:ascii="Book Antiqua" w:hAnsi="Book Antiqua"/>
          <w:color w:val="000000"/>
        </w:rPr>
        <w:t>August 30</w:t>
      </w:r>
      <w:r w:rsidR="00926A44" w:rsidRPr="006F0407">
        <w:rPr>
          <w:rFonts w:ascii="Book Antiqua" w:hAnsi="Book Antiqua"/>
          <w:color w:val="000000"/>
        </w:rPr>
        <w:t>, 2015</w:t>
      </w:r>
      <w:bookmarkStart w:id="21"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867A3A">
        <w:rPr>
          <w:rFonts w:ascii="Book Antiqua" w:hAnsi="Book Antiqua"/>
          <w:b/>
        </w:rPr>
        <w:t xml:space="preserve">  </w:t>
      </w:r>
    </w:p>
    <w:p w:rsidR="00C42E20" w:rsidRPr="00867A3A" w:rsidRDefault="00C42E20" w:rsidP="009C3795">
      <w:pPr>
        <w:adjustRightInd w:val="0"/>
        <w:snapToGrid w:val="0"/>
        <w:spacing w:line="360" w:lineRule="auto"/>
        <w:rPr>
          <w:rFonts w:ascii="Book Antiqua" w:hAnsi="Book Antiqua"/>
          <w:b/>
        </w:rPr>
      </w:pPr>
      <w:r w:rsidRPr="00867A3A">
        <w:rPr>
          <w:rFonts w:ascii="Book Antiqua" w:hAnsi="Book Antiqua"/>
          <w:b/>
        </w:rPr>
        <w:t>Article in press:</w:t>
      </w:r>
    </w:p>
    <w:p w:rsidR="00C42E20" w:rsidRPr="009E3692" w:rsidRDefault="00C42E20" w:rsidP="009C3795">
      <w:pPr>
        <w:adjustRightInd w:val="0"/>
        <w:snapToGrid w:val="0"/>
        <w:spacing w:line="360" w:lineRule="auto"/>
        <w:rPr>
          <w:rFonts w:ascii="Book Antiqua" w:hAnsi="Book Antiqua"/>
        </w:rPr>
      </w:pPr>
      <w:r w:rsidRPr="00867A3A">
        <w:rPr>
          <w:rFonts w:ascii="Book Antiqua" w:hAnsi="Book Antiqua"/>
          <w:b/>
        </w:rPr>
        <w:t>Published online:</w:t>
      </w:r>
    </w:p>
    <w:p w:rsidR="00C42E20" w:rsidRPr="00C42E20" w:rsidRDefault="00C42E20" w:rsidP="009C3795">
      <w:pPr>
        <w:adjustRightInd w:val="0"/>
        <w:snapToGrid w:val="0"/>
        <w:spacing w:line="360" w:lineRule="auto"/>
        <w:jc w:val="both"/>
        <w:rPr>
          <w:rFonts w:ascii="Book Antiqua" w:hAnsi="Book Antiqua" w:cs="Times New Roman"/>
        </w:rPr>
      </w:pPr>
    </w:p>
    <w:p w:rsidR="00DF3CDE" w:rsidRDefault="00DF3CDE" w:rsidP="009C3795">
      <w:pPr>
        <w:adjustRightInd w:val="0"/>
        <w:snapToGrid w:val="0"/>
        <w:spacing w:line="360" w:lineRule="auto"/>
        <w:jc w:val="both"/>
        <w:rPr>
          <w:rFonts w:ascii="Book Antiqua" w:hAnsi="Book Antiqua" w:cs="Times New Roman"/>
        </w:rPr>
      </w:pPr>
      <w:r>
        <w:rPr>
          <w:rFonts w:ascii="Book Antiqua" w:hAnsi="Book Antiqua" w:cs="Times New Roman"/>
        </w:rPr>
        <w:br w:type="page"/>
      </w:r>
    </w:p>
    <w:p w:rsidR="00323D6B" w:rsidRPr="00C42E20" w:rsidRDefault="00C42E20" w:rsidP="009C3795">
      <w:pPr>
        <w:adjustRightInd w:val="0"/>
        <w:snapToGrid w:val="0"/>
        <w:spacing w:line="360" w:lineRule="auto"/>
        <w:jc w:val="both"/>
        <w:rPr>
          <w:rFonts w:ascii="Book Antiqua" w:hAnsi="Book Antiqua" w:cs="Times New Roman"/>
          <w:b/>
        </w:rPr>
      </w:pPr>
      <w:r w:rsidRPr="00C42E20">
        <w:rPr>
          <w:rFonts w:ascii="Book Antiqua" w:hAnsi="Book Antiqua" w:cs="Times New Roman"/>
          <w:b/>
        </w:rPr>
        <w:lastRenderedPageBreak/>
        <w:t>Abstract</w:t>
      </w:r>
      <w:r w:rsidR="00FE1645" w:rsidRPr="00C42E20">
        <w:rPr>
          <w:rFonts w:ascii="Book Antiqua" w:hAnsi="Book Antiqua" w:cs="Times New Roman"/>
          <w:b/>
        </w:rPr>
        <w:t xml:space="preserve"> </w:t>
      </w:r>
    </w:p>
    <w:p w:rsidR="00FE1645" w:rsidRDefault="00323D6B" w:rsidP="009C3795">
      <w:pPr>
        <w:adjustRightInd w:val="0"/>
        <w:snapToGrid w:val="0"/>
        <w:spacing w:line="360" w:lineRule="auto"/>
        <w:jc w:val="both"/>
        <w:rPr>
          <w:rFonts w:ascii="Book Antiqua" w:hAnsi="Book Antiqua" w:cs="Times New Roman"/>
        </w:rPr>
      </w:pPr>
      <w:r w:rsidRPr="00C42E20">
        <w:rPr>
          <w:rFonts w:ascii="Book Antiqua" w:hAnsi="Book Antiqua" w:cs="Times New Roman"/>
        </w:rPr>
        <w:t>This work aims to facilitate</w:t>
      </w:r>
      <w:r w:rsidRPr="00C42E20">
        <w:rPr>
          <w:rFonts w:ascii="Book Antiqua" w:hAnsi="Book Antiqua" w:cs="Times New Roman"/>
          <w:b/>
        </w:rPr>
        <w:t xml:space="preserve"> </w:t>
      </w:r>
      <w:r w:rsidR="00FE1645" w:rsidRPr="00C42E20">
        <w:rPr>
          <w:rFonts w:ascii="Book Antiqua" w:hAnsi="Book Antiqua" w:cs="Times New Roman"/>
        </w:rPr>
        <w:t>diagnos</w:t>
      </w:r>
      <w:r w:rsidRPr="00C42E20">
        <w:rPr>
          <w:rFonts w:ascii="Book Antiqua" w:hAnsi="Book Antiqua" w:cs="Times New Roman"/>
        </w:rPr>
        <w:t>ing</w:t>
      </w:r>
      <w:r w:rsidR="00FE1645" w:rsidRPr="00C42E20">
        <w:rPr>
          <w:rFonts w:ascii="Book Antiqua" w:hAnsi="Book Antiqua" w:cs="Times New Roman"/>
        </w:rPr>
        <w:t xml:space="preserve"> Aspergillus appendicitis, which can be missed clinically due to its rarity, by proposing a </w:t>
      </w:r>
      <w:r w:rsidRPr="00C42E20">
        <w:rPr>
          <w:rFonts w:ascii="Book Antiqua" w:hAnsi="Book Antiqua" w:cs="Times New Roman"/>
        </w:rPr>
        <w:t>clinical</w:t>
      </w:r>
      <w:r w:rsidR="00FE1645" w:rsidRPr="00C42E20">
        <w:rPr>
          <w:rFonts w:ascii="Book Antiqua" w:hAnsi="Book Antiqua" w:cs="Times New Roman"/>
        </w:rPr>
        <w:t xml:space="preserve"> pentad for Aspergillus appendicitis based on literature review and one new case.</w:t>
      </w:r>
      <w:r w:rsidR="00C42E20">
        <w:rPr>
          <w:rFonts w:ascii="Book Antiqua" w:hAnsi="Book Antiqua" w:cs="Times New Roman"/>
        </w:rPr>
        <w:t xml:space="preserve"> </w:t>
      </w:r>
      <w:r w:rsidRPr="00C42E20">
        <w:rPr>
          <w:rFonts w:ascii="Book Antiqua" w:hAnsi="Book Antiqua" w:cs="Times New Roman"/>
        </w:rPr>
        <w:t>The currently reported case of pathologically-proven Aspergillus appendicitis was identified by c</w:t>
      </w:r>
      <w:r w:rsidR="00FE1645" w:rsidRPr="00C42E20">
        <w:rPr>
          <w:rFonts w:ascii="Book Antiqua" w:hAnsi="Book Antiqua" w:cs="Times New Roman"/>
        </w:rPr>
        <w:t>omputerized search of pathology database at William Beaumont Hospital, 1999-2014</w:t>
      </w:r>
      <w:r w:rsidRPr="00C42E20">
        <w:rPr>
          <w:rFonts w:ascii="Book Antiqua" w:hAnsi="Book Antiqua" w:cs="Times New Roman"/>
        </w:rPr>
        <w:t>.</w:t>
      </w:r>
      <w:r w:rsidR="00C42E20">
        <w:rPr>
          <w:rFonts w:ascii="Book Antiqua" w:hAnsi="Book Antiqua" w:cs="Times New Roman"/>
        </w:rPr>
        <w:t xml:space="preserve"> </w:t>
      </w:r>
      <w:r w:rsidR="00FE1645" w:rsidRPr="00C42E20">
        <w:rPr>
          <w:rFonts w:ascii="Book Antiqua" w:hAnsi="Book Antiqua" w:cs="Times New Roman"/>
        </w:rPr>
        <w:t xml:space="preserve">Prior cases </w:t>
      </w:r>
      <w:r w:rsidRPr="00C42E20">
        <w:rPr>
          <w:rFonts w:ascii="Book Antiqua" w:hAnsi="Book Antiqua" w:cs="Times New Roman"/>
        </w:rPr>
        <w:t xml:space="preserve">were </w:t>
      </w:r>
      <w:r w:rsidR="00FE1645" w:rsidRPr="00C42E20">
        <w:rPr>
          <w:rFonts w:ascii="Book Antiqua" w:hAnsi="Book Antiqua" w:cs="Times New Roman"/>
        </w:rPr>
        <w:t>identified by computerized literature search.</w:t>
      </w:r>
      <w:r w:rsidR="00C42E20">
        <w:rPr>
          <w:rFonts w:ascii="Book Antiqua" w:hAnsi="Book Antiqua" w:cs="Times New Roman"/>
        </w:rPr>
        <w:t xml:space="preserve"> </w:t>
      </w:r>
      <w:r w:rsidR="00DF3CDE">
        <w:rPr>
          <w:rFonts w:ascii="Book Antiqua" w:hAnsi="Book Antiqua" w:cs="Times New Roman"/>
        </w:rPr>
        <w:t>Among 10</w:t>
      </w:r>
      <w:r w:rsidR="00FE1645" w:rsidRPr="00C42E20">
        <w:rPr>
          <w:rFonts w:ascii="Book Antiqua" w:hAnsi="Book Antiqua" w:cs="Times New Roman"/>
        </w:rPr>
        <w:t>980 pathology reports of pathologically-proven appendicitis, one case of Aspergillus appendicitis was identified (rate</w:t>
      </w:r>
      <w:r w:rsidR="00DF3CDE">
        <w:rPr>
          <w:rFonts w:ascii="Book Antiqua" w:hAnsi="Book Antiqua" w:cs="Times New Roman" w:hint="eastAsia"/>
        </w:rPr>
        <w:t xml:space="preserve"> </w:t>
      </w:r>
      <w:r w:rsidR="00FE1645" w:rsidRPr="00C42E20">
        <w:rPr>
          <w:rFonts w:ascii="Book Antiqua" w:hAnsi="Book Antiqua" w:cs="Times New Roman"/>
        </w:rPr>
        <w:t>=</w:t>
      </w:r>
      <w:r w:rsidR="00DF3CDE">
        <w:rPr>
          <w:rFonts w:ascii="Book Antiqua" w:hAnsi="Book Antiqua" w:cs="Times New Roman" w:hint="eastAsia"/>
        </w:rPr>
        <w:t xml:space="preserve"> </w:t>
      </w:r>
      <w:r w:rsidR="00FE1645" w:rsidRPr="00C42E20">
        <w:rPr>
          <w:rFonts w:ascii="Book Antiqua" w:hAnsi="Book Antiqua" w:cs="Times New Roman"/>
        </w:rPr>
        <w:t>0.01%).</w:t>
      </w:r>
      <w:r w:rsidR="00C42E20">
        <w:rPr>
          <w:rFonts w:ascii="Book Antiqua" w:hAnsi="Book Antiqua" w:cs="Times New Roman"/>
        </w:rPr>
        <w:t xml:space="preserve"> </w:t>
      </w:r>
      <w:r w:rsidR="00FE1645" w:rsidRPr="00C42E20">
        <w:rPr>
          <w:rFonts w:ascii="Book Antiqua" w:hAnsi="Book Antiqua" w:cs="Times New Roman"/>
        </w:rPr>
        <w:t xml:space="preserve">A young boy with profound neutropenia, recent chemotherapy, and </w:t>
      </w:r>
      <w:r w:rsidR="00DF3CDE" w:rsidRPr="00C42E20">
        <w:rPr>
          <w:rFonts w:ascii="Book Antiqua" w:eastAsia="Calibri" w:hAnsi="Book Antiqua" w:cs="Times New Roman"/>
          <w:color w:val="00000A"/>
        </w:rPr>
        <w:t xml:space="preserve">acute myelogenous leukemia </w:t>
      </w:r>
      <w:r w:rsidR="00FE1645" w:rsidRPr="00C42E20">
        <w:rPr>
          <w:rFonts w:ascii="Book Antiqua" w:hAnsi="Book Antiqua" w:cs="Times New Roman"/>
        </w:rPr>
        <w:t xml:space="preserve">presented with </w:t>
      </w:r>
      <w:r w:rsidR="00DF3CDE" w:rsidRPr="00C42E20">
        <w:rPr>
          <w:rFonts w:ascii="Book Antiqua" w:eastAsia="Calibri" w:hAnsi="Book Antiqua" w:cs="Times New Roman"/>
          <w:color w:val="00000A"/>
        </w:rPr>
        <w:t>right lower quadrant</w:t>
      </w:r>
      <w:r w:rsidR="00DF3CDE" w:rsidRPr="00C42E20">
        <w:rPr>
          <w:rFonts w:ascii="Book Antiqua" w:hAnsi="Book Antiqua" w:cs="Times New Roman"/>
        </w:rPr>
        <w:t xml:space="preserve"> </w:t>
      </w:r>
      <w:r w:rsidR="00FE1645" w:rsidRPr="00C42E20">
        <w:rPr>
          <w:rFonts w:ascii="Book Antiqua" w:hAnsi="Book Antiqua" w:cs="Times New Roman"/>
        </w:rPr>
        <w:t>pain, pyrexia, and generalized malaise. Abdominal-</w:t>
      </w:r>
      <w:r w:rsidR="00DF3CDE" w:rsidRPr="00DF3CDE">
        <w:rPr>
          <w:rFonts w:ascii="Book Antiqua" w:hAnsi="Book Antiqua" w:cs="Times New Roman"/>
        </w:rPr>
        <w:t>computed tomography</w:t>
      </w:r>
      <w:r w:rsidR="00FE1645" w:rsidRPr="00C42E20">
        <w:rPr>
          <w:rFonts w:ascii="Book Antiqua" w:hAnsi="Book Antiqua" w:cs="Times New Roman"/>
        </w:rPr>
        <w:t xml:space="preserve"> scan showed a thickened appendiceal wall and periappendiceal inflammation, suggesting appendicitis. Emergent laparotomy showed an inflamed, thickened appendix, which was resected.</w:t>
      </w:r>
      <w:r w:rsidR="00C42E20">
        <w:rPr>
          <w:rFonts w:ascii="Book Antiqua" w:hAnsi="Book Antiqua" w:cs="Times New Roman"/>
        </w:rPr>
        <w:t xml:space="preserve"> </w:t>
      </w:r>
      <w:r w:rsidR="00FE1645" w:rsidRPr="00C42E20">
        <w:rPr>
          <w:rFonts w:ascii="Book Antiqua" w:hAnsi="Book Antiqua" w:cs="Times New Roman"/>
        </w:rPr>
        <w:t>The patient did poorly postoperatively with low-grade-fevers while receiving antibacterial therapy, but rapidly improved after initiating amphotericin therapy.</w:t>
      </w:r>
      <w:r w:rsidR="00C42E20">
        <w:rPr>
          <w:rFonts w:ascii="Book Antiqua" w:hAnsi="Book Antiqua" w:cs="Times New Roman"/>
        </w:rPr>
        <w:t xml:space="preserve"> </w:t>
      </w:r>
      <w:r w:rsidR="00FE1645" w:rsidRPr="00C42E20">
        <w:rPr>
          <w:rFonts w:ascii="Book Antiqua" w:hAnsi="Book Antiqua" w:cs="Times New Roman"/>
        </w:rPr>
        <w:t>Microscopic examination of a silver-stain of the appendectomy specimen revealed fungi with characteristic Aspergillus morphology, findings confirmed by immunohistochemistry. Primary Aspergillus appendicitis is exceptionally rare, with only 3 previously reported cases.</w:t>
      </w:r>
      <w:r w:rsidR="00C42E20">
        <w:rPr>
          <w:rFonts w:ascii="Book Antiqua" w:hAnsi="Book Antiqua" w:cs="Times New Roman"/>
        </w:rPr>
        <w:t xml:space="preserve"> </w:t>
      </w:r>
      <w:r w:rsidR="00FE1645" w:rsidRPr="00C42E20">
        <w:rPr>
          <w:rFonts w:ascii="Book Antiqua" w:hAnsi="Book Antiqua" w:cs="Times New Roman"/>
        </w:rPr>
        <w:t>All three cases presented with neutropenia, recent chemotherapy, acute leukemia, and suspected appendicitis; the two prior cases initially treated with antibacterial therapy fared poorly before instituting anti-Aspergillus therapy.</w:t>
      </w:r>
      <w:r w:rsidR="00C42E20">
        <w:rPr>
          <w:rFonts w:ascii="Book Antiqua" w:hAnsi="Book Antiqua" w:cs="Times New Roman"/>
        </w:rPr>
        <w:t xml:space="preserve"> </w:t>
      </w:r>
      <w:r w:rsidR="00FE1645" w:rsidRPr="00C42E20">
        <w:rPr>
          <w:rFonts w:ascii="Book Antiqua" w:hAnsi="Book Antiqua" w:cs="Times New Roman"/>
        </w:rPr>
        <w:t>The current patient satisfied all these five criteria.</w:t>
      </w:r>
      <w:r w:rsidR="00C42E20">
        <w:rPr>
          <w:rFonts w:ascii="Book Antiqua" w:hAnsi="Book Antiqua" w:cs="Times New Roman"/>
        </w:rPr>
        <w:t xml:space="preserve"> </w:t>
      </w:r>
      <w:r w:rsidR="00FE1645" w:rsidRPr="00C42E20">
        <w:rPr>
          <w:rFonts w:ascii="Book Antiqua" w:hAnsi="Book Antiqua" w:cs="Times New Roman"/>
        </w:rPr>
        <w:t xml:space="preserve">Based on these four cases, a </w:t>
      </w:r>
      <w:r w:rsidR="00121B7F" w:rsidRPr="00C42E20">
        <w:rPr>
          <w:rFonts w:ascii="Book Antiqua" w:hAnsi="Book Antiqua" w:cs="Times New Roman"/>
        </w:rPr>
        <w:t xml:space="preserve">clinical </w:t>
      </w:r>
      <w:r w:rsidR="00FE1645" w:rsidRPr="00C42E20">
        <w:rPr>
          <w:rFonts w:ascii="Book Antiqua" w:hAnsi="Book Antiqua" w:cs="Times New Roman"/>
        </w:rPr>
        <w:t>pentad is proposed for Aspergillus appendicitis: clinically-suspected appendicitis, neutropenia, recent chemotherapy, acute leukemia, and poor clinical response if treated solely by antibacterial/anti-candidial therapy.</w:t>
      </w:r>
      <w:r w:rsidR="00C42E20">
        <w:rPr>
          <w:rFonts w:ascii="Book Antiqua" w:hAnsi="Book Antiqua" w:cs="Times New Roman"/>
        </w:rPr>
        <w:t xml:space="preserve"> </w:t>
      </w:r>
      <w:r w:rsidR="00FE1645" w:rsidRPr="00C42E20">
        <w:rPr>
          <w:rFonts w:ascii="Book Antiqua" w:hAnsi="Book Antiqua" w:cs="Times New Roman"/>
        </w:rPr>
        <w:t>Patients with this proposed pentad may benefit from testing for Aspergillus infection by silver-stains/immunohistochemistry and considering empirical anti-Aspergillus therapy pending a tissue diagnosis.</w:t>
      </w:r>
    </w:p>
    <w:p w:rsidR="00C42E20" w:rsidRDefault="00C42E20" w:rsidP="009C3795">
      <w:pPr>
        <w:adjustRightInd w:val="0"/>
        <w:snapToGrid w:val="0"/>
        <w:spacing w:line="360" w:lineRule="auto"/>
        <w:jc w:val="both"/>
        <w:rPr>
          <w:rFonts w:ascii="Book Antiqua" w:hAnsi="Book Antiqua" w:cs="Times New Roman"/>
        </w:rPr>
      </w:pPr>
    </w:p>
    <w:p w:rsidR="00C42E20" w:rsidRPr="00C42E20" w:rsidRDefault="00C42E20" w:rsidP="009C3795">
      <w:pPr>
        <w:adjustRightInd w:val="0"/>
        <w:snapToGrid w:val="0"/>
        <w:spacing w:line="360" w:lineRule="auto"/>
        <w:jc w:val="both"/>
        <w:rPr>
          <w:rFonts w:ascii="Book Antiqua" w:hAnsi="Book Antiqua"/>
        </w:rPr>
      </w:pPr>
      <w:r w:rsidRPr="00C42E20">
        <w:rPr>
          <w:rFonts w:ascii="Book Antiqua" w:hAnsi="Book Antiqua" w:cs="Times New Roman"/>
          <w:b/>
        </w:rPr>
        <w:t>Key words</w:t>
      </w:r>
      <w:r w:rsidRPr="00C42E20">
        <w:rPr>
          <w:rFonts w:ascii="Book Antiqua" w:hAnsi="Book Antiqua" w:cs="Times New Roman"/>
        </w:rPr>
        <w:t>: Aspergillosis</w:t>
      </w:r>
      <w:r w:rsidR="00DF3CDE">
        <w:rPr>
          <w:rFonts w:ascii="Book Antiqua" w:hAnsi="Book Antiqua" w:cs="Times New Roman" w:hint="eastAsia"/>
        </w:rPr>
        <w:t>;</w:t>
      </w:r>
      <w:r w:rsidRPr="00C42E20">
        <w:rPr>
          <w:rFonts w:ascii="Book Antiqua" w:hAnsi="Book Antiqua" w:cs="Times New Roman"/>
        </w:rPr>
        <w:t xml:space="preserve"> Aspergillus appendicitis</w:t>
      </w:r>
      <w:r w:rsidR="00DF3CDE">
        <w:rPr>
          <w:rFonts w:ascii="Book Antiqua" w:hAnsi="Book Antiqua" w:cs="Times New Roman" w:hint="eastAsia"/>
        </w:rPr>
        <w:t>;</w:t>
      </w:r>
      <w:r w:rsidRPr="00C42E20">
        <w:rPr>
          <w:rFonts w:ascii="Book Antiqua" w:hAnsi="Book Antiqua" w:cs="Times New Roman"/>
        </w:rPr>
        <w:t xml:space="preserve"> </w:t>
      </w:r>
      <w:r w:rsidR="00DF3CDE" w:rsidRPr="00C42E20">
        <w:rPr>
          <w:rFonts w:ascii="Book Antiqua" w:hAnsi="Book Antiqua" w:cs="Times New Roman"/>
        </w:rPr>
        <w:t xml:space="preserve">Fungal </w:t>
      </w:r>
      <w:r w:rsidRPr="00C42E20">
        <w:rPr>
          <w:rFonts w:ascii="Book Antiqua" w:hAnsi="Book Antiqua" w:cs="Times New Roman"/>
        </w:rPr>
        <w:t>appendicitis</w:t>
      </w:r>
      <w:r w:rsidR="00DF3CDE">
        <w:rPr>
          <w:rFonts w:ascii="Book Antiqua" w:hAnsi="Book Antiqua" w:cs="Times New Roman" w:hint="eastAsia"/>
        </w:rPr>
        <w:t>;</w:t>
      </w:r>
      <w:r w:rsidRPr="00C42E20">
        <w:rPr>
          <w:rFonts w:ascii="Book Antiqua" w:hAnsi="Book Antiqua" w:cs="Times New Roman"/>
        </w:rPr>
        <w:t xml:space="preserve"> </w:t>
      </w:r>
      <w:r w:rsidR="00DF3CDE" w:rsidRPr="00C42E20">
        <w:rPr>
          <w:rFonts w:ascii="Book Antiqua" w:hAnsi="Book Antiqua" w:cs="Times New Roman"/>
        </w:rPr>
        <w:t>Appendicitis</w:t>
      </w:r>
      <w:r w:rsidR="00DF3CDE">
        <w:rPr>
          <w:rFonts w:ascii="Book Antiqua" w:hAnsi="Book Antiqua" w:cs="Times New Roman" w:hint="eastAsia"/>
        </w:rPr>
        <w:t>;</w:t>
      </w:r>
      <w:r w:rsidRPr="00C42E20">
        <w:rPr>
          <w:rFonts w:ascii="Book Antiqua" w:hAnsi="Book Antiqua" w:cs="Times New Roman"/>
        </w:rPr>
        <w:t xml:space="preserve"> </w:t>
      </w:r>
      <w:r w:rsidR="00DF3CDE" w:rsidRPr="00C42E20">
        <w:rPr>
          <w:rFonts w:ascii="Book Antiqua" w:hAnsi="Book Antiqua" w:cs="Times New Roman"/>
        </w:rPr>
        <w:t>Neutropenia</w:t>
      </w:r>
      <w:r w:rsidR="00DF3CDE">
        <w:rPr>
          <w:rFonts w:ascii="Book Antiqua" w:hAnsi="Book Antiqua" w:cs="Times New Roman" w:hint="eastAsia"/>
        </w:rPr>
        <w:t>;</w:t>
      </w:r>
      <w:r w:rsidRPr="00C42E20">
        <w:rPr>
          <w:rFonts w:ascii="Book Antiqua" w:hAnsi="Book Antiqua" w:cs="Times New Roman"/>
        </w:rPr>
        <w:t xml:space="preserve"> </w:t>
      </w:r>
      <w:r w:rsidR="00DF3CDE" w:rsidRPr="00C42E20">
        <w:rPr>
          <w:rFonts w:ascii="Book Antiqua" w:hAnsi="Book Antiqua" w:cs="Times New Roman"/>
        </w:rPr>
        <w:t>Chemotherapy</w:t>
      </w:r>
      <w:r w:rsidR="00DF3CDE">
        <w:rPr>
          <w:rFonts w:ascii="Book Antiqua" w:hAnsi="Book Antiqua" w:cs="Times New Roman" w:hint="eastAsia"/>
        </w:rPr>
        <w:t>;</w:t>
      </w:r>
      <w:r w:rsidRPr="00C42E20">
        <w:rPr>
          <w:rFonts w:ascii="Book Antiqua" w:hAnsi="Book Antiqua" w:cs="Times New Roman"/>
        </w:rPr>
        <w:t xml:space="preserve"> </w:t>
      </w:r>
      <w:r w:rsidR="00DF3CDE" w:rsidRPr="00C42E20">
        <w:rPr>
          <w:rFonts w:ascii="Book Antiqua" w:hAnsi="Book Antiqua" w:cs="Times New Roman"/>
        </w:rPr>
        <w:t xml:space="preserve">Acute </w:t>
      </w:r>
      <w:r w:rsidRPr="00C42E20">
        <w:rPr>
          <w:rFonts w:ascii="Book Antiqua" w:hAnsi="Book Antiqua" w:cs="Times New Roman"/>
        </w:rPr>
        <w:t xml:space="preserve">myelocytic leukemia </w:t>
      </w:r>
    </w:p>
    <w:p w:rsidR="00C42E20" w:rsidRDefault="00C42E20" w:rsidP="009C3795">
      <w:pPr>
        <w:adjustRightInd w:val="0"/>
        <w:snapToGrid w:val="0"/>
        <w:spacing w:line="360" w:lineRule="auto"/>
        <w:jc w:val="both"/>
        <w:rPr>
          <w:rFonts w:ascii="Book Antiqua" w:hAnsi="Book Antiqua" w:cs="Times New Roman"/>
        </w:rPr>
      </w:pPr>
    </w:p>
    <w:p w:rsidR="00DF3CDE" w:rsidRDefault="00DF3CDE" w:rsidP="009C3795">
      <w:pPr>
        <w:autoSpaceDE w:val="0"/>
        <w:adjustRightInd w:val="0"/>
        <w:snapToGrid w:val="0"/>
        <w:spacing w:line="360" w:lineRule="auto"/>
        <w:rPr>
          <w:rFonts w:ascii="Book Antiqua" w:hAnsi="Book Antiqua" w:cs="Arial Unicode MS"/>
        </w:rPr>
      </w:pPr>
      <w:bookmarkStart w:id="22" w:name="OLE_LINK98"/>
      <w:bookmarkStart w:id="23" w:name="OLE_LINK156"/>
      <w:bookmarkStart w:id="24" w:name="OLE_LINK196"/>
      <w:bookmarkStart w:id="25" w:name="OLE_LINK217"/>
      <w:bookmarkStart w:id="26" w:name="OLE_LINK242"/>
      <w:bookmarkStart w:id="27" w:name="OLE_LINK247"/>
      <w:bookmarkStart w:id="28" w:name="OLE_LINK311"/>
      <w:bookmarkStart w:id="29" w:name="OLE_LINK312"/>
      <w:bookmarkStart w:id="30" w:name="OLE_LINK325"/>
      <w:bookmarkStart w:id="31" w:name="OLE_LINK330"/>
      <w:bookmarkStart w:id="32" w:name="OLE_LINK513"/>
      <w:bookmarkStart w:id="33" w:name="OLE_LINK514"/>
      <w:bookmarkStart w:id="34" w:name="OLE_LINK464"/>
      <w:bookmarkStart w:id="35" w:name="OLE_LINK465"/>
      <w:bookmarkStart w:id="36" w:name="OLE_LINK466"/>
      <w:bookmarkStart w:id="37" w:name="OLE_LINK470"/>
      <w:bookmarkStart w:id="38" w:name="OLE_LINK471"/>
      <w:bookmarkStart w:id="39" w:name="OLE_LINK472"/>
      <w:bookmarkStart w:id="40" w:name="OLE_LINK474"/>
      <w:bookmarkStart w:id="41" w:name="OLE_LINK512"/>
      <w:bookmarkStart w:id="42" w:name="OLE_LINK800"/>
      <w:bookmarkStart w:id="43" w:name="OLE_LINK982"/>
      <w:bookmarkStart w:id="44" w:name="OLE_LINK1027"/>
      <w:bookmarkStart w:id="45" w:name="OLE_LINK504"/>
      <w:bookmarkStart w:id="46" w:name="OLE_LINK546"/>
      <w:bookmarkStart w:id="47" w:name="OLE_LINK547"/>
      <w:bookmarkStart w:id="48" w:name="OLE_LINK575"/>
      <w:bookmarkStart w:id="49" w:name="OLE_LINK640"/>
      <w:bookmarkStart w:id="50" w:name="OLE_LINK672"/>
      <w:bookmarkStart w:id="51" w:name="OLE_LINK714"/>
      <w:bookmarkStart w:id="52" w:name="OLE_LINK651"/>
      <w:bookmarkStart w:id="53" w:name="OLE_LINK652"/>
      <w:bookmarkStart w:id="54" w:name="OLE_LINK744"/>
      <w:bookmarkStart w:id="55" w:name="OLE_LINK758"/>
      <w:bookmarkStart w:id="56" w:name="OLE_LINK787"/>
      <w:bookmarkStart w:id="57" w:name="OLE_LINK807"/>
      <w:bookmarkStart w:id="58" w:name="OLE_LINK820"/>
      <w:bookmarkStart w:id="59" w:name="OLE_LINK862"/>
      <w:bookmarkStart w:id="60" w:name="OLE_LINK879"/>
      <w:bookmarkStart w:id="61" w:name="OLE_LINK906"/>
      <w:bookmarkStart w:id="62" w:name="OLE_LINK928"/>
      <w:bookmarkStart w:id="63" w:name="OLE_LINK960"/>
      <w:bookmarkStart w:id="64" w:name="OLE_LINK861"/>
      <w:bookmarkStart w:id="65" w:name="OLE_LINK983"/>
      <w:bookmarkStart w:id="66" w:name="OLE_LINK1334"/>
      <w:bookmarkStart w:id="67" w:name="OLE_LINK1029"/>
      <w:bookmarkStart w:id="68" w:name="OLE_LINK1060"/>
      <w:bookmarkStart w:id="69" w:name="OLE_LINK1061"/>
      <w:bookmarkStart w:id="70" w:name="OLE_LINK1348"/>
      <w:bookmarkStart w:id="71" w:name="OLE_LINK1086"/>
      <w:bookmarkStart w:id="72" w:name="OLE_LINK1100"/>
      <w:bookmarkStart w:id="73" w:name="OLE_LINK1125"/>
      <w:bookmarkStart w:id="74" w:name="OLE_LINK1163"/>
      <w:bookmarkStart w:id="75" w:name="OLE_LINK1193"/>
      <w:bookmarkStart w:id="76" w:name="OLE_LINK1219"/>
      <w:bookmarkStart w:id="77" w:name="OLE_LINK1247"/>
      <w:bookmarkStart w:id="78" w:name="OLE_LINK1284"/>
      <w:bookmarkStart w:id="79" w:name="OLE_LINK1313"/>
      <w:bookmarkStart w:id="80" w:name="OLE_LINK1361"/>
      <w:bookmarkStart w:id="81" w:name="OLE_LINK1384"/>
      <w:bookmarkStart w:id="82" w:name="OLE_LINK1403"/>
      <w:bookmarkStart w:id="83" w:name="OLE_LINK1437"/>
      <w:bookmarkStart w:id="84" w:name="OLE_LINK1454"/>
      <w:bookmarkStart w:id="85" w:name="OLE_LINK1480"/>
      <w:bookmarkStart w:id="86" w:name="OLE_LINK1504"/>
      <w:bookmarkStart w:id="87" w:name="OLE_LINK1516"/>
      <w:bookmarkStart w:id="88" w:name="OLE_LINK135"/>
      <w:bookmarkStart w:id="89" w:name="OLE_LINK216"/>
      <w:bookmarkStart w:id="90" w:name="OLE_LINK259"/>
      <w:bookmarkStart w:id="91" w:name="OLE_LINK1186"/>
      <w:bookmarkStart w:id="92" w:name="OLE_LINK1265"/>
      <w:bookmarkStart w:id="93" w:name="OLE_LINK1373"/>
      <w:bookmarkStart w:id="94" w:name="OLE_LINK1478"/>
      <w:bookmarkStart w:id="95" w:name="OLE_LINK1644"/>
      <w:bookmarkStart w:id="96" w:name="OLE_LINK1884"/>
      <w:bookmarkStart w:id="97" w:name="OLE_LINK1885"/>
      <w:bookmarkStart w:id="98" w:name="OLE_LINK1538"/>
      <w:bookmarkStart w:id="99" w:name="OLE_LINK1539"/>
      <w:bookmarkStart w:id="100" w:name="OLE_LINK1543"/>
      <w:bookmarkStart w:id="101" w:name="OLE_LINK1549"/>
      <w:bookmarkStart w:id="102" w:name="OLE_LINK1778"/>
      <w:bookmarkStart w:id="103" w:name="OLE_LINK1756"/>
      <w:bookmarkStart w:id="104" w:name="OLE_LINK1776"/>
      <w:bookmarkStart w:id="105" w:name="OLE_LINK1777"/>
      <w:bookmarkStart w:id="106" w:name="OLE_LINK1868"/>
      <w:bookmarkStart w:id="107" w:name="OLE_LINK1744"/>
      <w:bookmarkStart w:id="108" w:name="OLE_LINK1817"/>
      <w:bookmarkStart w:id="109" w:name="OLE_LINK1835"/>
      <w:bookmarkStart w:id="110" w:name="OLE_LINK1866"/>
      <w:bookmarkStart w:id="111" w:name="OLE_LINK1882"/>
      <w:bookmarkStart w:id="112" w:name="OLE_LINK1901"/>
      <w:bookmarkStart w:id="113" w:name="OLE_LINK1902"/>
      <w:bookmarkStart w:id="114" w:name="OLE_LINK2013"/>
      <w:bookmarkStart w:id="115" w:name="OLE_LINK1894"/>
      <w:bookmarkStart w:id="116" w:name="OLE_LINK1929"/>
      <w:bookmarkStart w:id="117" w:name="OLE_LINK1941"/>
      <w:bookmarkStart w:id="118" w:name="OLE_LINK1995"/>
      <w:bookmarkStart w:id="119" w:name="OLE_LINK1938"/>
      <w:bookmarkStart w:id="120" w:name="OLE_LINK2081"/>
      <w:bookmarkStart w:id="121" w:name="OLE_LINK2082"/>
      <w:bookmarkStart w:id="122" w:name="OLE_LINK2292"/>
      <w:bookmarkStart w:id="123" w:name="OLE_LINK1931"/>
      <w:bookmarkStart w:id="124" w:name="OLE_LINK1964"/>
      <w:bookmarkStart w:id="125" w:name="OLE_LINK2020"/>
      <w:bookmarkStart w:id="126" w:name="OLE_LINK2071"/>
      <w:bookmarkStart w:id="127" w:name="OLE_LINK2134"/>
      <w:bookmarkStart w:id="128" w:name="OLE_LINK2265"/>
      <w:bookmarkStart w:id="129" w:name="OLE_LINK2562"/>
      <w:bookmarkStart w:id="130" w:name="OLE_LINK1923"/>
      <w:bookmarkStart w:id="131" w:name="OLE_LINK2192"/>
      <w:bookmarkStart w:id="132" w:name="OLE_LINK2110"/>
      <w:bookmarkStart w:id="133" w:name="OLE_LINK2445"/>
      <w:bookmarkStart w:id="134" w:name="OLE_LINK2446"/>
      <w:bookmarkStart w:id="135" w:name="OLE_LINK2169"/>
      <w:bookmarkStart w:id="136" w:name="OLE_LINK2190"/>
      <w:bookmarkStart w:id="137" w:name="OLE_LINK2331"/>
      <w:bookmarkStart w:id="138" w:name="OLE_LINK2345"/>
      <w:bookmarkStart w:id="139" w:name="OLE_LINK2467"/>
      <w:bookmarkStart w:id="140" w:name="OLE_LINK2484"/>
      <w:bookmarkStart w:id="141" w:name="OLE_LINK2157"/>
      <w:bookmarkStart w:id="142" w:name="OLE_LINK2221"/>
      <w:bookmarkStart w:id="143" w:name="OLE_LINK2252"/>
      <w:bookmarkStart w:id="144" w:name="OLE_LINK2348"/>
      <w:bookmarkStart w:id="145" w:name="OLE_LINK2451"/>
      <w:bookmarkStart w:id="146" w:name="OLE_LINK2627"/>
      <w:bookmarkStart w:id="147" w:name="OLE_LINK2482"/>
      <w:bookmarkStart w:id="148" w:name="OLE_LINK2663"/>
      <w:bookmarkStart w:id="149" w:name="OLE_LINK2761"/>
      <w:bookmarkStart w:id="150" w:name="OLE_LINK2856"/>
      <w:bookmarkStart w:id="151" w:name="OLE_LINK2993"/>
      <w:bookmarkStart w:id="152" w:name="OLE_LINK2643"/>
      <w:bookmarkStart w:id="153" w:name="OLE_LINK2583"/>
      <w:bookmarkStart w:id="154" w:name="OLE_LINK2762"/>
      <w:bookmarkStart w:id="155" w:name="OLE_LINK2962"/>
      <w:bookmarkStart w:id="156" w:name="OLE_LINK2582"/>
      <w:r w:rsidRPr="00412B34">
        <w:rPr>
          <w:rFonts w:ascii="Book Antiqua" w:hAnsi="Book Antiqua"/>
          <w:b/>
          <w:color w:val="000000"/>
          <w:lang w:val="en-GB"/>
        </w:rPr>
        <w:lastRenderedPageBreak/>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DF3CDE" w:rsidRPr="00C42E20" w:rsidRDefault="00DF3CDE" w:rsidP="009C3795">
      <w:pPr>
        <w:adjustRightInd w:val="0"/>
        <w:snapToGrid w:val="0"/>
        <w:spacing w:line="360" w:lineRule="auto"/>
        <w:jc w:val="both"/>
        <w:rPr>
          <w:rFonts w:ascii="Book Antiqua" w:hAnsi="Book Antiqua" w:cs="Times New Roman"/>
        </w:rPr>
      </w:pPr>
    </w:p>
    <w:p w:rsidR="00C42E20" w:rsidRPr="00C42E20" w:rsidRDefault="00C42E20" w:rsidP="009C3795">
      <w:pPr>
        <w:suppressAutoHyphens w:val="0"/>
        <w:adjustRightInd w:val="0"/>
        <w:snapToGrid w:val="0"/>
        <w:spacing w:line="360" w:lineRule="auto"/>
        <w:jc w:val="both"/>
        <w:rPr>
          <w:rFonts w:ascii="Book Antiqua" w:hAnsi="Book Antiqua" w:cs="Times New Roman"/>
          <w:b/>
        </w:rPr>
      </w:pPr>
      <w:r w:rsidRPr="00C42E20">
        <w:rPr>
          <w:rFonts w:ascii="Book Antiqua" w:hAnsi="Book Antiqua" w:cs="Times New Roman"/>
          <w:b/>
        </w:rPr>
        <w:t>Core tip</w:t>
      </w:r>
      <w:r>
        <w:rPr>
          <w:rFonts w:ascii="Book Antiqua" w:hAnsi="Book Antiqua" w:cs="Times New Roman" w:hint="eastAsia"/>
          <w:b/>
        </w:rPr>
        <w:t xml:space="preserve">: </w:t>
      </w:r>
      <w:r w:rsidRPr="00C42E20">
        <w:rPr>
          <w:rFonts w:ascii="Book Antiqua" w:hAnsi="Book Antiqua" w:cs="Times New Roman"/>
        </w:rPr>
        <w:t>This work reports the fourth reported case of isolated Aspergillus appendicitis, further characterizes this syndrome, and identifies a clinical pentad associated with this syndrome: clinically-suspected appendicitis, neutropenia, recent chemotherapy, acute leukemia, and poor clinical course if treated solely with antibacterial or anti-Candidial antibiotics. These risk factors are biologically reasonable.</w:t>
      </w:r>
      <w:r>
        <w:rPr>
          <w:rFonts w:ascii="Book Antiqua" w:hAnsi="Book Antiqua" w:cs="Times New Roman"/>
        </w:rPr>
        <w:t xml:space="preserve"> </w:t>
      </w:r>
      <w:r w:rsidRPr="00C42E20">
        <w:rPr>
          <w:rFonts w:ascii="Book Antiqua" w:hAnsi="Book Antiqua" w:cs="Times New Roman"/>
        </w:rPr>
        <w:t>Immunosuppression from neutropenia and acute leukemia may promote Aspergillus appendicitis.</w:t>
      </w:r>
      <w:r>
        <w:rPr>
          <w:rFonts w:ascii="Book Antiqua" w:hAnsi="Book Antiqua" w:cs="Times New Roman"/>
        </w:rPr>
        <w:t xml:space="preserve"> </w:t>
      </w:r>
      <w:r w:rsidRPr="00C42E20">
        <w:rPr>
          <w:rFonts w:ascii="Book Antiqua" w:hAnsi="Book Antiqua" w:cs="Times New Roman"/>
        </w:rPr>
        <w:t xml:space="preserve">Local </w:t>
      </w:r>
      <w:r w:rsidR="00255F51" w:rsidRPr="00C42E20">
        <w:rPr>
          <w:rFonts w:ascii="Book Antiqua" w:eastAsia="Calibri" w:hAnsi="Book Antiqua" w:cs="Times New Roman"/>
          <w:color w:val="00000A"/>
        </w:rPr>
        <w:t xml:space="preserve">gastrointestinal </w:t>
      </w:r>
      <w:r w:rsidRPr="00C42E20">
        <w:rPr>
          <w:rFonts w:ascii="Book Antiqua" w:hAnsi="Book Antiqua" w:cs="Times New Roman"/>
        </w:rPr>
        <w:t>ulcers from recent chemotherapy provides a nidus for fungal colonization.</w:t>
      </w:r>
      <w:r>
        <w:rPr>
          <w:rFonts w:ascii="Book Antiqua" w:hAnsi="Book Antiqua" w:cs="Times New Roman"/>
        </w:rPr>
        <w:t xml:space="preserve"> </w:t>
      </w:r>
      <w:r w:rsidRPr="00C42E20">
        <w:rPr>
          <w:rFonts w:ascii="Book Antiqua" w:hAnsi="Book Antiqua" w:cs="Times New Roman"/>
        </w:rPr>
        <w:t>In patients presenting with this proposed pentad, Aspergillus appendicitis should be considered in the differential diagnosis, special silver stains should be performed to evaluate for this infection, and empiric anti-Aspergillus therapy may be considered pending tissue diagnosis.</w:t>
      </w:r>
    </w:p>
    <w:p w:rsidR="00C42E20" w:rsidRPr="00C42E20" w:rsidRDefault="00C42E20" w:rsidP="009C3795">
      <w:pPr>
        <w:adjustRightInd w:val="0"/>
        <w:snapToGrid w:val="0"/>
        <w:spacing w:line="360" w:lineRule="auto"/>
        <w:jc w:val="both"/>
        <w:rPr>
          <w:rFonts w:ascii="Book Antiqua" w:hAnsi="Book Antiqua" w:cs="Times New Roman"/>
        </w:rPr>
      </w:pPr>
    </w:p>
    <w:p w:rsidR="00DF3CDE" w:rsidRPr="00DF3CDE" w:rsidRDefault="00DF3CDE" w:rsidP="009C3795">
      <w:pPr>
        <w:adjustRightInd w:val="0"/>
        <w:snapToGrid w:val="0"/>
        <w:spacing w:line="360" w:lineRule="auto"/>
        <w:jc w:val="both"/>
        <w:rPr>
          <w:rFonts w:ascii="Book Antiqua" w:hAnsi="Book Antiqua" w:cs="Times New Roman"/>
        </w:rPr>
      </w:pPr>
      <w:r w:rsidRPr="00C42E20">
        <w:rPr>
          <w:rFonts w:ascii="Book Antiqua" w:hAnsi="Book Antiqua" w:cs="Times New Roman"/>
        </w:rPr>
        <w:t>Gjeorgjievski</w:t>
      </w:r>
      <w:r>
        <w:rPr>
          <w:rFonts w:ascii="Book Antiqua" w:hAnsi="Book Antiqua" w:cs="Times New Roman" w:hint="eastAsia"/>
        </w:rPr>
        <w:t xml:space="preserve"> M</w:t>
      </w:r>
      <w:r w:rsidRPr="00C42E20">
        <w:rPr>
          <w:rFonts w:ascii="Book Antiqua" w:hAnsi="Book Antiqua" w:cs="Times New Roman"/>
        </w:rPr>
        <w:t>, Amin</w:t>
      </w:r>
      <w:r>
        <w:rPr>
          <w:rFonts w:ascii="Book Antiqua" w:hAnsi="Book Antiqua" w:cs="Times New Roman" w:hint="eastAsia"/>
        </w:rPr>
        <w:t xml:space="preserve"> MB</w:t>
      </w:r>
      <w:r w:rsidRPr="00C42E20">
        <w:rPr>
          <w:rFonts w:ascii="Book Antiqua" w:hAnsi="Book Antiqua" w:cs="Times New Roman"/>
        </w:rPr>
        <w:t xml:space="preserve">, </w:t>
      </w:r>
      <w:r>
        <w:rPr>
          <w:rFonts w:ascii="Book Antiqua" w:hAnsi="Book Antiqua" w:cs="Times New Roman"/>
        </w:rPr>
        <w:t>Cappell</w:t>
      </w:r>
      <w:r>
        <w:rPr>
          <w:rFonts w:ascii="Book Antiqua" w:hAnsi="Book Antiqua" w:cs="Times New Roman" w:hint="eastAsia"/>
        </w:rPr>
        <w:t xml:space="preserve"> MS. </w:t>
      </w:r>
      <w:r w:rsidRPr="00DF3CDE">
        <w:rPr>
          <w:rFonts w:ascii="Book Antiqua" w:hAnsi="Book Antiqua" w:cs="Times New Roman"/>
        </w:rPr>
        <w:t>Characteristic clinical features of Aspergillus appendicitis: Case report and literature review</w:t>
      </w:r>
      <w:r>
        <w:rPr>
          <w:rFonts w:ascii="Book Antiqua" w:hAnsi="Book Antiqua" w:cs="Times New Roman" w:hint="eastAsia"/>
        </w:rPr>
        <w:t xml:space="preserve">. </w:t>
      </w:r>
      <w:r w:rsidRPr="00DF3CDE">
        <w:rPr>
          <w:rFonts w:ascii="Book Antiqua" w:hAnsi="Book Antiqua" w:cs="Times New Roman"/>
          <w:i/>
        </w:rPr>
        <w:t>World J Gastroenterol</w:t>
      </w:r>
      <w:r w:rsidRPr="00DF3CDE">
        <w:rPr>
          <w:rFonts w:ascii="Book Antiqua" w:hAnsi="Book Antiqua" w:cs="Times New Roman"/>
        </w:rPr>
        <w:t xml:space="preserve"> 201</w:t>
      </w:r>
      <w:r w:rsidRPr="00DF3CDE">
        <w:rPr>
          <w:rFonts w:ascii="Book Antiqua" w:hAnsi="Book Antiqua" w:cs="Times New Roman" w:hint="eastAsia"/>
        </w:rPr>
        <w:t>5</w:t>
      </w:r>
      <w:r w:rsidRPr="00DF3CDE">
        <w:rPr>
          <w:rFonts w:ascii="Book Antiqua" w:hAnsi="Book Antiqua" w:cs="Times New Roman"/>
        </w:rPr>
        <w:t>; In press</w:t>
      </w:r>
    </w:p>
    <w:p w:rsidR="00DF3CDE" w:rsidRPr="00DF3CDE" w:rsidRDefault="00DF3CDE" w:rsidP="009C3795">
      <w:pPr>
        <w:adjustRightInd w:val="0"/>
        <w:snapToGrid w:val="0"/>
        <w:spacing w:line="360" w:lineRule="auto"/>
        <w:jc w:val="both"/>
        <w:rPr>
          <w:rFonts w:ascii="Book Antiqua" w:hAnsi="Book Antiqua" w:cs="Times New Roman"/>
        </w:rPr>
      </w:pPr>
    </w:p>
    <w:p w:rsidR="00C42E20" w:rsidRPr="00DF3CDE" w:rsidRDefault="00C42E20" w:rsidP="009C3795">
      <w:pPr>
        <w:suppressAutoHyphens w:val="0"/>
        <w:adjustRightInd w:val="0"/>
        <w:snapToGrid w:val="0"/>
        <w:spacing w:line="360" w:lineRule="auto"/>
        <w:jc w:val="both"/>
        <w:rPr>
          <w:rFonts w:ascii="Book Antiqua" w:hAnsi="Book Antiqua" w:cs="Times New Roman"/>
          <w:b/>
          <w:caps/>
        </w:rPr>
      </w:pPr>
    </w:p>
    <w:p w:rsidR="00DF3CDE" w:rsidRDefault="00DF3CDE" w:rsidP="009C3795">
      <w:pPr>
        <w:suppressAutoHyphens w:val="0"/>
        <w:adjustRightInd w:val="0"/>
        <w:snapToGrid w:val="0"/>
        <w:spacing w:line="360" w:lineRule="auto"/>
        <w:jc w:val="both"/>
        <w:rPr>
          <w:rFonts w:ascii="Book Antiqua" w:hAnsi="Book Antiqua" w:cs="Times New Roman"/>
          <w:b/>
          <w:caps/>
        </w:rPr>
      </w:pPr>
      <w:r>
        <w:rPr>
          <w:rFonts w:ascii="Book Antiqua" w:hAnsi="Book Antiqua" w:cs="Times New Roman"/>
          <w:b/>
          <w:caps/>
        </w:rPr>
        <w:br w:type="page"/>
      </w:r>
    </w:p>
    <w:p w:rsidR="00C42E20" w:rsidRPr="00C42E20" w:rsidRDefault="00C42E20" w:rsidP="009C3795">
      <w:pPr>
        <w:suppressAutoHyphens w:val="0"/>
        <w:adjustRightInd w:val="0"/>
        <w:snapToGrid w:val="0"/>
        <w:spacing w:line="360" w:lineRule="auto"/>
        <w:jc w:val="both"/>
        <w:rPr>
          <w:rFonts w:ascii="Book Antiqua" w:hAnsi="Book Antiqua" w:cs="Times New Roman"/>
          <w:b/>
          <w:caps/>
        </w:rPr>
      </w:pPr>
      <w:r w:rsidRPr="00C42E20">
        <w:rPr>
          <w:rFonts w:ascii="Book Antiqua" w:hAnsi="Book Antiqua" w:cs="Times New Roman" w:hint="eastAsia"/>
          <w:b/>
          <w:caps/>
        </w:rPr>
        <w:lastRenderedPageBreak/>
        <w:t>Introduction</w:t>
      </w:r>
    </w:p>
    <w:p w:rsidR="00FE1645" w:rsidRPr="00C42E20" w:rsidRDefault="00FE1645" w:rsidP="009C3795">
      <w:pPr>
        <w:adjustRightInd w:val="0"/>
        <w:snapToGrid w:val="0"/>
        <w:spacing w:line="360" w:lineRule="auto"/>
        <w:jc w:val="both"/>
        <w:rPr>
          <w:rFonts w:ascii="Book Antiqua" w:eastAsia="Times" w:hAnsi="Book Antiqua" w:cs="Times New Roman"/>
        </w:rPr>
      </w:pPr>
      <w:r w:rsidRPr="00C42E20">
        <w:rPr>
          <w:rFonts w:ascii="Book Antiqua" w:eastAsia="Times" w:hAnsi="Book Antiqua" w:cs="Times New Roman"/>
        </w:rPr>
        <w:t xml:space="preserve">The diagnosis of isolated (primary) Aspergillus appendicitis may be clinically overlooked or delayed because of its exceptional rarity, as shown by a review of the English literature revealing only three cases, and its association with profound immunosuppression </w:t>
      </w:r>
      <w:r w:rsidR="00DF3CDE">
        <w:rPr>
          <w:rFonts w:ascii="Book Antiqua" w:eastAsiaTheme="minorEastAsia" w:hAnsi="Book Antiqua" w:cs="Times New Roman" w:hint="eastAsia"/>
        </w:rPr>
        <w:t>(</w:t>
      </w:r>
      <w:r w:rsidRPr="00C42E20">
        <w:rPr>
          <w:rFonts w:ascii="Book Antiqua" w:eastAsia="Times" w:hAnsi="Book Antiqua" w:cs="Times New Roman"/>
        </w:rPr>
        <w:t xml:space="preserve">Table </w:t>
      </w:r>
      <w:r w:rsidR="00DF3CDE">
        <w:rPr>
          <w:rFonts w:ascii="Book Antiqua" w:eastAsiaTheme="minorEastAsia" w:hAnsi="Book Antiqua" w:cs="Times New Roman" w:hint="eastAsia"/>
        </w:rPr>
        <w:t>1)</w:t>
      </w:r>
      <w:r w:rsidR="00C70B21" w:rsidRPr="00C42E20">
        <w:rPr>
          <w:rFonts w:ascii="Book Antiqua" w:eastAsia="Times" w:hAnsi="Book Antiqua" w:cs="Times New Roman"/>
          <w:vertAlign w:val="superscript"/>
        </w:rPr>
        <w:t>[1-3]</w:t>
      </w:r>
      <w:r w:rsidRPr="00C42E20">
        <w:rPr>
          <w:rFonts w:ascii="Book Antiqua" w:eastAsia="Times" w:hAnsi="Book Antiqua" w:cs="Times New Roman"/>
          <w:vertAlign w:val="superscript"/>
        </w:rPr>
        <w:t xml:space="preserve"> </w:t>
      </w:r>
      <w:r w:rsidR="00C70B21" w:rsidRPr="00C42E20">
        <w:rPr>
          <w:rFonts w:ascii="Book Antiqua" w:eastAsia="Times" w:hAnsi="Book Antiqua" w:cs="Times New Roman"/>
        </w:rPr>
        <w:t>t</w:t>
      </w:r>
      <w:r w:rsidRPr="00C42E20">
        <w:rPr>
          <w:rFonts w:ascii="Book Antiqua" w:eastAsia="Times" w:hAnsi="Book Antiqua" w:cs="Times New Roman"/>
        </w:rPr>
        <w:t>hat can delay or mask the usual clinical features of appendicitis</w:t>
      </w:r>
      <w:r w:rsidR="00DF3CDE" w:rsidRPr="00C42E20">
        <w:rPr>
          <w:rFonts w:ascii="Book Antiqua" w:eastAsia="Times" w:hAnsi="Book Antiqua" w:cs="Times New Roman"/>
          <w:vertAlign w:val="superscript"/>
        </w:rPr>
        <w:t>[4,5]</w:t>
      </w:r>
      <w:r w:rsidR="00C70B21" w:rsidRPr="00C42E20">
        <w:rPr>
          <w:rFonts w:ascii="Book Antiqua" w:eastAsia="Times" w:hAnsi="Book Antiqua" w:cs="Times New Roman"/>
        </w:rPr>
        <w:t>.</w:t>
      </w:r>
      <w:r w:rsidR="00C42E20">
        <w:rPr>
          <w:rFonts w:ascii="Book Antiqua" w:eastAsia="Times" w:hAnsi="Book Antiqua" w:cs="Times New Roman"/>
        </w:rPr>
        <w:t xml:space="preserve"> </w:t>
      </w:r>
      <w:r w:rsidRPr="00C42E20">
        <w:rPr>
          <w:rFonts w:ascii="Book Antiqua" w:eastAsia="Times" w:hAnsi="Book Antiqua" w:cs="Times New Roman"/>
        </w:rPr>
        <w:t>Yet, delayed diagnosis and therapy for Aspergillus appendicitis may have dire patient consequences, as occurred in two of the three previously reported cases</w:t>
      </w:r>
      <w:r w:rsidR="00DF3CDE" w:rsidRPr="00C42E20">
        <w:rPr>
          <w:rFonts w:ascii="Book Antiqua" w:eastAsia="Times" w:hAnsi="Book Antiqua" w:cs="Times New Roman"/>
          <w:vertAlign w:val="superscript"/>
        </w:rPr>
        <w:t>[1,2]</w:t>
      </w:r>
      <w:r w:rsidR="00C70B21" w:rsidRPr="00C42E20">
        <w:rPr>
          <w:rFonts w:ascii="Book Antiqua" w:eastAsia="Times" w:hAnsi="Book Antiqua" w:cs="Times New Roman"/>
        </w:rPr>
        <w:t>.</w:t>
      </w:r>
      <w:r w:rsidR="00C42E20">
        <w:rPr>
          <w:rFonts w:ascii="Book Antiqua" w:eastAsia="Times" w:hAnsi="Book Antiqua" w:cs="Times New Roman"/>
        </w:rPr>
        <w:t xml:space="preserve"> </w:t>
      </w:r>
      <w:r w:rsidRPr="00C42E20">
        <w:rPr>
          <w:rFonts w:ascii="Book Antiqua" w:eastAsia="Times" w:hAnsi="Book Antiqua" w:cs="Times New Roman"/>
        </w:rPr>
        <w:t>A new patient is reported of isolated Aspergillus appendicitis who presented with five striking clinical findings, and a novel syndromic pentad is proposed as a diagnostic tool, based on this new case report and review of the three previously reported cases that demonstrated nearly identical findings.</w:t>
      </w:r>
    </w:p>
    <w:p w:rsidR="00FE1645" w:rsidRPr="00C42E20" w:rsidRDefault="00FE1645" w:rsidP="009C3795">
      <w:pPr>
        <w:adjustRightInd w:val="0"/>
        <w:snapToGrid w:val="0"/>
        <w:spacing w:line="360" w:lineRule="auto"/>
        <w:ind w:firstLineChars="200" w:firstLine="480"/>
        <w:jc w:val="both"/>
        <w:rPr>
          <w:rFonts w:ascii="Book Antiqua" w:eastAsia="Times" w:hAnsi="Book Antiqua" w:cs="Times New Roman"/>
        </w:rPr>
      </w:pPr>
      <w:r w:rsidRPr="00C42E20">
        <w:rPr>
          <w:rFonts w:ascii="Book Antiqua" w:eastAsia="Times" w:hAnsi="Book Antiqua" w:cs="Times New Roman"/>
        </w:rPr>
        <w:t>Computerized search using the words “appendicitis” and “Aspergillus” of the pathology database at William Beaumont Hospital, Royal Oak, July 1999-December 2014, revealed only 1 case of Aspergillus appendicitis (0.01% rate) among 10,980 pathology reports of appendicitis proven by pathologic examination of the appendectomy specimen.</w:t>
      </w:r>
      <w:r w:rsidR="00C42E20">
        <w:rPr>
          <w:rFonts w:ascii="Book Antiqua" w:eastAsia="Times" w:hAnsi="Book Antiqua" w:cs="Times New Roman"/>
        </w:rPr>
        <w:t xml:space="preserve"> </w:t>
      </w:r>
      <w:r w:rsidRPr="00C42E20">
        <w:rPr>
          <w:rFonts w:ascii="Book Antiqua" w:eastAsia="Times" w:hAnsi="Book Antiqua" w:cs="Times New Roman"/>
        </w:rPr>
        <w:t>Published reports of Aspergillus appendicitis were identified by computerized literature search using PubMed; and review of general textbooks and specialized monographs in gastroenterology, pathology, and infectious diseases.</w:t>
      </w:r>
      <w:r w:rsidR="00C42E20">
        <w:rPr>
          <w:rFonts w:ascii="Book Antiqua" w:eastAsia="Times" w:hAnsi="Book Antiqua" w:cs="Times New Roman"/>
        </w:rPr>
        <w:t xml:space="preserve"> </w:t>
      </w:r>
      <w:r w:rsidRPr="00C42E20">
        <w:rPr>
          <w:rFonts w:ascii="Book Antiqua" w:eastAsia="Times" w:hAnsi="Book Antiqua" w:cs="Times New Roman"/>
        </w:rPr>
        <w:t>One case report of isolated Aspergillus appendicitis written in German was professionally translated</w:t>
      </w:r>
      <w:r w:rsidR="00DF3CDE" w:rsidRPr="00C42E20">
        <w:rPr>
          <w:rFonts w:ascii="Book Antiqua" w:eastAsia="Times" w:hAnsi="Book Antiqua" w:cs="Times New Roman"/>
          <w:vertAlign w:val="superscript"/>
        </w:rPr>
        <w:t>[6]</w:t>
      </w:r>
      <w:r w:rsidR="00C70B21" w:rsidRPr="00C42E20">
        <w:rPr>
          <w:rFonts w:ascii="Book Antiqua" w:eastAsia="Times" w:hAnsi="Book Antiqua" w:cs="Times New Roman"/>
        </w:rPr>
        <w:t>.</w:t>
      </w:r>
      <w:r w:rsidR="00C42E20">
        <w:rPr>
          <w:rFonts w:ascii="Book Antiqua" w:eastAsia="Times" w:hAnsi="Book Antiqua" w:cs="Times New Roman"/>
        </w:rPr>
        <w:t xml:space="preserve"> </w:t>
      </w:r>
      <w:r w:rsidRPr="00C42E20">
        <w:rPr>
          <w:rFonts w:ascii="Book Antiqua" w:eastAsia="Times" w:hAnsi="Book Antiqua" w:cs="Times New Roman"/>
        </w:rPr>
        <w:t>Case reports of small intestinal Aspergillosis without known or documented appendiceal involvement were excluded</w:t>
      </w:r>
      <w:r w:rsidR="00DF3CDE" w:rsidRPr="00C42E20">
        <w:rPr>
          <w:rFonts w:ascii="Book Antiqua" w:eastAsia="Times" w:hAnsi="Book Antiqua" w:cs="Times New Roman"/>
          <w:vertAlign w:val="superscript"/>
        </w:rPr>
        <w:t>[7]</w:t>
      </w:r>
      <w:r w:rsidR="00C70B21" w:rsidRPr="00C42E20">
        <w:rPr>
          <w:rFonts w:ascii="Book Antiqua" w:eastAsia="Times" w:hAnsi="Book Antiqua" w:cs="Times New Roman"/>
        </w:rPr>
        <w:t>.</w:t>
      </w:r>
      <w:r w:rsidRPr="00C42E20">
        <w:rPr>
          <w:rFonts w:ascii="Book Antiqua" w:eastAsia="Times" w:hAnsi="Book Antiqua" w:cs="Times New Roman"/>
        </w:rPr>
        <w:t xml:space="preserve"> This study received exemption/approval by William Beaumont Hospital IRB on December 1, 2014.</w:t>
      </w:r>
    </w:p>
    <w:p w:rsidR="00C42E20" w:rsidRPr="00C42E20" w:rsidRDefault="00C42E20" w:rsidP="009C3795">
      <w:pPr>
        <w:adjustRightInd w:val="0"/>
        <w:snapToGrid w:val="0"/>
        <w:spacing w:line="360" w:lineRule="auto"/>
        <w:jc w:val="both"/>
        <w:rPr>
          <w:rFonts w:ascii="Book Antiqua" w:hAnsi="Book Antiqua" w:cs="Times New Roman"/>
          <w:b/>
        </w:rPr>
      </w:pPr>
    </w:p>
    <w:p w:rsidR="00C42E20" w:rsidRPr="00DF3CDE" w:rsidRDefault="00FE1645" w:rsidP="009C3795">
      <w:pPr>
        <w:adjustRightInd w:val="0"/>
        <w:snapToGrid w:val="0"/>
        <w:spacing w:line="360" w:lineRule="auto"/>
        <w:jc w:val="both"/>
        <w:rPr>
          <w:rFonts w:ascii="Book Antiqua" w:hAnsi="Book Antiqua" w:cs="Times New Roman"/>
          <w:b/>
          <w:caps/>
        </w:rPr>
      </w:pPr>
      <w:r w:rsidRPr="00DF3CDE">
        <w:rPr>
          <w:rFonts w:ascii="Book Antiqua" w:hAnsi="Book Antiqua" w:cs="Times New Roman"/>
          <w:b/>
          <w:caps/>
        </w:rPr>
        <w:t>Case report</w:t>
      </w:r>
    </w:p>
    <w:p w:rsidR="00C42E20" w:rsidRPr="00C42E20" w:rsidRDefault="00C42E20" w:rsidP="009C3795">
      <w:pPr>
        <w:pStyle w:val="Standard"/>
        <w:adjustRightInd w:val="0"/>
        <w:snapToGrid w:val="0"/>
        <w:spacing w:line="360" w:lineRule="auto"/>
        <w:jc w:val="both"/>
        <w:rPr>
          <w:rFonts w:ascii="Book Antiqua" w:eastAsia="Calibri" w:hAnsi="Book Antiqua" w:cs="Times New Roman"/>
          <w:color w:val="00000A"/>
        </w:rPr>
      </w:pPr>
      <w:r w:rsidRPr="00C42E20">
        <w:rPr>
          <w:rFonts w:ascii="Book Antiqua" w:eastAsia="Calibri" w:hAnsi="Book Antiqua" w:cs="Times New Roman"/>
          <w:color w:val="00000A"/>
        </w:rPr>
        <w:t>An 8-year-old boy with acute myelogenous leukemia (AML), diagnosed one month earlier, and with profound neutropenia, after receiving two cycles of IV chemotherapy with daunorubicin, cytarabine, thioguanine, etoposide and dexamethasone, presented with low-grade pyrexia and chills for one day. Physical examination revealed temperature</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 xml:space="preserve">36.8 </w:t>
      </w:r>
      <w:r w:rsidRPr="00C42E20">
        <w:rPr>
          <w:rFonts w:ascii="Book Antiqua" w:eastAsia="Calibri" w:hAnsi="Book Antiqua" w:cs="Times New Roman"/>
          <w:color w:val="00000A"/>
          <w:vertAlign w:val="superscript"/>
        </w:rPr>
        <w:t>0</w:t>
      </w:r>
      <w:r w:rsidRPr="00C42E20">
        <w:rPr>
          <w:rFonts w:ascii="Book Antiqua" w:eastAsia="Calibri" w:hAnsi="Book Antiqua" w:cs="Times New Roman"/>
          <w:color w:val="00000A"/>
        </w:rPr>
        <w:t>C, pulse</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111 beats/min, blood pressure</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 xml:space="preserve">94/63 mmHg. </w:t>
      </w:r>
      <w:r w:rsidRPr="00DF3CDE">
        <w:rPr>
          <w:rFonts w:ascii="Book Antiqua" w:eastAsia="Calibri" w:hAnsi="Book Antiqua" w:cs="Times New Roman"/>
          <w:caps/>
          <w:color w:val="00000A"/>
        </w:rPr>
        <w:t>a</w:t>
      </w:r>
      <w:r w:rsidRPr="00C42E20">
        <w:rPr>
          <w:rFonts w:ascii="Book Antiqua" w:eastAsia="Calibri" w:hAnsi="Book Antiqua" w:cs="Times New Roman"/>
          <w:color w:val="00000A"/>
        </w:rPr>
        <w:t>nd mild right lower quadrant (RLQ) tenderness without rebound tenderness. The leukocyte count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200 cells/mm</w:t>
      </w:r>
      <w:r w:rsidRPr="00C42E20">
        <w:rPr>
          <w:rFonts w:ascii="Book Antiqua" w:eastAsia="Calibri" w:hAnsi="Book Antiqua" w:cs="Times New Roman"/>
          <w:color w:val="00000A"/>
          <w:vertAlign w:val="superscript"/>
        </w:rPr>
        <w:t>3</w:t>
      </w:r>
      <w:r w:rsidR="00DF3CDE">
        <w:rPr>
          <w:rFonts w:ascii="Book Antiqua" w:eastAsia="Calibri" w:hAnsi="Book Antiqua" w:cs="Times New Roman"/>
          <w:color w:val="00000A"/>
        </w:rPr>
        <w:t xml:space="preserve"> (normal 4800-10</w:t>
      </w:r>
      <w:r w:rsidRPr="00C42E20">
        <w:rPr>
          <w:rFonts w:ascii="Book Antiqua" w:eastAsia="Calibri" w:hAnsi="Book Antiqua" w:cs="Times New Roman"/>
          <w:color w:val="00000A"/>
        </w:rPr>
        <w:t>100 cells/mm</w:t>
      </w:r>
      <w:r w:rsidRPr="00C42E20">
        <w:rPr>
          <w:rFonts w:ascii="Book Antiqua" w:eastAsia="Calibri" w:hAnsi="Book Antiqua" w:cs="Times New Roman"/>
          <w:color w:val="00000A"/>
          <w:vertAlign w:val="superscript"/>
        </w:rPr>
        <w:t>3</w:t>
      </w:r>
      <w:r w:rsidRPr="00C42E20">
        <w:rPr>
          <w:rFonts w:ascii="Book Antiqua" w:eastAsia="Calibri" w:hAnsi="Book Antiqua" w:cs="Times New Roman"/>
          <w:color w:val="00000A"/>
        </w:rPr>
        <w:t>), neutrophil count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&lt;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100 cells/mm</w:t>
      </w:r>
      <w:r w:rsidRPr="00C42E20">
        <w:rPr>
          <w:rFonts w:ascii="Book Antiqua" w:eastAsia="Calibri" w:hAnsi="Book Antiqua" w:cs="Times New Roman"/>
          <w:color w:val="00000A"/>
          <w:vertAlign w:val="superscript"/>
        </w:rPr>
        <w:t>3</w:t>
      </w:r>
      <w:r w:rsidR="00DF3CDE">
        <w:rPr>
          <w:rFonts w:ascii="Book Antiqua" w:eastAsia="Calibri" w:hAnsi="Book Antiqua" w:cs="Times New Roman"/>
          <w:color w:val="00000A"/>
        </w:rPr>
        <w:t xml:space="preserve"> (normal 1600-7</w:t>
      </w:r>
      <w:r w:rsidRPr="00C42E20">
        <w:rPr>
          <w:rFonts w:ascii="Book Antiqua" w:eastAsia="Calibri" w:hAnsi="Book Antiqua" w:cs="Times New Roman"/>
          <w:color w:val="00000A"/>
        </w:rPr>
        <w:t>200 cells/mm</w:t>
      </w:r>
      <w:r w:rsidRPr="00C42E20">
        <w:rPr>
          <w:rFonts w:ascii="Book Antiqua" w:eastAsia="Calibri" w:hAnsi="Book Antiqua" w:cs="Times New Roman"/>
          <w:color w:val="00000A"/>
          <w:vertAlign w:val="superscript"/>
        </w:rPr>
        <w:t>3</w:t>
      </w:r>
      <w:r w:rsidRPr="00C42E20">
        <w:rPr>
          <w:rFonts w:ascii="Book Antiqua" w:eastAsia="Calibri" w:hAnsi="Book Antiqua" w:cs="Times New Roman"/>
          <w:color w:val="00000A"/>
        </w:rPr>
        <w:t>), hematocrit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36.3% (normal in male boy, age 6-9 years: 33.6</w:t>
      </w:r>
      <w:r w:rsidR="00DF3CDE">
        <w:rPr>
          <w:rFonts w:ascii="Book Antiqua" w:eastAsiaTheme="minorEastAsia" w:hAnsi="Book Antiqua" w:cs="Times New Roman" w:hint="eastAsia"/>
          <w:color w:val="00000A"/>
        </w:rPr>
        <w:t>%</w:t>
      </w:r>
      <w:r w:rsidR="00DF3CDE">
        <w:rPr>
          <w:rFonts w:ascii="Book Antiqua" w:eastAsia="Calibri" w:hAnsi="Book Antiqua" w:cs="Times New Roman"/>
          <w:color w:val="00000A"/>
        </w:rPr>
        <w:t>-43.4%), and platelet count</w:t>
      </w:r>
      <w:r w:rsidR="00DF3CDE">
        <w:rPr>
          <w:rFonts w:ascii="Book Antiqua" w:eastAsiaTheme="minorEastAsia" w:hAnsi="Book Antiqua" w:cs="Times New Roman" w:hint="eastAsia"/>
          <w:color w:val="00000A"/>
        </w:rPr>
        <w:t xml:space="preserve"> </w:t>
      </w:r>
      <w:r w:rsidR="00DF3CDE">
        <w:rPr>
          <w:rFonts w:ascii="Book Antiqua" w:eastAsia="Calibri" w:hAnsi="Book Antiqua" w:cs="Times New Roman"/>
          <w:color w:val="00000A"/>
        </w:rPr>
        <w:t>=</w:t>
      </w:r>
      <w:r w:rsidR="00DF3CDE">
        <w:rPr>
          <w:rFonts w:ascii="Book Antiqua" w:eastAsiaTheme="minorEastAsia" w:hAnsi="Book Antiqua" w:cs="Times New Roman" w:hint="eastAsia"/>
          <w:color w:val="00000A"/>
        </w:rPr>
        <w:t xml:space="preserve"> </w:t>
      </w:r>
      <w:r w:rsidR="00DF3CDE">
        <w:rPr>
          <w:rFonts w:ascii="Book Antiqua" w:eastAsia="Calibri" w:hAnsi="Book Antiqua" w:cs="Times New Roman"/>
          <w:color w:val="00000A"/>
        </w:rPr>
        <w:lastRenderedPageBreak/>
        <w:t>90</w:t>
      </w:r>
      <w:r w:rsidRPr="00C42E20">
        <w:rPr>
          <w:rFonts w:ascii="Book Antiqua" w:eastAsia="Calibri" w:hAnsi="Book Antiqua" w:cs="Times New Roman"/>
          <w:color w:val="00000A"/>
        </w:rPr>
        <w:t>000/mm</w:t>
      </w:r>
      <w:r w:rsidRPr="00C42E20">
        <w:rPr>
          <w:rFonts w:ascii="Book Antiqua" w:eastAsia="Calibri" w:hAnsi="Book Antiqua" w:cs="Times New Roman"/>
          <w:color w:val="00000A"/>
          <w:vertAlign w:val="superscript"/>
        </w:rPr>
        <w:t>3</w:t>
      </w:r>
      <w:r w:rsidR="00DF3CDE">
        <w:rPr>
          <w:rFonts w:ascii="Book Antiqua" w:eastAsia="Calibri" w:hAnsi="Book Antiqua" w:cs="Times New Roman"/>
          <w:color w:val="00000A"/>
        </w:rPr>
        <w:t xml:space="preserve"> (normal 150000-400</w:t>
      </w:r>
      <w:r w:rsidRPr="00C42E20">
        <w:rPr>
          <w:rFonts w:ascii="Book Antiqua" w:eastAsia="Calibri" w:hAnsi="Book Antiqua" w:cs="Times New Roman"/>
          <w:color w:val="00000A"/>
        </w:rPr>
        <w:t>000/mm</w:t>
      </w:r>
      <w:r w:rsidRPr="00C42E20">
        <w:rPr>
          <w:rFonts w:ascii="Book Antiqua" w:eastAsia="Calibri" w:hAnsi="Book Antiqua" w:cs="Times New Roman"/>
          <w:color w:val="00000A"/>
          <w:vertAlign w:val="superscript"/>
        </w:rPr>
        <w:t>3</w:t>
      </w:r>
      <w:r w:rsidRPr="00C42E20">
        <w:rPr>
          <w:rFonts w:ascii="Book Antiqua" w:eastAsia="Calibri" w:hAnsi="Book Antiqua" w:cs="Times New Roman"/>
          <w:color w:val="00000A"/>
        </w:rPr>
        <w:t>).</w:t>
      </w:r>
      <w:r>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Abdominal ultrasound was unrevealing. Abdomino-pelvic </w:t>
      </w:r>
      <w:r w:rsidR="00322ADB" w:rsidRPr="00322ADB">
        <w:rPr>
          <w:rFonts w:ascii="Book Antiqua" w:eastAsia="Calibri" w:hAnsi="Book Antiqua" w:cs="Times New Roman"/>
          <w:color w:val="00000A"/>
        </w:rPr>
        <w:t>computed tomography</w:t>
      </w:r>
      <w:r w:rsidR="00322ADB">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CT</w:t>
      </w:r>
      <w:r w:rsidR="00322ADB">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 showed a mildly enlarged appendix without an appendicolith or periappendiceal inflammation, findings possibly consistent with early appendicitis. The patient was rehydrated with normal saline and administered IV antibiotic therapy with amoxicillin, gentamicin and metronidazole, but developed increasing RLQ abdominal pain and several episodes of vomiting during the ensuing 24 h.</w:t>
      </w:r>
      <w:r>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Repeat abdomino-pelvic CT scan revealed a dilated appendiceal lumen, thickened appendiceal wall, and periappendiceal fat stranding, findings consistent with appendicitis </w:t>
      </w:r>
      <w:r w:rsidR="00DF3CDE">
        <w:rPr>
          <w:rFonts w:ascii="Book Antiqua" w:eastAsiaTheme="minorEastAsia" w:hAnsi="Book Antiqua" w:cs="Times New Roman" w:hint="eastAsia"/>
          <w:color w:val="00000A"/>
        </w:rPr>
        <w:t>(</w:t>
      </w:r>
      <w:r w:rsidR="00DF3CDE">
        <w:rPr>
          <w:rFonts w:ascii="Book Antiqua" w:eastAsia="Calibri" w:hAnsi="Book Antiqua" w:cs="Times New Roman"/>
          <w:color w:val="00000A"/>
        </w:rPr>
        <w:t xml:space="preserve">Figure </w:t>
      </w:r>
      <w:r w:rsidR="00DF3CDE">
        <w:rPr>
          <w:rFonts w:ascii="Book Antiqua" w:eastAsiaTheme="minorEastAsia" w:hAnsi="Book Antiqua" w:cs="Times New Roman" w:hint="eastAsia"/>
          <w:color w:val="00000A"/>
        </w:rPr>
        <w:t>1)</w:t>
      </w:r>
      <w:r w:rsidRPr="00C42E20">
        <w:rPr>
          <w:rFonts w:ascii="Book Antiqua" w:eastAsia="Calibri" w:hAnsi="Book Antiqua" w:cs="Times New Roman"/>
          <w:color w:val="00000A"/>
        </w:rPr>
        <w:t>.</w:t>
      </w:r>
    </w:p>
    <w:p w:rsidR="00C42E20" w:rsidRPr="00C42E20" w:rsidRDefault="00C42E20"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Emergency laparotomy revealed an inflamed, edematous, dusky appendix without appendiceal perforation but with thickened periappendiceal mesentery. The appendix was resected.</w:t>
      </w:r>
      <w:r>
        <w:rPr>
          <w:rFonts w:ascii="Book Antiqua" w:eastAsia="Calibri" w:hAnsi="Book Antiqua" w:cs="Times New Roman"/>
          <w:color w:val="00000A"/>
        </w:rPr>
        <w:t xml:space="preserve"> </w:t>
      </w:r>
      <w:r w:rsidRPr="00C42E20">
        <w:rPr>
          <w:rFonts w:ascii="Book Antiqua" w:eastAsia="Calibri" w:hAnsi="Book Antiqua" w:cs="Times New Roman"/>
          <w:color w:val="00000A"/>
        </w:rPr>
        <w:t>Microscopic examination of hematoxylin and eosin stains of histologic sections of the resected appendix showed an acute necrotizing appendicitis, with scattered questionable fungal hyphal forms.</w:t>
      </w:r>
      <w:r>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Postoperatively, the patient continued to be ill with persistent moderate pyrexia for 12 </w:t>
      </w:r>
      <w:r w:rsidR="00BF1E3D">
        <w:rPr>
          <w:rFonts w:ascii="Book Antiqua" w:eastAsia="Calibri" w:hAnsi="Book Antiqua" w:cs="Times New Roman"/>
          <w:color w:val="00000A"/>
        </w:rPr>
        <w:t>d</w:t>
      </w:r>
      <w:r w:rsidRPr="00C42E20">
        <w:rPr>
          <w:rFonts w:ascii="Book Antiqua" w:eastAsia="Calibri" w:hAnsi="Book Antiqua" w:cs="Times New Roman"/>
          <w:color w:val="00000A"/>
        </w:rPr>
        <w:t>, while receiving IV ampicillin, gentamicin, and metronidazole antibiotic therapy and filgrastim (granulocyte colony stimulating factor).</w:t>
      </w:r>
      <w:r>
        <w:rPr>
          <w:rFonts w:ascii="Book Antiqua" w:eastAsia="Calibri" w:hAnsi="Book Antiqua" w:cs="Times New Roman"/>
          <w:color w:val="00000A"/>
        </w:rPr>
        <w:t xml:space="preserve"> </w:t>
      </w:r>
      <w:r w:rsidRPr="00C42E20">
        <w:rPr>
          <w:rFonts w:ascii="Book Antiqua" w:eastAsia="Calibri" w:hAnsi="Book Antiqua" w:cs="Times New Roman"/>
          <w:color w:val="00000A"/>
        </w:rPr>
        <w:t>Due to this poor clinical response, evident risk factors for fungal appendicitis, and questionable findings of fungal hyphae on a conventional hematologic stain, a Grocott-Gomori methenamine-silver nitrate stain was performed on the resected specimen which revealed numerous fungal hyphae that showed features characteristic of Aspergillus of septation and acutely angled branching, and which was confirmed as Aspergillus by immunohistochemistry (Figure 2A,</w:t>
      </w:r>
      <w:r w:rsidR="00255F51">
        <w:rPr>
          <w:rFonts w:ascii="Book Antiqua" w:eastAsiaTheme="minorEastAsia" w:hAnsi="Book Antiqua" w:cs="Times New Roman" w:hint="eastAsia"/>
          <w:color w:val="00000A"/>
        </w:rPr>
        <w:t xml:space="preserve"> </w:t>
      </w:r>
      <w:r w:rsidRPr="00C42E20">
        <w:rPr>
          <w:rFonts w:ascii="Book Antiqua" w:eastAsia="Calibri" w:hAnsi="Book Antiqua" w:cs="Times New Roman"/>
          <w:color w:val="00000A"/>
        </w:rPr>
        <w:t>B).</w:t>
      </w:r>
      <w:r>
        <w:rPr>
          <w:rFonts w:ascii="Book Antiqua" w:eastAsia="Calibri" w:hAnsi="Book Antiqua" w:cs="Times New Roman"/>
          <w:color w:val="00000A"/>
        </w:rPr>
        <w:t xml:space="preserve"> </w:t>
      </w:r>
      <w:r w:rsidRPr="00C42E20">
        <w:rPr>
          <w:rFonts w:ascii="Book Antiqua" w:eastAsia="Calibri" w:hAnsi="Book Antiqua" w:cs="Times New Roman"/>
          <w:color w:val="00000A"/>
        </w:rPr>
        <w:t>The specific species causing the Aspergillus infection could not be determined in the formalin fixed tissue.</w:t>
      </w:r>
      <w:r>
        <w:rPr>
          <w:rFonts w:ascii="Book Antiqua" w:eastAsia="Calibri" w:hAnsi="Book Antiqua" w:cs="Times New Roman"/>
          <w:color w:val="00000A"/>
        </w:rPr>
        <w:t xml:space="preserve"> </w:t>
      </w:r>
      <w:r w:rsidRPr="00C42E20">
        <w:rPr>
          <w:rFonts w:ascii="Book Antiqua" w:eastAsia="Calibri" w:hAnsi="Book Antiqua" w:cs="Times New Roman"/>
          <w:color w:val="00000A"/>
        </w:rPr>
        <w:t>On day 13 IV amphotericin-B was added to the antibiotic regimen and the patient rapidly improved clinically, with defervescence and gradual recov</w:t>
      </w:r>
      <w:r w:rsidR="00255F51">
        <w:rPr>
          <w:rFonts w:ascii="Book Antiqua" w:eastAsia="Calibri" w:hAnsi="Book Antiqua" w:cs="Times New Roman"/>
          <w:color w:val="00000A"/>
        </w:rPr>
        <w:t>ery of the leukocyte count to 3</w:t>
      </w:r>
      <w:r w:rsidRPr="00C42E20">
        <w:rPr>
          <w:rFonts w:ascii="Book Antiqua" w:eastAsia="Calibri" w:hAnsi="Book Antiqua" w:cs="Times New Roman"/>
          <w:color w:val="00000A"/>
        </w:rPr>
        <w:t>400 cells/mm</w:t>
      </w:r>
      <w:r w:rsidRPr="00C42E20">
        <w:rPr>
          <w:rFonts w:ascii="Book Antiqua" w:eastAsia="Calibri" w:hAnsi="Book Antiqua" w:cs="Times New Roman"/>
          <w:color w:val="00000A"/>
          <w:vertAlign w:val="superscript"/>
        </w:rPr>
        <w:t>3</w:t>
      </w:r>
      <w:r w:rsidRPr="00C42E20">
        <w:rPr>
          <w:rFonts w:ascii="Book Antiqua" w:eastAsia="Calibri" w:hAnsi="Book Antiqua" w:cs="Times New Roman"/>
          <w:color w:val="00000A"/>
        </w:rPr>
        <w:t>.</w:t>
      </w:r>
      <w:r>
        <w:rPr>
          <w:rFonts w:ascii="Book Antiqua" w:eastAsia="Calibri" w:hAnsi="Book Antiqua" w:cs="Times New Roman"/>
          <w:color w:val="00000A"/>
        </w:rPr>
        <w:t xml:space="preserve"> </w:t>
      </w:r>
      <w:r w:rsidRPr="00C42E20">
        <w:rPr>
          <w:rFonts w:ascii="Book Antiqua" w:eastAsia="Calibri" w:hAnsi="Book Antiqua" w:cs="Times New Roman"/>
          <w:color w:val="00000A"/>
        </w:rPr>
        <w:t>He was discharged after 21 d of IV amphotericin therapy to receive oral itraconazole as an outpatient.</w:t>
      </w:r>
      <w:r>
        <w:rPr>
          <w:rFonts w:ascii="Book Antiqua" w:eastAsia="Calibri" w:hAnsi="Book Antiqua" w:cs="Times New Roman"/>
          <w:color w:val="00000A"/>
        </w:rPr>
        <w:t xml:space="preserve"> </w:t>
      </w:r>
      <w:r w:rsidRPr="00C42E20">
        <w:rPr>
          <w:rFonts w:ascii="Book Antiqua" w:eastAsia="Calibri" w:hAnsi="Book Antiqua" w:cs="Times New Roman"/>
          <w:color w:val="00000A"/>
        </w:rPr>
        <w:t>During 8 months of follow up, the patient had 2 relapses of AML, but no evident Aspergillus recurrence, while continuing oral antifungal prophylaxis with itraconazole.</w:t>
      </w:r>
    </w:p>
    <w:p w:rsidR="00C42E20" w:rsidRPr="00255F51" w:rsidRDefault="00C42E20" w:rsidP="009C3795">
      <w:pPr>
        <w:adjustRightInd w:val="0"/>
        <w:snapToGrid w:val="0"/>
        <w:spacing w:line="360" w:lineRule="auto"/>
        <w:jc w:val="both"/>
        <w:rPr>
          <w:rFonts w:ascii="Book Antiqua" w:hAnsi="Book Antiqua" w:cs="Times New Roman"/>
          <w:b/>
          <w:caps/>
        </w:rPr>
      </w:pPr>
    </w:p>
    <w:p w:rsidR="00C42E20" w:rsidRPr="00255F51" w:rsidRDefault="00FE1645" w:rsidP="009C3795">
      <w:pPr>
        <w:adjustRightInd w:val="0"/>
        <w:snapToGrid w:val="0"/>
        <w:spacing w:line="360" w:lineRule="auto"/>
        <w:jc w:val="both"/>
        <w:rPr>
          <w:rFonts w:ascii="Book Antiqua" w:hAnsi="Book Antiqua" w:cs="Times New Roman"/>
          <w:b/>
          <w:caps/>
        </w:rPr>
      </w:pPr>
      <w:r w:rsidRPr="00255F51">
        <w:rPr>
          <w:rFonts w:ascii="Book Antiqua" w:hAnsi="Book Antiqua" w:cs="Times New Roman"/>
          <w:b/>
          <w:caps/>
        </w:rPr>
        <w:t>Discussion</w:t>
      </w:r>
    </w:p>
    <w:p w:rsidR="00FE1645" w:rsidRPr="00C42E20" w:rsidRDefault="00FE1645" w:rsidP="009C3795">
      <w:pPr>
        <w:adjustRightInd w:val="0"/>
        <w:snapToGrid w:val="0"/>
        <w:spacing w:line="360" w:lineRule="auto"/>
        <w:jc w:val="both"/>
        <w:rPr>
          <w:rFonts w:ascii="Book Antiqua" w:eastAsia="Calibri" w:hAnsi="Book Antiqua" w:cs="Times New Roman"/>
          <w:color w:val="00000A"/>
        </w:rPr>
      </w:pPr>
      <w:r w:rsidRPr="00C42E20">
        <w:rPr>
          <w:rFonts w:ascii="Book Antiqua" w:eastAsia="Calibri" w:hAnsi="Book Antiqua" w:cs="Times New Roman"/>
          <w:color w:val="00000A"/>
        </w:rPr>
        <w:t xml:space="preserve">Aspergillus, a widespread fungus in the environment, usually enters the human body by </w:t>
      </w:r>
      <w:r w:rsidRPr="00C42E20">
        <w:rPr>
          <w:rFonts w:ascii="Book Antiqua" w:eastAsia="Calibri" w:hAnsi="Book Antiqua" w:cs="Times New Roman"/>
          <w:color w:val="00000A"/>
        </w:rPr>
        <w:lastRenderedPageBreak/>
        <w:t>airborne transmission and colonizes the nasal cavities or facial sinuses. Invasive pulmonary aspergillosis accounts for 90%-98% of invasive Aspergillus infections, but hematogenous spread may cause disseminated infection</w:t>
      </w:r>
      <w:r w:rsidR="00255F51" w:rsidRPr="00C42E20">
        <w:rPr>
          <w:rFonts w:ascii="Book Antiqua" w:eastAsia="Calibri" w:hAnsi="Book Antiqua" w:cs="Times New Roman"/>
          <w:color w:val="00000A"/>
          <w:vertAlign w:val="superscript"/>
        </w:rPr>
        <w:t>[8-12]</w:t>
      </w:r>
      <w:r w:rsidR="00C70B21"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or rarely isolated infections of other organs, including central nervous system, heart, liver, kidneys, and gastrointestinal (GI) tract</w:t>
      </w:r>
      <w:r w:rsidR="00255F51" w:rsidRPr="00C42E20">
        <w:rPr>
          <w:rFonts w:ascii="Book Antiqua" w:eastAsia="Calibri" w:hAnsi="Book Antiqua" w:cs="Times New Roman"/>
          <w:color w:val="00000A"/>
          <w:vertAlign w:val="superscript"/>
        </w:rPr>
        <w:t>[13-17]</w:t>
      </w:r>
      <w:r w:rsidR="00C70B21" w:rsidRPr="00C42E20">
        <w:rPr>
          <w:rFonts w:ascii="Book Antiqua" w:eastAsia="Calibri" w:hAnsi="Book Antiqua" w:cs="Times New Roman"/>
          <w:color w:val="00000A"/>
        </w:rPr>
        <w:t xml:space="preserve">. </w:t>
      </w:r>
      <w:r w:rsidRPr="00C42E20">
        <w:rPr>
          <w:rFonts w:ascii="Book Antiqua" w:eastAsia="Calibri" w:hAnsi="Book Antiqua" w:cs="Times New Roman"/>
          <w:color w:val="00000A"/>
        </w:rPr>
        <w:t>Based on a l</w:t>
      </w:r>
      <w:r w:rsidR="00255F51">
        <w:rPr>
          <w:rFonts w:ascii="Book Antiqua" w:eastAsia="Calibri" w:hAnsi="Book Antiqua" w:cs="Times New Roman"/>
          <w:color w:val="00000A"/>
        </w:rPr>
        <w:t>iterature review of more than 3</w:t>
      </w:r>
      <w:r w:rsidRPr="00C42E20">
        <w:rPr>
          <w:rFonts w:ascii="Book Antiqua" w:eastAsia="Calibri" w:hAnsi="Book Antiqua" w:cs="Times New Roman"/>
          <w:color w:val="00000A"/>
        </w:rPr>
        <w:t>000 cases of Aspergillus infection, Denning et al. hypothesized that isolated GI aspergillosis generally arises from ingestion of food contaminated with Aspergillus, and colonization by Aspergillus of GI ulcers which can arise from antecedent chemotherapy</w:t>
      </w:r>
      <w:r w:rsidR="00703458" w:rsidRPr="00C42E20">
        <w:rPr>
          <w:rFonts w:ascii="Book Antiqua" w:eastAsia="Calibri" w:hAnsi="Book Antiqua" w:cs="Times New Roman"/>
          <w:color w:val="00000A"/>
          <w:vertAlign w:val="superscript"/>
        </w:rPr>
        <w:t>[10,18]</w:t>
      </w:r>
      <w:r w:rsidR="00C70B21" w:rsidRPr="00C42E20">
        <w:rPr>
          <w:rFonts w:ascii="Book Antiqua" w:eastAsia="Calibri" w:hAnsi="Book Antiqua" w:cs="Times New Roman"/>
          <w:color w:val="00000A"/>
        </w:rPr>
        <w:t>.</w:t>
      </w:r>
    </w:p>
    <w:p w:rsidR="00FE1645" w:rsidRPr="00703458" w:rsidRDefault="00FE1645" w:rsidP="009C3795">
      <w:pPr>
        <w:pStyle w:val="Standard"/>
        <w:adjustRightInd w:val="0"/>
        <w:snapToGrid w:val="0"/>
        <w:spacing w:line="360" w:lineRule="auto"/>
        <w:ind w:firstLine="709"/>
        <w:jc w:val="both"/>
        <w:rPr>
          <w:rFonts w:ascii="Book Antiqua" w:hAnsi="Book Antiqua"/>
        </w:rPr>
      </w:pPr>
      <w:r w:rsidRPr="00703458">
        <w:rPr>
          <w:rFonts w:ascii="Book Antiqua" w:eastAsia="Calibri" w:hAnsi="Book Antiqua" w:cs="Times New Roman"/>
          <w:color w:val="00000A"/>
        </w:rPr>
        <w:t>Aspergillus fumigatus is the most frequent species that causes human infections, followed by A. flavus, A. terreus, A. niger, and A. nidulans</w:t>
      </w:r>
      <w:r w:rsidR="00703458" w:rsidRPr="00703458">
        <w:rPr>
          <w:rFonts w:ascii="Book Antiqua" w:eastAsia="Calibri" w:hAnsi="Book Antiqua" w:cs="Times New Roman"/>
          <w:color w:val="00000A"/>
          <w:vertAlign w:val="superscript"/>
        </w:rPr>
        <w:t>[19]</w:t>
      </w:r>
      <w:r w:rsidR="00C70B21" w:rsidRPr="00703458">
        <w:rPr>
          <w:rFonts w:ascii="Book Antiqua" w:eastAsia="Calibri" w:hAnsi="Book Antiqua" w:cs="Times New Roman"/>
          <w:color w:val="00000A"/>
        </w:rPr>
        <w:t>.</w:t>
      </w:r>
      <w:r w:rsidR="00C42E20" w:rsidRPr="00703458">
        <w:rPr>
          <w:rFonts w:ascii="Book Antiqua" w:eastAsia="Calibri" w:hAnsi="Book Antiqua" w:cs="Times New Roman"/>
          <w:color w:val="00000A"/>
        </w:rPr>
        <w:t xml:space="preserve"> </w:t>
      </w:r>
      <w:r w:rsidRPr="00703458">
        <w:rPr>
          <w:rFonts w:ascii="Book Antiqua" w:eastAsia="Calibri" w:hAnsi="Book Antiqua" w:cs="Times New Roman"/>
          <w:color w:val="00000A"/>
        </w:rPr>
        <w:t xml:space="preserve">The risk of pulmonary infection and hematogenous spread greatly increases with immunosuppression, including </w:t>
      </w:r>
      <w:r w:rsidRPr="00703458">
        <w:rPr>
          <w:rFonts w:ascii="Book Antiqua" w:hAnsi="Book Antiqua" w:cs="Times New Roman"/>
        </w:rPr>
        <w:t>profound neutropenia, glucocorticoid therapy, and neutrophilic or phagocytic dysfunction from acute leukemia</w:t>
      </w:r>
      <w:r w:rsidR="00703458" w:rsidRPr="00703458">
        <w:rPr>
          <w:rFonts w:ascii="Book Antiqua" w:hAnsi="Book Antiqua" w:cs="Times New Roman"/>
          <w:vertAlign w:val="superscript"/>
        </w:rPr>
        <w:t>[20,21]</w:t>
      </w:r>
      <w:r w:rsidR="00C70B21" w:rsidRPr="00703458">
        <w:rPr>
          <w:rFonts w:ascii="Book Antiqua" w:hAnsi="Book Antiqua" w:cs="Times New Roman"/>
        </w:rPr>
        <w:t>,</w:t>
      </w:r>
      <w:r w:rsidRPr="00703458">
        <w:rPr>
          <w:rFonts w:ascii="Book Antiqua" w:hAnsi="Book Antiqua" w:cs="Times New Roman"/>
        </w:rPr>
        <w:t xml:space="preserve"> chronic granulomatous disease, and advanced human immunodeficiency virus infection</w:t>
      </w:r>
      <w:r w:rsidR="00703458" w:rsidRPr="00703458">
        <w:rPr>
          <w:rFonts w:ascii="Book Antiqua" w:hAnsi="Book Antiqua" w:cs="Times New Roman"/>
          <w:vertAlign w:val="superscript"/>
        </w:rPr>
        <w:t>[7,22-24]</w:t>
      </w:r>
      <w:r w:rsidR="00C70B21" w:rsidRPr="00703458">
        <w:rPr>
          <w:rFonts w:ascii="Book Antiqua" w:hAnsi="Book Antiqua" w:cs="Times New Roman"/>
        </w:rPr>
        <w:t>.</w:t>
      </w:r>
      <w:r w:rsidR="00C42E20" w:rsidRPr="00703458">
        <w:rPr>
          <w:rFonts w:ascii="Book Antiqua" w:hAnsi="Book Antiqua" w:cs="Times New Roman"/>
        </w:rPr>
        <w:t xml:space="preserve"> </w:t>
      </w:r>
    </w:p>
    <w:p w:rsidR="00FE1645" w:rsidRPr="00C42E20" w:rsidRDefault="00FE1645" w:rsidP="009C3795">
      <w:pPr>
        <w:pStyle w:val="Standard"/>
        <w:adjustRightInd w:val="0"/>
        <w:snapToGrid w:val="0"/>
        <w:spacing w:line="360" w:lineRule="auto"/>
        <w:ind w:firstLine="709"/>
        <w:jc w:val="both"/>
        <w:rPr>
          <w:rFonts w:ascii="Book Antiqua" w:eastAsia="Times" w:hAnsi="Book Antiqua" w:cs="Times New Roman"/>
        </w:rPr>
      </w:pPr>
      <w:r w:rsidRPr="00C42E20">
        <w:rPr>
          <w:rFonts w:ascii="Book Antiqua" w:eastAsia="Calibri" w:hAnsi="Book Antiqua" w:cs="Times New Roman"/>
          <w:color w:val="00000A"/>
        </w:rPr>
        <w:t>GI aspergillosis is rare</w:t>
      </w:r>
      <w:r w:rsidR="00703458" w:rsidRPr="00C42E20">
        <w:rPr>
          <w:rFonts w:ascii="Book Antiqua" w:eastAsia="Calibri" w:hAnsi="Book Antiqua" w:cs="Times New Roman"/>
          <w:color w:val="00000A"/>
          <w:vertAlign w:val="superscript"/>
        </w:rPr>
        <w:t>[7,22,25]</w:t>
      </w:r>
      <w:r w:rsidR="00C70B21"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isolated GI aspergillosis is even rarer, and isolated Aspergillus appendicitis is exceedingly rare. For example, in a review of 1,538 patients with aspergillosis, only 85 (5.5%) had GI aspergillosis, and only 14 (0.8%) patients had isolated GI aspergillosis</w:t>
      </w:r>
      <w:r w:rsidR="00703458" w:rsidRPr="00C42E20">
        <w:rPr>
          <w:rFonts w:ascii="Book Antiqua" w:eastAsia="Calibri" w:hAnsi="Book Antiqua" w:cs="Times New Roman"/>
          <w:color w:val="00000A"/>
          <w:vertAlign w:val="superscript"/>
        </w:rPr>
        <w:t>[7]</w:t>
      </w:r>
      <w:r w:rsidR="00C70B21" w:rsidRPr="00C42E20">
        <w:rPr>
          <w:rFonts w:ascii="Book Antiqua" w:eastAsia="Calibri" w:hAnsi="Book Antiqua" w:cs="Times New Roman"/>
          <w:color w:val="00000A"/>
        </w:rPr>
        <w:t>.</w:t>
      </w:r>
      <w:r w:rsidR="00703458" w:rsidRPr="00703458">
        <w:rPr>
          <w:rFonts w:ascii="Book Antiqua" w:eastAsia="Calibri" w:hAnsi="Book Antiqua" w:cs="Times New Roman"/>
          <w:color w:val="00000A"/>
          <w:vertAlign w:val="superscript"/>
        </w:rPr>
        <w:t xml:space="preserve"> </w:t>
      </w:r>
      <w:r w:rsidRPr="00C42E20">
        <w:rPr>
          <w:rFonts w:ascii="Book Antiqua" w:eastAsia="Calibri" w:hAnsi="Book Antiqua" w:cs="Times New Roman"/>
          <w:color w:val="00000A"/>
        </w:rPr>
        <w:t>The currently reported case o</w:t>
      </w:r>
      <w:r w:rsidRPr="00C42E20">
        <w:rPr>
          <w:rFonts w:ascii="Book Antiqua" w:hAnsi="Book Antiqua" w:cs="Times New Roman"/>
        </w:rPr>
        <w:t xml:space="preserve">f isolated appendiceal aspergillosis represents </w:t>
      </w:r>
      <w:r w:rsidRPr="00C42E20">
        <w:rPr>
          <w:rFonts w:ascii="Book Antiqua" w:eastAsia="Times" w:hAnsi="Book Antiqua" w:cs="Times New Roman"/>
        </w:rPr>
        <w:t xml:space="preserve">only the fourth reported case in the English literature </w:t>
      </w:r>
      <w:r w:rsidR="00703458">
        <w:rPr>
          <w:rFonts w:ascii="Book Antiqua" w:eastAsiaTheme="minorEastAsia" w:hAnsi="Book Antiqua" w:cs="Times New Roman" w:hint="eastAsia"/>
        </w:rPr>
        <w:t>(</w:t>
      </w:r>
      <w:r w:rsidRPr="00C42E20">
        <w:rPr>
          <w:rFonts w:ascii="Book Antiqua" w:eastAsia="Times" w:hAnsi="Book Antiqua" w:cs="Times New Roman"/>
        </w:rPr>
        <w:t xml:space="preserve">Table </w:t>
      </w:r>
      <w:r w:rsidR="00703458">
        <w:rPr>
          <w:rFonts w:ascii="Book Antiqua" w:eastAsiaTheme="minorEastAsia" w:hAnsi="Book Antiqua" w:cs="Times New Roman" w:hint="eastAsia"/>
        </w:rPr>
        <w:t>1)</w:t>
      </w:r>
      <w:r w:rsidRPr="00C42E20">
        <w:rPr>
          <w:rFonts w:ascii="Book Antiqua" w:eastAsia="Times" w:hAnsi="Book Antiqua" w:cs="Times New Roman"/>
        </w:rPr>
        <w:t>. A fifth case published in German in 1959</w:t>
      </w:r>
      <w:r w:rsidRPr="00C42E20">
        <w:rPr>
          <w:rFonts w:ascii="Book Antiqua" w:eastAsia="Times" w:hAnsi="Book Antiqua" w:cs="Times New Roman"/>
          <w:vertAlign w:val="superscript"/>
        </w:rPr>
        <w:t>[6]</w:t>
      </w:r>
      <w:r w:rsidRPr="00C42E20">
        <w:rPr>
          <w:rFonts w:ascii="Book Antiqua" w:eastAsia="Times" w:hAnsi="Book Antiqua" w:cs="Times New Roman"/>
        </w:rPr>
        <w:t xml:space="preserve"> is detailed in Table </w:t>
      </w:r>
      <w:r w:rsidR="00875C30">
        <w:rPr>
          <w:rFonts w:ascii="Book Antiqua" w:eastAsiaTheme="minorEastAsia" w:hAnsi="Book Antiqua" w:cs="Times New Roman" w:hint="eastAsia"/>
        </w:rPr>
        <w:t>1</w:t>
      </w:r>
      <w:r w:rsidRPr="00C42E20">
        <w:rPr>
          <w:rFonts w:ascii="Book Antiqua" w:eastAsia="Times" w:hAnsi="Book Antiqua" w:cs="Times New Roman"/>
        </w:rPr>
        <w:t>, but not presently analyzed because (1) it was published before the advent of modern laboratory and imaging tests for appendicitis, such as abdominal ultrasound or CT</w:t>
      </w:r>
      <w:r w:rsidR="00703458">
        <w:rPr>
          <w:rFonts w:ascii="Book Antiqua" w:eastAsiaTheme="minorEastAsia" w:hAnsi="Book Antiqua" w:cs="Times New Roman" w:hint="eastAsia"/>
        </w:rPr>
        <w:t>;</w:t>
      </w:r>
      <w:r w:rsidRPr="00C42E20">
        <w:rPr>
          <w:rFonts w:ascii="Book Antiqua" w:eastAsia="Times" w:hAnsi="Book Antiqua" w:cs="Times New Roman"/>
        </w:rPr>
        <w:t xml:space="preserve"> and (2) the case report lacked critical clinical details, such as microscopic findings, due to brevity of the report.</w:t>
      </w:r>
    </w:p>
    <w:p w:rsidR="00FE1645" w:rsidRPr="00C42E20" w:rsidRDefault="00FE1645"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 xml:space="preserve">All four analyzed cases, including the current case, presented with a distinct syndrome of clinically-suspected appendicitis, acute leukemia </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either AML or acute lymphocytic leukemia </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ALL)</w:t>
      </w:r>
      <w:r w:rsidR="00703458"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recently administered chemotherapy, and neutropenia </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Table </w:t>
      </w:r>
      <w:r w:rsidR="00703458">
        <w:rPr>
          <w:rFonts w:ascii="Book Antiqua" w:eastAsiaTheme="minorEastAsia" w:hAnsi="Book Antiqua" w:cs="Times New Roman" w:hint="eastAsia"/>
          <w:color w:val="00000A"/>
        </w:rPr>
        <w:t>1)</w:t>
      </w:r>
      <w:r w:rsidR="00703458" w:rsidRPr="00C42E20">
        <w:rPr>
          <w:rFonts w:ascii="Book Antiqua" w:eastAsia="Calibri" w:hAnsi="Book Antiqua" w:cs="Times New Roman"/>
          <w:color w:val="00000A"/>
          <w:vertAlign w:val="superscript"/>
        </w:rPr>
        <w:t>[1-3]</w:t>
      </w:r>
      <w:r w:rsidR="00C70B21"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and three of the patients, including the current case, initially did poorly when receiving antibacterial therapy without anti-Aspergillus therapy</w:t>
      </w:r>
      <w:r w:rsidR="00703458" w:rsidRPr="00C42E20">
        <w:rPr>
          <w:rFonts w:ascii="Book Antiqua" w:eastAsia="Calibri" w:hAnsi="Book Antiqua" w:cs="Times New Roman"/>
          <w:color w:val="00000A"/>
          <w:vertAlign w:val="superscript"/>
        </w:rPr>
        <w:t>[1,2]</w:t>
      </w:r>
      <w:r w:rsidR="00C70B21" w:rsidRPr="00C42E20">
        <w:rPr>
          <w:rFonts w:ascii="Book Antiqua" w:eastAsia="Calibri" w:hAnsi="Book Antiqua" w:cs="Times New Roman"/>
          <w:color w:val="00000A"/>
        </w:rPr>
        <w:t>.</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The fourth case received anti-Aspergillus therapy promptly without delay.</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Four other cases of appendiceal aspergillosis were reported with other GI involvement, but without clinically apparent extraintestinal </w:t>
      </w:r>
      <w:r w:rsidRPr="00C42E20">
        <w:rPr>
          <w:rFonts w:ascii="Book Antiqua" w:eastAsia="Calibri" w:hAnsi="Book Antiqua" w:cs="Times New Roman"/>
          <w:color w:val="00000A"/>
        </w:rPr>
        <w:lastRenderedPageBreak/>
        <w:t xml:space="preserve">spread (Table </w:t>
      </w:r>
      <w:r w:rsidR="00703458">
        <w:rPr>
          <w:rFonts w:ascii="Book Antiqua" w:eastAsiaTheme="minorEastAsia" w:hAnsi="Book Antiqua" w:cs="Times New Roman" w:hint="eastAsia"/>
          <w:color w:val="00000A"/>
        </w:rPr>
        <w:t>2</w:t>
      </w:r>
      <w:r w:rsidR="00C70B21" w:rsidRPr="00C42E20">
        <w:rPr>
          <w:rFonts w:ascii="Book Antiqua" w:eastAsia="Calibri" w:hAnsi="Book Antiqua" w:cs="Times New Roman"/>
          <w:color w:val="00000A"/>
        </w:rPr>
        <w:t>)</w:t>
      </w:r>
      <w:r w:rsidR="00703458" w:rsidRPr="00C42E20">
        <w:rPr>
          <w:rFonts w:ascii="Book Antiqua" w:eastAsia="Calibri" w:hAnsi="Book Antiqua" w:cs="Times New Roman"/>
          <w:color w:val="00000A"/>
          <w:vertAlign w:val="superscript"/>
        </w:rPr>
        <w:t>[26-29]</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of which one had disseminated aspergillosis demonstrated by autopsy</w:t>
      </w:r>
      <w:r w:rsidR="00703458" w:rsidRPr="00C42E20">
        <w:rPr>
          <w:rFonts w:ascii="Book Antiqua" w:eastAsia="Calibri" w:hAnsi="Book Antiqua" w:cs="Times New Roman"/>
          <w:color w:val="00000A"/>
          <w:vertAlign w:val="superscript"/>
        </w:rPr>
        <w:t>[29]</w:t>
      </w:r>
      <w:r w:rsidR="00970522" w:rsidRPr="00C42E20">
        <w:rPr>
          <w:rFonts w:ascii="Book Antiqua" w:eastAsia="Calibri" w:hAnsi="Book Antiqua" w:cs="Times New Roman"/>
          <w:color w:val="00000A"/>
        </w:rPr>
        <w:t>.</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All four of these cases, like the four cases of isolated Aspergillus appendicitis, had underlying AML or ALL, neutropenia, and recent chemotherapy.</w:t>
      </w:r>
    </w:p>
    <w:p w:rsidR="00FE1645" w:rsidRPr="00C42E20" w:rsidRDefault="00FE1645"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 xml:space="preserve">To promote early diagnosis and appropriate treatment, a </w:t>
      </w:r>
      <w:r w:rsidR="002C4F0E" w:rsidRPr="00C42E20">
        <w:rPr>
          <w:rFonts w:ascii="Book Antiqua" w:eastAsia="Calibri" w:hAnsi="Book Antiqua" w:cs="Times New Roman"/>
          <w:color w:val="00000A"/>
        </w:rPr>
        <w:t>clinical</w:t>
      </w:r>
      <w:r w:rsidRPr="00C42E20">
        <w:rPr>
          <w:rFonts w:ascii="Book Antiqua" w:eastAsia="Calibri" w:hAnsi="Book Antiqua" w:cs="Times New Roman"/>
          <w:color w:val="00000A"/>
        </w:rPr>
        <w:t xml:space="preserve"> pentad is proposed for suspected Aspergillus appendicitis of: (1) clinically-suspected appendicitis</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 (2) neutropenia</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 (3) recent chemotherapy</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 (4) underlying acute leukemia</w:t>
      </w:r>
      <w:r w:rsidR="00703458">
        <w:rPr>
          <w:rFonts w:ascii="Book Antiqua" w:eastAsiaTheme="minorEastAsia" w:hAnsi="Book Antiqua" w:cs="Times New Roman" w:hint="eastAsia"/>
          <w:color w:val="00000A"/>
        </w:rPr>
        <w:t>;</w:t>
      </w:r>
      <w:r w:rsidRPr="00C42E20">
        <w:rPr>
          <w:rFonts w:ascii="Book Antiqua" w:eastAsia="Calibri" w:hAnsi="Book Antiqua" w:cs="Times New Roman"/>
          <w:color w:val="00000A"/>
        </w:rPr>
        <w:t xml:space="preserve"> and (5) poor response if administered antibacterial antibiotics or anti-Candidial therapy without anti-Aspergillus therapy.</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The hypothesized pathophysiology of the proposed syndromic pentad is Aspergillus, presumably ingested in contaminated food (1) colonizes GI ulcers or areas of mucositis induced by chemotherapy.</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Mucosal ulcers commonly occurs after chemotherapy with daunorubicine, which was administered in 3 of the 4 reported cases</w:t>
      </w:r>
      <w:r w:rsidR="00703458">
        <w:rPr>
          <w:rFonts w:ascii="Book Antiqua" w:eastAsia="Calibri" w:hAnsi="Book Antiqua" w:cs="Times New Roman"/>
          <w:color w:val="00000A"/>
          <w:vertAlign w:val="superscript"/>
        </w:rPr>
        <w:t>[2,3,</w:t>
      </w:r>
      <w:r w:rsidR="00703458" w:rsidRPr="00C42E20">
        <w:rPr>
          <w:rFonts w:ascii="Book Antiqua" w:eastAsia="Calibri" w:hAnsi="Book Antiqua" w:cs="Times New Roman"/>
          <w:color w:val="00000A"/>
          <w:vertAlign w:val="superscript"/>
        </w:rPr>
        <w:t>current report]</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or after chemotherapy with cytarabine</w:t>
      </w:r>
      <w:r w:rsidR="00703458" w:rsidRPr="00C42E20">
        <w:rPr>
          <w:rFonts w:ascii="Book Antiqua" w:eastAsia="Calibri" w:hAnsi="Book Antiqua" w:cs="Times New Roman"/>
          <w:color w:val="00000A"/>
          <w:vertAlign w:val="superscript"/>
        </w:rPr>
        <w:t>[30]</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which was administered in 2 of the 4 reported cases</w:t>
      </w:r>
      <w:r w:rsidR="00703458">
        <w:rPr>
          <w:rFonts w:ascii="Book Antiqua" w:eastAsia="Calibri" w:hAnsi="Book Antiqua" w:cs="Times New Roman"/>
          <w:color w:val="00000A"/>
          <w:vertAlign w:val="superscript"/>
        </w:rPr>
        <w:t>[3,</w:t>
      </w:r>
      <w:r w:rsidR="00703458" w:rsidRPr="00C42E20">
        <w:rPr>
          <w:rFonts w:ascii="Book Antiqua" w:eastAsia="Calibri" w:hAnsi="Book Antiqua" w:cs="Times New Roman"/>
          <w:color w:val="00000A"/>
          <w:vertAlign w:val="superscript"/>
        </w:rPr>
        <w:t>current report]</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(fourth patient received unspecified chemotherapy</w:t>
      </w:r>
      <w:r w:rsidRPr="00C42E20">
        <w:rPr>
          <w:rFonts w:ascii="Book Antiqua" w:eastAsia="Calibri" w:hAnsi="Book Antiqua" w:cs="Times New Roman"/>
          <w:color w:val="00000A"/>
          <w:vertAlign w:val="superscript"/>
        </w:rPr>
        <w:t>[1]</w:t>
      </w:r>
      <w:r w:rsidRPr="00C42E20">
        <w:rPr>
          <w:rFonts w:ascii="Book Antiqua" w:eastAsia="Calibri" w:hAnsi="Book Antiqua" w:cs="Times New Roman"/>
          <w:color w:val="00000A"/>
        </w:rPr>
        <w:t>).</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Aspergillus then invades the appendiceal wall due to immunosuppression from (2) neutropenia and (3) acute leukemia</w:t>
      </w:r>
      <w:r w:rsidR="00703458" w:rsidRPr="00C42E20">
        <w:rPr>
          <w:rFonts w:ascii="Book Antiqua" w:eastAsia="Calibri" w:hAnsi="Book Antiqua" w:cs="Times New Roman"/>
          <w:color w:val="00000A"/>
          <w:vertAlign w:val="superscript"/>
        </w:rPr>
        <w:t>[31]</w:t>
      </w:r>
      <w:r w:rsidR="00970522" w:rsidRPr="00C42E20">
        <w:rPr>
          <w:rFonts w:ascii="Book Antiqua" w:eastAsia="Calibri" w:hAnsi="Book Antiqua" w:cs="Times New Roman"/>
          <w:color w:val="00000A"/>
        </w:rPr>
        <w:t>.</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The patients, despite immunosuppression, still present clinically (4) with RLQ pain and fever suggestive of appendicitis; and (5) the patients with Aspergillus infection should not respond to conventional antibacterial or anti-Candidial antibiotics.</w:t>
      </w:r>
    </w:p>
    <w:p w:rsidR="00FE1645" w:rsidRPr="00C42E20" w:rsidRDefault="00FE1645"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Patients satisfying this pentad should be: (1) evaluated for Aspergillus by microscopic examination with special stains, such as Grocott-Gomori methenamine silver or periodic acid-Schiff (PAS)-diastase stains, supplemented by immunohistochemistry as necessary because the fungal elements may not be readily visible on routine hematoxylin and eosin stained slides; (2) should have the entire resected appendix submitted for histologic examination if the standardly reviewed one or two representative sections of the appendix lack identifiable fungal structures; and (3) should be considered for empiric anti-Aspergillus therapy if doing poorly on conventional antibiotic therapy pending a tissue diagnosis.</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The importance of early anti-Aspergillus therapy is emphasized by two of the four reported cases </w:t>
      </w:r>
      <w:r w:rsidR="002C4F0E" w:rsidRPr="00C42E20">
        <w:rPr>
          <w:rFonts w:ascii="Book Antiqua" w:eastAsia="Calibri" w:hAnsi="Book Antiqua" w:cs="Times New Roman"/>
          <w:color w:val="00000A"/>
        </w:rPr>
        <w:t xml:space="preserve">of isolated Aspergillus appendicitis </w:t>
      </w:r>
      <w:r w:rsidRPr="00C42E20">
        <w:rPr>
          <w:rFonts w:ascii="Book Antiqua" w:eastAsia="Calibri" w:hAnsi="Book Antiqua" w:cs="Times New Roman"/>
          <w:color w:val="00000A"/>
        </w:rPr>
        <w:t>improving dramatically after instituting anti-Aspergillus therapy and appendectomy.</w:t>
      </w:r>
      <w:r w:rsidR="00C42E20">
        <w:rPr>
          <w:rFonts w:ascii="Book Antiqua" w:eastAsia="Calibri" w:hAnsi="Book Antiqua" w:cs="Times New Roman"/>
          <w:color w:val="00000A"/>
        </w:rPr>
        <w:t xml:space="preserve"> </w:t>
      </w:r>
      <w:r w:rsidR="002C4F0E" w:rsidRPr="00C42E20">
        <w:rPr>
          <w:rFonts w:ascii="Book Antiqua" w:eastAsia="Calibri" w:hAnsi="Book Antiqua" w:cs="Times New Roman"/>
          <w:color w:val="00000A"/>
        </w:rPr>
        <w:t>Of note, the prognosis of isolated Aspergillus appendicitis appears to be better than that of Aspergillus appendicitis combined with Asp</w:t>
      </w:r>
      <w:r w:rsidR="00B75D11" w:rsidRPr="00C42E20">
        <w:rPr>
          <w:rFonts w:ascii="Book Antiqua" w:eastAsia="Calibri" w:hAnsi="Book Antiqua" w:cs="Times New Roman"/>
          <w:color w:val="00000A"/>
        </w:rPr>
        <w:t>e</w:t>
      </w:r>
      <w:r w:rsidR="002C4F0E" w:rsidRPr="00C42E20">
        <w:rPr>
          <w:rFonts w:ascii="Book Antiqua" w:eastAsia="Calibri" w:hAnsi="Book Antiqua" w:cs="Times New Roman"/>
          <w:color w:val="00000A"/>
        </w:rPr>
        <w:t>rgillus enterocolitis.</w:t>
      </w:r>
    </w:p>
    <w:p w:rsidR="007B522A" w:rsidRPr="00C42E20" w:rsidRDefault="007B522A"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 xml:space="preserve">This work illustrates that neutropenia after chemotherapy is an important risk factor </w:t>
      </w:r>
      <w:r w:rsidRPr="00C42E20">
        <w:rPr>
          <w:rFonts w:ascii="Book Antiqua" w:eastAsia="Calibri" w:hAnsi="Book Antiqua" w:cs="Times New Roman"/>
          <w:color w:val="00000A"/>
        </w:rPr>
        <w:lastRenderedPageBreak/>
        <w:t xml:space="preserve">for Aspergillus appendicitis/enterocolitis, and emphasizes the importance of filgrastim therapy to decrease the severity or </w:t>
      </w:r>
      <w:r w:rsidR="00F346B7" w:rsidRPr="00C42E20">
        <w:rPr>
          <w:rFonts w:ascii="Book Antiqua" w:eastAsia="Calibri" w:hAnsi="Book Antiqua" w:cs="Times New Roman"/>
          <w:color w:val="00000A"/>
        </w:rPr>
        <w:t>duration</w:t>
      </w:r>
      <w:r w:rsidRPr="00C42E20">
        <w:rPr>
          <w:rFonts w:ascii="Book Antiqua" w:eastAsia="Calibri" w:hAnsi="Book Antiqua" w:cs="Times New Roman"/>
          <w:color w:val="00000A"/>
        </w:rPr>
        <w:t xml:space="preserve"> of neutropenia after chemotherapy.</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Filgrastim helps prevent febrile neutropenia from Aspergillus or other opportunistic infections in experiments in mice</w:t>
      </w:r>
      <w:r w:rsidR="00322ADB" w:rsidRPr="00C42E20">
        <w:rPr>
          <w:rFonts w:ascii="Book Antiqua" w:eastAsia="Calibri" w:hAnsi="Book Antiqua" w:cs="Times New Roman"/>
          <w:color w:val="00000A"/>
          <w:vertAlign w:val="superscript"/>
        </w:rPr>
        <w:t>[32,33]</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or in clinical </w:t>
      </w:r>
      <w:r w:rsidR="00B45525" w:rsidRPr="00C42E20">
        <w:rPr>
          <w:rFonts w:ascii="Book Antiqua" w:eastAsia="Calibri" w:hAnsi="Book Antiqua" w:cs="Times New Roman"/>
          <w:color w:val="00000A"/>
        </w:rPr>
        <w:t>trials</w:t>
      </w:r>
      <w:r w:rsidR="00322ADB" w:rsidRPr="00C42E20">
        <w:rPr>
          <w:rFonts w:ascii="Book Antiqua" w:eastAsia="Calibri" w:hAnsi="Book Antiqua" w:cs="Times New Roman"/>
          <w:color w:val="00000A"/>
          <w:vertAlign w:val="superscript"/>
        </w:rPr>
        <w:t>[34,35]</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and is likely important in treating Aspergillus appendicitis or enterocolitis </w:t>
      </w:r>
      <w:r w:rsidR="006A5EB9" w:rsidRPr="00C42E20">
        <w:rPr>
          <w:rFonts w:ascii="Book Antiqua" w:eastAsia="Calibri" w:hAnsi="Book Antiqua" w:cs="Times New Roman"/>
          <w:color w:val="00000A"/>
        </w:rPr>
        <w:t xml:space="preserve">occurring in </w:t>
      </w:r>
      <w:r w:rsidRPr="00C42E20">
        <w:rPr>
          <w:rFonts w:ascii="Book Antiqua" w:eastAsia="Calibri" w:hAnsi="Book Antiqua" w:cs="Times New Roman"/>
          <w:color w:val="00000A"/>
        </w:rPr>
        <w:t>the setting of neutropenia.</w:t>
      </w:r>
    </w:p>
    <w:p w:rsidR="0004733F" w:rsidRPr="00C42E20" w:rsidRDefault="00FE1645"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The proposed pentad is subject to criticism.</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First, the data are limited to four cases of isolated Aspergillus appendicitis and four cases of Aspergillus appendicitis with other GI involvement, and therefore require further confirmation.</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However, all four case reports generally satisfied the proposed pentad.</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Second, the reviewed cases may lack clinical details because of their retrospective nature.</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Third, cases obtained from the literature, particularly individual case reports, are subject to reporting bias.</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For example, clinicians might selectively report and journal editors might selectively publish only dramatic cases of poor response to antibacterial therapy and rapid recovery after instituting anti-Aspergillus therapy.</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Fourth, although the proposed syndromic pentad may be highly sensitive for Aspergillus appendicitis, the specificity is unstudied and might only be moderate.</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 xml:space="preserve"> The differential diagnosis in patients satisfying this pentad also includes (bacterial) neutropenic typhlitis, with or without bacterial appendicitis</w:t>
      </w:r>
      <w:r w:rsidR="00322ADB" w:rsidRPr="00C42E20">
        <w:rPr>
          <w:rFonts w:ascii="Book Antiqua" w:eastAsia="Calibri" w:hAnsi="Book Antiqua" w:cs="Times New Roman"/>
          <w:color w:val="00000A"/>
          <w:vertAlign w:val="superscript"/>
        </w:rPr>
        <w:t>[36,37]</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and appendicitis caused by other fungi</w:t>
      </w:r>
      <w:r w:rsidR="00322ADB" w:rsidRPr="00C42E20">
        <w:rPr>
          <w:rFonts w:ascii="Book Antiqua" w:eastAsia="Calibri" w:hAnsi="Book Antiqua" w:cs="Times New Roman"/>
          <w:color w:val="00000A"/>
          <w:vertAlign w:val="superscript"/>
        </w:rPr>
        <w:t>[38]</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including Candida</w:t>
      </w:r>
      <w:r w:rsidR="00322ADB" w:rsidRPr="00C42E20">
        <w:rPr>
          <w:rFonts w:ascii="Book Antiqua" w:eastAsia="Calibri" w:hAnsi="Book Antiqua" w:cs="Times New Roman"/>
          <w:color w:val="00000A"/>
          <w:vertAlign w:val="superscript"/>
        </w:rPr>
        <w:t>[29]</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Mucor</w:t>
      </w:r>
      <w:r w:rsidR="00322ADB" w:rsidRPr="00C42E20">
        <w:rPr>
          <w:rFonts w:ascii="Book Antiqua" w:eastAsia="Calibri" w:hAnsi="Book Antiqua" w:cs="Times New Roman"/>
          <w:color w:val="00000A"/>
          <w:vertAlign w:val="superscript"/>
        </w:rPr>
        <w:t>[39]</w:t>
      </w:r>
      <w:r w:rsidR="00970522" w:rsidRPr="00C42E20">
        <w:rPr>
          <w:rFonts w:ascii="Book Antiqua" w:eastAsia="Calibri" w:hAnsi="Book Antiqua" w:cs="Times New Roman"/>
          <w:color w:val="00000A"/>
        </w:rPr>
        <w:t>,</w:t>
      </w:r>
      <w:r w:rsidRPr="00C42E20">
        <w:rPr>
          <w:rFonts w:ascii="Book Antiqua" w:eastAsia="Calibri" w:hAnsi="Book Antiqua" w:cs="Times New Roman"/>
          <w:color w:val="00000A"/>
        </w:rPr>
        <w:t xml:space="preserve"> and Histoplasma</w:t>
      </w:r>
      <w:r w:rsidR="00322ADB" w:rsidRPr="00C42E20">
        <w:rPr>
          <w:rFonts w:ascii="Book Antiqua" w:eastAsia="Calibri" w:hAnsi="Book Antiqua" w:cs="Times New Roman"/>
          <w:color w:val="00000A"/>
          <w:vertAlign w:val="superscript"/>
        </w:rPr>
        <w:t>[40,41]</w:t>
      </w:r>
      <w:r w:rsidR="00970522" w:rsidRPr="00C42E20">
        <w:rPr>
          <w:rFonts w:ascii="Book Antiqua" w:eastAsia="Calibri" w:hAnsi="Book Antiqua" w:cs="Times New Roman"/>
          <w:color w:val="00000A"/>
        </w:rPr>
        <w:t>.</w:t>
      </w:r>
      <w:r w:rsidR="00C42E20">
        <w:rPr>
          <w:rFonts w:ascii="Book Antiqua" w:eastAsia="Calibri" w:hAnsi="Book Antiqua" w:cs="Times New Roman"/>
          <w:color w:val="00000A"/>
        </w:rPr>
        <w:t xml:space="preserve"> </w:t>
      </w:r>
      <w:r w:rsidRPr="00C42E20">
        <w:rPr>
          <w:rFonts w:ascii="Book Antiqua" w:eastAsia="Calibri" w:hAnsi="Book Antiqua" w:cs="Times New Roman"/>
          <w:color w:val="00000A"/>
        </w:rPr>
        <w:t>Therefore, this pentad should not be viewed as diagnostic, but merely as clinically useful to raise a suspicion of potential Aspergillus appendicitis.</w:t>
      </w:r>
      <w:r w:rsidR="00C42E20">
        <w:rPr>
          <w:rFonts w:ascii="Book Antiqua" w:eastAsia="Calibri" w:hAnsi="Book Antiqua" w:cs="Times New Roman"/>
          <w:color w:val="00000A"/>
        </w:rPr>
        <w:t xml:space="preserve"> </w:t>
      </w:r>
      <w:r w:rsidR="00CB7DF7" w:rsidRPr="00C42E20">
        <w:rPr>
          <w:rFonts w:ascii="Book Antiqua" w:eastAsia="Calibri" w:hAnsi="Book Antiqua" w:cs="Times New Roman"/>
          <w:color w:val="00000A"/>
        </w:rPr>
        <w:t xml:space="preserve">All five criteria appear to be typical for Aspergillus appendicitis, but the first four criteria </w:t>
      </w:r>
      <w:r w:rsidR="00F346B7" w:rsidRPr="00C42E20">
        <w:rPr>
          <w:rFonts w:ascii="Book Antiqua" w:eastAsia="Calibri" w:hAnsi="Book Antiqua" w:cs="Times New Roman"/>
          <w:color w:val="00000A"/>
        </w:rPr>
        <w:t>may also occur with</w:t>
      </w:r>
      <w:r w:rsidR="00CB7DF7" w:rsidRPr="00C42E20">
        <w:rPr>
          <w:rFonts w:ascii="Book Antiqua" w:eastAsia="Calibri" w:hAnsi="Book Antiqua" w:cs="Times New Roman"/>
          <w:color w:val="00000A"/>
        </w:rPr>
        <w:t xml:space="preserve"> (bacterial) neutropenic typhlitis/enterocolitis and only the fifth criterion of poor response to conventional therapy is relatively specific for Aspergillus appendicitis.</w:t>
      </w:r>
    </w:p>
    <w:p w:rsidR="00FE1645" w:rsidRPr="00C42E20" w:rsidRDefault="00FE1645" w:rsidP="009C3795">
      <w:pPr>
        <w:pStyle w:val="Standard"/>
        <w:adjustRightInd w:val="0"/>
        <w:snapToGrid w:val="0"/>
        <w:spacing w:line="360" w:lineRule="auto"/>
        <w:ind w:firstLine="709"/>
        <w:jc w:val="both"/>
        <w:rPr>
          <w:rFonts w:ascii="Book Antiqua" w:eastAsia="Calibri" w:hAnsi="Book Antiqua" w:cs="Times New Roman"/>
          <w:color w:val="00000A"/>
        </w:rPr>
      </w:pPr>
      <w:r w:rsidRPr="00C42E20">
        <w:rPr>
          <w:rFonts w:ascii="Book Antiqua" w:eastAsia="Calibri" w:hAnsi="Book Antiqua" w:cs="Times New Roman"/>
          <w:color w:val="00000A"/>
        </w:rPr>
        <w:t xml:space="preserve">This </w:t>
      </w:r>
      <w:r w:rsidR="0004733F" w:rsidRPr="00C42E20">
        <w:rPr>
          <w:rFonts w:ascii="Book Antiqua" w:eastAsia="Calibri" w:hAnsi="Book Antiqua" w:cs="Times New Roman"/>
          <w:color w:val="00000A"/>
        </w:rPr>
        <w:t xml:space="preserve">clinical </w:t>
      </w:r>
      <w:r w:rsidRPr="00C42E20">
        <w:rPr>
          <w:rFonts w:ascii="Book Antiqua" w:eastAsia="Calibri" w:hAnsi="Book Antiqua" w:cs="Times New Roman"/>
          <w:color w:val="00000A"/>
        </w:rPr>
        <w:t>pentad may become increasingly important clinically because of an increasing incidence of invasive Aspergillus</w:t>
      </w:r>
      <w:r w:rsidR="00322ADB" w:rsidRPr="00C42E20">
        <w:rPr>
          <w:rFonts w:ascii="Book Antiqua" w:eastAsia="Calibri" w:hAnsi="Book Antiqua" w:cs="Times New Roman"/>
          <w:bCs/>
          <w:color w:val="00000A"/>
          <w:vertAlign w:val="superscript"/>
        </w:rPr>
        <w:t>[42]</w:t>
      </w:r>
      <w:r w:rsidR="00970522" w:rsidRPr="00C42E20">
        <w:rPr>
          <w:rFonts w:ascii="Book Antiqua" w:eastAsia="Calibri" w:hAnsi="Book Antiqua" w:cs="Times New Roman"/>
          <w:color w:val="00000A"/>
        </w:rPr>
        <w:t>,</w:t>
      </w:r>
      <w:r w:rsidRPr="00C42E20">
        <w:rPr>
          <w:rFonts w:ascii="Book Antiqua" w:eastAsia="Calibri" w:hAnsi="Book Antiqua" w:cs="Times New Roman"/>
          <w:bCs/>
          <w:color w:val="00000A"/>
        </w:rPr>
        <w:t xml:space="preserve"> and an increasing incidence of </w:t>
      </w:r>
      <w:r w:rsidRPr="00C42E20">
        <w:rPr>
          <w:rFonts w:ascii="Book Antiqua" w:eastAsia="Calibri" w:hAnsi="Book Antiqua" w:cs="Times New Roman"/>
          <w:color w:val="00000A"/>
        </w:rPr>
        <w:t>severe neutropenia from more potent immunosuppressive chemotherapy and more frequent stem cell transplantation</w:t>
      </w:r>
      <w:r w:rsidR="00322ADB" w:rsidRPr="00C42E20">
        <w:rPr>
          <w:rFonts w:ascii="Book Antiqua" w:eastAsia="Calibri" w:hAnsi="Book Antiqua" w:cs="Times New Roman"/>
          <w:color w:val="00000A"/>
          <w:vertAlign w:val="superscript"/>
        </w:rPr>
        <w:t>[14]</w:t>
      </w:r>
      <w:r w:rsidR="00970522" w:rsidRPr="00C42E20">
        <w:rPr>
          <w:rFonts w:ascii="Book Antiqua" w:eastAsia="Calibri" w:hAnsi="Book Antiqua" w:cs="Times New Roman"/>
          <w:color w:val="00000A"/>
        </w:rPr>
        <w:t>.</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It is important to recognize neutropenic patients with invasive Aspergillus because they may fare poorly with solely antibacterial or anti-Candidial therapy (</w:t>
      </w:r>
      <w:r w:rsidR="00322ADB" w:rsidRPr="00322ADB">
        <w:rPr>
          <w:rFonts w:ascii="Book Antiqua" w:eastAsia="Calibri" w:hAnsi="Book Antiqua" w:cs="Times New Roman"/>
          <w:bCs/>
          <w:i/>
          <w:color w:val="00000A"/>
        </w:rPr>
        <w:t>e.g.,</w:t>
      </w:r>
      <w:r w:rsidRPr="00C42E20">
        <w:rPr>
          <w:rFonts w:ascii="Book Antiqua" w:eastAsia="Calibri" w:hAnsi="Book Antiqua" w:cs="Times New Roman"/>
          <w:bCs/>
          <w:color w:val="00000A"/>
        </w:rPr>
        <w:t xml:space="preserve"> fluconazole) without specific anti-Aspergillus therapy (</w:t>
      </w:r>
      <w:r w:rsidR="00322ADB" w:rsidRPr="00322ADB">
        <w:rPr>
          <w:rFonts w:ascii="Book Antiqua" w:eastAsia="Calibri" w:hAnsi="Book Antiqua" w:cs="Times New Roman"/>
          <w:bCs/>
          <w:i/>
          <w:color w:val="00000A"/>
        </w:rPr>
        <w:t>e.g.,</w:t>
      </w:r>
      <w:r w:rsidRPr="00C42E20">
        <w:rPr>
          <w:rFonts w:ascii="Book Antiqua" w:eastAsia="Calibri" w:hAnsi="Book Antiqua" w:cs="Times New Roman"/>
          <w:bCs/>
          <w:color w:val="00000A"/>
        </w:rPr>
        <w:t xml:space="preserve"> voriconazole or amphotericin).</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Addition of another factor to the pentad of p</w:t>
      </w:r>
      <w:r w:rsidRPr="00C42E20">
        <w:rPr>
          <w:rFonts w:ascii="Book Antiqua" w:eastAsia="Calibri" w:hAnsi="Book Antiqua" w:cs="Times New Roman"/>
          <w:color w:val="00000A"/>
        </w:rPr>
        <w:t xml:space="preserve">ersistently positive </w:t>
      </w:r>
      <w:r w:rsidRPr="00C42E20">
        <w:rPr>
          <w:rFonts w:ascii="Book Antiqua" w:eastAsia="Calibri" w:hAnsi="Book Antiqua" w:cs="Times New Roman"/>
          <w:color w:val="00000A"/>
        </w:rPr>
        <w:lastRenderedPageBreak/>
        <w:t>galactomannan antigenemia in patients with suspected appendicitis might be useful diagnostically but is not warranted at this point because of a lack of data in the reported cases of appendiceal aspergillosis</w:t>
      </w:r>
      <w:r w:rsidR="00322ADB" w:rsidRPr="00C42E20">
        <w:rPr>
          <w:rFonts w:ascii="Book Antiqua" w:eastAsia="Calibri" w:hAnsi="Book Antiqua" w:cs="Times New Roman"/>
          <w:color w:val="00000A"/>
          <w:vertAlign w:val="superscript"/>
        </w:rPr>
        <w:t>[43]</w:t>
      </w:r>
      <w:r w:rsidR="00970522" w:rsidRPr="00C42E20">
        <w:rPr>
          <w:rFonts w:ascii="Book Antiqua" w:eastAsia="Calibri" w:hAnsi="Book Antiqua" w:cs="Times New Roman"/>
          <w:color w:val="00000A"/>
        </w:rPr>
        <w:t>.</w:t>
      </w:r>
    </w:p>
    <w:p w:rsidR="00FE1645" w:rsidRDefault="00FE1645" w:rsidP="009C3795">
      <w:pPr>
        <w:suppressAutoHyphens w:val="0"/>
        <w:adjustRightInd w:val="0"/>
        <w:snapToGrid w:val="0"/>
        <w:spacing w:line="360" w:lineRule="auto"/>
        <w:jc w:val="both"/>
        <w:rPr>
          <w:rFonts w:ascii="Book Antiqua" w:eastAsiaTheme="minorEastAsia" w:hAnsi="Book Antiqua" w:cs="Times New Roman"/>
          <w:b/>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
          <w:bCs/>
          <w:caps/>
          <w:color w:val="00000A"/>
        </w:rPr>
      </w:pPr>
      <w:r w:rsidRPr="00322ADB">
        <w:rPr>
          <w:rFonts w:ascii="Book Antiqua" w:eastAsia="Calibri" w:hAnsi="Book Antiqua" w:cs="Times New Roman"/>
          <w:b/>
          <w:bCs/>
          <w:caps/>
          <w:color w:val="00000A"/>
        </w:rPr>
        <w:t>Comments</w:t>
      </w: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Case characteristics</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t>An 8-year-old boy with acute myelogenous leukemia, diagnosed one month earlier, and with profound neutropenia, after receiving two cycles of IV chemotherapy with daunorubicin, cytarabine, thioguanine, etoposide and dexamethasone, presented with low-grade pyrexia and chills for one day.</w:t>
      </w: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Clinical diagnosis</w:t>
      </w:r>
    </w:p>
    <w:p w:rsidR="00322ADB" w:rsidRPr="00C42E20" w:rsidRDefault="00322ADB"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Physical examination revealed temperature</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 xml:space="preserve">36.8 </w:t>
      </w:r>
      <w:r w:rsidRPr="00C42E20">
        <w:rPr>
          <w:rFonts w:ascii="Book Antiqua" w:eastAsia="Calibri" w:hAnsi="Book Antiqua" w:cs="Times New Roman"/>
          <w:bCs/>
          <w:color w:val="00000A"/>
          <w:vertAlign w:val="superscript"/>
        </w:rPr>
        <w:t>0</w:t>
      </w:r>
      <w:r w:rsidRPr="00C42E20">
        <w:rPr>
          <w:rFonts w:ascii="Book Antiqua" w:eastAsia="Calibri" w:hAnsi="Book Antiqua" w:cs="Times New Roman"/>
          <w:bCs/>
          <w:color w:val="00000A"/>
        </w:rPr>
        <w:t>C, pulse</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111 beats/min, blood pressure</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94/63 mmHg. and mild right lower quadrant (RLQ) tenderness without rebound tenderness. The leukocyte count=200 cells/mm</w:t>
      </w:r>
      <w:r w:rsidRPr="00C42E20">
        <w:rPr>
          <w:rFonts w:ascii="Book Antiqua" w:eastAsia="Calibri" w:hAnsi="Book Antiqua" w:cs="Times New Roman"/>
          <w:bCs/>
          <w:color w:val="00000A"/>
          <w:vertAlign w:val="superscript"/>
        </w:rPr>
        <w:t>3</w:t>
      </w:r>
      <w:r>
        <w:rPr>
          <w:rFonts w:ascii="Book Antiqua" w:eastAsia="Calibri" w:hAnsi="Book Antiqua" w:cs="Times New Roman"/>
          <w:bCs/>
          <w:color w:val="00000A"/>
        </w:rPr>
        <w:t xml:space="preserve"> (normal 4800-10</w:t>
      </w:r>
      <w:r w:rsidRPr="00C42E20">
        <w:rPr>
          <w:rFonts w:ascii="Book Antiqua" w:eastAsia="Calibri" w:hAnsi="Book Antiqua" w:cs="Times New Roman"/>
          <w:bCs/>
          <w:color w:val="00000A"/>
        </w:rPr>
        <w:t>100 cells/mm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 neutrophil count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&lt;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100 cells/mm</w:t>
      </w:r>
      <w:r w:rsidRPr="00C42E20">
        <w:rPr>
          <w:rFonts w:ascii="Book Antiqua" w:eastAsia="Calibri" w:hAnsi="Book Antiqua" w:cs="Times New Roman"/>
          <w:bCs/>
          <w:color w:val="00000A"/>
          <w:vertAlign w:val="superscript"/>
        </w:rPr>
        <w:t>3</w:t>
      </w:r>
      <w:r>
        <w:rPr>
          <w:rFonts w:ascii="Book Antiqua" w:eastAsia="Calibri" w:hAnsi="Book Antiqua" w:cs="Times New Roman"/>
          <w:bCs/>
          <w:color w:val="00000A"/>
        </w:rPr>
        <w:t xml:space="preserve"> (normal 1600-7</w:t>
      </w:r>
      <w:r w:rsidRPr="00C42E20">
        <w:rPr>
          <w:rFonts w:ascii="Book Antiqua" w:eastAsia="Calibri" w:hAnsi="Book Antiqua" w:cs="Times New Roman"/>
          <w:bCs/>
          <w:color w:val="00000A"/>
        </w:rPr>
        <w:t>200 cells/mm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 hematocrit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36.3% (normal in male boy, age 6-9 years: 33.6</w:t>
      </w:r>
      <w:r>
        <w:rPr>
          <w:rFonts w:ascii="Book Antiqua" w:eastAsiaTheme="minorEastAsia" w:hAnsi="Book Antiqua" w:cs="Times New Roman" w:hint="eastAsia"/>
          <w:bCs/>
          <w:color w:val="00000A"/>
        </w:rPr>
        <w:t>%</w:t>
      </w:r>
      <w:r>
        <w:rPr>
          <w:rFonts w:ascii="Book Antiqua" w:eastAsia="Calibri" w:hAnsi="Book Antiqua" w:cs="Times New Roman"/>
          <w:bCs/>
          <w:color w:val="00000A"/>
        </w:rPr>
        <w:t>-43.4%), and platelet count</w:t>
      </w:r>
      <w:r>
        <w:rPr>
          <w:rFonts w:ascii="Book Antiqua" w:eastAsiaTheme="minorEastAsia" w:hAnsi="Book Antiqua" w:cs="Times New Roman" w:hint="eastAsia"/>
          <w:bCs/>
          <w:color w:val="00000A"/>
        </w:rPr>
        <w:t xml:space="preserve"> </w:t>
      </w:r>
      <w:r>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Pr>
          <w:rFonts w:ascii="Book Antiqua" w:eastAsia="Calibri" w:hAnsi="Book Antiqua" w:cs="Times New Roman"/>
          <w:bCs/>
          <w:color w:val="00000A"/>
        </w:rPr>
        <w:t>90</w:t>
      </w:r>
      <w:r w:rsidRPr="00C42E20">
        <w:rPr>
          <w:rFonts w:ascii="Book Antiqua" w:eastAsia="Calibri" w:hAnsi="Book Antiqua" w:cs="Times New Roman"/>
          <w:bCs/>
          <w:color w:val="00000A"/>
        </w:rPr>
        <w:t>000/mm</w:t>
      </w:r>
      <w:r w:rsidRPr="00C42E20">
        <w:rPr>
          <w:rFonts w:ascii="Book Antiqua" w:eastAsia="Calibri" w:hAnsi="Book Antiqua" w:cs="Times New Roman"/>
          <w:bCs/>
          <w:color w:val="00000A"/>
          <w:vertAlign w:val="superscript"/>
        </w:rPr>
        <w:t>3</w:t>
      </w:r>
      <w:r>
        <w:rPr>
          <w:rFonts w:ascii="Book Antiqua" w:eastAsia="Calibri" w:hAnsi="Book Antiqua" w:cs="Times New Roman"/>
          <w:bCs/>
          <w:color w:val="00000A"/>
        </w:rPr>
        <w:t xml:space="preserve"> (normal 150000-400</w:t>
      </w:r>
      <w:r w:rsidRPr="00C42E20">
        <w:rPr>
          <w:rFonts w:ascii="Book Antiqua" w:eastAsia="Calibri" w:hAnsi="Book Antiqua" w:cs="Times New Roman"/>
          <w:bCs/>
          <w:color w:val="00000A"/>
        </w:rPr>
        <w:t>000/mm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w:t>
      </w:r>
      <w:r>
        <w:rPr>
          <w:rFonts w:ascii="Book Antiqua" w:eastAsia="Calibri" w:hAnsi="Book Antiqua" w:cs="Times New Roman"/>
          <w:bCs/>
          <w:color w:val="00000A"/>
        </w:rPr>
        <w:t xml:space="preserve"> </w:t>
      </w: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Differential diagnosis</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t>Clinical presentation is an episode of febrile neutropenia.</w:t>
      </w:r>
      <w:r>
        <w:rPr>
          <w:rFonts w:ascii="Book Antiqua" w:eastAsia="Calibri" w:hAnsi="Book Antiqua" w:cs="Times New Roman"/>
          <w:bCs/>
          <w:color w:val="00000A"/>
        </w:rPr>
        <w:t xml:space="preserve"> </w:t>
      </w:r>
      <w:r w:rsidRPr="00C42E20">
        <w:rPr>
          <w:rFonts w:ascii="Book Antiqua" w:eastAsia="Calibri" w:hAnsi="Book Antiqua" w:cs="Times New Roman"/>
          <w:bCs/>
          <w:color w:val="00000A"/>
        </w:rPr>
        <w:t>The differential diagnosis includes neutropenic typhlitis and/or appendicitis, due to local opportunistic infections including bacterial infections, Candida, Mucor, Histoplasma, or Aspergillus.</w:t>
      </w: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Laboratory diagnosis</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t>The leukocyte count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200 cells/mm</w:t>
      </w:r>
      <w:r w:rsidRPr="00C42E20">
        <w:rPr>
          <w:rFonts w:ascii="Book Antiqua" w:eastAsia="Calibri" w:hAnsi="Book Antiqua" w:cs="Times New Roman"/>
          <w:bCs/>
          <w:color w:val="00000A"/>
          <w:vertAlign w:val="superscript"/>
        </w:rPr>
        <w:t>3</w:t>
      </w:r>
      <w:r>
        <w:rPr>
          <w:rFonts w:ascii="Book Antiqua" w:eastAsia="Calibri" w:hAnsi="Book Antiqua" w:cs="Times New Roman"/>
          <w:bCs/>
          <w:color w:val="00000A"/>
        </w:rPr>
        <w:t xml:space="preserve"> (normal 4800-10</w:t>
      </w:r>
      <w:r w:rsidRPr="00C42E20">
        <w:rPr>
          <w:rFonts w:ascii="Book Antiqua" w:eastAsia="Calibri" w:hAnsi="Book Antiqua" w:cs="Times New Roman"/>
          <w:bCs/>
          <w:color w:val="00000A"/>
        </w:rPr>
        <w:t>100 cells/mm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 and neutrophil count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&lt;</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100 cells/mm</w:t>
      </w:r>
      <w:r w:rsidRPr="00C42E20">
        <w:rPr>
          <w:rFonts w:ascii="Book Antiqua" w:eastAsia="Calibri" w:hAnsi="Book Antiqua" w:cs="Times New Roman"/>
          <w:bCs/>
          <w:color w:val="00000A"/>
          <w:vertAlign w:val="superscript"/>
        </w:rPr>
        <w:t>3</w:t>
      </w:r>
      <w:r>
        <w:rPr>
          <w:rFonts w:ascii="Book Antiqua" w:eastAsia="Calibri" w:hAnsi="Book Antiqua" w:cs="Times New Roman"/>
          <w:bCs/>
          <w:color w:val="00000A"/>
        </w:rPr>
        <w:t xml:space="preserve"> (normal 1600-7</w:t>
      </w:r>
      <w:r w:rsidRPr="00C42E20">
        <w:rPr>
          <w:rFonts w:ascii="Book Antiqua" w:eastAsia="Calibri" w:hAnsi="Book Antiqua" w:cs="Times New Roman"/>
          <w:bCs/>
          <w:color w:val="00000A"/>
        </w:rPr>
        <w:t>200 cells/mm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w:t>
      </w:r>
      <w:r>
        <w:rPr>
          <w:rFonts w:ascii="Book Antiqua" w:eastAsia="Calibri" w:hAnsi="Book Antiqua" w:cs="Times New Roman"/>
          <w:bCs/>
          <w:color w:val="00000A"/>
        </w:rPr>
        <w:t xml:space="preserve"> </w:t>
      </w:r>
      <w:r w:rsidRPr="00C42E20">
        <w:rPr>
          <w:rFonts w:ascii="Book Antiqua" w:eastAsia="Calibri" w:hAnsi="Book Antiqua" w:cs="Times New Roman"/>
          <w:bCs/>
          <w:color w:val="00000A"/>
        </w:rPr>
        <w:t>These findings demonstrate profound neutropenia.</w:t>
      </w: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Imaging diagnosis</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lastRenderedPageBreak/>
        <w:t xml:space="preserve">Abdomino-pelvic </w:t>
      </w:r>
      <w:r w:rsidRPr="00322ADB">
        <w:rPr>
          <w:rFonts w:ascii="Book Antiqua" w:eastAsia="Calibri" w:hAnsi="Book Antiqua" w:cs="Times New Roman"/>
          <w:bCs/>
          <w:color w:val="00000A"/>
        </w:rPr>
        <w:t>computed tomography</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scan revealed a dilated appendiceal lumen, thickened appendiceal wall, and periappendiceal fat stranding, findings consistent with appendicitis.</w:t>
      </w: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Pathological diagnosis</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t>Microscopic examination of hematoxylin and eosin stains of histologic sections of the resected appendix showed an acute necrotizing appendicitis, with scattered questionable fungal hyphal forms.</w:t>
      </w:r>
      <w:r>
        <w:rPr>
          <w:rFonts w:ascii="Book Antiqua" w:eastAsia="Calibri" w:hAnsi="Book Antiqua" w:cs="Times New Roman"/>
          <w:bCs/>
          <w:color w:val="00000A"/>
        </w:rPr>
        <w:t xml:space="preserve"> </w:t>
      </w:r>
      <w:r w:rsidRPr="00C42E20">
        <w:rPr>
          <w:rFonts w:ascii="Book Antiqua" w:eastAsia="Calibri" w:hAnsi="Book Antiqua" w:cs="Times New Roman"/>
          <w:bCs/>
          <w:color w:val="00000A"/>
        </w:rPr>
        <w:t>A Grocott-Gomori methenamine-silver nitrate stain performed on the resected specimen revealed numerous fungal hyphae that showed features characteristic of Aspergillus of septation and acutely angled branching, and which was confirmed as Aspergillus by immunohistochemistry.</w:t>
      </w: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Treatment</w:t>
      </w:r>
    </w:p>
    <w:p w:rsidR="00322ADB" w:rsidRPr="00C42E20" w:rsidRDefault="00322ADB"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The patient underwent appendectomy for the appendicitis and was administered IV filgrastim (granulocyte colony stimulating factor) for the profound neutropenia.</w:t>
      </w:r>
      <w:r>
        <w:rPr>
          <w:rFonts w:ascii="Book Antiqua" w:eastAsia="Calibri" w:hAnsi="Book Antiqua" w:cs="Times New Roman"/>
          <w:bCs/>
          <w:color w:val="00000A"/>
        </w:rPr>
        <w:t xml:space="preserve"> </w:t>
      </w:r>
      <w:r w:rsidRPr="00C42E20">
        <w:rPr>
          <w:rFonts w:ascii="Book Antiqua" w:eastAsia="Calibri" w:hAnsi="Book Antiqua" w:cs="Times New Roman"/>
          <w:bCs/>
          <w:color w:val="00000A"/>
        </w:rPr>
        <w:t>On postoperative day 13 IV amphotericin-B therapy was added when Aspergillus appendicitis was identified by special stains performed on the resected appendix.</w:t>
      </w: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Related reports</w:t>
      </w:r>
    </w:p>
    <w:p w:rsidR="00322ADB" w:rsidRPr="00C42E20" w:rsidRDefault="00322ADB"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Review of the modern literature revealed only 3 other reported cases of isolated Aspergillus appendicitis, aside from one case very briefly reported in German in 1959.</w:t>
      </w: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Experiences and lessons</w:t>
      </w:r>
    </w:p>
    <w:p w:rsidR="00322ADB" w:rsidRPr="00C42E20" w:rsidRDefault="00322ADB"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Analysis of the current case and review of the three prior case reported in the modern literature, suggest that patients with Aspergillus appendicitis may clinically present with a pentad of: clinically-suspected appendicitis, neutropenia, recent chemotherapy, acute leukemia, and poor clinical response if treated solely by antibacterial/anti-candidial therapy.</w:t>
      </w: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i/>
          <w:color w:val="00000A"/>
        </w:rPr>
      </w:pPr>
      <w:r w:rsidRPr="00322ADB">
        <w:rPr>
          <w:rFonts w:ascii="Book Antiqua" w:eastAsia="Calibri" w:hAnsi="Book Antiqua" w:cs="Times New Roman"/>
          <w:b/>
          <w:bCs/>
          <w:i/>
          <w:color w:val="00000A"/>
        </w:rPr>
        <w:t>Peer-review</w:t>
      </w:r>
    </w:p>
    <w:p w:rsidR="00322ADB" w:rsidRPr="00C42E20" w:rsidRDefault="00322ADB"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The strengths of the article include: reporting a well-documented case of isolated Aspergillus </w:t>
      </w:r>
      <w:r w:rsidRPr="00C42E20">
        <w:rPr>
          <w:rFonts w:ascii="Book Antiqua" w:eastAsia="Calibri" w:hAnsi="Book Antiqua" w:cs="Times New Roman"/>
          <w:bCs/>
          <w:color w:val="00000A"/>
        </w:rPr>
        <w:lastRenderedPageBreak/>
        <w:t>appendicitis, thorough review of the three previously reported cases as identified by review of the modern literature, and the proposal of a clinical pentad to facilitate clinical recognition of Aspergillus appendicitis.</w:t>
      </w:r>
      <w:r>
        <w:rPr>
          <w:rFonts w:ascii="Book Antiqua" w:eastAsia="Calibri" w:hAnsi="Book Antiqua" w:cs="Times New Roman"/>
          <w:bCs/>
          <w:color w:val="00000A"/>
        </w:rPr>
        <w:t xml:space="preserve"> </w:t>
      </w:r>
      <w:r w:rsidRPr="00C42E20">
        <w:rPr>
          <w:rFonts w:ascii="Book Antiqua" w:eastAsia="Calibri" w:hAnsi="Book Antiqua" w:cs="Times New Roman"/>
          <w:bCs/>
          <w:color w:val="00000A"/>
        </w:rPr>
        <w:t>The main weakness, as pointed out by peer review, is that only four cases have been reported of isolated Aspergillus appendicitis, and therefore the conclusions about the general clinical presentation of this infection are tentative and require further confirmation.</w:t>
      </w:r>
    </w:p>
    <w:p w:rsidR="00322ADB" w:rsidRPr="00322ADB" w:rsidRDefault="00322ADB" w:rsidP="009C3795">
      <w:pPr>
        <w:suppressAutoHyphens w:val="0"/>
        <w:adjustRightInd w:val="0"/>
        <w:snapToGrid w:val="0"/>
        <w:spacing w:line="360" w:lineRule="auto"/>
        <w:jc w:val="both"/>
        <w:rPr>
          <w:rFonts w:ascii="Book Antiqua" w:eastAsiaTheme="minorEastAsia" w:hAnsi="Book Antiqua" w:cs="Times New Roman"/>
          <w:b/>
          <w:color w:val="00000A"/>
        </w:rPr>
      </w:pPr>
    </w:p>
    <w:p w:rsidR="00322ADB" w:rsidRDefault="00322ADB" w:rsidP="009C3795">
      <w:pPr>
        <w:suppressAutoHyphens w:val="0"/>
        <w:adjustRightInd w:val="0"/>
        <w:snapToGrid w:val="0"/>
        <w:spacing w:line="360" w:lineRule="auto"/>
        <w:jc w:val="both"/>
        <w:rPr>
          <w:rFonts w:ascii="Book Antiqua" w:eastAsia="Calibri" w:hAnsi="Book Antiqua" w:cs="Times New Roman"/>
          <w:color w:val="00000A"/>
        </w:rPr>
      </w:pPr>
      <w:r>
        <w:rPr>
          <w:rFonts w:ascii="Book Antiqua" w:eastAsia="Calibri" w:hAnsi="Book Antiqua" w:cs="Times New Roman"/>
          <w:color w:val="00000A"/>
        </w:rPr>
        <w:br w:type="page"/>
      </w:r>
    </w:p>
    <w:p w:rsidR="00FE1645" w:rsidRDefault="00FE1645" w:rsidP="009C3795">
      <w:pPr>
        <w:pStyle w:val="Standard"/>
        <w:adjustRightInd w:val="0"/>
        <w:snapToGrid w:val="0"/>
        <w:spacing w:line="360" w:lineRule="auto"/>
        <w:jc w:val="both"/>
        <w:rPr>
          <w:rFonts w:ascii="Book Antiqua" w:eastAsiaTheme="minorEastAsia" w:hAnsi="Book Antiqua" w:cs="Times New Roman"/>
          <w:b/>
          <w:caps/>
          <w:color w:val="00000A"/>
        </w:rPr>
      </w:pPr>
      <w:r w:rsidRPr="00322ADB">
        <w:rPr>
          <w:rFonts w:ascii="Book Antiqua" w:eastAsia="Calibri" w:hAnsi="Book Antiqua" w:cs="Times New Roman"/>
          <w:b/>
          <w:caps/>
          <w:color w:val="00000A"/>
        </w:rPr>
        <w:lastRenderedPageBreak/>
        <w:t>References</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 xml:space="preserve">1 </w:t>
      </w:r>
      <w:r w:rsidRPr="00CB6DBE">
        <w:rPr>
          <w:rFonts w:ascii="Book Antiqua" w:hAnsi="Book Antiqua" w:cs="SimSun"/>
          <w:b/>
          <w:color w:val="000000"/>
          <w:kern w:val="0"/>
        </w:rPr>
        <w:t>Park BH</w:t>
      </w:r>
      <w:r w:rsidRPr="00CB6DBE">
        <w:rPr>
          <w:rFonts w:ascii="Book Antiqua" w:hAnsi="Book Antiqua" w:cs="SimSun"/>
          <w:color w:val="000000"/>
          <w:kern w:val="0"/>
        </w:rPr>
        <w:t xml:space="preserve">, Suh JH, Choi HJ, Cha HJ, Nam CW, Kim YM. Acute appendicitis associated with aspergillosis in a leukemia patient: case report. </w:t>
      </w:r>
      <w:r w:rsidRPr="00CB6DBE">
        <w:rPr>
          <w:rFonts w:ascii="Book Antiqua" w:hAnsi="Book Antiqua" w:cs="SimSun"/>
          <w:i/>
          <w:color w:val="000000"/>
          <w:kern w:val="0"/>
        </w:rPr>
        <w:t xml:space="preserve">Korean J Pathol </w:t>
      </w:r>
      <w:r w:rsidRPr="00CB6DBE">
        <w:rPr>
          <w:rFonts w:ascii="Book Antiqua" w:hAnsi="Book Antiqua" w:cs="SimSun"/>
          <w:color w:val="000000"/>
          <w:kern w:val="0"/>
        </w:rPr>
        <w:t xml:space="preserve">2010; </w:t>
      </w:r>
      <w:r w:rsidRPr="00CB6DBE">
        <w:rPr>
          <w:rFonts w:ascii="Book Antiqua" w:hAnsi="Book Antiqua" w:cs="SimSun"/>
          <w:b/>
          <w:color w:val="000000"/>
          <w:kern w:val="0"/>
        </w:rPr>
        <w:t>44</w:t>
      </w:r>
      <w:r w:rsidRPr="00CB6DBE">
        <w:rPr>
          <w:rFonts w:ascii="Book Antiqua" w:hAnsi="Book Antiqua" w:cs="SimSun"/>
          <w:color w:val="000000"/>
          <w:kern w:val="0"/>
        </w:rPr>
        <w:t>: 330-332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2 </w:t>
      </w:r>
      <w:r w:rsidRPr="00CB6DBE">
        <w:rPr>
          <w:rFonts w:ascii="Book Antiqua" w:hAnsi="Book Antiqua" w:cs="SimSun"/>
          <w:b/>
          <w:bCs/>
          <w:color w:val="000000"/>
          <w:kern w:val="0"/>
        </w:rPr>
        <w:t>Kontoyiannis DP</w:t>
      </w:r>
      <w:r w:rsidRPr="00CB6DBE">
        <w:rPr>
          <w:rFonts w:ascii="Book Antiqua" w:hAnsi="Book Antiqua" w:cs="SimSun"/>
          <w:color w:val="000000"/>
          <w:kern w:val="0"/>
        </w:rPr>
        <w:t>, Mathur M, Chen YB, Shellito PC, Tse JY. Case records of the Massachusetts General Hospital. Case 13-2014. A 41-year-old man with fever and abdominal pain after stem-cell transplantation. </w:t>
      </w:r>
      <w:r w:rsidRPr="00CB6DBE">
        <w:rPr>
          <w:rFonts w:ascii="Book Antiqua" w:hAnsi="Book Antiqua" w:cs="SimSun"/>
          <w:i/>
          <w:iCs/>
          <w:color w:val="000000"/>
          <w:kern w:val="0"/>
        </w:rPr>
        <w:t>N Engl J Med</w:t>
      </w:r>
      <w:r w:rsidRPr="00CB6DBE">
        <w:rPr>
          <w:rFonts w:ascii="Book Antiqua" w:hAnsi="Book Antiqua" w:cs="SimSun"/>
          <w:color w:val="000000"/>
          <w:kern w:val="0"/>
        </w:rPr>
        <w:t> 2014; </w:t>
      </w:r>
      <w:r w:rsidRPr="00CB6DBE">
        <w:rPr>
          <w:rFonts w:ascii="Book Antiqua" w:hAnsi="Book Antiqua" w:cs="SimSun"/>
          <w:b/>
          <w:bCs/>
          <w:color w:val="000000"/>
          <w:kern w:val="0"/>
        </w:rPr>
        <w:t>370</w:t>
      </w:r>
      <w:r w:rsidRPr="00CB6DBE">
        <w:rPr>
          <w:rFonts w:ascii="Book Antiqua" w:hAnsi="Book Antiqua" w:cs="SimSun"/>
          <w:color w:val="000000"/>
          <w:kern w:val="0"/>
        </w:rPr>
        <w:t>: 1637-1646 [PMID: 24758620 DOI: 10.1056/NEJMcpc1305994]</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3 </w:t>
      </w:r>
      <w:r w:rsidRPr="00CB6DBE">
        <w:rPr>
          <w:rFonts w:ascii="Book Antiqua" w:hAnsi="Book Antiqua" w:cs="SimSun"/>
          <w:b/>
          <w:bCs/>
          <w:color w:val="000000"/>
          <w:kern w:val="0"/>
        </w:rPr>
        <w:t>Rogers S</w:t>
      </w:r>
      <w:r w:rsidRPr="00CB6DBE">
        <w:rPr>
          <w:rFonts w:ascii="Book Antiqua" w:hAnsi="Book Antiqua" w:cs="SimSun"/>
          <w:color w:val="000000"/>
          <w:kern w:val="0"/>
        </w:rPr>
        <w:t>, Potter MN, Slade RR. Aspergillus appendicitis in acute myeloid leukaemia. </w:t>
      </w:r>
      <w:r w:rsidRPr="00CB6DBE">
        <w:rPr>
          <w:rFonts w:ascii="Book Antiqua" w:hAnsi="Book Antiqua" w:cs="SimSun"/>
          <w:i/>
          <w:iCs/>
          <w:color w:val="000000"/>
          <w:kern w:val="0"/>
        </w:rPr>
        <w:t>Clin Lab Haematol</w:t>
      </w:r>
      <w:r w:rsidRPr="00CB6DBE">
        <w:rPr>
          <w:rFonts w:ascii="Book Antiqua" w:hAnsi="Book Antiqua" w:cs="SimSun"/>
          <w:color w:val="000000"/>
          <w:kern w:val="0"/>
        </w:rPr>
        <w:t> 1990; </w:t>
      </w:r>
      <w:r w:rsidRPr="00CB6DBE">
        <w:rPr>
          <w:rFonts w:ascii="Book Antiqua" w:hAnsi="Book Antiqua" w:cs="SimSun"/>
          <w:b/>
          <w:bCs/>
          <w:color w:val="000000"/>
          <w:kern w:val="0"/>
        </w:rPr>
        <w:t>12</w:t>
      </w:r>
      <w:r w:rsidRPr="00CB6DBE">
        <w:rPr>
          <w:rFonts w:ascii="Book Antiqua" w:hAnsi="Book Antiqua" w:cs="SimSun"/>
          <w:color w:val="000000"/>
          <w:kern w:val="0"/>
        </w:rPr>
        <w:t>: 471-476 [PMID: 2081387]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4 </w:t>
      </w:r>
      <w:r w:rsidRPr="00CB6DBE">
        <w:rPr>
          <w:rFonts w:ascii="Book Antiqua" w:hAnsi="Book Antiqua" w:cs="SimSun"/>
          <w:b/>
          <w:bCs/>
          <w:color w:val="000000"/>
          <w:kern w:val="0"/>
        </w:rPr>
        <w:t>Bova R</w:t>
      </w:r>
      <w:r w:rsidRPr="00CB6DBE">
        <w:rPr>
          <w:rFonts w:ascii="Book Antiqua" w:hAnsi="Book Antiqua" w:cs="SimSun"/>
          <w:color w:val="000000"/>
          <w:kern w:val="0"/>
        </w:rPr>
        <w:t>, Meagher A. Appendicitis in HIV-positive patients. </w:t>
      </w:r>
      <w:r w:rsidRPr="00CB6DBE">
        <w:rPr>
          <w:rFonts w:ascii="Book Antiqua" w:hAnsi="Book Antiqua" w:cs="SimSun"/>
          <w:i/>
          <w:iCs/>
          <w:color w:val="000000"/>
          <w:kern w:val="0"/>
        </w:rPr>
        <w:t>Aust N Z J Surg</w:t>
      </w:r>
      <w:r w:rsidRPr="00CB6DBE">
        <w:rPr>
          <w:rFonts w:ascii="Book Antiqua" w:hAnsi="Book Antiqua" w:cs="SimSun"/>
          <w:color w:val="000000"/>
          <w:kern w:val="0"/>
        </w:rPr>
        <w:t> 1998; </w:t>
      </w:r>
      <w:r w:rsidRPr="00CB6DBE">
        <w:rPr>
          <w:rFonts w:ascii="Book Antiqua" w:hAnsi="Book Antiqua" w:cs="SimSun"/>
          <w:b/>
          <w:bCs/>
          <w:color w:val="000000"/>
          <w:kern w:val="0"/>
        </w:rPr>
        <w:t>68</w:t>
      </w:r>
      <w:r w:rsidRPr="00CB6DBE">
        <w:rPr>
          <w:rFonts w:ascii="Book Antiqua" w:hAnsi="Book Antiqua" w:cs="SimSun"/>
          <w:color w:val="000000"/>
          <w:kern w:val="0"/>
        </w:rPr>
        <w:t>: 337-339 [PMID: 9631905]</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5 </w:t>
      </w:r>
      <w:r w:rsidRPr="00CB6DBE">
        <w:rPr>
          <w:rFonts w:ascii="Book Antiqua" w:hAnsi="Book Antiqua" w:cs="SimSun"/>
          <w:b/>
          <w:bCs/>
          <w:color w:val="000000"/>
          <w:kern w:val="0"/>
        </w:rPr>
        <w:t>Lee J</w:t>
      </w:r>
      <w:r w:rsidRPr="00CB6DBE">
        <w:rPr>
          <w:rFonts w:ascii="Book Antiqua" w:hAnsi="Book Antiqua" w:cs="SimSun"/>
          <w:color w:val="000000"/>
          <w:kern w:val="0"/>
        </w:rPr>
        <w:t>, Tashjian DB, Moriarty KP. Missed opportunities in the treatment of pediatric appendicitis. </w:t>
      </w:r>
      <w:r w:rsidRPr="00CB6DBE">
        <w:rPr>
          <w:rFonts w:ascii="Book Antiqua" w:hAnsi="Book Antiqua" w:cs="SimSun"/>
          <w:i/>
          <w:iCs/>
          <w:color w:val="000000"/>
          <w:kern w:val="0"/>
        </w:rPr>
        <w:t>Pediatr Surg Int</w:t>
      </w:r>
      <w:r w:rsidRPr="00CB6DBE">
        <w:rPr>
          <w:rFonts w:ascii="Book Antiqua" w:hAnsi="Book Antiqua" w:cs="SimSun"/>
          <w:color w:val="000000"/>
          <w:kern w:val="0"/>
        </w:rPr>
        <w:t> 2012; </w:t>
      </w:r>
      <w:r w:rsidRPr="00CB6DBE">
        <w:rPr>
          <w:rFonts w:ascii="Book Antiqua" w:hAnsi="Book Antiqua" w:cs="SimSun"/>
          <w:b/>
          <w:bCs/>
          <w:color w:val="000000"/>
          <w:kern w:val="0"/>
        </w:rPr>
        <w:t>28</w:t>
      </w:r>
      <w:r w:rsidRPr="00CB6DBE">
        <w:rPr>
          <w:rFonts w:ascii="Book Antiqua" w:hAnsi="Book Antiqua" w:cs="SimSun"/>
          <w:color w:val="000000"/>
          <w:kern w:val="0"/>
        </w:rPr>
        <w:t>: 697-701 [PMID: 22622518 DOI: 10.1007/s00383-012-3108-4]</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6 </w:t>
      </w:r>
      <w:r w:rsidRPr="00CB6DBE">
        <w:rPr>
          <w:rFonts w:ascii="Book Antiqua" w:hAnsi="Book Antiqua" w:cs="SimSun"/>
          <w:b/>
          <w:bCs/>
          <w:color w:val="000000"/>
          <w:kern w:val="0"/>
        </w:rPr>
        <w:t>Staib F</w:t>
      </w:r>
      <w:r w:rsidRPr="00CB6DBE">
        <w:rPr>
          <w:rFonts w:ascii="Book Antiqua" w:hAnsi="Book Antiqua" w:cs="SimSun"/>
          <w:color w:val="000000"/>
          <w:kern w:val="0"/>
        </w:rPr>
        <w:t xml:space="preserve">. [Appendicitis </w:t>
      </w:r>
      <w:r w:rsidR="00BF1E3D">
        <w:rPr>
          <w:rFonts w:ascii="Book Antiqua" w:hAnsi="Book Antiqua" w:cs="SimSun"/>
          <w:color w:val="000000"/>
          <w:kern w:val="0"/>
        </w:rPr>
        <w:t>and</w:t>
      </w:r>
      <w:r w:rsidRPr="00CB6DBE">
        <w:rPr>
          <w:rFonts w:ascii="Book Antiqua" w:hAnsi="Book Antiqua" w:cs="SimSun"/>
          <w:color w:val="000000"/>
          <w:kern w:val="0"/>
        </w:rPr>
        <w:t xml:space="preserve"> amp; cecal phlegmons caused by Aspergillus]. </w:t>
      </w:r>
      <w:r w:rsidRPr="00CB6DBE">
        <w:rPr>
          <w:rFonts w:ascii="Book Antiqua" w:hAnsi="Book Antiqua" w:cs="SimSun"/>
          <w:i/>
          <w:iCs/>
          <w:color w:val="000000"/>
          <w:kern w:val="0"/>
        </w:rPr>
        <w:t>Dtsch Med Wochenschr</w:t>
      </w:r>
      <w:r w:rsidRPr="00CB6DBE">
        <w:rPr>
          <w:rFonts w:ascii="Book Antiqua" w:hAnsi="Book Antiqua" w:cs="SimSun"/>
          <w:color w:val="000000"/>
          <w:kern w:val="0"/>
        </w:rPr>
        <w:t> 1959; </w:t>
      </w:r>
      <w:r w:rsidRPr="00CB6DBE">
        <w:rPr>
          <w:rFonts w:ascii="Book Antiqua" w:hAnsi="Book Antiqua" w:cs="SimSun"/>
          <w:b/>
          <w:bCs/>
          <w:color w:val="000000"/>
          <w:kern w:val="0"/>
        </w:rPr>
        <w:t>84</w:t>
      </w:r>
      <w:r w:rsidRPr="00CB6DBE">
        <w:rPr>
          <w:rFonts w:ascii="Book Antiqua" w:hAnsi="Book Antiqua" w:cs="SimSun"/>
          <w:color w:val="000000"/>
          <w:kern w:val="0"/>
        </w:rPr>
        <w:t>: 220-221 [PMID: 13630116]</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7 </w:t>
      </w:r>
      <w:r w:rsidRPr="00CB6DBE">
        <w:rPr>
          <w:rFonts w:ascii="Book Antiqua" w:hAnsi="Book Antiqua" w:cs="SimSun"/>
          <w:b/>
          <w:bCs/>
          <w:color w:val="000000"/>
          <w:kern w:val="0"/>
        </w:rPr>
        <w:t>Eggimann P</w:t>
      </w:r>
      <w:r w:rsidRPr="00CB6DBE">
        <w:rPr>
          <w:rFonts w:ascii="Book Antiqua" w:hAnsi="Book Antiqua" w:cs="SimSun"/>
          <w:color w:val="000000"/>
          <w:kern w:val="0"/>
        </w:rPr>
        <w:t>, Chevrolet JC, Starobinski M, Majno P, Totsch M, Chapuis B, Pittet D. Primary invasive aspergillosis of the digestive tract: report of two cases and review of the literature. </w:t>
      </w:r>
      <w:r w:rsidRPr="00CB6DBE">
        <w:rPr>
          <w:rFonts w:ascii="Book Antiqua" w:hAnsi="Book Antiqua" w:cs="SimSun"/>
          <w:i/>
          <w:iCs/>
          <w:color w:val="000000"/>
          <w:kern w:val="0"/>
        </w:rPr>
        <w:t>Infection</w:t>
      </w:r>
      <w:r w:rsidRPr="00CB6DBE">
        <w:rPr>
          <w:rFonts w:ascii="Book Antiqua" w:hAnsi="Book Antiqua" w:cs="SimSun"/>
          <w:color w:val="000000"/>
          <w:kern w:val="0"/>
        </w:rPr>
        <w:t> 2006; </w:t>
      </w:r>
      <w:r w:rsidRPr="00CB6DBE">
        <w:rPr>
          <w:rFonts w:ascii="Book Antiqua" w:hAnsi="Book Antiqua" w:cs="SimSun"/>
          <w:b/>
          <w:bCs/>
          <w:color w:val="000000"/>
          <w:kern w:val="0"/>
        </w:rPr>
        <w:t>34</w:t>
      </w:r>
      <w:r w:rsidRPr="00CB6DBE">
        <w:rPr>
          <w:rFonts w:ascii="Book Antiqua" w:hAnsi="Book Antiqua" w:cs="SimSun"/>
          <w:color w:val="000000"/>
          <w:kern w:val="0"/>
        </w:rPr>
        <w:t>: 333-338 [PMID: 17180588]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8 </w:t>
      </w:r>
      <w:r w:rsidRPr="00CB6DBE">
        <w:rPr>
          <w:rFonts w:ascii="Book Antiqua" w:hAnsi="Book Antiqua" w:cs="SimSun"/>
          <w:b/>
          <w:bCs/>
          <w:color w:val="000000"/>
          <w:kern w:val="0"/>
        </w:rPr>
        <w:t>Hori A</w:t>
      </w:r>
      <w:r w:rsidRPr="00CB6DBE">
        <w:rPr>
          <w:rFonts w:ascii="Book Antiqua" w:hAnsi="Book Antiqua" w:cs="SimSun"/>
          <w:color w:val="000000"/>
          <w:kern w:val="0"/>
        </w:rPr>
        <w:t>, Kami M, Kishi Y, Machida U, Matsumura T, Kashima T. Clinical significance of extra-pulmonary involvement of invasive aspergillosis: a retrospective autopsy-based study of 107 patients. </w:t>
      </w:r>
      <w:r w:rsidRPr="00CB6DBE">
        <w:rPr>
          <w:rFonts w:ascii="Book Antiqua" w:hAnsi="Book Antiqua" w:cs="SimSun"/>
          <w:i/>
          <w:iCs/>
          <w:color w:val="000000"/>
          <w:kern w:val="0"/>
        </w:rPr>
        <w:t>J Hosp Infect</w:t>
      </w:r>
      <w:r w:rsidRPr="00CB6DBE">
        <w:rPr>
          <w:rFonts w:ascii="Book Antiqua" w:hAnsi="Book Antiqua" w:cs="SimSun"/>
          <w:color w:val="000000"/>
          <w:kern w:val="0"/>
        </w:rPr>
        <w:t> 2002; </w:t>
      </w:r>
      <w:r w:rsidRPr="00CB6DBE">
        <w:rPr>
          <w:rFonts w:ascii="Book Antiqua" w:hAnsi="Book Antiqua" w:cs="SimSun"/>
          <w:b/>
          <w:bCs/>
          <w:color w:val="000000"/>
          <w:kern w:val="0"/>
        </w:rPr>
        <w:t>50</w:t>
      </w:r>
      <w:r w:rsidRPr="00CB6DBE">
        <w:rPr>
          <w:rFonts w:ascii="Book Antiqua" w:hAnsi="Book Antiqua" w:cs="SimSun"/>
          <w:color w:val="000000"/>
          <w:kern w:val="0"/>
        </w:rPr>
        <w:t>: 175-182 [PMID: 11886192]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9 </w:t>
      </w:r>
      <w:r w:rsidRPr="00CB6DBE">
        <w:rPr>
          <w:rFonts w:ascii="Book Antiqua" w:hAnsi="Book Antiqua" w:cs="SimSun"/>
          <w:b/>
          <w:bCs/>
          <w:color w:val="000000"/>
          <w:kern w:val="0"/>
        </w:rPr>
        <w:t>Duthie R</w:t>
      </w:r>
      <w:r w:rsidRPr="00CB6DBE">
        <w:rPr>
          <w:rFonts w:ascii="Book Antiqua" w:hAnsi="Book Antiqua" w:cs="SimSun"/>
          <w:color w:val="000000"/>
          <w:kern w:val="0"/>
        </w:rPr>
        <w:t>, Denning DW. Aspergillus fungemia: report of two cases and review. </w:t>
      </w:r>
      <w:r w:rsidRPr="00CB6DBE">
        <w:rPr>
          <w:rFonts w:ascii="Book Antiqua" w:hAnsi="Book Antiqua" w:cs="SimSun"/>
          <w:i/>
          <w:iCs/>
          <w:color w:val="000000"/>
          <w:kern w:val="0"/>
        </w:rPr>
        <w:t>Clin Infect Dis</w:t>
      </w:r>
      <w:r w:rsidRPr="00CB6DBE">
        <w:rPr>
          <w:rFonts w:ascii="Book Antiqua" w:hAnsi="Book Antiqua" w:cs="SimSun"/>
          <w:color w:val="000000"/>
          <w:kern w:val="0"/>
        </w:rPr>
        <w:t> 1995; </w:t>
      </w:r>
      <w:r w:rsidRPr="00CB6DBE">
        <w:rPr>
          <w:rFonts w:ascii="Book Antiqua" w:hAnsi="Book Antiqua" w:cs="SimSun"/>
          <w:b/>
          <w:bCs/>
          <w:color w:val="000000"/>
          <w:kern w:val="0"/>
        </w:rPr>
        <w:t>20</w:t>
      </w:r>
      <w:r w:rsidRPr="00CB6DBE">
        <w:rPr>
          <w:rFonts w:ascii="Book Antiqua" w:hAnsi="Book Antiqua" w:cs="SimSun"/>
          <w:color w:val="000000"/>
          <w:kern w:val="0"/>
        </w:rPr>
        <w:t>: 598-605 [PMID: 7756482]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10 </w:t>
      </w:r>
      <w:r w:rsidRPr="00CB6DBE">
        <w:rPr>
          <w:rFonts w:ascii="Book Antiqua" w:hAnsi="Book Antiqua" w:cs="SimSun"/>
          <w:b/>
          <w:bCs/>
          <w:color w:val="000000"/>
          <w:kern w:val="0"/>
        </w:rPr>
        <w:t>Denning DW</w:t>
      </w:r>
      <w:r w:rsidRPr="00CB6DBE">
        <w:rPr>
          <w:rFonts w:ascii="Book Antiqua" w:hAnsi="Book Antiqua" w:cs="SimSun"/>
          <w:color w:val="000000"/>
          <w:kern w:val="0"/>
        </w:rPr>
        <w:t>, Stevens DA. Antifungal and surgical treatment of invasive aspergillosis: review of 2,121 published cases. </w:t>
      </w:r>
      <w:r w:rsidRPr="00CB6DBE">
        <w:rPr>
          <w:rFonts w:ascii="Book Antiqua" w:hAnsi="Book Antiqua" w:cs="SimSun"/>
          <w:i/>
          <w:iCs/>
          <w:color w:val="000000"/>
          <w:kern w:val="0"/>
        </w:rPr>
        <w:t>Rev Infect Dis</w:t>
      </w:r>
      <w:r w:rsidRPr="00CB6DBE">
        <w:rPr>
          <w:rFonts w:ascii="Book Antiqua" w:hAnsi="Book Antiqua" w:cs="SimSun"/>
          <w:color w:val="000000"/>
          <w:kern w:val="0"/>
        </w:rPr>
        <w:t> 1990; </w:t>
      </w:r>
      <w:r w:rsidRPr="00CB6DBE">
        <w:rPr>
          <w:rFonts w:ascii="Book Antiqua" w:hAnsi="Book Antiqua" w:cs="SimSun"/>
          <w:b/>
          <w:bCs/>
          <w:color w:val="000000"/>
          <w:kern w:val="0"/>
        </w:rPr>
        <w:t>12</w:t>
      </w:r>
      <w:r w:rsidRPr="00CB6DBE">
        <w:rPr>
          <w:rFonts w:ascii="Book Antiqua" w:hAnsi="Book Antiqua" w:cs="SimSun"/>
          <w:color w:val="000000"/>
          <w:kern w:val="0"/>
        </w:rPr>
        <w:t>: 1147-1201 [PMID: 2267490]</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11 </w:t>
      </w:r>
      <w:r w:rsidRPr="00CB6DBE">
        <w:rPr>
          <w:rFonts w:ascii="Book Antiqua" w:hAnsi="Book Antiqua" w:cs="SimSun"/>
          <w:b/>
          <w:bCs/>
          <w:color w:val="000000"/>
          <w:kern w:val="0"/>
        </w:rPr>
        <w:t>Wiley JM</w:t>
      </w:r>
      <w:r w:rsidRPr="00CB6DBE">
        <w:rPr>
          <w:rFonts w:ascii="Book Antiqua" w:hAnsi="Book Antiqua" w:cs="SimSun"/>
          <w:color w:val="000000"/>
          <w:kern w:val="0"/>
        </w:rPr>
        <w:t>, Smith N, Leventhal BG, Graham ML, Strauss LC, Hurwitz CA, Modlin J, Mellits D, Baumgardner R, Corden BJ. Invasive fungal disease in pediatric acute leukemia patients with fever and neutropenia during induction chemotherapy: a multivariate analysis of risk factors. </w:t>
      </w:r>
      <w:r w:rsidRPr="00CB6DBE">
        <w:rPr>
          <w:rFonts w:ascii="Book Antiqua" w:hAnsi="Book Antiqua" w:cs="SimSun"/>
          <w:i/>
          <w:iCs/>
          <w:color w:val="000000"/>
          <w:kern w:val="0"/>
        </w:rPr>
        <w:t>J Clin Oncol</w:t>
      </w:r>
      <w:r w:rsidRPr="00CB6DBE">
        <w:rPr>
          <w:rFonts w:ascii="Book Antiqua" w:hAnsi="Book Antiqua" w:cs="SimSun"/>
          <w:color w:val="000000"/>
          <w:kern w:val="0"/>
        </w:rPr>
        <w:t> 1990; </w:t>
      </w:r>
      <w:r w:rsidRPr="00CB6DBE">
        <w:rPr>
          <w:rFonts w:ascii="Book Antiqua" w:hAnsi="Book Antiqua" w:cs="SimSun"/>
          <w:b/>
          <w:bCs/>
          <w:color w:val="000000"/>
          <w:kern w:val="0"/>
        </w:rPr>
        <w:t>8</w:t>
      </w:r>
      <w:r w:rsidRPr="00CB6DBE">
        <w:rPr>
          <w:rFonts w:ascii="Book Antiqua" w:hAnsi="Book Antiqua" w:cs="SimSun"/>
          <w:color w:val="000000"/>
          <w:kern w:val="0"/>
        </w:rPr>
        <w:t>: 280-286 [PMID: 2299371]</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lastRenderedPageBreak/>
        <w:t>12 </w:t>
      </w:r>
      <w:r w:rsidRPr="00CB6DBE">
        <w:rPr>
          <w:rFonts w:ascii="Book Antiqua" w:hAnsi="Book Antiqua" w:cs="SimSun"/>
          <w:b/>
          <w:bCs/>
          <w:color w:val="000000"/>
          <w:kern w:val="0"/>
        </w:rPr>
        <w:t>Albelda SM</w:t>
      </w:r>
      <w:r w:rsidRPr="00CB6DBE">
        <w:rPr>
          <w:rFonts w:ascii="Book Antiqua" w:hAnsi="Book Antiqua" w:cs="SimSun"/>
          <w:color w:val="000000"/>
          <w:kern w:val="0"/>
        </w:rPr>
        <w:t>, Talbot GH, Gerson SL, Miller WT, Cassileth PA. Pulmonary cavitation and massive hemoptysis in invasive pulmonary aspergillosis. Influence of bone marrow recovery in patients with acute leukemia. </w:t>
      </w:r>
      <w:r w:rsidRPr="00CB6DBE">
        <w:rPr>
          <w:rFonts w:ascii="Book Antiqua" w:hAnsi="Book Antiqua" w:cs="SimSun"/>
          <w:i/>
          <w:iCs/>
          <w:color w:val="000000"/>
          <w:kern w:val="0"/>
        </w:rPr>
        <w:t>Am Rev Respir Dis</w:t>
      </w:r>
      <w:r w:rsidRPr="00CB6DBE">
        <w:rPr>
          <w:rFonts w:ascii="Book Antiqua" w:hAnsi="Book Antiqua" w:cs="SimSun"/>
          <w:color w:val="000000"/>
          <w:kern w:val="0"/>
        </w:rPr>
        <w:t> 1985; </w:t>
      </w:r>
      <w:r w:rsidRPr="00CB6DBE">
        <w:rPr>
          <w:rFonts w:ascii="Book Antiqua" w:hAnsi="Book Antiqua" w:cs="SimSun"/>
          <w:b/>
          <w:bCs/>
          <w:color w:val="000000"/>
          <w:kern w:val="0"/>
        </w:rPr>
        <w:t>131</w:t>
      </w:r>
      <w:r w:rsidRPr="00CB6DBE">
        <w:rPr>
          <w:rFonts w:ascii="Book Antiqua" w:hAnsi="Book Antiqua" w:cs="SimSun"/>
          <w:color w:val="000000"/>
          <w:kern w:val="0"/>
        </w:rPr>
        <w:t>: 115-120 [PMID: 3966697]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13 </w:t>
      </w:r>
      <w:r w:rsidRPr="00CB6DBE">
        <w:rPr>
          <w:rFonts w:ascii="Book Antiqua" w:hAnsi="Book Antiqua" w:cs="SimSun"/>
          <w:b/>
          <w:bCs/>
          <w:color w:val="000000"/>
          <w:kern w:val="0"/>
        </w:rPr>
        <w:t>Bai QX</w:t>
      </w:r>
      <w:r w:rsidRPr="00CB6DBE">
        <w:rPr>
          <w:rFonts w:ascii="Book Antiqua" w:hAnsi="Book Antiqua" w:cs="SimSun"/>
          <w:color w:val="000000"/>
          <w:kern w:val="0"/>
        </w:rPr>
        <w:t>, Huan Y, Wang JH, Yang LJ, Dong HJ. Successful treatment of liver aspergilloma by caspofungin acetate first-line therapy in a non-immunocompromised patient. </w:t>
      </w:r>
      <w:r w:rsidRPr="00CB6DBE">
        <w:rPr>
          <w:rFonts w:ascii="Book Antiqua" w:hAnsi="Book Antiqua" w:cs="SimSun"/>
          <w:i/>
          <w:iCs/>
          <w:color w:val="000000"/>
          <w:kern w:val="0"/>
        </w:rPr>
        <w:t>Int J Mol Sci</w:t>
      </w:r>
      <w:r w:rsidRPr="00CB6DBE">
        <w:rPr>
          <w:rFonts w:ascii="Book Antiqua" w:hAnsi="Book Antiqua" w:cs="SimSun"/>
          <w:color w:val="000000"/>
          <w:kern w:val="0"/>
        </w:rPr>
        <w:t> 2012; </w:t>
      </w:r>
      <w:r w:rsidRPr="00CB6DBE">
        <w:rPr>
          <w:rFonts w:ascii="Book Antiqua" w:hAnsi="Book Antiqua" w:cs="SimSun"/>
          <w:b/>
          <w:bCs/>
          <w:color w:val="000000"/>
          <w:kern w:val="0"/>
        </w:rPr>
        <w:t>13</w:t>
      </w:r>
      <w:r w:rsidRPr="00CB6DBE">
        <w:rPr>
          <w:rFonts w:ascii="Book Antiqua" w:hAnsi="Book Antiqua" w:cs="SimSun"/>
          <w:color w:val="000000"/>
          <w:kern w:val="0"/>
        </w:rPr>
        <w:t>: 11063-11070 [PMID: 23109838 DOI: 10.3390/ijms130911063]</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14 </w:t>
      </w:r>
      <w:r w:rsidRPr="00CB6DBE">
        <w:rPr>
          <w:rFonts w:ascii="Book Antiqua" w:hAnsi="Book Antiqua" w:cs="SimSun"/>
          <w:b/>
          <w:bCs/>
          <w:color w:val="000000"/>
          <w:kern w:val="0"/>
        </w:rPr>
        <w:t>Chasan R</w:t>
      </w:r>
      <w:r w:rsidRPr="00CB6DBE">
        <w:rPr>
          <w:rFonts w:ascii="Book Antiqua" w:hAnsi="Book Antiqua" w:cs="SimSun"/>
          <w:color w:val="000000"/>
          <w:kern w:val="0"/>
        </w:rPr>
        <w:t>, Patel G, Malone A, Finn M, Huprikar S. Primary hepatic aspergillosis following induction chemotherapy for acute leukemia. </w:t>
      </w:r>
      <w:r w:rsidRPr="00CB6DBE">
        <w:rPr>
          <w:rFonts w:ascii="Book Antiqua" w:hAnsi="Book Antiqua" w:cs="SimSun"/>
          <w:i/>
          <w:iCs/>
          <w:color w:val="000000"/>
          <w:kern w:val="0"/>
        </w:rPr>
        <w:t>Transpl Infect Dis</w:t>
      </w:r>
      <w:r w:rsidRPr="00CB6DBE">
        <w:rPr>
          <w:rFonts w:ascii="Book Antiqua" w:hAnsi="Book Antiqua" w:cs="SimSun"/>
          <w:color w:val="000000"/>
          <w:kern w:val="0"/>
        </w:rPr>
        <w:t> 2013; </w:t>
      </w:r>
      <w:r w:rsidRPr="00CB6DBE">
        <w:rPr>
          <w:rFonts w:ascii="Book Antiqua" w:hAnsi="Book Antiqua" w:cs="SimSun"/>
          <w:b/>
          <w:bCs/>
          <w:color w:val="000000"/>
          <w:kern w:val="0"/>
        </w:rPr>
        <w:t>15</w:t>
      </w:r>
      <w:r w:rsidRPr="00CB6DBE">
        <w:rPr>
          <w:rFonts w:ascii="Book Antiqua" w:hAnsi="Book Antiqua" w:cs="SimSun"/>
          <w:color w:val="000000"/>
          <w:kern w:val="0"/>
        </w:rPr>
        <w:t>: E201-E205 [PMID: 24034232 DOI: 10.1111/tid.12127]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15 </w:t>
      </w:r>
      <w:r w:rsidRPr="00CB6DBE">
        <w:rPr>
          <w:rFonts w:ascii="Book Antiqua" w:hAnsi="Book Antiqua" w:cs="SimSun"/>
          <w:b/>
          <w:bCs/>
          <w:color w:val="000000"/>
          <w:kern w:val="0"/>
        </w:rPr>
        <w:t>van der Velden WJ</w:t>
      </w:r>
      <w:r w:rsidRPr="00CB6DBE">
        <w:rPr>
          <w:rFonts w:ascii="Book Antiqua" w:hAnsi="Book Antiqua" w:cs="SimSun"/>
          <w:color w:val="000000"/>
          <w:kern w:val="0"/>
        </w:rPr>
        <w:t>, Blijlevens NM, Klont RR, Donnelly JP, Verweij PE. Primary hepatic invasive aspergillosis with progression after rituximab therapy for a post transplantation lymphoproliferative disorder. </w:t>
      </w:r>
      <w:r w:rsidRPr="00CB6DBE">
        <w:rPr>
          <w:rFonts w:ascii="Book Antiqua" w:hAnsi="Book Antiqua" w:cs="SimSun"/>
          <w:i/>
          <w:iCs/>
          <w:color w:val="000000"/>
          <w:kern w:val="0"/>
        </w:rPr>
        <w:t>Ann Hematol</w:t>
      </w:r>
      <w:r w:rsidRPr="00CB6DBE">
        <w:rPr>
          <w:rFonts w:ascii="Book Antiqua" w:hAnsi="Book Antiqua" w:cs="SimSun"/>
          <w:color w:val="000000"/>
          <w:kern w:val="0"/>
        </w:rPr>
        <w:t> 2006; </w:t>
      </w:r>
      <w:r w:rsidRPr="00CB6DBE">
        <w:rPr>
          <w:rFonts w:ascii="Book Antiqua" w:hAnsi="Book Antiqua" w:cs="SimSun"/>
          <w:b/>
          <w:bCs/>
          <w:color w:val="000000"/>
          <w:kern w:val="0"/>
        </w:rPr>
        <w:t>85</w:t>
      </w:r>
      <w:r w:rsidRPr="00CB6DBE">
        <w:rPr>
          <w:rFonts w:ascii="Book Antiqua" w:hAnsi="Book Antiqua" w:cs="SimSun"/>
          <w:color w:val="000000"/>
          <w:kern w:val="0"/>
        </w:rPr>
        <w:t>: 621-623 [PMID: 16758192]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16 </w:t>
      </w:r>
      <w:r w:rsidRPr="00CB6DBE">
        <w:rPr>
          <w:rFonts w:ascii="Book Antiqua" w:hAnsi="Book Antiqua" w:cs="SimSun"/>
          <w:b/>
          <w:bCs/>
          <w:color w:val="000000"/>
          <w:kern w:val="0"/>
        </w:rPr>
        <w:t>Stevens DA</w:t>
      </w:r>
      <w:r w:rsidRPr="00CB6DBE">
        <w:rPr>
          <w:rFonts w:ascii="Book Antiqua" w:hAnsi="Book Antiqua" w:cs="SimSun"/>
          <w:color w:val="000000"/>
          <w:kern w:val="0"/>
        </w:rPr>
        <w:t>, Melikian GL. Aspergillosis in the 'nonimmunocompromised' host. </w:t>
      </w:r>
      <w:r w:rsidRPr="00CB6DBE">
        <w:rPr>
          <w:rFonts w:ascii="Book Antiqua" w:hAnsi="Book Antiqua" w:cs="SimSun"/>
          <w:i/>
          <w:iCs/>
          <w:color w:val="000000"/>
          <w:kern w:val="0"/>
        </w:rPr>
        <w:t>Immunol Invest</w:t>
      </w:r>
      <w:r w:rsidRPr="00CB6DBE">
        <w:rPr>
          <w:rFonts w:ascii="Book Antiqua" w:hAnsi="Book Antiqua" w:cs="SimSun"/>
          <w:color w:val="000000"/>
          <w:kern w:val="0"/>
        </w:rPr>
        <w:t> 2011; </w:t>
      </w:r>
      <w:r w:rsidRPr="00CB6DBE">
        <w:rPr>
          <w:rFonts w:ascii="Book Antiqua" w:hAnsi="Book Antiqua" w:cs="SimSun"/>
          <w:b/>
          <w:bCs/>
          <w:color w:val="000000"/>
          <w:kern w:val="0"/>
        </w:rPr>
        <w:t>40</w:t>
      </w:r>
      <w:r w:rsidRPr="00CB6DBE">
        <w:rPr>
          <w:rFonts w:ascii="Book Antiqua" w:hAnsi="Book Antiqua" w:cs="SimSun"/>
          <w:color w:val="000000"/>
          <w:kern w:val="0"/>
        </w:rPr>
        <w:t>: 751-766 [PMID: 21985304 DOI: 10.3109/08820139.2011.614307]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17 </w:t>
      </w:r>
      <w:r w:rsidRPr="00CB6DBE">
        <w:rPr>
          <w:rFonts w:ascii="Book Antiqua" w:hAnsi="Book Antiqua" w:cs="SimSun"/>
          <w:b/>
          <w:bCs/>
          <w:color w:val="000000"/>
          <w:kern w:val="0"/>
        </w:rPr>
        <w:t>Sanders DL</w:t>
      </w:r>
      <w:r w:rsidRPr="00CB6DBE">
        <w:rPr>
          <w:rFonts w:ascii="Book Antiqua" w:hAnsi="Book Antiqua" w:cs="SimSun"/>
          <w:color w:val="000000"/>
          <w:kern w:val="0"/>
        </w:rPr>
        <w:t>, Pfeiffer RB, Hashimoto LA, Subramony C, Chen F. Pseudomembranous gastritis: a complication from aspergillus infection. </w:t>
      </w:r>
      <w:r w:rsidRPr="00CB6DBE">
        <w:rPr>
          <w:rFonts w:ascii="Book Antiqua" w:hAnsi="Book Antiqua" w:cs="SimSun"/>
          <w:i/>
          <w:iCs/>
          <w:color w:val="000000"/>
          <w:kern w:val="0"/>
        </w:rPr>
        <w:t>Am Surg</w:t>
      </w:r>
      <w:r w:rsidRPr="00CB6DBE">
        <w:rPr>
          <w:rFonts w:ascii="Book Antiqua" w:hAnsi="Book Antiqua" w:cs="SimSun"/>
          <w:color w:val="000000"/>
          <w:kern w:val="0"/>
        </w:rPr>
        <w:t> 2003; </w:t>
      </w:r>
      <w:r w:rsidRPr="00CB6DBE">
        <w:rPr>
          <w:rFonts w:ascii="Book Antiqua" w:hAnsi="Book Antiqua" w:cs="SimSun"/>
          <w:b/>
          <w:bCs/>
          <w:color w:val="000000"/>
          <w:kern w:val="0"/>
        </w:rPr>
        <w:t>69</w:t>
      </w:r>
      <w:r w:rsidRPr="00CB6DBE">
        <w:rPr>
          <w:rFonts w:ascii="Book Antiqua" w:hAnsi="Book Antiqua" w:cs="SimSun"/>
          <w:color w:val="000000"/>
          <w:kern w:val="0"/>
        </w:rPr>
        <w:t>: 536-538 [PMID: 12852516]</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18 </w:t>
      </w:r>
      <w:r w:rsidRPr="00CB6DBE">
        <w:rPr>
          <w:rFonts w:ascii="Book Antiqua" w:hAnsi="Book Antiqua" w:cs="SimSun"/>
          <w:b/>
          <w:bCs/>
          <w:color w:val="000000"/>
          <w:kern w:val="0"/>
        </w:rPr>
        <w:t>Denning DW</w:t>
      </w:r>
      <w:r w:rsidRPr="00CB6DBE">
        <w:rPr>
          <w:rFonts w:ascii="Book Antiqua" w:hAnsi="Book Antiqua" w:cs="SimSun"/>
          <w:color w:val="000000"/>
          <w:kern w:val="0"/>
        </w:rPr>
        <w:t>. Therapeutic outcome in invasive aspergillosis. </w:t>
      </w:r>
      <w:r w:rsidRPr="00CB6DBE">
        <w:rPr>
          <w:rFonts w:ascii="Book Antiqua" w:hAnsi="Book Antiqua" w:cs="SimSun"/>
          <w:i/>
          <w:iCs/>
          <w:color w:val="000000"/>
          <w:kern w:val="0"/>
        </w:rPr>
        <w:t>Clin Infect Dis</w:t>
      </w:r>
      <w:r w:rsidRPr="00CB6DBE">
        <w:rPr>
          <w:rFonts w:ascii="Book Antiqua" w:hAnsi="Book Antiqua" w:cs="SimSun"/>
          <w:color w:val="000000"/>
          <w:kern w:val="0"/>
        </w:rPr>
        <w:t> 1996; </w:t>
      </w:r>
      <w:r w:rsidRPr="00CB6DBE">
        <w:rPr>
          <w:rFonts w:ascii="Book Antiqua" w:hAnsi="Book Antiqua" w:cs="SimSun"/>
          <w:b/>
          <w:bCs/>
          <w:color w:val="000000"/>
          <w:kern w:val="0"/>
        </w:rPr>
        <w:t>23</w:t>
      </w:r>
      <w:r w:rsidRPr="00CB6DBE">
        <w:rPr>
          <w:rFonts w:ascii="Book Antiqua" w:hAnsi="Book Antiqua" w:cs="SimSun"/>
          <w:color w:val="000000"/>
          <w:kern w:val="0"/>
        </w:rPr>
        <w:t>: 608-615 [PMID: 8879787]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19 </w:t>
      </w:r>
      <w:r w:rsidRPr="00CB6DBE">
        <w:rPr>
          <w:rFonts w:ascii="Book Antiqua" w:hAnsi="Book Antiqua" w:cs="SimSun"/>
          <w:b/>
          <w:bCs/>
          <w:color w:val="000000"/>
          <w:kern w:val="0"/>
        </w:rPr>
        <w:t>Dagenais TR</w:t>
      </w:r>
      <w:r w:rsidRPr="00CB6DBE">
        <w:rPr>
          <w:rFonts w:ascii="Book Antiqua" w:hAnsi="Book Antiqua" w:cs="SimSun"/>
          <w:color w:val="000000"/>
          <w:kern w:val="0"/>
        </w:rPr>
        <w:t>, Keller NP. Pathogenesis of Aspergillus fumigatus in Invasive Aspergillosis. </w:t>
      </w:r>
      <w:r w:rsidRPr="00CB6DBE">
        <w:rPr>
          <w:rFonts w:ascii="Book Antiqua" w:hAnsi="Book Antiqua" w:cs="SimSun"/>
          <w:i/>
          <w:iCs/>
          <w:color w:val="000000"/>
          <w:kern w:val="0"/>
        </w:rPr>
        <w:t>Clin Microbiol Rev</w:t>
      </w:r>
      <w:r w:rsidRPr="00CB6DBE">
        <w:rPr>
          <w:rFonts w:ascii="Book Antiqua" w:hAnsi="Book Antiqua" w:cs="SimSun"/>
          <w:color w:val="000000"/>
          <w:kern w:val="0"/>
        </w:rPr>
        <w:t> 2009; </w:t>
      </w:r>
      <w:r w:rsidRPr="00CB6DBE">
        <w:rPr>
          <w:rFonts w:ascii="Book Antiqua" w:hAnsi="Book Antiqua" w:cs="SimSun"/>
          <w:b/>
          <w:bCs/>
          <w:color w:val="000000"/>
          <w:kern w:val="0"/>
        </w:rPr>
        <w:t>22</w:t>
      </w:r>
      <w:r w:rsidRPr="00CB6DBE">
        <w:rPr>
          <w:rFonts w:ascii="Book Antiqua" w:hAnsi="Book Antiqua" w:cs="SimSun"/>
          <w:color w:val="000000"/>
          <w:kern w:val="0"/>
        </w:rPr>
        <w:t>: 447-465 [PMID: 19597008 DOI: 10.1128/CMR.00055-08]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20 </w:t>
      </w:r>
      <w:r w:rsidRPr="00CB6DBE">
        <w:rPr>
          <w:rFonts w:ascii="Book Antiqua" w:hAnsi="Book Antiqua" w:cs="SimSun"/>
          <w:b/>
          <w:bCs/>
          <w:color w:val="000000"/>
          <w:kern w:val="0"/>
        </w:rPr>
        <w:t>Gerson SL</w:t>
      </w:r>
      <w:r w:rsidRPr="00CB6DBE">
        <w:rPr>
          <w:rFonts w:ascii="Book Antiqua" w:hAnsi="Book Antiqua" w:cs="SimSun"/>
          <w:color w:val="000000"/>
          <w:kern w:val="0"/>
        </w:rPr>
        <w:t>, Talbot GH, Hurwitz S, Strom BL, Lusk EJ, Cassileth PA. Prolonged granulocytopenia: the major risk factor for invasive pulmonary aspergillosis in patients with acute leukemia. </w:t>
      </w:r>
      <w:r w:rsidRPr="00CB6DBE">
        <w:rPr>
          <w:rFonts w:ascii="Book Antiqua" w:hAnsi="Book Antiqua" w:cs="SimSun"/>
          <w:i/>
          <w:iCs/>
          <w:color w:val="000000"/>
          <w:kern w:val="0"/>
        </w:rPr>
        <w:t>Ann Intern Med</w:t>
      </w:r>
      <w:r w:rsidRPr="00CB6DBE">
        <w:rPr>
          <w:rFonts w:ascii="Book Antiqua" w:hAnsi="Book Antiqua" w:cs="SimSun"/>
          <w:color w:val="000000"/>
          <w:kern w:val="0"/>
        </w:rPr>
        <w:t> 1984; </w:t>
      </w:r>
      <w:r w:rsidRPr="00CB6DBE">
        <w:rPr>
          <w:rFonts w:ascii="Book Antiqua" w:hAnsi="Book Antiqua" w:cs="SimSun"/>
          <w:b/>
          <w:bCs/>
          <w:color w:val="000000"/>
          <w:kern w:val="0"/>
        </w:rPr>
        <w:t>100</w:t>
      </w:r>
      <w:r w:rsidRPr="00CB6DBE">
        <w:rPr>
          <w:rFonts w:ascii="Book Antiqua" w:hAnsi="Book Antiqua" w:cs="SimSun"/>
          <w:color w:val="000000"/>
          <w:kern w:val="0"/>
        </w:rPr>
        <w:t>: 345-351 [PMID: 6696356]</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21 </w:t>
      </w:r>
      <w:r w:rsidRPr="00CB6DBE">
        <w:rPr>
          <w:rFonts w:ascii="Book Antiqua" w:hAnsi="Book Antiqua" w:cs="SimSun"/>
          <w:b/>
          <w:bCs/>
          <w:color w:val="000000"/>
          <w:kern w:val="0"/>
        </w:rPr>
        <w:t>Pagano L</w:t>
      </w:r>
      <w:r w:rsidRPr="00CB6DBE">
        <w:rPr>
          <w:rFonts w:ascii="Book Antiqua" w:hAnsi="Book Antiqua" w:cs="SimSun"/>
          <w:color w:val="000000"/>
          <w:kern w:val="0"/>
        </w:rPr>
        <w:t xml:space="preserve">, Caira M, Candoni A, Offidani M, Martino B, Specchia G, Pastore D, Stanzani M, Cattaneo C, Fanci R, Caramatti C, Rossini F, Luppi M, Potenza L, Ferrara F, Mitra ME, Fadda RM, Invernizzi R, Aloisi T, Picardi M, Bonini A, Vacca A, Chierichini A, Melillo L, de Waure C, Fianchi L, Riva M, Leone G, Aversa F, Nosari A. Invasive aspergillosis in patients with </w:t>
      </w:r>
      <w:r w:rsidRPr="00CB6DBE">
        <w:rPr>
          <w:rFonts w:ascii="Book Antiqua" w:hAnsi="Book Antiqua" w:cs="SimSun"/>
          <w:color w:val="000000"/>
          <w:kern w:val="0"/>
        </w:rPr>
        <w:lastRenderedPageBreak/>
        <w:t>acute myeloid leukemia: a SEIFEM-2008 registry study. </w:t>
      </w:r>
      <w:r w:rsidRPr="00CB6DBE">
        <w:rPr>
          <w:rFonts w:ascii="Book Antiqua" w:hAnsi="Book Antiqua" w:cs="SimSun"/>
          <w:i/>
          <w:iCs/>
          <w:color w:val="000000"/>
          <w:kern w:val="0"/>
        </w:rPr>
        <w:t>Haematologica</w:t>
      </w:r>
      <w:r w:rsidRPr="00CB6DBE">
        <w:rPr>
          <w:rFonts w:ascii="Book Antiqua" w:hAnsi="Book Antiqua" w:cs="SimSun"/>
          <w:color w:val="000000"/>
          <w:kern w:val="0"/>
        </w:rPr>
        <w:t> 2010; </w:t>
      </w:r>
      <w:r w:rsidRPr="00CB6DBE">
        <w:rPr>
          <w:rFonts w:ascii="Book Antiqua" w:hAnsi="Book Antiqua" w:cs="SimSun"/>
          <w:b/>
          <w:bCs/>
          <w:color w:val="000000"/>
          <w:kern w:val="0"/>
        </w:rPr>
        <w:t>95</w:t>
      </w:r>
      <w:r w:rsidRPr="00CB6DBE">
        <w:rPr>
          <w:rFonts w:ascii="Book Antiqua" w:hAnsi="Book Antiqua" w:cs="SimSun"/>
          <w:color w:val="000000"/>
          <w:kern w:val="0"/>
        </w:rPr>
        <w:t>: 644-650 [PMID: 19850903 DOI: 10.3324/haematol.2009.012054]</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22 </w:t>
      </w:r>
      <w:r w:rsidRPr="00CB6DBE">
        <w:rPr>
          <w:rFonts w:ascii="Book Antiqua" w:hAnsi="Book Antiqua" w:cs="SimSun"/>
          <w:b/>
          <w:bCs/>
          <w:color w:val="000000"/>
          <w:kern w:val="0"/>
        </w:rPr>
        <w:t>Karaman I</w:t>
      </w:r>
      <w:r w:rsidRPr="00CB6DBE">
        <w:rPr>
          <w:rFonts w:ascii="Book Antiqua" w:hAnsi="Book Antiqua" w:cs="SimSun"/>
          <w:color w:val="000000"/>
          <w:kern w:val="0"/>
        </w:rPr>
        <w:t>, Karaman A, Boduroğlu EC, Erdoğan D, Tanır G. Invasive Aspergillus infection localized to the gastric wall: report of a case. </w:t>
      </w:r>
      <w:r w:rsidRPr="00CB6DBE">
        <w:rPr>
          <w:rFonts w:ascii="Book Antiqua" w:hAnsi="Book Antiqua" w:cs="SimSun"/>
          <w:i/>
          <w:iCs/>
          <w:color w:val="000000"/>
          <w:kern w:val="0"/>
        </w:rPr>
        <w:t>Surg Today</w:t>
      </w:r>
      <w:r w:rsidRPr="00CB6DBE">
        <w:rPr>
          <w:rFonts w:ascii="Book Antiqua" w:hAnsi="Book Antiqua" w:cs="SimSun"/>
          <w:color w:val="000000"/>
          <w:kern w:val="0"/>
        </w:rPr>
        <w:t> 2013; </w:t>
      </w:r>
      <w:r w:rsidRPr="00CB6DBE">
        <w:rPr>
          <w:rFonts w:ascii="Book Antiqua" w:hAnsi="Book Antiqua" w:cs="SimSun"/>
          <w:b/>
          <w:bCs/>
          <w:color w:val="000000"/>
          <w:kern w:val="0"/>
        </w:rPr>
        <w:t>43</w:t>
      </w:r>
      <w:r w:rsidRPr="00CB6DBE">
        <w:rPr>
          <w:rFonts w:ascii="Book Antiqua" w:hAnsi="Book Antiqua" w:cs="SimSun"/>
          <w:color w:val="000000"/>
          <w:kern w:val="0"/>
        </w:rPr>
        <w:t>: 682-684 [PMID: 22864935 DOI: 10.1007/s00595-012-0255-0]</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 xml:space="preserve">23 </w:t>
      </w:r>
      <w:r w:rsidRPr="00CB6DBE">
        <w:rPr>
          <w:rFonts w:ascii="Book Antiqua" w:hAnsi="Book Antiqua" w:cs="SimSun"/>
          <w:b/>
          <w:color w:val="000000"/>
          <w:kern w:val="0"/>
        </w:rPr>
        <w:t>Denning DW</w:t>
      </w:r>
      <w:r w:rsidRPr="00CB6DBE">
        <w:rPr>
          <w:rFonts w:ascii="Book Antiqua" w:hAnsi="Book Antiqua" w:cs="SimSun"/>
          <w:color w:val="000000"/>
          <w:kern w:val="0"/>
        </w:rPr>
        <w:t>. Aspergillosis. In: Longo DL, Kasper DL, Jameson JL, Fauci AS, Hauser SL, Loscalzo J, eds. Harrison’s Principles of Internal Medicine, 18th Edition. New York City, McGraw – Hill, 2012. Pages: 1655-1660</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24 </w:t>
      </w:r>
      <w:r w:rsidRPr="00CB6DBE">
        <w:rPr>
          <w:rFonts w:ascii="Book Antiqua" w:hAnsi="Book Antiqua" w:cs="SimSun"/>
          <w:b/>
          <w:bCs/>
          <w:color w:val="000000"/>
          <w:kern w:val="0"/>
        </w:rPr>
        <w:t>Bartlett JG</w:t>
      </w:r>
      <w:r w:rsidRPr="00CB6DBE">
        <w:rPr>
          <w:rFonts w:ascii="Book Antiqua" w:hAnsi="Book Antiqua" w:cs="SimSun"/>
          <w:color w:val="000000"/>
          <w:kern w:val="0"/>
        </w:rPr>
        <w:t>. Aspergillosis update. </w:t>
      </w:r>
      <w:r w:rsidRPr="00CB6DBE">
        <w:rPr>
          <w:rFonts w:ascii="Book Antiqua" w:hAnsi="Book Antiqua" w:cs="SimSun"/>
          <w:i/>
          <w:iCs/>
          <w:color w:val="000000"/>
          <w:kern w:val="0"/>
        </w:rPr>
        <w:t>Medicine (Baltimore)</w:t>
      </w:r>
      <w:r w:rsidRPr="00CB6DBE">
        <w:rPr>
          <w:rFonts w:ascii="Book Antiqua" w:hAnsi="Book Antiqua" w:cs="SimSun"/>
          <w:color w:val="000000"/>
          <w:kern w:val="0"/>
        </w:rPr>
        <w:t> 2000; </w:t>
      </w:r>
      <w:r w:rsidRPr="00CB6DBE">
        <w:rPr>
          <w:rFonts w:ascii="Book Antiqua" w:hAnsi="Book Antiqua" w:cs="SimSun"/>
          <w:b/>
          <w:bCs/>
          <w:color w:val="000000"/>
          <w:kern w:val="0"/>
        </w:rPr>
        <w:t>79</w:t>
      </w:r>
      <w:r w:rsidRPr="00CB6DBE">
        <w:rPr>
          <w:rFonts w:ascii="Book Antiqua" w:hAnsi="Book Antiqua" w:cs="SimSun"/>
          <w:color w:val="000000"/>
          <w:kern w:val="0"/>
        </w:rPr>
        <w:t>: 281-282 [PMID: 10941357]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25 </w:t>
      </w:r>
      <w:r w:rsidRPr="00CB6DBE">
        <w:rPr>
          <w:rFonts w:ascii="Book Antiqua" w:hAnsi="Book Antiqua" w:cs="SimSun"/>
          <w:b/>
          <w:bCs/>
          <w:color w:val="000000"/>
          <w:kern w:val="0"/>
        </w:rPr>
        <w:t>Prescott RJ</w:t>
      </w:r>
      <w:r w:rsidRPr="00CB6DBE">
        <w:rPr>
          <w:rFonts w:ascii="Book Antiqua" w:hAnsi="Book Antiqua" w:cs="SimSun"/>
          <w:color w:val="000000"/>
          <w:kern w:val="0"/>
        </w:rPr>
        <w:t>, Harris M, Banerjee SS. Fungal infections of the small and large intestine. </w:t>
      </w:r>
      <w:r w:rsidRPr="00CB6DBE">
        <w:rPr>
          <w:rFonts w:ascii="Book Antiqua" w:hAnsi="Book Antiqua" w:cs="SimSun"/>
          <w:i/>
          <w:iCs/>
          <w:color w:val="000000"/>
          <w:kern w:val="0"/>
        </w:rPr>
        <w:t>J Clin Pathol</w:t>
      </w:r>
      <w:r w:rsidRPr="00CB6DBE">
        <w:rPr>
          <w:rFonts w:ascii="Book Antiqua" w:hAnsi="Book Antiqua" w:cs="SimSun"/>
          <w:color w:val="000000"/>
          <w:kern w:val="0"/>
        </w:rPr>
        <w:t> 1992; </w:t>
      </w:r>
      <w:r w:rsidRPr="00CB6DBE">
        <w:rPr>
          <w:rFonts w:ascii="Book Antiqua" w:hAnsi="Book Antiqua" w:cs="SimSun"/>
          <w:b/>
          <w:bCs/>
          <w:color w:val="000000"/>
          <w:kern w:val="0"/>
        </w:rPr>
        <w:t>45</w:t>
      </w:r>
      <w:r w:rsidRPr="00CB6DBE">
        <w:rPr>
          <w:rFonts w:ascii="Book Antiqua" w:hAnsi="Book Antiqua" w:cs="SimSun"/>
          <w:color w:val="000000"/>
          <w:kern w:val="0"/>
        </w:rPr>
        <w:t>: 806-811 [PMID: 1401213]</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26 </w:t>
      </w:r>
      <w:r w:rsidRPr="00CB6DBE">
        <w:rPr>
          <w:rFonts w:ascii="Book Antiqua" w:hAnsi="Book Antiqua" w:cs="SimSun"/>
          <w:b/>
          <w:bCs/>
          <w:color w:val="000000"/>
          <w:kern w:val="0"/>
        </w:rPr>
        <w:t>Weingrad DN</w:t>
      </w:r>
      <w:r w:rsidRPr="00CB6DBE">
        <w:rPr>
          <w:rFonts w:ascii="Book Antiqua" w:hAnsi="Book Antiqua" w:cs="SimSun"/>
          <w:color w:val="000000"/>
          <w:kern w:val="0"/>
        </w:rPr>
        <w:t>, Knapper WH, Gold J, Mertelsmann R. Aspergillus Peritonitis complicating perforated appendicitis in adult acute leukemia. </w:t>
      </w:r>
      <w:r w:rsidRPr="00CB6DBE">
        <w:rPr>
          <w:rFonts w:ascii="Book Antiqua" w:hAnsi="Book Antiqua" w:cs="SimSun"/>
          <w:i/>
          <w:iCs/>
          <w:color w:val="000000"/>
          <w:kern w:val="0"/>
        </w:rPr>
        <w:t>J Surg Oncol</w:t>
      </w:r>
      <w:r w:rsidRPr="00CB6DBE">
        <w:rPr>
          <w:rFonts w:ascii="Book Antiqua" w:hAnsi="Book Antiqua" w:cs="SimSun"/>
          <w:color w:val="000000"/>
          <w:kern w:val="0"/>
        </w:rPr>
        <w:t> 1982; </w:t>
      </w:r>
      <w:r w:rsidRPr="00CB6DBE">
        <w:rPr>
          <w:rFonts w:ascii="Book Antiqua" w:hAnsi="Book Antiqua" w:cs="SimSun"/>
          <w:b/>
          <w:bCs/>
          <w:color w:val="000000"/>
          <w:kern w:val="0"/>
        </w:rPr>
        <w:t>19</w:t>
      </w:r>
      <w:r w:rsidRPr="00CB6DBE">
        <w:rPr>
          <w:rFonts w:ascii="Book Antiqua" w:hAnsi="Book Antiqua" w:cs="SimSun"/>
          <w:color w:val="000000"/>
          <w:kern w:val="0"/>
        </w:rPr>
        <w:t>: 5-8 [PMID: 6948978]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27</w:t>
      </w:r>
      <w:r w:rsidRPr="00CB6DBE">
        <w:rPr>
          <w:rFonts w:ascii="Book Antiqua" w:hAnsi="Book Antiqua" w:cs="SimSun"/>
          <w:b/>
          <w:color w:val="000000"/>
          <w:kern w:val="0"/>
        </w:rPr>
        <w:t xml:space="preserve"> Alaskar A</w:t>
      </w:r>
      <w:r w:rsidRPr="00CB6DBE">
        <w:rPr>
          <w:rFonts w:ascii="Book Antiqua" w:hAnsi="Book Antiqua" w:cs="SimSun"/>
          <w:color w:val="000000"/>
          <w:kern w:val="0"/>
        </w:rPr>
        <w:t xml:space="preserve">, Salih SB, Alshammari K, Bakkar M, Alkushi A. Appendicitis and intestinal infarction due to aspergillosis in a patient with acute myeloid leukemia. </w:t>
      </w:r>
      <w:r w:rsidRPr="00CB6DBE">
        <w:rPr>
          <w:rFonts w:ascii="Book Antiqua" w:hAnsi="Book Antiqua" w:cs="SimSun"/>
          <w:i/>
          <w:color w:val="000000"/>
          <w:kern w:val="0"/>
        </w:rPr>
        <w:t xml:space="preserve">J Appl Hematol </w:t>
      </w:r>
      <w:r w:rsidRPr="00CB6DBE">
        <w:rPr>
          <w:rFonts w:ascii="Book Antiqua" w:hAnsi="Book Antiqua" w:cs="SimSun"/>
          <w:color w:val="000000"/>
          <w:kern w:val="0"/>
        </w:rPr>
        <w:t xml:space="preserve">2014; </w:t>
      </w:r>
      <w:r w:rsidRPr="00CB6DBE">
        <w:rPr>
          <w:rFonts w:ascii="Book Antiqua" w:hAnsi="Book Antiqua" w:cs="SimSun"/>
          <w:b/>
          <w:color w:val="000000"/>
          <w:kern w:val="0"/>
        </w:rPr>
        <w:t>5</w:t>
      </w:r>
      <w:r w:rsidRPr="00CB6DBE">
        <w:rPr>
          <w:rFonts w:ascii="Book Antiqua" w:hAnsi="Book Antiqua" w:cs="SimSun"/>
          <w:color w:val="000000"/>
          <w:kern w:val="0"/>
        </w:rPr>
        <w:t>: 65-68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28 </w:t>
      </w:r>
      <w:r w:rsidRPr="00CB6DBE">
        <w:rPr>
          <w:rFonts w:ascii="Book Antiqua" w:hAnsi="Book Antiqua" w:cs="SimSun"/>
          <w:b/>
          <w:bCs/>
          <w:color w:val="000000"/>
          <w:kern w:val="0"/>
        </w:rPr>
        <w:t>Bömelburg T</w:t>
      </w:r>
      <w:r w:rsidRPr="00CB6DBE">
        <w:rPr>
          <w:rFonts w:ascii="Book Antiqua" w:hAnsi="Book Antiqua" w:cs="SimSun"/>
          <w:color w:val="000000"/>
          <w:kern w:val="0"/>
        </w:rPr>
        <w:t>, Roos N, von Lengerke HJ, Ritter J. Invasive aspergillosis complicating induction chemotherapy of childhood leukaemia. </w:t>
      </w:r>
      <w:r w:rsidRPr="00CB6DBE">
        <w:rPr>
          <w:rFonts w:ascii="Book Antiqua" w:hAnsi="Book Antiqua" w:cs="SimSun"/>
          <w:i/>
          <w:iCs/>
          <w:color w:val="000000"/>
          <w:kern w:val="0"/>
        </w:rPr>
        <w:t>Eur J Pediatr</w:t>
      </w:r>
      <w:r w:rsidRPr="00CB6DBE">
        <w:rPr>
          <w:rFonts w:ascii="Book Antiqua" w:hAnsi="Book Antiqua" w:cs="SimSun"/>
          <w:color w:val="000000"/>
          <w:kern w:val="0"/>
        </w:rPr>
        <w:t> 1992; </w:t>
      </w:r>
      <w:r w:rsidRPr="00CB6DBE">
        <w:rPr>
          <w:rFonts w:ascii="Book Antiqua" w:hAnsi="Book Antiqua" w:cs="SimSun"/>
          <w:b/>
          <w:bCs/>
          <w:color w:val="000000"/>
          <w:kern w:val="0"/>
        </w:rPr>
        <w:t>151</w:t>
      </w:r>
      <w:r w:rsidRPr="00CB6DBE">
        <w:rPr>
          <w:rFonts w:ascii="Book Antiqua" w:hAnsi="Book Antiqua" w:cs="SimSun"/>
          <w:color w:val="000000"/>
          <w:kern w:val="0"/>
        </w:rPr>
        <w:t>: 485-487 [PMID: 1396907]</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29 </w:t>
      </w:r>
      <w:r w:rsidRPr="00CB6DBE">
        <w:rPr>
          <w:rFonts w:ascii="Book Antiqua" w:hAnsi="Book Antiqua" w:cs="SimSun"/>
          <w:b/>
          <w:bCs/>
          <w:color w:val="000000"/>
          <w:kern w:val="0"/>
        </w:rPr>
        <w:t>Larbcharoensub N</w:t>
      </w:r>
      <w:r w:rsidRPr="00CB6DBE">
        <w:rPr>
          <w:rFonts w:ascii="Book Antiqua" w:hAnsi="Book Antiqua" w:cs="SimSun"/>
          <w:color w:val="000000"/>
          <w:kern w:val="0"/>
        </w:rPr>
        <w:t>, Boonsakan P, Kanoksil W, Wattanatranon D, Phongkitkarun S, Molagool S, Watcharananan SP. Fungal appendicitis: a case series and review of the literature. </w:t>
      </w:r>
      <w:r w:rsidRPr="00CB6DBE">
        <w:rPr>
          <w:rFonts w:ascii="Book Antiqua" w:hAnsi="Book Antiqua" w:cs="SimSun"/>
          <w:i/>
          <w:iCs/>
          <w:color w:val="000000"/>
          <w:kern w:val="0"/>
        </w:rPr>
        <w:t>Southeast Asian J Trop Med Public Health</w:t>
      </w:r>
      <w:r w:rsidRPr="00CB6DBE">
        <w:rPr>
          <w:rFonts w:ascii="Book Antiqua" w:hAnsi="Book Antiqua" w:cs="SimSun"/>
          <w:color w:val="000000"/>
          <w:kern w:val="0"/>
        </w:rPr>
        <w:t> 2013; </w:t>
      </w:r>
      <w:r w:rsidRPr="00CB6DBE">
        <w:rPr>
          <w:rFonts w:ascii="Book Antiqua" w:hAnsi="Book Antiqua" w:cs="SimSun"/>
          <w:b/>
          <w:bCs/>
          <w:color w:val="000000"/>
          <w:kern w:val="0"/>
        </w:rPr>
        <w:t>44</w:t>
      </w:r>
      <w:r w:rsidRPr="00CB6DBE">
        <w:rPr>
          <w:rFonts w:ascii="Book Antiqua" w:hAnsi="Book Antiqua" w:cs="SimSun"/>
          <w:color w:val="000000"/>
          <w:kern w:val="0"/>
        </w:rPr>
        <w:t>: 681-689 [PMID: 24050103]</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30 </w:t>
      </w:r>
      <w:r w:rsidRPr="00CB6DBE">
        <w:rPr>
          <w:rFonts w:ascii="Book Antiqua" w:hAnsi="Book Antiqua" w:cs="SimSun"/>
          <w:b/>
          <w:bCs/>
          <w:color w:val="000000"/>
          <w:kern w:val="0"/>
        </w:rPr>
        <w:t>Slavin RE</w:t>
      </w:r>
      <w:r w:rsidRPr="00CB6DBE">
        <w:rPr>
          <w:rFonts w:ascii="Book Antiqua" w:hAnsi="Book Antiqua" w:cs="SimSun"/>
          <w:color w:val="000000"/>
          <w:kern w:val="0"/>
        </w:rPr>
        <w:t>, Dias MA, Saral R. Cytosine arabinoside induced gastrointestinal toxic alterations in sequential chemotherapeutic protocols: a clinical-pathologic study of 33 patients. </w:t>
      </w:r>
      <w:r w:rsidRPr="00CB6DBE">
        <w:rPr>
          <w:rFonts w:ascii="Book Antiqua" w:hAnsi="Book Antiqua" w:cs="SimSun"/>
          <w:i/>
          <w:iCs/>
          <w:color w:val="000000"/>
          <w:kern w:val="0"/>
        </w:rPr>
        <w:t>Cancer</w:t>
      </w:r>
      <w:r w:rsidRPr="00CB6DBE">
        <w:rPr>
          <w:rFonts w:ascii="Book Antiqua" w:hAnsi="Book Antiqua" w:cs="SimSun"/>
          <w:color w:val="000000"/>
          <w:kern w:val="0"/>
        </w:rPr>
        <w:t> 1978; </w:t>
      </w:r>
      <w:r w:rsidRPr="00CB6DBE">
        <w:rPr>
          <w:rFonts w:ascii="Book Antiqua" w:hAnsi="Book Antiqua" w:cs="SimSun"/>
          <w:b/>
          <w:bCs/>
          <w:color w:val="000000"/>
          <w:kern w:val="0"/>
        </w:rPr>
        <w:t>42</w:t>
      </w:r>
      <w:r w:rsidRPr="00CB6DBE">
        <w:rPr>
          <w:rFonts w:ascii="Book Antiqua" w:hAnsi="Book Antiqua" w:cs="SimSun"/>
          <w:color w:val="000000"/>
          <w:kern w:val="0"/>
        </w:rPr>
        <w:t>: 1747-1759 [PMID: 709532]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31 </w:t>
      </w:r>
      <w:r w:rsidRPr="00CB6DBE">
        <w:rPr>
          <w:rFonts w:ascii="Book Antiqua" w:hAnsi="Book Antiqua" w:cs="SimSun"/>
          <w:b/>
          <w:bCs/>
          <w:color w:val="000000"/>
          <w:kern w:val="0"/>
        </w:rPr>
        <w:t>Ben-Ami R</w:t>
      </w:r>
      <w:r w:rsidRPr="00CB6DBE">
        <w:rPr>
          <w:rFonts w:ascii="Book Antiqua" w:hAnsi="Book Antiqua" w:cs="SimSun"/>
          <w:color w:val="000000"/>
          <w:kern w:val="0"/>
        </w:rPr>
        <w:t>, Lewis RE, Kontoyiannis DP. Enemy of the (immunosuppressed) state: an update on the pathogenesis of Aspergillus fumigatus infection. </w:t>
      </w:r>
      <w:r w:rsidRPr="00CB6DBE">
        <w:rPr>
          <w:rFonts w:ascii="Book Antiqua" w:hAnsi="Book Antiqua" w:cs="SimSun"/>
          <w:i/>
          <w:iCs/>
          <w:color w:val="000000"/>
          <w:kern w:val="0"/>
        </w:rPr>
        <w:t>Br J Haematol</w:t>
      </w:r>
      <w:r w:rsidRPr="00CB6DBE">
        <w:rPr>
          <w:rFonts w:ascii="Book Antiqua" w:hAnsi="Book Antiqua" w:cs="SimSun"/>
          <w:color w:val="000000"/>
          <w:kern w:val="0"/>
        </w:rPr>
        <w:t> 2010; </w:t>
      </w:r>
      <w:r w:rsidRPr="00CB6DBE">
        <w:rPr>
          <w:rFonts w:ascii="Book Antiqua" w:hAnsi="Book Antiqua" w:cs="SimSun"/>
          <w:b/>
          <w:bCs/>
          <w:color w:val="000000"/>
          <w:kern w:val="0"/>
        </w:rPr>
        <w:t>150</w:t>
      </w:r>
      <w:r w:rsidRPr="00CB6DBE">
        <w:rPr>
          <w:rFonts w:ascii="Book Antiqua" w:hAnsi="Book Antiqua" w:cs="SimSun"/>
          <w:color w:val="000000"/>
          <w:kern w:val="0"/>
        </w:rPr>
        <w:t>: 406-417 [PMID: 20618330 DOI: 10.1111/j.1365-2141.2010.08283.x]</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lastRenderedPageBreak/>
        <w:t>32 </w:t>
      </w:r>
      <w:r w:rsidRPr="00CB6DBE">
        <w:rPr>
          <w:rFonts w:ascii="Book Antiqua" w:hAnsi="Book Antiqua" w:cs="SimSun"/>
          <w:b/>
          <w:bCs/>
          <w:color w:val="000000"/>
          <w:kern w:val="0"/>
        </w:rPr>
        <w:t>Arber C</w:t>
      </w:r>
      <w:r w:rsidRPr="00CB6DBE">
        <w:rPr>
          <w:rFonts w:ascii="Book Antiqua" w:hAnsi="Book Antiqua" w:cs="SimSun"/>
          <w:color w:val="000000"/>
          <w:kern w:val="0"/>
        </w:rPr>
        <w:t>, Bitmansour A, Shashidhar S, Wang S, Tseng B, Brown JM. Protection against lethal Aspergillus fumigatus infection in mice by allogeneic myeloid progenitors is not major histocompatibility complex restricted. </w:t>
      </w:r>
      <w:r w:rsidRPr="00CB6DBE">
        <w:rPr>
          <w:rFonts w:ascii="Book Antiqua" w:hAnsi="Book Antiqua" w:cs="SimSun"/>
          <w:i/>
          <w:iCs/>
          <w:color w:val="000000"/>
          <w:kern w:val="0"/>
        </w:rPr>
        <w:t>J Infect Dis</w:t>
      </w:r>
      <w:r w:rsidRPr="00CB6DBE">
        <w:rPr>
          <w:rFonts w:ascii="Book Antiqua" w:hAnsi="Book Antiqua" w:cs="SimSun"/>
          <w:color w:val="000000"/>
          <w:kern w:val="0"/>
        </w:rPr>
        <w:t> 2005; </w:t>
      </w:r>
      <w:r w:rsidRPr="00CB6DBE">
        <w:rPr>
          <w:rFonts w:ascii="Book Antiqua" w:hAnsi="Book Antiqua" w:cs="SimSun"/>
          <w:b/>
          <w:bCs/>
          <w:color w:val="000000"/>
          <w:kern w:val="0"/>
        </w:rPr>
        <w:t>192</w:t>
      </w:r>
      <w:r w:rsidRPr="00CB6DBE">
        <w:rPr>
          <w:rFonts w:ascii="Book Antiqua" w:hAnsi="Book Antiqua" w:cs="SimSun"/>
          <w:color w:val="000000"/>
          <w:kern w:val="0"/>
        </w:rPr>
        <w:t>: 1666-1671 [PMID: 16206084]</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33 </w:t>
      </w:r>
      <w:r w:rsidRPr="00CB6DBE">
        <w:rPr>
          <w:rFonts w:ascii="Book Antiqua" w:hAnsi="Book Antiqua" w:cs="SimSun"/>
          <w:b/>
          <w:bCs/>
          <w:color w:val="000000"/>
          <w:kern w:val="0"/>
        </w:rPr>
        <w:t>BitMansour A</w:t>
      </w:r>
      <w:r w:rsidRPr="00CB6DBE">
        <w:rPr>
          <w:rFonts w:ascii="Book Antiqua" w:hAnsi="Book Antiqua" w:cs="SimSun"/>
          <w:color w:val="000000"/>
          <w:kern w:val="0"/>
        </w:rPr>
        <w:t>, Cao TM, Chao S, Shashidhar S, Brown JM. Single infusion of myeloid progenitors reduces death from Aspergillus fumigatus following chemotherapy-induced neutropenia. </w:t>
      </w:r>
      <w:r w:rsidRPr="00CB6DBE">
        <w:rPr>
          <w:rFonts w:ascii="Book Antiqua" w:hAnsi="Book Antiqua" w:cs="SimSun"/>
          <w:i/>
          <w:iCs/>
          <w:color w:val="000000"/>
          <w:kern w:val="0"/>
        </w:rPr>
        <w:t>Blood</w:t>
      </w:r>
      <w:r w:rsidRPr="00CB6DBE">
        <w:rPr>
          <w:rFonts w:ascii="Book Antiqua" w:hAnsi="Book Antiqua" w:cs="SimSun"/>
          <w:color w:val="000000"/>
          <w:kern w:val="0"/>
        </w:rPr>
        <w:t> 2005; </w:t>
      </w:r>
      <w:r w:rsidRPr="00CB6DBE">
        <w:rPr>
          <w:rFonts w:ascii="Book Antiqua" w:hAnsi="Book Antiqua" w:cs="SimSun"/>
          <w:b/>
          <w:bCs/>
          <w:color w:val="000000"/>
          <w:kern w:val="0"/>
        </w:rPr>
        <w:t>105</w:t>
      </w:r>
      <w:r w:rsidRPr="00CB6DBE">
        <w:rPr>
          <w:rFonts w:ascii="Book Antiqua" w:hAnsi="Book Antiqua" w:cs="SimSun"/>
          <w:color w:val="000000"/>
          <w:kern w:val="0"/>
        </w:rPr>
        <w:t>: 3535-3537 [PMID: 15576478]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34 </w:t>
      </w:r>
      <w:r w:rsidRPr="00CB6DBE">
        <w:rPr>
          <w:rFonts w:ascii="Book Antiqua" w:hAnsi="Book Antiqua" w:cs="SimSun"/>
          <w:b/>
          <w:bCs/>
          <w:color w:val="000000"/>
          <w:kern w:val="0"/>
        </w:rPr>
        <w:t>Aapro MS</w:t>
      </w:r>
      <w:r w:rsidRPr="00CB6DBE">
        <w:rPr>
          <w:rFonts w:ascii="Book Antiqua" w:hAnsi="Book Antiqua" w:cs="SimSun"/>
          <w:color w:val="000000"/>
          <w:kern w:val="0"/>
        </w:rPr>
        <w:t>, Bohlius J, Cameron DA, Dal Lago L, Donnelly JP, Kearney N, Lyman GH, Pettengell R, Tjan-Heijnen VC, Walewski J, Weber DC, Zielinski C. 2010 update of EORTC guidelines for the use of granulocyte-colony stimulating factor to reduce the incidence of chemotherapy-induced febrile neutropenia in adult patients with lymphoproliferative disorders and solid tumours. </w:t>
      </w:r>
      <w:r w:rsidRPr="00CB6DBE">
        <w:rPr>
          <w:rFonts w:ascii="Book Antiqua" w:hAnsi="Book Antiqua" w:cs="SimSun"/>
          <w:i/>
          <w:iCs/>
          <w:color w:val="000000"/>
          <w:kern w:val="0"/>
        </w:rPr>
        <w:t>Eur J Cancer</w:t>
      </w:r>
      <w:r w:rsidRPr="00CB6DBE">
        <w:rPr>
          <w:rFonts w:ascii="Book Antiqua" w:hAnsi="Book Antiqua" w:cs="SimSun"/>
          <w:color w:val="000000"/>
          <w:kern w:val="0"/>
        </w:rPr>
        <w:t> 2011; </w:t>
      </w:r>
      <w:r w:rsidRPr="00CB6DBE">
        <w:rPr>
          <w:rFonts w:ascii="Book Antiqua" w:hAnsi="Book Antiqua" w:cs="SimSun"/>
          <w:b/>
          <w:bCs/>
          <w:color w:val="000000"/>
          <w:kern w:val="0"/>
        </w:rPr>
        <w:t>47</w:t>
      </w:r>
      <w:r w:rsidRPr="00CB6DBE">
        <w:rPr>
          <w:rFonts w:ascii="Book Antiqua" w:hAnsi="Book Antiqua" w:cs="SimSun"/>
          <w:color w:val="000000"/>
          <w:kern w:val="0"/>
        </w:rPr>
        <w:t>: 8-32 [PMID: 21095116 DOI: 10.1016/j.ejca.2010.10.013]</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35 </w:t>
      </w:r>
      <w:r w:rsidRPr="00CB6DBE">
        <w:rPr>
          <w:rFonts w:ascii="Book Antiqua" w:hAnsi="Book Antiqua" w:cs="SimSun"/>
          <w:b/>
          <w:bCs/>
          <w:color w:val="000000"/>
          <w:kern w:val="0"/>
        </w:rPr>
        <w:t>Weycker D</w:t>
      </w:r>
      <w:r w:rsidRPr="00CB6DBE">
        <w:rPr>
          <w:rFonts w:ascii="Book Antiqua" w:hAnsi="Book Antiqua" w:cs="SimSun"/>
          <w:color w:val="000000"/>
          <w:kern w:val="0"/>
        </w:rPr>
        <w:t>, Barron R, Edelsberg J, Kartashov A, Legg J, Glass AG. Risk and consequences of chemotherapy-induced neutropenic complications in patients receiving daily filgrastim: the importance of duration of prophylaxis. </w:t>
      </w:r>
      <w:r w:rsidRPr="00CB6DBE">
        <w:rPr>
          <w:rFonts w:ascii="Book Antiqua" w:hAnsi="Book Antiqua" w:cs="SimSun"/>
          <w:i/>
          <w:iCs/>
          <w:color w:val="000000"/>
          <w:kern w:val="0"/>
        </w:rPr>
        <w:t>BMC Health Serv Res</w:t>
      </w:r>
      <w:r w:rsidRPr="00CB6DBE">
        <w:rPr>
          <w:rFonts w:ascii="Book Antiqua" w:hAnsi="Book Antiqua" w:cs="SimSun"/>
          <w:color w:val="000000"/>
          <w:kern w:val="0"/>
        </w:rPr>
        <w:t> 2014; </w:t>
      </w:r>
      <w:r w:rsidRPr="00CB6DBE">
        <w:rPr>
          <w:rFonts w:ascii="Book Antiqua" w:hAnsi="Book Antiqua" w:cs="SimSun"/>
          <w:b/>
          <w:bCs/>
          <w:color w:val="000000"/>
          <w:kern w:val="0"/>
        </w:rPr>
        <w:t>14</w:t>
      </w:r>
      <w:r w:rsidRPr="00CB6DBE">
        <w:rPr>
          <w:rFonts w:ascii="Book Antiqua" w:hAnsi="Book Antiqua" w:cs="SimSun"/>
          <w:color w:val="000000"/>
          <w:kern w:val="0"/>
        </w:rPr>
        <w:t>: 189 [PMID: 24767095 DOI: 10.1186/1472-6963-14-189]</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36 </w:t>
      </w:r>
      <w:r w:rsidRPr="00CB6DBE">
        <w:rPr>
          <w:rFonts w:ascii="Book Antiqua" w:hAnsi="Book Antiqua" w:cs="SimSun"/>
          <w:b/>
          <w:bCs/>
          <w:color w:val="000000"/>
          <w:kern w:val="0"/>
        </w:rPr>
        <w:t>Nesher L</w:t>
      </w:r>
      <w:r w:rsidRPr="00CB6DBE">
        <w:rPr>
          <w:rFonts w:ascii="Book Antiqua" w:hAnsi="Book Antiqua" w:cs="SimSun"/>
          <w:color w:val="000000"/>
          <w:kern w:val="0"/>
        </w:rPr>
        <w:t>, Rolston KV. Neutropenic enterocolitis, a growing concern in the era of widespread use of aggressive chemotherapy. </w:t>
      </w:r>
      <w:r w:rsidRPr="00CB6DBE">
        <w:rPr>
          <w:rFonts w:ascii="Book Antiqua" w:hAnsi="Book Antiqua" w:cs="SimSun"/>
          <w:i/>
          <w:iCs/>
          <w:color w:val="000000"/>
          <w:kern w:val="0"/>
        </w:rPr>
        <w:t>Clin Infect Dis</w:t>
      </w:r>
      <w:r w:rsidRPr="00CB6DBE">
        <w:rPr>
          <w:rFonts w:ascii="Book Antiqua" w:hAnsi="Book Antiqua" w:cs="SimSun"/>
          <w:color w:val="000000"/>
          <w:kern w:val="0"/>
        </w:rPr>
        <w:t> 2013; </w:t>
      </w:r>
      <w:r w:rsidRPr="00CB6DBE">
        <w:rPr>
          <w:rFonts w:ascii="Book Antiqua" w:hAnsi="Book Antiqua" w:cs="SimSun"/>
          <w:b/>
          <w:bCs/>
          <w:color w:val="000000"/>
          <w:kern w:val="0"/>
        </w:rPr>
        <w:t>56</w:t>
      </w:r>
      <w:r w:rsidRPr="00CB6DBE">
        <w:rPr>
          <w:rFonts w:ascii="Book Antiqua" w:hAnsi="Book Antiqua" w:cs="SimSun"/>
          <w:color w:val="000000"/>
          <w:kern w:val="0"/>
        </w:rPr>
        <w:t>: 711-717 [PMID: 23196957 DOI: 10.1093/cid/cis998]</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37 </w:t>
      </w:r>
      <w:r w:rsidRPr="00CB6DBE">
        <w:rPr>
          <w:rFonts w:ascii="Book Antiqua" w:hAnsi="Book Antiqua" w:cs="SimSun"/>
          <w:b/>
          <w:bCs/>
          <w:color w:val="000000"/>
          <w:kern w:val="0"/>
        </w:rPr>
        <w:t>Ikard RW</w:t>
      </w:r>
      <w:r w:rsidRPr="00CB6DBE">
        <w:rPr>
          <w:rFonts w:ascii="Book Antiqua" w:hAnsi="Book Antiqua" w:cs="SimSun"/>
          <w:color w:val="000000"/>
          <w:kern w:val="0"/>
        </w:rPr>
        <w:t>. Neutropenic typhlitis in adults. </w:t>
      </w:r>
      <w:r w:rsidRPr="00CB6DBE">
        <w:rPr>
          <w:rFonts w:ascii="Book Antiqua" w:hAnsi="Book Antiqua" w:cs="SimSun"/>
          <w:i/>
          <w:iCs/>
          <w:color w:val="000000"/>
          <w:kern w:val="0"/>
        </w:rPr>
        <w:t>Arch Surg</w:t>
      </w:r>
      <w:r w:rsidRPr="00CB6DBE">
        <w:rPr>
          <w:rFonts w:ascii="Book Antiqua" w:hAnsi="Book Antiqua" w:cs="SimSun"/>
          <w:color w:val="000000"/>
          <w:kern w:val="0"/>
        </w:rPr>
        <w:t> 1981; </w:t>
      </w:r>
      <w:r w:rsidRPr="00CB6DBE">
        <w:rPr>
          <w:rFonts w:ascii="Book Antiqua" w:hAnsi="Book Antiqua" w:cs="SimSun"/>
          <w:b/>
          <w:bCs/>
          <w:color w:val="000000"/>
          <w:kern w:val="0"/>
        </w:rPr>
        <w:t>116</w:t>
      </w:r>
      <w:r w:rsidRPr="00CB6DBE">
        <w:rPr>
          <w:rFonts w:ascii="Book Antiqua" w:hAnsi="Book Antiqua" w:cs="SimSun"/>
          <w:color w:val="000000"/>
          <w:kern w:val="0"/>
        </w:rPr>
        <w:t>: 943-945 [PMID: 7259499]</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38 </w:t>
      </w:r>
      <w:r w:rsidRPr="00CB6DBE">
        <w:rPr>
          <w:rFonts w:ascii="Book Antiqua" w:hAnsi="Book Antiqua" w:cs="SimSun"/>
          <w:b/>
          <w:bCs/>
          <w:color w:val="000000"/>
          <w:kern w:val="0"/>
        </w:rPr>
        <w:t>Gorschlüter M</w:t>
      </w:r>
      <w:r w:rsidRPr="00CB6DBE">
        <w:rPr>
          <w:rFonts w:ascii="Book Antiqua" w:hAnsi="Book Antiqua" w:cs="SimSun"/>
          <w:color w:val="000000"/>
          <w:kern w:val="0"/>
        </w:rPr>
        <w:t>, Mey U, Strehl J, Schmitz V, Rabe C, Pauls K, Ziske C, Schmidt-Wolf IG, Glasmacher A. Invasive fungal infections in neutropenic enterocolitis: a systematic analysis of pathogens, incidence, treatment and mortality in adult patients. </w:t>
      </w:r>
      <w:r w:rsidRPr="00CB6DBE">
        <w:rPr>
          <w:rFonts w:ascii="Book Antiqua" w:hAnsi="Book Antiqua" w:cs="SimSun"/>
          <w:i/>
          <w:iCs/>
          <w:color w:val="000000"/>
          <w:kern w:val="0"/>
        </w:rPr>
        <w:t>BMC Infect Dis</w:t>
      </w:r>
      <w:r w:rsidRPr="00CB6DBE">
        <w:rPr>
          <w:rFonts w:ascii="Book Antiqua" w:hAnsi="Book Antiqua" w:cs="SimSun"/>
          <w:color w:val="000000"/>
          <w:kern w:val="0"/>
        </w:rPr>
        <w:t> 2006; </w:t>
      </w:r>
      <w:r w:rsidRPr="00CB6DBE">
        <w:rPr>
          <w:rFonts w:ascii="Book Antiqua" w:hAnsi="Book Antiqua" w:cs="SimSun"/>
          <w:b/>
          <w:bCs/>
          <w:color w:val="000000"/>
          <w:kern w:val="0"/>
        </w:rPr>
        <w:t>6</w:t>
      </w:r>
      <w:r w:rsidRPr="00CB6DBE">
        <w:rPr>
          <w:rFonts w:ascii="Book Antiqua" w:hAnsi="Book Antiqua" w:cs="SimSun"/>
          <w:color w:val="000000"/>
          <w:kern w:val="0"/>
        </w:rPr>
        <w:t>: 35 [PMID: 16504141]</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39 </w:t>
      </w:r>
      <w:r w:rsidRPr="00CB6DBE">
        <w:rPr>
          <w:rFonts w:ascii="Book Antiqua" w:hAnsi="Book Antiqua" w:cs="SimSun"/>
          <w:b/>
          <w:bCs/>
          <w:color w:val="000000"/>
          <w:kern w:val="0"/>
        </w:rPr>
        <w:t>ter Borg F</w:t>
      </w:r>
      <w:r w:rsidRPr="00CB6DBE">
        <w:rPr>
          <w:rFonts w:ascii="Book Antiqua" w:hAnsi="Book Antiqua" w:cs="SimSun"/>
          <w:color w:val="000000"/>
          <w:kern w:val="0"/>
        </w:rPr>
        <w:t>, Kuijper EJ, van der Lelie H. Fatal mucormycosis presenting as an appendiceal mass with metastatic spread to the liver during chemotherapy-induced granulocytopenia. </w:t>
      </w:r>
      <w:r w:rsidRPr="00CB6DBE">
        <w:rPr>
          <w:rFonts w:ascii="Book Antiqua" w:hAnsi="Book Antiqua" w:cs="SimSun"/>
          <w:i/>
          <w:iCs/>
          <w:color w:val="000000"/>
          <w:kern w:val="0"/>
        </w:rPr>
        <w:t>Scand J Infect Dis</w:t>
      </w:r>
      <w:r w:rsidRPr="00CB6DBE">
        <w:rPr>
          <w:rFonts w:ascii="Book Antiqua" w:hAnsi="Book Antiqua" w:cs="SimSun"/>
          <w:color w:val="000000"/>
          <w:kern w:val="0"/>
        </w:rPr>
        <w:t> 1990; </w:t>
      </w:r>
      <w:r w:rsidRPr="00CB6DBE">
        <w:rPr>
          <w:rFonts w:ascii="Book Antiqua" w:hAnsi="Book Antiqua" w:cs="SimSun"/>
          <w:b/>
          <w:bCs/>
          <w:color w:val="000000"/>
          <w:kern w:val="0"/>
        </w:rPr>
        <w:t>22</w:t>
      </w:r>
      <w:r w:rsidRPr="00CB6DBE">
        <w:rPr>
          <w:rFonts w:ascii="Book Antiqua" w:hAnsi="Book Antiqua" w:cs="SimSun"/>
          <w:color w:val="000000"/>
          <w:kern w:val="0"/>
        </w:rPr>
        <w:t>: 499-501 [PMID: 2218411]</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40 </w:t>
      </w:r>
      <w:r w:rsidRPr="00CB6DBE">
        <w:rPr>
          <w:rFonts w:ascii="Book Antiqua" w:hAnsi="Book Antiqua" w:cs="SimSun"/>
          <w:b/>
          <w:bCs/>
          <w:color w:val="000000"/>
          <w:kern w:val="0"/>
        </w:rPr>
        <w:t>Lamps LW</w:t>
      </w:r>
      <w:r w:rsidRPr="00CB6DBE">
        <w:rPr>
          <w:rFonts w:ascii="Book Antiqua" w:hAnsi="Book Antiqua" w:cs="SimSun"/>
          <w:color w:val="000000"/>
          <w:kern w:val="0"/>
        </w:rPr>
        <w:t>, Molina CP, West AB, Haggitt RC, Scott MA. The pathologic spectrum of gastrointestinal and hepatic histoplasmosis. </w:t>
      </w:r>
      <w:r w:rsidRPr="00CB6DBE">
        <w:rPr>
          <w:rFonts w:ascii="Book Antiqua" w:hAnsi="Book Antiqua" w:cs="SimSun"/>
          <w:i/>
          <w:iCs/>
          <w:color w:val="000000"/>
          <w:kern w:val="0"/>
        </w:rPr>
        <w:t>Am J Clin Pathol</w:t>
      </w:r>
      <w:r w:rsidRPr="00CB6DBE">
        <w:rPr>
          <w:rFonts w:ascii="Book Antiqua" w:hAnsi="Book Antiqua" w:cs="SimSun"/>
          <w:color w:val="000000"/>
          <w:kern w:val="0"/>
        </w:rPr>
        <w:t> 2000; </w:t>
      </w:r>
      <w:r w:rsidRPr="00CB6DBE">
        <w:rPr>
          <w:rFonts w:ascii="Book Antiqua" w:hAnsi="Book Antiqua" w:cs="SimSun"/>
          <w:b/>
          <w:bCs/>
          <w:color w:val="000000"/>
          <w:kern w:val="0"/>
        </w:rPr>
        <w:t>113</w:t>
      </w:r>
      <w:r w:rsidRPr="00CB6DBE">
        <w:rPr>
          <w:rFonts w:ascii="Book Antiqua" w:hAnsi="Book Antiqua" w:cs="SimSun"/>
          <w:color w:val="000000"/>
          <w:kern w:val="0"/>
        </w:rPr>
        <w:t>: 64-72 [PMID: 10631859]</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lastRenderedPageBreak/>
        <w:t>41 </w:t>
      </w:r>
      <w:r w:rsidRPr="00CB6DBE">
        <w:rPr>
          <w:rFonts w:ascii="Book Antiqua" w:hAnsi="Book Antiqua" w:cs="SimSun"/>
          <w:b/>
          <w:bCs/>
          <w:color w:val="000000"/>
          <w:kern w:val="0"/>
        </w:rPr>
        <w:t>Cappell MS</w:t>
      </w:r>
      <w:r w:rsidRPr="00CB6DBE">
        <w:rPr>
          <w:rFonts w:ascii="Book Antiqua" w:hAnsi="Book Antiqua" w:cs="SimSun"/>
          <w:color w:val="000000"/>
          <w:kern w:val="0"/>
        </w:rPr>
        <w:t>, Mandell W, Grimes MM, Neu HC. Gastrointestinal histoplasmosis. </w:t>
      </w:r>
      <w:r w:rsidRPr="00CB6DBE">
        <w:rPr>
          <w:rFonts w:ascii="Book Antiqua" w:hAnsi="Book Antiqua" w:cs="SimSun"/>
          <w:i/>
          <w:iCs/>
          <w:color w:val="000000"/>
          <w:kern w:val="0"/>
        </w:rPr>
        <w:t>Dig Dis Sci</w:t>
      </w:r>
      <w:r w:rsidRPr="00CB6DBE">
        <w:rPr>
          <w:rFonts w:ascii="Book Antiqua" w:hAnsi="Book Antiqua" w:cs="SimSun"/>
          <w:color w:val="000000"/>
          <w:kern w:val="0"/>
        </w:rPr>
        <w:t> 1988; </w:t>
      </w:r>
      <w:r w:rsidRPr="00CB6DBE">
        <w:rPr>
          <w:rFonts w:ascii="Book Antiqua" w:hAnsi="Book Antiqua" w:cs="SimSun"/>
          <w:b/>
          <w:bCs/>
          <w:color w:val="000000"/>
          <w:kern w:val="0"/>
        </w:rPr>
        <w:t>33</w:t>
      </w:r>
      <w:r w:rsidRPr="00CB6DBE">
        <w:rPr>
          <w:rFonts w:ascii="Book Antiqua" w:hAnsi="Book Antiqua" w:cs="SimSun"/>
          <w:color w:val="000000"/>
          <w:kern w:val="0"/>
        </w:rPr>
        <w:t>: 353-360 [PMID: 3277825]</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42 </w:t>
      </w:r>
      <w:r w:rsidRPr="00CB6DBE">
        <w:rPr>
          <w:rFonts w:ascii="Book Antiqua" w:hAnsi="Book Antiqua" w:cs="SimSun"/>
          <w:b/>
          <w:bCs/>
          <w:color w:val="000000"/>
          <w:kern w:val="0"/>
        </w:rPr>
        <w:t>Pfaffenbach B</w:t>
      </w:r>
      <w:r w:rsidRPr="00CB6DBE">
        <w:rPr>
          <w:rFonts w:ascii="Book Antiqua" w:hAnsi="Book Antiqua" w:cs="SimSun"/>
          <w:color w:val="000000"/>
          <w:kern w:val="0"/>
        </w:rPr>
        <w:t>, Donhuijsen K, Pahnke J, Bug R, Adamek RJ, Wegener M, Ricken D. [Systemic fungal infections in hematologic neoplasms. An autopsy study of 1,053 patients]. </w:t>
      </w:r>
      <w:r w:rsidRPr="00CB6DBE">
        <w:rPr>
          <w:rFonts w:ascii="Book Antiqua" w:hAnsi="Book Antiqua" w:cs="SimSun"/>
          <w:i/>
          <w:iCs/>
          <w:color w:val="000000"/>
          <w:kern w:val="0"/>
        </w:rPr>
        <w:t xml:space="preserve">Med Klin </w:t>
      </w:r>
      <w:r w:rsidRPr="00CB6DBE">
        <w:rPr>
          <w:rFonts w:ascii="Book Antiqua" w:hAnsi="Book Antiqua" w:cs="SimSun"/>
          <w:iCs/>
          <w:color w:val="000000"/>
          <w:kern w:val="0"/>
        </w:rPr>
        <w:t>(Munich)</w:t>
      </w:r>
      <w:r w:rsidRPr="00CB6DBE">
        <w:rPr>
          <w:rFonts w:ascii="Book Antiqua" w:hAnsi="Book Antiqua" w:cs="SimSun"/>
          <w:color w:val="000000"/>
          <w:kern w:val="0"/>
        </w:rPr>
        <w:t> 1994; </w:t>
      </w:r>
      <w:r w:rsidRPr="00CB6DBE">
        <w:rPr>
          <w:rFonts w:ascii="Book Antiqua" w:hAnsi="Book Antiqua" w:cs="SimSun"/>
          <w:b/>
          <w:bCs/>
          <w:color w:val="000000"/>
          <w:kern w:val="0"/>
        </w:rPr>
        <w:t>89</w:t>
      </w:r>
      <w:r w:rsidRPr="00CB6DBE">
        <w:rPr>
          <w:rFonts w:ascii="Book Antiqua" w:hAnsi="Book Antiqua" w:cs="SimSun"/>
          <w:color w:val="000000"/>
          <w:kern w:val="0"/>
        </w:rPr>
        <w:t>: 299-304 [PMID: 8072452]</w:t>
      </w:r>
    </w:p>
    <w:p w:rsidR="00D8555B" w:rsidRPr="00CB6DBE" w:rsidRDefault="00D8555B" w:rsidP="009C3795">
      <w:pPr>
        <w:widowControl/>
        <w:adjustRightInd w:val="0"/>
        <w:snapToGrid w:val="0"/>
        <w:spacing w:line="360" w:lineRule="auto"/>
        <w:jc w:val="both"/>
        <w:rPr>
          <w:rFonts w:ascii="Book Antiqua" w:hAnsi="Book Antiqua" w:cs="SimSun"/>
          <w:color w:val="000000"/>
          <w:kern w:val="0"/>
        </w:rPr>
      </w:pPr>
      <w:r w:rsidRPr="00CB6DBE">
        <w:rPr>
          <w:rFonts w:ascii="Book Antiqua" w:hAnsi="Book Antiqua" w:cs="SimSun"/>
          <w:color w:val="000000"/>
          <w:kern w:val="0"/>
        </w:rPr>
        <w:t>43 </w:t>
      </w:r>
      <w:r w:rsidRPr="00CB6DBE">
        <w:rPr>
          <w:rFonts w:ascii="Book Antiqua" w:hAnsi="Book Antiqua" w:cs="SimSun"/>
          <w:b/>
          <w:bCs/>
          <w:color w:val="000000"/>
          <w:kern w:val="0"/>
        </w:rPr>
        <w:t>Kazan E</w:t>
      </w:r>
      <w:r w:rsidRPr="00CB6DBE">
        <w:rPr>
          <w:rFonts w:ascii="Book Antiqua" w:hAnsi="Book Antiqua" w:cs="SimSun"/>
          <w:color w:val="000000"/>
          <w:kern w:val="0"/>
        </w:rPr>
        <w:t>, Maertens J, Herbrecht R, Weisser M, Gachot B, Vekhoff A, Caillot D, Raffoux E, Fagot T, Reman O, Isnard F, Thiebaut A, Bretagne S, Cordonnier C. A retrospective series of gut aspergillosis in haematology patients. </w:t>
      </w:r>
      <w:r w:rsidRPr="00CB6DBE">
        <w:rPr>
          <w:rFonts w:ascii="Book Antiqua" w:hAnsi="Book Antiqua" w:cs="SimSun"/>
          <w:i/>
          <w:iCs/>
          <w:color w:val="000000"/>
          <w:kern w:val="0"/>
        </w:rPr>
        <w:t>Clin Microbiol Infect</w:t>
      </w:r>
      <w:r w:rsidRPr="00CB6DBE">
        <w:rPr>
          <w:rFonts w:ascii="Book Antiqua" w:hAnsi="Book Antiqua" w:cs="SimSun"/>
          <w:color w:val="000000"/>
          <w:kern w:val="0"/>
        </w:rPr>
        <w:t> 2011; </w:t>
      </w:r>
      <w:r w:rsidRPr="00CB6DBE">
        <w:rPr>
          <w:rFonts w:ascii="Book Antiqua" w:hAnsi="Book Antiqua" w:cs="SimSun"/>
          <w:b/>
          <w:bCs/>
          <w:color w:val="000000"/>
          <w:kern w:val="0"/>
        </w:rPr>
        <w:t>17</w:t>
      </w:r>
      <w:r w:rsidRPr="00CB6DBE">
        <w:rPr>
          <w:rFonts w:ascii="Book Antiqua" w:hAnsi="Book Antiqua" w:cs="SimSun"/>
          <w:color w:val="000000"/>
          <w:kern w:val="0"/>
        </w:rPr>
        <w:t>: 588-594 [PMID: 20636423 DOI: 10.1111/j.1469-0691.2010.03310.x]</w:t>
      </w:r>
    </w:p>
    <w:p w:rsidR="00D8555B" w:rsidRPr="00CB6DBE" w:rsidRDefault="00D8555B" w:rsidP="009C3795">
      <w:pPr>
        <w:adjustRightInd w:val="0"/>
        <w:snapToGrid w:val="0"/>
        <w:spacing w:line="360" w:lineRule="auto"/>
        <w:jc w:val="both"/>
        <w:rPr>
          <w:rFonts w:ascii="Book Antiqua" w:hAnsi="Book Antiqua"/>
        </w:rPr>
      </w:pPr>
    </w:p>
    <w:p w:rsidR="00D8555B" w:rsidRDefault="00D8555B" w:rsidP="009C3795">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Pr="00D8555B">
        <w:rPr>
          <w:rFonts w:ascii="Book Antiqua" w:hAnsi="Book Antiqua"/>
          <w:bCs/>
        </w:rPr>
        <w:t>Charfi S</w:t>
      </w:r>
      <w:r w:rsidRPr="00D8555B">
        <w:rPr>
          <w:rFonts w:ascii="Book Antiqua" w:hAnsi="Book Antiqua" w:hint="eastAsia"/>
          <w:bCs/>
        </w:rPr>
        <w:t xml:space="preserve">, </w:t>
      </w:r>
      <w:r w:rsidRPr="00D8555B">
        <w:rPr>
          <w:rFonts w:ascii="Book Antiqua" w:hAnsi="Book Antiqua"/>
          <w:bCs/>
        </w:rPr>
        <w:t>Kim MY</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rsidR="00D8555B" w:rsidRPr="00D8555B" w:rsidRDefault="00D8555B" w:rsidP="009C3795">
      <w:pPr>
        <w:pStyle w:val="Standard"/>
        <w:adjustRightInd w:val="0"/>
        <w:snapToGrid w:val="0"/>
        <w:spacing w:line="360" w:lineRule="auto"/>
        <w:jc w:val="both"/>
        <w:rPr>
          <w:rFonts w:ascii="Book Antiqua" w:eastAsiaTheme="minorEastAsia" w:hAnsi="Book Antiqua" w:cs="Times New Roman"/>
          <w:b/>
          <w:caps/>
          <w:color w:val="00000A"/>
        </w:rPr>
      </w:pPr>
    </w:p>
    <w:p w:rsidR="00FE1645" w:rsidRPr="00D8555B" w:rsidRDefault="00FE1645" w:rsidP="009C3795">
      <w:pPr>
        <w:pStyle w:val="Standard"/>
        <w:adjustRightInd w:val="0"/>
        <w:snapToGrid w:val="0"/>
        <w:spacing w:line="360" w:lineRule="auto"/>
        <w:jc w:val="both"/>
        <w:rPr>
          <w:rFonts w:ascii="Book Antiqua" w:eastAsiaTheme="minorEastAsia" w:hAnsi="Book Antiqua" w:cs="Times New Roman"/>
          <w:color w:val="00000A"/>
        </w:rPr>
      </w:pPr>
    </w:p>
    <w:p w:rsidR="009B658E" w:rsidRPr="00C42E20" w:rsidRDefault="009B658E" w:rsidP="009C3795">
      <w:pPr>
        <w:suppressAutoHyphens w:val="0"/>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br w:type="page"/>
      </w:r>
    </w:p>
    <w:p w:rsidR="00A1094A" w:rsidRDefault="00BF1E3D" w:rsidP="009C3795">
      <w:pPr>
        <w:suppressAutoHyphens w:val="0"/>
        <w:adjustRightInd w:val="0"/>
        <w:snapToGrid w:val="0"/>
        <w:spacing w:line="360" w:lineRule="auto"/>
        <w:jc w:val="both"/>
        <w:rPr>
          <w:rFonts w:ascii="Book Antiqua" w:eastAsiaTheme="minorEastAsia" w:hAnsi="Book Antiqua" w:cs="Times New Roman"/>
          <w:b/>
          <w:bCs/>
          <w:color w:val="00000A"/>
        </w:rPr>
      </w:pPr>
      <w:r>
        <w:rPr>
          <w:noProof/>
          <w:lang w:bidi="ar-SA"/>
        </w:rPr>
        <w:lastRenderedPageBreak/>
        <w:drawing>
          <wp:inline distT="0" distB="0" distL="0" distR="0" wp14:anchorId="704E1A21" wp14:editId="7F4D459E">
            <wp:extent cx="5486400" cy="3533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533140"/>
                    </a:xfrm>
                    <a:prstGeom prst="rect">
                      <a:avLst/>
                    </a:prstGeom>
                  </pic:spPr>
                </pic:pic>
              </a:graphicData>
            </a:graphic>
          </wp:inline>
        </w:drawing>
      </w:r>
    </w:p>
    <w:p w:rsidR="00BF1E3D" w:rsidRPr="007902C2"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7902C2">
        <w:rPr>
          <w:rFonts w:ascii="Book Antiqua" w:eastAsiaTheme="minorEastAsia" w:hAnsi="Book Antiqua" w:cs="Times New Roman" w:hint="eastAsia"/>
          <w:bCs/>
          <w:color w:val="00000A"/>
        </w:rPr>
        <w:t>A</w:t>
      </w:r>
    </w:p>
    <w:p w:rsidR="00BF1E3D" w:rsidRDefault="00BF1E3D" w:rsidP="009C3795">
      <w:pPr>
        <w:suppressAutoHyphens w:val="0"/>
        <w:adjustRightInd w:val="0"/>
        <w:snapToGrid w:val="0"/>
        <w:spacing w:line="360" w:lineRule="auto"/>
        <w:jc w:val="both"/>
        <w:rPr>
          <w:rFonts w:ascii="Book Antiqua" w:eastAsiaTheme="minorEastAsia" w:hAnsi="Book Antiqua" w:cs="Times New Roman"/>
          <w:b/>
          <w:bCs/>
          <w:color w:val="00000A"/>
        </w:rPr>
      </w:pPr>
      <w:r>
        <w:rPr>
          <w:noProof/>
          <w:lang w:bidi="ar-SA"/>
        </w:rPr>
        <w:drawing>
          <wp:inline distT="0" distB="0" distL="0" distR="0" wp14:anchorId="5274B250" wp14:editId="61E980E6">
            <wp:extent cx="5486400" cy="37503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50310"/>
                    </a:xfrm>
                    <a:prstGeom prst="rect">
                      <a:avLst/>
                    </a:prstGeom>
                  </pic:spPr>
                </pic:pic>
              </a:graphicData>
            </a:graphic>
          </wp:inline>
        </w:drawing>
      </w:r>
    </w:p>
    <w:p w:rsidR="00BF1E3D" w:rsidRPr="007902C2"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7902C2">
        <w:rPr>
          <w:rFonts w:ascii="Book Antiqua" w:eastAsiaTheme="minorEastAsia" w:hAnsi="Book Antiqua" w:cs="Times New Roman" w:hint="eastAsia"/>
          <w:bCs/>
          <w:color w:val="00000A"/>
        </w:rPr>
        <w:t>B</w:t>
      </w:r>
    </w:p>
    <w:p w:rsidR="00BF1E3D" w:rsidRDefault="00BF1E3D" w:rsidP="009C3795">
      <w:pPr>
        <w:suppressAutoHyphens w:val="0"/>
        <w:adjustRightInd w:val="0"/>
        <w:snapToGrid w:val="0"/>
        <w:spacing w:line="360" w:lineRule="auto"/>
        <w:jc w:val="both"/>
        <w:rPr>
          <w:rFonts w:ascii="Book Antiqua" w:eastAsiaTheme="minorEastAsia" w:hAnsi="Book Antiqua" w:cs="Times New Roman"/>
          <w:b/>
          <w:bCs/>
          <w:color w:val="00000A"/>
        </w:rPr>
      </w:pPr>
      <w:r>
        <w:rPr>
          <w:noProof/>
          <w:lang w:bidi="ar-SA"/>
        </w:rPr>
        <w:lastRenderedPageBreak/>
        <w:drawing>
          <wp:inline distT="0" distB="0" distL="0" distR="0" wp14:anchorId="5602EF97" wp14:editId="49AE4D3F">
            <wp:extent cx="5486400" cy="364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48075"/>
                    </a:xfrm>
                    <a:prstGeom prst="rect">
                      <a:avLst/>
                    </a:prstGeom>
                  </pic:spPr>
                </pic:pic>
              </a:graphicData>
            </a:graphic>
          </wp:inline>
        </w:drawing>
      </w:r>
    </w:p>
    <w:p w:rsidR="00BF1E3D" w:rsidRPr="007902C2"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7902C2">
        <w:rPr>
          <w:rFonts w:ascii="Book Antiqua" w:eastAsiaTheme="minorEastAsia" w:hAnsi="Book Antiqua" w:cs="Times New Roman" w:hint="eastAsia"/>
          <w:bCs/>
          <w:color w:val="00000A"/>
        </w:rPr>
        <w:t>C</w:t>
      </w:r>
    </w:p>
    <w:p w:rsidR="00BF1E3D" w:rsidRDefault="00BF1E3D" w:rsidP="009C3795">
      <w:pPr>
        <w:suppressAutoHyphens w:val="0"/>
        <w:adjustRightInd w:val="0"/>
        <w:snapToGrid w:val="0"/>
        <w:spacing w:line="360" w:lineRule="auto"/>
        <w:jc w:val="both"/>
        <w:rPr>
          <w:rFonts w:ascii="Book Antiqua" w:eastAsiaTheme="minorEastAsia" w:hAnsi="Book Antiqua" w:cs="Times New Roman"/>
          <w:b/>
          <w:bCs/>
          <w:color w:val="00000A"/>
        </w:rPr>
      </w:pPr>
      <w:r>
        <w:rPr>
          <w:noProof/>
          <w:lang w:bidi="ar-SA"/>
        </w:rPr>
        <w:drawing>
          <wp:inline distT="0" distB="0" distL="0" distR="0" wp14:anchorId="3ED6381D" wp14:editId="3B337C4A">
            <wp:extent cx="5486400" cy="36461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646170"/>
                    </a:xfrm>
                    <a:prstGeom prst="rect">
                      <a:avLst/>
                    </a:prstGeom>
                  </pic:spPr>
                </pic:pic>
              </a:graphicData>
            </a:graphic>
          </wp:inline>
        </w:drawing>
      </w:r>
    </w:p>
    <w:p w:rsidR="00BF1E3D" w:rsidRPr="007902C2"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7902C2">
        <w:rPr>
          <w:rFonts w:ascii="Book Antiqua" w:eastAsiaTheme="minorEastAsia" w:hAnsi="Book Antiqua" w:cs="Times New Roman" w:hint="eastAsia"/>
          <w:bCs/>
          <w:color w:val="00000A"/>
        </w:rPr>
        <w:t>D</w:t>
      </w:r>
    </w:p>
    <w:p w:rsidR="000D7C33" w:rsidRPr="00A1094A" w:rsidRDefault="000D7C33" w:rsidP="009C3795">
      <w:pPr>
        <w:suppressAutoHyphens w:val="0"/>
        <w:adjustRightInd w:val="0"/>
        <w:snapToGrid w:val="0"/>
        <w:spacing w:line="360" w:lineRule="auto"/>
        <w:jc w:val="both"/>
        <w:rPr>
          <w:rFonts w:ascii="Book Antiqua" w:eastAsiaTheme="minorEastAsia" w:hAnsi="Book Antiqua" w:cs="Times New Roman"/>
          <w:bCs/>
          <w:color w:val="00000A"/>
        </w:rPr>
      </w:pPr>
      <w:r w:rsidRPr="00A1094A">
        <w:rPr>
          <w:rFonts w:ascii="Book Antiqua" w:eastAsia="Calibri" w:hAnsi="Book Antiqua" w:cs="Times New Roman"/>
          <w:b/>
          <w:bCs/>
          <w:color w:val="00000A"/>
        </w:rPr>
        <w:t>Figure 1</w:t>
      </w:r>
      <w:r w:rsidR="00C42E20" w:rsidRPr="00A1094A">
        <w:rPr>
          <w:rFonts w:ascii="Book Antiqua" w:eastAsia="Calibri" w:hAnsi="Book Antiqua" w:cs="Times New Roman"/>
          <w:b/>
          <w:bCs/>
          <w:color w:val="00000A"/>
        </w:rPr>
        <w:t xml:space="preserve"> </w:t>
      </w:r>
      <w:r w:rsidR="00A1094A" w:rsidRPr="00A1094A">
        <w:rPr>
          <w:rFonts w:ascii="Book Antiqua" w:eastAsia="Calibri" w:hAnsi="Book Antiqua" w:cs="Times New Roman"/>
          <w:b/>
          <w:bCs/>
          <w:caps/>
          <w:color w:val="00000A"/>
        </w:rPr>
        <w:t>c</w:t>
      </w:r>
      <w:r w:rsidR="00A1094A" w:rsidRPr="00A1094A">
        <w:rPr>
          <w:rFonts w:ascii="Book Antiqua" w:eastAsia="Calibri" w:hAnsi="Book Antiqua" w:cs="Times New Roman"/>
          <w:b/>
          <w:bCs/>
          <w:color w:val="00000A"/>
        </w:rPr>
        <w:t>omputed tomography</w:t>
      </w:r>
      <w:r w:rsidR="00A1094A" w:rsidRPr="00A1094A">
        <w:rPr>
          <w:rFonts w:ascii="Book Antiqua" w:eastAsiaTheme="minorEastAsia" w:hAnsi="Book Antiqua" w:cs="Times New Roman" w:hint="eastAsia"/>
          <w:b/>
          <w:bCs/>
          <w:color w:val="00000A"/>
        </w:rPr>
        <w:t xml:space="preserve"> </w:t>
      </w:r>
      <w:r w:rsidR="00A1094A" w:rsidRPr="00A1094A">
        <w:rPr>
          <w:rFonts w:ascii="Book Antiqua" w:eastAsia="Calibri" w:hAnsi="Book Antiqua" w:cs="Times New Roman"/>
          <w:b/>
          <w:bCs/>
          <w:color w:val="00000A"/>
        </w:rPr>
        <w:t>images</w:t>
      </w:r>
      <w:r w:rsidR="00A1094A" w:rsidRPr="00A1094A">
        <w:rPr>
          <w:rFonts w:ascii="Book Antiqua" w:eastAsiaTheme="minorEastAsia" w:hAnsi="Book Antiqua" w:cs="Times New Roman" w:hint="eastAsia"/>
          <w:b/>
          <w:bCs/>
          <w:color w:val="00000A"/>
        </w:rPr>
        <w:t>.</w:t>
      </w:r>
      <w:r w:rsidR="00A1094A" w:rsidRPr="00A1094A">
        <w:rPr>
          <w:rFonts w:ascii="Book Antiqua" w:eastAsia="Calibri" w:hAnsi="Book Antiqua" w:cs="Times New Roman"/>
          <w:bCs/>
          <w:caps/>
          <w:color w:val="00000A"/>
        </w:rPr>
        <w:t xml:space="preserve"> c</w:t>
      </w:r>
      <w:r w:rsidR="00A1094A" w:rsidRPr="00A1094A">
        <w:rPr>
          <w:rFonts w:ascii="Book Antiqua" w:eastAsia="Calibri" w:hAnsi="Book Antiqua" w:cs="Times New Roman"/>
          <w:bCs/>
          <w:color w:val="00000A"/>
        </w:rPr>
        <w:t>omputed tomography</w:t>
      </w:r>
      <w:r w:rsidR="00A1094A">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 xml:space="preserve">images of abdomen using IV non-ionic contrast and standard oral contrast demonstrates dilated appendiceal ostium </w:t>
      </w:r>
      <w:r w:rsidRPr="00C42E20">
        <w:rPr>
          <w:rFonts w:ascii="Book Antiqua" w:eastAsia="Calibri" w:hAnsi="Book Antiqua" w:cs="Times New Roman"/>
          <w:bCs/>
          <w:color w:val="00000A"/>
        </w:rPr>
        <w:lastRenderedPageBreak/>
        <w:t>and thickened appendiceal wall in cross-section (arrows in A); dilated lumen and thickened wall of vermiform appendix in longitudinal section (arrows in B); periappendiceal fat stranding (arrows in C</w:t>
      </w:r>
      <w:r w:rsidR="009A727E" w:rsidRPr="00C42E20">
        <w:rPr>
          <w:rFonts w:ascii="Book Antiqua" w:eastAsia="Calibri" w:hAnsi="Book Antiqua" w:cs="Times New Roman"/>
          <w:bCs/>
          <w:color w:val="00000A"/>
        </w:rPr>
        <w:t>, A</w:t>
      </w:r>
      <w:r w:rsidR="00A1094A">
        <w:rPr>
          <w:rFonts w:ascii="Book Antiqua" w:eastAsiaTheme="minorEastAsia" w:hAnsi="Book Antiqua" w:cs="Times New Roman" w:hint="eastAsia"/>
          <w:bCs/>
          <w:color w:val="00000A"/>
        </w:rPr>
        <w:t xml:space="preserve"> </w:t>
      </w:r>
      <w:r w:rsidR="009A727E" w:rsidRPr="00C42E20">
        <w:rPr>
          <w:rFonts w:ascii="Book Antiqua" w:eastAsia="Calibri" w:hAnsi="Book Antiqua" w:cs="Times New Roman"/>
          <w:bCs/>
          <w:color w:val="00000A"/>
        </w:rPr>
        <w:t>=</w:t>
      </w:r>
      <w:r w:rsidR="00A1094A">
        <w:rPr>
          <w:rFonts w:ascii="Book Antiqua" w:eastAsiaTheme="minorEastAsia" w:hAnsi="Book Antiqua" w:cs="Times New Roman" w:hint="eastAsia"/>
          <w:bCs/>
          <w:color w:val="00000A"/>
        </w:rPr>
        <w:t xml:space="preserve"> </w:t>
      </w:r>
      <w:r w:rsidR="009A727E" w:rsidRPr="00C42E20">
        <w:rPr>
          <w:rFonts w:ascii="Book Antiqua" w:eastAsia="Calibri" w:hAnsi="Book Antiqua" w:cs="Times New Roman"/>
          <w:bCs/>
          <w:color w:val="00000A"/>
        </w:rPr>
        <w:t>appendix in C</w:t>
      </w:r>
      <w:r w:rsidRPr="00C42E20">
        <w:rPr>
          <w:rFonts w:ascii="Book Antiqua" w:eastAsia="Calibri" w:hAnsi="Book Antiqua" w:cs="Times New Roman"/>
          <w:bCs/>
          <w:color w:val="00000A"/>
        </w:rPr>
        <w:t>); and an enlarged right psoas muscle with indistinct margins from local extension of the appendiceal inflammation (enlarged right psoas muscle with indistinct margins identified in D by 2 arrows, as compared to normal-sized left psoas muscle with distinct margins identified by 1 arrow).</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The appendix measures approximately 11 mm in diameter from outer wall to outer wall.</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All these findings are consistent with acute appendicitis. There is no evident appendicolith or typhlitis.</w:t>
      </w:r>
    </w:p>
    <w:p w:rsidR="00FE1645" w:rsidRDefault="00FE1645" w:rsidP="009C3795">
      <w:pPr>
        <w:suppressAutoHyphens w:val="0"/>
        <w:adjustRightInd w:val="0"/>
        <w:snapToGrid w:val="0"/>
        <w:spacing w:line="360" w:lineRule="auto"/>
        <w:jc w:val="both"/>
        <w:rPr>
          <w:rFonts w:ascii="Book Antiqua" w:eastAsiaTheme="minorEastAsia" w:hAnsi="Book Antiqua" w:cs="Times New Roman"/>
          <w:bCs/>
          <w:color w:val="00000A"/>
        </w:rPr>
      </w:pPr>
    </w:p>
    <w:p w:rsidR="00A1094A" w:rsidRDefault="00A1094A" w:rsidP="009C3795">
      <w:pPr>
        <w:suppressAutoHyphens w:val="0"/>
        <w:adjustRightInd w:val="0"/>
        <w:snapToGrid w:val="0"/>
        <w:spacing w:line="360" w:lineRule="auto"/>
        <w:jc w:val="both"/>
        <w:rPr>
          <w:rFonts w:ascii="Book Antiqua" w:eastAsiaTheme="minorEastAsia" w:hAnsi="Book Antiqua" w:cs="Times New Roman"/>
          <w:bCs/>
          <w:color w:val="00000A"/>
        </w:rPr>
      </w:pPr>
      <w:r>
        <w:rPr>
          <w:rFonts w:ascii="Book Antiqua" w:eastAsiaTheme="minorEastAsia" w:hAnsi="Book Antiqua" w:cs="Times New Roman"/>
          <w:bCs/>
          <w:color w:val="00000A"/>
        </w:rPr>
        <w:br w:type="page"/>
      </w:r>
    </w:p>
    <w:p w:rsidR="00A1094A"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C42E20">
        <w:rPr>
          <w:rFonts w:ascii="Book Antiqua" w:hAnsi="Book Antiqua"/>
          <w:noProof/>
          <w:lang w:bidi="ar-SA"/>
        </w:rPr>
        <w:lastRenderedPageBreak/>
        <w:drawing>
          <wp:anchor distT="0" distB="0" distL="114300" distR="114300" simplePos="0" relativeHeight="251682816" behindDoc="1" locked="0" layoutInCell="1" allowOverlap="1" wp14:anchorId="4133EEDC" wp14:editId="005F4ECF">
            <wp:simplePos x="0" y="0"/>
            <wp:positionH relativeFrom="column">
              <wp:posOffset>13335</wp:posOffset>
            </wp:positionH>
            <wp:positionV relativeFrom="paragraph">
              <wp:posOffset>31750</wp:posOffset>
            </wp:positionV>
            <wp:extent cx="4732655" cy="3105150"/>
            <wp:effectExtent l="0" t="0" r="0" b="0"/>
            <wp:wrapNone/>
            <wp:docPr id="3" name="Picture 3" descr="C:\Users\dr2364\Desktop\Aspergillusappendicitisfolder\ASPERGILLUS-FINAL-FIGURE-2A-H&am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2364\Desktop\Aspergillusappendicitisfolder\ASPERGILLUS-FINAL-FIGURE-2A-H&amp;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265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sidRPr="00C42E20">
        <w:rPr>
          <w:rFonts w:ascii="Book Antiqua" w:hAnsi="Book Antiqua"/>
          <w:noProof/>
          <w:lang w:bidi="ar-SA"/>
        </w:rPr>
        <w:drawing>
          <wp:anchor distT="0" distB="0" distL="114300" distR="114300" simplePos="0" relativeHeight="251684864" behindDoc="1" locked="0" layoutInCell="1" allowOverlap="1" wp14:anchorId="635F095A" wp14:editId="4FF6BDB4">
            <wp:simplePos x="0" y="0"/>
            <wp:positionH relativeFrom="column">
              <wp:posOffset>15240</wp:posOffset>
            </wp:positionH>
            <wp:positionV relativeFrom="paragraph">
              <wp:posOffset>261620</wp:posOffset>
            </wp:positionV>
            <wp:extent cx="4776470" cy="3591560"/>
            <wp:effectExtent l="0" t="0" r="5080" b="8890"/>
            <wp:wrapNone/>
            <wp:docPr id="4" name="Picture 4" descr="C:\Users\dr2364\Desktop\Aspergillusappendicitisfolder\ASPERGILLUS-FINAL-FIGURE-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2364\Desktop\Aspergillusappendicitisfolder\ASPERGILLUS-FINAL-FIGURE-2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6470" cy="359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eastAsiaTheme="minorEastAsia" w:hAnsi="Book Antiqua" w:cs="Times New Roman" w:hint="eastAsia"/>
          <w:bCs/>
          <w:color w:val="00000A"/>
        </w:rPr>
        <w:t>A</w:t>
      </w: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p>
    <w:p w:rsidR="00BF1E3D" w:rsidRPr="00A1094A" w:rsidRDefault="00BF1E3D" w:rsidP="009C3795">
      <w:pPr>
        <w:suppressAutoHyphens w:val="0"/>
        <w:adjustRightInd w:val="0"/>
        <w:snapToGrid w:val="0"/>
        <w:spacing w:line="360" w:lineRule="auto"/>
        <w:jc w:val="both"/>
        <w:rPr>
          <w:rFonts w:ascii="Book Antiqua" w:eastAsiaTheme="minorEastAsia" w:hAnsi="Book Antiqua" w:cs="Times New Roman"/>
          <w:bCs/>
          <w:color w:val="00000A"/>
        </w:rPr>
      </w:pPr>
      <w:r>
        <w:rPr>
          <w:rFonts w:ascii="Book Antiqua" w:eastAsiaTheme="minorEastAsia" w:hAnsi="Book Antiqua" w:cs="Times New Roman" w:hint="eastAsia"/>
          <w:bCs/>
          <w:color w:val="00000A"/>
        </w:rPr>
        <w:t>B</w:t>
      </w:r>
    </w:p>
    <w:p w:rsidR="005324EA" w:rsidRDefault="00FE1645" w:rsidP="009C3795">
      <w:pPr>
        <w:suppressAutoHyphens w:val="0"/>
        <w:adjustRightInd w:val="0"/>
        <w:snapToGrid w:val="0"/>
        <w:spacing w:line="360" w:lineRule="auto"/>
        <w:jc w:val="both"/>
        <w:rPr>
          <w:rFonts w:ascii="Book Antiqua" w:eastAsiaTheme="minorEastAsia" w:hAnsi="Book Antiqua" w:cs="Times New Roman"/>
          <w:bCs/>
          <w:color w:val="00000A"/>
        </w:rPr>
      </w:pPr>
      <w:r w:rsidRPr="00A1094A">
        <w:rPr>
          <w:rFonts w:ascii="Book Antiqua" w:eastAsia="Calibri" w:hAnsi="Book Antiqua" w:cs="Times New Roman"/>
          <w:b/>
          <w:bCs/>
          <w:color w:val="00000A"/>
        </w:rPr>
        <w:t>Figure 2</w:t>
      </w:r>
      <w:r w:rsidR="00A1094A" w:rsidRPr="00A1094A">
        <w:rPr>
          <w:rFonts w:ascii="Book Antiqua" w:eastAsiaTheme="minorEastAsia" w:hAnsi="Book Antiqua" w:cs="Times New Roman" w:hint="eastAsia"/>
          <w:b/>
          <w:bCs/>
          <w:color w:val="00000A"/>
        </w:rPr>
        <w:t xml:space="preserve"> </w:t>
      </w:r>
      <w:r w:rsidR="00A1094A" w:rsidRPr="00A1094A">
        <w:rPr>
          <w:rFonts w:ascii="Book Antiqua" w:eastAsia="Calibri" w:hAnsi="Book Antiqua" w:cs="Times New Roman"/>
          <w:b/>
          <w:bCs/>
          <w:color w:val="00000A"/>
        </w:rPr>
        <w:t>Photomicrograph</w:t>
      </w:r>
      <w:r w:rsidR="00A1094A" w:rsidRPr="00A1094A">
        <w:rPr>
          <w:rFonts w:ascii="Book Antiqua" w:eastAsiaTheme="minorEastAsia" w:hAnsi="Book Antiqua" w:cs="Times New Roman" w:hint="eastAsia"/>
          <w:b/>
          <w:bCs/>
          <w:color w:val="00000A"/>
        </w:rPr>
        <w:t>.</w:t>
      </w:r>
      <w:r w:rsidR="00A1094A" w:rsidRPr="00A1094A">
        <w:rPr>
          <w:rFonts w:ascii="Book Antiqua" w:eastAsia="Calibri" w:hAnsi="Book Antiqua" w:cs="Times New Roman"/>
          <w:b/>
          <w:bCs/>
          <w:color w:val="00000A"/>
        </w:rPr>
        <w:t xml:space="preserve"> </w:t>
      </w:r>
      <w:r w:rsidRPr="00C42E20">
        <w:rPr>
          <w:rFonts w:ascii="Book Antiqua" w:eastAsia="Calibri" w:hAnsi="Book Antiqua" w:cs="Times New Roman"/>
          <w:bCs/>
          <w:color w:val="00000A"/>
        </w:rPr>
        <w:t>A</w:t>
      </w:r>
      <w:r w:rsidR="00A1094A">
        <w:rPr>
          <w:rFonts w:ascii="Book Antiqua" w:eastAsiaTheme="minorEastAsia" w:hAnsi="Book Antiqua" w:cs="Times New Roman" w:hint="eastAsia"/>
          <w:bCs/>
          <w:color w:val="00000A"/>
        </w:rPr>
        <w:t>:</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Photomicrograph of a hematoxylin-eosin stained, full thickness, cross-section of the resected appendiceal specimen shows a thickened appendiceal wall due to a severe mixed inflammatory infiltrate (A, low power). The high power view (A-inset) of the area, indicated by an asterisk on the low power view, shows one questionable fungal </w:t>
      </w:r>
      <w:r w:rsidRPr="00C42E20">
        <w:rPr>
          <w:rFonts w:ascii="Book Antiqua" w:eastAsia="Calibri" w:hAnsi="Book Antiqua" w:cs="Times New Roman"/>
          <w:bCs/>
          <w:color w:val="00000A"/>
        </w:rPr>
        <w:lastRenderedPageBreak/>
        <w:t>hyphae (arrowhead) within a gland partially destroyed by the necrotizing inflammation (ar</w:t>
      </w:r>
      <w:r w:rsidR="00A1094A">
        <w:rPr>
          <w:rFonts w:ascii="Book Antiqua" w:eastAsia="Calibri" w:hAnsi="Book Antiqua" w:cs="Times New Roman"/>
          <w:bCs/>
          <w:color w:val="00000A"/>
        </w:rPr>
        <w:t>row)</w:t>
      </w:r>
      <w:r w:rsidR="00A1094A">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B</w:t>
      </w:r>
      <w:r w:rsidR="00A1094A">
        <w:rPr>
          <w:rFonts w:ascii="Book Antiqua" w:eastAsiaTheme="minorEastAsia" w:hAnsi="Book Antiqua" w:cs="Times New Roman" w:hint="eastAsia"/>
          <w:bCs/>
          <w:color w:val="00000A"/>
        </w:rPr>
        <w:t>:</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Photomicrograph of a Grocott-Gomori methenamine-silver (GMS) nitrate stain reveals invasive, septate, hyphal forms with acutely angled branches, characteristic of Aspergilus species (B-right side-low power, B-left lower inset-high power).</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The hyphae are confirmed as Aspergillus species by immunohistochemistry (B-left upper inset-high power).</w:t>
      </w:r>
    </w:p>
    <w:p w:rsidR="00F04432" w:rsidRPr="00BF1E3D" w:rsidRDefault="00F04432" w:rsidP="009C3795">
      <w:pPr>
        <w:adjustRightInd w:val="0"/>
        <w:snapToGrid w:val="0"/>
        <w:spacing w:line="360" w:lineRule="auto"/>
        <w:jc w:val="both"/>
        <w:rPr>
          <w:rFonts w:ascii="Book Antiqua" w:eastAsiaTheme="minorEastAsia" w:hAnsi="Book Antiqua" w:cs="Times New Roman"/>
          <w:bCs/>
          <w:color w:val="00000A"/>
        </w:rPr>
      </w:pPr>
    </w:p>
    <w:p w:rsidR="00322ADB" w:rsidRDefault="00322ADB" w:rsidP="009C3795">
      <w:pPr>
        <w:adjustRightInd w:val="0"/>
        <w:snapToGrid w:val="0"/>
        <w:spacing w:line="360" w:lineRule="auto"/>
        <w:jc w:val="both"/>
        <w:rPr>
          <w:rFonts w:ascii="Book Antiqua" w:eastAsiaTheme="minorEastAsia" w:hAnsi="Book Antiqua" w:cs="Times New Roman"/>
          <w:bCs/>
          <w:color w:val="00000A"/>
        </w:rPr>
      </w:pPr>
    </w:p>
    <w:p w:rsidR="00322ADB" w:rsidRPr="00322ADB" w:rsidRDefault="00322ADB" w:rsidP="009C3795">
      <w:pPr>
        <w:adjustRightInd w:val="0"/>
        <w:snapToGrid w:val="0"/>
        <w:spacing w:line="360" w:lineRule="auto"/>
        <w:jc w:val="both"/>
        <w:rPr>
          <w:rFonts w:ascii="Book Antiqua" w:eastAsiaTheme="minorEastAsia" w:hAnsi="Book Antiqua" w:cs="Times New Roman"/>
          <w:bCs/>
          <w:color w:val="00000A"/>
        </w:rPr>
        <w:sectPr w:rsidR="00322ADB" w:rsidRPr="00322ADB" w:rsidSect="00F04432">
          <w:footerReference w:type="default" r:id="rId14"/>
          <w:pgSz w:w="12240" w:h="15840"/>
          <w:pgMar w:top="1134" w:right="1134" w:bottom="1134" w:left="1134" w:header="720" w:footer="720" w:gutter="0"/>
          <w:cols w:space="720"/>
          <w:docGrid w:linePitch="326"/>
        </w:sectPr>
      </w:pPr>
    </w:p>
    <w:p w:rsidR="00FE1645" w:rsidRPr="00C666D4" w:rsidRDefault="00FE1645" w:rsidP="009C3795">
      <w:pPr>
        <w:adjustRightInd w:val="0"/>
        <w:snapToGrid w:val="0"/>
        <w:spacing w:line="360" w:lineRule="auto"/>
        <w:jc w:val="both"/>
        <w:rPr>
          <w:rFonts w:ascii="Book Antiqua" w:eastAsiaTheme="minorEastAsia" w:hAnsi="Book Antiqua" w:cs="Times New Roman"/>
          <w:b/>
          <w:bCs/>
          <w:color w:val="00000A"/>
        </w:rPr>
      </w:pPr>
      <w:r w:rsidRPr="00BF1E3D">
        <w:rPr>
          <w:rFonts w:ascii="Book Antiqua" w:eastAsia="Calibri" w:hAnsi="Book Antiqua" w:cs="Times New Roman"/>
          <w:b/>
          <w:bCs/>
          <w:color w:val="00000A"/>
        </w:rPr>
        <w:lastRenderedPageBreak/>
        <w:t>Table</w:t>
      </w:r>
      <w:r w:rsidR="00BF1E3D" w:rsidRPr="00BF1E3D">
        <w:rPr>
          <w:rFonts w:ascii="Book Antiqua" w:eastAsiaTheme="minorEastAsia" w:hAnsi="Book Antiqua" w:cs="Times New Roman" w:hint="eastAsia"/>
          <w:b/>
          <w:bCs/>
          <w:color w:val="00000A"/>
        </w:rPr>
        <w:t xml:space="preserve"> 1</w:t>
      </w:r>
      <w:r w:rsidRPr="00BF1E3D">
        <w:rPr>
          <w:rFonts w:ascii="Book Antiqua" w:eastAsia="Calibri" w:hAnsi="Book Antiqua" w:cs="Times New Roman"/>
          <w:b/>
          <w:bCs/>
          <w:color w:val="00000A"/>
        </w:rPr>
        <w:t xml:space="preserve"> Case reports of isolated Aspergillus appendicitis without ot</w:t>
      </w:r>
      <w:r w:rsidR="00C666D4">
        <w:rPr>
          <w:rFonts w:ascii="Book Antiqua" w:eastAsia="Calibri" w:hAnsi="Book Antiqua" w:cs="Times New Roman"/>
          <w:b/>
          <w:bCs/>
          <w:color w:val="00000A"/>
        </w:rPr>
        <w:t>her known Aspergillus infection</w:t>
      </w:r>
    </w:p>
    <w:tbl>
      <w:tblPr>
        <w:tblStyle w:val="TableGrid"/>
        <w:tblW w:w="14670" w:type="dxa"/>
        <w:tblInd w:w="-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080"/>
        <w:gridCol w:w="2070"/>
        <w:gridCol w:w="1620"/>
        <w:gridCol w:w="990"/>
        <w:gridCol w:w="1980"/>
        <w:gridCol w:w="2250"/>
        <w:gridCol w:w="3510"/>
      </w:tblGrid>
      <w:tr w:rsidR="00FE1645" w:rsidRPr="00C42E20" w:rsidTr="00BF1E3D">
        <w:tc>
          <w:tcPr>
            <w:tcW w:w="117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 xml:space="preserve">Age </w:t>
            </w:r>
            <w:r w:rsidR="00BF1E3D">
              <w:rPr>
                <w:rFonts w:ascii="Book Antiqua" w:eastAsiaTheme="minorEastAsia" w:hAnsi="Book Antiqua" w:cs="Times New Roman"/>
                <w:b/>
                <w:bCs/>
                <w:color w:val="00000A"/>
              </w:rPr>
              <w:t>and</w:t>
            </w:r>
            <w:r w:rsidR="00BF1E3D" w:rsidRPr="00C42E20">
              <w:rPr>
                <w:rFonts w:ascii="Book Antiqua" w:eastAsia="Calibri" w:hAnsi="Book Antiqua" w:cs="Times New Roman"/>
                <w:b/>
                <w:bCs/>
                <w:color w:val="00000A"/>
              </w:rPr>
              <w:t xml:space="preserve"> sex</w:t>
            </w:r>
            <w:r w:rsidRPr="00C42E20">
              <w:rPr>
                <w:rFonts w:ascii="Book Antiqua" w:eastAsia="Calibri" w:hAnsi="Book Antiqua" w:cs="Times New Roman"/>
                <w:b/>
                <w:bCs/>
                <w:color w:val="00000A"/>
              </w:rPr>
              <w:t xml:space="preserve"> (reference)</w:t>
            </w:r>
          </w:p>
        </w:tc>
        <w:tc>
          <w:tcPr>
            <w:tcW w:w="108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Underly</w:t>
            </w:r>
            <w:r w:rsidR="00015D2D" w:rsidRPr="00C42E20">
              <w:rPr>
                <w:rFonts w:ascii="Book Antiqua" w:eastAsia="Calibri" w:hAnsi="Book Antiqua" w:cs="Times New Roman"/>
                <w:b/>
                <w:bCs/>
                <w:color w:val="00000A"/>
              </w:rPr>
              <w:t>-</w:t>
            </w:r>
            <w:r w:rsidRPr="00C42E20">
              <w:rPr>
                <w:rFonts w:ascii="Book Antiqua" w:eastAsia="Calibri" w:hAnsi="Book Antiqua" w:cs="Times New Roman"/>
                <w:b/>
                <w:bCs/>
                <w:color w:val="00000A"/>
              </w:rPr>
              <w:t>ing condition</w:t>
            </w:r>
          </w:p>
        </w:tc>
        <w:tc>
          <w:tcPr>
            <w:tcW w:w="207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Chemotherapy</w:t>
            </w:r>
            <w:r w:rsidR="00C42E20">
              <w:rPr>
                <w:rFonts w:ascii="Book Antiqua" w:eastAsia="Calibri" w:hAnsi="Book Antiqua" w:cs="Times New Roman"/>
                <w:b/>
                <w:bCs/>
                <w:color w:val="00000A"/>
              </w:rPr>
              <w:t xml:space="preserve"> </w:t>
            </w:r>
            <w:r w:rsidRPr="00C42E20">
              <w:rPr>
                <w:rFonts w:ascii="Book Antiqua" w:eastAsia="Calibri" w:hAnsi="Book Antiqua" w:cs="Times New Roman"/>
                <w:b/>
                <w:bCs/>
                <w:color w:val="00000A"/>
              </w:rPr>
              <w:t>received prior to appendicitis</w:t>
            </w:r>
          </w:p>
        </w:tc>
        <w:tc>
          <w:tcPr>
            <w:tcW w:w="162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Symptom appearance after initiating chemotherapy</w:t>
            </w:r>
          </w:p>
        </w:tc>
        <w:tc>
          <w:tcPr>
            <w:tcW w:w="99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Neutro-penia at presen- tation</w:t>
            </w:r>
          </w:p>
        </w:tc>
        <w:tc>
          <w:tcPr>
            <w:tcW w:w="198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Abdominal imaging</w:t>
            </w:r>
          </w:p>
        </w:tc>
        <w:tc>
          <w:tcPr>
            <w:tcW w:w="225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Pathologic findings in resected appendix</w:t>
            </w:r>
          </w:p>
        </w:tc>
        <w:tc>
          <w:tcPr>
            <w:tcW w:w="351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 xml:space="preserve">Therapy </w:t>
            </w:r>
            <w:r w:rsidR="00BF1E3D">
              <w:rPr>
                <w:rFonts w:ascii="Book Antiqua" w:eastAsia="Calibri" w:hAnsi="Book Antiqua" w:cs="Times New Roman"/>
                <w:b/>
                <w:bCs/>
                <w:color w:val="00000A"/>
              </w:rPr>
              <w:t>and</w:t>
            </w:r>
            <w:r w:rsidRPr="00C42E20">
              <w:rPr>
                <w:rFonts w:ascii="Book Antiqua" w:eastAsia="Calibri" w:hAnsi="Book Antiqua" w:cs="Times New Roman"/>
                <w:b/>
                <w:bCs/>
                <w:color w:val="00000A"/>
              </w:rPr>
              <w:t xml:space="preserve"> </w:t>
            </w:r>
            <w:r w:rsidR="00BF1E3D" w:rsidRPr="00C42E20">
              <w:rPr>
                <w:rFonts w:ascii="Book Antiqua" w:eastAsia="Calibri" w:hAnsi="Book Antiqua" w:cs="Times New Roman"/>
                <w:b/>
                <w:bCs/>
                <w:color w:val="00000A"/>
              </w:rPr>
              <w:t>outcome</w:t>
            </w:r>
          </w:p>
        </w:tc>
      </w:tr>
      <w:tr w:rsidR="00FE1645" w:rsidRPr="00C42E20" w:rsidTr="00BF1E3D">
        <w:tc>
          <w:tcPr>
            <w:tcW w:w="1170" w:type="dxa"/>
            <w:tcBorders>
              <w:top w:val="single" w:sz="4" w:space="0" w:color="auto"/>
            </w:tcBorders>
          </w:tcPr>
          <w:p w:rsidR="00FE1645" w:rsidRPr="00C42E20" w:rsidRDefault="00BF1E3D" w:rsidP="009C3795">
            <w:pPr>
              <w:adjustRightInd w:val="0"/>
              <w:snapToGrid w:val="0"/>
              <w:spacing w:line="360" w:lineRule="auto"/>
              <w:jc w:val="both"/>
              <w:rPr>
                <w:rFonts w:ascii="Book Antiqua" w:eastAsia="Calibri" w:hAnsi="Book Antiqua" w:cs="Times New Roman"/>
                <w:bCs/>
                <w:color w:val="00000A"/>
              </w:rPr>
            </w:pPr>
            <w:r>
              <w:rPr>
                <w:rFonts w:ascii="Book Antiqua" w:eastAsia="Calibri" w:hAnsi="Book Antiqua" w:cs="Times New Roman"/>
                <w:bCs/>
                <w:color w:val="00000A"/>
              </w:rPr>
              <w:t>8</w:t>
            </w:r>
            <w:r>
              <w:rPr>
                <w:rFonts w:ascii="Book Antiqua" w:eastAsiaTheme="minorEastAsia" w:hAnsi="Book Antiqua" w:cs="Times New Roman" w:hint="eastAsia"/>
                <w:bCs/>
                <w:color w:val="00000A"/>
              </w:rPr>
              <w:t>-</w:t>
            </w:r>
            <w:r>
              <w:rPr>
                <w:rFonts w:ascii="Book Antiqua" w:eastAsia="Calibri" w:hAnsi="Book Antiqua" w:cs="Times New Roman"/>
                <w:bCs/>
                <w:color w:val="00000A"/>
              </w:rPr>
              <w:t>y</w:t>
            </w:r>
            <w:r w:rsidR="00FE1645" w:rsidRPr="00C42E20">
              <w:rPr>
                <w:rFonts w:ascii="Book Antiqua" w:eastAsia="Calibri" w:hAnsi="Book Antiqua" w:cs="Times New Roman"/>
                <w:bCs/>
                <w:color w:val="00000A"/>
              </w:rPr>
              <w:t>r</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old male</w:t>
            </w:r>
            <w:r w:rsidR="00FE1645" w:rsidRPr="00C42E20">
              <w:rPr>
                <w:rFonts w:ascii="Book Antiqua" w:eastAsia="Calibri" w:hAnsi="Book Antiqua" w:cs="Times New Roman"/>
                <w:bCs/>
                <w:color w:val="00000A"/>
                <w:vertAlign w:val="superscript"/>
              </w:rPr>
              <w:t>[1]</w:t>
            </w:r>
          </w:p>
        </w:tc>
        <w:tc>
          <w:tcPr>
            <w:tcW w:w="108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ALL</w:t>
            </w:r>
          </w:p>
        </w:tc>
        <w:tc>
          <w:tcPr>
            <w:tcW w:w="207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Initial therapy: Vincristine, prednisolone, L-asparaginase, intra- thecal methotrexate.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Chemotherapy during relapse not reported.</w:t>
            </w:r>
          </w:p>
        </w:tc>
        <w:tc>
          <w:tcPr>
            <w:tcW w:w="162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14 months after therapy restarted for a relapse.</w:t>
            </w:r>
          </w:p>
        </w:tc>
        <w:tc>
          <w:tcPr>
            <w:tcW w:w="99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w:t>
            </w:r>
          </w:p>
        </w:tc>
        <w:tc>
          <w:tcPr>
            <w:tcW w:w="198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USD: enlarged appendix, cecal wall thickened, and small periappendiceal fluid collection.</w:t>
            </w:r>
          </w:p>
        </w:tc>
        <w:tc>
          <w:tcPr>
            <w:tcW w:w="225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Necrosis and inflammation in mucosa and nearby muscle consistent with acute appendicitis.</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Many septated fungal hyphae showing acute-angle branching, characteristic of Aspergillus.</w:t>
            </w:r>
          </w:p>
        </w:tc>
        <w:tc>
          <w:tcPr>
            <w:tcW w:w="351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Fared poorly for 10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while treated with conventional antibiotic therapy of ceftazdime and amikacin before undergoing appendectomy.</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Did well after appendectomy.</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Discharged in stable condition at postoperative day 10 (not mentioned whether received antifungal therapy after appendectomy).</w:t>
            </w:r>
          </w:p>
        </w:tc>
      </w:tr>
      <w:tr w:rsidR="00FE1645" w:rsidRPr="00C42E20" w:rsidTr="00BF1E3D">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41</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 xml:space="preserve">old </w:t>
            </w:r>
            <w:r w:rsidRPr="00C42E20">
              <w:rPr>
                <w:rFonts w:ascii="Book Antiqua" w:eastAsia="Calibri" w:hAnsi="Book Antiqua" w:cs="Times New Roman"/>
                <w:bCs/>
                <w:color w:val="00000A"/>
              </w:rPr>
              <w:t>male</w:t>
            </w:r>
            <w:r w:rsidRPr="00C42E20">
              <w:rPr>
                <w:rFonts w:ascii="Book Antiqua" w:eastAsia="Calibri" w:hAnsi="Book Antiqua" w:cs="Times New Roman"/>
                <w:bCs/>
                <w:color w:val="00000A"/>
                <w:vertAlign w:val="superscript"/>
              </w:rPr>
              <w:t>[2]</w:t>
            </w:r>
          </w:p>
        </w:tc>
        <w:tc>
          <w:tcPr>
            <w:tcW w:w="10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ALL- (B-cell type </w:t>
            </w:r>
            <w:r w:rsidRPr="00C42E20">
              <w:rPr>
                <w:rFonts w:ascii="Book Antiqua" w:eastAsia="Calibri" w:hAnsi="Book Antiqua" w:cs="Times New Roman"/>
                <w:bCs/>
                <w:color w:val="00000A"/>
              </w:rPr>
              <w:lastRenderedPageBreak/>
              <w:t>with BCR-ABL trans-location).</w:t>
            </w:r>
          </w:p>
        </w:tc>
        <w:tc>
          <w:tcPr>
            <w:tcW w:w="20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Induction therapy: cyclophosphami</w:t>
            </w:r>
            <w:r w:rsidRPr="00C42E20">
              <w:rPr>
                <w:rFonts w:ascii="Book Antiqua" w:eastAsia="Calibri" w:hAnsi="Book Antiqua" w:cs="Times New Roman"/>
                <w:bCs/>
                <w:color w:val="00000A"/>
              </w:rPr>
              <w:lastRenderedPageBreak/>
              <w:t>de, daunorubicin, vin-cristine, prednisone, L-asparaginase, and dasatinib; Maintenance therapy: 6-mercaptopurine and dasatinib; Received stem cell transplantation.</w:t>
            </w:r>
          </w:p>
        </w:tc>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12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transplantation; 5 mo </w:t>
            </w:r>
            <w:r w:rsidRPr="00C42E20">
              <w:rPr>
                <w:rFonts w:ascii="Book Antiqua" w:eastAsia="Calibri" w:hAnsi="Book Antiqua" w:cs="Times New Roman"/>
                <w:bCs/>
                <w:color w:val="00000A"/>
              </w:rPr>
              <w:lastRenderedPageBreak/>
              <w:t>after initiation of chemotherapy.</w:t>
            </w:r>
          </w:p>
        </w:tc>
        <w:tc>
          <w:tcPr>
            <w:tcW w:w="99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Yes.</w:t>
            </w:r>
          </w:p>
        </w:tc>
        <w:tc>
          <w:tcPr>
            <w:tcW w:w="19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CT: cecal wall thickened, thickened </w:t>
            </w:r>
            <w:r w:rsidRPr="00C42E20">
              <w:rPr>
                <w:rFonts w:ascii="Book Antiqua" w:eastAsia="Calibri" w:hAnsi="Book Antiqua" w:cs="Times New Roman"/>
                <w:bCs/>
                <w:color w:val="00000A"/>
              </w:rPr>
              <w:lastRenderedPageBreak/>
              <w:t>retrocecal appendix, and periappendiceal inflammatory changes; small amount of free fluid present.</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Full-thickness invasion of appendiceal wall </w:t>
            </w:r>
            <w:r w:rsidRPr="00C42E20">
              <w:rPr>
                <w:rFonts w:ascii="Book Antiqua" w:eastAsia="Calibri" w:hAnsi="Book Antiqua" w:cs="Times New Roman"/>
                <w:bCs/>
                <w:color w:val="00000A"/>
              </w:rPr>
              <w:lastRenderedPageBreak/>
              <w:t>including serosa; fungal angioinvasion with vessels occluded by hyphal forms; positive methenamine-silver stain.</w:t>
            </w:r>
          </w:p>
        </w:tc>
        <w:tc>
          <w:tcPr>
            <w:tcW w:w="35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Fared extremely poorly for 6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with conventional antibiotic therapy plus acyclovir and </w:t>
            </w:r>
            <w:r w:rsidRPr="00C42E20">
              <w:rPr>
                <w:rFonts w:ascii="Book Antiqua" w:eastAsia="Calibri" w:hAnsi="Book Antiqua" w:cs="Times New Roman"/>
                <w:bCs/>
                <w:color w:val="00000A"/>
              </w:rPr>
              <w:lastRenderedPageBreak/>
              <w:t>fluconazole.</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Improved after appendectomy and after receiving liposomal amphotericin B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micafungin (switched on day 3 to voriconazole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micafungin due to acute renal injury).</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Discharged 46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appendectomy.</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Clinically stable 12 mo after hospitalization, without further aspergillus complications.</w:t>
            </w:r>
          </w:p>
        </w:tc>
      </w:tr>
      <w:tr w:rsidR="00FE1645" w:rsidRPr="00C42E20" w:rsidTr="00BF1E3D">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21</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old</w:t>
            </w:r>
            <w:r w:rsidRPr="00C42E20">
              <w:rPr>
                <w:rFonts w:ascii="Book Antiqua" w:eastAsia="Calibri" w:hAnsi="Book Antiqua" w:cs="Times New Roman"/>
                <w:bCs/>
                <w:color w:val="00000A"/>
              </w:rPr>
              <w:t xml:space="preserve"> male</w:t>
            </w:r>
            <w:r w:rsidRPr="00C42E20">
              <w:rPr>
                <w:rFonts w:ascii="Book Antiqua" w:eastAsia="Calibri" w:hAnsi="Book Antiqua" w:cs="Times New Roman"/>
                <w:bCs/>
                <w:color w:val="00000A"/>
                <w:vertAlign w:val="superscript"/>
              </w:rPr>
              <w:t>[3]</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p>
        </w:tc>
        <w:tc>
          <w:tcPr>
            <w:tcW w:w="10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AML- M1.</w:t>
            </w:r>
          </w:p>
        </w:tc>
        <w:tc>
          <w:tcPr>
            <w:tcW w:w="20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Mitozantrone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cytarabine.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Later treatment with daunorubicin and cytarabine.</w:t>
            </w:r>
          </w:p>
        </w:tc>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30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diagnosis.</w:t>
            </w:r>
          </w:p>
        </w:tc>
        <w:tc>
          <w:tcPr>
            <w:tcW w:w="99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 WBC</w:t>
            </w:r>
            <w:r w:rsidR="00BF1E3D">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 500/mm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 xml:space="preserve"> (no neu- trophils seen)</w:t>
            </w:r>
          </w:p>
        </w:tc>
        <w:tc>
          <w:tcPr>
            <w:tcW w:w="19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USD: dilated bowel loops and right hydronephrosis.</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CT scan: right hydroureter extending down into pelvis with </w:t>
            </w:r>
            <w:r w:rsidRPr="00C42E20">
              <w:rPr>
                <w:rFonts w:ascii="Book Antiqua" w:eastAsia="Calibri" w:hAnsi="Book Antiqua" w:cs="Times New Roman"/>
                <w:bCs/>
                <w:color w:val="00000A"/>
              </w:rPr>
              <w:lastRenderedPageBreak/>
              <w:t>loss of fat planes in the region, consistent with inflammatory process around distal ureter.</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Coagulative necrosis of appendiceal tip with septate fungal hyphae with dichotomous branching pattern, permeating and </w:t>
            </w:r>
            <w:r w:rsidRPr="00C42E20">
              <w:rPr>
                <w:rFonts w:ascii="Book Antiqua" w:eastAsia="Calibri" w:hAnsi="Book Antiqua" w:cs="Times New Roman"/>
                <w:bCs/>
                <w:color w:val="00000A"/>
              </w:rPr>
              <w:lastRenderedPageBreak/>
              <w:t>occluding arterial branches.</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Immunoperoxidase stain demonstrated Aspergillus flavus.</w:t>
            </w:r>
          </w:p>
        </w:tc>
        <w:tc>
          <w:tcPr>
            <w:tcW w:w="35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Amphotericin B</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Second laparotomy 6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first showed 3 small bowel perforations.</w:t>
            </w:r>
            <w:r w:rsidR="00C42E20">
              <w:rPr>
                <w:rFonts w:ascii="Book Antiqua" w:eastAsia="Calibri" w:hAnsi="Book Antiqua" w:cs="Times New Roman"/>
                <w:bCs/>
                <w:color w:val="00000A"/>
              </w:rPr>
              <w:t xml:space="preserve"> </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Died at day 49 from bleeding from Aspergillus invasion of iliac vein.</w:t>
            </w:r>
          </w:p>
        </w:tc>
      </w:tr>
      <w:tr w:rsidR="00FE1645" w:rsidRPr="00C42E20" w:rsidTr="00BF1E3D">
        <w:tc>
          <w:tcPr>
            <w:tcW w:w="1170" w:type="dxa"/>
          </w:tcPr>
          <w:p w:rsidR="00FE1645" w:rsidRPr="00BF1E3D" w:rsidRDefault="00FE1645" w:rsidP="009C3795">
            <w:pPr>
              <w:adjustRightInd w:val="0"/>
              <w:snapToGrid w:val="0"/>
              <w:spacing w:line="360" w:lineRule="auto"/>
              <w:jc w:val="both"/>
              <w:rPr>
                <w:rFonts w:ascii="Book Antiqua" w:eastAsiaTheme="minorEastAsia" w:hAnsi="Book Antiqua" w:cs="Times New Roman"/>
                <w:bCs/>
                <w:color w:val="00000A"/>
              </w:rPr>
            </w:pPr>
            <w:r w:rsidRPr="00C42E20">
              <w:rPr>
                <w:rFonts w:ascii="Book Antiqua" w:eastAsia="Calibri" w:hAnsi="Book Antiqua" w:cs="Times New Roman"/>
                <w:bCs/>
                <w:color w:val="00000A"/>
              </w:rPr>
              <w:lastRenderedPageBreak/>
              <w:t>39</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old</w:t>
            </w:r>
            <w:r w:rsidRPr="00C42E20">
              <w:rPr>
                <w:rFonts w:ascii="Book Antiqua" w:eastAsia="Calibri" w:hAnsi="Book Antiqua" w:cs="Times New Roman"/>
                <w:bCs/>
                <w:color w:val="00000A"/>
              </w:rPr>
              <w:t>, sex not stated</w:t>
            </w:r>
            <w:r w:rsidRPr="00C42E20">
              <w:rPr>
                <w:rFonts w:ascii="Book Antiqua" w:eastAsia="Calibri" w:hAnsi="Book Antiqua" w:cs="Times New Roman"/>
                <w:bCs/>
                <w:color w:val="00000A"/>
                <w:vertAlign w:val="superscript"/>
              </w:rPr>
              <w:t>[6]</w:t>
            </w:r>
            <w:r w:rsidR="00BF1E3D" w:rsidRPr="00BF1E3D">
              <w:rPr>
                <w:rFonts w:ascii="Book Antiqua" w:eastAsiaTheme="minorEastAsia" w:hAnsi="Book Antiqua" w:cs="Times New Roman" w:hint="eastAsia"/>
                <w:bCs/>
                <w:color w:val="00000A"/>
                <w:vertAlign w:val="superscript"/>
              </w:rPr>
              <w:t>1</w:t>
            </w:r>
          </w:p>
        </w:tc>
        <w:tc>
          <w:tcPr>
            <w:tcW w:w="10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Not reported.</w:t>
            </w:r>
          </w:p>
        </w:tc>
        <w:tc>
          <w:tcPr>
            <w:tcW w:w="20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NA</w:t>
            </w:r>
          </w:p>
        </w:tc>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NA</w:t>
            </w:r>
          </w:p>
        </w:tc>
        <w:tc>
          <w:tcPr>
            <w:tcW w:w="99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Not reported.</w:t>
            </w:r>
          </w:p>
        </w:tc>
        <w:tc>
          <w:tcPr>
            <w:tcW w:w="19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Not reported (case published in 1959 before abdominal CT or USD became available).</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At surgery: inflamed, enlarged, gangrenous appendix with severe surrounding inflammation.</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Microscopic pathology not reported.</w:t>
            </w:r>
          </w:p>
        </w:tc>
        <w:tc>
          <w:tcPr>
            <w:tcW w:w="35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Did poorly postoperatively with high spiking fevers, overwhelming sepsis, and progressive jaundice while receiving streptomycin and 2 other antibacterial antibiotics.</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On day 9 therapy with antimycotic trichomycin initiated after Aspergillus nidulans isolated from appendiceal culture.</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Died 3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later from progressive organ failure.</w:t>
            </w:r>
          </w:p>
        </w:tc>
      </w:tr>
      <w:tr w:rsidR="00FE1645" w:rsidRPr="00C42E20" w:rsidTr="00BF1E3D">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8</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 xml:space="preserve">old </w:t>
            </w:r>
            <w:r w:rsidRPr="00C42E20">
              <w:rPr>
                <w:rFonts w:ascii="Book Antiqua" w:eastAsia="Calibri" w:hAnsi="Book Antiqua" w:cs="Times New Roman"/>
                <w:bCs/>
                <w:color w:val="00000A"/>
              </w:rPr>
              <w:t>male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[Current Case Report]</w:t>
            </w:r>
          </w:p>
        </w:tc>
        <w:tc>
          <w:tcPr>
            <w:tcW w:w="10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AML-M5.</w:t>
            </w:r>
          </w:p>
        </w:tc>
        <w:tc>
          <w:tcPr>
            <w:tcW w:w="20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Daunorubicin, cytarabine, </w:t>
            </w:r>
            <w:r w:rsidRPr="00C42E20">
              <w:rPr>
                <w:rFonts w:ascii="Book Antiqua" w:eastAsia="Calibri" w:hAnsi="Book Antiqua" w:cs="Times New Roman"/>
                <w:bCs/>
                <w:color w:val="00000A"/>
              </w:rPr>
              <w:lastRenderedPageBreak/>
              <w:t>thioguanine, etopiside, and dexamethasone.</w:t>
            </w:r>
          </w:p>
        </w:tc>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30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w:t>
            </w:r>
          </w:p>
        </w:tc>
        <w:tc>
          <w:tcPr>
            <w:tcW w:w="99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WBC=</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200/mm</w:t>
            </w:r>
            <w:r w:rsidRPr="00C42E20">
              <w:rPr>
                <w:rFonts w:ascii="Book Antiqua" w:eastAsia="Calibri" w:hAnsi="Book Antiqua" w:cs="Times New Roman"/>
                <w:bCs/>
                <w:color w:val="00000A"/>
                <w:vertAlign w:val="superscript"/>
              </w:rPr>
              <w:t>3</w:t>
            </w:r>
          </w:p>
        </w:tc>
        <w:tc>
          <w:tcPr>
            <w:tcW w:w="198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USD: no evident right lower </w:t>
            </w:r>
            <w:r w:rsidRPr="00C42E20">
              <w:rPr>
                <w:rFonts w:ascii="Book Antiqua" w:eastAsia="Calibri" w:hAnsi="Book Antiqua" w:cs="Times New Roman"/>
                <w:bCs/>
                <w:color w:val="00000A"/>
              </w:rPr>
              <w:lastRenderedPageBreak/>
              <w:t>quadrant abscess or free fluid. CT: inflammatory changes in right lower quadrant with thick-walled appendix and dilated appendiceal lumen.</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Branched, septate fungal hyphae </w:t>
            </w:r>
            <w:r w:rsidRPr="00C42E20">
              <w:rPr>
                <w:rFonts w:ascii="Book Antiqua" w:eastAsia="Calibri" w:hAnsi="Book Antiqua" w:cs="Times New Roman"/>
                <w:bCs/>
                <w:color w:val="00000A"/>
              </w:rPr>
              <w:lastRenderedPageBreak/>
              <w:t>invading full thickness of appendiceal wall without discrete perforation.</w:t>
            </w:r>
          </w:p>
        </w:tc>
        <w:tc>
          <w:tcPr>
            <w:tcW w:w="35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Underwent appendectomy: Did poorly initially </w:t>
            </w:r>
            <w:r w:rsidRPr="00C42E20">
              <w:rPr>
                <w:rFonts w:ascii="Book Antiqua" w:eastAsia="Calibri" w:hAnsi="Book Antiqua" w:cs="Times New Roman"/>
                <w:bCs/>
                <w:color w:val="00000A"/>
              </w:rPr>
              <w:lastRenderedPageBreak/>
              <w:t xml:space="preserve">postoperatively while receiving antibacterial antibiotics. Recovered after receiving amphotericin B and discharged after 21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of this therapy.</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No signs of disseminated Aspergillosis during 8 mo of follow up while receiving prophyliaxis with itraconazole.</w:t>
            </w:r>
          </w:p>
        </w:tc>
      </w:tr>
    </w:tbl>
    <w:p w:rsidR="00BF1E3D" w:rsidRDefault="00BF1E3D" w:rsidP="009C3795">
      <w:pPr>
        <w:adjustRightInd w:val="0"/>
        <w:snapToGrid w:val="0"/>
        <w:spacing w:line="360" w:lineRule="auto"/>
        <w:jc w:val="both"/>
        <w:rPr>
          <w:rFonts w:ascii="Book Antiqua" w:eastAsiaTheme="minorEastAsia" w:hAnsi="Book Antiqua" w:cs="Times New Roman"/>
          <w:bCs/>
          <w:color w:val="00000A"/>
        </w:rPr>
      </w:pPr>
      <w:r w:rsidRPr="00BF1E3D">
        <w:rPr>
          <w:rFonts w:ascii="Book Antiqua" w:eastAsiaTheme="minorEastAsia" w:hAnsi="Book Antiqua" w:cs="Times New Roman" w:hint="eastAsia"/>
          <w:bCs/>
          <w:color w:val="00000A"/>
          <w:vertAlign w:val="superscript"/>
        </w:rPr>
        <w:lastRenderedPageBreak/>
        <w:t>1</w:t>
      </w:r>
      <w:r w:rsidR="00FE1645" w:rsidRPr="00C42E20">
        <w:rPr>
          <w:rFonts w:ascii="Book Antiqua" w:eastAsia="Calibri" w:hAnsi="Book Antiqua" w:cs="Times New Roman"/>
          <w:bCs/>
          <w:color w:val="00000A"/>
        </w:rPr>
        <w:t>Case excluded from analysis in this paper because this case report was published in 1959 before modern imaging tests became available and this case report lacks critical clini</w:t>
      </w:r>
      <w:r>
        <w:rPr>
          <w:rFonts w:ascii="Book Antiqua" w:eastAsia="Calibri" w:hAnsi="Book Antiqua" w:cs="Times New Roman"/>
          <w:bCs/>
          <w:color w:val="00000A"/>
        </w:rPr>
        <w:t>cal details due to its brevity.</w:t>
      </w:r>
      <w:r>
        <w:rPr>
          <w:rFonts w:ascii="Book Antiqua" w:eastAsiaTheme="minorEastAsia" w:hAnsi="Book Antiqua" w:cs="Times New Roman" w:hint="eastAsia"/>
          <w:bCs/>
          <w:color w:val="00000A"/>
        </w:rPr>
        <w:t xml:space="preserve"> </w:t>
      </w:r>
      <w:r w:rsidR="00FE1645" w:rsidRPr="00C42E20">
        <w:rPr>
          <w:rFonts w:ascii="Book Antiqua" w:eastAsia="Calibri" w:hAnsi="Book Antiqua" w:cs="Times New Roman"/>
          <w:bCs/>
          <w:color w:val="00000A"/>
        </w:rPr>
        <w:t>AML</w:t>
      </w:r>
      <w:r>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 xml:space="preserve">Acute </w:t>
      </w:r>
      <w:r w:rsidR="00FE1645" w:rsidRPr="00C42E20">
        <w:rPr>
          <w:rFonts w:ascii="Book Antiqua" w:eastAsia="Calibri" w:hAnsi="Book Antiqua" w:cs="Times New Roman"/>
          <w:bCs/>
          <w:color w:val="00000A"/>
        </w:rPr>
        <w:t>myelogenous leukemia</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ALL</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Acute </w:t>
      </w:r>
      <w:r w:rsidR="00FE1645" w:rsidRPr="00C42E20">
        <w:rPr>
          <w:rFonts w:ascii="Book Antiqua" w:eastAsia="Calibri" w:hAnsi="Book Antiqua" w:cs="Times New Roman"/>
          <w:bCs/>
          <w:color w:val="00000A"/>
        </w:rPr>
        <w:t>lymphocytic leukemia</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CT</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Computerized </w:t>
      </w:r>
      <w:r w:rsidR="00FE1645" w:rsidRPr="00C42E20">
        <w:rPr>
          <w:rFonts w:ascii="Book Antiqua" w:eastAsia="Calibri" w:hAnsi="Book Antiqua" w:cs="Times New Roman"/>
          <w:bCs/>
          <w:color w:val="00000A"/>
        </w:rPr>
        <w:t>tomography</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USD</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Ultrasound</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DIC</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Disseminated </w:t>
      </w:r>
      <w:r w:rsidR="00FE1645" w:rsidRPr="00C42E20">
        <w:rPr>
          <w:rFonts w:ascii="Book Antiqua" w:eastAsia="Calibri" w:hAnsi="Book Antiqua" w:cs="Times New Roman"/>
          <w:bCs/>
          <w:color w:val="00000A"/>
        </w:rPr>
        <w:t>intravascular coagulation</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WBC</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White </w:t>
      </w:r>
      <w:r w:rsidR="00FE1645" w:rsidRPr="00C42E20">
        <w:rPr>
          <w:rFonts w:ascii="Book Antiqua" w:eastAsia="Calibri" w:hAnsi="Book Antiqua" w:cs="Times New Roman"/>
          <w:bCs/>
          <w:color w:val="00000A"/>
        </w:rPr>
        <w:t>blood cell</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NA</w:t>
      </w:r>
      <w:r>
        <w:rPr>
          <w:rFonts w:ascii="Book Antiqua" w:eastAsiaTheme="minorEastAsia" w:hAnsi="Book Antiqua" w:cs="Times New Roman" w:hint="eastAsia"/>
          <w:bCs/>
          <w:color w:val="00000A"/>
        </w:rPr>
        <w:t>:</w:t>
      </w:r>
      <w:r w:rsidR="00FE1645" w:rsidRP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 xml:space="preserve">Not </w:t>
      </w:r>
      <w:r w:rsidR="00FE1645" w:rsidRPr="00C42E20">
        <w:rPr>
          <w:rFonts w:ascii="Book Antiqua" w:eastAsia="Calibri" w:hAnsi="Book Antiqua" w:cs="Times New Roman"/>
          <w:bCs/>
          <w:color w:val="00000A"/>
        </w:rPr>
        <w:t>available.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br w:type="page"/>
      </w:r>
    </w:p>
    <w:p w:rsidR="00FE1645" w:rsidRPr="00BF1E3D" w:rsidRDefault="00FE1645" w:rsidP="009C3795">
      <w:pPr>
        <w:adjustRightInd w:val="0"/>
        <w:snapToGrid w:val="0"/>
        <w:spacing w:line="360" w:lineRule="auto"/>
        <w:jc w:val="both"/>
        <w:rPr>
          <w:rFonts w:ascii="Book Antiqua" w:eastAsia="Calibri" w:hAnsi="Book Antiqua" w:cs="Times New Roman"/>
          <w:b/>
          <w:bCs/>
          <w:color w:val="00000A"/>
        </w:rPr>
      </w:pPr>
      <w:r w:rsidRPr="00BF1E3D">
        <w:rPr>
          <w:rFonts w:ascii="Book Antiqua" w:eastAsia="Calibri" w:hAnsi="Book Antiqua" w:cs="Times New Roman"/>
          <w:b/>
          <w:bCs/>
          <w:color w:val="00000A"/>
        </w:rPr>
        <w:lastRenderedPageBreak/>
        <w:t xml:space="preserve">Table </w:t>
      </w:r>
      <w:r w:rsidR="00BF1E3D" w:rsidRPr="00BF1E3D">
        <w:rPr>
          <w:rFonts w:ascii="Book Antiqua" w:eastAsiaTheme="minorEastAsia" w:hAnsi="Book Antiqua" w:cs="Times New Roman" w:hint="eastAsia"/>
          <w:b/>
          <w:bCs/>
          <w:color w:val="00000A"/>
        </w:rPr>
        <w:t>2</w:t>
      </w:r>
      <w:r w:rsidR="00C42E20" w:rsidRPr="00BF1E3D">
        <w:rPr>
          <w:rFonts w:ascii="Book Antiqua" w:eastAsia="Calibri" w:hAnsi="Book Antiqua" w:cs="Times New Roman"/>
          <w:b/>
          <w:bCs/>
          <w:color w:val="00000A"/>
        </w:rPr>
        <w:t xml:space="preserve"> </w:t>
      </w:r>
      <w:r w:rsidRPr="00BF1E3D">
        <w:rPr>
          <w:rFonts w:ascii="Book Antiqua" w:eastAsia="Calibri" w:hAnsi="Book Antiqua" w:cs="Times New Roman"/>
          <w:b/>
          <w:bCs/>
          <w:color w:val="00000A"/>
        </w:rPr>
        <w:t>Reported cases of Aspergillus appendicitis with additional gastrointestinal involvement</w:t>
      </w:r>
    </w:p>
    <w:tbl>
      <w:tblPr>
        <w:tblW w:w="14850" w:type="dxa"/>
        <w:tblInd w:w="-800" w:type="dxa"/>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1620"/>
        <w:gridCol w:w="810"/>
        <w:gridCol w:w="1350"/>
        <w:gridCol w:w="1350"/>
        <w:gridCol w:w="1170"/>
        <w:gridCol w:w="2250"/>
        <w:gridCol w:w="3600"/>
        <w:gridCol w:w="2700"/>
      </w:tblGrid>
      <w:tr w:rsidR="00FE1645" w:rsidRPr="00C42E20" w:rsidTr="00AC4980">
        <w:trPr>
          <w:trHeight w:val="1236"/>
        </w:trPr>
        <w:tc>
          <w:tcPr>
            <w:tcW w:w="162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 xml:space="preserve">Age </w:t>
            </w:r>
            <w:r w:rsidR="00BF1E3D">
              <w:rPr>
                <w:rFonts w:ascii="Book Antiqua" w:eastAsia="Calibri" w:hAnsi="Book Antiqua" w:cs="Times New Roman"/>
                <w:b/>
                <w:bCs/>
                <w:color w:val="00000A"/>
              </w:rPr>
              <w:t>and</w:t>
            </w:r>
            <w:r w:rsidRPr="00C42E20">
              <w:rPr>
                <w:rFonts w:ascii="Book Antiqua" w:eastAsia="Calibri" w:hAnsi="Book Antiqua" w:cs="Times New Roman"/>
                <w:b/>
                <w:bCs/>
                <w:color w:val="00000A"/>
              </w:rPr>
              <w:t xml:space="preserve"> </w:t>
            </w:r>
            <w:r w:rsidR="00BF1E3D" w:rsidRPr="00C42E20">
              <w:rPr>
                <w:rFonts w:ascii="Book Antiqua" w:eastAsia="Calibri" w:hAnsi="Book Antiqua" w:cs="Times New Roman"/>
                <w:b/>
                <w:bCs/>
                <w:color w:val="00000A"/>
              </w:rPr>
              <w:t>sex. areas of asp</w:t>
            </w:r>
            <w:r w:rsidRPr="00C42E20">
              <w:rPr>
                <w:rFonts w:ascii="Book Antiqua" w:eastAsia="Calibri" w:hAnsi="Book Antiqua" w:cs="Times New Roman"/>
                <w:b/>
                <w:bCs/>
                <w:color w:val="00000A"/>
              </w:rPr>
              <w:t>ergillus infection [reference]</w:t>
            </w:r>
          </w:p>
        </w:tc>
        <w:tc>
          <w:tcPr>
            <w:tcW w:w="81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Underly</w:t>
            </w:r>
            <w:r w:rsidR="00015D2D" w:rsidRPr="00C42E20">
              <w:rPr>
                <w:rFonts w:ascii="Book Antiqua" w:eastAsia="Calibri" w:hAnsi="Book Antiqua" w:cs="Times New Roman"/>
                <w:b/>
                <w:bCs/>
                <w:color w:val="00000A"/>
              </w:rPr>
              <w:t>-</w:t>
            </w:r>
            <w:r w:rsidRPr="00C42E20">
              <w:rPr>
                <w:rFonts w:ascii="Book Antiqua" w:eastAsia="Calibri" w:hAnsi="Book Antiqua" w:cs="Times New Roman"/>
                <w:b/>
                <w:bCs/>
                <w:color w:val="00000A"/>
              </w:rPr>
              <w:t>ing condition</w:t>
            </w:r>
          </w:p>
        </w:tc>
        <w:tc>
          <w:tcPr>
            <w:tcW w:w="135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Chemotherapy received prior to appendicitis</w:t>
            </w:r>
          </w:p>
        </w:tc>
        <w:tc>
          <w:tcPr>
            <w:tcW w:w="135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Presentation with symptoms after initiation of chemotherapy</w:t>
            </w:r>
          </w:p>
        </w:tc>
        <w:tc>
          <w:tcPr>
            <w:tcW w:w="117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Neutropenia at time of developing symptoms</w:t>
            </w:r>
          </w:p>
        </w:tc>
        <w:tc>
          <w:tcPr>
            <w:tcW w:w="225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 xml:space="preserve">Abdominal imaging </w:t>
            </w:r>
          </w:p>
        </w:tc>
        <w:tc>
          <w:tcPr>
            <w:tcW w:w="360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Pathologic findings in resected appendix</w:t>
            </w:r>
          </w:p>
        </w:tc>
        <w:tc>
          <w:tcPr>
            <w:tcW w:w="2700" w:type="dxa"/>
            <w:tcBorders>
              <w:top w:val="single" w:sz="4" w:space="0" w:color="auto"/>
              <w:bottom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Antifungal therapy:</w:t>
            </w:r>
          </w:p>
          <w:p w:rsidR="00FE1645" w:rsidRPr="00C42E20" w:rsidRDefault="00FE1645" w:rsidP="009C3795">
            <w:pPr>
              <w:adjustRightInd w:val="0"/>
              <w:snapToGrid w:val="0"/>
              <w:spacing w:line="360" w:lineRule="auto"/>
              <w:jc w:val="both"/>
              <w:rPr>
                <w:rFonts w:ascii="Book Antiqua" w:eastAsia="Calibri" w:hAnsi="Book Antiqua" w:cs="Times New Roman"/>
                <w:b/>
                <w:bCs/>
                <w:color w:val="00000A"/>
              </w:rPr>
            </w:pPr>
            <w:r w:rsidRPr="00C42E20">
              <w:rPr>
                <w:rFonts w:ascii="Book Antiqua" w:eastAsia="Calibri" w:hAnsi="Book Antiqua" w:cs="Times New Roman"/>
                <w:b/>
                <w:bCs/>
                <w:color w:val="00000A"/>
              </w:rPr>
              <w:t>Outcome</w:t>
            </w:r>
          </w:p>
        </w:tc>
      </w:tr>
      <w:tr w:rsidR="00FE1645" w:rsidRPr="00C42E20" w:rsidTr="00AC4980">
        <w:trPr>
          <w:trHeight w:val="1880"/>
        </w:trPr>
        <w:tc>
          <w:tcPr>
            <w:tcW w:w="1620" w:type="dxa"/>
            <w:tcBorders>
              <w:top w:val="single" w:sz="4" w:space="0" w:color="auto"/>
            </w:tcBorders>
          </w:tcPr>
          <w:p w:rsidR="00FE1645" w:rsidRPr="00C42E20" w:rsidRDefault="00BF1E3D" w:rsidP="009C3795">
            <w:pPr>
              <w:adjustRightInd w:val="0"/>
              <w:snapToGrid w:val="0"/>
              <w:spacing w:line="360" w:lineRule="auto"/>
              <w:jc w:val="both"/>
              <w:rPr>
                <w:rFonts w:ascii="Book Antiqua" w:eastAsia="Calibri" w:hAnsi="Book Antiqua" w:cs="Times New Roman"/>
                <w:bCs/>
                <w:color w:val="00000A"/>
              </w:rPr>
            </w:pPr>
            <w:r>
              <w:rPr>
                <w:rFonts w:ascii="Book Antiqua" w:eastAsia="Calibri" w:hAnsi="Book Antiqua" w:cs="Times New Roman"/>
                <w:bCs/>
                <w:color w:val="00000A"/>
              </w:rPr>
              <w:t>11</w:t>
            </w:r>
            <w:r>
              <w:rPr>
                <w:rFonts w:ascii="Book Antiqua" w:eastAsiaTheme="minorEastAsia" w:hAnsi="Book Antiqua" w:cs="Times New Roman" w:hint="eastAsia"/>
                <w:bCs/>
                <w:color w:val="00000A"/>
              </w:rPr>
              <w:t>-</w:t>
            </w:r>
            <w:r>
              <w:rPr>
                <w:rFonts w:ascii="Book Antiqua" w:eastAsia="Calibri" w:hAnsi="Book Antiqua" w:cs="Times New Roman"/>
                <w:bCs/>
                <w:color w:val="00000A"/>
              </w:rPr>
              <w:t>y</w:t>
            </w:r>
            <w:r w:rsidRPr="00C42E20">
              <w:rPr>
                <w:rFonts w:ascii="Book Antiqua" w:eastAsia="Calibri" w:hAnsi="Book Antiqua" w:cs="Times New Roman"/>
                <w:bCs/>
                <w:color w:val="00000A"/>
              </w:rPr>
              <w:t>r</w:t>
            </w:r>
            <w:r>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old</w:t>
            </w:r>
            <w:r w:rsidR="00FE1645" w:rsidRPr="00C42E20">
              <w:rPr>
                <w:rFonts w:ascii="Book Antiqua" w:eastAsia="Calibri" w:hAnsi="Book Antiqua" w:cs="Times New Roman"/>
                <w:bCs/>
                <w:color w:val="00000A"/>
              </w:rPr>
              <w:t xml:space="preserve"> male.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Extensive GI involvement including appendix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cecum (typhlitis) </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vertAlign w:val="superscript"/>
              </w:rPr>
              <w:t>[2</w:t>
            </w:r>
            <w:r w:rsidR="006E475A" w:rsidRPr="00C42E20">
              <w:rPr>
                <w:rFonts w:ascii="Book Antiqua" w:eastAsia="Calibri" w:hAnsi="Book Antiqua" w:cs="Times New Roman"/>
                <w:bCs/>
                <w:color w:val="00000A"/>
                <w:vertAlign w:val="superscript"/>
              </w:rPr>
              <w:t>8</w:t>
            </w:r>
            <w:r w:rsidRPr="00C42E20">
              <w:rPr>
                <w:rFonts w:ascii="Book Antiqua" w:eastAsia="Calibri" w:hAnsi="Book Antiqua" w:cs="Times New Roman"/>
                <w:bCs/>
                <w:color w:val="00000A"/>
                <w:vertAlign w:val="superscript"/>
              </w:rPr>
              <w:t>]</w:t>
            </w:r>
          </w:p>
        </w:tc>
        <w:tc>
          <w:tcPr>
            <w:tcW w:w="81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AML</w:t>
            </w:r>
          </w:p>
        </w:tc>
        <w:tc>
          <w:tcPr>
            <w:tcW w:w="135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Cytarabine, daunorubicin, and etoposide.</w:t>
            </w:r>
          </w:p>
        </w:tc>
        <w:tc>
          <w:tcPr>
            <w:tcW w:w="135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Day 12 after initiating chemotherapy.</w:t>
            </w:r>
          </w:p>
        </w:tc>
        <w:tc>
          <w:tcPr>
            <w:tcW w:w="117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w:t>
            </w:r>
          </w:p>
        </w:tc>
        <w:tc>
          <w:tcPr>
            <w:tcW w:w="225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USD: </w:t>
            </w:r>
            <w:r w:rsidRPr="00904D3F">
              <w:rPr>
                <w:rFonts w:ascii="Book Antiqua" w:eastAsia="Calibri" w:hAnsi="Book Antiqua" w:cs="Times New Roman"/>
                <w:bCs/>
                <w:caps/>
                <w:color w:val="00000A"/>
              </w:rPr>
              <w:t>t</w:t>
            </w:r>
            <w:r w:rsidRPr="00C42E20">
              <w:rPr>
                <w:rFonts w:ascii="Book Antiqua" w:eastAsia="Calibri" w:hAnsi="Book Antiqua" w:cs="Times New Roman"/>
                <w:bCs/>
                <w:color w:val="00000A"/>
              </w:rPr>
              <w:t>hickened intestinal walls with indistinct hypoechogenic area reaching from cecal pole to mesenteric root.</w:t>
            </w:r>
          </w:p>
        </w:tc>
        <w:tc>
          <w:tcPr>
            <w:tcW w:w="360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Performed cecal resection and appendectomy.</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Chronic, partially hemorrhagic inflammation of intestine infiltrated by Aspergillus. Fungal hyphae also demonstrated within blood vessels.</w:t>
            </w:r>
          </w:p>
        </w:tc>
        <w:tc>
          <w:tcPr>
            <w:tcW w:w="2700" w:type="dxa"/>
            <w:tcBorders>
              <w:top w:val="single" w:sz="4" w:space="0" w:color="auto"/>
            </w:tcBorders>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Amphotericin B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fluoro-cytosine: Patient succumbed to septic shock while on per</w:t>
            </w:r>
            <w:r w:rsidR="00904D3F">
              <w:rPr>
                <w:rFonts w:ascii="Book Antiqua" w:eastAsia="Calibri" w:hAnsi="Book Antiqua" w:cs="Times New Roman"/>
                <w:bCs/>
                <w:color w:val="00000A"/>
              </w:rPr>
              <w:t>sistent antifungal therapy 6 wk</w:t>
            </w:r>
            <w:r w:rsidRPr="00C42E20">
              <w:rPr>
                <w:rFonts w:ascii="Book Antiqua" w:eastAsia="Calibri" w:hAnsi="Book Antiqua" w:cs="Times New Roman"/>
                <w:bCs/>
                <w:color w:val="00000A"/>
              </w:rPr>
              <w:t xml:space="preserve"> after admission.</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Autopsy demonstrated disseminated Aspergillosis.</w:t>
            </w:r>
          </w:p>
        </w:tc>
      </w:tr>
      <w:tr w:rsidR="00FE1645" w:rsidRPr="00C42E20" w:rsidTr="00AC4980">
        <w:trPr>
          <w:trHeight w:val="343"/>
        </w:trPr>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38</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old</w:t>
            </w:r>
            <w:r w:rsidRPr="00C42E20">
              <w:rPr>
                <w:rFonts w:ascii="Book Antiqua" w:eastAsia="Calibri" w:hAnsi="Book Antiqua" w:cs="Times New Roman"/>
                <w:bCs/>
                <w:color w:val="00000A"/>
              </w:rPr>
              <w:t xml:space="preserve"> male. Only appendix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cecum </w:t>
            </w:r>
            <w:r w:rsidRPr="00C42E20">
              <w:rPr>
                <w:rFonts w:ascii="Book Antiqua" w:eastAsia="Calibri" w:hAnsi="Book Antiqua" w:cs="Times New Roman"/>
                <w:bCs/>
                <w:color w:val="00000A"/>
              </w:rPr>
              <w:lastRenderedPageBreak/>
              <w:t>infected</w:t>
            </w:r>
            <w:r w:rsidRPr="00C42E20">
              <w:rPr>
                <w:rFonts w:ascii="Book Antiqua" w:eastAsia="Calibri" w:hAnsi="Book Antiqua" w:cs="Times New Roman"/>
                <w:bCs/>
                <w:color w:val="00000A"/>
                <w:vertAlign w:val="superscript"/>
              </w:rPr>
              <w:t>[2</w:t>
            </w:r>
            <w:r w:rsidR="006E475A" w:rsidRPr="00C42E20">
              <w:rPr>
                <w:rFonts w:ascii="Book Antiqua" w:eastAsia="Calibri" w:hAnsi="Book Antiqua" w:cs="Times New Roman"/>
                <w:bCs/>
                <w:color w:val="00000A"/>
                <w:vertAlign w:val="superscript"/>
              </w:rPr>
              <w:t>6</w:t>
            </w:r>
            <w:r w:rsidRPr="00C42E20">
              <w:rPr>
                <w:rFonts w:ascii="Book Antiqua" w:eastAsia="Calibri" w:hAnsi="Book Antiqua" w:cs="Times New Roman"/>
                <w:bCs/>
                <w:color w:val="00000A"/>
                <w:vertAlign w:val="superscript"/>
              </w:rPr>
              <w:t>]</w:t>
            </w:r>
          </w:p>
        </w:tc>
        <w:tc>
          <w:tcPr>
            <w:tcW w:w="8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ALL</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Vincristine and prednisone and </w:t>
            </w:r>
            <w:r w:rsidRPr="00C42E20">
              <w:rPr>
                <w:rFonts w:ascii="Book Antiqua" w:eastAsia="Calibri" w:hAnsi="Book Antiqua" w:cs="Times New Roman"/>
                <w:bCs/>
                <w:color w:val="00000A"/>
              </w:rPr>
              <w:lastRenderedPageBreak/>
              <w:t>intrathecal methotrexate. Later changed to cytoxan and Adriamycin.</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Hospital day 7.</w:t>
            </w:r>
          </w:p>
        </w:tc>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 WBC</w:t>
            </w:r>
            <w:r w:rsidR="00904D3F">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sidR="00904D3F">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100/mm</w:t>
            </w:r>
            <w:r w:rsidRPr="00C42E20">
              <w:rPr>
                <w:rFonts w:ascii="Book Antiqua" w:eastAsia="Calibri" w:hAnsi="Book Antiqua" w:cs="Times New Roman"/>
                <w:bCs/>
                <w:color w:val="00000A"/>
                <w:vertAlign w:val="superscript"/>
              </w:rPr>
              <w:t>3</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Gallium scan: increased uptake in midabdomen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pelvis consistent </w:t>
            </w:r>
            <w:r w:rsidRPr="00C42E20">
              <w:rPr>
                <w:rFonts w:ascii="Book Antiqua" w:eastAsia="Calibri" w:hAnsi="Book Antiqua" w:cs="Times New Roman"/>
                <w:bCs/>
                <w:color w:val="00000A"/>
              </w:rPr>
              <w:lastRenderedPageBreak/>
              <w:t>with infectious process.</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CT: increased density in right lower quadrant consistent with an abscess or fluid-filled cecum.</w:t>
            </w:r>
          </w:p>
        </w:tc>
        <w:tc>
          <w:tcPr>
            <w:tcW w:w="36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Laparotomy: appendix not found (apparently due to destruction), but cecal perforation with surrounding abscess with </w:t>
            </w:r>
            <w:r w:rsidRPr="00C42E20">
              <w:rPr>
                <w:rFonts w:ascii="Book Antiqua" w:eastAsia="Calibri" w:hAnsi="Book Antiqua" w:cs="Times New Roman"/>
                <w:bCs/>
                <w:color w:val="00000A"/>
              </w:rPr>
              <w:lastRenderedPageBreak/>
              <w:t>multiple coloenteric fistulas found.</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Resected specimen showed Aspergillus hyphae in necrotic area of bowel wall invading peritoneal surfaces.</w:t>
            </w:r>
          </w:p>
        </w:tc>
        <w:tc>
          <w:tcPr>
            <w:tcW w:w="27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 xml:space="preserve">Amphotericin B: Stable at 6 mo follow-up, with right lung infiltrate that identified on previous </w:t>
            </w:r>
            <w:r w:rsidRPr="00904D3F">
              <w:rPr>
                <w:rFonts w:ascii="Book Antiqua" w:eastAsia="Calibri" w:hAnsi="Book Antiqua" w:cs="Times New Roman"/>
                <w:bCs/>
                <w:caps/>
                <w:color w:val="00000A"/>
              </w:rPr>
              <w:t>x</w:t>
            </w:r>
            <w:r w:rsidRPr="00C42E20">
              <w:rPr>
                <w:rFonts w:ascii="Book Antiqua" w:eastAsia="Calibri" w:hAnsi="Book Antiqua" w:cs="Times New Roman"/>
                <w:bCs/>
                <w:color w:val="00000A"/>
              </w:rPr>
              <w:t>-</w:t>
            </w:r>
            <w:r w:rsidRPr="00C42E20">
              <w:rPr>
                <w:rFonts w:ascii="Book Antiqua" w:eastAsia="Calibri" w:hAnsi="Book Antiqua" w:cs="Times New Roman"/>
                <w:bCs/>
                <w:color w:val="00000A"/>
              </w:rPr>
              <w:lastRenderedPageBreak/>
              <w:t>ray, being stable in size.</w:t>
            </w:r>
          </w:p>
        </w:tc>
      </w:tr>
      <w:tr w:rsidR="00FE1645" w:rsidRPr="00C42E20" w:rsidTr="00AC4980">
        <w:trPr>
          <w:trHeight w:val="1167"/>
        </w:trPr>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62</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old</w:t>
            </w:r>
            <w:r w:rsidRPr="00C42E20">
              <w:rPr>
                <w:rFonts w:ascii="Book Antiqua" w:eastAsia="Calibri" w:hAnsi="Book Antiqua" w:cs="Times New Roman"/>
                <w:bCs/>
                <w:color w:val="00000A"/>
              </w:rPr>
              <w:t xml:space="preserve"> female.</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Appendix, cecum, ascending colon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ileum infected</w:t>
            </w:r>
            <w:r w:rsidRPr="00C42E20">
              <w:rPr>
                <w:rFonts w:ascii="Book Antiqua" w:eastAsia="Calibri" w:hAnsi="Book Antiqua" w:cs="Times New Roman"/>
                <w:bCs/>
                <w:color w:val="00000A"/>
                <w:vertAlign w:val="superscript"/>
              </w:rPr>
              <w:t>[2</w:t>
            </w:r>
            <w:r w:rsidR="006E475A" w:rsidRPr="00C42E20">
              <w:rPr>
                <w:rFonts w:ascii="Book Antiqua" w:eastAsia="Calibri" w:hAnsi="Book Antiqua" w:cs="Times New Roman"/>
                <w:bCs/>
                <w:color w:val="00000A"/>
                <w:vertAlign w:val="superscript"/>
              </w:rPr>
              <w:t>7</w:t>
            </w:r>
            <w:r w:rsidRPr="00C42E20">
              <w:rPr>
                <w:rFonts w:ascii="Book Antiqua" w:eastAsia="Calibri" w:hAnsi="Book Antiqua" w:cs="Times New Roman"/>
                <w:bCs/>
                <w:color w:val="00000A"/>
                <w:vertAlign w:val="superscript"/>
              </w:rPr>
              <w:t>]</w:t>
            </w:r>
          </w:p>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p>
        </w:tc>
        <w:tc>
          <w:tcPr>
            <w:tcW w:w="8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AML M6</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Induction therapy: cytarabine for 7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and idarubicin for 3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Day 16 after initiating chemotherapy.</w:t>
            </w:r>
          </w:p>
        </w:tc>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 WBC</w:t>
            </w:r>
            <w:r w:rsidR="00904D3F">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w:t>
            </w:r>
            <w:r w:rsidR="00904D3F">
              <w:rPr>
                <w:rFonts w:ascii="Book Antiqua" w:eastAsiaTheme="minorEastAsia" w:hAnsi="Book Antiqua" w:cs="Times New Roman" w:hint="eastAsia"/>
                <w:bCs/>
                <w:color w:val="00000A"/>
              </w:rPr>
              <w:t xml:space="preserve"> </w:t>
            </w:r>
            <w:r w:rsidRPr="00C42E20">
              <w:rPr>
                <w:rFonts w:ascii="Book Antiqua" w:eastAsia="Calibri" w:hAnsi="Book Antiqua" w:cs="Times New Roman"/>
                <w:bCs/>
                <w:color w:val="00000A"/>
              </w:rPr>
              <w:t>600/mm</w:t>
            </w:r>
            <w:r w:rsidRPr="00C42E20">
              <w:rPr>
                <w:rFonts w:ascii="Book Antiqua" w:eastAsia="Calibri" w:hAnsi="Book Antiqua" w:cs="Times New Roman"/>
                <w:bCs/>
                <w:color w:val="00000A"/>
                <w:vertAlign w:val="superscript"/>
              </w:rPr>
              <w:t>3</w:t>
            </w:r>
            <w:r w:rsidRPr="00C42E20">
              <w:rPr>
                <w:rFonts w:ascii="Book Antiqua" w:eastAsia="Calibri" w:hAnsi="Book Antiqua" w:cs="Times New Roman"/>
                <w:bCs/>
                <w:color w:val="00000A"/>
              </w:rPr>
              <w:t>, no neutrophils.</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CT: </w:t>
            </w:r>
            <w:r w:rsidRPr="00904D3F">
              <w:rPr>
                <w:rFonts w:ascii="Book Antiqua" w:eastAsia="Calibri" w:hAnsi="Book Antiqua" w:cs="Times New Roman"/>
                <w:bCs/>
                <w:caps/>
                <w:color w:val="00000A"/>
              </w:rPr>
              <w:t>i</w:t>
            </w:r>
            <w:r w:rsidRPr="00C42E20">
              <w:rPr>
                <w:rFonts w:ascii="Book Antiqua" w:eastAsia="Calibri" w:hAnsi="Book Antiqua" w:cs="Times New Roman"/>
                <w:bCs/>
                <w:color w:val="00000A"/>
              </w:rPr>
              <w:t>nflammatory changes and fat stranding surrounding dilated appendix.</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Small amount of adjacent free fluid in pelvis.</w:t>
            </w:r>
            <w:r w:rsidR="00C42E20">
              <w:rPr>
                <w:rFonts w:ascii="Book Antiqua" w:eastAsia="Calibri" w:hAnsi="Book Antiqua" w:cs="Times New Roman"/>
                <w:bCs/>
                <w:color w:val="00000A"/>
              </w:rPr>
              <w:t xml:space="preserve"> </w:t>
            </w:r>
          </w:p>
        </w:tc>
        <w:tc>
          <w:tcPr>
            <w:tcW w:w="36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Resected 2.5 cm segment of small bowel and 60 cm segment of cecum and ascending colon. Microscopic evaluation of sections of bowel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appendix showed transmural intestinal infarction with hemorrhagic plugs within intestine blood vessels and fungal hyphae with septation and acute branching angles. Fungal stain revealed morphology consistent with Aspergillus.</w:t>
            </w:r>
          </w:p>
        </w:tc>
        <w:tc>
          <w:tcPr>
            <w:tcW w:w="27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Voriconazole started empirically 20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admission, before surgery: Patient expired from cardiac arrest 26 </w:t>
            </w:r>
            <w:r w:rsidR="00BF1E3D">
              <w:rPr>
                <w:rFonts w:ascii="Book Antiqua" w:eastAsia="Calibri" w:hAnsi="Book Antiqua" w:cs="Times New Roman"/>
                <w:bCs/>
                <w:color w:val="00000A"/>
              </w:rPr>
              <w:t>d</w:t>
            </w:r>
            <w:r w:rsidRPr="00C42E20">
              <w:rPr>
                <w:rFonts w:ascii="Book Antiqua" w:eastAsia="Calibri" w:hAnsi="Book Antiqua" w:cs="Times New Roman"/>
                <w:bCs/>
                <w:color w:val="00000A"/>
              </w:rPr>
              <w:t xml:space="preserve"> after admission.</w:t>
            </w:r>
          </w:p>
        </w:tc>
      </w:tr>
      <w:tr w:rsidR="00FE1645" w:rsidRPr="00C42E20" w:rsidTr="00AC4980">
        <w:trPr>
          <w:trHeight w:val="343"/>
        </w:trPr>
        <w:tc>
          <w:tcPr>
            <w:tcW w:w="162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lastRenderedPageBreak/>
              <w:t>5</w:t>
            </w:r>
            <w:r w:rsidR="00BF1E3D">
              <w:rPr>
                <w:rFonts w:ascii="Book Antiqua" w:eastAsiaTheme="minorEastAsia" w:hAnsi="Book Antiqua" w:cs="Times New Roman" w:hint="eastAsia"/>
                <w:bCs/>
                <w:color w:val="00000A"/>
              </w:rPr>
              <w:t>-</w:t>
            </w:r>
            <w:r w:rsidR="00BF1E3D">
              <w:rPr>
                <w:rFonts w:ascii="Book Antiqua" w:eastAsia="Calibri" w:hAnsi="Book Antiqua" w:cs="Times New Roman"/>
                <w:bCs/>
                <w:color w:val="00000A"/>
              </w:rPr>
              <w:t>y</w:t>
            </w:r>
            <w:r w:rsidR="00BF1E3D" w:rsidRPr="00C42E20">
              <w:rPr>
                <w:rFonts w:ascii="Book Antiqua" w:eastAsia="Calibri" w:hAnsi="Book Antiqua" w:cs="Times New Roman"/>
                <w:bCs/>
                <w:color w:val="00000A"/>
              </w:rPr>
              <w:t>r</w:t>
            </w:r>
            <w:r w:rsidR="00BF1E3D">
              <w:rPr>
                <w:rFonts w:ascii="Book Antiqua" w:eastAsiaTheme="minorEastAsia" w:hAnsi="Book Antiqua" w:cs="Times New Roman" w:hint="eastAsia"/>
                <w:bCs/>
                <w:color w:val="00000A"/>
              </w:rPr>
              <w:t>-</w:t>
            </w:r>
            <w:r w:rsidR="00BF1E3D" w:rsidRPr="00C42E20">
              <w:rPr>
                <w:rFonts w:ascii="Book Antiqua" w:eastAsia="Calibri" w:hAnsi="Book Antiqua" w:cs="Times New Roman"/>
                <w:bCs/>
                <w:color w:val="00000A"/>
              </w:rPr>
              <w:t>old</w:t>
            </w:r>
            <w:r w:rsidRPr="00C42E20">
              <w:rPr>
                <w:rFonts w:ascii="Book Antiqua" w:eastAsia="Calibri" w:hAnsi="Book Antiqua" w:cs="Times New Roman"/>
                <w:bCs/>
                <w:color w:val="00000A"/>
              </w:rPr>
              <w:t xml:space="preserve"> female.</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Appendix involved with widespread GI infection</w:t>
            </w:r>
            <w:r w:rsidRPr="00C42E20">
              <w:rPr>
                <w:rFonts w:ascii="Book Antiqua" w:eastAsia="Calibri" w:hAnsi="Book Antiqua" w:cs="Times New Roman"/>
                <w:bCs/>
                <w:color w:val="00000A"/>
                <w:vertAlign w:val="superscript"/>
              </w:rPr>
              <w:t>[</w:t>
            </w:r>
            <w:r w:rsidR="006E475A" w:rsidRPr="00C42E20">
              <w:rPr>
                <w:rFonts w:ascii="Book Antiqua" w:eastAsia="Calibri" w:hAnsi="Book Antiqua" w:cs="Times New Roman"/>
                <w:bCs/>
                <w:color w:val="00000A"/>
                <w:vertAlign w:val="superscript"/>
              </w:rPr>
              <w:t>29</w:t>
            </w:r>
            <w:r w:rsidRPr="00C42E20">
              <w:rPr>
                <w:rFonts w:ascii="Book Antiqua" w:eastAsia="Calibri" w:hAnsi="Book Antiqua" w:cs="Times New Roman"/>
                <w:bCs/>
                <w:color w:val="00000A"/>
                <w:vertAlign w:val="superscript"/>
              </w:rPr>
              <w:t>]</w:t>
            </w:r>
          </w:p>
        </w:tc>
        <w:tc>
          <w:tcPr>
            <w:tcW w:w="81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AML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diffuse large B-cell lymphoma</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6 cycles of ThaiPOG protocol.</w:t>
            </w:r>
          </w:p>
        </w:tc>
        <w:tc>
          <w:tcPr>
            <w:tcW w:w="13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Not specified.</w:t>
            </w:r>
          </w:p>
        </w:tc>
        <w:tc>
          <w:tcPr>
            <w:tcW w:w="117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Yes.</w:t>
            </w:r>
          </w:p>
        </w:tc>
        <w:tc>
          <w:tcPr>
            <w:tcW w:w="225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CT: </w:t>
            </w:r>
            <w:r w:rsidRPr="00904D3F">
              <w:rPr>
                <w:rFonts w:ascii="Book Antiqua" w:eastAsia="Calibri" w:hAnsi="Book Antiqua" w:cs="Times New Roman"/>
                <w:bCs/>
                <w:caps/>
                <w:color w:val="00000A"/>
              </w:rPr>
              <w:t>e</w:t>
            </w:r>
            <w:r w:rsidRPr="00C42E20">
              <w:rPr>
                <w:rFonts w:ascii="Book Antiqua" w:eastAsia="Calibri" w:hAnsi="Book Antiqua" w:cs="Times New Roman"/>
                <w:bCs/>
                <w:color w:val="00000A"/>
              </w:rPr>
              <w:t>arly abscess formation in distal ileum and appendix.</w:t>
            </w:r>
          </w:p>
        </w:tc>
        <w:tc>
          <w:tcPr>
            <w:tcW w:w="36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Pathological confirmation of appendicitis caused by invasive aspergillosis.</w:t>
            </w:r>
          </w:p>
        </w:tc>
        <w:tc>
          <w:tcPr>
            <w:tcW w:w="2700" w:type="dxa"/>
          </w:tcPr>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 xml:space="preserve">Amphotericin B, metronidazole </w:t>
            </w:r>
            <w:r w:rsidR="00BF1E3D">
              <w:rPr>
                <w:rFonts w:ascii="Book Antiqua" w:eastAsia="Calibri" w:hAnsi="Book Antiqua" w:cs="Times New Roman"/>
                <w:bCs/>
                <w:color w:val="00000A"/>
              </w:rPr>
              <w:t>and</w:t>
            </w:r>
            <w:r w:rsidRPr="00C42E20">
              <w:rPr>
                <w:rFonts w:ascii="Book Antiqua" w:eastAsia="Calibri" w:hAnsi="Book Antiqua" w:cs="Times New Roman"/>
                <w:bCs/>
                <w:color w:val="00000A"/>
              </w:rPr>
              <w:t xml:space="preserve"> piperacillin with tazobactam:</w:t>
            </w:r>
            <w:r w:rsidR="00C42E20">
              <w:rPr>
                <w:rFonts w:ascii="Book Antiqua" w:eastAsia="Calibri" w:hAnsi="Book Antiqua" w:cs="Times New Roman"/>
                <w:bCs/>
                <w:color w:val="00000A"/>
              </w:rPr>
              <w:t xml:space="preserve"> </w:t>
            </w:r>
            <w:r w:rsidRPr="00C42E20">
              <w:rPr>
                <w:rFonts w:ascii="Book Antiqua" w:eastAsia="Calibri" w:hAnsi="Book Antiqua" w:cs="Times New Roman"/>
                <w:bCs/>
                <w:color w:val="00000A"/>
              </w:rPr>
              <w:t>Died 1 d later from septicemia with DIC; Autopsy disclosed fungal infection disseminated throughout body.</w:t>
            </w:r>
          </w:p>
        </w:tc>
      </w:tr>
    </w:tbl>
    <w:p w:rsidR="00FE1645" w:rsidRPr="00C42E20" w:rsidRDefault="00FE1645" w:rsidP="009C3795">
      <w:pPr>
        <w:adjustRightInd w:val="0"/>
        <w:snapToGrid w:val="0"/>
        <w:spacing w:line="360" w:lineRule="auto"/>
        <w:jc w:val="both"/>
        <w:rPr>
          <w:rFonts w:ascii="Book Antiqua" w:eastAsia="Calibri" w:hAnsi="Book Antiqua" w:cs="Times New Roman"/>
          <w:bCs/>
          <w:color w:val="00000A"/>
        </w:rPr>
      </w:pPr>
      <w:r w:rsidRPr="00C42E20">
        <w:rPr>
          <w:rFonts w:ascii="Book Antiqua" w:eastAsia="Calibri" w:hAnsi="Book Antiqua" w:cs="Times New Roman"/>
          <w:bCs/>
          <w:color w:val="00000A"/>
        </w:rPr>
        <w:t>GI</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Gastrointestinal</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AML</w:t>
      </w:r>
      <w:r w:rsidR="00904D3F">
        <w:rPr>
          <w:rFonts w:ascii="Book Antiqua" w:eastAsiaTheme="minorEastAsia" w:hAnsi="Book Antiqua" w:cs="Times New Roman" w:hint="eastAsia"/>
          <w:bCs/>
          <w:color w:val="00000A"/>
        </w:rPr>
        <w:t>:</w:t>
      </w:r>
      <w:r w:rsid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Acute </w:t>
      </w:r>
      <w:r w:rsidRPr="00C42E20">
        <w:rPr>
          <w:rFonts w:ascii="Book Antiqua" w:eastAsia="Calibri" w:hAnsi="Book Antiqua" w:cs="Times New Roman"/>
          <w:bCs/>
          <w:color w:val="00000A"/>
        </w:rPr>
        <w:t>myelogenous leukemia</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ALL</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Acute </w:t>
      </w:r>
      <w:r w:rsidRPr="00C42E20">
        <w:rPr>
          <w:rFonts w:ascii="Book Antiqua" w:eastAsia="Calibri" w:hAnsi="Book Antiqua" w:cs="Times New Roman"/>
          <w:bCs/>
          <w:color w:val="00000A"/>
        </w:rPr>
        <w:t>lymphocytic leukemia</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NA</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Not </w:t>
      </w:r>
      <w:r w:rsidRPr="00C42E20">
        <w:rPr>
          <w:rFonts w:ascii="Book Antiqua" w:eastAsia="Calibri" w:hAnsi="Book Antiqua" w:cs="Times New Roman"/>
          <w:bCs/>
          <w:color w:val="00000A"/>
        </w:rPr>
        <w:t>applicable</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WBC</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White </w:t>
      </w:r>
      <w:r w:rsidRPr="00C42E20">
        <w:rPr>
          <w:rFonts w:ascii="Book Antiqua" w:eastAsia="Calibri" w:hAnsi="Book Antiqua" w:cs="Times New Roman"/>
          <w:bCs/>
          <w:color w:val="00000A"/>
        </w:rPr>
        <w:t>blood cell</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CT</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Computerized </w:t>
      </w:r>
      <w:r w:rsidRPr="00C42E20">
        <w:rPr>
          <w:rFonts w:ascii="Book Antiqua" w:eastAsia="Calibri" w:hAnsi="Book Antiqua" w:cs="Times New Roman"/>
          <w:bCs/>
          <w:color w:val="00000A"/>
        </w:rPr>
        <w:t>tomography</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USD</w:t>
      </w:r>
      <w:r w:rsidR="00904D3F">
        <w:rPr>
          <w:rFonts w:ascii="Book Antiqua" w:eastAsiaTheme="minorEastAsia" w:hAnsi="Book Antiqua" w:cs="Times New Roman" w:hint="eastAsia"/>
          <w:bCs/>
          <w:color w:val="00000A"/>
        </w:rPr>
        <w:t>:</w:t>
      </w:r>
      <w:r w:rsid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Ultrasound</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DIC</w:t>
      </w:r>
      <w:r w:rsidR="00904D3F">
        <w:rPr>
          <w:rFonts w:ascii="Book Antiqua" w:eastAsiaTheme="minorEastAsia" w:hAnsi="Book Antiqua" w:cs="Times New Roman" w:hint="eastAsia"/>
          <w:bCs/>
          <w:color w:val="00000A"/>
        </w:rPr>
        <w:t>:</w:t>
      </w:r>
      <w:r w:rsidRPr="00C42E20">
        <w:rPr>
          <w:rFonts w:ascii="Book Antiqua" w:eastAsia="Calibri" w:hAnsi="Book Antiqua" w:cs="Times New Roman"/>
          <w:bCs/>
          <w:color w:val="00000A"/>
        </w:rPr>
        <w:t xml:space="preserve"> </w:t>
      </w:r>
      <w:r w:rsidR="00904D3F" w:rsidRPr="00C42E20">
        <w:rPr>
          <w:rFonts w:ascii="Book Antiqua" w:eastAsia="Calibri" w:hAnsi="Book Antiqua" w:cs="Times New Roman"/>
          <w:bCs/>
          <w:color w:val="00000A"/>
        </w:rPr>
        <w:t xml:space="preserve">Disseminated </w:t>
      </w:r>
      <w:r w:rsidRPr="00C42E20">
        <w:rPr>
          <w:rFonts w:ascii="Book Antiqua" w:eastAsia="Calibri" w:hAnsi="Book Antiqua" w:cs="Times New Roman"/>
          <w:bCs/>
          <w:color w:val="00000A"/>
        </w:rPr>
        <w:t>intravascular coagulation.</w:t>
      </w:r>
    </w:p>
    <w:p w:rsidR="000F3D6C" w:rsidRPr="00904D3F" w:rsidRDefault="00C97117" w:rsidP="009C3795">
      <w:pPr>
        <w:adjustRightInd w:val="0"/>
        <w:snapToGrid w:val="0"/>
        <w:spacing w:line="360" w:lineRule="auto"/>
        <w:jc w:val="both"/>
        <w:rPr>
          <w:rFonts w:ascii="Book Antiqua" w:eastAsiaTheme="minorEastAsia" w:hAnsi="Book Antiqua"/>
        </w:rPr>
      </w:pPr>
      <w:r w:rsidRPr="00C42E20">
        <w:rPr>
          <w:rFonts w:ascii="Book Antiqua" w:hAnsi="Book Antiqua"/>
          <w:noProof/>
          <w:lang w:bidi="ar-SA"/>
        </w:rPr>
        <mc:AlternateContent>
          <mc:Choice Requires="wps">
            <w:drawing>
              <wp:anchor distT="0" distB="0" distL="114300" distR="114300" simplePos="0" relativeHeight="251666432" behindDoc="0" locked="0" layoutInCell="1" allowOverlap="1" wp14:anchorId="47D87BDB" wp14:editId="571455C0">
                <wp:simplePos x="0" y="0"/>
                <wp:positionH relativeFrom="column">
                  <wp:posOffset>539338</wp:posOffset>
                </wp:positionH>
                <wp:positionV relativeFrom="paragraph">
                  <wp:posOffset>7673975</wp:posOffset>
                </wp:positionV>
                <wp:extent cx="837210" cy="1403985"/>
                <wp:effectExtent l="0" t="0" r="2032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10" cy="1403985"/>
                        </a:xfrm>
                        <a:prstGeom prst="rect">
                          <a:avLst/>
                        </a:prstGeom>
                        <a:solidFill>
                          <a:srgbClr val="FFFFFF"/>
                        </a:solidFill>
                        <a:ln w="9525">
                          <a:solidFill>
                            <a:srgbClr val="000000"/>
                          </a:solidFill>
                          <a:miter lim="800000"/>
                          <a:headEnd/>
                          <a:tailEnd/>
                        </a:ln>
                      </wps:spPr>
                      <wps:txbx>
                        <w:txbxContent>
                          <w:p w:rsidR="00D8555B" w:rsidRDefault="00D8555B" w:rsidP="00C97117">
                            <w:r>
                              <w:t>Figure 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D87BDB" id="_x0000_t202" coordsize="21600,21600" o:spt="202" path="m,l,21600r21600,l21600,xe">
                <v:stroke joinstyle="miter"/>
                <v:path gradientshapeok="t" o:connecttype="rect"/>
              </v:shapetype>
              <v:shape id="Text Box 2" o:spid="_x0000_s1026" type="#_x0000_t202" style="position:absolute;left:0;text-align:left;margin-left:42.45pt;margin-top:604.25pt;width:65.9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">
                <v:textbox style="mso-fit-shape-to-text:t">
                  <w:txbxContent>
                    <w:p w:rsidR="00D8555B" w:rsidRDefault="00D8555B" w:rsidP="00C97117">
                      <w:r>
                        <w:t>Figure 2A</w:t>
                      </w:r>
                    </w:p>
                  </w:txbxContent>
                </v:textbox>
              </v:shape>
            </w:pict>
          </mc:Fallback>
        </mc:AlternateContent>
      </w:r>
    </w:p>
    <w:sectPr w:rsidR="000F3D6C" w:rsidRPr="00904D3F" w:rsidSect="00F04432">
      <w:pgSz w:w="15840" w:h="12240" w:orient="landscape"/>
      <w:pgMar w:top="1138" w:right="1138" w:bottom="1138" w:left="113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B81" w:rsidRDefault="00B02B81">
      <w:r>
        <w:separator/>
      </w:r>
    </w:p>
  </w:endnote>
  <w:endnote w:type="continuationSeparator" w:id="0">
    <w:p w:rsidR="00B02B81" w:rsidRDefault="00B02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102025"/>
      <w:docPartObj>
        <w:docPartGallery w:val="Page Numbers (Bottom of Page)"/>
        <w:docPartUnique/>
      </w:docPartObj>
    </w:sdtPr>
    <w:sdtEndPr>
      <w:rPr>
        <w:noProof/>
      </w:rPr>
    </w:sdtEndPr>
    <w:sdtContent>
      <w:p w:rsidR="00D8555B" w:rsidRDefault="00D8555B">
        <w:pPr>
          <w:pStyle w:val="Footer"/>
          <w:jc w:val="center"/>
        </w:pPr>
        <w:r>
          <w:fldChar w:fldCharType="begin"/>
        </w:r>
        <w:r>
          <w:instrText xml:space="preserve"> PAGE   \* MERGEFORMAT </w:instrText>
        </w:r>
        <w:r>
          <w:fldChar w:fldCharType="separate"/>
        </w:r>
        <w:r w:rsidR="00BB08AD">
          <w:rPr>
            <w:noProof/>
          </w:rPr>
          <w:t>29</w:t>
        </w:r>
        <w:r>
          <w:rPr>
            <w:noProof/>
          </w:rPr>
          <w:fldChar w:fldCharType="end"/>
        </w:r>
      </w:p>
    </w:sdtContent>
  </w:sdt>
  <w:p w:rsidR="00D8555B" w:rsidRDefault="00D855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B81" w:rsidRDefault="00B02B81">
      <w:r>
        <w:rPr>
          <w:color w:val="000000"/>
        </w:rPr>
        <w:separator/>
      </w:r>
    </w:p>
  </w:footnote>
  <w:footnote w:type="continuationSeparator" w:id="0">
    <w:p w:rsidR="00B02B81" w:rsidRDefault="00B02B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07A3A"/>
    <w:multiLevelType w:val="hybridMultilevel"/>
    <w:tmpl w:val="9CD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004B65"/>
    <w:multiLevelType w:val="hybridMultilevel"/>
    <w:tmpl w:val="0FD6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727A58"/>
    <w:multiLevelType w:val="hybridMultilevel"/>
    <w:tmpl w:val="4D02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150"/>
    <w:rsid w:val="00006A3E"/>
    <w:rsid w:val="0001137D"/>
    <w:rsid w:val="00015D2D"/>
    <w:rsid w:val="0002498F"/>
    <w:rsid w:val="00025F54"/>
    <w:rsid w:val="00031C5D"/>
    <w:rsid w:val="0004733F"/>
    <w:rsid w:val="00053541"/>
    <w:rsid w:val="00054328"/>
    <w:rsid w:val="00055437"/>
    <w:rsid w:val="00062524"/>
    <w:rsid w:val="0006270B"/>
    <w:rsid w:val="00065411"/>
    <w:rsid w:val="0007655A"/>
    <w:rsid w:val="00077037"/>
    <w:rsid w:val="000832EE"/>
    <w:rsid w:val="000A5E02"/>
    <w:rsid w:val="000B2015"/>
    <w:rsid w:val="000B3DE1"/>
    <w:rsid w:val="000B6842"/>
    <w:rsid w:val="000D52A9"/>
    <w:rsid w:val="000D7C33"/>
    <w:rsid w:val="000E46D0"/>
    <w:rsid w:val="000F394E"/>
    <w:rsid w:val="000F3D6C"/>
    <w:rsid w:val="00105C65"/>
    <w:rsid w:val="00111D15"/>
    <w:rsid w:val="00115B68"/>
    <w:rsid w:val="00121B7F"/>
    <w:rsid w:val="00124313"/>
    <w:rsid w:val="00130979"/>
    <w:rsid w:val="00133346"/>
    <w:rsid w:val="00150273"/>
    <w:rsid w:val="001514B9"/>
    <w:rsid w:val="001649BA"/>
    <w:rsid w:val="00186442"/>
    <w:rsid w:val="00187FB9"/>
    <w:rsid w:val="001A1421"/>
    <w:rsid w:val="001A6BFD"/>
    <w:rsid w:val="001C0E29"/>
    <w:rsid w:val="001C1764"/>
    <w:rsid w:val="001C335A"/>
    <w:rsid w:val="001C50A9"/>
    <w:rsid w:val="001D263C"/>
    <w:rsid w:val="001D68DD"/>
    <w:rsid w:val="001E11EB"/>
    <w:rsid w:val="001E19DF"/>
    <w:rsid w:val="001E1E9A"/>
    <w:rsid w:val="001F55D8"/>
    <w:rsid w:val="002202EE"/>
    <w:rsid w:val="00224BE2"/>
    <w:rsid w:val="0022674E"/>
    <w:rsid w:val="00226C8C"/>
    <w:rsid w:val="002317A4"/>
    <w:rsid w:val="0023455F"/>
    <w:rsid w:val="002401BF"/>
    <w:rsid w:val="00241677"/>
    <w:rsid w:val="00244271"/>
    <w:rsid w:val="00244D94"/>
    <w:rsid w:val="002454FC"/>
    <w:rsid w:val="00247CED"/>
    <w:rsid w:val="00255F51"/>
    <w:rsid w:val="002574BD"/>
    <w:rsid w:val="00267020"/>
    <w:rsid w:val="00267E5C"/>
    <w:rsid w:val="00275A96"/>
    <w:rsid w:val="002876A3"/>
    <w:rsid w:val="00287F08"/>
    <w:rsid w:val="00290A96"/>
    <w:rsid w:val="0029579B"/>
    <w:rsid w:val="002A1212"/>
    <w:rsid w:val="002A152D"/>
    <w:rsid w:val="002A322C"/>
    <w:rsid w:val="002A3E4F"/>
    <w:rsid w:val="002A7766"/>
    <w:rsid w:val="002B0560"/>
    <w:rsid w:val="002C4F0E"/>
    <w:rsid w:val="002C6101"/>
    <w:rsid w:val="002E19E9"/>
    <w:rsid w:val="002E7609"/>
    <w:rsid w:val="002F3FE3"/>
    <w:rsid w:val="002F4ED6"/>
    <w:rsid w:val="00306BF9"/>
    <w:rsid w:val="00313D49"/>
    <w:rsid w:val="0032131E"/>
    <w:rsid w:val="00321794"/>
    <w:rsid w:val="00321A90"/>
    <w:rsid w:val="00322ADB"/>
    <w:rsid w:val="00323D6B"/>
    <w:rsid w:val="00326D2D"/>
    <w:rsid w:val="00334AEE"/>
    <w:rsid w:val="00340594"/>
    <w:rsid w:val="00342958"/>
    <w:rsid w:val="00361860"/>
    <w:rsid w:val="00365E16"/>
    <w:rsid w:val="00365E40"/>
    <w:rsid w:val="00386ADD"/>
    <w:rsid w:val="00394C72"/>
    <w:rsid w:val="003A17A3"/>
    <w:rsid w:val="003A1FA1"/>
    <w:rsid w:val="003C64AD"/>
    <w:rsid w:val="003E6B4B"/>
    <w:rsid w:val="003E6DB1"/>
    <w:rsid w:val="003F019E"/>
    <w:rsid w:val="00414C09"/>
    <w:rsid w:val="00415F5E"/>
    <w:rsid w:val="00420F36"/>
    <w:rsid w:val="00424D1B"/>
    <w:rsid w:val="00434DDF"/>
    <w:rsid w:val="004356CB"/>
    <w:rsid w:val="00436710"/>
    <w:rsid w:val="004515F3"/>
    <w:rsid w:val="00451857"/>
    <w:rsid w:val="004549F2"/>
    <w:rsid w:val="004647EE"/>
    <w:rsid w:val="00467707"/>
    <w:rsid w:val="004677BE"/>
    <w:rsid w:val="00485EA9"/>
    <w:rsid w:val="004A0BD5"/>
    <w:rsid w:val="004A1084"/>
    <w:rsid w:val="004A1174"/>
    <w:rsid w:val="004B0965"/>
    <w:rsid w:val="004B7A55"/>
    <w:rsid w:val="004C4B76"/>
    <w:rsid w:val="004C5127"/>
    <w:rsid w:val="004C55E5"/>
    <w:rsid w:val="004D1924"/>
    <w:rsid w:val="004D5023"/>
    <w:rsid w:val="004E76A4"/>
    <w:rsid w:val="004F3732"/>
    <w:rsid w:val="00501085"/>
    <w:rsid w:val="0050692A"/>
    <w:rsid w:val="00510A00"/>
    <w:rsid w:val="0051178A"/>
    <w:rsid w:val="00512520"/>
    <w:rsid w:val="00513C5A"/>
    <w:rsid w:val="00516CD6"/>
    <w:rsid w:val="00531019"/>
    <w:rsid w:val="005324EA"/>
    <w:rsid w:val="005331F6"/>
    <w:rsid w:val="00551C4B"/>
    <w:rsid w:val="00552C7D"/>
    <w:rsid w:val="005553F3"/>
    <w:rsid w:val="00563E50"/>
    <w:rsid w:val="005931CB"/>
    <w:rsid w:val="005A00A2"/>
    <w:rsid w:val="005A46CC"/>
    <w:rsid w:val="005A51E7"/>
    <w:rsid w:val="005A7D96"/>
    <w:rsid w:val="005B72F5"/>
    <w:rsid w:val="005B78AA"/>
    <w:rsid w:val="005B7BC4"/>
    <w:rsid w:val="005D3FE4"/>
    <w:rsid w:val="005D7860"/>
    <w:rsid w:val="005E4870"/>
    <w:rsid w:val="005E7FC8"/>
    <w:rsid w:val="005F3819"/>
    <w:rsid w:val="005F6D72"/>
    <w:rsid w:val="00600123"/>
    <w:rsid w:val="0060596F"/>
    <w:rsid w:val="00607CEB"/>
    <w:rsid w:val="00610A5D"/>
    <w:rsid w:val="006153B2"/>
    <w:rsid w:val="0061597E"/>
    <w:rsid w:val="00616E15"/>
    <w:rsid w:val="0061716D"/>
    <w:rsid w:val="00633D99"/>
    <w:rsid w:val="0063737A"/>
    <w:rsid w:val="00641365"/>
    <w:rsid w:val="00646937"/>
    <w:rsid w:val="00647CEB"/>
    <w:rsid w:val="0066287A"/>
    <w:rsid w:val="00662BD0"/>
    <w:rsid w:val="0066637E"/>
    <w:rsid w:val="00670403"/>
    <w:rsid w:val="006931D9"/>
    <w:rsid w:val="006A1177"/>
    <w:rsid w:val="006A5E77"/>
    <w:rsid w:val="006A5EB9"/>
    <w:rsid w:val="006C4950"/>
    <w:rsid w:val="006C74E1"/>
    <w:rsid w:val="006C7F17"/>
    <w:rsid w:val="006E475A"/>
    <w:rsid w:val="006F0107"/>
    <w:rsid w:val="006F10CA"/>
    <w:rsid w:val="006F552B"/>
    <w:rsid w:val="006F7150"/>
    <w:rsid w:val="00703458"/>
    <w:rsid w:val="007041CA"/>
    <w:rsid w:val="00711056"/>
    <w:rsid w:val="00736110"/>
    <w:rsid w:val="00745E85"/>
    <w:rsid w:val="00763D79"/>
    <w:rsid w:val="007711B1"/>
    <w:rsid w:val="0077216F"/>
    <w:rsid w:val="00786C89"/>
    <w:rsid w:val="007902C2"/>
    <w:rsid w:val="00795467"/>
    <w:rsid w:val="00795811"/>
    <w:rsid w:val="007A70F0"/>
    <w:rsid w:val="007B522A"/>
    <w:rsid w:val="007D1C21"/>
    <w:rsid w:val="007E351C"/>
    <w:rsid w:val="007F2622"/>
    <w:rsid w:val="007F4C3B"/>
    <w:rsid w:val="00805902"/>
    <w:rsid w:val="00810E7A"/>
    <w:rsid w:val="008110AA"/>
    <w:rsid w:val="00813BE8"/>
    <w:rsid w:val="00825F0E"/>
    <w:rsid w:val="008270F8"/>
    <w:rsid w:val="008432E2"/>
    <w:rsid w:val="00871BDC"/>
    <w:rsid w:val="00871D07"/>
    <w:rsid w:val="00875C1C"/>
    <w:rsid w:val="00875C30"/>
    <w:rsid w:val="008814AA"/>
    <w:rsid w:val="00885057"/>
    <w:rsid w:val="008954CD"/>
    <w:rsid w:val="00896A6E"/>
    <w:rsid w:val="008B3CA3"/>
    <w:rsid w:val="008D0BE9"/>
    <w:rsid w:val="008D170B"/>
    <w:rsid w:val="008D6597"/>
    <w:rsid w:val="008E5A8C"/>
    <w:rsid w:val="008F2A33"/>
    <w:rsid w:val="00902998"/>
    <w:rsid w:val="00904D3F"/>
    <w:rsid w:val="009116DD"/>
    <w:rsid w:val="00911AA0"/>
    <w:rsid w:val="009213CC"/>
    <w:rsid w:val="00926A44"/>
    <w:rsid w:val="00936493"/>
    <w:rsid w:val="00937E3C"/>
    <w:rsid w:val="0094353A"/>
    <w:rsid w:val="00943A89"/>
    <w:rsid w:val="00945552"/>
    <w:rsid w:val="009467D4"/>
    <w:rsid w:val="00952D8D"/>
    <w:rsid w:val="0095302A"/>
    <w:rsid w:val="0095553D"/>
    <w:rsid w:val="00970522"/>
    <w:rsid w:val="00976407"/>
    <w:rsid w:val="00980C37"/>
    <w:rsid w:val="0098158B"/>
    <w:rsid w:val="009818A8"/>
    <w:rsid w:val="00982844"/>
    <w:rsid w:val="009968A4"/>
    <w:rsid w:val="009A727E"/>
    <w:rsid w:val="009B2ED0"/>
    <w:rsid w:val="009B492D"/>
    <w:rsid w:val="009B658E"/>
    <w:rsid w:val="009C06E1"/>
    <w:rsid w:val="009C3795"/>
    <w:rsid w:val="009C7E12"/>
    <w:rsid w:val="009D201F"/>
    <w:rsid w:val="009D2048"/>
    <w:rsid w:val="009F1DF8"/>
    <w:rsid w:val="00A02092"/>
    <w:rsid w:val="00A046D7"/>
    <w:rsid w:val="00A1094A"/>
    <w:rsid w:val="00A203ED"/>
    <w:rsid w:val="00A33AB3"/>
    <w:rsid w:val="00A35CAC"/>
    <w:rsid w:val="00A4084A"/>
    <w:rsid w:val="00A54AB6"/>
    <w:rsid w:val="00A5714E"/>
    <w:rsid w:val="00A7314A"/>
    <w:rsid w:val="00A930C3"/>
    <w:rsid w:val="00A931B2"/>
    <w:rsid w:val="00AA000B"/>
    <w:rsid w:val="00AA64D2"/>
    <w:rsid w:val="00AB1892"/>
    <w:rsid w:val="00AB4B34"/>
    <w:rsid w:val="00AC4980"/>
    <w:rsid w:val="00AD2437"/>
    <w:rsid w:val="00AD7500"/>
    <w:rsid w:val="00AE00B0"/>
    <w:rsid w:val="00AE429C"/>
    <w:rsid w:val="00AF6C06"/>
    <w:rsid w:val="00B02B81"/>
    <w:rsid w:val="00B36244"/>
    <w:rsid w:val="00B41042"/>
    <w:rsid w:val="00B42FD0"/>
    <w:rsid w:val="00B45525"/>
    <w:rsid w:val="00B517FF"/>
    <w:rsid w:val="00B51B28"/>
    <w:rsid w:val="00B51CE4"/>
    <w:rsid w:val="00B53EFE"/>
    <w:rsid w:val="00B636D5"/>
    <w:rsid w:val="00B71E40"/>
    <w:rsid w:val="00B7245B"/>
    <w:rsid w:val="00B75D11"/>
    <w:rsid w:val="00B77699"/>
    <w:rsid w:val="00B83468"/>
    <w:rsid w:val="00B97C6C"/>
    <w:rsid w:val="00BB08AD"/>
    <w:rsid w:val="00BB0B3A"/>
    <w:rsid w:val="00BB3152"/>
    <w:rsid w:val="00BD286C"/>
    <w:rsid w:val="00BD37D7"/>
    <w:rsid w:val="00BD716B"/>
    <w:rsid w:val="00BE171F"/>
    <w:rsid w:val="00BE640B"/>
    <w:rsid w:val="00BE7497"/>
    <w:rsid w:val="00BF1951"/>
    <w:rsid w:val="00BF1E3D"/>
    <w:rsid w:val="00BF58CA"/>
    <w:rsid w:val="00C004B1"/>
    <w:rsid w:val="00C02F45"/>
    <w:rsid w:val="00C069BE"/>
    <w:rsid w:val="00C137B5"/>
    <w:rsid w:val="00C1786E"/>
    <w:rsid w:val="00C42E20"/>
    <w:rsid w:val="00C42F4D"/>
    <w:rsid w:val="00C44FF7"/>
    <w:rsid w:val="00C47D9C"/>
    <w:rsid w:val="00C666D4"/>
    <w:rsid w:val="00C70B21"/>
    <w:rsid w:val="00C76A49"/>
    <w:rsid w:val="00C84B7B"/>
    <w:rsid w:val="00C924EE"/>
    <w:rsid w:val="00C93645"/>
    <w:rsid w:val="00C95756"/>
    <w:rsid w:val="00C97117"/>
    <w:rsid w:val="00CA151A"/>
    <w:rsid w:val="00CA6546"/>
    <w:rsid w:val="00CB3597"/>
    <w:rsid w:val="00CB7DF7"/>
    <w:rsid w:val="00CD2991"/>
    <w:rsid w:val="00CD4D23"/>
    <w:rsid w:val="00CE20BC"/>
    <w:rsid w:val="00CE4D01"/>
    <w:rsid w:val="00CF4651"/>
    <w:rsid w:val="00D07D2D"/>
    <w:rsid w:val="00D132E3"/>
    <w:rsid w:val="00D20918"/>
    <w:rsid w:val="00D3295C"/>
    <w:rsid w:val="00D46BAB"/>
    <w:rsid w:val="00D61525"/>
    <w:rsid w:val="00D62A00"/>
    <w:rsid w:val="00D74323"/>
    <w:rsid w:val="00D80E00"/>
    <w:rsid w:val="00D831FF"/>
    <w:rsid w:val="00D836FB"/>
    <w:rsid w:val="00D85267"/>
    <w:rsid w:val="00D8555B"/>
    <w:rsid w:val="00D86F2A"/>
    <w:rsid w:val="00D870E9"/>
    <w:rsid w:val="00D900B0"/>
    <w:rsid w:val="00D97EBF"/>
    <w:rsid w:val="00DA0A94"/>
    <w:rsid w:val="00DA2C3F"/>
    <w:rsid w:val="00DC5837"/>
    <w:rsid w:val="00DC7255"/>
    <w:rsid w:val="00DD3054"/>
    <w:rsid w:val="00DE7220"/>
    <w:rsid w:val="00DF1F74"/>
    <w:rsid w:val="00DF3CDE"/>
    <w:rsid w:val="00E00F28"/>
    <w:rsid w:val="00E02FA2"/>
    <w:rsid w:val="00E12B7D"/>
    <w:rsid w:val="00E1677D"/>
    <w:rsid w:val="00E1795D"/>
    <w:rsid w:val="00E32BC2"/>
    <w:rsid w:val="00E34873"/>
    <w:rsid w:val="00E46D4E"/>
    <w:rsid w:val="00E666EA"/>
    <w:rsid w:val="00E720E4"/>
    <w:rsid w:val="00E72D9A"/>
    <w:rsid w:val="00E73926"/>
    <w:rsid w:val="00E81DB7"/>
    <w:rsid w:val="00E87863"/>
    <w:rsid w:val="00E87E96"/>
    <w:rsid w:val="00E92646"/>
    <w:rsid w:val="00EA1C3D"/>
    <w:rsid w:val="00EA23B4"/>
    <w:rsid w:val="00EA579A"/>
    <w:rsid w:val="00EA642F"/>
    <w:rsid w:val="00EB1901"/>
    <w:rsid w:val="00EC5B7F"/>
    <w:rsid w:val="00ED35BC"/>
    <w:rsid w:val="00ED4F7F"/>
    <w:rsid w:val="00EE1258"/>
    <w:rsid w:val="00EF09DC"/>
    <w:rsid w:val="00F01032"/>
    <w:rsid w:val="00F04432"/>
    <w:rsid w:val="00F11651"/>
    <w:rsid w:val="00F25172"/>
    <w:rsid w:val="00F346B7"/>
    <w:rsid w:val="00F42AA3"/>
    <w:rsid w:val="00F437C6"/>
    <w:rsid w:val="00F473FE"/>
    <w:rsid w:val="00F54C7A"/>
    <w:rsid w:val="00F558AB"/>
    <w:rsid w:val="00F61655"/>
    <w:rsid w:val="00F73448"/>
    <w:rsid w:val="00F73462"/>
    <w:rsid w:val="00F77563"/>
    <w:rsid w:val="00F82FD8"/>
    <w:rsid w:val="00F83625"/>
    <w:rsid w:val="00F84AF2"/>
    <w:rsid w:val="00F8511F"/>
    <w:rsid w:val="00F87791"/>
    <w:rsid w:val="00F938D0"/>
    <w:rsid w:val="00FB6C70"/>
    <w:rsid w:val="00FC3546"/>
    <w:rsid w:val="00FE1645"/>
    <w:rsid w:val="00FE69E8"/>
    <w:rsid w:val="00FF1416"/>
    <w:rsid w:val="00FF3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ECA513-1812-4C07-8260-1E425F10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ListContents">
    <w:name w:val="List Contents"/>
    <w:basedOn w:val="Standard"/>
    <w:pPr>
      <w:ind w:left="567"/>
    </w:pPr>
  </w:style>
  <w:style w:type="paragraph" w:customStyle="1" w:styleId="ListHeading">
    <w:name w:val="List Heading"/>
    <w:basedOn w:val="Standard"/>
    <w:next w:val="ListContents"/>
  </w:style>
  <w:style w:type="character" w:customStyle="1" w:styleId="highlight">
    <w:name w:val="highlight"/>
    <w:basedOn w:val="DefaultParagraphFont"/>
  </w:style>
  <w:style w:type="character" w:customStyle="1" w:styleId="apple-converted-space">
    <w:name w:val="apple-converted-space"/>
    <w:basedOn w:val="DefaultParagraphFont"/>
  </w:style>
  <w:style w:type="character" w:styleId="Hyperlink">
    <w:name w:val="Hyperlink"/>
    <w:basedOn w:val="DefaultParagraphFont"/>
    <w:rPr>
      <w:color w:val="0000FF"/>
      <w:u w:val="single"/>
    </w:rPr>
  </w:style>
  <w:style w:type="paragraph" w:styleId="Header">
    <w:name w:val="header"/>
    <w:basedOn w:val="Normal"/>
    <w:link w:val="HeaderChar"/>
    <w:uiPriority w:val="99"/>
    <w:unhideWhenUsed/>
    <w:rsid w:val="00786C89"/>
    <w:pPr>
      <w:tabs>
        <w:tab w:val="center" w:pos="4680"/>
        <w:tab w:val="right" w:pos="9360"/>
      </w:tabs>
    </w:pPr>
    <w:rPr>
      <w:szCs w:val="21"/>
    </w:rPr>
  </w:style>
  <w:style w:type="character" w:customStyle="1" w:styleId="HeaderChar">
    <w:name w:val="Header Char"/>
    <w:basedOn w:val="DefaultParagraphFont"/>
    <w:link w:val="Header"/>
    <w:uiPriority w:val="99"/>
    <w:rsid w:val="00786C89"/>
    <w:rPr>
      <w:szCs w:val="21"/>
    </w:rPr>
  </w:style>
  <w:style w:type="paragraph" w:styleId="Footer">
    <w:name w:val="footer"/>
    <w:basedOn w:val="Normal"/>
    <w:link w:val="FooterChar"/>
    <w:uiPriority w:val="99"/>
    <w:unhideWhenUsed/>
    <w:rsid w:val="00786C89"/>
    <w:pPr>
      <w:tabs>
        <w:tab w:val="center" w:pos="4680"/>
        <w:tab w:val="right" w:pos="9360"/>
      </w:tabs>
    </w:pPr>
    <w:rPr>
      <w:szCs w:val="21"/>
    </w:rPr>
  </w:style>
  <w:style w:type="character" w:customStyle="1" w:styleId="FooterChar">
    <w:name w:val="Footer Char"/>
    <w:basedOn w:val="DefaultParagraphFont"/>
    <w:link w:val="Footer"/>
    <w:uiPriority w:val="99"/>
    <w:rsid w:val="00786C89"/>
    <w:rPr>
      <w:szCs w:val="21"/>
    </w:rPr>
  </w:style>
  <w:style w:type="paragraph" w:styleId="BalloonText">
    <w:name w:val="Balloon Text"/>
    <w:basedOn w:val="Normal"/>
    <w:link w:val="BalloonTextChar"/>
    <w:uiPriority w:val="99"/>
    <w:semiHidden/>
    <w:unhideWhenUsed/>
    <w:rsid w:val="007E351C"/>
    <w:rPr>
      <w:rFonts w:ascii="Tahoma" w:hAnsi="Tahoma"/>
      <w:sz w:val="16"/>
      <w:szCs w:val="14"/>
    </w:rPr>
  </w:style>
  <w:style w:type="character" w:customStyle="1" w:styleId="BalloonTextChar">
    <w:name w:val="Balloon Text Char"/>
    <w:basedOn w:val="DefaultParagraphFont"/>
    <w:link w:val="BalloonText"/>
    <w:uiPriority w:val="99"/>
    <w:semiHidden/>
    <w:rsid w:val="007E351C"/>
    <w:rPr>
      <w:rFonts w:ascii="Tahoma" w:hAnsi="Tahoma"/>
      <w:sz w:val="16"/>
      <w:szCs w:val="14"/>
    </w:rPr>
  </w:style>
  <w:style w:type="paragraph" w:styleId="ListParagraph">
    <w:name w:val="List Paragraph"/>
    <w:basedOn w:val="Normal"/>
    <w:uiPriority w:val="34"/>
    <w:qFormat/>
    <w:rsid w:val="005F3819"/>
    <w:pPr>
      <w:ind w:left="720"/>
      <w:contextualSpacing/>
    </w:pPr>
    <w:rPr>
      <w:szCs w:val="21"/>
    </w:rPr>
  </w:style>
  <w:style w:type="table" w:styleId="TableGrid">
    <w:name w:val="Table Grid"/>
    <w:basedOn w:val="TableNormal"/>
    <w:uiPriority w:val="39"/>
    <w:rsid w:val="00F04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716">
      <w:bodyDiv w:val="1"/>
      <w:marLeft w:val="0"/>
      <w:marRight w:val="0"/>
      <w:marTop w:val="0"/>
      <w:marBottom w:val="0"/>
      <w:divBdr>
        <w:top w:val="none" w:sz="0" w:space="0" w:color="auto"/>
        <w:left w:val="none" w:sz="0" w:space="0" w:color="auto"/>
        <w:bottom w:val="none" w:sz="0" w:space="0" w:color="auto"/>
        <w:right w:val="none" w:sz="0" w:space="0" w:color="auto"/>
      </w:divBdr>
    </w:div>
    <w:div w:id="80955861">
      <w:bodyDiv w:val="1"/>
      <w:marLeft w:val="0"/>
      <w:marRight w:val="0"/>
      <w:marTop w:val="0"/>
      <w:marBottom w:val="0"/>
      <w:divBdr>
        <w:top w:val="none" w:sz="0" w:space="0" w:color="auto"/>
        <w:left w:val="none" w:sz="0" w:space="0" w:color="auto"/>
        <w:bottom w:val="none" w:sz="0" w:space="0" w:color="auto"/>
        <w:right w:val="none" w:sz="0" w:space="0" w:color="auto"/>
      </w:divBdr>
      <w:divsChild>
        <w:div w:id="653530577">
          <w:marLeft w:val="0"/>
          <w:marRight w:val="1"/>
          <w:marTop w:val="0"/>
          <w:marBottom w:val="0"/>
          <w:divBdr>
            <w:top w:val="none" w:sz="0" w:space="0" w:color="auto"/>
            <w:left w:val="none" w:sz="0" w:space="0" w:color="auto"/>
            <w:bottom w:val="none" w:sz="0" w:space="0" w:color="auto"/>
            <w:right w:val="none" w:sz="0" w:space="0" w:color="auto"/>
          </w:divBdr>
          <w:divsChild>
            <w:div w:id="1078475474">
              <w:marLeft w:val="0"/>
              <w:marRight w:val="0"/>
              <w:marTop w:val="0"/>
              <w:marBottom w:val="0"/>
              <w:divBdr>
                <w:top w:val="none" w:sz="0" w:space="0" w:color="auto"/>
                <w:left w:val="none" w:sz="0" w:space="0" w:color="auto"/>
                <w:bottom w:val="none" w:sz="0" w:space="0" w:color="auto"/>
                <w:right w:val="none" w:sz="0" w:space="0" w:color="auto"/>
              </w:divBdr>
              <w:divsChild>
                <w:div w:id="903107368">
                  <w:marLeft w:val="0"/>
                  <w:marRight w:val="1"/>
                  <w:marTop w:val="0"/>
                  <w:marBottom w:val="0"/>
                  <w:divBdr>
                    <w:top w:val="none" w:sz="0" w:space="0" w:color="auto"/>
                    <w:left w:val="none" w:sz="0" w:space="0" w:color="auto"/>
                    <w:bottom w:val="none" w:sz="0" w:space="0" w:color="auto"/>
                    <w:right w:val="none" w:sz="0" w:space="0" w:color="auto"/>
                  </w:divBdr>
                  <w:divsChild>
                    <w:div w:id="1873883538">
                      <w:marLeft w:val="0"/>
                      <w:marRight w:val="0"/>
                      <w:marTop w:val="0"/>
                      <w:marBottom w:val="0"/>
                      <w:divBdr>
                        <w:top w:val="none" w:sz="0" w:space="0" w:color="auto"/>
                        <w:left w:val="none" w:sz="0" w:space="0" w:color="auto"/>
                        <w:bottom w:val="none" w:sz="0" w:space="0" w:color="auto"/>
                        <w:right w:val="none" w:sz="0" w:space="0" w:color="auto"/>
                      </w:divBdr>
                      <w:divsChild>
                        <w:div w:id="1809398200">
                          <w:marLeft w:val="0"/>
                          <w:marRight w:val="0"/>
                          <w:marTop w:val="0"/>
                          <w:marBottom w:val="0"/>
                          <w:divBdr>
                            <w:top w:val="none" w:sz="0" w:space="0" w:color="auto"/>
                            <w:left w:val="none" w:sz="0" w:space="0" w:color="auto"/>
                            <w:bottom w:val="none" w:sz="0" w:space="0" w:color="auto"/>
                            <w:right w:val="none" w:sz="0" w:space="0" w:color="auto"/>
                          </w:divBdr>
                          <w:divsChild>
                            <w:div w:id="1726372596">
                              <w:marLeft w:val="0"/>
                              <w:marRight w:val="0"/>
                              <w:marTop w:val="120"/>
                              <w:marBottom w:val="360"/>
                              <w:divBdr>
                                <w:top w:val="none" w:sz="0" w:space="0" w:color="auto"/>
                                <w:left w:val="none" w:sz="0" w:space="0" w:color="auto"/>
                                <w:bottom w:val="none" w:sz="0" w:space="0" w:color="auto"/>
                                <w:right w:val="none" w:sz="0" w:space="0" w:color="auto"/>
                              </w:divBdr>
                              <w:divsChild>
                                <w:div w:id="1277131721">
                                  <w:marLeft w:val="0"/>
                                  <w:marRight w:val="0"/>
                                  <w:marTop w:val="0"/>
                                  <w:marBottom w:val="0"/>
                                  <w:divBdr>
                                    <w:top w:val="none" w:sz="0" w:space="0" w:color="auto"/>
                                    <w:left w:val="none" w:sz="0" w:space="0" w:color="auto"/>
                                    <w:bottom w:val="none" w:sz="0" w:space="0" w:color="auto"/>
                                    <w:right w:val="none" w:sz="0" w:space="0" w:color="auto"/>
                                  </w:divBdr>
                                </w:div>
                                <w:div w:id="1901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7509">
      <w:bodyDiv w:val="1"/>
      <w:marLeft w:val="0"/>
      <w:marRight w:val="0"/>
      <w:marTop w:val="0"/>
      <w:marBottom w:val="0"/>
      <w:divBdr>
        <w:top w:val="none" w:sz="0" w:space="0" w:color="auto"/>
        <w:left w:val="none" w:sz="0" w:space="0" w:color="auto"/>
        <w:bottom w:val="none" w:sz="0" w:space="0" w:color="auto"/>
        <w:right w:val="none" w:sz="0" w:space="0" w:color="auto"/>
      </w:divBdr>
      <w:divsChild>
        <w:div w:id="279263073">
          <w:marLeft w:val="0"/>
          <w:marRight w:val="1"/>
          <w:marTop w:val="0"/>
          <w:marBottom w:val="0"/>
          <w:divBdr>
            <w:top w:val="none" w:sz="0" w:space="0" w:color="auto"/>
            <w:left w:val="none" w:sz="0" w:space="0" w:color="auto"/>
            <w:bottom w:val="none" w:sz="0" w:space="0" w:color="auto"/>
            <w:right w:val="none" w:sz="0" w:space="0" w:color="auto"/>
          </w:divBdr>
          <w:divsChild>
            <w:div w:id="1577930951">
              <w:marLeft w:val="0"/>
              <w:marRight w:val="0"/>
              <w:marTop w:val="0"/>
              <w:marBottom w:val="0"/>
              <w:divBdr>
                <w:top w:val="none" w:sz="0" w:space="0" w:color="auto"/>
                <w:left w:val="none" w:sz="0" w:space="0" w:color="auto"/>
                <w:bottom w:val="none" w:sz="0" w:space="0" w:color="auto"/>
                <w:right w:val="none" w:sz="0" w:space="0" w:color="auto"/>
              </w:divBdr>
              <w:divsChild>
                <w:div w:id="1337224599">
                  <w:marLeft w:val="0"/>
                  <w:marRight w:val="1"/>
                  <w:marTop w:val="0"/>
                  <w:marBottom w:val="0"/>
                  <w:divBdr>
                    <w:top w:val="none" w:sz="0" w:space="0" w:color="auto"/>
                    <w:left w:val="none" w:sz="0" w:space="0" w:color="auto"/>
                    <w:bottom w:val="none" w:sz="0" w:space="0" w:color="auto"/>
                    <w:right w:val="none" w:sz="0" w:space="0" w:color="auto"/>
                  </w:divBdr>
                  <w:divsChild>
                    <w:div w:id="847526758">
                      <w:marLeft w:val="0"/>
                      <w:marRight w:val="0"/>
                      <w:marTop w:val="0"/>
                      <w:marBottom w:val="0"/>
                      <w:divBdr>
                        <w:top w:val="none" w:sz="0" w:space="0" w:color="auto"/>
                        <w:left w:val="none" w:sz="0" w:space="0" w:color="auto"/>
                        <w:bottom w:val="none" w:sz="0" w:space="0" w:color="auto"/>
                        <w:right w:val="none" w:sz="0" w:space="0" w:color="auto"/>
                      </w:divBdr>
                      <w:divsChild>
                        <w:div w:id="1471635654">
                          <w:marLeft w:val="0"/>
                          <w:marRight w:val="0"/>
                          <w:marTop w:val="0"/>
                          <w:marBottom w:val="0"/>
                          <w:divBdr>
                            <w:top w:val="none" w:sz="0" w:space="0" w:color="auto"/>
                            <w:left w:val="none" w:sz="0" w:space="0" w:color="auto"/>
                            <w:bottom w:val="none" w:sz="0" w:space="0" w:color="auto"/>
                            <w:right w:val="none" w:sz="0" w:space="0" w:color="auto"/>
                          </w:divBdr>
                          <w:divsChild>
                            <w:div w:id="329793906">
                              <w:marLeft w:val="0"/>
                              <w:marRight w:val="0"/>
                              <w:marTop w:val="120"/>
                              <w:marBottom w:val="360"/>
                              <w:divBdr>
                                <w:top w:val="none" w:sz="0" w:space="0" w:color="auto"/>
                                <w:left w:val="none" w:sz="0" w:space="0" w:color="auto"/>
                                <w:bottom w:val="none" w:sz="0" w:space="0" w:color="auto"/>
                                <w:right w:val="none" w:sz="0" w:space="0" w:color="auto"/>
                              </w:divBdr>
                              <w:divsChild>
                                <w:div w:id="1034768510">
                                  <w:marLeft w:val="0"/>
                                  <w:marRight w:val="0"/>
                                  <w:marTop w:val="0"/>
                                  <w:marBottom w:val="0"/>
                                  <w:divBdr>
                                    <w:top w:val="none" w:sz="0" w:space="0" w:color="auto"/>
                                    <w:left w:val="none" w:sz="0" w:space="0" w:color="auto"/>
                                    <w:bottom w:val="none" w:sz="0" w:space="0" w:color="auto"/>
                                    <w:right w:val="none" w:sz="0" w:space="0" w:color="auto"/>
                                  </w:divBdr>
                                </w:div>
                                <w:div w:id="1073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680604">
      <w:bodyDiv w:val="1"/>
      <w:marLeft w:val="0"/>
      <w:marRight w:val="0"/>
      <w:marTop w:val="0"/>
      <w:marBottom w:val="0"/>
      <w:divBdr>
        <w:top w:val="none" w:sz="0" w:space="0" w:color="auto"/>
        <w:left w:val="none" w:sz="0" w:space="0" w:color="auto"/>
        <w:bottom w:val="none" w:sz="0" w:space="0" w:color="auto"/>
        <w:right w:val="none" w:sz="0" w:space="0" w:color="auto"/>
      </w:divBdr>
      <w:divsChild>
        <w:div w:id="575818607">
          <w:marLeft w:val="0"/>
          <w:marRight w:val="1"/>
          <w:marTop w:val="0"/>
          <w:marBottom w:val="0"/>
          <w:divBdr>
            <w:top w:val="none" w:sz="0" w:space="0" w:color="auto"/>
            <w:left w:val="none" w:sz="0" w:space="0" w:color="auto"/>
            <w:bottom w:val="none" w:sz="0" w:space="0" w:color="auto"/>
            <w:right w:val="none" w:sz="0" w:space="0" w:color="auto"/>
          </w:divBdr>
          <w:divsChild>
            <w:div w:id="1470050411">
              <w:marLeft w:val="0"/>
              <w:marRight w:val="0"/>
              <w:marTop w:val="0"/>
              <w:marBottom w:val="0"/>
              <w:divBdr>
                <w:top w:val="none" w:sz="0" w:space="0" w:color="auto"/>
                <w:left w:val="none" w:sz="0" w:space="0" w:color="auto"/>
                <w:bottom w:val="none" w:sz="0" w:space="0" w:color="auto"/>
                <w:right w:val="none" w:sz="0" w:space="0" w:color="auto"/>
              </w:divBdr>
              <w:divsChild>
                <w:div w:id="892011456">
                  <w:marLeft w:val="0"/>
                  <w:marRight w:val="1"/>
                  <w:marTop w:val="0"/>
                  <w:marBottom w:val="0"/>
                  <w:divBdr>
                    <w:top w:val="none" w:sz="0" w:space="0" w:color="auto"/>
                    <w:left w:val="none" w:sz="0" w:space="0" w:color="auto"/>
                    <w:bottom w:val="none" w:sz="0" w:space="0" w:color="auto"/>
                    <w:right w:val="none" w:sz="0" w:space="0" w:color="auto"/>
                  </w:divBdr>
                  <w:divsChild>
                    <w:div w:id="1817337090">
                      <w:marLeft w:val="0"/>
                      <w:marRight w:val="0"/>
                      <w:marTop w:val="0"/>
                      <w:marBottom w:val="0"/>
                      <w:divBdr>
                        <w:top w:val="none" w:sz="0" w:space="0" w:color="auto"/>
                        <w:left w:val="none" w:sz="0" w:space="0" w:color="auto"/>
                        <w:bottom w:val="none" w:sz="0" w:space="0" w:color="auto"/>
                        <w:right w:val="none" w:sz="0" w:space="0" w:color="auto"/>
                      </w:divBdr>
                      <w:divsChild>
                        <w:div w:id="311831558">
                          <w:marLeft w:val="0"/>
                          <w:marRight w:val="0"/>
                          <w:marTop w:val="0"/>
                          <w:marBottom w:val="0"/>
                          <w:divBdr>
                            <w:top w:val="none" w:sz="0" w:space="0" w:color="auto"/>
                            <w:left w:val="none" w:sz="0" w:space="0" w:color="auto"/>
                            <w:bottom w:val="none" w:sz="0" w:space="0" w:color="auto"/>
                            <w:right w:val="none" w:sz="0" w:space="0" w:color="auto"/>
                          </w:divBdr>
                          <w:divsChild>
                            <w:div w:id="386027479">
                              <w:marLeft w:val="0"/>
                              <w:marRight w:val="0"/>
                              <w:marTop w:val="120"/>
                              <w:marBottom w:val="360"/>
                              <w:divBdr>
                                <w:top w:val="none" w:sz="0" w:space="0" w:color="auto"/>
                                <w:left w:val="none" w:sz="0" w:space="0" w:color="auto"/>
                                <w:bottom w:val="none" w:sz="0" w:space="0" w:color="auto"/>
                                <w:right w:val="none" w:sz="0" w:space="0" w:color="auto"/>
                              </w:divBdr>
                              <w:divsChild>
                                <w:div w:id="2099786252">
                                  <w:marLeft w:val="0"/>
                                  <w:marRight w:val="0"/>
                                  <w:marTop w:val="0"/>
                                  <w:marBottom w:val="0"/>
                                  <w:divBdr>
                                    <w:top w:val="none" w:sz="0" w:space="0" w:color="auto"/>
                                    <w:left w:val="none" w:sz="0" w:space="0" w:color="auto"/>
                                    <w:bottom w:val="none" w:sz="0" w:space="0" w:color="auto"/>
                                    <w:right w:val="none" w:sz="0" w:space="0" w:color="auto"/>
                                  </w:divBdr>
                                </w:div>
                                <w:div w:id="271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865027">
      <w:bodyDiv w:val="1"/>
      <w:marLeft w:val="0"/>
      <w:marRight w:val="0"/>
      <w:marTop w:val="0"/>
      <w:marBottom w:val="0"/>
      <w:divBdr>
        <w:top w:val="none" w:sz="0" w:space="0" w:color="auto"/>
        <w:left w:val="none" w:sz="0" w:space="0" w:color="auto"/>
        <w:bottom w:val="none" w:sz="0" w:space="0" w:color="auto"/>
        <w:right w:val="none" w:sz="0" w:space="0" w:color="auto"/>
      </w:divBdr>
      <w:divsChild>
        <w:div w:id="868756050">
          <w:marLeft w:val="0"/>
          <w:marRight w:val="1"/>
          <w:marTop w:val="0"/>
          <w:marBottom w:val="0"/>
          <w:divBdr>
            <w:top w:val="none" w:sz="0" w:space="0" w:color="auto"/>
            <w:left w:val="none" w:sz="0" w:space="0" w:color="auto"/>
            <w:bottom w:val="none" w:sz="0" w:space="0" w:color="auto"/>
            <w:right w:val="none" w:sz="0" w:space="0" w:color="auto"/>
          </w:divBdr>
          <w:divsChild>
            <w:div w:id="1615625096">
              <w:marLeft w:val="0"/>
              <w:marRight w:val="0"/>
              <w:marTop w:val="0"/>
              <w:marBottom w:val="0"/>
              <w:divBdr>
                <w:top w:val="none" w:sz="0" w:space="0" w:color="auto"/>
                <w:left w:val="none" w:sz="0" w:space="0" w:color="auto"/>
                <w:bottom w:val="none" w:sz="0" w:space="0" w:color="auto"/>
                <w:right w:val="none" w:sz="0" w:space="0" w:color="auto"/>
              </w:divBdr>
              <w:divsChild>
                <w:div w:id="1906212148">
                  <w:marLeft w:val="0"/>
                  <w:marRight w:val="1"/>
                  <w:marTop w:val="0"/>
                  <w:marBottom w:val="0"/>
                  <w:divBdr>
                    <w:top w:val="none" w:sz="0" w:space="0" w:color="auto"/>
                    <w:left w:val="none" w:sz="0" w:space="0" w:color="auto"/>
                    <w:bottom w:val="none" w:sz="0" w:space="0" w:color="auto"/>
                    <w:right w:val="none" w:sz="0" w:space="0" w:color="auto"/>
                  </w:divBdr>
                  <w:divsChild>
                    <w:div w:id="1906794909">
                      <w:marLeft w:val="0"/>
                      <w:marRight w:val="0"/>
                      <w:marTop w:val="0"/>
                      <w:marBottom w:val="0"/>
                      <w:divBdr>
                        <w:top w:val="none" w:sz="0" w:space="0" w:color="auto"/>
                        <w:left w:val="none" w:sz="0" w:space="0" w:color="auto"/>
                        <w:bottom w:val="none" w:sz="0" w:space="0" w:color="auto"/>
                        <w:right w:val="none" w:sz="0" w:space="0" w:color="auto"/>
                      </w:divBdr>
                      <w:divsChild>
                        <w:div w:id="46995614">
                          <w:marLeft w:val="0"/>
                          <w:marRight w:val="0"/>
                          <w:marTop w:val="0"/>
                          <w:marBottom w:val="0"/>
                          <w:divBdr>
                            <w:top w:val="none" w:sz="0" w:space="0" w:color="auto"/>
                            <w:left w:val="none" w:sz="0" w:space="0" w:color="auto"/>
                            <w:bottom w:val="none" w:sz="0" w:space="0" w:color="auto"/>
                            <w:right w:val="none" w:sz="0" w:space="0" w:color="auto"/>
                          </w:divBdr>
                          <w:divsChild>
                            <w:div w:id="328405981">
                              <w:marLeft w:val="0"/>
                              <w:marRight w:val="0"/>
                              <w:marTop w:val="120"/>
                              <w:marBottom w:val="360"/>
                              <w:divBdr>
                                <w:top w:val="none" w:sz="0" w:space="0" w:color="auto"/>
                                <w:left w:val="none" w:sz="0" w:space="0" w:color="auto"/>
                                <w:bottom w:val="none" w:sz="0" w:space="0" w:color="auto"/>
                                <w:right w:val="none" w:sz="0" w:space="0" w:color="auto"/>
                              </w:divBdr>
                              <w:divsChild>
                                <w:div w:id="1717073898">
                                  <w:marLeft w:val="0"/>
                                  <w:marRight w:val="0"/>
                                  <w:marTop w:val="0"/>
                                  <w:marBottom w:val="0"/>
                                  <w:divBdr>
                                    <w:top w:val="none" w:sz="0" w:space="0" w:color="auto"/>
                                    <w:left w:val="none" w:sz="0" w:space="0" w:color="auto"/>
                                    <w:bottom w:val="none" w:sz="0" w:space="0" w:color="auto"/>
                                    <w:right w:val="none" w:sz="0" w:space="0" w:color="auto"/>
                                  </w:divBdr>
                                </w:div>
                                <w:div w:id="20086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362140">
      <w:bodyDiv w:val="1"/>
      <w:marLeft w:val="0"/>
      <w:marRight w:val="0"/>
      <w:marTop w:val="0"/>
      <w:marBottom w:val="0"/>
      <w:divBdr>
        <w:top w:val="none" w:sz="0" w:space="0" w:color="auto"/>
        <w:left w:val="none" w:sz="0" w:space="0" w:color="auto"/>
        <w:bottom w:val="none" w:sz="0" w:space="0" w:color="auto"/>
        <w:right w:val="none" w:sz="0" w:space="0" w:color="auto"/>
      </w:divBdr>
    </w:div>
    <w:div w:id="385686231">
      <w:bodyDiv w:val="1"/>
      <w:marLeft w:val="0"/>
      <w:marRight w:val="0"/>
      <w:marTop w:val="0"/>
      <w:marBottom w:val="0"/>
      <w:divBdr>
        <w:top w:val="none" w:sz="0" w:space="0" w:color="auto"/>
        <w:left w:val="none" w:sz="0" w:space="0" w:color="auto"/>
        <w:bottom w:val="none" w:sz="0" w:space="0" w:color="auto"/>
        <w:right w:val="none" w:sz="0" w:space="0" w:color="auto"/>
      </w:divBdr>
      <w:divsChild>
        <w:div w:id="1384477771">
          <w:marLeft w:val="0"/>
          <w:marRight w:val="1"/>
          <w:marTop w:val="0"/>
          <w:marBottom w:val="0"/>
          <w:divBdr>
            <w:top w:val="none" w:sz="0" w:space="0" w:color="auto"/>
            <w:left w:val="none" w:sz="0" w:space="0" w:color="auto"/>
            <w:bottom w:val="none" w:sz="0" w:space="0" w:color="auto"/>
            <w:right w:val="none" w:sz="0" w:space="0" w:color="auto"/>
          </w:divBdr>
          <w:divsChild>
            <w:div w:id="228464634">
              <w:marLeft w:val="0"/>
              <w:marRight w:val="0"/>
              <w:marTop w:val="0"/>
              <w:marBottom w:val="0"/>
              <w:divBdr>
                <w:top w:val="none" w:sz="0" w:space="0" w:color="auto"/>
                <w:left w:val="none" w:sz="0" w:space="0" w:color="auto"/>
                <w:bottom w:val="none" w:sz="0" w:space="0" w:color="auto"/>
                <w:right w:val="none" w:sz="0" w:space="0" w:color="auto"/>
              </w:divBdr>
              <w:divsChild>
                <w:div w:id="1750542352">
                  <w:marLeft w:val="0"/>
                  <w:marRight w:val="1"/>
                  <w:marTop w:val="0"/>
                  <w:marBottom w:val="0"/>
                  <w:divBdr>
                    <w:top w:val="none" w:sz="0" w:space="0" w:color="auto"/>
                    <w:left w:val="none" w:sz="0" w:space="0" w:color="auto"/>
                    <w:bottom w:val="none" w:sz="0" w:space="0" w:color="auto"/>
                    <w:right w:val="none" w:sz="0" w:space="0" w:color="auto"/>
                  </w:divBdr>
                  <w:divsChild>
                    <w:div w:id="1909071029">
                      <w:marLeft w:val="0"/>
                      <w:marRight w:val="0"/>
                      <w:marTop w:val="0"/>
                      <w:marBottom w:val="0"/>
                      <w:divBdr>
                        <w:top w:val="none" w:sz="0" w:space="0" w:color="auto"/>
                        <w:left w:val="none" w:sz="0" w:space="0" w:color="auto"/>
                        <w:bottom w:val="none" w:sz="0" w:space="0" w:color="auto"/>
                        <w:right w:val="none" w:sz="0" w:space="0" w:color="auto"/>
                      </w:divBdr>
                      <w:divsChild>
                        <w:div w:id="1518158262">
                          <w:marLeft w:val="0"/>
                          <w:marRight w:val="0"/>
                          <w:marTop w:val="0"/>
                          <w:marBottom w:val="0"/>
                          <w:divBdr>
                            <w:top w:val="none" w:sz="0" w:space="0" w:color="auto"/>
                            <w:left w:val="none" w:sz="0" w:space="0" w:color="auto"/>
                            <w:bottom w:val="none" w:sz="0" w:space="0" w:color="auto"/>
                            <w:right w:val="none" w:sz="0" w:space="0" w:color="auto"/>
                          </w:divBdr>
                          <w:divsChild>
                            <w:div w:id="787313324">
                              <w:marLeft w:val="0"/>
                              <w:marRight w:val="0"/>
                              <w:marTop w:val="120"/>
                              <w:marBottom w:val="360"/>
                              <w:divBdr>
                                <w:top w:val="none" w:sz="0" w:space="0" w:color="auto"/>
                                <w:left w:val="none" w:sz="0" w:space="0" w:color="auto"/>
                                <w:bottom w:val="none" w:sz="0" w:space="0" w:color="auto"/>
                                <w:right w:val="none" w:sz="0" w:space="0" w:color="auto"/>
                              </w:divBdr>
                              <w:divsChild>
                                <w:div w:id="1646466451">
                                  <w:marLeft w:val="0"/>
                                  <w:marRight w:val="0"/>
                                  <w:marTop w:val="0"/>
                                  <w:marBottom w:val="0"/>
                                  <w:divBdr>
                                    <w:top w:val="none" w:sz="0" w:space="0" w:color="auto"/>
                                    <w:left w:val="none" w:sz="0" w:space="0" w:color="auto"/>
                                    <w:bottom w:val="none" w:sz="0" w:space="0" w:color="auto"/>
                                    <w:right w:val="none" w:sz="0" w:space="0" w:color="auto"/>
                                  </w:divBdr>
                                  <w:divsChild>
                                    <w:div w:id="93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161813">
      <w:bodyDiv w:val="1"/>
      <w:marLeft w:val="0"/>
      <w:marRight w:val="0"/>
      <w:marTop w:val="0"/>
      <w:marBottom w:val="0"/>
      <w:divBdr>
        <w:top w:val="none" w:sz="0" w:space="0" w:color="auto"/>
        <w:left w:val="none" w:sz="0" w:space="0" w:color="auto"/>
        <w:bottom w:val="none" w:sz="0" w:space="0" w:color="auto"/>
        <w:right w:val="none" w:sz="0" w:space="0" w:color="auto"/>
      </w:divBdr>
      <w:divsChild>
        <w:div w:id="1740203062">
          <w:marLeft w:val="0"/>
          <w:marRight w:val="1"/>
          <w:marTop w:val="0"/>
          <w:marBottom w:val="0"/>
          <w:divBdr>
            <w:top w:val="none" w:sz="0" w:space="0" w:color="auto"/>
            <w:left w:val="none" w:sz="0" w:space="0" w:color="auto"/>
            <w:bottom w:val="none" w:sz="0" w:space="0" w:color="auto"/>
            <w:right w:val="none" w:sz="0" w:space="0" w:color="auto"/>
          </w:divBdr>
          <w:divsChild>
            <w:div w:id="244264612">
              <w:marLeft w:val="0"/>
              <w:marRight w:val="0"/>
              <w:marTop w:val="0"/>
              <w:marBottom w:val="0"/>
              <w:divBdr>
                <w:top w:val="none" w:sz="0" w:space="0" w:color="auto"/>
                <w:left w:val="none" w:sz="0" w:space="0" w:color="auto"/>
                <w:bottom w:val="none" w:sz="0" w:space="0" w:color="auto"/>
                <w:right w:val="none" w:sz="0" w:space="0" w:color="auto"/>
              </w:divBdr>
              <w:divsChild>
                <w:div w:id="1824927017">
                  <w:marLeft w:val="0"/>
                  <w:marRight w:val="1"/>
                  <w:marTop w:val="0"/>
                  <w:marBottom w:val="0"/>
                  <w:divBdr>
                    <w:top w:val="none" w:sz="0" w:space="0" w:color="auto"/>
                    <w:left w:val="none" w:sz="0" w:space="0" w:color="auto"/>
                    <w:bottom w:val="none" w:sz="0" w:space="0" w:color="auto"/>
                    <w:right w:val="none" w:sz="0" w:space="0" w:color="auto"/>
                  </w:divBdr>
                  <w:divsChild>
                    <w:div w:id="1983846701">
                      <w:marLeft w:val="0"/>
                      <w:marRight w:val="0"/>
                      <w:marTop w:val="0"/>
                      <w:marBottom w:val="0"/>
                      <w:divBdr>
                        <w:top w:val="none" w:sz="0" w:space="0" w:color="auto"/>
                        <w:left w:val="none" w:sz="0" w:space="0" w:color="auto"/>
                        <w:bottom w:val="none" w:sz="0" w:space="0" w:color="auto"/>
                        <w:right w:val="none" w:sz="0" w:space="0" w:color="auto"/>
                      </w:divBdr>
                      <w:divsChild>
                        <w:div w:id="109782475">
                          <w:marLeft w:val="0"/>
                          <w:marRight w:val="0"/>
                          <w:marTop w:val="0"/>
                          <w:marBottom w:val="0"/>
                          <w:divBdr>
                            <w:top w:val="none" w:sz="0" w:space="0" w:color="auto"/>
                            <w:left w:val="none" w:sz="0" w:space="0" w:color="auto"/>
                            <w:bottom w:val="none" w:sz="0" w:space="0" w:color="auto"/>
                            <w:right w:val="none" w:sz="0" w:space="0" w:color="auto"/>
                          </w:divBdr>
                          <w:divsChild>
                            <w:div w:id="1990598612">
                              <w:marLeft w:val="0"/>
                              <w:marRight w:val="0"/>
                              <w:marTop w:val="120"/>
                              <w:marBottom w:val="360"/>
                              <w:divBdr>
                                <w:top w:val="none" w:sz="0" w:space="0" w:color="auto"/>
                                <w:left w:val="none" w:sz="0" w:space="0" w:color="auto"/>
                                <w:bottom w:val="none" w:sz="0" w:space="0" w:color="auto"/>
                                <w:right w:val="none" w:sz="0" w:space="0" w:color="auto"/>
                              </w:divBdr>
                              <w:divsChild>
                                <w:div w:id="1140417536">
                                  <w:marLeft w:val="420"/>
                                  <w:marRight w:val="0"/>
                                  <w:marTop w:val="0"/>
                                  <w:marBottom w:val="0"/>
                                  <w:divBdr>
                                    <w:top w:val="none" w:sz="0" w:space="0" w:color="auto"/>
                                    <w:left w:val="none" w:sz="0" w:space="0" w:color="auto"/>
                                    <w:bottom w:val="none" w:sz="0" w:space="0" w:color="auto"/>
                                    <w:right w:val="none" w:sz="0" w:space="0" w:color="auto"/>
                                  </w:divBdr>
                                  <w:divsChild>
                                    <w:div w:id="48459117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85326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62">
          <w:marLeft w:val="0"/>
          <w:marRight w:val="1"/>
          <w:marTop w:val="0"/>
          <w:marBottom w:val="0"/>
          <w:divBdr>
            <w:top w:val="none" w:sz="0" w:space="0" w:color="auto"/>
            <w:left w:val="none" w:sz="0" w:space="0" w:color="auto"/>
            <w:bottom w:val="none" w:sz="0" w:space="0" w:color="auto"/>
            <w:right w:val="none" w:sz="0" w:space="0" w:color="auto"/>
          </w:divBdr>
          <w:divsChild>
            <w:div w:id="1806238095">
              <w:marLeft w:val="0"/>
              <w:marRight w:val="0"/>
              <w:marTop w:val="0"/>
              <w:marBottom w:val="0"/>
              <w:divBdr>
                <w:top w:val="none" w:sz="0" w:space="0" w:color="auto"/>
                <w:left w:val="none" w:sz="0" w:space="0" w:color="auto"/>
                <w:bottom w:val="none" w:sz="0" w:space="0" w:color="auto"/>
                <w:right w:val="none" w:sz="0" w:space="0" w:color="auto"/>
              </w:divBdr>
              <w:divsChild>
                <w:div w:id="553352223">
                  <w:marLeft w:val="0"/>
                  <w:marRight w:val="1"/>
                  <w:marTop w:val="0"/>
                  <w:marBottom w:val="0"/>
                  <w:divBdr>
                    <w:top w:val="none" w:sz="0" w:space="0" w:color="auto"/>
                    <w:left w:val="none" w:sz="0" w:space="0" w:color="auto"/>
                    <w:bottom w:val="none" w:sz="0" w:space="0" w:color="auto"/>
                    <w:right w:val="none" w:sz="0" w:space="0" w:color="auto"/>
                  </w:divBdr>
                  <w:divsChild>
                    <w:div w:id="546264521">
                      <w:marLeft w:val="0"/>
                      <w:marRight w:val="0"/>
                      <w:marTop w:val="0"/>
                      <w:marBottom w:val="0"/>
                      <w:divBdr>
                        <w:top w:val="none" w:sz="0" w:space="0" w:color="auto"/>
                        <w:left w:val="none" w:sz="0" w:space="0" w:color="auto"/>
                        <w:bottom w:val="none" w:sz="0" w:space="0" w:color="auto"/>
                        <w:right w:val="none" w:sz="0" w:space="0" w:color="auto"/>
                      </w:divBdr>
                      <w:divsChild>
                        <w:div w:id="175509749">
                          <w:marLeft w:val="0"/>
                          <w:marRight w:val="0"/>
                          <w:marTop w:val="0"/>
                          <w:marBottom w:val="0"/>
                          <w:divBdr>
                            <w:top w:val="none" w:sz="0" w:space="0" w:color="auto"/>
                            <w:left w:val="none" w:sz="0" w:space="0" w:color="auto"/>
                            <w:bottom w:val="none" w:sz="0" w:space="0" w:color="auto"/>
                            <w:right w:val="none" w:sz="0" w:space="0" w:color="auto"/>
                          </w:divBdr>
                          <w:divsChild>
                            <w:div w:id="444277422">
                              <w:marLeft w:val="0"/>
                              <w:marRight w:val="0"/>
                              <w:marTop w:val="120"/>
                              <w:marBottom w:val="360"/>
                              <w:divBdr>
                                <w:top w:val="none" w:sz="0" w:space="0" w:color="auto"/>
                                <w:left w:val="none" w:sz="0" w:space="0" w:color="auto"/>
                                <w:bottom w:val="none" w:sz="0" w:space="0" w:color="auto"/>
                                <w:right w:val="none" w:sz="0" w:space="0" w:color="auto"/>
                              </w:divBdr>
                              <w:divsChild>
                                <w:div w:id="13467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50318">
      <w:bodyDiv w:val="1"/>
      <w:marLeft w:val="0"/>
      <w:marRight w:val="0"/>
      <w:marTop w:val="0"/>
      <w:marBottom w:val="0"/>
      <w:divBdr>
        <w:top w:val="none" w:sz="0" w:space="0" w:color="auto"/>
        <w:left w:val="none" w:sz="0" w:space="0" w:color="auto"/>
        <w:bottom w:val="none" w:sz="0" w:space="0" w:color="auto"/>
        <w:right w:val="none" w:sz="0" w:space="0" w:color="auto"/>
      </w:divBdr>
      <w:divsChild>
        <w:div w:id="1982229876">
          <w:marLeft w:val="0"/>
          <w:marRight w:val="1"/>
          <w:marTop w:val="0"/>
          <w:marBottom w:val="0"/>
          <w:divBdr>
            <w:top w:val="none" w:sz="0" w:space="0" w:color="auto"/>
            <w:left w:val="none" w:sz="0" w:space="0" w:color="auto"/>
            <w:bottom w:val="none" w:sz="0" w:space="0" w:color="auto"/>
            <w:right w:val="none" w:sz="0" w:space="0" w:color="auto"/>
          </w:divBdr>
          <w:divsChild>
            <w:div w:id="997923311">
              <w:marLeft w:val="0"/>
              <w:marRight w:val="0"/>
              <w:marTop w:val="0"/>
              <w:marBottom w:val="0"/>
              <w:divBdr>
                <w:top w:val="none" w:sz="0" w:space="0" w:color="auto"/>
                <w:left w:val="none" w:sz="0" w:space="0" w:color="auto"/>
                <w:bottom w:val="none" w:sz="0" w:space="0" w:color="auto"/>
                <w:right w:val="none" w:sz="0" w:space="0" w:color="auto"/>
              </w:divBdr>
              <w:divsChild>
                <w:div w:id="1053964300">
                  <w:marLeft w:val="0"/>
                  <w:marRight w:val="1"/>
                  <w:marTop w:val="0"/>
                  <w:marBottom w:val="0"/>
                  <w:divBdr>
                    <w:top w:val="none" w:sz="0" w:space="0" w:color="auto"/>
                    <w:left w:val="none" w:sz="0" w:space="0" w:color="auto"/>
                    <w:bottom w:val="none" w:sz="0" w:space="0" w:color="auto"/>
                    <w:right w:val="none" w:sz="0" w:space="0" w:color="auto"/>
                  </w:divBdr>
                  <w:divsChild>
                    <w:div w:id="184635799">
                      <w:marLeft w:val="0"/>
                      <w:marRight w:val="0"/>
                      <w:marTop w:val="0"/>
                      <w:marBottom w:val="0"/>
                      <w:divBdr>
                        <w:top w:val="none" w:sz="0" w:space="0" w:color="auto"/>
                        <w:left w:val="none" w:sz="0" w:space="0" w:color="auto"/>
                        <w:bottom w:val="none" w:sz="0" w:space="0" w:color="auto"/>
                        <w:right w:val="none" w:sz="0" w:space="0" w:color="auto"/>
                      </w:divBdr>
                      <w:divsChild>
                        <w:div w:id="222838992">
                          <w:marLeft w:val="0"/>
                          <w:marRight w:val="0"/>
                          <w:marTop w:val="0"/>
                          <w:marBottom w:val="0"/>
                          <w:divBdr>
                            <w:top w:val="none" w:sz="0" w:space="0" w:color="auto"/>
                            <w:left w:val="none" w:sz="0" w:space="0" w:color="auto"/>
                            <w:bottom w:val="none" w:sz="0" w:space="0" w:color="auto"/>
                            <w:right w:val="none" w:sz="0" w:space="0" w:color="auto"/>
                          </w:divBdr>
                          <w:divsChild>
                            <w:div w:id="1172261613">
                              <w:marLeft w:val="0"/>
                              <w:marRight w:val="0"/>
                              <w:marTop w:val="120"/>
                              <w:marBottom w:val="360"/>
                              <w:divBdr>
                                <w:top w:val="none" w:sz="0" w:space="0" w:color="auto"/>
                                <w:left w:val="none" w:sz="0" w:space="0" w:color="auto"/>
                                <w:bottom w:val="none" w:sz="0" w:space="0" w:color="auto"/>
                                <w:right w:val="none" w:sz="0" w:space="0" w:color="auto"/>
                              </w:divBdr>
                              <w:divsChild>
                                <w:div w:id="2035567429">
                                  <w:marLeft w:val="0"/>
                                  <w:marRight w:val="0"/>
                                  <w:marTop w:val="0"/>
                                  <w:marBottom w:val="0"/>
                                  <w:divBdr>
                                    <w:top w:val="none" w:sz="0" w:space="0" w:color="auto"/>
                                    <w:left w:val="none" w:sz="0" w:space="0" w:color="auto"/>
                                    <w:bottom w:val="none" w:sz="0" w:space="0" w:color="auto"/>
                                    <w:right w:val="none" w:sz="0" w:space="0" w:color="auto"/>
                                  </w:divBdr>
                                  <w:divsChild>
                                    <w:div w:id="11598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8334">
      <w:bodyDiv w:val="1"/>
      <w:marLeft w:val="0"/>
      <w:marRight w:val="0"/>
      <w:marTop w:val="0"/>
      <w:marBottom w:val="0"/>
      <w:divBdr>
        <w:top w:val="none" w:sz="0" w:space="0" w:color="auto"/>
        <w:left w:val="none" w:sz="0" w:space="0" w:color="auto"/>
        <w:bottom w:val="none" w:sz="0" w:space="0" w:color="auto"/>
        <w:right w:val="none" w:sz="0" w:space="0" w:color="auto"/>
      </w:divBdr>
      <w:divsChild>
        <w:div w:id="421031441">
          <w:marLeft w:val="0"/>
          <w:marRight w:val="1"/>
          <w:marTop w:val="0"/>
          <w:marBottom w:val="0"/>
          <w:divBdr>
            <w:top w:val="none" w:sz="0" w:space="0" w:color="auto"/>
            <w:left w:val="none" w:sz="0" w:space="0" w:color="auto"/>
            <w:bottom w:val="none" w:sz="0" w:space="0" w:color="auto"/>
            <w:right w:val="none" w:sz="0" w:space="0" w:color="auto"/>
          </w:divBdr>
          <w:divsChild>
            <w:div w:id="534804809">
              <w:marLeft w:val="0"/>
              <w:marRight w:val="0"/>
              <w:marTop w:val="0"/>
              <w:marBottom w:val="0"/>
              <w:divBdr>
                <w:top w:val="none" w:sz="0" w:space="0" w:color="auto"/>
                <w:left w:val="none" w:sz="0" w:space="0" w:color="auto"/>
                <w:bottom w:val="none" w:sz="0" w:space="0" w:color="auto"/>
                <w:right w:val="none" w:sz="0" w:space="0" w:color="auto"/>
              </w:divBdr>
              <w:divsChild>
                <w:div w:id="496503442">
                  <w:marLeft w:val="0"/>
                  <w:marRight w:val="1"/>
                  <w:marTop w:val="0"/>
                  <w:marBottom w:val="0"/>
                  <w:divBdr>
                    <w:top w:val="none" w:sz="0" w:space="0" w:color="auto"/>
                    <w:left w:val="none" w:sz="0" w:space="0" w:color="auto"/>
                    <w:bottom w:val="none" w:sz="0" w:space="0" w:color="auto"/>
                    <w:right w:val="none" w:sz="0" w:space="0" w:color="auto"/>
                  </w:divBdr>
                  <w:divsChild>
                    <w:div w:id="1165125763">
                      <w:marLeft w:val="0"/>
                      <w:marRight w:val="0"/>
                      <w:marTop w:val="0"/>
                      <w:marBottom w:val="0"/>
                      <w:divBdr>
                        <w:top w:val="none" w:sz="0" w:space="0" w:color="auto"/>
                        <w:left w:val="none" w:sz="0" w:space="0" w:color="auto"/>
                        <w:bottom w:val="none" w:sz="0" w:space="0" w:color="auto"/>
                        <w:right w:val="none" w:sz="0" w:space="0" w:color="auto"/>
                      </w:divBdr>
                      <w:divsChild>
                        <w:div w:id="1201818501">
                          <w:marLeft w:val="0"/>
                          <w:marRight w:val="0"/>
                          <w:marTop w:val="0"/>
                          <w:marBottom w:val="0"/>
                          <w:divBdr>
                            <w:top w:val="none" w:sz="0" w:space="0" w:color="auto"/>
                            <w:left w:val="none" w:sz="0" w:space="0" w:color="auto"/>
                            <w:bottom w:val="none" w:sz="0" w:space="0" w:color="auto"/>
                            <w:right w:val="none" w:sz="0" w:space="0" w:color="auto"/>
                          </w:divBdr>
                          <w:divsChild>
                            <w:div w:id="1986347291">
                              <w:marLeft w:val="0"/>
                              <w:marRight w:val="0"/>
                              <w:marTop w:val="120"/>
                              <w:marBottom w:val="360"/>
                              <w:divBdr>
                                <w:top w:val="none" w:sz="0" w:space="0" w:color="auto"/>
                                <w:left w:val="none" w:sz="0" w:space="0" w:color="auto"/>
                                <w:bottom w:val="none" w:sz="0" w:space="0" w:color="auto"/>
                                <w:right w:val="none" w:sz="0" w:space="0" w:color="auto"/>
                              </w:divBdr>
                              <w:divsChild>
                                <w:div w:id="2029791119">
                                  <w:marLeft w:val="0"/>
                                  <w:marRight w:val="0"/>
                                  <w:marTop w:val="0"/>
                                  <w:marBottom w:val="0"/>
                                  <w:divBdr>
                                    <w:top w:val="none" w:sz="0" w:space="0" w:color="auto"/>
                                    <w:left w:val="none" w:sz="0" w:space="0" w:color="auto"/>
                                    <w:bottom w:val="none" w:sz="0" w:space="0" w:color="auto"/>
                                    <w:right w:val="none" w:sz="0" w:space="0" w:color="auto"/>
                                  </w:divBdr>
                                </w:div>
                                <w:div w:id="1031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183551">
      <w:bodyDiv w:val="1"/>
      <w:marLeft w:val="0"/>
      <w:marRight w:val="0"/>
      <w:marTop w:val="0"/>
      <w:marBottom w:val="0"/>
      <w:divBdr>
        <w:top w:val="none" w:sz="0" w:space="0" w:color="auto"/>
        <w:left w:val="none" w:sz="0" w:space="0" w:color="auto"/>
        <w:bottom w:val="none" w:sz="0" w:space="0" w:color="auto"/>
        <w:right w:val="none" w:sz="0" w:space="0" w:color="auto"/>
      </w:divBdr>
      <w:divsChild>
        <w:div w:id="521361348">
          <w:marLeft w:val="0"/>
          <w:marRight w:val="1"/>
          <w:marTop w:val="0"/>
          <w:marBottom w:val="0"/>
          <w:divBdr>
            <w:top w:val="none" w:sz="0" w:space="0" w:color="auto"/>
            <w:left w:val="none" w:sz="0" w:space="0" w:color="auto"/>
            <w:bottom w:val="none" w:sz="0" w:space="0" w:color="auto"/>
            <w:right w:val="none" w:sz="0" w:space="0" w:color="auto"/>
          </w:divBdr>
          <w:divsChild>
            <w:div w:id="1602369754">
              <w:marLeft w:val="0"/>
              <w:marRight w:val="0"/>
              <w:marTop w:val="0"/>
              <w:marBottom w:val="0"/>
              <w:divBdr>
                <w:top w:val="none" w:sz="0" w:space="0" w:color="auto"/>
                <w:left w:val="none" w:sz="0" w:space="0" w:color="auto"/>
                <w:bottom w:val="none" w:sz="0" w:space="0" w:color="auto"/>
                <w:right w:val="none" w:sz="0" w:space="0" w:color="auto"/>
              </w:divBdr>
              <w:divsChild>
                <w:div w:id="1219055377">
                  <w:marLeft w:val="0"/>
                  <w:marRight w:val="1"/>
                  <w:marTop w:val="0"/>
                  <w:marBottom w:val="0"/>
                  <w:divBdr>
                    <w:top w:val="none" w:sz="0" w:space="0" w:color="auto"/>
                    <w:left w:val="none" w:sz="0" w:space="0" w:color="auto"/>
                    <w:bottom w:val="none" w:sz="0" w:space="0" w:color="auto"/>
                    <w:right w:val="none" w:sz="0" w:space="0" w:color="auto"/>
                  </w:divBdr>
                  <w:divsChild>
                    <w:div w:id="1458257859">
                      <w:marLeft w:val="0"/>
                      <w:marRight w:val="0"/>
                      <w:marTop w:val="0"/>
                      <w:marBottom w:val="0"/>
                      <w:divBdr>
                        <w:top w:val="none" w:sz="0" w:space="0" w:color="auto"/>
                        <w:left w:val="none" w:sz="0" w:space="0" w:color="auto"/>
                        <w:bottom w:val="none" w:sz="0" w:space="0" w:color="auto"/>
                        <w:right w:val="none" w:sz="0" w:space="0" w:color="auto"/>
                      </w:divBdr>
                      <w:divsChild>
                        <w:div w:id="1076705259">
                          <w:marLeft w:val="0"/>
                          <w:marRight w:val="0"/>
                          <w:marTop w:val="0"/>
                          <w:marBottom w:val="0"/>
                          <w:divBdr>
                            <w:top w:val="none" w:sz="0" w:space="0" w:color="auto"/>
                            <w:left w:val="none" w:sz="0" w:space="0" w:color="auto"/>
                            <w:bottom w:val="none" w:sz="0" w:space="0" w:color="auto"/>
                            <w:right w:val="none" w:sz="0" w:space="0" w:color="auto"/>
                          </w:divBdr>
                          <w:divsChild>
                            <w:div w:id="761727378">
                              <w:marLeft w:val="0"/>
                              <w:marRight w:val="0"/>
                              <w:marTop w:val="120"/>
                              <w:marBottom w:val="360"/>
                              <w:divBdr>
                                <w:top w:val="none" w:sz="0" w:space="0" w:color="auto"/>
                                <w:left w:val="none" w:sz="0" w:space="0" w:color="auto"/>
                                <w:bottom w:val="none" w:sz="0" w:space="0" w:color="auto"/>
                                <w:right w:val="none" w:sz="0" w:space="0" w:color="auto"/>
                              </w:divBdr>
                              <w:divsChild>
                                <w:div w:id="1335373782">
                                  <w:marLeft w:val="0"/>
                                  <w:marRight w:val="0"/>
                                  <w:marTop w:val="0"/>
                                  <w:marBottom w:val="0"/>
                                  <w:divBdr>
                                    <w:top w:val="none" w:sz="0" w:space="0" w:color="auto"/>
                                    <w:left w:val="none" w:sz="0" w:space="0" w:color="auto"/>
                                    <w:bottom w:val="none" w:sz="0" w:space="0" w:color="auto"/>
                                    <w:right w:val="none" w:sz="0" w:space="0" w:color="auto"/>
                                  </w:divBdr>
                                </w:div>
                                <w:div w:id="8742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6146">
      <w:bodyDiv w:val="1"/>
      <w:marLeft w:val="0"/>
      <w:marRight w:val="0"/>
      <w:marTop w:val="0"/>
      <w:marBottom w:val="0"/>
      <w:divBdr>
        <w:top w:val="none" w:sz="0" w:space="0" w:color="auto"/>
        <w:left w:val="none" w:sz="0" w:space="0" w:color="auto"/>
        <w:bottom w:val="none" w:sz="0" w:space="0" w:color="auto"/>
        <w:right w:val="none" w:sz="0" w:space="0" w:color="auto"/>
      </w:divBdr>
      <w:divsChild>
        <w:div w:id="580942530">
          <w:marLeft w:val="0"/>
          <w:marRight w:val="1"/>
          <w:marTop w:val="0"/>
          <w:marBottom w:val="0"/>
          <w:divBdr>
            <w:top w:val="none" w:sz="0" w:space="0" w:color="auto"/>
            <w:left w:val="none" w:sz="0" w:space="0" w:color="auto"/>
            <w:bottom w:val="none" w:sz="0" w:space="0" w:color="auto"/>
            <w:right w:val="none" w:sz="0" w:space="0" w:color="auto"/>
          </w:divBdr>
          <w:divsChild>
            <w:div w:id="1303344093">
              <w:marLeft w:val="0"/>
              <w:marRight w:val="0"/>
              <w:marTop w:val="0"/>
              <w:marBottom w:val="0"/>
              <w:divBdr>
                <w:top w:val="none" w:sz="0" w:space="0" w:color="auto"/>
                <w:left w:val="none" w:sz="0" w:space="0" w:color="auto"/>
                <w:bottom w:val="none" w:sz="0" w:space="0" w:color="auto"/>
                <w:right w:val="none" w:sz="0" w:space="0" w:color="auto"/>
              </w:divBdr>
              <w:divsChild>
                <w:div w:id="1603957690">
                  <w:marLeft w:val="0"/>
                  <w:marRight w:val="1"/>
                  <w:marTop w:val="0"/>
                  <w:marBottom w:val="0"/>
                  <w:divBdr>
                    <w:top w:val="none" w:sz="0" w:space="0" w:color="auto"/>
                    <w:left w:val="none" w:sz="0" w:space="0" w:color="auto"/>
                    <w:bottom w:val="none" w:sz="0" w:space="0" w:color="auto"/>
                    <w:right w:val="none" w:sz="0" w:space="0" w:color="auto"/>
                  </w:divBdr>
                  <w:divsChild>
                    <w:div w:id="908688025">
                      <w:marLeft w:val="0"/>
                      <w:marRight w:val="0"/>
                      <w:marTop w:val="0"/>
                      <w:marBottom w:val="0"/>
                      <w:divBdr>
                        <w:top w:val="none" w:sz="0" w:space="0" w:color="auto"/>
                        <w:left w:val="none" w:sz="0" w:space="0" w:color="auto"/>
                        <w:bottom w:val="none" w:sz="0" w:space="0" w:color="auto"/>
                        <w:right w:val="none" w:sz="0" w:space="0" w:color="auto"/>
                      </w:divBdr>
                      <w:divsChild>
                        <w:div w:id="598757109">
                          <w:marLeft w:val="0"/>
                          <w:marRight w:val="0"/>
                          <w:marTop w:val="0"/>
                          <w:marBottom w:val="0"/>
                          <w:divBdr>
                            <w:top w:val="none" w:sz="0" w:space="0" w:color="auto"/>
                            <w:left w:val="none" w:sz="0" w:space="0" w:color="auto"/>
                            <w:bottom w:val="none" w:sz="0" w:space="0" w:color="auto"/>
                            <w:right w:val="none" w:sz="0" w:space="0" w:color="auto"/>
                          </w:divBdr>
                          <w:divsChild>
                            <w:div w:id="209727285">
                              <w:marLeft w:val="0"/>
                              <w:marRight w:val="0"/>
                              <w:marTop w:val="120"/>
                              <w:marBottom w:val="360"/>
                              <w:divBdr>
                                <w:top w:val="none" w:sz="0" w:space="0" w:color="auto"/>
                                <w:left w:val="none" w:sz="0" w:space="0" w:color="auto"/>
                                <w:bottom w:val="none" w:sz="0" w:space="0" w:color="auto"/>
                                <w:right w:val="none" w:sz="0" w:space="0" w:color="auto"/>
                              </w:divBdr>
                              <w:divsChild>
                                <w:div w:id="50931404">
                                  <w:marLeft w:val="0"/>
                                  <w:marRight w:val="0"/>
                                  <w:marTop w:val="0"/>
                                  <w:marBottom w:val="0"/>
                                  <w:divBdr>
                                    <w:top w:val="none" w:sz="0" w:space="0" w:color="auto"/>
                                    <w:left w:val="none" w:sz="0" w:space="0" w:color="auto"/>
                                    <w:bottom w:val="none" w:sz="0" w:space="0" w:color="auto"/>
                                    <w:right w:val="none" w:sz="0" w:space="0" w:color="auto"/>
                                  </w:divBdr>
                                </w:div>
                                <w:div w:id="51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50357">
      <w:bodyDiv w:val="1"/>
      <w:marLeft w:val="0"/>
      <w:marRight w:val="0"/>
      <w:marTop w:val="0"/>
      <w:marBottom w:val="0"/>
      <w:divBdr>
        <w:top w:val="none" w:sz="0" w:space="0" w:color="auto"/>
        <w:left w:val="none" w:sz="0" w:space="0" w:color="auto"/>
        <w:bottom w:val="none" w:sz="0" w:space="0" w:color="auto"/>
        <w:right w:val="none" w:sz="0" w:space="0" w:color="auto"/>
      </w:divBdr>
      <w:divsChild>
        <w:div w:id="512189478">
          <w:marLeft w:val="0"/>
          <w:marRight w:val="1"/>
          <w:marTop w:val="0"/>
          <w:marBottom w:val="0"/>
          <w:divBdr>
            <w:top w:val="none" w:sz="0" w:space="0" w:color="auto"/>
            <w:left w:val="none" w:sz="0" w:space="0" w:color="auto"/>
            <w:bottom w:val="none" w:sz="0" w:space="0" w:color="auto"/>
            <w:right w:val="none" w:sz="0" w:space="0" w:color="auto"/>
          </w:divBdr>
          <w:divsChild>
            <w:div w:id="1815020655">
              <w:marLeft w:val="0"/>
              <w:marRight w:val="0"/>
              <w:marTop w:val="0"/>
              <w:marBottom w:val="0"/>
              <w:divBdr>
                <w:top w:val="none" w:sz="0" w:space="0" w:color="auto"/>
                <w:left w:val="none" w:sz="0" w:space="0" w:color="auto"/>
                <w:bottom w:val="none" w:sz="0" w:space="0" w:color="auto"/>
                <w:right w:val="none" w:sz="0" w:space="0" w:color="auto"/>
              </w:divBdr>
              <w:divsChild>
                <w:div w:id="936476654">
                  <w:marLeft w:val="0"/>
                  <w:marRight w:val="1"/>
                  <w:marTop w:val="0"/>
                  <w:marBottom w:val="0"/>
                  <w:divBdr>
                    <w:top w:val="none" w:sz="0" w:space="0" w:color="auto"/>
                    <w:left w:val="none" w:sz="0" w:space="0" w:color="auto"/>
                    <w:bottom w:val="none" w:sz="0" w:space="0" w:color="auto"/>
                    <w:right w:val="none" w:sz="0" w:space="0" w:color="auto"/>
                  </w:divBdr>
                  <w:divsChild>
                    <w:div w:id="1060785122">
                      <w:marLeft w:val="0"/>
                      <w:marRight w:val="0"/>
                      <w:marTop w:val="0"/>
                      <w:marBottom w:val="0"/>
                      <w:divBdr>
                        <w:top w:val="none" w:sz="0" w:space="0" w:color="auto"/>
                        <w:left w:val="none" w:sz="0" w:space="0" w:color="auto"/>
                        <w:bottom w:val="none" w:sz="0" w:space="0" w:color="auto"/>
                        <w:right w:val="none" w:sz="0" w:space="0" w:color="auto"/>
                      </w:divBdr>
                      <w:divsChild>
                        <w:div w:id="547450320">
                          <w:marLeft w:val="0"/>
                          <w:marRight w:val="0"/>
                          <w:marTop w:val="0"/>
                          <w:marBottom w:val="0"/>
                          <w:divBdr>
                            <w:top w:val="none" w:sz="0" w:space="0" w:color="auto"/>
                            <w:left w:val="none" w:sz="0" w:space="0" w:color="auto"/>
                            <w:bottom w:val="none" w:sz="0" w:space="0" w:color="auto"/>
                            <w:right w:val="none" w:sz="0" w:space="0" w:color="auto"/>
                          </w:divBdr>
                          <w:divsChild>
                            <w:div w:id="1643926261">
                              <w:marLeft w:val="0"/>
                              <w:marRight w:val="0"/>
                              <w:marTop w:val="0"/>
                              <w:marBottom w:val="0"/>
                              <w:divBdr>
                                <w:top w:val="none" w:sz="0" w:space="0" w:color="auto"/>
                                <w:left w:val="none" w:sz="0" w:space="0" w:color="auto"/>
                                <w:bottom w:val="none" w:sz="0" w:space="0" w:color="auto"/>
                                <w:right w:val="none" w:sz="0" w:space="0" w:color="auto"/>
                              </w:divBdr>
                            </w:div>
                          </w:divsChild>
                        </w:div>
                        <w:div w:id="1515682206">
                          <w:marLeft w:val="0"/>
                          <w:marRight w:val="0"/>
                          <w:marTop w:val="0"/>
                          <w:marBottom w:val="0"/>
                          <w:divBdr>
                            <w:top w:val="none" w:sz="0" w:space="0" w:color="auto"/>
                            <w:left w:val="none" w:sz="0" w:space="0" w:color="auto"/>
                            <w:bottom w:val="none" w:sz="0" w:space="0" w:color="auto"/>
                            <w:right w:val="none" w:sz="0" w:space="0" w:color="auto"/>
                          </w:divBdr>
                          <w:divsChild>
                            <w:div w:id="93672056">
                              <w:marLeft w:val="0"/>
                              <w:marRight w:val="0"/>
                              <w:marTop w:val="120"/>
                              <w:marBottom w:val="360"/>
                              <w:divBdr>
                                <w:top w:val="none" w:sz="0" w:space="0" w:color="auto"/>
                                <w:left w:val="none" w:sz="0" w:space="0" w:color="auto"/>
                                <w:bottom w:val="none" w:sz="0" w:space="0" w:color="auto"/>
                                <w:right w:val="none" w:sz="0" w:space="0" w:color="auto"/>
                              </w:divBdr>
                              <w:divsChild>
                                <w:div w:id="2022471468">
                                  <w:marLeft w:val="0"/>
                                  <w:marRight w:val="0"/>
                                  <w:marTop w:val="0"/>
                                  <w:marBottom w:val="0"/>
                                  <w:divBdr>
                                    <w:top w:val="none" w:sz="0" w:space="0" w:color="auto"/>
                                    <w:left w:val="none" w:sz="0" w:space="0" w:color="auto"/>
                                    <w:bottom w:val="none" w:sz="0" w:space="0" w:color="auto"/>
                                    <w:right w:val="none" w:sz="0" w:space="0" w:color="auto"/>
                                  </w:divBdr>
                                </w:div>
                                <w:div w:id="1871070723">
                                  <w:marLeft w:val="0"/>
                                  <w:marRight w:val="0"/>
                                  <w:marTop w:val="0"/>
                                  <w:marBottom w:val="0"/>
                                  <w:divBdr>
                                    <w:top w:val="none" w:sz="0" w:space="0" w:color="auto"/>
                                    <w:left w:val="none" w:sz="0" w:space="0" w:color="auto"/>
                                    <w:bottom w:val="none" w:sz="0" w:space="0" w:color="auto"/>
                                    <w:right w:val="none" w:sz="0" w:space="0" w:color="auto"/>
                                  </w:divBdr>
                                </w:div>
                                <w:div w:id="19101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928472">
      <w:bodyDiv w:val="1"/>
      <w:marLeft w:val="0"/>
      <w:marRight w:val="0"/>
      <w:marTop w:val="0"/>
      <w:marBottom w:val="0"/>
      <w:divBdr>
        <w:top w:val="none" w:sz="0" w:space="0" w:color="auto"/>
        <w:left w:val="none" w:sz="0" w:space="0" w:color="auto"/>
        <w:bottom w:val="none" w:sz="0" w:space="0" w:color="auto"/>
        <w:right w:val="none" w:sz="0" w:space="0" w:color="auto"/>
      </w:divBdr>
      <w:divsChild>
        <w:div w:id="251932330">
          <w:marLeft w:val="0"/>
          <w:marRight w:val="1"/>
          <w:marTop w:val="0"/>
          <w:marBottom w:val="0"/>
          <w:divBdr>
            <w:top w:val="none" w:sz="0" w:space="0" w:color="auto"/>
            <w:left w:val="none" w:sz="0" w:space="0" w:color="auto"/>
            <w:bottom w:val="none" w:sz="0" w:space="0" w:color="auto"/>
            <w:right w:val="none" w:sz="0" w:space="0" w:color="auto"/>
          </w:divBdr>
          <w:divsChild>
            <w:div w:id="2036492296">
              <w:marLeft w:val="0"/>
              <w:marRight w:val="0"/>
              <w:marTop w:val="0"/>
              <w:marBottom w:val="0"/>
              <w:divBdr>
                <w:top w:val="none" w:sz="0" w:space="0" w:color="auto"/>
                <w:left w:val="none" w:sz="0" w:space="0" w:color="auto"/>
                <w:bottom w:val="none" w:sz="0" w:space="0" w:color="auto"/>
                <w:right w:val="none" w:sz="0" w:space="0" w:color="auto"/>
              </w:divBdr>
              <w:divsChild>
                <w:div w:id="755514812">
                  <w:marLeft w:val="0"/>
                  <w:marRight w:val="1"/>
                  <w:marTop w:val="0"/>
                  <w:marBottom w:val="0"/>
                  <w:divBdr>
                    <w:top w:val="none" w:sz="0" w:space="0" w:color="auto"/>
                    <w:left w:val="none" w:sz="0" w:space="0" w:color="auto"/>
                    <w:bottom w:val="none" w:sz="0" w:space="0" w:color="auto"/>
                    <w:right w:val="none" w:sz="0" w:space="0" w:color="auto"/>
                  </w:divBdr>
                  <w:divsChild>
                    <w:div w:id="2078167263">
                      <w:marLeft w:val="0"/>
                      <w:marRight w:val="0"/>
                      <w:marTop w:val="0"/>
                      <w:marBottom w:val="0"/>
                      <w:divBdr>
                        <w:top w:val="none" w:sz="0" w:space="0" w:color="auto"/>
                        <w:left w:val="none" w:sz="0" w:space="0" w:color="auto"/>
                        <w:bottom w:val="none" w:sz="0" w:space="0" w:color="auto"/>
                        <w:right w:val="none" w:sz="0" w:space="0" w:color="auto"/>
                      </w:divBdr>
                      <w:divsChild>
                        <w:div w:id="1544946585">
                          <w:marLeft w:val="0"/>
                          <w:marRight w:val="0"/>
                          <w:marTop w:val="0"/>
                          <w:marBottom w:val="0"/>
                          <w:divBdr>
                            <w:top w:val="none" w:sz="0" w:space="0" w:color="auto"/>
                            <w:left w:val="none" w:sz="0" w:space="0" w:color="auto"/>
                            <w:bottom w:val="none" w:sz="0" w:space="0" w:color="auto"/>
                            <w:right w:val="none" w:sz="0" w:space="0" w:color="auto"/>
                          </w:divBdr>
                          <w:divsChild>
                            <w:div w:id="1978804066">
                              <w:marLeft w:val="0"/>
                              <w:marRight w:val="0"/>
                              <w:marTop w:val="120"/>
                              <w:marBottom w:val="360"/>
                              <w:divBdr>
                                <w:top w:val="none" w:sz="0" w:space="0" w:color="auto"/>
                                <w:left w:val="none" w:sz="0" w:space="0" w:color="auto"/>
                                <w:bottom w:val="none" w:sz="0" w:space="0" w:color="auto"/>
                                <w:right w:val="none" w:sz="0" w:space="0" w:color="auto"/>
                              </w:divBdr>
                              <w:divsChild>
                                <w:div w:id="938024338">
                                  <w:marLeft w:val="0"/>
                                  <w:marRight w:val="0"/>
                                  <w:marTop w:val="0"/>
                                  <w:marBottom w:val="0"/>
                                  <w:divBdr>
                                    <w:top w:val="none" w:sz="0" w:space="0" w:color="auto"/>
                                    <w:left w:val="none" w:sz="0" w:space="0" w:color="auto"/>
                                    <w:bottom w:val="none" w:sz="0" w:space="0" w:color="auto"/>
                                    <w:right w:val="none" w:sz="0" w:space="0" w:color="auto"/>
                                  </w:divBdr>
                                  <w:divsChild>
                                    <w:div w:id="2014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547242">
      <w:bodyDiv w:val="1"/>
      <w:marLeft w:val="0"/>
      <w:marRight w:val="0"/>
      <w:marTop w:val="0"/>
      <w:marBottom w:val="0"/>
      <w:divBdr>
        <w:top w:val="none" w:sz="0" w:space="0" w:color="auto"/>
        <w:left w:val="none" w:sz="0" w:space="0" w:color="auto"/>
        <w:bottom w:val="none" w:sz="0" w:space="0" w:color="auto"/>
        <w:right w:val="none" w:sz="0" w:space="0" w:color="auto"/>
      </w:divBdr>
      <w:divsChild>
        <w:div w:id="615645279">
          <w:marLeft w:val="0"/>
          <w:marRight w:val="0"/>
          <w:marTop w:val="0"/>
          <w:marBottom w:val="0"/>
          <w:divBdr>
            <w:top w:val="none" w:sz="0" w:space="0" w:color="auto"/>
            <w:left w:val="none" w:sz="0" w:space="0" w:color="auto"/>
            <w:bottom w:val="none" w:sz="0" w:space="0" w:color="auto"/>
            <w:right w:val="none" w:sz="0" w:space="0" w:color="auto"/>
          </w:divBdr>
          <w:divsChild>
            <w:div w:id="1047148002">
              <w:marLeft w:val="240"/>
              <w:marRight w:val="360"/>
              <w:marTop w:val="240"/>
              <w:marBottom w:val="480"/>
              <w:divBdr>
                <w:top w:val="none" w:sz="0" w:space="0" w:color="auto"/>
                <w:left w:val="none" w:sz="0" w:space="0" w:color="auto"/>
                <w:bottom w:val="none" w:sz="0" w:space="0" w:color="auto"/>
                <w:right w:val="none" w:sz="0" w:space="0" w:color="auto"/>
              </w:divBdr>
              <w:divsChild>
                <w:div w:id="272440190">
                  <w:marLeft w:val="0"/>
                  <w:marRight w:val="0"/>
                  <w:marTop w:val="0"/>
                  <w:marBottom w:val="0"/>
                  <w:divBdr>
                    <w:top w:val="single" w:sz="24" w:space="5" w:color="000000"/>
                    <w:left w:val="none" w:sz="0" w:space="0" w:color="auto"/>
                    <w:bottom w:val="none" w:sz="0" w:space="0" w:color="auto"/>
                    <w:right w:val="none" w:sz="0" w:space="0" w:color="auto"/>
                  </w:divBdr>
                  <w:divsChild>
                    <w:div w:id="1318921842">
                      <w:marLeft w:val="0"/>
                      <w:marRight w:val="0"/>
                      <w:marTop w:val="0"/>
                      <w:marBottom w:val="0"/>
                      <w:divBdr>
                        <w:top w:val="none" w:sz="0" w:space="0" w:color="auto"/>
                        <w:left w:val="none" w:sz="0" w:space="0" w:color="auto"/>
                        <w:bottom w:val="none" w:sz="0" w:space="0" w:color="auto"/>
                        <w:right w:val="none" w:sz="0" w:space="0" w:color="auto"/>
                      </w:divBdr>
                      <w:divsChild>
                        <w:div w:id="1602059878">
                          <w:marLeft w:val="0"/>
                          <w:marRight w:val="0"/>
                          <w:marTop w:val="0"/>
                          <w:marBottom w:val="0"/>
                          <w:divBdr>
                            <w:top w:val="none" w:sz="0" w:space="0" w:color="auto"/>
                            <w:left w:val="none" w:sz="0" w:space="0" w:color="auto"/>
                            <w:bottom w:val="none" w:sz="0" w:space="0" w:color="auto"/>
                            <w:right w:val="none" w:sz="0" w:space="0" w:color="auto"/>
                          </w:divBdr>
                        </w:div>
                      </w:divsChild>
                    </w:div>
                    <w:div w:id="1776708718">
                      <w:marLeft w:val="0"/>
                      <w:marRight w:val="0"/>
                      <w:marTop w:val="0"/>
                      <w:marBottom w:val="0"/>
                      <w:divBdr>
                        <w:top w:val="none" w:sz="0" w:space="0" w:color="auto"/>
                        <w:left w:val="none" w:sz="0" w:space="0" w:color="auto"/>
                        <w:bottom w:val="none" w:sz="0" w:space="0" w:color="auto"/>
                        <w:right w:val="none" w:sz="0" w:space="0" w:color="auto"/>
                      </w:divBdr>
                      <w:divsChild>
                        <w:div w:id="135100525">
                          <w:marLeft w:val="0"/>
                          <w:marRight w:val="0"/>
                          <w:marTop w:val="0"/>
                          <w:marBottom w:val="0"/>
                          <w:divBdr>
                            <w:top w:val="none" w:sz="0" w:space="0" w:color="auto"/>
                            <w:left w:val="none" w:sz="0" w:space="0" w:color="auto"/>
                            <w:bottom w:val="none" w:sz="0" w:space="0" w:color="auto"/>
                            <w:right w:val="none" w:sz="0" w:space="0" w:color="auto"/>
                          </w:divBdr>
                        </w:div>
                        <w:div w:id="483621132">
                          <w:marLeft w:val="0"/>
                          <w:marRight w:val="0"/>
                          <w:marTop w:val="0"/>
                          <w:marBottom w:val="0"/>
                          <w:divBdr>
                            <w:top w:val="none" w:sz="0" w:space="0" w:color="auto"/>
                            <w:left w:val="none" w:sz="0" w:space="0" w:color="auto"/>
                            <w:bottom w:val="none" w:sz="0" w:space="0" w:color="auto"/>
                            <w:right w:val="none" w:sz="0" w:space="0" w:color="auto"/>
                          </w:divBdr>
                        </w:div>
                      </w:divsChild>
                    </w:div>
                    <w:div w:id="1334918769">
                      <w:marLeft w:val="0"/>
                      <w:marRight w:val="0"/>
                      <w:marTop w:val="0"/>
                      <w:marBottom w:val="0"/>
                      <w:divBdr>
                        <w:top w:val="none" w:sz="0" w:space="0" w:color="auto"/>
                        <w:left w:val="none" w:sz="0" w:space="0" w:color="auto"/>
                        <w:bottom w:val="none" w:sz="0" w:space="0" w:color="auto"/>
                        <w:right w:val="none" w:sz="0" w:space="0" w:color="auto"/>
                      </w:divBdr>
                      <w:divsChild>
                        <w:div w:id="1714038970">
                          <w:marLeft w:val="0"/>
                          <w:marRight w:val="0"/>
                          <w:marTop w:val="0"/>
                          <w:marBottom w:val="0"/>
                          <w:divBdr>
                            <w:top w:val="none" w:sz="0" w:space="0" w:color="auto"/>
                            <w:left w:val="none" w:sz="0" w:space="0" w:color="auto"/>
                            <w:bottom w:val="none" w:sz="0" w:space="0" w:color="auto"/>
                            <w:right w:val="none" w:sz="0" w:space="0" w:color="auto"/>
                          </w:divBdr>
                        </w:div>
                        <w:div w:id="19175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66687">
      <w:bodyDiv w:val="1"/>
      <w:marLeft w:val="0"/>
      <w:marRight w:val="0"/>
      <w:marTop w:val="0"/>
      <w:marBottom w:val="0"/>
      <w:divBdr>
        <w:top w:val="none" w:sz="0" w:space="0" w:color="auto"/>
        <w:left w:val="none" w:sz="0" w:space="0" w:color="auto"/>
        <w:bottom w:val="none" w:sz="0" w:space="0" w:color="auto"/>
        <w:right w:val="none" w:sz="0" w:space="0" w:color="auto"/>
      </w:divBdr>
      <w:divsChild>
        <w:div w:id="655567957">
          <w:marLeft w:val="0"/>
          <w:marRight w:val="1"/>
          <w:marTop w:val="0"/>
          <w:marBottom w:val="0"/>
          <w:divBdr>
            <w:top w:val="none" w:sz="0" w:space="0" w:color="auto"/>
            <w:left w:val="none" w:sz="0" w:space="0" w:color="auto"/>
            <w:bottom w:val="none" w:sz="0" w:space="0" w:color="auto"/>
            <w:right w:val="none" w:sz="0" w:space="0" w:color="auto"/>
          </w:divBdr>
          <w:divsChild>
            <w:div w:id="1417240146">
              <w:marLeft w:val="0"/>
              <w:marRight w:val="0"/>
              <w:marTop w:val="0"/>
              <w:marBottom w:val="0"/>
              <w:divBdr>
                <w:top w:val="none" w:sz="0" w:space="0" w:color="auto"/>
                <w:left w:val="none" w:sz="0" w:space="0" w:color="auto"/>
                <w:bottom w:val="none" w:sz="0" w:space="0" w:color="auto"/>
                <w:right w:val="none" w:sz="0" w:space="0" w:color="auto"/>
              </w:divBdr>
              <w:divsChild>
                <w:div w:id="1894848959">
                  <w:marLeft w:val="0"/>
                  <w:marRight w:val="1"/>
                  <w:marTop w:val="0"/>
                  <w:marBottom w:val="0"/>
                  <w:divBdr>
                    <w:top w:val="none" w:sz="0" w:space="0" w:color="auto"/>
                    <w:left w:val="none" w:sz="0" w:space="0" w:color="auto"/>
                    <w:bottom w:val="none" w:sz="0" w:space="0" w:color="auto"/>
                    <w:right w:val="none" w:sz="0" w:space="0" w:color="auto"/>
                  </w:divBdr>
                  <w:divsChild>
                    <w:div w:id="1254360464">
                      <w:marLeft w:val="0"/>
                      <w:marRight w:val="0"/>
                      <w:marTop w:val="0"/>
                      <w:marBottom w:val="0"/>
                      <w:divBdr>
                        <w:top w:val="none" w:sz="0" w:space="0" w:color="auto"/>
                        <w:left w:val="none" w:sz="0" w:space="0" w:color="auto"/>
                        <w:bottom w:val="none" w:sz="0" w:space="0" w:color="auto"/>
                        <w:right w:val="none" w:sz="0" w:space="0" w:color="auto"/>
                      </w:divBdr>
                      <w:divsChild>
                        <w:div w:id="783574906">
                          <w:marLeft w:val="0"/>
                          <w:marRight w:val="0"/>
                          <w:marTop w:val="0"/>
                          <w:marBottom w:val="0"/>
                          <w:divBdr>
                            <w:top w:val="none" w:sz="0" w:space="0" w:color="auto"/>
                            <w:left w:val="none" w:sz="0" w:space="0" w:color="auto"/>
                            <w:bottom w:val="none" w:sz="0" w:space="0" w:color="auto"/>
                            <w:right w:val="none" w:sz="0" w:space="0" w:color="auto"/>
                          </w:divBdr>
                          <w:divsChild>
                            <w:div w:id="518398566">
                              <w:marLeft w:val="0"/>
                              <w:marRight w:val="0"/>
                              <w:marTop w:val="120"/>
                              <w:marBottom w:val="360"/>
                              <w:divBdr>
                                <w:top w:val="none" w:sz="0" w:space="0" w:color="auto"/>
                                <w:left w:val="none" w:sz="0" w:space="0" w:color="auto"/>
                                <w:bottom w:val="none" w:sz="0" w:space="0" w:color="auto"/>
                                <w:right w:val="none" w:sz="0" w:space="0" w:color="auto"/>
                              </w:divBdr>
                              <w:divsChild>
                                <w:div w:id="1919167318">
                                  <w:marLeft w:val="0"/>
                                  <w:marRight w:val="0"/>
                                  <w:marTop w:val="0"/>
                                  <w:marBottom w:val="0"/>
                                  <w:divBdr>
                                    <w:top w:val="none" w:sz="0" w:space="0" w:color="auto"/>
                                    <w:left w:val="none" w:sz="0" w:space="0" w:color="auto"/>
                                    <w:bottom w:val="none" w:sz="0" w:space="0" w:color="auto"/>
                                    <w:right w:val="none" w:sz="0" w:space="0" w:color="auto"/>
                                  </w:divBdr>
                                  <w:divsChild>
                                    <w:div w:id="1089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276718">
      <w:bodyDiv w:val="1"/>
      <w:marLeft w:val="0"/>
      <w:marRight w:val="0"/>
      <w:marTop w:val="0"/>
      <w:marBottom w:val="0"/>
      <w:divBdr>
        <w:top w:val="none" w:sz="0" w:space="0" w:color="auto"/>
        <w:left w:val="none" w:sz="0" w:space="0" w:color="auto"/>
        <w:bottom w:val="none" w:sz="0" w:space="0" w:color="auto"/>
        <w:right w:val="none" w:sz="0" w:space="0" w:color="auto"/>
      </w:divBdr>
      <w:divsChild>
        <w:div w:id="795951908">
          <w:marLeft w:val="0"/>
          <w:marRight w:val="1"/>
          <w:marTop w:val="0"/>
          <w:marBottom w:val="0"/>
          <w:divBdr>
            <w:top w:val="none" w:sz="0" w:space="0" w:color="auto"/>
            <w:left w:val="none" w:sz="0" w:space="0" w:color="auto"/>
            <w:bottom w:val="none" w:sz="0" w:space="0" w:color="auto"/>
            <w:right w:val="none" w:sz="0" w:space="0" w:color="auto"/>
          </w:divBdr>
          <w:divsChild>
            <w:div w:id="1464037822">
              <w:marLeft w:val="0"/>
              <w:marRight w:val="0"/>
              <w:marTop w:val="0"/>
              <w:marBottom w:val="0"/>
              <w:divBdr>
                <w:top w:val="none" w:sz="0" w:space="0" w:color="auto"/>
                <w:left w:val="none" w:sz="0" w:space="0" w:color="auto"/>
                <w:bottom w:val="none" w:sz="0" w:space="0" w:color="auto"/>
                <w:right w:val="none" w:sz="0" w:space="0" w:color="auto"/>
              </w:divBdr>
              <w:divsChild>
                <w:div w:id="1016351741">
                  <w:marLeft w:val="0"/>
                  <w:marRight w:val="1"/>
                  <w:marTop w:val="0"/>
                  <w:marBottom w:val="0"/>
                  <w:divBdr>
                    <w:top w:val="none" w:sz="0" w:space="0" w:color="auto"/>
                    <w:left w:val="none" w:sz="0" w:space="0" w:color="auto"/>
                    <w:bottom w:val="none" w:sz="0" w:space="0" w:color="auto"/>
                    <w:right w:val="none" w:sz="0" w:space="0" w:color="auto"/>
                  </w:divBdr>
                  <w:divsChild>
                    <w:div w:id="499930573">
                      <w:marLeft w:val="0"/>
                      <w:marRight w:val="0"/>
                      <w:marTop w:val="0"/>
                      <w:marBottom w:val="0"/>
                      <w:divBdr>
                        <w:top w:val="none" w:sz="0" w:space="0" w:color="auto"/>
                        <w:left w:val="none" w:sz="0" w:space="0" w:color="auto"/>
                        <w:bottom w:val="none" w:sz="0" w:space="0" w:color="auto"/>
                        <w:right w:val="none" w:sz="0" w:space="0" w:color="auto"/>
                      </w:divBdr>
                      <w:divsChild>
                        <w:div w:id="920212767">
                          <w:marLeft w:val="0"/>
                          <w:marRight w:val="0"/>
                          <w:marTop w:val="0"/>
                          <w:marBottom w:val="0"/>
                          <w:divBdr>
                            <w:top w:val="none" w:sz="0" w:space="0" w:color="auto"/>
                            <w:left w:val="none" w:sz="0" w:space="0" w:color="auto"/>
                            <w:bottom w:val="none" w:sz="0" w:space="0" w:color="auto"/>
                            <w:right w:val="none" w:sz="0" w:space="0" w:color="auto"/>
                          </w:divBdr>
                          <w:divsChild>
                            <w:div w:id="1547991377">
                              <w:marLeft w:val="0"/>
                              <w:marRight w:val="0"/>
                              <w:marTop w:val="120"/>
                              <w:marBottom w:val="360"/>
                              <w:divBdr>
                                <w:top w:val="none" w:sz="0" w:space="0" w:color="auto"/>
                                <w:left w:val="none" w:sz="0" w:space="0" w:color="auto"/>
                                <w:bottom w:val="none" w:sz="0" w:space="0" w:color="auto"/>
                                <w:right w:val="none" w:sz="0" w:space="0" w:color="auto"/>
                              </w:divBdr>
                              <w:divsChild>
                                <w:div w:id="43918307">
                                  <w:marLeft w:val="0"/>
                                  <w:marRight w:val="0"/>
                                  <w:marTop w:val="0"/>
                                  <w:marBottom w:val="0"/>
                                  <w:divBdr>
                                    <w:top w:val="none" w:sz="0" w:space="0" w:color="auto"/>
                                    <w:left w:val="none" w:sz="0" w:space="0" w:color="auto"/>
                                    <w:bottom w:val="none" w:sz="0" w:space="0" w:color="auto"/>
                                    <w:right w:val="none" w:sz="0" w:space="0" w:color="auto"/>
                                  </w:divBdr>
                                  <w:divsChild>
                                    <w:div w:id="8712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310136">
      <w:bodyDiv w:val="1"/>
      <w:marLeft w:val="0"/>
      <w:marRight w:val="0"/>
      <w:marTop w:val="0"/>
      <w:marBottom w:val="0"/>
      <w:divBdr>
        <w:top w:val="none" w:sz="0" w:space="0" w:color="auto"/>
        <w:left w:val="none" w:sz="0" w:space="0" w:color="auto"/>
        <w:bottom w:val="none" w:sz="0" w:space="0" w:color="auto"/>
        <w:right w:val="none" w:sz="0" w:space="0" w:color="auto"/>
      </w:divBdr>
      <w:divsChild>
        <w:div w:id="595483156">
          <w:marLeft w:val="0"/>
          <w:marRight w:val="1"/>
          <w:marTop w:val="0"/>
          <w:marBottom w:val="0"/>
          <w:divBdr>
            <w:top w:val="none" w:sz="0" w:space="0" w:color="auto"/>
            <w:left w:val="none" w:sz="0" w:space="0" w:color="auto"/>
            <w:bottom w:val="none" w:sz="0" w:space="0" w:color="auto"/>
            <w:right w:val="none" w:sz="0" w:space="0" w:color="auto"/>
          </w:divBdr>
          <w:divsChild>
            <w:div w:id="984118508">
              <w:marLeft w:val="0"/>
              <w:marRight w:val="0"/>
              <w:marTop w:val="0"/>
              <w:marBottom w:val="0"/>
              <w:divBdr>
                <w:top w:val="none" w:sz="0" w:space="0" w:color="auto"/>
                <w:left w:val="none" w:sz="0" w:space="0" w:color="auto"/>
                <w:bottom w:val="none" w:sz="0" w:space="0" w:color="auto"/>
                <w:right w:val="none" w:sz="0" w:space="0" w:color="auto"/>
              </w:divBdr>
              <w:divsChild>
                <w:div w:id="542988436">
                  <w:marLeft w:val="0"/>
                  <w:marRight w:val="1"/>
                  <w:marTop w:val="0"/>
                  <w:marBottom w:val="0"/>
                  <w:divBdr>
                    <w:top w:val="none" w:sz="0" w:space="0" w:color="auto"/>
                    <w:left w:val="none" w:sz="0" w:space="0" w:color="auto"/>
                    <w:bottom w:val="none" w:sz="0" w:space="0" w:color="auto"/>
                    <w:right w:val="none" w:sz="0" w:space="0" w:color="auto"/>
                  </w:divBdr>
                  <w:divsChild>
                    <w:div w:id="86049242">
                      <w:marLeft w:val="0"/>
                      <w:marRight w:val="0"/>
                      <w:marTop w:val="0"/>
                      <w:marBottom w:val="0"/>
                      <w:divBdr>
                        <w:top w:val="none" w:sz="0" w:space="0" w:color="auto"/>
                        <w:left w:val="none" w:sz="0" w:space="0" w:color="auto"/>
                        <w:bottom w:val="none" w:sz="0" w:space="0" w:color="auto"/>
                        <w:right w:val="none" w:sz="0" w:space="0" w:color="auto"/>
                      </w:divBdr>
                      <w:divsChild>
                        <w:div w:id="2108885359">
                          <w:marLeft w:val="0"/>
                          <w:marRight w:val="0"/>
                          <w:marTop w:val="0"/>
                          <w:marBottom w:val="0"/>
                          <w:divBdr>
                            <w:top w:val="none" w:sz="0" w:space="0" w:color="auto"/>
                            <w:left w:val="none" w:sz="0" w:space="0" w:color="auto"/>
                            <w:bottom w:val="none" w:sz="0" w:space="0" w:color="auto"/>
                            <w:right w:val="none" w:sz="0" w:space="0" w:color="auto"/>
                          </w:divBdr>
                          <w:divsChild>
                            <w:div w:id="693650333">
                              <w:marLeft w:val="0"/>
                              <w:marRight w:val="0"/>
                              <w:marTop w:val="120"/>
                              <w:marBottom w:val="360"/>
                              <w:divBdr>
                                <w:top w:val="none" w:sz="0" w:space="0" w:color="auto"/>
                                <w:left w:val="none" w:sz="0" w:space="0" w:color="auto"/>
                                <w:bottom w:val="none" w:sz="0" w:space="0" w:color="auto"/>
                                <w:right w:val="none" w:sz="0" w:space="0" w:color="auto"/>
                              </w:divBdr>
                              <w:divsChild>
                                <w:div w:id="473790656">
                                  <w:marLeft w:val="0"/>
                                  <w:marRight w:val="0"/>
                                  <w:marTop w:val="0"/>
                                  <w:marBottom w:val="0"/>
                                  <w:divBdr>
                                    <w:top w:val="none" w:sz="0" w:space="0" w:color="auto"/>
                                    <w:left w:val="none" w:sz="0" w:space="0" w:color="auto"/>
                                    <w:bottom w:val="none" w:sz="0" w:space="0" w:color="auto"/>
                                    <w:right w:val="none" w:sz="0" w:space="0" w:color="auto"/>
                                  </w:divBdr>
                                </w:div>
                                <w:div w:id="157549900">
                                  <w:marLeft w:val="0"/>
                                  <w:marRight w:val="0"/>
                                  <w:marTop w:val="0"/>
                                  <w:marBottom w:val="0"/>
                                  <w:divBdr>
                                    <w:top w:val="none" w:sz="0" w:space="0" w:color="auto"/>
                                    <w:left w:val="none" w:sz="0" w:space="0" w:color="auto"/>
                                    <w:bottom w:val="none" w:sz="0" w:space="0" w:color="auto"/>
                                    <w:right w:val="none" w:sz="0" w:space="0" w:color="auto"/>
                                  </w:divBdr>
                                </w:div>
                                <w:div w:id="73556800">
                                  <w:marLeft w:val="0"/>
                                  <w:marRight w:val="0"/>
                                  <w:marTop w:val="0"/>
                                  <w:marBottom w:val="0"/>
                                  <w:divBdr>
                                    <w:top w:val="none" w:sz="0" w:space="0" w:color="auto"/>
                                    <w:left w:val="none" w:sz="0" w:space="0" w:color="auto"/>
                                    <w:bottom w:val="none" w:sz="0" w:space="0" w:color="auto"/>
                                    <w:right w:val="none" w:sz="0" w:space="0" w:color="auto"/>
                                  </w:divBdr>
                                  <w:divsChild>
                                    <w:div w:id="10757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295921">
      <w:bodyDiv w:val="1"/>
      <w:marLeft w:val="0"/>
      <w:marRight w:val="0"/>
      <w:marTop w:val="0"/>
      <w:marBottom w:val="0"/>
      <w:divBdr>
        <w:top w:val="none" w:sz="0" w:space="0" w:color="auto"/>
        <w:left w:val="none" w:sz="0" w:space="0" w:color="auto"/>
        <w:bottom w:val="none" w:sz="0" w:space="0" w:color="auto"/>
        <w:right w:val="none" w:sz="0" w:space="0" w:color="auto"/>
      </w:divBdr>
      <w:divsChild>
        <w:div w:id="1497261872">
          <w:marLeft w:val="0"/>
          <w:marRight w:val="1"/>
          <w:marTop w:val="0"/>
          <w:marBottom w:val="0"/>
          <w:divBdr>
            <w:top w:val="none" w:sz="0" w:space="0" w:color="auto"/>
            <w:left w:val="none" w:sz="0" w:space="0" w:color="auto"/>
            <w:bottom w:val="none" w:sz="0" w:space="0" w:color="auto"/>
            <w:right w:val="none" w:sz="0" w:space="0" w:color="auto"/>
          </w:divBdr>
          <w:divsChild>
            <w:div w:id="230503353">
              <w:marLeft w:val="0"/>
              <w:marRight w:val="0"/>
              <w:marTop w:val="0"/>
              <w:marBottom w:val="0"/>
              <w:divBdr>
                <w:top w:val="none" w:sz="0" w:space="0" w:color="auto"/>
                <w:left w:val="none" w:sz="0" w:space="0" w:color="auto"/>
                <w:bottom w:val="none" w:sz="0" w:space="0" w:color="auto"/>
                <w:right w:val="none" w:sz="0" w:space="0" w:color="auto"/>
              </w:divBdr>
              <w:divsChild>
                <w:div w:id="453594761">
                  <w:marLeft w:val="0"/>
                  <w:marRight w:val="1"/>
                  <w:marTop w:val="0"/>
                  <w:marBottom w:val="0"/>
                  <w:divBdr>
                    <w:top w:val="none" w:sz="0" w:space="0" w:color="auto"/>
                    <w:left w:val="none" w:sz="0" w:space="0" w:color="auto"/>
                    <w:bottom w:val="none" w:sz="0" w:space="0" w:color="auto"/>
                    <w:right w:val="none" w:sz="0" w:space="0" w:color="auto"/>
                  </w:divBdr>
                  <w:divsChild>
                    <w:div w:id="947926938">
                      <w:marLeft w:val="0"/>
                      <w:marRight w:val="0"/>
                      <w:marTop w:val="0"/>
                      <w:marBottom w:val="0"/>
                      <w:divBdr>
                        <w:top w:val="none" w:sz="0" w:space="0" w:color="auto"/>
                        <w:left w:val="none" w:sz="0" w:space="0" w:color="auto"/>
                        <w:bottom w:val="none" w:sz="0" w:space="0" w:color="auto"/>
                        <w:right w:val="none" w:sz="0" w:space="0" w:color="auto"/>
                      </w:divBdr>
                      <w:divsChild>
                        <w:div w:id="431359988">
                          <w:marLeft w:val="0"/>
                          <w:marRight w:val="0"/>
                          <w:marTop w:val="0"/>
                          <w:marBottom w:val="0"/>
                          <w:divBdr>
                            <w:top w:val="none" w:sz="0" w:space="0" w:color="auto"/>
                            <w:left w:val="none" w:sz="0" w:space="0" w:color="auto"/>
                            <w:bottom w:val="none" w:sz="0" w:space="0" w:color="auto"/>
                            <w:right w:val="none" w:sz="0" w:space="0" w:color="auto"/>
                          </w:divBdr>
                          <w:divsChild>
                            <w:div w:id="806315456">
                              <w:marLeft w:val="0"/>
                              <w:marRight w:val="0"/>
                              <w:marTop w:val="120"/>
                              <w:marBottom w:val="360"/>
                              <w:divBdr>
                                <w:top w:val="none" w:sz="0" w:space="0" w:color="auto"/>
                                <w:left w:val="none" w:sz="0" w:space="0" w:color="auto"/>
                                <w:bottom w:val="none" w:sz="0" w:space="0" w:color="auto"/>
                                <w:right w:val="none" w:sz="0" w:space="0" w:color="auto"/>
                              </w:divBdr>
                              <w:divsChild>
                                <w:div w:id="15881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731603">
      <w:bodyDiv w:val="1"/>
      <w:marLeft w:val="0"/>
      <w:marRight w:val="0"/>
      <w:marTop w:val="0"/>
      <w:marBottom w:val="0"/>
      <w:divBdr>
        <w:top w:val="none" w:sz="0" w:space="0" w:color="auto"/>
        <w:left w:val="none" w:sz="0" w:space="0" w:color="auto"/>
        <w:bottom w:val="none" w:sz="0" w:space="0" w:color="auto"/>
        <w:right w:val="none" w:sz="0" w:space="0" w:color="auto"/>
      </w:divBdr>
      <w:divsChild>
        <w:div w:id="420831811">
          <w:marLeft w:val="0"/>
          <w:marRight w:val="1"/>
          <w:marTop w:val="0"/>
          <w:marBottom w:val="0"/>
          <w:divBdr>
            <w:top w:val="none" w:sz="0" w:space="0" w:color="auto"/>
            <w:left w:val="none" w:sz="0" w:space="0" w:color="auto"/>
            <w:bottom w:val="none" w:sz="0" w:space="0" w:color="auto"/>
            <w:right w:val="none" w:sz="0" w:space="0" w:color="auto"/>
          </w:divBdr>
          <w:divsChild>
            <w:div w:id="332295163">
              <w:marLeft w:val="0"/>
              <w:marRight w:val="0"/>
              <w:marTop w:val="0"/>
              <w:marBottom w:val="0"/>
              <w:divBdr>
                <w:top w:val="none" w:sz="0" w:space="0" w:color="auto"/>
                <w:left w:val="none" w:sz="0" w:space="0" w:color="auto"/>
                <w:bottom w:val="none" w:sz="0" w:space="0" w:color="auto"/>
                <w:right w:val="none" w:sz="0" w:space="0" w:color="auto"/>
              </w:divBdr>
              <w:divsChild>
                <w:div w:id="962348958">
                  <w:marLeft w:val="0"/>
                  <w:marRight w:val="1"/>
                  <w:marTop w:val="0"/>
                  <w:marBottom w:val="0"/>
                  <w:divBdr>
                    <w:top w:val="none" w:sz="0" w:space="0" w:color="auto"/>
                    <w:left w:val="none" w:sz="0" w:space="0" w:color="auto"/>
                    <w:bottom w:val="none" w:sz="0" w:space="0" w:color="auto"/>
                    <w:right w:val="none" w:sz="0" w:space="0" w:color="auto"/>
                  </w:divBdr>
                  <w:divsChild>
                    <w:div w:id="1292051520">
                      <w:marLeft w:val="0"/>
                      <w:marRight w:val="0"/>
                      <w:marTop w:val="0"/>
                      <w:marBottom w:val="0"/>
                      <w:divBdr>
                        <w:top w:val="none" w:sz="0" w:space="0" w:color="auto"/>
                        <w:left w:val="none" w:sz="0" w:space="0" w:color="auto"/>
                        <w:bottom w:val="none" w:sz="0" w:space="0" w:color="auto"/>
                        <w:right w:val="none" w:sz="0" w:space="0" w:color="auto"/>
                      </w:divBdr>
                      <w:divsChild>
                        <w:div w:id="530142733">
                          <w:marLeft w:val="0"/>
                          <w:marRight w:val="0"/>
                          <w:marTop w:val="0"/>
                          <w:marBottom w:val="0"/>
                          <w:divBdr>
                            <w:top w:val="none" w:sz="0" w:space="0" w:color="auto"/>
                            <w:left w:val="none" w:sz="0" w:space="0" w:color="auto"/>
                            <w:bottom w:val="none" w:sz="0" w:space="0" w:color="auto"/>
                            <w:right w:val="none" w:sz="0" w:space="0" w:color="auto"/>
                          </w:divBdr>
                          <w:divsChild>
                            <w:div w:id="1825898543">
                              <w:marLeft w:val="0"/>
                              <w:marRight w:val="0"/>
                              <w:marTop w:val="120"/>
                              <w:marBottom w:val="360"/>
                              <w:divBdr>
                                <w:top w:val="none" w:sz="0" w:space="0" w:color="auto"/>
                                <w:left w:val="none" w:sz="0" w:space="0" w:color="auto"/>
                                <w:bottom w:val="none" w:sz="0" w:space="0" w:color="auto"/>
                                <w:right w:val="none" w:sz="0" w:space="0" w:color="auto"/>
                              </w:divBdr>
                              <w:divsChild>
                                <w:div w:id="1761875308">
                                  <w:marLeft w:val="0"/>
                                  <w:marRight w:val="0"/>
                                  <w:marTop w:val="0"/>
                                  <w:marBottom w:val="0"/>
                                  <w:divBdr>
                                    <w:top w:val="none" w:sz="0" w:space="0" w:color="auto"/>
                                    <w:left w:val="none" w:sz="0" w:space="0" w:color="auto"/>
                                    <w:bottom w:val="none" w:sz="0" w:space="0" w:color="auto"/>
                                    <w:right w:val="none" w:sz="0" w:space="0" w:color="auto"/>
                                  </w:divBdr>
                                </w:div>
                                <w:div w:id="17006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900832">
      <w:bodyDiv w:val="1"/>
      <w:marLeft w:val="0"/>
      <w:marRight w:val="0"/>
      <w:marTop w:val="0"/>
      <w:marBottom w:val="0"/>
      <w:divBdr>
        <w:top w:val="none" w:sz="0" w:space="0" w:color="auto"/>
        <w:left w:val="none" w:sz="0" w:space="0" w:color="auto"/>
        <w:bottom w:val="none" w:sz="0" w:space="0" w:color="auto"/>
        <w:right w:val="none" w:sz="0" w:space="0" w:color="auto"/>
      </w:divBdr>
      <w:divsChild>
        <w:div w:id="851837584">
          <w:marLeft w:val="0"/>
          <w:marRight w:val="1"/>
          <w:marTop w:val="0"/>
          <w:marBottom w:val="0"/>
          <w:divBdr>
            <w:top w:val="none" w:sz="0" w:space="0" w:color="auto"/>
            <w:left w:val="none" w:sz="0" w:space="0" w:color="auto"/>
            <w:bottom w:val="none" w:sz="0" w:space="0" w:color="auto"/>
            <w:right w:val="none" w:sz="0" w:space="0" w:color="auto"/>
          </w:divBdr>
          <w:divsChild>
            <w:div w:id="1411852465">
              <w:marLeft w:val="0"/>
              <w:marRight w:val="0"/>
              <w:marTop w:val="0"/>
              <w:marBottom w:val="0"/>
              <w:divBdr>
                <w:top w:val="none" w:sz="0" w:space="0" w:color="auto"/>
                <w:left w:val="none" w:sz="0" w:space="0" w:color="auto"/>
                <w:bottom w:val="none" w:sz="0" w:space="0" w:color="auto"/>
                <w:right w:val="none" w:sz="0" w:space="0" w:color="auto"/>
              </w:divBdr>
              <w:divsChild>
                <w:div w:id="1556769862">
                  <w:marLeft w:val="0"/>
                  <w:marRight w:val="1"/>
                  <w:marTop w:val="0"/>
                  <w:marBottom w:val="0"/>
                  <w:divBdr>
                    <w:top w:val="none" w:sz="0" w:space="0" w:color="auto"/>
                    <w:left w:val="none" w:sz="0" w:space="0" w:color="auto"/>
                    <w:bottom w:val="none" w:sz="0" w:space="0" w:color="auto"/>
                    <w:right w:val="none" w:sz="0" w:space="0" w:color="auto"/>
                  </w:divBdr>
                  <w:divsChild>
                    <w:div w:id="1394352426">
                      <w:marLeft w:val="0"/>
                      <w:marRight w:val="0"/>
                      <w:marTop w:val="0"/>
                      <w:marBottom w:val="0"/>
                      <w:divBdr>
                        <w:top w:val="none" w:sz="0" w:space="0" w:color="auto"/>
                        <w:left w:val="none" w:sz="0" w:space="0" w:color="auto"/>
                        <w:bottom w:val="none" w:sz="0" w:space="0" w:color="auto"/>
                        <w:right w:val="none" w:sz="0" w:space="0" w:color="auto"/>
                      </w:divBdr>
                      <w:divsChild>
                        <w:div w:id="901871460">
                          <w:marLeft w:val="0"/>
                          <w:marRight w:val="0"/>
                          <w:marTop w:val="0"/>
                          <w:marBottom w:val="0"/>
                          <w:divBdr>
                            <w:top w:val="none" w:sz="0" w:space="0" w:color="auto"/>
                            <w:left w:val="none" w:sz="0" w:space="0" w:color="auto"/>
                            <w:bottom w:val="none" w:sz="0" w:space="0" w:color="auto"/>
                            <w:right w:val="none" w:sz="0" w:space="0" w:color="auto"/>
                          </w:divBdr>
                          <w:divsChild>
                            <w:div w:id="1655181908">
                              <w:marLeft w:val="0"/>
                              <w:marRight w:val="0"/>
                              <w:marTop w:val="120"/>
                              <w:marBottom w:val="360"/>
                              <w:divBdr>
                                <w:top w:val="none" w:sz="0" w:space="0" w:color="auto"/>
                                <w:left w:val="none" w:sz="0" w:space="0" w:color="auto"/>
                                <w:bottom w:val="none" w:sz="0" w:space="0" w:color="auto"/>
                                <w:right w:val="none" w:sz="0" w:space="0" w:color="auto"/>
                              </w:divBdr>
                              <w:divsChild>
                                <w:div w:id="332804052">
                                  <w:marLeft w:val="0"/>
                                  <w:marRight w:val="0"/>
                                  <w:marTop w:val="0"/>
                                  <w:marBottom w:val="0"/>
                                  <w:divBdr>
                                    <w:top w:val="none" w:sz="0" w:space="0" w:color="auto"/>
                                    <w:left w:val="none" w:sz="0" w:space="0" w:color="auto"/>
                                    <w:bottom w:val="none" w:sz="0" w:space="0" w:color="auto"/>
                                    <w:right w:val="none" w:sz="0" w:space="0" w:color="auto"/>
                                  </w:divBdr>
                                  <w:divsChild>
                                    <w:div w:id="274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122440">
      <w:bodyDiv w:val="1"/>
      <w:marLeft w:val="0"/>
      <w:marRight w:val="0"/>
      <w:marTop w:val="0"/>
      <w:marBottom w:val="0"/>
      <w:divBdr>
        <w:top w:val="none" w:sz="0" w:space="0" w:color="auto"/>
        <w:left w:val="none" w:sz="0" w:space="0" w:color="auto"/>
        <w:bottom w:val="none" w:sz="0" w:space="0" w:color="auto"/>
        <w:right w:val="none" w:sz="0" w:space="0" w:color="auto"/>
      </w:divBdr>
      <w:divsChild>
        <w:div w:id="832990041">
          <w:marLeft w:val="0"/>
          <w:marRight w:val="1"/>
          <w:marTop w:val="0"/>
          <w:marBottom w:val="0"/>
          <w:divBdr>
            <w:top w:val="none" w:sz="0" w:space="0" w:color="auto"/>
            <w:left w:val="none" w:sz="0" w:space="0" w:color="auto"/>
            <w:bottom w:val="none" w:sz="0" w:space="0" w:color="auto"/>
            <w:right w:val="none" w:sz="0" w:space="0" w:color="auto"/>
          </w:divBdr>
          <w:divsChild>
            <w:div w:id="1885407991">
              <w:marLeft w:val="0"/>
              <w:marRight w:val="0"/>
              <w:marTop w:val="0"/>
              <w:marBottom w:val="0"/>
              <w:divBdr>
                <w:top w:val="none" w:sz="0" w:space="0" w:color="auto"/>
                <w:left w:val="none" w:sz="0" w:space="0" w:color="auto"/>
                <w:bottom w:val="none" w:sz="0" w:space="0" w:color="auto"/>
                <w:right w:val="none" w:sz="0" w:space="0" w:color="auto"/>
              </w:divBdr>
              <w:divsChild>
                <w:div w:id="1678380606">
                  <w:marLeft w:val="0"/>
                  <w:marRight w:val="1"/>
                  <w:marTop w:val="0"/>
                  <w:marBottom w:val="0"/>
                  <w:divBdr>
                    <w:top w:val="none" w:sz="0" w:space="0" w:color="auto"/>
                    <w:left w:val="none" w:sz="0" w:space="0" w:color="auto"/>
                    <w:bottom w:val="none" w:sz="0" w:space="0" w:color="auto"/>
                    <w:right w:val="none" w:sz="0" w:space="0" w:color="auto"/>
                  </w:divBdr>
                  <w:divsChild>
                    <w:div w:id="1376734162">
                      <w:marLeft w:val="0"/>
                      <w:marRight w:val="0"/>
                      <w:marTop w:val="0"/>
                      <w:marBottom w:val="0"/>
                      <w:divBdr>
                        <w:top w:val="none" w:sz="0" w:space="0" w:color="auto"/>
                        <w:left w:val="none" w:sz="0" w:space="0" w:color="auto"/>
                        <w:bottom w:val="none" w:sz="0" w:space="0" w:color="auto"/>
                        <w:right w:val="none" w:sz="0" w:space="0" w:color="auto"/>
                      </w:divBdr>
                      <w:divsChild>
                        <w:div w:id="726345593">
                          <w:marLeft w:val="0"/>
                          <w:marRight w:val="0"/>
                          <w:marTop w:val="0"/>
                          <w:marBottom w:val="0"/>
                          <w:divBdr>
                            <w:top w:val="none" w:sz="0" w:space="0" w:color="auto"/>
                            <w:left w:val="none" w:sz="0" w:space="0" w:color="auto"/>
                            <w:bottom w:val="none" w:sz="0" w:space="0" w:color="auto"/>
                            <w:right w:val="none" w:sz="0" w:space="0" w:color="auto"/>
                          </w:divBdr>
                          <w:divsChild>
                            <w:div w:id="1384061915">
                              <w:marLeft w:val="0"/>
                              <w:marRight w:val="0"/>
                              <w:marTop w:val="120"/>
                              <w:marBottom w:val="360"/>
                              <w:divBdr>
                                <w:top w:val="none" w:sz="0" w:space="0" w:color="auto"/>
                                <w:left w:val="none" w:sz="0" w:space="0" w:color="auto"/>
                                <w:bottom w:val="none" w:sz="0" w:space="0" w:color="auto"/>
                                <w:right w:val="none" w:sz="0" w:space="0" w:color="auto"/>
                              </w:divBdr>
                              <w:divsChild>
                                <w:div w:id="114372894">
                                  <w:marLeft w:val="0"/>
                                  <w:marRight w:val="0"/>
                                  <w:marTop w:val="0"/>
                                  <w:marBottom w:val="0"/>
                                  <w:divBdr>
                                    <w:top w:val="none" w:sz="0" w:space="0" w:color="auto"/>
                                    <w:left w:val="none" w:sz="0" w:space="0" w:color="auto"/>
                                    <w:bottom w:val="none" w:sz="0" w:space="0" w:color="auto"/>
                                    <w:right w:val="none" w:sz="0" w:space="0" w:color="auto"/>
                                  </w:divBdr>
                                  <w:divsChild>
                                    <w:div w:id="21377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324299">
      <w:bodyDiv w:val="1"/>
      <w:marLeft w:val="0"/>
      <w:marRight w:val="0"/>
      <w:marTop w:val="0"/>
      <w:marBottom w:val="0"/>
      <w:divBdr>
        <w:top w:val="none" w:sz="0" w:space="0" w:color="auto"/>
        <w:left w:val="none" w:sz="0" w:space="0" w:color="auto"/>
        <w:bottom w:val="none" w:sz="0" w:space="0" w:color="auto"/>
        <w:right w:val="none" w:sz="0" w:space="0" w:color="auto"/>
      </w:divBdr>
    </w:div>
    <w:div w:id="1454055745">
      <w:bodyDiv w:val="1"/>
      <w:marLeft w:val="0"/>
      <w:marRight w:val="0"/>
      <w:marTop w:val="0"/>
      <w:marBottom w:val="0"/>
      <w:divBdr>
        <w:top w:val="none" w:sz="0" w:space="0" w:color="auto"/>
        <w:left w:val="none" w:sz="0" w:space="0" w:color="auto"/>
        <w:bottom w:val="none" w:sz="0" w:space="0" w:color="auto"/>
        <w:right w:val="none" w:sz="0" w:space="0" w:color="auto"/>
      </w:divBdr>
      <w:divsChild>
        <w:div w:id="1092967649">
          <w:marLeft w:val="0"/>
          <w:marRight w:val="1"/>
          <w:marTop w:val="0"/>
          <w:marBottom w:val="0"/>
          <w:divBdr>
            <w:top w:val="none" w:sz="0" w:space="0" w:color="auto"/>
            <w:left w:val="none" w:sz="0" w:space="0" w:color="auto"/>
            <w:bottom w:val="none" w:sz="0" w:space="0" w:color="auto"/>
            <w:right w:val="none" w:sz="0" w:space="0" w:color="auto"/>
          </w:divBdr>
          <w:divsChild>
            <w:div w:id="772242576">
              <w:marLeft w:val="0"/>
              <w:marRight w:val="0"/>
              <w:marTop w:val="0"/>
              <w:marBottom w:val="0"/>
              <w:divBdr>
                <w:top w:val="none" w:sz="0" w:space="0" w:color="auto"/>
                <w:left w:val="none" w:sz="0" w:space="0" w:color="auto"/>
                <w:bottom w:val="none" w:sz="0" w:space="0" w:color="auto"/>
                <w:right w:val="none" w:sz="0" w:space="0" w:color="auto"/>
              </w:divBdr>
              <w:divsChild>
                <w:div w:id="438067271">
                  <w:marLeft w:val="0"/>
                  <w:marRight w:val="1"/>
                  <w:marTop w:val="0"/>
                  <w:marBottom w:val="0"/>
                  <w:divBdr>
                    <w:top w:val="none" w:sz="0" w:space="0" w:color="auto"/>
                    <w:left w:val="none" w:sz="0" w:space="0" w:color="auto"/>
                    <w:bottom w:val="none" w:sz="0" w:space="0" w:color="auto"/>
                    <w:right w:val="none" w:sz="0" w:space="0" w:color="auto"/>
                  </w:divBdr>
                  <w:divsChild>
                    <w:div w:id="1451628379">
                      <w:marLeft w:val="0"/>
                      <w:marRight w:val="0"/>
                      <w:marTop w:val="0"/>
                      <w:marBottom w:val="0"/>
                      <w:divBdr>
                        <w:top w:val="none" w:sz="0" w:space="0" w:color="auto"/>
                        <w:left w:val="none" w:sz="0" w:space="0" w:color="auto"/>
                        <w:bottom w:val="none" w:sz="0" w:space="0" w:color="auto"/>
                        <w:right w:val="none" w:sz="0" w:space="0" w:color="auto"/>
                      </w:divBdr>
                      <w:divsChild>
                        <w:div w:id="432556676">
                          <w:marLeft w:val="0"/>
                          <w:marRight w:val="0"/>
                          <w:marTop w:val="0"/>
                          <w:marBottom w:val="0"/>
                          <w:divBdr>
                            <w:top w:val="none" w:sz="0" w:space="0" w:color="auto"/>
                            <w:left w:val="none" w:sz="0" w:space="0" w:color="auto"/>
                            <w:bottom w:val="none" w:sz="0" w:space="0" w:color="auto"/>
                            <w:right w:val="none" w:sz="0" w:space="0" w:color="auto"/>
                          </w:divBdr>
                          <w:divsChild>
                            <w:div w:id="1525823723">
                              <w:marLeft w:val="0"/>
                              <w:marRight w:val="0"/>
                              <w:marTop w:val="120"/>
                              <w:marBottom w:val="360"/>
                              <w:divBdr>
                                <w:top w:val="none" w:sz="0" w:space="0" w:color="auto"/>
                                <w:left w:val="none" w:sz="0" w:space="0" w:color="auto"/>
                                <w:bottom w:val="none" w:sz="0" w:space="0" w:color="auto"/>
                                <w:right w:val="none" w:sz="0" w:space="0" w:color="auto"/>
                              </w:divBdr>
                              <w:divsChild>
                                <w:div w:id="750001987">
                                  <w:marLeft w:val="0"/>
                                  <w:marRight w:val="0"/>
                                  <w:marTop w:val="0"/>
                                  <w:marBottom w:val="0"/>
                                  <w:divBdr>
                                    <w:top w:val="none" w:sz="0" w:space="0" w:color="auto"/>
                                    <w:left w:val="none" w:sz="0" w:space="0" w:color="auto"/>
                                    <w:bottom w:val="none" w:sz="0" w:space="0" w:color="auto"/>
                                    <w:right w:val="none" w:sz="0" w:space="0" w:color="auto"/>
                                  </w:divBdr>
                                  <w:divsChild>
                                    <w:div w:id="10307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997530">
      <w:bodyDiv w:val="1"/>
      <w:marLeft w:val="0"/>
      <w:marRight w:val="0"/>
      <w:marTop w:val="0"/>
      <w:marBottom w:val="0"/>
      <w:divBdr>
        <w:top w:val="none" w:sz="0" w:space="0" w:color="auto"/>
        <w:left w:val="none" w:sz="0" w:space="0" w:color="auto"/>
        <w:bottom w:val="none" w:sz="0" w:space="0" w:color="auto"/>
        <w:right w:val="none" w:sz="0" w:space="0" w:color="auto"/>
      </w:divBdr>
      <w:divsChild>
        <w:div w:id="810486900">
          <w:marLeft w:val="0"/>
          <w:marRight w:val="1"/>
          <w:marTop w:val="0"/>
          <w:marBottom w:val="0"/>
          <w:divBdr>
            <w:top w:val="none" w:sz="0" w:space="0" w:color="auto"/>
            <w:left w:val="none" w:sz="0" w:space="0" w:color="auto"/>
            <w:bottom w:val="none" w:sz="0" w:space="0" w:color="auto"/>
            <w:right w:val="none" w:sz="0" w:space="0" w:color="auto"/>
          </w:divBdr>
          <w:divsChild>
            <w:div w:id="617225326">
              <w:marLeft w:val="0"/>
              <w:marRight w:val="0"/>
              <w:marTop w:val="0"/>
              <w:marBottom w:val="0"/>
              <w:divBdr>
                <w:top w:val="none" w:sz="0" w:space="0" w:color="auto"/>
                <w:left w:val="none" w:sz="0" w:space="0" w:color="auto"/>
                <w:bottom w:val="none" w:sz="0" w:space="0" w:color="auto"/>
                <w:right w:val="none" w:sz="0" w:space="0" w:color="auto"/>
              </w:divBdr>
              <w:divsChild>
                <w:div w:id="728454951">
                  <w:marLeft w:val="0"/>
                  <w:marRight w:val="1"/>
                  <w:marTop w:val="0"/>
                  <w:marBottom w:val="0"/>
                  <w:divBdr>
                    <w:top w:val="none" w:sz="0" w:space="0" w:color="auto"/>
                    <w:left w:val="none" w:sz="0" w:space="0" w:color="auto"/>
                    <w:bottom w:val="none" w:sz="0" w:space="0" w:color="auto"/>
                    <w:right w:val="none" w:sz="0" w:space="0" w:color="auto"/>
                  </w:divBdr>
                  <w:divsChild>
                    <w:div w:id="1095126723">
                      <w:marLeft w:val="0"/>
                      <w:marRight w:val="0"/>
                      <w:marTop w:val="0"/>
                      <w:marBottom w:val="0"/>
                      <w:divBdr>
                        <w:top w:val="none" w:sz="0" w:space="0" w:color="auto"/>
                        <w:left w:val="none" w:sz="0" w:space="0" w:color="auto"/>
                        <w:bottom w:val="none" w:sz="0" w:space="0" w:color="auto"/>
                        <w:right w:val="none" w:sz="0" w:space="0" w:color="auto"/>
                      </w:divBdr>
                      <w:divsChild>
                        <w:div w:id="1997343930">
                          <w:marLeft w:val="0"/>
                          <w:marRight w:val="0"/>
                          <w:marTop w:val="0"/>
                          <w:marBottom w:val="0"/>
                          <w:divBdr>
                            <w:top w:val="none" w:sz="0" w:space="0" w:color="auto"/>
                            <w:left w:val="none" w:sz="0" w:space="0" w:color="auto"/>
                            <w:bottom w:val="none" w:sz="0" w:space="0" w:color="auto"/>
                            <w:right w:val="none" w:sz="0" w:space="0" w:color="auto"/>
                          </w:divBdr>
                          <w:divsChild>
                            <w:div w:id="2046784523">
                              <w:marLeft w:val="0"/>
                              <w:marRight w:val="0"/>
                              <w:marTop w:val="120"/>
                              <w:marBottom w:val="360"/>
                              <w:divBdr>
                                <w:top w:val="none" w:sz="0" w:space="0" w:color="auto"/>
                                <w:left w:val="none" w:sz="0" w:space="0" w:color="auto"/>
                                <w:bottom w:val="none" w:sz="0" w:space="0" w:color="auto"/>
                                <w:right w:val="none" w:sz="0" w:space="0" w:color="auto"/>
                              </w:divBdr>
                              <w:divsChild>
                                <w:div w:id="544290027">
                                  <w:marLeft w:val="0"/>
                                  <w:marRight w:val="0"/>
                                  <w:marTop w:val="0"/>
                                  <w:marBottom w:val="0"/>
                                  <w:divBdr>
                                    <w:top w:val="none" w:sz="0" w:space="0" w:color="auto"/>
                                    <w:left w:val="none" w:sz="0" w:space="0" w:color="auto"/>
                                    <w:bottom w:val="none" w:sz="0" w:space="0" w:color="auto"/>
                                    <w:right w:val="none" w:sz="0" w:space="0" w:color="auto"/>
                                  </w:divBdr>
                                </w:div>
                                <w:div w:id="6802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62716">
      <w:bodyDiv w:val="1"/>
      <w:marLeft w:val="0"/>
      <w:marRight w:val="0"/>
      <w:marTop w:val="0"/>
      <w:marBottom w:val="0"/>
      <w:divBdr>
        <w:top w:val="none" w:sz="0" w:space="0" w:color="auto"/>
        <w:left w:val="none" w:sz="0" w:space="0" w:color="auto"/>
        <w:bottom w:val="none" w:sz="0" w:space="0" w:color="auto"/>
        <w:right w:val="none" w:sz="0" w:space="0" w:color="auto"/>
      </w:divBdr>
      <w:divsChild>
        <w:div w:id="552622456">
          <w:marLeft w:val="0"/>
          <w:marRight w:val="1"/>
          <w:marTop w:val="0"/>
          <w:marBottom w:val="0"/>
          <w:divBdr>
            <w:top w:val="none" w:sz="0" w:space="0" w:color="auto"/>
            <w:left w:val="none" w:sz="0" w:space="0" w:color="auto"/>
            <w:bottom w:val="none" w:sz="0" w:space="0" w:color="auto"/>
            <w:right w:val="none" w:sz="0" w:space="0" w:color="auto"/>
          </w:divBdr>
          <w:divsChild>
            <w:div w:id="627781729">
              <w:marLeft w:val="0"/>
              <w:marRight w:val="0"/>
              <w:marTop w:val="0"/>
              <w:marBottom w:val="0"/>
              <w:divBdr>
                <w:top w:val="none" w:sz="0" w:space="0" w:color="auto"/>
                <w:left w:val="none" w:sz="0" w:space="0" w:color="auto"/>
                <w:bottom w:val="none" w:sz="0" w:space="0" w:color="auto"/>
                <w:right w:val="none" w:sz="0" w:space="0" w:color="auto"/>
              </w:divBdr>
              <w:divsChild>
                <w:div w:id="789277561">
                  <w:marLeft w:val="0"/>
                  <w:marRight w:val="1"/>
                  <w:marTop w:val="0"/>
                  <w:marBottom w:val="0"/>
                  <w:divBdr>
                    <w:top w:val="none" w:sz="0" w:space="0" w:color="auto"/>
                    <w:left w:val="none" w:sz="0" w:space="0" w:color="auto"/>
                    <w:bottom w:val="none" w:sz="0" w:space="0" w:color="auto"/>
                    <w:right w:val="none" w:sz="0" w:space="0" w:color="auto"/>
                  </w:divBdr>
                  <w:divsChild>
                    <w:div w:id="47383680">
                      <w:marLeft w:val="0"/>
                      <w:marRight w:val="0"/>
                      <w:marTop w:val="0"/>
                      <w:marBottom w:val="0"/>
                      <w:divBdr>
                        <w:top w:val="none" w:sz="0" w:space="0" w:color="auto"/>
                        <w:left w:val="none" w:sz="0" w:space="0" w:color="auto"/>
                        <w:bottom w:val="none" w:sz="0" w:space="0" w:color="auto"/>
                        <w:right w:val="none" w:sz="0" w:space="0" w:color="auto"/>
                      </w:divBdr>
                      <w:divsChild>
                        <w:div w:id="473108878">
                          <w:marLeft w:val="0"/>
                          <w:marRight w:val="0"/>
                          <w:marTop w:val="0"/>
                          <w:marBottom w:val="0"/>
                          <w:divBdr>
                            <w:top w:val="none" w:sz="0" w:space="0" w:color="auto"/>
                            <w:left w:val="none" w:sz="0" w:space="0" w:color="auto"/>
                            <w:bottom w:val="none" w:sz="0" w:space="0" w:color="auto"/>
                            <w:right w:val="none" w:sz="0" w:space="0" w:color="auto"/>
                          </w:divBdr>
                          <w:divsChild>
                            <w:div w:id="1241138311">
                              <w:marLeft w:val="0"/>
                              <w:marRight w:val="0"/>
                              <w:marTop w:val="120"/>
                              <w:marBottom w:val="360"/>
                              <w:divBdr>
                                <w:top w:val="none" w:sz="0" w:space="0" w:color="auto"/>
                                <w:left w:val="none" w:sz="0" w:space="0" w:color="auto"/>
                                <w:bottom w:val="none" w:sz="0" w:space="0" w:color="auto"/>
                                <w:right w:val="none" w:sz="0" w:space="0" w:color="auto"/>
                              </w:divBdr>
                              <w:divsChild>
                                <w:div w:id="1723670956">
                                  <w:marLeft w:val="420"/>
                                  <w:marRight w:val="0"/>
                                  <w:marTop w:val="0"/>
                                  <w:marBottom w:val="0"/>
                                  <w:divBdr>
                                    <w:top w:val="none" w:sz="0" w:space="0" w:color="auto"/>
                                    <w:left w:val="none" w:sz="0" w:space="0" w:color="auto"/>
                                    <w:bottom w:val="none" w:sz="0" w:space="0" w:color="auto"/>
                                    <w:right w:val="none" w:sz="0" w:space="0" w:color="auto"/>
                                  </w:divBdr>
                                  <w:divsChild>
                                    <w:div w:id="243028126">
                                      <w:marLeft w:val="0"/>
                                      <w:marRight w:val="0"/>
                                      <w:marTop w:val="0"/>
                                      <w:marBottom w:val="0"/>
                                      <w:divBdr>
                                        <w:top w:val="none" w:sz="0" w:space="0" w:color="auto"/>
                                        <w:left w:val="none" w:sz="0" w:space="0" w:color="auto"/>
                                        <w:bottom w:val="none" w:sz="0" w:space="0" w:color="auto"/>
                                        <w:right w:val="none" w:sz="0" w:space="0" w:color="auto"/>
                                      </w:divBdr>
                                      <w:divsChild>
                                        <w:div w:id="10527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717824">
      <w:bodyDiv w:val="1"/>
      <w:marLeft w:val="0"/>
      <w:marRight w:val="0"/>
      <w:marTop w:val="0"/>
      <w:marBottom w:val="0"/>
      <w:divBdr>
        <w:top w:val="none" w:sz="0" w:space="0" w:color="auto"/>
        <w:left w:val="none" w:sz="0" w:space="0" w:color="auto"/>
        <w:bottom w:val="none" w:sz="0" w:space="0" w:color="auto"/>
        <w:right w:val="none" w:sz="0" w:space="0" w:color="auto"/>
      </w:divBdr>
      <w:divsChild>
        <w:div w:id="844250569">
          <w:marLeft w:val="0"/>
          <w:marRight w:val="1"/>
          <w:marTop w:val="0"/>
          <w:marBottom w:val="0"/>
          <w:divBdr>
            <w:top w:val="none" w:sz="0" w:space="0" w:color="auto"/>
            <w:left w:val="none" w:sz="0" w:space="0" w:color="auto"/>
            <w:bottom w:val="none" w:sz="0" w:space="0" w:color="auto"/>
            <w:right w:val="none" w:sz="0" w:space="0" w:color="auto"/>
          </w:divBdr>
          <w:divsChild>
            <w:div w:id="208761145">
              <w:marLeft w:val="0"/>
              <w:marRight w:val="0"/>
              <w:marTop w:val="0"/>
              <w:marBottom w:val="0"/>
              <w:divBdr>
                <w:top w:val="none" w:sz="0" w:space="0" w:color="auto"/>
                <w:left w:val="none" w:sz="0" w:space="0" w:color="auto"/>
                <w:bottom w:val="none" w:sz="0" w:space="0" w:color="auto"/>
                <w:right w:val="none" w:sz="0" w:space="0" w:color="auto"/>
              </w:divBdr>
              <w:divsChild>
                <w:div w:id="125271913">
                  <w:marLeft w:val="0"/>
                  <w:marRight w:val="1"/>
                  <w:marTop w:val="0"/>
                  <w:marBottom w:val="0"/>
                  <w:divBdr>
                    <w:top w:val="none" w:sz="0" w:space="0" w:color="auto"/>
                    <w:left w:val="none" w:sz="0" w:space="0" w:color="auto"/>
                    <w:bottom w:val="none" w:sz="0" w:space="0" w:color="auto"/>
                    <w:right w:val="none" w:sz="0" w:space="0" w:color="auto"/>
                  </w:divBdr>
                  <w:divsChild>
                    <w:div w:id="1981764460">
                      <w:marLeft w:val="0"/>
                      <w:marRight w:val="0"/>
                      <w:marTop w:val="0"/>
                      <w:marBottom w:val="0"/>
                      <w:divBdr>
                        <w:top w:val="none" w:sz="0" w:space="0" w:color="auto"/>
                        <w:left w:val="none" w:sz="0" w:space="0" w:color="auto"/>
                        <w:bottom w:val="none" w:sz="0" w:space="0" w:color="auto"/>
                        <w:right w:val="none" w:sz="0" w:space="0" w:color="auto"/>
                      </w:divBdr>
                      <w:divsChild>
                        <w:div w:id="1325940093">
                          <w:marLeft w:val="0"/>
                          <w:marRight w:val="0"/>
                          <w:marTop w:val="0"/>
                          <w:marBottom w:val="0"/>
                          <w:divBdr>
                            <w:top w:val="none" w:sz="0" w:space="0" w:color="auto"/>
                            <w:left w:val="none" w:sz="0" w:space="0" w:color="auto"/>
                            <w:bottom w:val="none" w:sz="0" w:space="0" w:color="auto"/>
                            <w:right w:val="none" w:sz="0" w:space="0" w:color="auto"/>
                          </w:divBdr>
                          <w:divsChild>
                            <w:div w:id="711929257">
                              <w:marLeft w:val="0"/>
                              <w:marRight w:val="0"/>
                              <w:marTop w:val="120"/>
                              <w:marBottom w:val="360"/>
                              <w:divBdr>
                                <w:top w:val="none" w:sz="0" w:space="0" w:color="auto"/>
                                <w:left w:val="none" w:sz="0" w:space="0" w:color="auto"/>
                                <w:bottom w:val="none" w:sz="0" w:space="0" w:color="auto"/>
                                <w:right w:val="none" w:sz="0" w:space="0" w:color="auto"/>
                              </w:divBdr>
                              <w:divsChild>
                                <w:div w:id="273564346">
                                  <w:marLeft w:val="0"/>
                                  <w:marRight w:val="0"/>
                                  <w:marTop w:val="0"/>
                                  <w:marBottom w:val="0"/>
                                  <w:divBdr>
                                    <w:top w:val="none" w:sz="0" w:space="0" w:color="auto"/>
                                    <w:left w:val="none" w:sz="0" w:space="0" w:color="auto"/>
                                    <w:bottom w:val="none" w:sz="0" w:space="0" w:color="auto"/>
                                    <w:right w:val="none" w:sz="0" w:space="0" w:color="auto"/>
                                  </w:divBdr>
                                </w:div>
                                <w:div w:id="764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097197">
      <w:bodyDiv w:val="1"/>
      <w:marLeft w:val="0"/>
      <w:marRight w:val="0"/>
      <w:marTop w:val="0"/>
      <w:marBottom w:val="0"/>
      <w:divBdr>
        <w:top w:val="none" w:sz="0" w:space="0" w:color="auto"/>
        <w:left w:val="none" w:sz="0" w:space="0" w:color="auto"/>
        <w:bottom w:val="none" w:sz="0" w:space="0" w:color="auto"/>
        <w:right w:val="none" w:sz="0" w:space="0" w:color="auto"/>
      </w:divBdr>
      <w:divsChild>
        <w:div w:id="188490620">
          <w:marLeft w:val="0"/>
          <w:marRight w:val="1"/>
          <w:marTop w:val="0"/>
          <w:marBottom w:val="0"/>
          <w:divBdr>
            <w:top w:val="none" w:sz="0" w:space="0" w:color="auto"/>
            <w:left w:val="none" w:sz="0" w:space="0" w:color="auto"/>
            <w:bottom w:val="none" w:sz="0" w:space="0" w:color="auto"/>
            <w:right w:val="none" w:sz="0" w:space="0" w:color="auto"/>
          </w:divBdr>
          <w:divsChild>
            <w:div w:id="785003030">
              <w:marLeft w:val="0"/>
              <w:marRight w:val="0"/>
              <w:marTop w:val="0"/>
              <w:marBottom w:val="0"/>
              <w:divBdr>
                <w:top w:val="none" w:sz="0" w:space="0" w:color="auto"/>
                <w:left w:val="none" w:sz="0" w:space="0" w:color="auto"/>
                <w:bottom w:val="none" w:sz="0" w:space="0" w:color="auto"/>
                <w:right w:val="none" w:sz="0" w:space="0" w:color="auto"/>
              </w:divBdr>
              <w:divsChild>
                <w:div w:id="183636627">
                  <w:marLeft w:val="0"/>
                  <w:marRight w:val="1"/>
                  <w:marTop w:val="0"/>
                  <w:marBottom w:val="0"/>
                  <w:divBdr>
                    <w:top w:val="none" w:sz="0" w:space="0" w:color="auto"/>
                    <w:left w:val="none" w:sz="0" w:space="0" w:color="auto"/>
                    <w:bottom w:val="none" w:sz="0" w:space="0" w:color="auto"/>
                    <w:right w:val="none" w:sz="0" w:space="0" w:color="auto"/>
                  </w:divBdr>
                  <w:divsChild>
                    <w:div w:id="721028890">
                      <w:marLeft w:val="0"/>
                      <w:marRight w:val="0"/>
                      <w:marTop w:val="0"/>
                      <w:marBottom w:val="0"/>
                      <w:divBdr>
                        <w:top w:val="none" w:sz="0" w:space="0" w:color="auto"/>
                        <w:left w:val="none" w:sz="0" w:space="0" w:color="auto"/>
                        <w:bottom w:val="none" w:sz="0" w:space="0" w:color="auto"/>
                        <w:right w:val="none" w:sz="0" w:space="0" w:color="auto"/>
                      </w:divBdr>
                      <w:divsChild>
                        <w:div w:id="2051802505">
                          <w:marLeft w:val="0"/>
                          <w:marRight w:val="0"/>
                          <w:marTop w:val="0"/>
                          <w:marBottom w:val="0"/>
                          <w:divBdr>
                            <w:top w:val="none" w:sz="0" w:space="0" w:color="auto"/>
                            <w:left w:val="none" w:sz="0" w:space="0" w:color="auto"/>
                            <w:bottom w:val="none" w:sz="0" w:space="0" w:color="auto"/>
                            <w:right w:val="none" w:sz="0" w:space="0" w:color="auto"/>
                          </w:divBdr>
                          <w:divsChild>
                            <w:div w:id="1880781785">
                              <w:marLeft w:val="0"/>
                              <w:marRight w:val="0"/>
                              <w:marTop w:val="0"/>
                              <w:marBottom w:val="0"/>
                              <w:divBdr>
                                <w:top w:val="none" w:sz="0" w:space="0" w:color="auto"/>
                                <w:left w:val="none" w:sz="0" w:space="0" w:color="auto"/>
                                <w:bottom w:val="none" w:sz="0" w:space="0" w:color="auto"/>
                                <w:right w:val="none" w:sz="0" w:space="0" w:color="auto"/>
                              </w:divBdr>
                            </w:div>
                          </w:divsChild>
                        </w:div>
                        <w:div w:id="133724229">
                          <w:marLeft w:val="0"/>
                          <w:marRight w:val="0"/>
                          <w:marTop w:val="0"/>
                          <w:marBottom w:val="0"/>
                          <w:divBdr>
                            <w:top w:val="none" w:sz="0" w:space="0" w:color="auto"/>
                            <w:left w:val="none" w:sz="0" w:space="0" w:color="auto"/>
                            <w:bottom w:val="none" w:sz="0" w:space="0" w:color="auto"/>
                            <w:right w:val="none" w:sz="0" w:space="0" w:color="auto"/>
                          </w:divBdr>
                          <w:divsChild>
                            <w:div w:id="1392845900">
                              <w:marLeft w:val="0"/>
                              <w:marRight w:val="0"/>
                              <w:marTop w:val="120"/>
                              <w:marBottom w:val="360"/>
                              <w:divBdr>
                                <w:top w:val="none" w:sz="0" w:space="0" w:color="auto"/>
                                <w:left w:val="none" w:sz="0" w:space="0" w:color="auto"/>
                                <w:bottom w:val="none" w:sz="0" w:space="0" w:color="auto"/>
                                <w:right w:val="none" w:sz="0" w:space="0" w:color="auto"/>
                              </w:divBdr>
                              <w:divsChild>
                                <w:div w:id="1806386832">
                                  <w:marLeft w:val="0"/>
                                  <w:marRight w:val="0"/>
                                  <w:marTop w:val="0"/>
                                  <w:marBottom w:val="0"/>
                                  <w:divBdr>
                                    <w:top w:val="none" w:sz="0" w:space="0" w:color="auto"/>
                                    <w:left w:val="none" w:sz="0" w:space="0" w:color="auto"/>
                                    <w:bottom w:val="none" w:sz="0" w:space="0" w:color="auto"/>
                                    <w:right w:val="none" w:sz="0" w:space="0" w:color="auto"/>
                                  </w:divBdr>
                                </w:div>
                                <w:div w:id="825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5037">
      <w:bodyDiv w:val="1"/>
      <w:marLeft w:val="0"/>
      <w:marRight w:val="0"/>
      <w:marTop w:val="0"/>
      <w:marBottom w:val="0"/>
      <w:divBdr>
        <w:top w:val="none" w:sz="0" w:space="0" w:color="auto"/>
        <w:left w:val="none" w:sz="0" w:space="0" w:color="auto"/>
        <w:bottom w:val="none" w:sz="0" w:space="0" w:color="auto"/>
        <w:right w:val="none" w:sz="0" w:space="0" w:color="auto"/>
      </w:divBdr>
      <w:divsChild>
        <w:div w:id="1095397723">
          <w:marLeft w:val="0"/>
          <w:marRight w:val="1"/>
          <w:marTop w:val="0"/>
          <w:marBottom w:val="0"/>
          <w:divBdr>
            <w:top w:val="none" w:sz="0" w:space="0" w:color="auto"/>
            <w:left w:val="none" w:sz="0" w:space="0" w:color="auto"/>
            <w:bottom w:val="none" w:sz="0" w:space="0" w:color="auto"/>
            <w:right w:val="none" w:sz="0" w:space="0" w:color="auto"/>
          </w:divBdr>
          <w:divsChild>
            <w:div w:id="154539305">
              <w:marLeft w:val="0"/>
              <w:marRight w:val="0"/>
              <w:marTop w:val="0"/>
              <w:marBottom w:val="0"/>
              <w:divBdr>
                <w:top w:val="none" w:sz="0" w:space="0" w:color="auto"/>
                <w:left w:val="none" w:sz="0" w:space="0" w:color="auto"/>
                <w:bottom w:val="none" w:sz="0" w:space="0" w:color="auto"/>
                <w:right w:val="none" w:sz="0" w:space="0" w:color="auto"/>
              </w:divBdr>
              <w:divsChild>
                <w:div w:id="1300457556">
                  <w:marLeft w:val="0"/>
                  <w:marRight w:val="1"/>
                  <w:marTop w:val="0"/>
                  <w:marBottom w:val="0"/>
                  <w:divBdr>
                    <w:top w:val="none" w:sz="0" w:space="0" w:color="auto"/>
                    <w:left w:val="none" w:sz="0" w:space="0" w:color="auto"/>
                    <w:bottom w:val="none" w:sz="0" w:space="0" w:color="auto"/>
                    <w:right w:val="none" w:sz="0" w:space="0" w:color="auto"/>
                  </w:divBdr>
                  <w:divsChild>
                    <w:div w:id="794059148">
                      <w:marLeft w:val="0"/>
                      <w:marRight w:val="0"/>
                      <w:marTop w:val="0"/>
                      <w:marBottom w:val="0"/>
                      <w:divBdr>
                        <w:top w:val="none" w:sz="0" w:space="0" w:color="auto"/>
                        <w:left w:val="none" w:sz="0" w:space="0" w:color="auto"/>
                        <w:bottom w:val="none" w:sz="0" w:space="0" w:color="auto"/>
                        <w:right w:val="none" w:sz="0" w:space="0" w:color="auto"/>
                      </w:divBdr>
                      <w:divsChild>
                        <w:div w:id="1132870878">
                          <w:marLeft w:val="0"/>
                          <w:marRight w:val="0"/>
                          <w:marTop w:val="0"/>
                          <w:marBottom w:val="0"/>
                          <w:divBdr>
                            <w:top w:val="none" w:sz="0" w:space="0" w:color="auto"/>
                            <w:left w:val="none" w:sz="0" w:space="0" w:color="auto"/>
                            <w:bottom w:val="none" w:sz="0" w:space="0" w:color="auto"/>
                            <w:right w:val="none" w:sz="0" w:space="0" w:color="auto"/>
                          </w:divBdr>
                          <w:divsChild>
                            <w:div w:id="2117284305">
                              <w:marLeft w:val="0"/>
                              <w:marRight w:val="0"/>
                              <w:marTop w:val="120"/>
                              <w:marBottom w:val="360"/>
                              <w:divBdr>
                                <w:top w:val="none" w:sz="0" w:space="0" w:color="auto"/>
                                <w:left w:val="none" w:sz="0" w:space="0" w:color="auto"/>
                                <w:bottom w:val="none" w:sz="0" w:space="0" w:color="auto"/>
                                <w:right w:val="none" w:sz="0" w:space="0" w:color="auto"/>
                              </w:divBdr>
                              <w:divsChild>
                                <w:div w:id="7610133">
                                  <w:marLeft w:val="0"/>
                                  <w:marRight w:val="0"/>
                                  <w:marTop w:val="0"/>
                                  <w:marBottom w:val="0"/>
                                  <w:divBdr>
                                    <w:top w:val="none" w:sz="0" w:space="0" w:color="auto"/>
                                    <w:left w:val="none" w:sz="0" w:space="0" w:color="auto"/>
                                    <w:bottom w:val="none" w:sz="0" w:space="0" w:color="auto"/>
                                    <w:right w:val="none" w:sz="0" w:space="0" w:color="auto"/>
                                  </w:divBdr>
                                </w:div>
                                <w:div w:id="19330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863974">
      <w:bodyDiv w:val="1"/>
      <w:marLeft w:val="0"/>
      <w:marRight w:val="0"/>
      <w:marTop w:val="0"/>
      <w:marBottom w:val="0"/>
      <w:divBdr>
        <w:top w:val="none" w:sz="0" w:space="0" w:color="auto"/>
        <w:left w:val="none" w:sz="0" w:space="0" w:color="auto"/>
        <w:bottom w:val="none" w:sz="0" w:space="0" w:color="auto"/>
        <w:right w:val="none" w:sz="0" w:space="0" w:color="auto"/>
      </w:divBdr>
      <w:divsChild>
        <w:div w:id="1133061188">
          <w:marLeft w:val="0"/>
          <w:marRight w:val="1"/>
          <w:marTop w:val="0"/>
          <w:marBottom w:val="0"/>
          <w:divBdr>
            <w:top w:val="none" w:sz="0" w:space="0" w:color="auto"/>
            <w:left w:val="none" w:sz="0" w:space="0" w:color="auto"/>
            <w:bottom w:val="none" w:sz="0" w:space="0" w:color="auto"/>
            <w:right w:val="none" w:sz="0" w:space="0" w:color="auto"/>
          </w:divBdr>
          <w:divsChild>
            <w:div w:id="856194342">
              <w:marLeft w:val="0"/>
              <w:marRight w:val="0"/>
              <w:marTop w:val="0"/>
              <w:marBottom w:val="0"/>
              <w:divBdr>
                <w:top w:val="none" w:sz="0" w:space="0" w:color="auto"/>
                <w:left w:val="none" w:sz="0" w:space="0" w:color="auto"/>
                <w:bottom w:val="none" w:sz="0" w:space="0" w:color="auto"/>
                <w:right w:val="none" w:sz="0" w:space="0" w:color="auto"/>
              </w:divBdr>
              <w:divsChild>
                <w:div w:id="539435138">
                  <w:marLeft w:val="0"/>
                  <w:marRight w:val="1"/>
                  <w:marTop w:val="0"/>
                  <w:marBottom w:val="0"/>
                  <w:divBdr>
                    <w:top w:val="none" w:sz="0" w:space="0" w:color="auto"/>
                    <w:left w:val="none" w:sz="0" w:space="0" w:color="auto"/>
                    <w:bottom w:val="none" w:sz="0" w:space="0" w:color="auto"/>
                    <w:right w:val="none" w:sz="0" w:space="0" w:color="auto"/>
                  </w:divBdr>
                  <w:divsChild>
                    <w:div w:id="1372728144">
                      <w:marLeft w:val="0"/>
                      <w:marRight w:val="0"/>
                      <w:marTop w:val="0"/>
                      <w:marBottom w:val="0"/>
                      <w:divBdr>
                        <w:top w:val="none" w:sz="0" w:space="0" w:color="auto"/>
                        <w:left w:val="none" w:sz="0" w:space="0" w:color="auto"/>
                        <w:bottom w:val="none" w:sz="0" w:space="0" w:color="auto"/>
                        <w:right w:val="none" w:sz="0" w:space="0" w:color="auto"/>
                      </w:divBdr>
                      <w:divsChild>
                        <w:div w:id="1459565964">
                          <w:marLeft w:val="0"/>
                          <w:marRight w:val="0"/>
                          <w:marTop w:val="0"/>
                          <w:marBottom w:val="0"/>
                          <w:divBdr>
                            <w:top w:val="none" w:sz="0" w:space="0" w:color="auto"/>
                            <w:left w:val="none" w:sz="0" w:space="0" w:color="auto"/>
                            <w:bottom w:val="none" w:sz="0" w:space="0" w:color="auto"/>
                            <w:right w:val="none" w:sz="0" w:space="0" w:color="auto"/>
                          </w:divBdr>
                          <w:divsChild>
                            <w:div w:id="1288513528">
                              <w:marLeft w:val="0"/>
                              <w:marRight w:val="0"/>
                              <w:marTop w:val="120"/>
                              <w:marBottom w:val="360"/>
                              <w:divBdr>
                                <w:top w:val="none" w:sz="0" w:space="0" w:color="auto"/>
                                <w:left w:val="none" w:sz="0" w:space="0" w:color="auto"/>
                                <w:bottom w:val="none" w:sz="0" w:space="0" w:color="auto"/>
                                <w:right w:val="none" w:sz="0" w:space="0" w:color="auto"/>
                              </w:divBdr>
                              <w:divsChild>
                                <w:div w:id="1967853174">
                                  <w:marLeft w:val="420"/>
                                  <w:marRight w:val="0"/>
                                  <w:marTop w:val="0"/>
                                  <w:marBottom w:val="0"/>
                                  <w:divBdr>
                                    <w:top w:val="none" w:sz="0" w:space="0" w:color="auto"/>
                                    <w:left w:val="none" w:sz="0" w:space="0" w:color="auto"/>
                                    <w:bottom w:val="none" w:sz="0" w:space="0" w:color="auto"/>
                                    <w:right w:val="none" w:sz="0" w:space="0" w:color="auto"/>
                                  </w:divBdr>
                                  <w:divsChild>
                                    <w:div w:id="3641839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154722">
      <w:bodyDiv w:val="1"/>
      <w:marLeft w:val="0"/>
      <w:marRight w:val="0"/>
      <w:marTop w:val="0"/>
      <w:marBottom w:val="0"/>
      <w:divBdr>
        <w:top w:val="none" w:sz="0" w:space="0" w:color="auto"/>
        <w:left w:val="none" w:sz="0" w:space="0" w:color="auto"/>
        <w:bottom w:val="none" w:sz="0" w:space="0" w:color="auto"/>
        <w:right w:val="none" w:sz="0" w:space="0" w:color="auto"/>
      </w:divBdr>
      <w:divsChild>
        <w:div w:id="220559174">
          <w:marLeft w:val="0"/>
          <w:marRight w:val="0"/>
          <w:marTop w:val="0"/>
          <w:marBottom w:val="0"/>
          <w:divBdr>
            <w:top w:val="none" w:sz="0" w:space="0" w:color="auto"/>
            <w:left w:val="none" w:sz="0" w:space="0" w:color="auto"/>
            <w:bottom w:val="none" w:sz="0" w:space="0" w:color="auto"/>
            <w:right w:val="none" w:sz="0" w:space="0" w:color="auto"/>
          </w:divBdr>
          <w:divsChild>
            <w:div w:id="144250191">
              <w:marLeft w:val="240"/>
              <w:marRight w:val="360"/>
              <w:marTop w:val="240"/>
              <w:marBottom w:val="480"/>
              <w:divBdr>
                <w:top w:val="none" w:sz="0" w:space="0" w:color="auto"/>
                <w:left w:val="none" w:sz="0" w:space="0" w:color="auto"/>
                <w:bottom w:val="none" w:sz="0" w:space="0" w:color="auto"/>
                <w:right w:val="none" w:sz="0" w:space="0" w:color="auto"/>
              </w:divBdr>
              <w:divsChild>
                <w:div w:id="1933927011">
                  <w:marLeft w:val="0"/>
                  <w:marRight w:val="0"/>
                  <w:marTop w:val="0"/>
                  <w:marBottom w:val="0"/>
                  <w:divBdr>
                    <w:top w:val="single" w:sz="24" w:space="5" w:color="000000"/>
                    <w:left w:val="none" w:sz="0" w:space="0" w:color="auto"/>
                    <w:bottom w:val="none" w:sz="0" w:space="0" w:color="auto"/>
                    <w:right w:val="none" w:sz="0" w:space="0" w:color="auto"/>
                  </w:divBdr>
                  <w:divsChild>
                    <w:div w:id="1748916216">
                      <w:marLeft w:val="0"/>
                      <w:marRight w:val="0"/>
                      <w:marTop w:val="0"/>
                      <w:marBottom w:val="0"/>
                      <w:divBdr>
                        <w:top w:val="none" w:sz="0" w:space="0" w:color="auto"/>
                        <w:left w:val="none" w:sz="0" w:space="0" w:color="auto"/>
                        <w:bottom w:val="none" w:sz="0" w:space="0" w:color="auto"/>
                        <w:right w:val="none" w:sz="0" w:space="0" w:color="auto"/>
                      </w:divBdr>
                      <w:divsChild>
                        <w:div w:id="1828400100">
                          <w:marLeft w:val="0"/>
                          <w:marRight w:val="0"/>
                          <w:marTop w:val="0"/>
                          <w:marBottom w:val="0"/>
                          <w:divBdr>
                            <w:top w:val="none" w:sz="0" w:space="0" w:color="auto"/>
                            <w:left w:val="none" w:sz="0" w:space="0" w:color="auto"/>
                            <w:bottom w:val="none" w:sz="0" w:space="0" w:color="auto"/>
                            <w:right w:val="none" w:sz="0" w:space="0" w:color="auto"/>
                          </w:divBdr>
                        </w:div>
                      </w:divsChild>
                    </w:div>
                    <w:div w:id="1572733250">
                      <w:marLeft w:val="0"/>
                      <w:marRight w:val="0"/>
                      <w:marTop w:val="0"/>
                      <w:marBottom w:val="0"/>
                      <w:divBdr>
                        <w:top w:val="none" w:sz="0" w:space="0" w:color="auto"/>
                        <w:left w:val="none" w:sz="0" w:space="0" w:color="auto"/>
                        <w:bottom w:val="none" w:sz="0" w:space="0" w:color="auto"/>
                        <w:right w:val="none" w:sz="0" w:space="0" w:color="auto"/>
                      </w:divBdr>
                      <w:divsChild>
                        <w:div w:id="1853372278">
                          <w:marLeft w:val="0"/>
                          <w:marRight w:val="0"/>
                          <w:marTop w:val="0"/>
                          <w:marBottom w:val="0"/>
                          <w:divBdr>
                            <w:top w:val="none" w:sz="0" w:space="0" w:color="auto"/>
                            <w:left w:val="none" w:sz="0" w:space="0" w:color="auto"/>
                            <w:bottom w:val="none" w:sz="0" w:space="0" w:color="auto"/>
                            <w:right w:val="none" w:sz="0" w:space="0" w:color="auto"/>
                          </w:divBdr>
                        </w:div>
                        <w:div w:id="1131557971">
                          <w:marLeft w:val="0"/>
                          <w:marRight w:val="0"/>
                          <w:marTop w:val="0"/>
                          <w:marBottom w:val="0"/>
                          <w:divBdr>
                            <w:top w:val="none" w:sz="0" w:space="0" w:color="auto"/>
                            <w:left w:val="none" w:sz="0" w:space="0" w:color="auto"/>
                            <w:bottom w:val="none" w:sz="0" w:space="0" w:color="auto"/>
                            <w:right w:val="none" w:sz="0" w:space="0" w:color="auto"/>
                          </w:divBdr>
                        </w:div>
                      </w:divsChild>
                    </w:div>
                    <w:div w:id="2020808742">
                      <w:marLeft w:val="0"/>
                      <w:marRight w:val="0"/>
                      <w:marTop w:val="0"/>
                      <w:marBottom w:val="0"/>
                      <w:divBdr>
                        <w:top w:val="none" w:sz="0" w:space="0" w:color="auto"/>
                        <w:left w:val="none" w:sz="0" w:space="0" w:color="auto"/>
                        <w:bottom w:val="none" w:sz="0" w:space="0" w:color="auto"/>
                        <w:right w:val="none" w:sz="0" w:space="0" w:color="auto"/>
                      </w:divBdr>
                      <w:divsChild>
                        <w:div w:id="1018848114">
                          <w:marLeft w:val="0"/>
                          <w:marRight w:val="0"/>
                          <w:marTop w:val="0"/>
                          <w:marBottom w:val="0"/>
                          <w:divBdr>
                            <w:top w:val="none" w:sz="0" w:space="0" w:color="auto"/>
                            <w:left w:val="none" w:sz="0" w:space="0" w:color="auto"/>
                            <w:bottom w:val="none" w:sz="0" w:space="0" w:color="auto"/>
                            <w:right w:val="none" w:sz="0" w:space="0" w:color="auto"/>
                          </w:divBdr>
                        </w:div>
                        <w:div w:id="9622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20011">
      <w:bodyDiv w:val="1"/>
      <w:marLeft w:val="0"/>
      <w:marRight w:val="0"/>
      <w:marTop w:val="0"/>
      <w:marBottom w:val="0"/>
      <w:divBdr>
        <w:top w:val="none" w:sz="0" w:space="0" w:color="auto"/>
        <w:left w:val="none" w:sz="0" w:space="0" w:color="auto"/>
        <w:bottom w:val="none" w:sz="0" w:space="0" w:color="auto"/>
        <w:right w:val="none" w:sz="0" w:space="0" w:color="auto"/>
      </w:divBdr>
      <w:divsChild>
        <w:div w:id="1480422531">
          <w:marLeft w:val="0"/>
          <w:marRight w:val="1"/>
          <w:marTop w:val="0"/>
          <w:marBottom w:val="0"/>
          <w:divBdr>
            <w:top w:val="none" w:sz="0" w:space="0" w:color="auto"/>
            <w:left w:val="none" w:sz="0" w:space="0" w:color="auto"/>
            <w:bottom w:val="none" w:sz="0" w:space="0" w:color="auto"/>
            <w:right w:val="none" w:sz="0" w:space="0" w:color="auto"/>
          </w:divBdr>
          <w:divsChild>
            <w:div w:id="59448774">
              <w:marLeft w:val="0"/>
              <w:marRight w:val="0"/>
              <w:marTop w:val="0"/>
              <w:marBottom w:val="0"/>
              <w:divBdr>
                <w:top w:val="none" w:sz="0" w:space="0" w:color="auto"/>
                <w:left w:val="none" w:sz="0" w:space="0" w:color="auto"/>
                <w:bottom w:val="none" w:sz="0" w:space="0" w:color="auto"/>
                <w:right w:val="none" w:sz="0" w:space="0" w:color="auto"/>
              </w:divBdr>
              <w:divsChild>
                <w:div w:id="2133668671">
                  <w:marLeft w:val="0"/>
                  <w:marRight w:val="1"/>
                  <w:marTop w:val="0"/>
                  <w:marBottom w:val="0"/>
                  <w:divBdr>
                    <w:top w:val="none" w:sz="0" w:space="0" w:color="auto"/>
                    <w:left w:val="none" w:sz="0" w:space="0" w:color="auto"/>
                    <w:bottom w:val="none" w:sz="0" w:space="0" w:color="auto"/>
                    <w:right w:val="none" w:sz="0" w:space="0" w:color="auto"/>
                  </w:divBdr>
                  <w:divsChild>
                    <w:div w:id="225529258">
                      <w:marLeft w:val="0"/>
                      <w:marRight w:val="0"/>
                      <w:marTop w:val="0"/>
                      <w:marBottom w:val="0"/>
                      <w:divBdr>
                        <w:top w:val="none" w:sz="0" w:space="0" w:color="auto"/>
                        <w:left w:val="none" w:sz="0" w:space="0" w:color="auto"/>
                        <w:bottom w:val="none" w:sz="0" w:space="0" w:color="auto"/>
                        <w:right w:val="none" w:sz="0" w:space="0" w:color="auto"/>
                      </w:divBdr>
                      <w:divsChild>
                        <w:div w:id="838472228">
                          <w:marLeft w:val="0"/>
                          <w:marRight w:val="0"/>
                          <w:marTop w:val="0"/>
                          <w:marBottom w:val="0"/>
                          <w:divBdr>
                            <w:top w:val="none" w:sz="0" w:space="0" w:color="auto"/>
                            <w:left w:val="none" w:sz="0" w:space="0" w:color="auto"/>
                            <w:bottom w:val="none" w:sz="0" w:space="0" w:color="auto"/>
                            <w:right w:val="none" w:sz="0" w:space="0" w:color="auto"/>
                          </w:divBdr>
                          <w:divsChild>
                            <w:div w:id="1878354722">
                              <w:marLeft w:val="0"/>
                              <w:marRight w:val="0"/>
                              <w:marTop w:val="120"/>
                              <w:marBottom w:val="360"/>
                              <w:divBdr>
                                <w:top w:val="none" w:sz="0" w:space="0" w:color="auto"/>
                                <w:left w:val="none" w:sz="0" w:space="0" w:color="auto"/>
                                <w:bottom w:val="none" w:sz="0" w:space="0" w:color="auto"/>
                                <w:right w:val="none" w:sz="0" w:space="0" w:color="auto"/>
                              </w:divBdr>
                              <w:divsChild>
                                <w:div w:id="92241860">
                                  <w:marLeft w:val="0"/>
                                  <w:marRight w:val="0"/>
                                  <w:marTop w:val="0"/>
                                  <w:marBottom w:val="0"/>
                                  <w:divBdr>
                                    <w:top w:val="none" w:sz="0" w:space="0" w:color="auto"/>
                                    <w:left w:val="none" w:sz="0" w:space="0" w:color="auto"/>
                                    <w:bottom w:val="none" w:sz="0" w:space="0" w:color="auto"/>
                                    <w:right w:val="none" w:sz="0" w:space="0" w:color="auto"/>
                                  </w:divBdr>
                                </w:div>
                                <w:div w:id="10630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084433">
      <w:bodyDiv w:val="1"/>
      <w:marLeft w:val="0"/>
      <w:marRight w:val="0"/>
      <w:marTop w:val="0"/>
      <w:marBottom w:val="0"/>
      <w:divBdr>
        <w:top w:val="none" w:sz="0" w:space="0" w:color="auto"/>
        <w:left w:val="none" w:sz="0" w:space="0" w:color="auto"/>
        <w:bottom w:val="none" w:sz="0" w:space="0" w:color="auto"/>
        <w:right w:val="none" w:sz="0" w:space="0" w:color="auto"/>
      </w:divBdr>
      <w:divsChild>
        <w:div w:id="692613758">
          <w:marLeft w:val="0"/>
          <w:marRight w:val="1"/>
          <w:marTop w:val="0"/>
          <w:marBottom w:val="0"/>
          <w:divBdr>
            <w:top w:val="none" w:sz="0" w:space="0" w:color="auto"/>
            <w:left w:val="none" w:sz="0" w:space="0" w:color="auto"/>
            <w:bottom w:val="none" w:sz="0" w:space="0" w:color="auto"/>
            <w:right w:val="none" w:sz="0" w:space="0" w:color="auto"/>
          </w:divBdr>
          <w:divsChild>
            <w:div w:id="1004936655">
              <w:marLeft w:val="0"/>
              <w:marRight w:val="0"/>
              <w:marTop w:val="0"/>
              <w:marBottom w:val="0"/>
              <w:divBdr>
                <w:top w:val="none" w:sz="0" w:space="0" w:color="auto"/>
                <w:left w:val="none" w:sz="0" w:space="0" w:color="auto"/>
                <w:bottom w:val="none" w:sz="0" w:space="0" w:color="auto"/>
                <w:right w:val="none" w:sz="0" w:space="0" w:color="auto"/>
              </w:divBdr>
              <w:divsChild>
                <w:div w:id="428280691">
                  <w:marLeft w:val="0"/>
                  <w:marRight w:val="1"/>
                  <w:marTop w:val="0"/>
                  <w:marBottom w:val="0"/>
                  <w:divBdr>
                    <w:top w:val="none" w:sz="0" w:space="0" w:color="auto"/>
                    <w:left w:val="none" w:sz="0" w:space="0" w:color="auto"/>
                    <w:bottom w:val="none" w:sz="0" w:space="0" w:color="auto"/>
                    <w:right w:val="none" w:sz="0" w:space="0" w:color="auto"/>
                  </w:divBdr>
                  <w:divsChild>
                    <w:div w:id="167135625">
                      <w:marLeft w:val="0"/>
                      <w:marRight w:val="0"/>
                      <w:marTop w:val="0"/>
                      <w:marBottom w:val="0"/>
                      <w:divBdr>
                        <w:top w:val="none" w:sz="0" w:space="0" w:color="auto"/>
                        <w:left w:val="none" w:sz="0" w:space="0" w:color="auto"/>
                        <w:bottom w:val="none" w:sz="0" w:space="0" w:color="auto"/>
                        <w:right w:val="none" w:sz="0" w:space="0" w:color="auto"/>
                      </w:divBdr>
                      <w:divsChild>
                        <w:div w:id="177276688">
                          <w:marLeft w:val="0"/>
                          <w:marRight w:val="0"/>
                          <w:marTop w:val="0"/>
                          <w:marBottom w:val="0"/>
                          <w:divBdr>
                            <w:top w:val="none" w:sz="0" w:space="0" w:color="auto"/>
                            <w:left w:val="none" w:sz="0" w:space="0" w:color="auto"/>
                            <w:bottom w:val="none" w:sz="0" w:space="0" w:color="auto"/>
                            <w:right w:val="none" w:sz="0" w:space="0" w:color="auto"/>
                          </w:divBdr>
                          <w:divsChild>
                            <w:div w:id="1120996249">
                              <w:marLeft w:val="0"/>
                              <w:marRight w:val="0"/>
                              <w:marTop w:val="120"/>
                              <w:marBottom w:val="360"/>
                              <w:divBdr>
                                <w:top w:val="none" w:sz="0" w:space="0" w:color="auto"/>
                                <w:left w:val="none" w:sz="0" w:space="0" w:color="auto"/>
                                <w:bottom w:val="none" w:sz="0" w:space="0" w:color="auto"/>
                                <w:right w:val="none" w:sz="0" w:space="0" w:color="auto"/>
                              </w:divBdr>
                              <w:divsChild>
                                <w:div w:id="350450065">
                                  <w:marLeft w:val="0"/>
                                  <w:marRight w:val="0"/>
                                  <w:marTop w:val="0"/>
                                  <w:marBottom w:val="0"/>
                                  <w:divBdr>
                                    <w:top w:val="none" w:sz="0" w:space="0" w:color="auto"/>
                                    <w:left w:val="none" w:sz="0" w:space="0" w:color="auto"/>
                                    <w:bottom w:val="none" w:sz="0" w:space="0" w:color="auto"/>
                                    <w:right w:val="none" w:sz="0" w:space="0" w:color="auto"/>
                                  </w:divBdr>
                                </w:div>
                                <w:div w:id="19350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287700">
      <w:bodyDiv w:val="1"/>
      <w:marLeft w:val="0"/>
      <w:marRight w:val="0"/>
      <w:marTop w:val="0"/>
      <w:marBottom w:val="0"/>
      <w:divBdr>
        <w:top w:val="none" w:sz="0" w:space="0" w:color="auto"/>
        <w:left w:val="none" w:sz="0" w:space="0" w:color="auto"/>
        <w:bottom w:val="none" w:sz="0" w:space="0" w:color="auto"/>
        <w:right w:val="none" w:sz="0" w:space="0" w:color="auto"/>
      </w:divBdr>
      <w:divsChild>
        <w:div w:id="1093551592">
          <w:marLeft w:val="0"/>
          <w:marRight w:val="1"/>
          <w:marTop w:val="0"/>
          <w:marBottom w:val="0"/>
          <w:divBdr>
            <w:top w:val="none" w:sz="0" w:space="0" w:color="auto"/>
            <w:left w:val="none" w:sz="0" w:space="0" w:color="auto"/>
            <w:bottom w:val="none" w:sz="0" w:space="0" w:color="auto"/>
            <w:right w:val="none" w:sz="0" w:space="0" w:color="auto"/>
          </w:divBdr>
          <w:divsChild>
            <w:div w:id="1379476344">
              <w:marLeft w:val="0"/>
              <w:marRight w:val="0"/>
              <w:marTop w:val="0"/>
              <w:marBottom w:val="0"/>
              <w:divBdr>
                <w:top w:val="none" w:sz="0" w:space="0" w:color="auto"/>
                <w:left w:val="none" w:sz="0" w:space="0" w:color="auto"/>
                <w:bottom w:val="none" w:sz="0" w:space="0" w:color="auto"/>
                <w:right w:val="none" w:sz="0" w:space="0" w:color="auto"/>
              </w:divBdr>
              <w:divsChild>
                <w:div w:id="991639615">
                  <w:marLeft w:val="0"/>
                  <w:marRight w:val="1"/>
                  <w:marTop w:val="0"/>
                  <w:marBottom w:val="0"/>
                  <w:divBdr>
                    <w:top w:val="none" w:sz="0" w:space="0" w:color="auto"/>
                    <w:left w:val="none" w:sz="0" w:space="0" w:color="auto"/>
                    <w:bottom w:val="none" w:sz="0" w:space="0" w:color="auto"/>
                    <w:right w:val="none" w:sz="0" w:space="0" w:color="auto"/>
                  </w:divBdr>
                  <w:divsChild>
                    <w:div w:id="560407129">
                      <w:marLeft w:val="0"/>
                      <w:marRight w:val="0"/>
                      <w:marTop w:val="0"/>
                      <w:marBottom w:val="0"/>
                      <w:divBdr>
                        <w:top w:val="none" w:sz="0" w:space="0" w:color="auto"/>
                        <w:left w:val="none" w:sz="0" w:space="0" w:color="auto"/>
                        <w:bottom w:val="none" w:sz="0" w:space="0" w:color="auto"/>
                        <w:right w:val="none" w:sz="0" w:space="0" w:color="auto"/>
                      </w:divBdr>
                      <w:divsChild>
                        <w:div w:id="1580753794">
                          <w:marLeft w:val="0"/>
                          <w:marRight w:val="0"/>
                          <w:marTop w:val="0"/>
                          <w:marBottom w:val="0"/>
                          <w:divBdr>
                            <w:top w:val="none" w:sz="0" w:space="0" w:color="auto"/>
                            <w:left w:val="none" w:sz="0" w:space="0" w:color="auto"/>
                            <w:bottom w:val="none" w:sz="0" w:space="0" w:color="auto"/>
                            <w:right w:val="none" w:sz="0" w:space="0" w:color="auto"/>
                          </w:divBdr>
                          <w:divsChild>
                            <w:div w:id="251396208">
                              <w:marLeft w:val="0"/>
                              <w:marRight w:val="0"/>
                              <w:marTop w:val="120"/>
                              <w:marBottom w:val="360"/>
                              <w:divBdr>
                                <w:top w:val="none" w:sz="0" w:space="0" w:color="auto"/>
                                <w:left w:val="none" w:sz="0" w:space="0" w:color="auto"/>
                                <w:bottom w:val="none" w:sz="0" w:space="0" w:color="auto"/>
                                <w:right w:val="none" w:sz="0" w:space="0" w:color="auto"/>
                              </w:divBdr>
                              <w:divsChild>
                                <w:div w:id="346518376">
                                  <w:marLeft w:val="0"/>
                                  <w:marRight w:val="0"/>
                                  <w:marTop w:val="0"/>
                                  <w:marBottom w:val="0"/>
                                  <w:divBdr>
                                    <w:top w:val="none" w:sz="0" w:space="0" w:color="auto"/>
                                    <w:left w:val="none" w:sz="0" w:space="0" w:color="auto"/>
                                    <w:bottom w:val="none" w:sz="0" w:space="0" w:color="auto"/>
                                    <w:right w:val="none" w:sz="0" w:space="0" w:color="auto"/>
                                  </w:divBdr>
                                  <w:divsChild>
                                    <w:div w:id="19727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186930">
      <w:bodyDiv w:val="1"/>
      <w:marLeft w:val="0"/>
      <w:marRight w:val="0"/>
      <w:marTop w:val="0"/>
      <w:marBottom w:val="0"/>
      <w:divBdr>
        <w:top w:val="none" w:sz="0" w:space="0" w:color="auto"/>
        <w:left w:val="none" w:sz="0" w:space="0" w:color="auto"/>
        <w:bottom w:val="none" w:sz="0" w:space="0" w:color="auto"/>
        <w:right w:val="none" w:sz="0" w:space="0" w:color="auto"/>
      </w:divBdr>
      <w:divsChild>
        <w:div w:id="1569729285">
          <w:marLeft w:val="0"/>
          <w:marRight w:val="1"/>
          <w:marTop w:val="0"/>
          <w:marBottom w:val="0"/>
          <w:divBdr>
            <w:top w:val="none" w:sz="0" w:space="0" w:color="auto"/>
            <w:left w:val="none" w:sz="0" w:space="0" w:color="auto"/>
            <w:bottom w:val="none" w:sz="0" w:space="0" w:color="auto"/>
            <w:right w:val="none" w:sz="0" w:space="0" w:color="auto"/>
          </w:divBdr>
          <w:divsChild>
            <w:div w:id="1429042453">
              <w:marLeft w:val="0"/>
              <w:marRight w:val="0"/>
              <w:marTop w:val="0"/>
              <w:marBottom w:val="0"/>
              <w:divBdr>
                <w:top w:val="none" w:sz="0" w:space="0" w:color="auto"/>
                <w:left w:val="none" w:sz="0" w:space="0" w:color="auto"/>
                <w:bottom w:val="none" w:sz="0" w:space="0" w:color="auto"/>
                <w:right w:val="none" w:sz="0" w:space="0" w:color="auto"/>
              </w:divBdr>
              <w:divsChild>
                <w:div w:id="1092747820">
                  <w:marLeft w:val="0"/>
                  <w:marRight w:val="1"/>
                  <w:marTop w:val="0"/>
                  <w:marBottom w:val="0"/>
                  <w:divBdr>
                    <w:top w:val="none" w:sz="0" w:space="0" w:color="auto"/>
                    <w:left w:val="none" w:sz="0" w:space="0" w:color="auto"/>
                    <w:bottom w:val="none" w:sz="0" w:space="0" w:color="auto"/>
                    <w:right w:val="none" w:sz="0" w:space="0" w:color="auto"/>
                  </w:divBdr>
                  <w:divsChild>
                    <w:div w:id="185563603">
                      <w:marLeft w:val="0"/>
                      <w:marRight w:val="0"/>
                      <w:marTop w:val="0"/>
                      <w:marBottom w:val="0"/>
                      <w:divBdr>
                        <w:top w:val="none" w:sz="0" w:space="0" w:color="auto"/>
                        <w:left w:val="none" w:sz="0" w:space="0" w:color="auto"/>
                        <w:bottom w:val="none" w:sz="0" w:space="0" w:color="auto"/>
                        <w:right w:val="none" w:sz="0" w:space="0" w:color="auto"/>
                      </w:divBdr>
                      <w:divsChild>
                        <w:div w:id="2122457077">
                          <w:marLeft w:val="0"/>
                          <w:marRight w:val="0"/>
                          <w:marTop w:val="0"/>
                          <w:marBottom w:val="0"/>
                          <w:divBdr>
                            <w:top w:val="none" w:sz="0" w:space="0" w:color="auto"/>
                            <w:left w:val="none" w:sz="0" w:space="0" w:color="auto"/>
                            <w:bottom w:val="none" w:sz="0" w:space="0" w:color="auto"/>
                            <w:right w:val="none" w:sz="0" w:space="0" w:color="auto"/>
                          </w:divBdr>
                          <w:divsChild>
                            <w:div w:id="743841097">
                              <w:marLeft w:val="0"/>
                              <w:marRight w:val="0"/>
                              <w:marTop w:val="120"/>
                              <w:marBottom w:val="360"/>
                              <w:divBdr>
                                <w:top w:val="none" w:sz="0" w:space="0" w:color="auto"/>
                                <w:left w:val="none" w:sz="0" w:space="0" w:color="auto"/>
                                <w:bottom w:val="none" w:sz="0" w:space="0" w:color="auto"/>
                                <w:right w:val="none" w:sz="0" w:space="0" w:color="auto"/>
                              </w:divBdr>
                              <w:divsChild>
                                <w:div w:id="1938439867">
                                  <w:marLeft w:val="420"/>
                                  <w:marRight w:val="0"/>
                                  <w:marTop w:val="0"/>
                                  <w:marBottom w:val="0"/>
                                  <w:divBdr>
                                    <w:top w:val="none" w:sz="0" w:space="0" w:color="auto"/>
                                    <w:left w:val="none" w:sz="0" w:space="0" w:color="auto"/>
                                    <w:bottom w:val="none" w:sz="0" w:space="0" w:color="auto"/>
                                    <w:right w:val="none" w:sz="0" w:space="0" w:color="auto"/>
                                  </w:divBdr>
                                  <w:divsChild>
                                    <w:div w:id="21519172">
                                      <w:marLeft w:val="0"/>
                                      <w:marRight w:val="0"/>
                                      <w:marTop w:val="34"/>
                                      <w:marBottom w:val="34"/>
                                      <w:divBdr>
                                        <w:top w:val="none" w:sz="0" w:space="0" w:color="auto"/>
                                        <w:left w:val="none" w:sz="0" w:space="0" w:color="auto"/>
                                        <w:bottom w:val="none" w:sz="0" w:space="0" w:color="auto"/>
                                        <w:right w:val="none" w:sz="0" w:space="0" w:color="auto"/>
                                      </w:divBdr>
                                    </w:div>
                                    <w:div w:id="590966104">
                                      <w:marLeft w:val="0"/>
                                      <w:marRight w:val="0"/>
                                      <w:marTop w:val="0"/>
                                      <w:marBottom w:val="0"/>
                                      <w:divBdr>
                                        <w:top w:val="none" w:sz="0" w:space="0" w:color="auto"/>
                                        <w:left w:val="none" w:sz="0" w:space="0" w:color="auto"/>
                                        <w:bottom w:val="none" w:sz="0" w:space="0" w:color="auto"/>
                                        <w:right w:val="none" w:sz="0" w:space="0" w:color="auto"/>
                                      </w:divBdr>
                                      <w:divsChild>
                                        <w:div w:id="19119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056961">
      <w:bodyDiv w:val="1"/>
      <w:marLeft w:val="0"/>
      <w:marRight w:val="0"/>
      <w:marTop w:val="0"/>
      <w:marBottom w:val="0"/>
      <w:divBdr>
        <w:top w:val="none" w:sz="0" w:space="0" w:color="auto"/>
        <w:left w:val="none" w:sz="0" w:space="0" w:color="auto"/>
        <w:bottom w:val="none" w:sz="0" w:space="0" w:color="auto"/>
        <w:right w:val="none" w:sz="0" w:space="0" w:color="auto"/>
      </w:divBdr>
      <w:divsChild>
        <w:div w:id="78526708">
          <w:marLeft w:val="0"/>
          <w:marRight w:val="1"/>
          <w:marTop w:val="0"/>
          <w:marBottom w:val="0"/>
          <w:divBdr>
            <w:top w:val="none" w:sz="0" w:space="0" w:color="auto"/>
            <w:left w:val="none" w:sz="0" w:space="0" w:color="auto"/>
            <w:bottom w:val="none" w:sz="0" w:space="0" w:color="auto"/>
            <w:right w:val="none" w:sz="0" w:space="0" w:color="auto"/>
          </w:divBdr>
          <w:divsChild>
            <w:div w:id="1093354838">
              <w:marLeft w:val="0"/>
              <w:marRight w:val="0"/>
              <w:marTop w:val="0"/>
              <w:marBottom w:val="0"/>
              <w:divBdr>
                <w:top w:val="none" w:sz="0" w:space="0" w:color="auto"/>
                <w:left w:val="none" w:sz="0" w:space="0" w:color="auto"/>
                <w:bottom w:val="none" w:sz="0" w:space="0" w:color="auto"/>
                <w:right w:val="none" w:sz="0" w:space="0" w:color="auto"/>
              </w:divBdr>
              <w:divsChild>
                <w:div w:id="1649936786">
                  <w:marLeft w:val="0"/>
                  <w:marRight w:val="1"/>
                  <w:marTop w:val="0"/>
                  <w:marBottom w:val="0"/>
                  <w:divBdr>
                    <w:top w:val="none" w:sz="0" w:space="0" w:color="auto"/>
                    <w:left w:val="none" w:sz="0" w:space="0" w:color="auto"/>
                    <w:bottom w:val="none" w:sz="0" w:space="0" w:color="auto"/>
                    <w:right w:val="none" w:sz="0" w:space="0" w:color="auto"/>
                  </w:divBdr>
                  <w:divsChild>
                    <w:div w:id="1257904409">
                      <w:marLeft w:val="0"/>
                      <w:marRight w:val="0"/>
                      <w:marTop w:val="0"/>
                      <w:marBottom w:val="0"/>
                      <w:divBdr>
                        <w:top w:val="none" w:sz="0" w:space="0" w:color="auto"/>
                        <w:left w:val="none" w:sz="0" w:space="0" w:color="auto"/>
                        <w:bottom w:val="none" w:sz="0" w:space="0" w:color="auto"/>
                        <w:right w:val="none" w:sz="0" w:space="0" w:color="auto"/>
                      </w:divBdr>
                      <w:divsChild>
                        <w:div w:id="1214124352">
                          <w:marLeft w:val="0"/>
                          <w:marRight w:val="0"/>
                          <w:marTop w:val="0"/>
                          <w:marBottom w:val="0"/>
                          <w:divBdr>
                            <w:top w:val="none" w:sz="0" w:space="0" w:color="auto"/>
                            <w:left w:val="none" w:sz="0" w:space="0" w:color="auto"/>
                            <w:bottom w:val="none" w:sz="0" w:space="0" w:color="auto"/>
                            <w:right w:val="none" w:sz="0" w:space="0" w:color="auto"/>
                          </w:divBdr>
                          <w:divsChild>
                            <w:div w:id="1535195088">
                              <w:marLeft w:val="0"/>
                              <w:marRight w:val="0"/>
                              <w:marTop w:val="120"/>
                              <w:marBottom w:val="360"/>
                              <w:divBdr>
                                <w:top w:val="none" w:sz="0" w:space="0" w:color="auto"/>
                                <w:left w:val="none" w:sz="0" w:space="0" w:color="auto"/>
                                <w:bottom w:val="none" w:sz="0" w:space="0" w:color="auto"/>
                                <w:right w:val="none" w:sz="0" w:space="0" w:color="auto"/>
                              </w:divBdr>
                              <w:divsChild>
                                <w:div w:id="117994273">
                                  <w:marLeft w:val="420"/>
                                  <w:marRight w:val="0"/>
                                  <w:marTop w:val="0"/>
                                  <w:marBottom w:val="0"/>
                                  <w:divBdr>
                                    <w:top w:val="none" w:sz="0" w:space="0" w:color="auto"/>
                                    <w:left w:val="none" w:sz="0" w:space="0" w:color="auto"/>
                                    <w:bottom w:val="none" w:sz="0" w:space="0" w:color="auto"/>
                                    <w:right w:val="none" w:sz="0" w:space="0" w:color="auto"/>
                                  </w:divBdr>
                                  <w:divsChild>
                                    <w:div w:id="205018449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675993">
      <w:bodyDiv w:val="1"/>
      <w:marLeft w:val="0"/>
      <w:marRight w:val="0"/>
      <w:marTop w:val="0"/>
      <w:marBottom w:val="0"/>
      <w:divBdr>
        <w:top w:val="none" w:sz="0" w:space="0" w:color="auto"/>
        <w:left w:val="none" w:sz="0" w:space="0" w:color="auto"/>
        <w:bottom w:val="none" w:sz="0" w:space="0" w:color="auto"/>
        <w:right w:val="none" w:sz="0" w:space="0" w:color="auto"/>
      </w:divBdr>
      <w:divsChild>
        <w:div w:id="399837772">
          <w:marLeft w:val="0"/>
          <w:marRight w:val="1"/>
          <w:marTop w:val="0"/>
          <w:marBottom w:val="0"/>
          <w:divBdr>
            <w:top w:val="none" w:sz="0" w:space="0" w:color="auto"/>
            <w:left w:val="none" w:sz="0" w:space="0" w:color="auto"/>
            <w:bottom w:val="none" w:sz="0" w:space="0" w:color="auto"/>
            <w:right w:val="none" w:sz="0" w:space="0" w:color="auto"/>
          </w:divBdr>
          <w:divsChild>
            <w:div w:id="1598714829">
              <w:marLeft w:val="0"/>
              <w:marRight w:val="0"/>
              <w:marTop w:val="0"/>
              <w:marBottom w:val="0"/>
              <w:divBdr>
                <w:top w:val="none" w:sz="0" w:space="0" w:color="auto"/>
                <w:left w:val="none" w:sz="0" w:space="0" w:color="auto"/>
                <w:bottom w:val="none" w:sz="0" w:space="0" w:color="auto"/>
                <w:right w:val="none" w:sz="0" w:space="0" w:color="auto"/>
              </w:divBdr>
              <w:divsChild>
                <w:div w:id="1569150881">
                  <w:marLeft w:val="0"/>
                  <w:marRight w:val="1"/>
                  <w:marTop w:val="0"/>
                  <w:marBottom w:val="0"/>
                  <w:divBdr>
                    <w:top w:val="none" w:sz="0" w:space="0" w:color="auto"/>
                    <w:left w:val="none" w:sz="0" w:space="0" w:color="auto"/>
                    <w:bottom w:val="none" w:sz="0" w:space="0" w:color="auto"/>
                    <w:right w:val="none" w:sz="0" w:space="0" w:color="auto"/>
                  </w:divBdr>
                  <w:divsChild>
                    <w:div w:id="1712143967">
                      <w:marLeft w:val="0"/>
                      <w:marRight w:val="0"/>
                      <w:marTop w:val="0"/>
                      <w:marBottom w:val="0"/>
                      <w:divBdr>
                        <w:top w:val="none" w:sz="0" w:space="0" w:color="auto"/>
                        <w:left w:val="none" w:sz="0" w:space="0" w:color="auto"/>
                        <w:bottom w:val="none" w:sz="0" w:space="0" w:color="auto"/>
                        <w:right w:val="none" w:sz="0" w:space="0" w:color="auto"/>
                      </w:divBdr>
                      <w:divsChild>
                        <w:div w:id="1009679431">
                          <w:marLeft w:val="0"/>
                          <w:marRight w:val="0"/>
                          <w:marTop w:val="0"/>
                          <w:marBottom w:val="0"/>
                          <w:divBdr>
                            <w:top w:val="none" w:sz="0" w:space="0" w:color="auto"/>
                            <w:left w:val="none" w:sz="0" w:space="0" w:color="auto"/>
                            <w:bottom w:val="none" w:sz="0" w:space="0" w:color="auto"/>
                            <w:right w:val="none" w:sz="0" w:space="0" w:color="auto"/>
                          </w:divBdr>
                          <w:divsChild>
                            <w:div w:id="1337730462">
                              <w:marLeft w:val="0"/>
                              <w:marRight w:val="0"/>
                              <w:marTop w:val="120"/>
                              <w:marBottom w:val="360"/>
                              <w:divBdr>
                                <w:top w:val="none" w:sz="0" w:space="0" w:color="auto"/>
                                <w:left w:val="none" w:sz="0" w:space="0" w:color="auto"/>
                                <w:bottom w:val="none" w:sz="0" w:space="0" w:color="auto"/>
                                <w:right w:val="none" w:sz="0" w:space="0" w:color="auto"/>
                              </w:divBdr>
                              <w:divsChild>
                                <w:div w:id="1037580654">
                                  <w:marLeft w:val="0"/>
                                  <w:marRight w:val="0"/>
                                  <w:marTop w:val="0"/>
                                  <w:marBottom w:val="0"/>
                                  <w:divBdr>
                                    <w:top w:val="none" w:sz="0" w:space="0" w:color="auto"/>
                                    <w:left w:val="none" w:sz="0" w:space="0" w:color="auto"/>
                                    <w:bottom w:val="none" w:sz="0" w:space="0" w:color="auto"/>
                                    <w:right w:val="none" w:sz="0" w:space="0" w:color="auto"/>
                                  </w:divBdr>
                                </w:div>
                                <w:div w:id="12919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49541">
      <w:bodyDiv w:val="1"/>
      <w:marLeft w:val="0"/>
      <w:marRight w:val="0"/>
      <w:marTop w:val="0"/>
      <w:marBottom w:val="0"/>
      <w:divBdr>
        <w:top w:val="none" w:sz="0" w:space="0" w:color="auto"/>
        <w:left w:val="none" w:sz="0" w:space="0" w:color="auto"/>
        <w:bottom w:val="none" w:sz="0" w:space="0" w:color="auto"/>
        <w:right w:val="none" w:sz="0" w:space="0" w:color="auto"/>
      </w:divBdr>
      <w:divsChild>
        <w:div w:id="546332465">
          <w:marLeft w:val="0"/>
          <w:marRight w:val="1"/>
          <w:marTop w:val="0"/>
          <w:marBottom w:val="0"/>
          <w:divBdr>
            <w:top w:val="none" w:sz="0" w:space="0" w:color="auto"/>
            <w:left w:val="none" w:sz="0" w:space="0" w:color="auto"/>
            <w:bottom w:val="none" w:sz="0" w:space="0" w:color="auto"/>
            <w:right w:val="none" w:sz="0" w:space="0" w:color="auto"/>
          </w:divBdr>
          <w:divsChild>
            <w:div w:id="498739717">
              <w:marLeft w:val="0"/>
              <w:marRight w:val="0"/>
              <w:marTop w:val="0"/>
              <w:marBottom w:val="0"/>
              <w:divBdr>
                <w:top w:val="none" w:sz="0" w:space="0" w:color="auto"/>
                <w:left w:val="none" w:sz="0" w:space="0" w:color="auto"/>
                <w:bottom w:val="none" w:sz="0" w:space="0" w:color="auto"/>
                <w:right w:val="none" w:sz="0" w:space="0" w:color="auto"/>
              </w:divBdr>
              <w:divsChild>
                <w:div w:id="527374502">
                  <w:marLeft w:val="0"/>
                  <w:marRight w:val="1"/>
                  <w:marTop w:val="0"/>
                  <w:marBottom w:val="0"/>
                  <w:divBdr>
                    <w:top w:val="none" w:sz="0" w:space="0" w:color="auto"/>
                    <w:left w:val="none" w:sz="0" w:space="0" w:color="auto"/>
                    <w:bottom w:val="none" w:sz="0" w:space="0" w:color="auto"/>
                    <w:right w:val="none" w:sz="0" w:space="0" w:color="auto"/>
                  </w:divBdr>
                  <w:divsChild>
                    <w:div w:id="1761833596">
                      <w:marLeft w:val="0"/>
                      <w:marRight w:val="0"/>
                      <w:marTop w:val="0"/>
                      <w:marBottom w:val="0"/>
                      <w:divBdr>
                        <w:top w:val="none" w:sz="0" w:space="0" w:color="auto"/>
                        <w:left w:val="none" w:sz="0" w:space="0" w:color="auto"/>
                        <w:bottom w:val="none" w:sz="0" w:space="0" w:color="auto"/>
                        <w:right w:val="none" w:sz="0" w:space="0" w:color="auto"/>
                      </w:divBdr>
                      <w:divsChild>
                        <w:div w:id="2089494421">
                          <w:marLeft w:val="0"/>
                          <w:marRight w:val="0"/>
                          <w:marTop w:val="0"/>
                          <w:marBottom w:val="0"/>
                          <w:divBdr>
                            <w:top w:val="none" w:sz="0" w:space="0" w:color="auto"/>
                            <w:left w:val="none" w:sz="0" w:space="0" w:color="auto"/>
                            <w:bottom w:val="none" w:sz="0" w:space="0" w:color="auto"/>
                            <w:right w:val="none" w:sz="0" w:space="0" w:color="auto"/>
                          </w:divBdr>
                          <w:divsChild>
                            <w:div w:id="442462850">
                              <w:marLeft w:val="0"/>
                              <w:marRight w:val="0"/>
                              <w:marTop w:val="0"/>
                              <w:marBottom w:val="0"/>
                              <w:divBdr>
                                <w:top w:val="none" w:sz="0" w:space="0" w:color="auto"/>
                                <w:left w:val="none" w:sz="0" w:space="0" w:color="auto"/>
                                <w:bottom w:val="none" w:sz="0" w:space="0" w:color="auto"/>
                                <w:right w:val="none" w:sz="0" w:space="0" w:color="auto"/>
                              </w:divBdr>
                            </w:div>
                          </w:divsChild>
                        </w:div>
                        <w:div w:id="224950830">
                          <w:marLeft w:val="0"/>
                          <w:marRight w:val="0"/>
                          <w:marTop w:val="0"/>
                          <w:marBottom w:val="0"/>
                          <w:divBdr>
                            <w:top w:val="none" w:sz="0" w:space="0" w:color="auto"/>
                            <w:left w:val="none" w:sz="0" w:space="0" w:color="auto"/>
                            <w:bottom w:val="none" w:sz="0" w:space="0" w:color="auto"/>
                            <w:right w:val="none" w:sz="0" w:space="0" w:color="auto"/>
                          </w:divBdr>
                          <w:divsChild>
                            <w:div w:id="1258834129">
                              <w:marLeft w:val="0"/>
                              <w:marRight w:val="0"/>
                              <w:marTop w:val="120"/>
                              <w:marBottom w:val="360"/>
                              <w:divBdr>
                                <w:top w:val="none" w:sz="0" w:space="0" w:color="auto"/>
                                <w:left w:val="none" w:sz="0" w:space="0" w:color="auto"/>
                                <w:bottom w:val="none" w:sz="0" w:space="0" w:color="auto"/>
                                <w:right w:val="none" w:sz="0" w:space="0" w:color="auto"/>
                              </w:divBdr>
                              <w:divsChild>
                                <w:div w:id="154953391">
                                  <w:marLeft w:val="0"/>
                                  <w:marRight w:val="0"/>
                                  <w:marTop w:val="0"/>
                                  <w:marBottom w:val="0"/>
                                  <w:divBdr>
                                    <w:top w:val="none" w:sz="0" w:space="0" w:color="auto"/>
                                    <w:left w:val="none" w:sz="0" w:space="0" w:color="auto"/>
                                    <w:bottom w:val="none" w:sz="0" w:space="0" w:color="auto"/>
                                    <w:right w:val="none" w:sz="0" w:space="0" w:color="auto"/>
                                  </w:divBdr>
                                </w:div>
                                <w:div w:id="17080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C405-C745-48B2-8BE9-D27022C6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6120</Words>
  <Characters>34887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40926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Mihajlo</dc:creator>
  <cp:lastModifiedBy>LS Ma</cp:lastModifiedBy>
  <cp:revision>2</cp:revision>
  <cp:lastPrinted>2015-07-10T22:25:00Z</cp:lastPrinted>
  <dcterms:created xsi:type="dcterms:W3CDTF">2015-08-30T11:57:00Z</dcterms:created>
  <dcterms:modified xsi:type="dcterms:W3CDTF">2015-08-30T11:57:00Z</dcterms:modified>
</cp:coreProperties>
</file>