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00BE9" w14:textId="6290245C" w:rsidR="00C77918" w:rsidRPr="003435AA" w:rsidRDefault="00C77918" w:rsidP="00EA5799">
      <w:pPr>
        <w:spacing w:after="0" w:line="360" w:lineRule="auto"/>
        <w:jc w:val="both"/>
        <w:rPr>
          <w:rFonts w:ascii="Book Antiqua" w:hAnsi="Book Antiqua"/>
          <w:b/>
          <w:lang w:val="en-US"/>
        </w:rPr>
      </w:pPr>
      <w:r w:rsidRPr="003435AA">
        <w:rPr>
          <w:rFonts w:ascii="Book Antiqua" w:hAnsi="Book Antiqua"/>
          <w:b/>
          <w:lang w:val="en-US"/>
        </w:rPr>
        <w:t xml:space="preserve">Name of </w:t>
      </w:r>
      <w:r w:rsidR="00542F68" w:rsidRPr="003435AA">
        <w:rPr>
          <w:rFonts w:ascii="Book Antiqua" w:hAnsi="Book Antiqua"/>
          <w:b/>
          <w:lang w:val="en-US"/>
        </w:rPr>
        <w:t>J</w:t>
      </w:r>
      <w:r w:rsidRPr="003435AA">
        <w:rPr>
          <w:rFonts w:ascii="Book Antiqua" w:hAnsi="Book Antiqua"/>
          <w:b/>
          <w:lang w:val="en-US"/>
        </w:rPr>
        <w:t xml:space="preserve">ournal: </w:t>
      </w:r>
      <w:r w:rsidRPr="003435AA">
        <w:rPr>
          <w:rFonts w:ascii="Book Antiqua" w:hAnsi="Book Antiqua"/>
          <w:b/>
          <w:i/>
          <w:iCs/>
          <w:lang w:val="en-US"/>
        </w:rPr>
        <w:t>World Journal of Gastrointestinal Pharmacology and Therapeutics</w:t>
      </w:r>
    </w:p>
    <w:p w14:paraId="0B65A045" w14:textId="14AA28DA" w:rsidR="00C77918" w:rsidRPr="003435AA" w:rsidRDefault="00C77918" w:rsidP="00EA5799">
      <w:pPr>
        <w:spacing w:after="0" w:line="360" w:lineRule="auto"/>
        <w:jc w:val="both"/>
        <w:rPr>
          <w:rFonts w:ascii="Book Antiqua" w:eastAsia="宋体" w:hAnsi="Book Antiqua"/>
          <w:b/>
          <w:lang w:val="en-US" w:eastAsia="zh-CN"/>
        </w:rPr>
      </w:pPr>
      <w:r w:rsidRPr="003435AA">
        <w:rPr>
          <w:rFonts w:ascii="Book Antiqua" w:hAnsi="Book Antiqua"/>
          <w:b/>
          <w:lang w:val="en-US"/>
        </w:rPr>
        <w:t xml:space="preserve">ESPS Manuscript NO: </w:t>
      </w:r>
      <w:r w:rsidRPr="003435AA">
        <w:rPr>
          <w:rFonts w:ascii="Book Antiqua" w:eastAsia="宋体" w:hAnsi="Book Antiqua"/>
          <w:b/>
          <w:lang w:val="en-US" w:eastAsia="zh-CN"/>
        </w:rPr>
        <w:t>20349</w:t>
      </w:r>
    </w:p>
    <w:p w14:paraId="3A4B2C9F" w14:textId="5EEDF6A2" w:rsidR="00C77918" w:rsidRPr="003435AA" w:rsidRDefault="00C77918" w:rsidP="00EA5799">
      <w:pPr>
        <w:spacing w:after="0" w:line="360" w:lineRule="auto"/>
        <w:jc w:val="both"/>
        <w:rPr>
          <w:rFonts w:ascii="Book Antiqua" w:eastAsia="宋体" w:hAnsi="Book Antiqua"/>
          <w:b/>
          <w:lang w:val="en-US" w:eastAsia="zh-CN"/>
        </w:rPr>
      </w:pPr>
      <w:r w:rsidRPr="003435AA">
        <w:rPr>
          <w:rFonts w:ascii="Book Antiqua" w:hAnsi="Book Antiqua"/>
          <w:b/>
          <w:lang w:val="en-US"/>
        </w:rPr>
        <w:t xml:space="preserve">Manuscript Type: </w:t>
      </w:r>
      <w:r w:rsidRPr="003435AA">
        <w:rPr>
          <w:rFonts w:ascii="Book Antiqua" w:eastAsia="宋体" w:hAnsi="Book Antiqua"/>
          <w:b/>
          <w:lang w:val="en-US" w:eastAsia="zh-CN"/>
        </w:rPr>
        <w:t>MINIREVIEWS</w:t>
      </w:r>
    </w:p>
    <w:p w14:paraId="02446382" w14:textId="77777777" w:rsidR="00C77918" w:rsidRPr="00EA5799" w:rsidRDefault="00C77918" w:rsidP="00EA5799">
      <w:pPr>
        <w:spacing w:after="0" w:line="360" w:lineRule="auto"/>
        <w:jc w:val="both"/>
        <w:rPr>
          <w:rFonts w:ascii="Book Antiqua" w:eastAsia="宋体" w:hAnsi="Book Antiqua"/>
          <w:b/>
          <w:lang w:val="en-US" w:eastAsia="zh-CN"/>
        </w:rPr>
      </w:pPr>
    </w:p>
    <w:p w14:paraId="69EE35C4" w14:textId="788F2A66" w:rsidR="00797A16" w:rsidRPr="00EA5799" w:rsidRDefault="00797A16" w:rsidP="00EA5799">
      <w:pPr>
        <w:spacing w:after="0" w:line="360" w:lineRule="auto"/>
        <w:jc w:val="both"/>
        <w:rPr>
          <w:rFonts w:ascii="Book Antiqua" w:eastAsia="宋体" w:hAnsi="Book Antiqua" w:cs="Arial"/>
          <w:b/>
          <w:lang w:val="en-US" w:eastAsia="zh-CN"/>
        </w:rPr>
      </w:pPr>
      <w:r w:rsidRPr="00EA5799">
        <w:rPr>
          <w:rFonts w:ascii="Book Antiqua" w:eastAsia="GungsuhChe" w:hAnsi="Book Antiqua" w:cs="Arial"/>
          <w:b/>
          <w:lang w:val="en-US"/>
        </w:rPr>
        <w:t>Age</w:t>
      </w:r>
      <w:r w:rsidR="00093505" w:rsidRPr="00EA5799">
        <w:rPr>
          <w:rFonts w:ascii="Book Antiqua" w:eastAsia="GungsuhChe" w:hAnsi="Book Antiqua" w:cs="Arial"/>
          <w:b/>
          <w:lang w:val="en-US"/>
        </w:rPr>
        <w:t>-</w:t>
      </w:r>
      <w:r w:rsidRPr="00EA5799">
        <w:rPr>
          <w:rFonts w:ascii="Book Antiqua" w:eastAsia="GungsuhChe" w:hAnsi="Book Antiqua" w:cs="Arial"/>
          <w:b/>
          <w:lang w:val="en-US"/>
        </w:rPr>
        <w:t xml:space="preserve">related </w:t>
      </w:r>
      <w:r w:rsidR="00093505" w:rsidRPr="00EA5799">
        <w:rPr>
          <w:rFonts w:ascii="Book Antiqua" w:eastAsia="GungsuhChe" w:hAnsi="Book Antiqua" w:cs="Arial"/>
          <w:b/>
          <w:lang w:val="en-US"/>
        </w:rPr>
        <w:t xml:space="preserve">differences in </w:t>
      </w:r>
      <w:r w:rsidRPr="00EA5799">
        <w:rPr>
          <w:rFonts w:ascii="Book Antiqua" w:eastAsia="GungsuhChe" w:hAnsi="Book Antiqua" w:cs="Arial"/>
          <w:b/>
          <w:lang w:val="en-US"/>
        </w:rPr>
        <w:t xml:space="preserve">celiac disease: </w:t>
      </w:r>
      <w:r w:rsidR="00A15730" w:rsidRPr="00EA5799">
        <w:rPr>
          <w:rFonts w:ascii="Book Antiqua" w:eastAsia="GungsuhChe" w:hAnsi="Book Antiqua" w:cs="Arial"/>
          <w:b/>
          <w:lang w:val="en-US"/>
        </w:rPr>
        <w:t>S</w:t>
      </w:r>
      <w:r w:rsidRPr="00EA5799">
        <w:rPr>
          <w:rFonts w:ascii="Book Antiqua" w:eastAsia="GungsuhChe" w:hAnsi="Book Antiqua" w:cs="Arial"/>
          <w:b/>
          <w:lang w:val="en-US"/>
        </w:rPr>
        <w:t>pecific characteristics of adult presentation</w:t>
      </w:r>
    </w:p>
    <w:p w14:paraId="275A7887" w14:textId="77777777" w:rsidR="00A15730" w:rsidRPr="00EA5799" w:rsidRDefault="00A15730" w:rsidP="00EA5799">
      <w:pPr>
        <w:spacing w:after="0" w:line="360" w:lineRule="auto"/>
        <w:jc w:val="both"/>
        <w:rPr>
          <w:rFonts w:ascii="Book Antiqua" w:eastAsia="宋体" w:hAnsi="Book Antiqua" w:cs="Arial"/>
          <w:b/>
          <w:lang w:val="en-US" w:eastAsia="zh-CN"/>
        </w:rPr>
      </w:pPr>
    </w:p>
    <w:p w14:paraId="69E6C527" w14:textId="2F7D9FC9" w:rsidR="00C77918" w:rsidRPr="00EA5799" w:rsidRDefault="008E18C4" w:rsidP="00EA5799">
      <w:pPr>
        <w:spacing w:after="0" w:line="360" w:lineRule="auto"/>
        <w:jc w:val="both"/>
        <w:rPr>
          <w:rFonts w:ascii="Book Antiqua" w:eastAsia="宋体" w:hAnsi="Book Antiqua"/>
          <w:lang w:val="en-US" w:eastAsia="zh-CN"/>
        </w:rPr>
      </w:pPr>
      <w:proofErr w:type="spellStart"/>
      <w:r w:rsidRPr="00EA5799">
        <w:rPr>
          <w:rFonts w:ascii="Book Antiqua" w:eastAsia="GungsuhChe" w:hAnsi="Book Antiqua" w:cs="Arial"/>
          <w:lang w:val="en-US"/>
        </w:rPr>
        <w:t>Vivas</w:t>
      </w:r>
      <w:proofErr w:type="spellEnd"/>
      <w:r w:rsidRPr="00EA5799">
        <w:rPr>
          <w:rFonts w:ascii="Book Antiqua" w:eastAsia="宋体" w:hAnsi="Book Antiqua" w:cs="Arial"/>
          <w:lang w:val="en-US" w:eastAsia="zh-CN"/>
        </w:rPr>
        <w:t xml:space="preserve"> S </w:t>
      </w:r>
      <w:r w:rsidRPr="00EA5799">
        <w:rPr>
          <w:rFonts w:ascii="Book Antiqua" w:eastAsia="宋体" w:hAnsi="Book Antiqua" w:cs="Arial"/>
          <w:i/>
          <w:lang w:val="en-US" w:eastAsia="zh-CN"/>
        </w:rPr>
        <w:t>et al.</w:t>
      </w:r>
      <w:r w:rsidR="00C77918" w:rsidRPr="00EA5799">
        <w:rPr>
          <w:rFonts w:ascii="Book Antiqua" w:hAnsi="Book Antiqua"/>
          <w:lang w:val="en-US"/>
        </w:rPr>
        <w:t xml:space="preserve"> </w:t>
      </w:r>
      <w:r w:rsidR="0088152C" w:rsidRPr="00EA5799">
        <w:rPr>
          <w:rFonts w:ascii="Book Antiqua" w:hAnsi="Book Antiqua"/>
          <w:lang w:val="en-US"/>
        </w:rPr>
        <w:t xml:space="preserve">Age-related celiac disease </w:t>
      </w:r>
    </w:p>
    <w:p w14:paraId="54CE950E" w14:textId="77777777" w:rsidR="00A15730" w:rsidRPr="00EA5799" w:rsidRDefault="00A15730" w:rsidP="00EA5799">
      <w:pPr>
        <w:spacing w:after="0" w:line="360" w:lineRule="auto"/>
        <w:jc w:val="both"/>
        <w:rPr>
          <w:rFonts w:ascii="Book Antiqua" w:eastAsia="宋体" w:hAnsi="Book Antiqua" w:cs="Arial Unicode MS"/>
          <w:lang w:val="en-US" w:eastAsia="zh-CN"/>
        </w:rPr>
      </w:pPr>
    </w:p>
    <w:p w14:paraId="73A37504" w14:textId="23F5B0F7" w:rsidR="00C77918" w:rsidRPr="003A30C7" w:rsidRDefault="00C77918" w:rsidP="00EA5799">
      <w:pPr>
        <w:spacing w:after="0" w:line="360" w:lineRule="auto"/>
        <w:jc w:val="both"/>
        <w:rPr>
          <w:rFonts w:ascii="Book Antiqua" w:eastAsia="宋体" w:hAnsi="Book Antiqua" w:cs="Arial"/>
          <w:b/>
          <w:lang w:val="en-US" w:eastAsia="zh-CN"/>
        </w:rPr>
      </w:pPr>
      <w:r w:rsidRPr="003A30C7">
        <w:rPr>
          <w:rFonts w:ascii="Book Antiqua" w:eastAsia="GungsuhChe" w:hAnsi="Book Antiqua" w:cs="Arial"/>
          <w:b/>
          <w:lang w:val="en-US"/>
        </w:rPr>
        <w:t xml:space="preserve">Santiago </w:t>
      </w:r>
      <w:proofErr w:type="spellStart"/>
      <w:r w:rsidRPr="003A30C7">
        <w:rPr>
          <w:rFonts w:ascii="Book Antiqua" w:eastAsia="GungsuhChe" w:hAnsi="Book Antiqua" w:cs="Arial"/>
          <w:b/>
          <w:lang w:val="en-US"/>
        </w:rPr>
        <w:t>Vivas</w:t>
      </w:r>
      <w:proofErr w:type="spellEnd"/>
      <w:r w:rsidRPr="003A30C7">
        <w:rPr>
          <w:rFonts w:ascii="Book Antiqua" w:eastAsia="宋体" w:hAnsi="Book Antiqua" w:cs="Arial"/>
          <w:b/>
          <w:lang w:val="en-US" w:eastAsia="zh-CN"/>
        </w:rPr>
        <w:t>,</w:t>
      </w:r>
      <w:r w:rsidRPr="003A30C7">
        <w:rPr>
          <w:rFonts w:ascii="Book Antiqua" w:eastAsia="GungsuhChe" w:hAnsi="Book Antiqua" w:cs="Arial"/>
          <w:b/>
          <w:lang w:val="en-US"/>
        </w:rPr>
        <w:t xml:space="preserve"> Luis Vaquero</w:t>
      </w:r>
      <w:r w:rsidRPr="003A30C7">
        <w:rPr>
          <w:rFonts w:ascii="Book Antiqua" w:eastAsia="宋体" w:hAnsi="Book Antiqua" w:cs="Arial"/>
          <w:b/>
          <w:lang w:val="en-US" w:eastAsia="zh-CN"/>
        </w:rPr>
        <w:t>,</w:t>
      </w:r>
      <w:r w:rsidR="002E569F" w:rsidRPr="003A30C7">
        <w:rPr>
          <w:rFonts w:ascii="Book Antiqua" w:eastAsia="GungsuhChe" w:hAnsi="Book Antiqua" w:cs="Arial"/>
          <w:b/>
          <w:lang w:val="en-US"/>
        </w:rPr>
        <w:t xml:space="preserve"> </w:t>
      </w:r>
      <w:r w:rsidRPr="003A30C7">
        <w:rPr>
          <w:rFonts w:ascii="Book Antiqua" w:eastAsia="GungsuhChe" w:hAnsi="Book Antiqua" w:cs="Arial"/>
          <w:b/>
          <w:lang w:val="en-US"/>
        </w:rPr>
        <w:t xml:space="preserve">Laura Rodríguez-Martín, Alberto </w:t>
      </w:r>
      <w:proofErr w:type="spellStart"/>
      <w:r w:rsidRPr="003A30C7">
        <w:rPr>
          <w:rFonts w:ascii="Book Antiqua" w:eastAsia="GungsuhChe" w:hAnsi="Book Antiqua" w:cs="Arial"/>
          <w:b/>
          <w:lang w:val="en-US"/>
        </w:rPr>
        <w:t>Caminero</w:t>
      </w:r>
      <w:proofErr w:type="spellEnd"/>
    </w:p>
    <w:p w14:paraId="38230568" w14:textId="77777777" w:rsidR="008E18C4" w:rsidRPr="00EA5799" w:rsidRDefault="008E18C4" w:rsidP="00EA5799">
      <w:pPr>
        <w:spacing w:after="0" w:line="360" w:lineRule="auto"/>
        <w:jc w:val="both"/>
        <w:rPr>
          <w:rFonts w:ascii="Book Antiqua" w:eastAsia="宋体" w:hAnsi="Book Antiqua" w:cs="Arial"/>
          <w:lang w:val="en-US" w:eastAsia="zh-CN"/>
        </w:rPr>
      </w:pPr>
    </w:p>
    <w:p w14:paraId="5BD79949" w14:textId="77777777" w:rsidR="008E18C4" w:rsidRPr="00EA5799" w:rsidRDefault="008E18C4" w:rsidP="00EA5799">
      <w:pPr>
        <w:spacing w:after="0" w:line="360" w:lineRule="auto"/>
        <w:jc w:val="both"/>
        <w:rPr>
          <w:rFonts w:ascii="Book Antiqua" w:eastAsia="宋体" w:hAnsi="Book Antiqua" w:cs="Arial"/>
          <w:lang w:val="en-US" w:eastAsia="zh-CN"/>
        </w:rPr>
      </w:pPr>
      <w:r w:rsidRPr="00EA5799">
        <w:rPr>
          <w:rFonts w:ascii="Book Antiqua" w:eastAsia="GungsuhChe" w:hAnsi="Book Antiqua" w:cs="Arial"/>
          <w:b/>
          <w:lang w:val="en-US"/>
        </w:rPr>
        <w:t xml:space="preserve">Santiago </w:t>
      </w:r>
      <w:proofErr w:type="spellStart"/>
      <w:r w:rsidRPr="00EA5799">
        <w:rPr>
          <w:rFonts w:ascii="Book Antiqua" w:eastAsia="GungsuhChe" w:hAnsi="Book Antiqua" w:cs="Arial"/>
          <w:b/>
          <w:lang w:val="en-US"/>
        </w:rPr>
        <w:t>Vivas</w:t>
      </w:r>
      <w:proofErr w:type="spellEnd"/>
      <w:r w:rsidRPr="00EA5799">
        <w:rPr>
          <w:rFonts w:ascii="Book Antiqua" w:eastAsia="宋体" w:hAnsi="Book Antiqua" w:cs="Arial"/>
          <w:b/>
          <w:lang w:val="en-US" w:eastAsia="zh-CN"/>
        </w:rPr>
        <w:t xml:space="preserve">, </w:t>
      </w:r>
      <w:r w:rsidRPr="00EA5799">
        <w:rPr>
          <w:rFonts w:ascii="Book Antiqua" w:eastAsia="GungsuhChe" w:hAnsi="Book Antiqua" w:cs="Arial"/>
          <w:lang w:val="en-US"/>
        </w:rPr>
        <w:t>Institute of Biomedicine (IBIOMED), University of León, 24008 León</w:t>
      </w:r>
      <w:r w:rsidRPr="00EA5799">
        <w:rPr>
          <w:rFonts w:ascii="Book Antiqua" w:eastAsia="宋体" w:hAnsi="Book Antiqua" w:cs="Arial"/>
          <w:lang w:val="en-US" w:eastAsia="zh-CN"/>
        </w:rPr>
        <w:t>,</w:t>
      </w:r>
      <w:r w:rsidRPr="00EA5799">
        <w:rPr>
          <w:rFonts w:ascii="Book Antiqua" w:eastAsia="GungsuhChe" w:hAnsi="Book Antiqua" w:cs="Arial"/>
          <w:lang w:val="en-US"/>
        </w:rPr>
        <w:t xml:space="preserve"> Spain </w:t>
      </w:r>
    </w:p>
    <w:p w14:paraId="08BD28EC" w14:textId="77777777" w:rsidR="008E18C4" w:rsidRPr="00EA5799" w:rsidRDefault="008E18C4" w:rsidP="00EA5799">
      <w:pPr>
        <w:spacing w:after="0" w:line="360" w:lineRule="auto"/>
        <w:jc w:val="both"/>
        <w:rPr>
          <w:rFonts w:ascii="Book Antiqua" w:eastAsia="宋体" w:hAnsi="Book Antiqua" w:cs="Arial"/>
          <w:lang w:val="en-US" w:eastAsia="zh-CN"/>
        </w:rPr>
      </w:pPr>
    </w:p>
    <w:p w14:paraId="59AE382E" w14:textId="266BF334" w:rsidR="00147830" w:rsidRPr="00EA5799" w:rsidRDefault="008E18C4" w:rsidP="00EA5799">
      <w:pPr>
        <w:spacing w:after="0" w:line="360" w:lineRule="auto"/>
        <w:jc w:val="both"/>
        <w:rPr>
          <w:rFonts w:ascii="Book Antiqua" w:eastAsia="宋体" w:hAnsi="Book Antiqua" w:cs="Arial"/>
          <w:lang w:val="en-US" w:eastAsia="zh-CN"/>
        </w:rPr>
      </w:pPr>
      <w:r w:rsidRPr="00EA5799">
        <w:rPr>
          <w:rFonts w:ascii="Book Antiqua" w:eastAsia="GungsuhChe" w:hAnsi="Book Antiqua" w:cs="Arial"/>
          <w:b/>
          <w:lang w:val="en-US"/>
        </w:rPr>
        <w:t xml:space="preserve">Santiago </w:t>
      </w:r>
      <w:proofErr w:type="spellStart"/>
      <w:r w:rsidRPr="00EA5799">
        <w:rPr>
          <w:rFonts w:ascii="Book Antiqua" w:eastAsia="GungsuhChe" w:hAnsi="Book Antiqua" w:cs="Arial"/>
          <w:b/>
          <w:lang w:val="en-US"/>
        </w:rPr>
        <w:t>Vivas</w:t>
      </w:r>
      <w:proofErr w:type="spellEnd"/>
      <w:r w:rsidRPr="00EA5799">
        <w:rPr>
          <w:rFonts w:ascii="Book Antiqua" w:eastAsia="宋体" w:hAnsi="Book Antiqua" w:cs="Arial"/>
          <w:b/>
          <w:lang w:val="en-US" w:eastAsia="zh-CN"/>
        </w:rPr>
        <w:t>,</w:t>
      </w:r>
      <w:r w:rsidR="00147830" w:rsidRPr="00EA5799">
        <w:rPr>
          <w:rFonts w:ascii="Book Antiqua" w:eastAsia="GungsuhChe" w:hAnsi="Book Antiqua" w:cs="Arial"/>
          <w:vertAlign w:val="superscript"/>
          <w:lang w:val="en-US"/>
        </w:rPr>
        <w:t xml:space="preserve"> </w:t>
      </w:r>
      <w:r w:rsidRPr="00EA5799">
        <w:rPr>
          <w:rFonts w:ascii="Book Antiqua" w:eastAsia="GungsuhChe" w:hAnsi="Book Antiqua" w:cs="Arial"/>
          <w:b/>
          <w:lang w:val="en-US"/>
        </w:rPr>
        <w:t>Luis Vaquero</w:t>
      </w:r>
      <w:r w:rsidRPr="00EA5799">
        <w:rPr>
          <w:rFonts w:ascii="Book Antiqua" w:eastAsia="宋体" w:hAnsi="Book Antiqua" w:cs="Arial"/>
          <w:b/>
          <w:lang w:val="en-US" w:eastAsia="zh-CN"/>
        </w:rPr>
        <w:t>,</w:t>
      </w:r>
      <w:r w:rsidRPr="00EA5799">
        <w:rPr>
          <w:rFonts w:ascii="Book Antiqua" w:eastAsia="GungsuhChe" w:hAnsi="Book Antiqua" w:cs="Arial"/>
          <w:b/>
          <w:lang w:val="en-US"/>
        </w:rPr>
        <w:t xml:space="preserve"> Laura Rodríguez-Martín,</w:t>
      </w:r>
      <w:r w:rsidRPr="00EA5799">
        <w:rPr>
          <w:rFonts w:ascii="Book Antiqua" w:eastAsia="宋体" w:hAnsi="Book Antiqua" w:cs="Arial"/>
          <w:b/>
          <w:lang w:val="en-US" w:eastAsia="zh-CN"/>
        </w:rPr>
        <w:t xml:space="preserve"> </w:t>
      </w:r>
      <w:r w:rsidR="00147830" w:rsidRPr="00EA5799">
        <w:rPr>
          <w:rFonts w:ascii="Book Antiqua" w:eastAsia="GungsuhChe" w:hAnsi="Book Antiqua" w:cs="Arial"/>
          <w:lang w:val="en-US"/>
        </w:rPr>
        <w:t>Department</w:t>
      </w:r>
      <w:r w:rsidR="00147830" w:rsidRPr="00EA5799">
        <w:rPr>
          <w:rFonts w:ascii="Book Antiqua" w:eastAsia="GungsuhChe" w:hAnsi="Book Antiqua" w:cs="Arial"/>
          <w:vertAlign w:val="superscript"/>
          <w:lang w:val="en-US"/>
        </w:rPr>
        <w:t xml:space="preserve"> </w:t>
      </w:r>
      <w:r w:rsidR="00147830" w:rsidRPr="00EA5799">
        <w:rPr>
          <w:rFonts w:ascii="Book Antiqua" w:eastAsia="GungsuhChe" w:hAnsi="Book Antiqua" w:cs="Arial"/>
          <w:lang w:val="en-US"/>
        </w:rPr>
        <w:t>of Gastroenterology</w:t>
      </w:r>
      <w:r w:rsidRPr="00EA5799">
        <w:rPr>
          <w:rFonts w:ascii="Book Antiqua" w:eastAsia="GungsuhChe" w:hAnsi="Book Antiqua" w:cs="Arial"/>
          <w:lang w:val="en-US"/>
        </w:rPr>
        <w:t>, University Hospital of León, 24008 Léon, Spain</w:t>
      </w:r>
    </w:p>
    <w:p w14:paraId="42941940" w14:textId="77777777" w:rsidR="008E18C4" w:rsidRPr="00EA5799" w:rsidRDefault="008E18C4" w:rsidP="00EA5799">
      <w:pPr>
        <w:spacing w:after="0" w:line="360" w:lineRule="auto"/>
        <w:jc w:val="both"/>
        <w:rPr>
          <w:rFonts w:ascii="Book Antiqua" w:eastAsia="宋体" w:hAnsi="Book Antiqua" w:cs="Arial"/>
          <w:lang w:val="en-US" w:eastAsia="zh-CN"/>
        </w:rPr>
      </w:pPr>
    </w:p>
    <w:p w14:paraId="0024AC27" w14:textId="4523B137" w:rsidR="003D133C" w:rsidRPr="00EA5799" w:rsidRDefault="008E18C4" w:rsidP="00EA5799">
      <w:pPr>
        <w:spacing w:after="0" w:line="360" w:lineRule="auto"/>
        <w:jc w:val="both"/>
        <w:rPr>
          <w:rFonts w:ascii="Book Antiqua" w:eastAsia="宋体" w:hAnsi="Book Antiqua" w:cs="Arial"/>
          <w:b/>
          <w:lang w:val="en-US" w:eastAsia="zh-CN"/>
        </w:rPr>
      </w:pPr>
      <w:r w:rsidRPr="00EA5799">
        <w:rPr>
          <w:rFonts w:ascii="Book Antiqua" w:eastAsia="GungsuhChe" w:hAnsi="Book Antiqua" w:cs="Arial"/>
          <w:b/>
          <w:lang w:val="en-US"/>
        </w:rPr>
        <w:t xml:space="preserve">Alberto </w:t>
      </w:r>
      <w:proofErr w:type="spellStart"/>
      <w:r w:rsidRPr="00EA5799">
        <w:rPr>
          <w:rFonts w:ascii="Book Antiqua" w:eastAsia="GungsuhChe" w:hAnsi="Book Antiqua" w:cs="Arial"/>
          <w:b/>
          <w:lang w:val="en-US"/>
        </w:rPr>
        <w:t>Caminero</w:t>
      </w:r>
      <w:proofErr w:type="spellEnd"/>
      <w:r w:rsidRPr="00EA5799">
        <w:rPr>
          <w:rFonts w:ascii="Book Antiqua" w:eastAsia="宋体" w:hAnsi="Book Antiqua" w:cs="Arial"/>
          <w:b/>
          <w:lang w:val="en-US" w:eastAsia="zh-CN"/>
        </w:rPr>
        <w:t xml:space="preserve">, </w:t>
      </w:r>
      <w:proofErr w:type="spellStart"/>
      <w:r w:rsidR="002D64BC" w:rsidRPr="00EA5799">
        <w:rPr>
          <w:rFonts w:ascii="Book Antiqua" w:eastAsia="GungsuhChe" w:hAnsi="Book Antiqua" w:cs="Arial"/>
          <w:lang w:val="en-US"/>
        </w:rPr>
        <w:t>Farncombe</w:t>
      </w:r>
      <w:proofErr w:type="spellEnd"/>
      <w:r w:rsidR="002D64BC" w:rsidRPr="00EA5799">
        <w:rPr>
          <w:rFonts w:ascii="Book Antiqua" w:eastAsia="GungsuhChe" w:hAnsi="Book Antiqua" w:cs="Arial"/>
          <w:lang w:val="en-US"/>
        </w:rPr>
        <w:t xml:space="preserve"> Family Digestive Health Research Institute, McMaster University, Hamilton, Ontario</w:t>
      </w:r>
      <w:r w:rsidR="00CE4419" w:rsidRPr="00EA5799">
        <w:rPr>
          <w:rFonts w:ascii="Book Antiqua" w:eastAsia="GungsuhChe" w:hAnsi="Book Antiqua" w:cs="Arial"/>
          <w:lang w:val="en-US"/>
        </w:rPr>
        <w:t xml:space="preserve"> L8S 4K1</w:t>
      </w:r>
      <w:r w:rsidR="002D64BC" w:rsidRPr="00EA5799">
        <w:rPr>
          <w:rFonts w:ascii="Book Antiqua" w:eastAsia="GungsuhChe" w:hAnsi="Book Antiqua" w:cs="Arial"/>
          <w:lang w:val="en-US"/>
        </w:rPr>
        <w:t>, Canada</w:t>
      </w:r>
    </w:p>
    <w:p w14:paraId="4C01467E" w14:textId="67FA268A" w:rsidR="00147830" w:rsidRPr="00EA5799" w:rsidRDefault="00147830" w:rsidP="00EA5799">
      <w:pPr>
        <w:spacing w:after="0" w:line="360" w:lineRule="auto"/>
        <w:jc w:val="both"/>
        <w:rPr>
          <w:rFonts w:ascii="Book Antiqua" w:eastAsia="宋体" w:hAnsi="Book Antiqua" w:cs="Arial"/>
          <w:lang w:val="en-US" w:eastAsia="zh-CN"/>
        </w:rPr>
      </w:pPr>
    </w:p>
    <w:p w14:paraId="7FC64AB6" w14:textId="69C92029" w:rsidR="001C6BA9" w:rsidRPr="00EA5799" w:rsidRDefault="00C77918" w:rsidP="00EA5799">
      <w:pPr>
        <w:spacing w:after="0" w:line="360" w:lineRule="auto"/>
        <w:jc w:val="both"/>
        <w:rPr>
          <w:rFonts w:ascii="Book Antiqua" w:hAnsi="Book Antiqua"/>
          <w:lang w:val="en-US"/>
        </w:rPr>
      </w:pPr>
      <w:r w:rsidRPr="00EA5799">
        <w:rPr>
          <w:rFonts w:ascii="Book Antiqua" w:hAnsi="Book Antiqua"/>
          <w:b/>
          <w:lang w:val="en-US"/>
        </w:rPr>
        <w:t>Author contributions:</w:t>
      </w:r>
      <w:r w:rsidR="001C6BA9" w:rsidRPr="00EA5799">
        <w:rPr>
          <w:rFonts w:ascii="Book Antiqua" w:hAnsi="Book Antiqua" w:cs="Book Antiqua"/>
          <w:lang w:val="en-US"/>
        </w:rPr>
        <w:t xml:space="preserve"> </w:t>
      </w:r>
      <w:r w:rsidR="001C6BA9" w:rsidRPr="00EA5799">
        <w:rPr>
          <w:rFonts w:ascii="Book Antiqua" w:hAnsi="Book Antiqua"/>
          <w:lang w:val="en-US"/>
        </w:rPr>
        <w:t>Vaquero L and Rodríguez-</w:t>
      </w:r>
      <w:proofErr w:type="spellStart"/>
      <w:r w:rsidR="001C6BA9" w:rsidRPr="00EA5799">
        <w:rPr>
          <w:rFonts w:ascii="Book Antiqua" w:hAnsi="Book Antiqua"/>
          <w:lang w:val="en-US"/>
        </w:rPr>
        <w:t>Marín</w:t>
      </w:r>
      <w:proofErr w:type="spellEnd"/>
      <w:r w:rsidR="001C6BA9" w:rsidRPr="00EA5799">
        <w:rPr>
          <w:rFonts w:ascii="Book Antiqua" w:hAnsi="Book Antiqua"/>
          <w:lang w:val="en-US"/>
        </w:rPr>
        <w:t xml:space="preserve"> L </w:t>
      </w:r>
      <w:r w:rsidR="000B362D" w:rsidRPr="00EA5799">
        <w:rPr>
          <w:rFonts w:ascii="Book Antiqua" w:hAnsi="Book Antiqua"/>
          <w:lang w:val="en-US"/>
        </w:rPr>
        <w:t xml:space="preserve">wrote the </w:t>
      </w:r>
      <w:r w:rsidR="00FA6E87" w:rsidRPr="00EA5799">
        <w:rPr>
          <w:rFonts w:ascii="Book Antiqua" w:hAnsi="Book Antiqua"/>
          <w:lang w:val="en-US"/>
        </w:rPr>
        <w:t>paper</w:t>
      </w:r>
      <w:r w:rsidR="000B362D" w:rsidRPr="00EA5799">
        <w:rPr>
          <w:rFonts w:ascii="Book Antiqua" w:hAnsi="Book Antiqua"/>
          <w:lang w:val="en-US"/>
        </w:rPr>
        <w:t>, and</w:t>
      </w:r>
      <w:r w:rsidR="001C6BA9" w:rsidRPr="00EA5799">
        <w:rPr>
          <w:rFonts w:ascii="Book Antiqua" w:hAnsi="Book Antiqua"/>
          <w:lang w:val="en-US"/>
        </w:rPr>
        <w:t xml:space="preserve"> prepared the figures and tables; </w:t>
      </w:r>
      <w:proofErr w:type="spellStart"/>
      <w:r w:rsidR="001C6BA9" w:rsidRPr="00EA5799">
        <w:rPr>
          <w:rFonts w:ascii="Book Antiqua" w:hAnsi="Book Antiqua"/>
          <w:lang w:val="en-US"/>
        </w:rPr>
        <w:t>Vivas</w:t>
      </w:r>
      <w:proofErr w:type="spellEnd"/>
      <w:r w:rsidR="001C6BA9" w:rsidRPr="00EA5799">
        <w:rPr>
          <w:rFonts w:ascii="Book Antiqua" w:hAnsi="Book Antiqua"/>
          <w:lang w:val="en-US"/>
        </w:rPr>
        <w:t xml:space="preserve"> S and </w:t>
      </w:r>
      <w:proofErr w:type="spellStart"/>
      <w:r w:rsidR="001C6BA9" w:rsidRPr="00EA5799">
        <w:rPr>
          <w:rFonts w:ascii="Book Antiqua" w:hAnsi="Book Antiqua"/>
          <w:lang w:val="en-US"/>
        </w:rPr>
        <w:t>Caminero</w:t>
      </w:r>
      <w:proofErr w:type="spellEnd"/>
      <w:r w:rsidR="001C6BA9" w:rsidRPr="00EA5799">
        <w:rPr>
          <w:rFonts w:ascii="Book Antiqua" w:hAnsi="Book Antiqua"/>
          <w:lang w:val="en-US"/>
        </w:rPr>
        <w:t xml:space="preserve"> </w:t>
      </w:r>
      <w:r w:rsidR="008E18C4" w:rsidRPr="00EA5799">
        <w:rPr>
          <w:rFonts w:ascii="Book Antiqua" w:eastAsia="宋体" w:hAnsi="Book Antiqua"/>
          <w:lang w:val="en-US" w:eastAsia="zh-CN"/>
        </w:rPr>
        <w:t>A</w:t>
      </w:r>
      <w:r w:rsidR="001C6BA9" w:rsidRPr="00EA5799">
        <w:rPr>
          <w:rFonts w:ascii="Book Antiqua" w:hAnsi="Book Antiqua"/>
          <w:lang w:val="en-US"/>
        </w:rPr>
        <w:t xml:space="preserve"> designed the outline and coordinated the writing of the paper. </w:t>
      </w:r>
    </w:p>
    <w:p w14:paraId="1C2516B2" w14:textId="77777777" w:rsidR="0088152C" w:rsidRPr="00EA5799" w:rsidRDefault="0088152C" w:rsidP="00EA5799">
      <w:pPr>
        <w:spacing w:after="0" w:line="360" w:lineRule="auto"/>
        <w:jc w:val="both"/>
        <w:rPr>
          <w:rFonts w:ascii="Book Antiqua" w:eastAsia="宋体" w:hAnsi="Book Antiqua" w:cs="Arial"/>
          <w:lang w:val="en-US" w:eastAsia="zh-CN"/>
        </w:rPr>
      </w:pPr>
    </w:p>
    <w:p w14:paraId="5D48CDA8" w14:textId="77777777" w:rsidR="008E18C4" w:rsidRPr="00EA5799" w:rsidRDefault="008E18C4" w:rsidP="00EA5799">
      <w:pPr>
        <w:autoSpaceDE w:val="0"/>
        <w:autoSpaceDN w:val="0"/>
        <w:adjustRightInd w:val="0"/>
        <w:spacing w:after="0" w:line="360" w:lineRule="auto"/>
        <w:jc w:val="both"/>
        <w:rPr>
          <w:rFonts w:ascii="Book Antiqua" w:hAnsi="Book Antiqua" w:cs="TimesNewRomanPS-BoldItalicMT"/>
          <w:bCs/>
          <w:iCs/>
          <w:lang w:val="en-US"/>
        </w:rPr>
      </w:pPr>
      <w:r w:rsidRPr="00EA5799">
        <w:rPr>
          <w:rFonts w:ascii="Book Antiqua" w:hAnsi="Book Antiqua" w:cs="TimesNewRomanPS-BoldItalicMT"/>
          <w:b/>
          <w:bCs/>
          <w:iCs/>
        </w:rPr>
        <w:t>Conflict-of-interest</w:t>
      </w:r>
      <w:r w:rsidRPr="00EA5799">
        <w:rPr>
          <w:rFonts w:ascii="Book Antiqua" w:hAnsi="Book Antiqua"/>
        </w:rPr>
        <w:t xml:space="preserve"> </w:t>
      </w:r>
      <w:r w:rsidRPr="00EA5799">
        <w:rPr>
          <w:rFonts w:ascii="Book Antiqua" w:hAnsi="Book Antiqua" w:cs="TimesNewRomanPS-BoldItalicMT"/>
          <w:b/>
          <w:bCs/>
          <w:iCs/>
        </w:rPr>
        <w:t xml:space="preserve">statement: </w:t>
      </w:r>
      <w:r w:rsidRPr="00EA5799">
        <w:rPr>
          <w:rFonts w:ascii="Book Antiqua" w:hAnsi="Book Antiqua" w:cs="TimesNewRomanPS-BoldItalicMT"/>
          <w:bCs/>
          <w:iCs/>
        </w:rPr>
        <w:t>The authors declare that there are no conflicts of interest regarding the publication of this paper.</w:t>
      </w:r>
    </w:p>
    <w:p w14:paraId="136A900D" w14:textId="77777777" w:rsidR="008E18C4" w:rsidRPr="00EA5799" w:rsidRDefault="008E18C4" w:rsidP="00EA5799">
      <w:pPr>
        <w:spacing w:after="0" w:line="360" w:lineRule="auto"/>
        <w:jc w:val="both"/>
        <w:rPr>
          <w:rFonts w:ascii="Book Antiqua" w:eastAsia="宋体" w:hAnsi="Book Antiqua" w:cs="Garamond"/>
          <w:lang w:eastAsia="zh-CN"/>
        </w:rPr>
      </w:pPr>
    </w:p>
    <w:p w14:paraId="7A24ECD4" w14:textId="77777777" w:rsidR="008E18C4" w:rsidRPr="00EA5799" w:rsidRDefault="008E18C4" w:rsidP="00EA5799">
      <w:pPr>
        <w:spacing w:after="0" w:line="360" w:lineRule="auto"/>
        <w:jc w:val="both"/>
        <w:rPr>
          <w:rFonts w:ascii="Book Antiqua" w:hAnsi="Book Antiqua"/>
        </w:rPr>
      </w:pPr>
      <w:bookmarkStart w:id="0" w:name="OLE_LINK507"/>
      <w:bookmarkStart w:id="1" w:name="OLE_LINK506"/>
      <w:bookmarkStart w:id="2" w:name="OLE_LINK496"/>
      <w:bookmarkStart w:id="3" w:name="OLE_LINK479"/>
      <w:r w:rsidRPr="00EA5799">
        <w:rPr>
          <w:rFonts w:ascii="Book Antiqua" w:hAnsi="Book Antiqua"/>
          <w:b/>
        </w:rPr>
        <w:t xml:space="preserve">Open-Access: </w:t>
      </w:r>
      <w:r w:rsidRPr="00EA5799">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EA5799">
        <w:rPr>
          <w:rFonts w:ascii="Book Antiqua" w:hAnsi="Book Antiqua"/>
        </w:rPr>
        <w:lastRenderedPageBreak/>
        <w:t xml:space="preserve">adapt, build upon this work non-commercially, and license their derivative works on different terms, provided the original work is properly cited and the use is non-commercial. See: </w:t>
      </w:r>
      <w:hyperlink r:id="rId9" w:history="1">
        <w:r w:rsidRPr="00EA5799">
          <w:rPr>
            <w:rStyle w:val="Hyperlink"/>
            <w:rFonts w:ascii="Book Antiqua" w:hAnsi="Book Antiqua"/>
            <w:color w:val="auto"/>
            <w:u w:val="none"/>
          </w:rPr>
          <w:t>http://creativecommons.org/licenses/by-nc/4.0/</w:t>
        </w:r>
      </w:hyperlink>
      <w:bookmarkEnd w:id="0"/>
      <w:bookmarkEnd w:id="1"/>
      <w:bookmarkEnd w:id="2"/>
      <w:bookmarkEnd w:id="3"/>
    </w:p>
    <w:p w14:paraId="48F6A3A7" w14:textId="77777777" w:rsidR="008E18C4" w:rsidRPr="00EA5799" w:rsidRDefault="008E18C4" w:rsidP="00EA5799">
      <w:pPr>
        <w:spacing w:after="0" w:line="360" w:lineRule="auto"/>
        <w:jc w:val="both"/>
        <w:rPr>
          <w:rFonts w:ascii="Book Antiqua" w:eastAsia="宋体" w:hAnsi="Book Antiqua" w:cs="Arial"/>
          <w:lang w:val="en-US" w:eastAsia="zh-CN"/>
        </w:rPr>
      </w:pPr>
    </w:p>
    <w:p w14:paraId="69936186" w14:textId="156E6755" w:rsidR="008E18C4" w:rsidRPr="00EA5799" w:rsidRDefault="008E18C4" w:rsidP="00EA5799">
      <w:pPr>
        <w:spacing w:after="0" w:line="360" w:lineRule="auto"/>
        <w:jc w:val="both"/>
        <w:rPr>
          <w:rFonts w:ascii="Book Antiqua" w:eastAsia="宋体" w:hAnsi="Book Antiqua" w:cs="Arial"/>
          <w:lang w:val="en-US" w:eastAsia="zh-CN"/>
        </w:rPr>
      </w:pPr>
      <w:r w:rsidRPr="00EA5799">
        <w:rPr>
          <w:rFonts w:ascii="Book Antiqua" w:hAnsi="Book Antiqua"/>
          <w:b/>
        </w:rPr>
        <w:t>Correspondence to:</w:t>
      </w:r>
      <w:r w:rsidR="00147830" w:rsidRPr="00EA5799">
        <w:rPr>
          <w:rFonts w:ascii="Book Antiqua" w:eastAsia="GungsuhChe" w:hAnsi="Book Antiqua" w:cs="Arial"/>
          <w:lang w:val="en-US"/>
        </w:rPr>
        <w:t xml:space="preserve"> </w:t>
      </w:r>
      <w:r w:rsidR="00147830" w:rsidRPr="00EA5799">
        <w:rPr>
          <w:rFonts w:ascii="Book Antiqua" w:eastAsia="GungsuhChe" w:hAnsi="Book Antiqua" w:cs="Arial"/>
          <w:b/>
          <w:lang w:val="en-US"/>
        </w:rPr>
        <w:t xml:space="preserve">Santiago </w:t>
      </w:r>
      <w:proofErr w:type="spellStart"/>
      <w:r w:rsidR="00147830" w:rsidRPr="00EA5799">
        <w:rPr>
          <w:rFonts w:ascii="Book Antiqua" w:eastAsia="GungsuhChe" w:hAnsi="Book Antiqua" w:cs="Arial"/>
          <w:b/>
          <w:lang w:val="en-US"/>
        </w:rPr>
        <w:t>Vivas</w:t>
      </w:r>
      <w:proofErr w:type="spellEnd"/>
      <w:r w:rsidR="00147830" w:rsidRPr="00EA5799">
        <w:rPr>
          <w:rFonts w:ascii="Book Antiqua" w:eastAsia="GungsuhChe" w:hAnsi="Book Antiqua" w:cs="Arial"/>
          <w:b/>
          <w:lang w:val="en-US"/>
        </w:rPr>
        <w:t xml:space="preserve">, MD, </w:t>
      </w:r>
      <w:r w:rsidRPr="00EA5799">
        <w:rPr>
          <w:rFonts w:ascii="Book Antiqua" w:eastAsia="GungsuhChe" w:hAnsi="Book Antiqua" w:cs="Arial"/>
          <w:lang w:val="en-US"/>
        </w:rPr>
        <w:t>Department</w:t>
      </w:r>
      <w:r w:rsidRPr="00EA5799">
        <w:rPr>
          <w:rFonts w:ascii="Book Antiqua" w:eastAsia="GungsuhChe" w:hAnsi="Book Antiqua" w:cs="Arial"/>
          <w:vertAlign w:val="superscript"/>
          <w:lang w:val="en-US"/>
        </w:rPr>
        <w:t xml:space="preserve"> </w:t>
      </w:r>
      <w:r w:rsidRPr="00EA5799">
        <w:rPr>
          <w:rFonts w:ascii="Book Antiqua" w:eastAsia="GungsuhChe" w:hAnsi="Book Antiqua" w:cs="Arial"/>
          <w:lang w:val="en-US"/>
        </w:rPr>
        <w:t>of Gastroenterology,</w:t>
      </w:r>
      <w:r w:rsidRPr="00EA5799">
        <w:rPr>
          <w:rFonts w:ascii="Book Antiqua" w:eastAsia="宋体" w:hAnsi="Book Antiqua" w:cs="Arial"/>
          <w:lang w:val="en-US" w:eastAsia="zh-CN"/>
        </w:rPr>
        <w:t xml:space="preserve"> </w:t>
      </w:r>
      <w:r w:rsidR="00147830" w:rsidRPr="00EA5799">
        <w:rPr>
          <w:rFonts w:ascii="Book Antiqua" w:eastAsia="GungsuhChe" w:hAnsi="Book Antiqua" w:cs="Arial"/>
          <w:lang w:val="en-US"/>
        </w:rPr>
        <w:t>University Hospital of León</w:t>
      </w:r>
      <w:r w:rsidR="003D133C" w:rsidRPr="00EA5799">
        <w:rPr>
          <w:rFonts w:ascii="Book Antiqua" w:eastAsia="GungsuhChe" w:hAnsi="Book Antiqua" w:cs="Arial"/>
          <w:lang w:val="en-US"/>
        </w:rPr>
        <w:t>, Altos de Nava s/n, 240</w:t>
      </w:r>
      <w:r w:rsidRPr="00EA5799">
        <w:rPr>
          <w:rFonts w:ascii="Book Antiqua" w:eastAsia="宋体" w:hAnsi="Book Antiqua" w:cs="Arial"/>
          <w:lang w:val="en-US" w:eastAsia="zh-CN"/>
        </w:rPr>
        <w:t>08</w:t>
      </w:r>
      <w:r w:rsidR="003D133C" w:rsidRPr="00EA5799">
        <w:rPr>
          <w:rFonts w:ascii="Book Antiqua" w:eastAsia="GungsuhChe" w:hAnsi="Book Antiqua" w:cs="Arial"/>
          <w:lang w:val="en-US"/>
        </w:rPr>
        <w:t xml:space="preserve"> Leó</w:t>
      </w:r>
      <w:r w:rsidRPr="00EA5799">
        <w:rPr>
          <w:rFonts w:ascii="Book Antiqua" w:eastAsia="GungsuhChe" w:hAnsi="Book Antiqua" w:cs="Arial"/>
          <w:lang w:val="en-US"/>
        </w:rPr>
        <w:t>n, Spai</w:t>
      </w:r>
      <w:r w:rsidRPr="00EA5799">
        <w:rPr>
          <w:rFonts w:ascii="Book Antiqua" w:eastAsia="宋体" w:hAnsi="Book Antiqua" w:cs="Arial"/>
          <w:lang w:val="en-US" w:eastAsia="zh-CN"/>
        </w:rPr>
        <w:t xml:space="preserve">n. </w:t>
      </w:r>
      <w:hyperlink r:id="rId10" w:history="1">
        <w:r w:rsidRPr="00EA5799">
          <w:rPr>
            <w:rStyle w:val="Hyperlink"/>
            <w:rFonts w:ascii="Book Antiqua" w:eastAsia="GungsuhChe" w:hAnsi="Book Antiqua" w:cs="Arial"/>
            <w:color w:val="auto"/>
            <w:u w:val="none"/>
            <w:lang w:val="en-US"/>
          </w:rPr>
          <w:t>svivasa@gmail.com</w:t>
        </w:r>
      </w:hyperlink>
    </w:p>
    <w:p w14:paraId="54F32A38" w14:textId="1E603F90" w:rsidR="008E18C4" w:rsidRPr="00EA5799" w:rsidRDefault="008E18C4" w:rsidP="00EA5799">
      <w:pPr>
        <w:spacing w:after="0" w:line="360" w:lineRule="auto"/>
        <w:jc w:val="both"/>
        <w:rPr>
          <w:rFonts w:ascii="Book Antiqua" w:hAnsi="Book Antiqua"/>
          <w:b/>
        </w:rPr>
      </w:pPr>
      <w:r w:rsidRPr="00EA5799">
        <w:rPr>
          <w:rFonts w:ascii="Book Antiqua" w:hAnsi="Book Antiqua"/>
          <w:b/>
        </w:rPr>
        <w:t xml:space="preserve">Telephone: </w:t>
      </w:r>
      <w:r w:rsidRPr="00EA5799">
        <w:rPr>
          <w:rFonts w:ascii="Book Antiqua" w:eastAsia="GungsuhChe" w:hAnsi="Book Antiqua" w:cs="Arial"/>
          <w:lang w:val="en-US"/>
        </w:rPr>
        <w:t>+34</w:t>
      </w:r>
      <w:r w:rsidRPr="00EA5799">
        <w:rPr>
          <w:rFonts w:ascii="Book Antiqua" w:eastAsia="宋体" w:hAnsi="Book Antiqua" w:cs="Arial"/>
          <w:lang w:val="en-US" w:eastAsia="zh-CN"/>
        </w:rPr>
        <w:t>-</w:t>
      </w:r>
      <w:r w:rsidRPr="00EA5799">
        <w:rPr>
          <w:rFonts w:ascii="Book Antiqua" w:eastAsia="GungsuhChe" w:hAnsi="Book Antiqua" w:cs="Arial"/>
          <w:lang w:val="en-US"/>
        </w:rPr>
        <w:t>987</w:t>
      </w:r>
      <w:r w:rsidRPr="00EA5799">
        <w:rPr>
          <w:rFonts w:ascii="Book Antiqua" w:eastAsia="宋体" w:hAnsi="Book Antiqua" w:cs="Arial"/>
          <w:lang w:val="en-US" w:eastAsia="zh-CN"/>
        </w:rPr>
        <w:t>-</w:t>
      </w:r>
      <w:r w:rsidRPr="00EA5799">
        <w:rPr>
          <w:rFonts w:ascii="Book Antiqua" w:eastAsia="GungsuhChe" w:hAnsi="Book Antiqua" w:cs="Arial"/>
          <w:lang w:val="en-US"/>
        </w:rPr>
        <w:t>234900</w:t>
      </w:r>
      <w:r w:rsidRPr="00EA5799">
        <w:rPr>
          <w:rFonts w:ascii="Book Antiqua" w:eastAsia="宋体" w:hAnsi="Book Antiqua" w:cs="Arial"/>
          <w:lang w:val="en-US" w:eastAsia="zh-CN"/>
        </w:rPr>
        <w:t>-</w:t>
      </w:r>
      <w:r w:rsidRPr="00EA5799">
        <w:rPr>
          <w:rFonts w:ascii="Book Antiqua" w:eastAsia="GungsuhChe" w:hAnsi="Book Antiqua" w:cs="Arial"/>
          <w:lang w:val="en-US"/>
        </w:rPr>
        <w:t>43243</w:t>
      </w:r>
    </w:p>
    <w:p w14:paraId="0FA7989D" w14:textId="3F51872D" w:rsidR="008E18C4" w:rsidRPr="00EA5799" w:rsidRDefault="008E18C4" w:rsidP="00EA5799">
      <w:pPr>
        <w:spacing w:after="0" w:line="360" w:lineRule="auto"/>
        <w:jc w:val="both"/>
        <w:rPr>
          <w:rFonts w:ascii="Book Antiqua" w:hAnsi="Book Antiqua"/>
          <w:b/>
        </w:rPr>
      </w:pPr>
      <w:r w:rsidRPr="00EA5799">
        <w:rPr>
          <w:rFonts w:ascii="Book Antiqua" w:hAnsi="Book Antiqua"/>
          <w:b/>
        </w:rPr>
        <w:t>Fax:</w:t>
      </w:r>
      <w:r w:rsidRPr="00EA5799">
        <w:rPr>
          <w:rFonts w:ascii="Book Antiqua" w:eastAsia="GungsuhChe" w:hAnsi="Book Antiqua" w:cs="Arial"/>
          <w:lang w:val="en-US"/>
        </w:rPr>
        <w:t xml:space="preserve"> +34</w:t>
      </w:r>
      <w:r w:rsidRPr="00EA5799">
        <w:rPr>
          <w:rFonts w:ascii="Book Antiqua" w:eastAsia="宋体" w:hAnsi="Book Antiqua" w:cs="Arial"/>
          <w:lang w:val="en-US" w:eastAsia="zh-CN"/>
        </w:rPr>
        <w:t>-</w:t>
      </w:r>
      <w:r w:rsidRPr="00EA5799">
        <w:rPr>
          <w:rFonts w:ascii="Book Antiqua" w:eastAsia="GungsuhChe" w:hAnsi="Book Antiqua" w:cs="Arial"/>
          <w:lang w:val="en-US"/>
        </w:rPr>
        <w:t>987</w:t>
      </w:r>
      <w:r w:rsidRPr="00EA5799">
        <w:rPr>
          <w:rFonts w:ascii="Book Antiqua" w:eastAsia="宋体" w:hAnsi="Book Antiqua" w:cs="Arial"/>
          <w:lang w:val="en-US" w:eastAsia="zh-CN"/>
        </w:rPr>
        <w:t>-</w:t>
      </w:r>
      <w:r w:rsidRPr="00EA5799">
        <w:rPr>
          <w:rFonts w:ascii="Book Antiqua" w:eastAsia="GungsuhChe" w:hAnsi="Book Antiqua" w:cs="Arial"/>
          <w:lang w:val="en-US"/>
        </w:rPr>
        <w:t>233322</w:t>
      </w:r>
    </w:p>
    <w:p w14:paraId="19B3F275" w14:textId="77777777" w:rsidR="008E18C4" w:rsidRPr="00EA5799" w:rsidRDefault="008E18C4" w:rsidP="00EA5799">
      <w:pPr>
        <w:spacing w:after="0" w:line="360" w:lineRule="auto"/>
        <w:jc w:val="both"/>
        <w:rPr>
          <w:rFonts w:ascii="Book Antiqua" w:eastAsia="宋体" w:hAnsi="Book Antiqua" w:cs="MS Mincho"/>
          <w:lang w:val="en-US" w:eastAsia="zh-CN"/>
        </w:rPr>
      </w:pPr>
    </w:p>
    <w:p w14:paraId="7B33BF55" w14:textId="30CC0D34" w:rsidR="008E18C4" w:rsidRPr="00EA5799" w:rsidRDefault="008E18C4" w:rsidP="00EA5799">
      <w:pPr>
        <w:spacing w:after="0" w:line="360" w:lineRule="auto"/>
        <w:jc w:val="both"/>
        <w:rPr>
          <w:rFonts w:ascii="Book Antiqua" w:hAnsi="Book Antiqua"/>
          <w:b/>
        </w:rPr>
      </w:pPr>
      <w:r w:rsidRPr="00EA5799">
        <w:rPr>
          <w:rFonts w:ascii="Book Antiqua" w:hAnsi="Book Antiqua"/>
          <w:b/>
        </w:rPr>
        <w:t xml:space="preserve">Received: </w:t>
      </w:r>
      <w:r w:rsidR="007E4F3E" w:rsidRPr="00EA5799">
        <w:rPr>
          <w:rFonts w:ascii="Book Antiqua" w:eastAsia="宋体" w:hAnsi="Book Antiqua"/>
          <w:lang w:eastAsia="zh-CN"/>
        </w:rPr>
        <w:t>June 2, 2015</w:t>
      </w:r>
      <w:r w:rsidRPr="00EA5799">
        <w:rPr>
          <w:rFonts w:ascii="Book Antiqua" w:hAnsi="Book Antiqua"/>
        </w:rPr>
        <w:t xml:space="preserve">  </w:t>
      </w:r>
    </w:p>
    <w:p w14:paraId="0B402554" w14:textId="35D4F943" w:rsidR="008E18C4" w:rsidRPr="00EA5799" w:rsidRDefault="008E18C4" w:rsidP="00EA5799">
      <w:pPr>
        <w:spacing w:after="0" w:line="360" w:lineRule="auto"/>
        <w:jc w:val="both"/>
        <w:rPr>
          <w:rFonts w:ascii="Book Antiqua" w:hAnsi="Book Antiqua"/>
          <w:b/>
        </w:rPr>
      </w:pPr>
      <w:r w:rsidRPr="00EA5799">
        <w:rPr>
          <w:rFonts w:ascii="Book Antiqua" w:hAnsi="Book Antiqua"/>
          <w:b/>
        </w:rPr>
        <w:t>Peer-review started:</w:t>
      </w:r>
      <w:r w:rsidR="007E4F3E" w:rsidRPr="00EA5799">
        <w:rPr>
          <w:rFonts w:ascii="Book Antiqua" w:eastAsia="宋体" w:hAnsi="Book Antiqua"/>
          <w:lang w:eastAsia="zh-CN"/>
        </w:rPr>
        <w:t xml:space="preserve"> June 3, 2015</w:t>
      </w:r>
      <w:r w:rsidR="007E4F3E" w:rsidRPr="00EA5799">
        <w:rPr>
          <w:rFonts w:ascii="Book Antiqua" w:hAnsi="Book Antiqua"/>
        </w:rPr>
        <w:t xml:space="preserve">  </w:t>
      </w:r>
    </w:p>
    <w:p w14:paraId="36E4CE53" w14:textId="466B433A" w:rsidR="008E18C4" w:rsidRPr="00EA5799" w:rsidRDefault="008E18C4" w:rsidP="00EA5799">
      <w:pPr>
        <w:spacing w:after="0" w:line="360" w:lineRule="auto"/>
        <w:jc w:val="both"/>
        <w:rPr>
          <w:rFonts w:ascii="Book Antiqua" w:eastAsia="宋体" w:hAnsi="Book Antiqua"/>
          <w:b/>
          <w:lang w:eastAsia="zh-CN"/>
        </w:rPr>
      </w:pPr>
      <w:r w:rsidRPr="00EA5799">
        <w:rPr>
          <w:rFonts w:ascii="Book Antiqua" w:hAnsi="Book Antiqua"/>
          <w:b/>
        </w:rPr>
        <w:t>First decision:</w:t>
      </w:r>
      <w:r w:rsidR="007E4F3E" w:rsidRPr="00EA5799">
        <w:rPr>
          <w:rFonts w:ascii="Book Antiqua" w:eastAsia="宋体" w:hAnsi="Book Antiqua"/>
          <w:b/>
          <w:lang w:eastAsia="zh-CN"/>
        </w:rPr>
        <w:t xml:space="preserve"> </w:t>
      </w:r>
      <w:r w:rsidR="007E4F3E" w:rsidRPr="00EA5799">
        <w:rPr>
          <w:rFonts w:ascii="Book Antiqua" w:eastAsia="宋体" w:hAnsi="Book Antiqua"/>
          <w:lang w:eastAsia="zh-CN"/>
        </w:rPr>
        <w:t>August 4, 2015</w:t>
      </w:r>
    </w:p>
    <w:p w14:paraId="02CC1295" w14:textId="45832023" w:rsidR="008E18C4" w:rsidRPr="00EA5799" w:rsidRDefault="008E18C4" w:rsidP="00EA5799">
      <w:pPr>
        <w:spacing w:after="0" w:line="360" w:lineRule="auto"/>
        <w:jc w:val="both"/>
        <w:rPr>
          <w:rFonts w:ascii="Book Antiqua" w:hAnsi="Book Antiqua"/>
          <w:b/>
        </w:rPr>
      </w:pPr>
      <w:r w:rsidRPr="00EA5799">
        <w:rPr>
          <w:rFonts w:ascii="Book Antiqua" w:hAnsi="Book Antiqua"/>
          <w:b/>
        </w:rPr>
        <w:t xml:space="preserve">Revised: </w:t>
      </w:r>
      <w:r w:rsidR="007E4F3E" w:rsidRPr="00EA5799">
        <w:rPr>
          <w:rFonts w:ascii="Book Antiqua" w:eastAsia="宋体" w:hAnsi="Book Antiqua"/>
          <w:lang w:eastAsia="zh-CN"/>
        </w:rPr>
        <w:t>August 24, 2015</w:t>
      </w:r>
      <w:r w:rsidRPr="00EA5799">
        <w:rPr>
          <w:rFonts w:ascii="Book Antiqua" w:hAnsi="Book Antiqua"/>
          <w:b/>
        </w:rPr>
        <w:t xml:space="preserve"> </w:t>
      </w:r>
    </w:p>
    <w:p w14:paraId="69F19C18" w14:textId="6034FA9F" w:rsidR="008E18C4" w:rsidRPr="00B55930" w:rsidRDefault="008E18C4" w:rsidP="00B55930">
      <w:pPr>
        <w:rPr>
          <w:rFonts w:ascii="Book Antiqua" w:hAnsi="Book Antiqua"/>
          <w:iCs/>
        </w:rPr>
      </w:pPr>
      <w:r w:rsidRPr="00EA5799">
        <w:rPr>
          <w:rFonts w:ascii="Book Antiqua" w:hAnsi="Book Antiqua"/>
          <w:b/>
        </w:rPr>
        <w:t xml:space="preserve">Accepted: </w:t>
      </w:r>
      <w:proofErr w:type="spellStart"/>
      <w:r w:rsidR="00B55930">
        <w:rPr>
          <w:rStyle w:val="Emphasis"/>
        </w:rPr>
        <w:t>October</w:t>
      </w:r>
      <w:proofErr w:type="spellEnd"/>
      <w:r w:rsidR="00B55930">
        <w:rPr>
          <w:rStyle w:val="Emphasis"/>
        </w:rPr>
        <w:t xml:space="preserve"> 12</w:t>
      </w:r>
      <w:r w:rsidR="00B55930" w:rsidRPr="00235CD4">
        <w:rPr>
          <w:rStyle w:val="Emphasis"/>
        </w:rPr>
        <w:t>, 2015</w:t>
      </w:r>
      <w:bookmarkStart w:id="4" w:name="_GoBack"/>
      <w:bookmarkEnd w:id="4"/>
      <w:r w:rsidRPr="00EA5799">
        <w:rPr>
          <w:rFonts w:ascii="Book Antiqua" w:hAnsi="Book Antiqua"/>
          <w:b/>
        </w:rPr>
        <w:t xml:space="preserve"> </w:t>
      </w:r>
    </w:p>
    <w:p w14:paraId="74FE26E0" w14:textId="77777777" w:rsidR="008E18C4" w:rsidRPr="00EA5799" w:rsidRDefault="008E18C4" w:rsidP="00EA5799">
      <w:pPr>
        <w:spacing w:after="0" w:line="360" w:lineRule="auto"/>
        <w:jc w:val="both"/>
        <w:rPr>
          <w:rFonts w:ascii="Book Antiqua" w:hAnsi="Book Antiqua"/>
          <w:b/>
        </w:rPr>
      </w:pPr>
      <w:r w:rsidRPr="00EA5799">
        <w:rPr>
          <w:rFonts w:ascii="Book Antiqua" w:hAnsi="Book Antiqua"/>
          <w:b/>
        </w:rPr>
        <w:t>Article in press:</w:t>
      </w:r>
      <w:r w:rsidRPr="00EA5799">
        <w:rPr>
          <w:rFonts w:ascii="Book Antiqua" w:hAnsi="Book Antiqua"/>
        </w:rPr>
        <w:t xml:space="preserve">    </w:t>
      </w:r>
    </w:p>
    <w:p w14:paraId="55264E45" w14:textId="77777777" w:rsidR="008E18C4" w:rsidRPr="00EA5799" w:rsidRDefault="008E18C4" w:rsidP="00EA5799">
      <w:pPr>
        <w:spacing w:after="0" w:line="360" w:lineRule="auto"/>
        <w:jc w:val="both"/>
        <w:rPr>
          <w:rFonts w:ascii="Book Antiqua" w:hAnsi="Book Antiqua"/>
          <w:b/>
        </w:rPr>
      </w:pPr>
      <w:r w:rsidRPr="00EA5799">
        <w:rPr>
          <w:rFonts w:ascii="Book Antiqua" w:hAnsi="Book Antiqua"/>
          <w:b/>
        </w:rPr>
        <w:t xml:space="preserve">Published online: </w:t>
      </w:r>
    </w:p>
    <w:p w14:paraId="4D069932" w14:textId="77777777" w:rsidR="008E18C4" w:rsidRPr="00EA5799" w:rsidRDefault="008E18C4" w:rsidP="00EA5799">
      <w:pPr>
        <w:spacing w:after="0" w:line="360" w:lineRule="auto"/>
        <w:jc w:val="both"/>
        <w:rPr>
          <w:rFonts w:ascii="Book Antiqua" w:eastAsia="宋体" w:hAnsi="Book Antiqua" w:cs="Arial"/>
          <w:lang w:val="en-US" w:eastAsia="zh-CN"/>
        </w:rPr>
      </w:pPr>
    </w:p>
    <w:p w14:paraId="0A431907" w14:textId="77777777" w:rsidR="00EA5799" w:rsidRDefault="00EA5799">
      <w:pPr>
        <w:rPr>
          <w:rFonts w:ascii="Book Antiqua" w:eastAsia="GungsuhChe" w:hAnsi="Book Antiqua" w:cs="Arial"/>
          <w:b/>
          <w:lang w:val="en-US"/>
        </w:rPr>
      </w:pPr>
      <w:r>
        <w:rPr>
          <w:rFonts w:ascii="Book Antiqua" w:eastAsia="GungsuhChe" w:hAnsi="Book Antiqua" w:cs="Arial"/>
          <w:b/>
          <w:lang w:val="en-US"/>
        </w:rPr>
        <w:br w:type="page"/>
      </w:r>
    </w:p>
    <w:p w14:paraId="19E65A35" w14:textId="087EF9D5" w:rsidR="001C37BF" w:rsidRPr="00EA5799" w:rsidRDefault="001C37BF" w:rsidP="00EA5799">
      <w:pPr>
        <w:spacing w:after="0" w:line="360" w:lineRule="auto"/>
        <w:jc w:val="both"/>
        <w:rPr>
          <w:rFonts w:ascii="Book Antiqua" w:eastAsia="GungsuhChe" w:hAnsi="Book Antiqua" w:cs="Arial"/>
          <w:b/>
          <w:lang w:val="en-US"/>
        </w:rPr>
      </w:pPr>
      <w:r w:rsidRPr="00EA5799">
        <w:rPr>
          <w:rFonts w:ascii="Book Antiqua" w:eastAsia="GungsuhChe" w:hAnsi="Book Antiqua" w:cs="Arial"/>
          <w:b/>
          <w:lang w:val="en-US"/>
        </w:rPr>
        <w:lastRenderedPageBreak/>
        <w:t>Abstract</w:t>
      </w:r>
    </w:p>
    <w:p w14:paraId="50E5A6C5" w14:textId="3349062A" w:rsidR="002D64BC" w:rsidRPr="00EA5799" w:rsidRDefault="005D5F91" w:rsidP="00EA5799">
      <w:pPr>
        <w:spacing w:after="0" w:line="360" w:lineRule="auto"/>
        <w:jc w:val="both"/>
        <w:rPr>
          <w:rFonts w:ascii="Book Antiqua" w:eastAsia="GungsuhChe" w:hAnsi="Book Antiqua" w:cs="Arial"/>
          <w:lang w:val="en-US"/>
        </w:rPr>
      </w:pPr>
      <w:r w:rsidRPr="00EA5799">
        <w:rPr>
          <w:rFonts w:ascii="Book Antiqua" w:eastAsia="GungsuhChe" w:hAnsi="Book Antiqua" w:cs="Arial"/>
        </w:rPr>
        <w:t>Celiac disease may appear both in early childhood and in elderly subjects</w:t>
      </w:r>
      <w:r w:rsidR="002D64BC" w:rsidRPr="00EA5799">
        <w:rPr>
          <w:rFonts w:ascii="Book Antiqua" w:eastAsia="GungsuhChe" w:hAnsi="Book Antiqua" w:cs="Arial"/>
          <w:lang w:val="en-US"/>
        </w:rPr>
        <w:t xml:space="preserve">. </w:t>
      </w:r>
      <w:r w:rsidR="00887D1E" w:rsidRPr="00EA5799">
        <w:rPr>
          <w:rFonts w:ascii="Book Antiqua" w:eastAsia="GungsuhChe" w:hAnsi="Book Antiqua" w:cs="Arial"/>
          <w:lang w:val="en-US"/>
        </w:rPr>
        <w:t>C</w:t>
      </w:r>
      <w:r w:rsidR="002D64BC" w:rsidRPr="00EA5799">
        <w:rPr>
          <w:rFonts w:ascii="Book Antiqua" w:eastAsia="GungsuhChe" w:hAnsi="Book Antiqua" w:cs="Arial"/>
          <w:lang w:val="en-US"/>
        </w:rPr>
        <w:t>urrent knowledge of the disease has reveal</w:t>
      </w:r>
      <w:r w:rsidR="00AC167C" w:rsidRPr="00EA5799">
        <w:rPr>
          <w:rFonts w:ascii="Book Antiqua" w:eastAsia="GungsuhChe" w:hAnsi="Book Antiqua" w:cs="Arial"/>
          <w:lang w:val="en-US"/>
        </w:rPr>
        <w:t>ed</w:t>
      </w:r>
      <w:r w:rsidR="002D64BC" w:rsidRPr="00EA5799">
        <w:rPr>
          <w:rFonts w:ascii="Book Antiqua" w:eastAsia="GungsuhChe" w:hAnsi="Book Antiqua" w:cs="Arial"/>
          <w:lang w:val="en-US"/>
        </w:rPr>
        <w:t xml:space="preserve"> some differences associated to the age of presentation. Furthermore, monitoring and prognosis of celiac subjects can vary depending on the pediatric or adult stage. The main objective of this review is to provide guidance </w:t>
      </w:r>
      <w:r w:rsidR="00DA055B" w:rsidRPr="00EA5799">
        <w:rPr>
          <w:rFonts w:ascii="Book Antiqua" w:eastAsia="GungsuhChe" w:hAnsi="Book Antiqua" w:cs="Arial"/>
          <w:lang w:val="en-US"/>
        </w:rPr>
        <w:t xml:space="preserve">for </w:t>
      </w:r>
      <w:r w:rsidR="002D64BC" w:rsidRPr="00EA5799">
        <w:rPr>
          <w:rFonts w:ascii="Book Antiqua" w:eastAsia="GungsuhChe" w:hAnsi="Book Antiqua" w:cs="Arial"/>
          <w:lang w:val="en-US"/>
        </w:rPr>
        <w:t xml:space="preserve">the adult diagnostic and follow-up processes, </w:t>
      </w:r>
      <w:r w:rsidRPr="00EA5799">
        <w:rPr>
          <w:rFonts w:ascii="Book Antiqua" w:eastAsia="GungsuhChe" w:hAnsi="Book Antiqua" w:cs="Arial"/>
        </w:rPr>
        <w:t>which must be tailored specifically for adults and be different from pediatric patients</w:t>
      </w:r>
      <w:r w:rsidR="002D64BC" w:rsidRPr="00EA5799">
        <w:rPr>
          <w:rFonts w:ascii="Book Antiqua" w:eastAsia="GungsuhChe" w:hAnsi="Book Antiqua" w:cs="Arial"/>
          <w:lang w:val="en-US"/>
        </w:rPr>
        <w:t>.</w:t>
      </w:r>
    </w:p>
    <w:p w14:paraId="346520F6" w14:textId="6A797761" w:rsidR="003D133C" w:rsidRPr="00EA5799" w:rsidRDefault="002D64BC" w:rsidP="00EA5799">
      <w:pPr>
        <w:spacing w:after="0" w:line="360" w:lineRule="auto"/>
        <w:jc w:val="both"/>
        <w:rPr>
          <w:rFonts w:ascii="Book Antiqua" w:eastAsia="GungsuhChe" w:hAnsi="Book Antiqua" w:cs="Arial"/>
          <w:b/>
          <w:lang w:val="en-US"/>
        </w:rPr>
      </w:pPr>
      <w:r w:rsidRPr="00EA5799">
        <w:rPr>
          <w:rFonts w:ascii="Book Antiqua" w:eastAsia="GungsuhChe" w:hAnsi="Book Antiqua" w:cs="Arial"/>
          <w:b/>
          <w:lang w:val="en-US"/>
        </w:rPr>
        <w:t xml:space="preserve"> </w:t>
      </w:r>
    </w:p>
    <w:p w14:paraId="632C6DD7" w14:textId="77522EE4" w:rsidR="00C77918" w:rsidRPr="00EA5799" w:rsidRDefault="00C77918" w:rsidP="00EA5799">
      <w:pPr>
        <w:spacing w:after="0" w:line="360" w:lineRule="auto"/>
        <w:jc w:val="both"/>
        <w:rPr>
          <w:rFonts w:ascii="Book Antiqua" w:eastAsia="宋体" w:hAnsi="Book Antiqua"/>
          <w:lang w:val="en-US" w:eastAsia="zh-CN"/>
        </w:rPr>
      </w:pPr>
      <w:r w:rsidRPr="00EA5799">
        <w:rPr>
          <w:rFonts w:ascii="Book Antiqua" w:hAnsi="Book Antiqua"/>
          <w:b/>
          <w:lang w:val="en-US"/>
        </w:rPr>
        <w:t>Key words:</w:t>
      </w:r>
      <w:r w:rsidR="002E569F" w:rsidRPr="00EA5799">
        <w:rPr>
          <w:rFonts w:ascii="Book Antiqua" w:hAnsi="Book Antiqua"/>
          <w:lang w:val="en-US"/>
        </w:rPr>
        <w:t xml:space="preserve"> </w:t>
      </w:r>
      <w:r w:rsidR="007E4F3E" w:rsidRPr="00EA5799">
        <w:rPr>
          <w:rFonts w:ascii="Book Antiqua" w:hAnsi="Book Antiqua"/>
          <w:lang w:val="en-US"/>
        </w:rPr>
        <w:t>C</w:t>
      </w:r>
      <w:r w:rsidR="000D5B63" w:rsidRPr="00EA5799">
        <w:rPr>
          <w:rFonts w:ascii="Book Antiqua" w:hAnsi="Book Antiqua"/>
          <w:lang w:val="en-US"/>
        </w:rPr>
        <w:t>eliac disease</w:t>
      </w:r>
      <w:r w:rsidR="007E4F3E" w:rsidRPr="00EA5799">
        <w:rPr>
          <w:rFonts w:ascii="Book Antiqua" w:eastAsia="宋体" w:hAnsi="Book Antiqua"/>
          <w:lang w:val="en-US" w:eastAsia="zh-CN"/>
        </w:rPr>
        <w:t>;</w:t>
      </w:r>
      <w:r w:rsidR="000D5B63" w:rsidRPr="00EA5799">
        <w:rPr>
          <w:rFonts w:ascii="Book Antiqua" w:hAnsi="Book Antiqua"/>
          <w:lang w:val="en-US"/>
        </w:rPr>
        <w:t xml:space="preserve"> </w:t>
      </w:r>
      <w:r w:rsidR="007E4F3E" w:rsidRPr="00EA5799">
        <w:rPr>
          <w:rFonts w:ascii="Book Antiqua" w:hAnsi="Book Antiqua"/>
          <w:lang w:val="en-US"/>
        </w:rPr>
        <w:t>G</w:t>
      </w:r>
      <w:r w:rsidR="000D5B63" w:rsidRPr="00EA5799">
        <w:rPr>
          <w:rFonts w:ascii="Book Antiqua" w:hAnsi="Book Antiqua"/>
          <w:lang w:val="en-US"/>
        </w:rPr>
        <w:t>luten intolerance</w:t>
      </w:r>
      <w:r w:rsidR="007E4F3E" w:rsidRPr="00EA5799">
        <w:rPr>
          <w:rFonts w:ascii="Book Antiqua" w:eastAsia="宋体" w:hAnsi="Book Antiqua"/>
          <w:lang w:val="en-US" w:eastAsia="zh-CN"/>
        </w:rPr>
        <w:t xml:space="preserve">; </w:t>
      </w:r>
      <w:r w:rsidR="007E4F3E" w:rsidRPr="00EA5799">
        <w:rPr>
          <w:rFonts w:ascii="Book Antiqua" w:hAnsi="Book Antiqua"/>
          <w:lang w:val="en-US"/>
        </w:rPr>
        <w:t>D</w:t>
      </w:r>
      <w:r w:rsidR="000D5B63" w:rsidRPr="00EA5799">
        <w:rPr>
          <w:rFonts w:ascii="Book Antiqua" w:hAnsi="Book Antiqua"/>
          <w:lang w:val="en-US"/>
        </w:rPr>
        <w:t>iagnosis</w:t>
      </w:r>
      <w:r w:rsidR="007E4F3E" w:rsidRPr="00EA5799">
        <w:rPr>
          <w:rFonts w:ascii="Book Antiqua" w:eastAsia="宋体" w:hAnsi="Book Antiqua"/>
          <w:lang w:val="en-US" w:eastAsia="zh-CN"/>
        </w:rPr>
        <w:t>;</w:t>
      </w:r>
      <w:r w:rsidR="000D5B63" w:rsidRPr="00EA5799">
        <w:rPr>
          <w:rFonts w:ascii="Book Antiqua" w:hAnsi="Book Antiqua"/>
          <w:lang w:val="en-US"/>
        </w:rPr>
        <w:t xml:space="preserve"> </w:t>
      </w:r>
      <w:r w:rsidR="007E4F3E" w:rsidRPr="00EA5799">
        <w:rPr>
          <w:rFonts w:ascii="Book Antiqua" w:hAnsi="Book Antiqua"/>
          <w:lang w:val="en-US"/>
        </w:rPr>
        <w:t>D</w:t>
      </w:r>
      <w:r w:rsidR="000D5B63" w:rsidRPr="00EA5799">
        <w:rPr>
          <w:rFonts w:ascii="Book Antiqua" w:hAnsi="Book Antiqua"/>
          <w:lang w:val="en-US"/>
        </w:rPr>
        <w:t>uodenal biopsy</w:t>
      </w:r>
      <w:r w:rsidR="007E4F3E" w:rsidRPr="00EA5799">
        <w:rPr>
          <w:rFonts w:ascii="Book Antiqua" w:eastAsia="宋体" w:hAnsi="Book Antiqua"/>
          <w:lang w:val="en-US" w:eastAsia="zh-CN"/>
        </w:rPr>
        <w:t>;</w:t>
      </w:r>
      <w:r w:rsidR="000D5B63" w:rsidRPr="00EA5799">
        <w:rPr>
          <w:rFonts w:ascii="Book Antiqua" w:hAnsi="Book Antiqua"/>
          <w:lang w:val="en-US"/>
        </w:rPr>
        <w:t xml:space="preserve"> </w:t>
      </w:r>
      <w:r w:rsidR="007E4F3E" w:rsidRPr="00EA5799">
        <w:rPr>
          <w:rFonts w:ascii="Book Antiqua" w:hAnsi="Book Antiqua"/>
          <w:lang w:val="en-US"/>
        </w:rPr>
        <w:t>Complications</w:t>
      </w:r>
    </w:p>
    <w:p w14:paraId="118D0B98" w14:textId="77777777" w:rsidR="00A876DF" w:rsidRPr="00EA5799" w:rsidRDefault="00A876DF" w:rsidP="00EA5799">
      <w:pPr>
        <w:spacing w:after="0" w:line="360" w:lineRule="auto"/>
        <w:jc w:val="both"/>
        <w:rPr>
          <w:rFonts w:ascii="Book Antiqua" w:eastAsia="宋体" w:hAnsi="Book Antiqua" w:cs="Arial"/>
          <w:b/>
          <w:lang w:val="en-US" w:eastAsia="zh-CN"/>
        </w:rPr>
      </w:pPr>
    </w:p>
    <w:p w14:paraId="4EA54428" w14:textId="77777777" w:rsidR="007E4F3E" w:rsidRPr="00EA5799" w:rsidRDefault="007E4F3E" w:rsidP="00EA5799">
      <w:pPr>
        <w:spacing w:after="0" w:line="360" w:lineRule="auto"/>
        <w:jc w:val="both"/>
        <w:rPr>
          <w:rFonts w:ascii="Book Antiqua" w:hAnsi="Book Antiqua" w:cs="Arial"/>
        </w:rPr>
      </w:pPr>
      <w:r w:rsidRPr="00EA5799">
        <w:rPr>
          <w:rFonts w:ascii="Book Antiqua" w:hAnsi="Book Antiqua"/>
          <w:b/>
        </w:rPr>
        <w:t xml:space="preserve">© </w:t>
      </w:r>
      <w:r w:rsidRPr="00EA5799">
        <w:rPr>
          <w:rFonts w:ascii="Book Antiqua" w:hAnsi="Book Antiqua" w:cs="Arial"/>
          <w:b/>
        </w:rPr>
        <w:t>The Author(s) 2015.</w:t>
      </w:r>
      <w:r w:rsidRPr="00EA5799">
        <w:rPr>
          <w:rFonts w:ascii="Book Antiqua" w:hAnsi="Book Antiqua" w:cs="Arial"/>
        </w:rPr>
        <w:t xml:space="preserve"> Published by Baishideng Publishing Group Inc. All rights reserved.</w:t>
      </w:r>
    </w:p>
    <w:p w14:paraId="26DDDEA2" w14:textId="77777777" w:rsidR="007E4F3E" w:rsidRPr="00EA5799" w:rsidRDefault="007E4F3E" w:rsidP="00EA5799">
      <w:pPr>
        <w:spacing w:after="0" w:line="360" w:lineRule="auto"/>
        <w:jc w:val="both"/>
        <w:rPr>
          <w:rFonts w:ascii="Book Antiqua" w:eastAsia="宋体" w:hAnsi="Book Antiqua" w:cs="Arial"/>
          <w:b/>
          <w:lang w:val="en-US" w:eastAsia="zh-CN"/>
        </w:rPr>
      </w:pPr>
    </w:p>
    <w:p w14:paraId="4B1C8283" w14:textId="169CA0E9" w:rsidR="00977A18" w:rsidRPr="00EA5799" w:rsidRDefault="00C77918" w:rsidP="00EA5799">
      <w:pPr>
        <w:spacing w:after="0" w:line="360" w:lineRule="auto"/>
        <w:jc w:val="both"/>
        <w:rPr>
          <w:rFonts w:ascii="Book Antiqua" w:eastAsia="宋体" w:hAnsi="Book Antiqua" w:cs="Arial"/>
          <w:lang w:val="en-US" w:eastAsia="zh-CN"/>
        </w:rPr>
      </w:pPr>
      <w:r w:rsidRPr="00EA5799">
        <w:rPr>
          <w:rFonts w:ascii="Book Antiqua" w:eastAsia="Arial Unicode MS" w:hAnsi="Book Antiqua" w:cs="Arial Unicode MS"/>
          <w:b/>
          <w:lang w:val="en-US"/>
        </w:rPr>
        <w:t>C</w:t>
      </w:r>
      <w:r w:rsidR="007E4F3E" w:rsidRPr="00EA5799">
        <w:rPr>
          <w:rFonts w:ascii="Book Antiqua" w:eastAsia="Arial Unicode MS" w:hAnsi="Book Antiqua" w:cs="Arial Unicode MS"/>
          <w:b/>
          <w:lang w:val="en-US"/>
        </w:rPr>
        <w:t>ore tip</w:t>
      </w:r>
      <w:r w:rsidR="007E4F3E" w:rsidRPr="00EA5799">
        <w:rPr>
          <w:rFonts w:ascii="Book Antiqua" w:eastAsia="Arial Unicode MS" w:hAnsi="Book Antiqua" w:cs="Arial Unicode MS"/>
          <w:b/>
          <w:lang w:val="en-US" w:eastAsia="zh-CN"/>
        </w:rPr>
        <w:t xml:space="preserve">: </w:t>
      </w:r>
      <w:r w:rsidR="00286D3A" w:rsidRPr="00EA5799">
        <w:rPr>
          <w:rFonts w:ascii="Book Antiqua" w:eastAsia="GungsuhChe" w:hAnsi="Book Antiqua" w:cs="Arial"/>
          <w:lang w:val="en-US"/>
        </w:rPr>
        <w:t>C</w:t>
      </w:r>
      <w:r w:rsidR="00977A18" w:rsidRPr="00EA5799">
        <w:rPr>
          <w:rFonts w:ascii="Book Antiqua" w:eastAsia="GungsuhChe" w:hAnsi="Book Antiqua" w:cs="Arial"/>
          <w:lang w:val="en-US"/>
        </w:rPr>
        <w:t xml:space="preserve">urrent knowledge of celiac disease </w:t>
      </w:r>
      <w:r w:rsidR="00545204">
        <w:rPr>
          <w:rFonts w:ascii="Book Antiqua" w:eastAsia="宋体" w:hAnsi="Book Antiqua" w:cs="Arial" w:hint="eastAsia"/>
          <w:lang w:val="en-US" w:eastAsia="zh-CN"/>
        </w:rPr>
        <w:t>(</w:t>
      </w:r>
      <w:r w:rsidR="00545204" w:rsidRPr="00EA5799">
        <w:rPr>
          <w:rFonts w:ascii="Book Antiqua" w:eastAsia="GungsuhChe" w:hAnsi="Book Antiqua" w:cs="Arial"/>
          <w:lang w:val="en-US"/>
        </w:rPr>
        <w:t>CD</w:t>
      </w:r>
      <w:r w:rsidR="00545204">
        <w:rPr>
          <w:rFonts w:ascii="Book Antiqua" w:eastAsia="宋体" w:hAnsi="Book Antiqua" w:cs="Arial" w:hint="eastAsia"/>
          <w:lang w:val="en-US" w:eastAsia="zh-CN"/>
        </w:rPr>
        <w:t>)</w:t>
      </w:r>
      <w:r w:rsidR="00545204" w:rsidRPr="00EA5799">
        <w:rPr>
          <w:rFonts w:ascii="Book Antiqua" w:eastAsia="GungsuhChe" w:hAnsi="Book Antiqua" w:cs="Arial"/>
          <w:lang w:val="en-US"/>
        </w:rPr>
        <w:t xml:space="preserve"> </w:t>
      </w:r>
      <w:r w:rsidR="00977A18" w:rsidRPr="00EA5799">
        <w:rPr>
          <w:rFonts w:ascii="Book Antiqua" w:eastAsia="GungsuhChe" w:hAnsi="Book Antiqua" w:cs="Arial"/>
          <w:lang w:val="en-US"/>
        </w:rPr>
        <w:t xml:space="preserve">has revealed differences </w:t>
      </w:r>
      <w:r w:rsidR="00D27029" w:rsidRPr="00EA5799">
        <w:rPr>
          <w:rFonts w:ascii="Book Antiqua" w:eastAsia="GungsuhChe" w:hAnsi="Book Antiqua" w:cs="Arial"/>
          <w:lang w:val="en-US"/>
        </w:rPr>
        <w:t>linked</w:t>
      </w:r>
      <w:r w:rsidR="00977A18" w:rsidRPr="00EA5799">
        <w:rPr>
          <w:rFonts w:ascii="Book Antiqua" w:eastAsia="GungsuhChe" w:hAnsi="Book Antiqua" w:cs="Arial"/>
          <w:lang w:val="en-US"/>
        </w:rPr>
        <w:t xml:space="preserve"> to the age of </w:t>
      </w:r>
      <w:r w:rsidR="00D27029" w:rsidRPr="00EA5799">
        <w:rPr>
          <w:rFonts w:ascii="Book Antiqua" w:eastAsia="GungsuhChe" w:hAnsi="Book Antiqua" w:cs="Arial"/>
          <w:lang w:val="en-US"/>
        </w:rPr>
        <w:t>onset</w:t>
      </w:r>
      <w:r w:rsidR="00977A18"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0438B2" w:rsidRPr="00EA5799">
        <w:rPr>
          <w:rFonts w:ascii="Book Antiqua" w:eastAsia="GungsuhChe" w:hAnsi="Book Antiqua" w:cs="Arial"/>
          <w:lang w:val="en-US"/>
        </w:rPr>
        <w:t xml:space="preserve">These differences are related to </w:t>
      </w:r>
      <w:r w:rsidR="00D27029" w:rsidRPr="00EA5799">
        <w:rPr>
          <w:rFonts w:ascii="Book Antiqua" w:eastAsia="GungsuhChe" w:hAnsi="Book Antiqua" w:cs="Arial"/>
          <w:lang w:val="en-US"/>
        </w:rPr>
        <w:t xml:space="preserve">the </w:t>
      </w:r>
      <w:r w:rsidR="000438B2" w:rsidRPr="00EA5799">
        <w:rPr>
          <w:rFonts w:ascii="Book Antiqua" w:eastAsia="GungsuhChe" w:hAnsi="Book Antiqua" w:cs="Arial"/>
          <w:lang w:val="en-US"/>
        </w:rPr>
        <w:t>epidemiolog</w:t>
      </w:r>
      <w:r w:rsidR="00011014" w:rsidRPr="00EA5799">
        <w:rPr>
          <w:rFonts w:ascii="Book Antiqua" w:eastAsia="GungsuhChe" w:hAnsi="Book Antiqua" w:cs="Arial"/>
          <w:lang w:val="en-US"/>
        </w:rPr>
        <w:t>y</w:t>
      </w:r>
      <w:r w:rsidR="000438B2" w:rsidRPr="00EA5799">
        <w:rPr>
          <w:rFonts w:ascii="Book Antiqua" w:eastAsia="GungsuhChe" w:hAnsi="Book Antiqua" w:cs="Arial"/>
          <w:lang w:val="en-US"/>
        </w:rPr>
        <w:t>, pathogenic</w:t>
      </w:r>
      <w:r w:rsidR="00D27029" w:rsidRPr="00EA5799">
        <w:rPr>
          <w:rFonts w:ascii="Book Antiqua" w:eastAsia="GungsuhChe" w:hAnsi="Book Antiqua" w:cs="Arial"/>
          <w:lang w:val="en-US"/>
        </w:rPr>
        <w:t>ity</w:t>
      </w:r>
      <w:r w:rsidR="000438B2" w:rsidRPr="00EA5799">
        <w:rPr>
          <w:rFonts w:ascii="Book Antiqua" w:eastAsia="GungsuhChe" w:hAnsi="Book Antiqua" w:cs="Arial"/>
          <w:lang w:val="en-US"/>
        </w:rPr>
        <w:t>, clinical</w:t>
      </w:r>
      <w:r w:rsidR="005E6154" w:rsidRPr="00EA5799">
        <w:rPr>
          <w:rFonts w:ascii="Book Antiqua" w:eastAsia="GungsuhChe" w:hAnsi="Book Antiqua" w:cs="Arial"/>
          <w:lang w:val="en-US"/>
        </w:rPr>
        <w:t xml:space="preserve"> </w:t>
      </w:r>
      <w:r w:rsidR="00D27029" w:rsidRPr="00EA5799">
        <w:rPr>
          <w:rFonts w:ascii="Book Antiqua" w:eastAsia="GungsuhChe" w:hAnsi="Book Antiqua" w:cs="Arial"/>
          <w:lang w:val="en-US"/>
        </w:rPr>
        <w:t>signs</w:t>
      </w:r>
      <w:r w:rsidR="000438B2" w:rsidRPr="00EA5799">
        <w:rPr>
          <w:rFonts w:ascii="Book Antiqua" w:eastAsia="GungsuhChe" w:hAnsi="Book Antiqua" w:cs="Arial"/>
          <w:lang w:val="en-US"/>
        </w:rPr>
        <w:t xml:space="preserve"> and prognosis of the disease. </w:t>
      </w:r>
      <w:r w:rsidR="00D27029" w:rsidRPr="00EA5799">
        <w:rPr>
          <w:rFonts w:ascii="Book Antiqua" w:eastAsia="GungsuhChe" w:hAnsi="Book Antiqua" w:cs="Arial"/>
          <w:lang w:val="en-US"/>
        </w:rPr>
        <w:t>Here w</w:t>
      </w:r>
      <w:r w:rsidR="006D3462" w:rsidRPr="00EA5799">
        <w:rPr>
          <w:rFonts w:ascii="Book Antiqua" w:eastAsia="GungsuhChe" w:hAnsi="Book Antiqua" w:cs="Arial"/>
          <w:lang w:val="en-US"/>
        </w:rPr>
        <w:t>e</w:t>
      </w:r>
      <w:r w:rsidR="00D27029" w:rsidRPr="00EA5799">
        <w:rPr>
          <w:rFonts w:ascii="Book Antiqua" w:eastAsia="GungsuhChe" w:hAnsi="Book Antiqua" w:cs="Arial"/>
          <w:lang w:val="en-US"/>
        </w:rPr>
        <w:t xml:space="preserve"> present a</w:t>
      </w:r>
      <w:r w:rsidR="000438B2" w:rsidRPr="00EA5799">
        <w:rPr>
          <w:rFonts w:ascii="Book Antiqua" w:eastAsia="GungsuhChe" w:hAnsi="Book Antiqua" w:cs="Arial"/>
          <w:lang w:val="en-US"/>
        </w:rPr>
        <w:t xml:space="preserve"> comprehensive review</w:t>
      </w:r>
      <w:r w:rsidR="00D27029" w:rsidRPr="00EA5799">
        <w:rPr>
          <w:rFonts w:ascii="Book Antiqua" w:eastAsia="GungsuhChe" w:hAnsi="Book Antiqua" w:cs="Arial"/>
          <w:lang w:val="en-US"/>
        </w:rPr>
        <w:t xml:space="preserve"> of </w:t>
      </w:r>
      <w:r w:rsidR="00545204" w:rsidRPr="00EA5799">
        <w:rPr>
          <w:rFonts w:ascii="Book Antiqua" w:eastAsia="GungsuhChe" w:hAnsi="Book Antiqua" w:cs="Arial"/>
          <w:lang w:val="en-US"/>
        </w:rPr>
        <w:t>CD</w:t>
      </w:r>
      <w:r w:rsidR="000438B2" w:rsidRPr="00EA5799">
        <w:rPr>
          <w:rFonts w:ascii="Book Antiqua" w:eastAsia="GungsuhChe" w:hAnsi="Book Antiqua" w:cs="Arial"/>
          <w:lang w:val="en-US"/>
        </w:rPr>
        <w:t xml:space="preserve"> </w:t>
      </w:r>
      <w:r w:rsidR="00DA055B" w:rsidRPr="00EA5799">
        <w:rPr>
          <w:rFonts w:ascii="Book Antiqua" w:eastAsia="GungsuhChe" w:hAnsi="Book Antiqua" w:cs="Arial"/>
          <w:lang w:val="en-US"/>
        </w:rPr>
        <w:t>focusing</w:t>
      </w:r>
      <w:r w:rsidR="000438B2" w:rsidRPr="00EA5799">
        <w:rPr>
          <w:rFonts w:ascii="Book Antiqua" w:eastAsia="GungsuhChe" w:hAnsi="Book Antiqua" w:cs="Arial"/>
          <w:lang w:val="en-US"/>
        </w:rPr>
        <w:t xml:space="preserve"> on the</w:t>
      </w:r>
      <w:r w:rsidR="00D27029" w:rsidRPr="00EA5799">
        <w:rPr>
          <w:rFonts w:ascii="Book Antiqua" w:eastAsia="GungsuhChe" w:hAnsi="Book Antiqua" w:cs="Arial"/>
          <w:lang w:val="en-US"/>
        </w:rPr>
        <w:t xml:space="preserve"> age-specific</w:t>
      </w:r>
      <w:r w:rsidR="000438B2" w:rsidRPr="00EA5799">
        <w:rPr>
          <w:rFonts w:ascii="Book Antiqua" w:eastAsia="GungsuhChe" w:hAnsi="Book Antiqua" w:cs="Arial"/>
          <w:lang w:val="en-US"/>
        </w:rPr>
        <w:t xml:space="preserve"> management</w:t>
      </w:r>
      <w:r w:rsidR="00D27029" w:rsidRPr="00EA5799">
        <w:rPr>
          <w:rFonts w:ascii="Book Antiqua" w:eastAsia="GungsuhChe" w:hAnsi="Book Antiqua" w:cs="Arial"/>
          <w:lang w:val="en-US"/>
        </w:rPr>
        <w:t xml:space="preserve"> of patients</w:t>
      </w:r>
      <w:r w:rsidR="000438B2" w:rsidRPr="00EA5799">
        <w:rPr>
          <w:rFonts w:ascii="Book Antiqua" w:eastAsia="GungsuhChe" w:hAnsi="Book Antiqua" w:cs="Arial"/>
          <w:lang w:val="en-US"/>
        </w:rPr>
        <w:t>. The knowledge of</w:t>
      </w:r>
      <w:r w:rsidR="00D27029" w:rsidRPr="00EA5799">
        <w:rPr>
          <w:rFonts w:ascii="Book Antiqua" w:eastAsia="GungsuhChe" w:hAnsi="Book Antiqua" w:cs="Arial"/>
          <w:lang w:val="en-US"/>
        </w:rPr>
        <w:t xml:space="preserve"> </w:t>
      </w:r>
      <w:r w:rsidR="000438B2" w:rsidRPr="00EA5799">
        <w:rPr>
          <w:rFonts w:ascii="Book Antiqua" w:eastAsia="GungsuhChe" w:hAnsi="Book Antiqua" w:cs="Arial"/>
          <w:lang w:val="en-US"/>
        </w:rPr>
        <w:t xml:space="preserve">particular aspects </w:t>
      </w:r>
      <w:r w:rsidR="00D27029" w:rsidRPr="00EA5799">
        <w:rPr>
          <w:rFonts w:ascii="Book Antiqua" w:eastAsia="GungsuhChe" w:hAnsi="Book Antiqua" w:cs="Arial"/>
          <w:lang w:val="en-US"/>
        </w:rPr>
        <w:t>linked to either adults or</w:t>
      </w:r>
      <w:r w:rsidR="000438B2" w:rsidRPr="00EA5799">
        <w:rPr>
          <w:rFonts w:ascii="Book Antiqua" w:eastAsia="GungsuhChe" w:hAnsi="Book Antiqua" w:cs="Arial"/>
          <w:lang w:val="en-US"/>
        </w:rPr>
        <w:t xml:space="preserve"> children would improve</w:t>
      </w:r>
      <w:r w:rsidR="00D27029" w:rsidRPr="00EA5799">
        <w:rPr>
          <w:rFonts w:ascii="Book Antiqua" w:eastAsia="GungsuhChe" w:hAnsi="Book Antiqua" w:cs="Arial"/>
          <w:lang w:val="en-US"/>
        </w:rPr>
        <w:t xml:space="preserve"> both</w:t>
      </w:r>
      <w:r w:rsidR="000438B2" w:rsidRPr="00EA5799">
        <w:rPr>
          <w:rFonts w:ascii="Book Antiqua" w:eastAsia="GungsuhChe" w:hAnsi="Book Antiqua" w:cs="Arial"/>
          <w:lang w:val="en-US"/>
        </w:rPr>
        <w:t xml:space="preserve"> the</w:t>
      </w:r>
      <w:r w:rsidR="00703AC1" w:rsidRPr="00EA5799">
        <w:rPr>
          <w:rFonts w:ascii="Book Antiqua" w:eastAsia="GungsuhChe" w:hAnsi="Book Antiqua" w:cs="Arial"/>
          <w:lang w:val="en-US"/>
        </w:rPr>
        <w:t xml:space="preserve"> </w:t>
      </w:r>
      <w:r w:rsidR="005E6154" w:rsidRPr="00EA5799">
        <w:rPr>
          <w:rFonts w:ascii="Book Antiqua" w:eastAsia="GungsuhChe" w:hAnsi="Book Antiqua" w:cs="Arial"/>
          <w:lang w:val="en-US"/>
        </w:rPr>
        <w:t xml:space="preserve">diagnosis and </w:t>
      </w:r>
      <w:r w:rsidR="00703AC1" w:rsidRPr="00EA5799">
        <w:rPr>
          <w:rFonts w:ascii="Book Antiqua" w:eastAsia="GungsuhChe" w:hAnsi="Book Antiqua" w:cs="Arial"/>
          <w:lang w:val="en-US"/>
        </w:rPr>
        <w:t>follow-up</w:t>
      </w:r>
      <w:r w:rsidR="005E6154" w:rsidRPr="00EA5799">
        <w:rPr>
          <w:rFonts w:ascii="Book Antiqua" w:eastAsia="GungsuhChe" w:hAnsi="Book Antiqua" w:cs="Arial"/>
          <w:lang w:val="en-US"/>
        </w:rPr>
        <w:t xml:space="preserve"> of </w:t>
      </w:r>
      <w:r w:rsidR="00D27029" w:rsidRPr="00EA5799">
        <w:rPr>
          <w:rFonts w:ascii="Book Antiqua" w:eastAsia="GungsuhChe" w:hAnsi="Book Antiqua" w:cs="Arial"/>
          <w:lang w:val="en-US"/>
        </w:rPr>
        <w:t>this disease</w:t>
      </w:r>
      <w:r w:rsidR="00703AC1" w:rsidRPr="00EA5799">
        <w:rPr>
          <w:rFonts w:ascii="Book Antiqua" w:eastAsia="GungsuhChe" w:hAnsi="Book Antiqua" w:cs="Arial"/>
          <w:lang w:val="en-US"/>
        </w:rPr>
        <w:t xml:space="preserve">. </w:t>
      </w:r>
      <w:r w:rsidR="00D27029" w:rsidRPr="00EA5799">
        <w:rPr>
          <w:rFonts w:ascii="Book Antiqua" w:eastAsia="GungsuhChe" w:hAnsi="Book Antiqua" w:cs="Arial"/>
          <w:lang w:val="en-US"/>
        </w:rPr>
        <w:t>T</w:t>
      </w:r>
      <w:r w:rsidR="005E6154" w:rsidRPr="00EA5799">
        <w:rPr>
          <w:rFonts w:ascii="Book Antiqua" w:eastAsia="GungsuhChe" w:hAnsi="Book Antiqua" w:cs="Arial"/>
          <w:lang w:val="en-US"/>
        </w:rPr>
        <w:t xml:space="preserve">his review can be helpful </w:t>
      </w:r>
      <w:r w:rsidR="00DA055B" w:rsidRPr="00EA5799">
        <w:rPr>
          <w:rFonts w:ascii="Book Antiqua" w:eastAsia="GungsuhChe" w:hAnsi="Book Antiqua" w:cs="Arial"/>
          <w:lang w:val="en-US"/>
        </w:rPr>
        <w:t xml:space="preserve">to </w:t>
      </w:r>
      <w:r w:rsidR="005E6154" w:rsidRPr="00EA5799">
        <w:rPr>
          <w:rFonts w:ascii="Book Antiqua" w:eastAsia="GungsuhChe" w:hAnsi="Book Antiqua" w:cs="Arial"/>
          <w:lang w:val="en-US"/>
        </w:rPr>
        <w:t>the clinician involved in the management of adult and pediatric patients.</w:t>
      </w:r>
      <w:r w:rsidR="002E569F" w:rsidRPr="00EA5799">
        <w:rPr>
          <w:rFonts w:ascii="Book Antiqua" w:eastAsia="GungsuhChe" w:hAnsi="Book Antiqua" w:cs="Arial"/>
          <w:lang w:val="en-US"/>
        </w:rPr>
        <w:t xml:space="preserve"> </w:t>
      </w:r>
    </w:p>
    <w:p w14:paraId="126326F9" w14:textId="77777777" w:rsidR="007E4F3E" w:rsidRPr="00EA5799" w:rsidRDefault="007E4F3E" w:rsidP="00EA5799">
      <w:pPr>
        <w:spacing w:after="0" w:line="360" w:lineRule="auto"/>
        <w:jc w:val="both"/>
        <w:rPr>
          <w:rFonts w:ascii="Book Antiqua" w:eastAsia="宋体" w:hAnsi="Book Antiqua" w:cs="Arial Unicode MS"/>
          <w:b/>
          <w:lang w:val="en-US" w:eastAsia="zh-CN"/>
        </w:rPr>
      </w:pPr>
    </w:p>
    <w:p w14:paraId="00DAD636" w14:textId="0C9521C7" w:rsidR="007E4F3E" w:rsidRPr="00EA5799" w:rsidRDefault="007E4F3E" w:rsidP="00EA5799">
      <w:pPr>
        <w:spacing w:after="0" w:line="360" w:lineRule="auto"/>
        <w:jc w:val="both"/>
        <w:rPr>
          <w:rFonts w:ascii="Book Antiqua" w:eastAsia="宋体" w:hAnsi="Book Antiqua" w:cs="Arial"/>
          <w:lang w:val="en-US" w:eastAsia="zh-CN"/>
        </w:rPr>
      </w:pPr>
      <w:proofErr w:type="spellStart"/>
      <w:r w:rsidRPr="00EA5799">
        <w:rPr>
          <w:rFonts w:ascii="Book Antiqua" w:eastAsia="GungsuhChe" w:hAnsi="Book Antiqua" w:cs="Arial"/>
          <w:lang w:val="en-US"/>
        </w:rPr>
        <w:t>Vivas</w:t>
      </w:r>
      <w:proofErr w:type="spellEnd"/>
      <w:r w:rsidRPr="00EA5799">
        <w:rPr>
          <w:rFonts w:ascii="Book Antiqua" w:eastAsia="宋体" w:hAnsi="Book Antiqua" w:cs="Arial"/>
          <w:lang w:val="en-US" w:eastAsia="zh-CN"/>
        </w:rPr>
        <w:t xml:space="preserve"> S,</w:t>
      </w:r>
      <w:r w:rsidRPr="00EA5799">
        <w:rPr>
          <w:rFonts w:ascii="Book Antiqua" w:eastAsia="GungsuhChe" w:hAnsi="Book Antiqua" w:cs="Arial"/>
          <w:lang w:val="en-US"/>
        </w:rPr>
        <w:t xml:space="preserve"> Vaquero</w:t>
      </w:r>
      <w:r w:rsidRPr="00EA5799">
        <w:rPr>
          <w:rFonts w:ascii="Book Antiqua" w:eastAsia="宋体" w:hAnsi="Book Antiqua" w:cs="Arial"/>
          <w:lang w:val="en-US" w:eastAsia="zh-CN"/>
        </w:rPr>
        <w:t xml:space="preserve"> L,</w:t>
      </w:r>
      <w:r w:rsidRPr="00EA5799">
        <w:rPr>
          <w:rFonts w:ascii="Book Antiqua" w:eastAsia="GungsuhChe" w:hAnsi="Book Antiqua" w:cs="Arial"/>
          <w:lang w:val="en-US"/>
        </w:rPr>
        <w:t xml:space="preserve"> Rodríguez-Martín</w:t>
      </w:r>
      <w:r w:rsidRPr="00EA5799">
        <w:rPr>
          <w:rFonts w:ascii="Book Antiqua" w:eastAsia="宋体" w:hAnsi="Book Antiqua" w:cs="Arial"/>
          <w:lang w:val="en-US" w:eastAsia="zh-CN"/>
        </w:rPr>
        <w:t xml:space="preserve"> L</w:t>
      </w:r>
      <w:r w:rsidRPr="00EA5799">
        <w:rPr>
          <w:rFonts w:ascii="Book Antiqua" w:eastAsia="GungsuhChe" w:hAnsi="Book Antiqua" w:cs="Arial"/>
          <w:lang w:val="en-US"/>
        </w:rPr>
        <w:t xml:space="preserve">, </w:t>
      </w:r>
      <w:proofErr w:type="spellStart"/>
      <w:r w:rsidRPr="00EA5799">
        <w:rPr>
          <w:rFonts w:ascii="Book Antiqua" w:eastAsia="GungsuhChe" w:hAnsi="Book Antiqua" w:cs="Arial"/>
          <w:lang w:val="en-US"/>
        </w:rPr>
        <w:t>Caminero</w:t>
      </w:r>
      <w:proofErr w:type="spellEnd"/>
      <w:r w:rsidRPr="00EA5799">
        <w:rPr>
          <w:rFonts w:ascii="Book Antiqua" w:eastAsia="宋体" w:hAnsi="Book Antiqua" w:cs="Arial"/>
          <w:lang w:val="en-US" w:eastAsia="zh-CN"/>
        </w:rPr>
        <w:t xml:space="preserve"> A.</w:t>
      </w:r>
      <w:r w:rsidRPr="00EA5799">
        <w:rPr>
          <w:rFonts w:ascii="Book Antiqua" w:eastAsia="GungsuhChe" w:hAnsi="Book Antiqua" w:cs="Arial"/>
          <w:lang w:val="en-US"/>
        </w:rPr>
        <w:t xml:space="preserve"> Age-related differences in celiac disease: Specific characteristics of adult presentation</w:t>
      </w:r>
      <w:r w:rsidRPr="00EA5799">
        <w:rPr>
          <w:rFonts w:ascii="Book Antiqua" w:eastAsia="宋体" w:hAnsi="Book Antiqua" w:cs="Arial"/>
          <w:lang w:val="en-US" w:eastAsia="zh-CN"/>
        </w:rPr>
        <w:t xml:space="preserve">. </w:t>
      </w:r>
      <w:r w:rsidRPr="00EA5799">
        <w:rPr>
          <w:rFonts w:ascii="Book Antiqua" w:hAnsi="Book Antiqua"/>
          <w:i/>
          <w:iCs/>
        </w:rPr>
        <w:t>World J Gastrointest Pharmacol Ther</w:t>
      </w:r>
      <w:r w:rsidRPr="00EA5799">
        <w:rPr>
          <w:rFonts w:ascii="Book Antiqua" w:eastAsia="宋体" w:hAnsi="Book Antiqua"/>
          <w:i/>
          <w:iCs/>
          <w:lang w:eastAsia="zh-CN"/>
        </w:rPr>
        <w:t xml:space="preserve"> </w:t>
      </w:r>
      <w:r w:rsidRPr="00EA5799">
        <w:rPr>
          <w:rFonts w:ascii="Book Antiqua" w:eastAsia="宋体" w:hAnsi="Book Antiqua"/>
          <w:iCs/>
          <w:lang w:eastAsia="zh-CN"/>
        </w:rPr>
        <w:t>2015; In press</w:t>
      </w:r>
    </w:p>
    <w:p w14:paraId="3A875D48" w14:textId="77777777" w:rsidR="00EA5799" w:rsidRDefault="00EA5799">
      <w:pPr>
        <w:rPr>
          <w:rFonts w:ascii="Book Antiqua" w:eastAsia="GungsuhChe" w:hAnsi="Book Antiqua" w:cs="Arial"/>
          <w:b/>
          <w:lang w:val="en-US"/>
        </w:rPr>
      </w:pPr>
      <w:r>
        <w:rPr>
          <w:rFonts w:ascii="Book Antiqua" w:eastAsia="GungsuhChe" w:hAnsi="Book Antiqua" w:cs="Arial"/>
          <w:b/>
          <w:lang w:val="en-US"/>
        </w:rPr>
        <w:br w:type="page"/>
      </w:r>
    </w:p>
    <w:p w14:paraId="5761CBD9" w14:textId="4B23E14E" w:rsidR="00BA729F" w:rsidRPr="00EA5799" w:rsidRDefault="00FC53F0" w:rsidP="00EA5799">
      <w:pPr>
        <w:spacing w:after="0" w:line="360" w:lineRule="auto"/>
        <w:jc w:val="both"/>
        <w:rPr>
          <w:rFonts w:ascii="Book Antiqua" w:eastAsia="GungsuhChe" w:hAnsi="Book Antiqua" w:cs="Arial"/>
          <w:b/>
          <w:lang w:val="en-US"/>
        </w:rPr>
      </w:pPr>
      <w:r w:rsidRPr="00EA5799">
        <w:rPr>
          <w:rFonts w:ascii="Book Antiqua" w:eastAsia="GungsuhChe" w:hAnsi="Book Antiqua" w:cs="Arial"/>
          <w:b/>
          <w:lang w:val="en-US"/>
        </w:rPr>
        <w:lastRenderedPageBreak/>
        <w:t>INTRODUCTION</w:t>
      </w:r>
    </w:p>
    <w:p w14:paraId="7DEBF6BC" w14:textId="5DC16B8D" w:rsidR="004501E4" w:rsidRPr="00EA5799" w:rsidRDefault="00745A77" w:rsidP="00EA5799">
      <w:pPr>
        <w:spacing w:after="0" w:line="360" w:lineRule="auto"/>
        <w:jc w:val="both"/>
        <w:rPr>
          <w:rFonts w:ascii="Book Antiqua" w:eastAsia="GungsuhChe" w:hAnsi="Book Antiqua" w:cs="Arial"/>
          <w:lang w:val="en-US"/>
        </w:rPr>
      </w:pPr>
      <w:r w:rsidRPr="00EA5799">
        <w:rPr>
          <w:rFonts w:ascii="Book Antiqua" w:eastAsia="GungsuhChe" w:hAnsi="Book Antiqua" w:cs="Arial"/>
          <w:lang w:val="en-US"/>
        </w:rPr>
        <w:t xml:space="preserve">Celiac disease (CD) is an autoimmune inflammatory enteropathy triggered by gluten intake in genetically susceptible persons. </w:t>
      </w:r>
      <w:r w:rsidR="00044B10" w:rsidRPr="00EA5799">
        <w:rPr>
          <w:rFonts w:ascii="Book Antiqua" w:eastAsia="GungsuhChe" w:hAnsi="Book Antiqua" w:cs="Arial"/>
          <w:lang w:val="en-US"/>
        </w:rPr>
        <w:t>It</w:t>
      </w:r>
      <w:r w:rsidR="00BA729F" w:rsidRPr="00EA5799">
        <w:rPr>
          <w:rFonts w:ascii="Book Antiqua" w:eastAsia="GungsuhChe" w:hAnsi="Book Antiqua" w:cs="Arial"/>
          <w:lang w:val="en-US"/>
        </w:rPr>
        <w:t xml:space="preserve"> was initially described in children and, for many</w:t>
      </w:r>
      <w:r w:rsidR="0039287B" w:rsidRPr="00EA5799">
        <w:rPr>
          <w:rFonts w:ascii="Book Antiqua" w:eastAsia="GungsuhChe" w:hAnsi="Book Antiqua" w:cs="Arial"/>
          <w:lang w:val="en-US"/>
        </w:rPr>
        <w:t xml:space="preserve"> years</w:t>
      </w:r>
      <w:r w:rsidR="00DC7060" w:rsidRPr="00EA5799">
        <w:rPr>
          <w:rFonts w:ascii="Book Antiqua" w:eastAsia="GungsuhChe" w:hAnsi="Book Antiqua" w:cs="Arial"/>
          <w:lang w:val="en-US"/>
        </w:rPr>
        <w:t>,</w:t>
      </w:r>
      <w:r w:rsidR="00BA729F" w:rsidRPr="00EA5799">
        <w:rPr>
          <w:rFonts w:ascii="Book Antiqua" w:eastAsia="GungsuhChe" w:hAnsi="Book Antiqua" w:cs="Arial"/>
          <w:lang w:val="en-US"/>
        </w:rPr>
        <w:t xml:space="preserve"> </w:t>
      </w:r>
      <w:r w:rsidR="00002AAC" w:rsidRPr="00EA5799">
        <w:rPr>
          <w:rFonts w:ascii="Book Antiqua" w:eastAsia="GungsuhChe" w:hAnsi="Book Antiqua" w:cs="Arial"/>
          <w:lang w:val="en-US"/>
        </w:rPr>
        <w:t xml:space="preserve">has been </w:t>
      </w:r>
      <w:r w:rsidR="00BA729F" w:rsidRPr="00EA5799">
        <w:rPr>
          <w:rFonts w:ascii="Book Antiqua" w:eastAsia="GungsuhChe" w:hAnsi="Book Antiqua" w:cs="Arial"/>
          <w:lang w:val="en-US"/>
        </w:rPr>
        <w:t>considered a</w:t>
      </w:r>
      <w:r w:rsidR="00DC7060" w:rsidRPr="00EA5799">
        <w:rPr>
          <w:rFonts w:ascii="Book Antiqua" w:eastAsia="GungsuhChe" w:hAnsi="Book Antiqua" w:cs="Arial"/>
          <w:lang w:val="en-US"/>
        </w:rPr>
        <w:t>n almost exclusively</w:t>
      </w:r>
      <w:r w:rsidR="00BA729F" w:rsidRPr="00EA5799">
        <w:rPr>
          <w:rFonts w:ascii="Book Antiqua" w:eastAsia="GungsuhChe" w:hAnsi="Book Antiqua" w:cs="Arial"/>
          <w:lang w:val="en-US"/>
        </w:rPr>
        <w:t xml:space="preserve"> pediatric</w:t>
      </w:r>
      <w:r w:rsidR="00DC7060" w:rsidRPr="00EA5799">
        <w:rPr>
          <w:rFonts w:ascii="Book Antiqua" w:eastAsia="GungsuhChe" w:hAnsi="Book Antiqua" w:cs="Arial"/>
          <w:lang w:val="en-US"/>
        </w:rPr>
        <w:t xml:space="preserve"> entity.</w:t>
      </w:r>
      <w:r w:rsidR="002E569F" w:rsidRPr="00EA5799">
        <w:rPr>
          <w:rFonts w:ascii="Book Antiqua" w:eastAsia="GungsuhChe" w:hAnsi="Book Antiqua" w:cs="Arial"/>
          <w:lang w:val="en-US"/>
        </w:rPr>
        <w:t xml:space="preserve"> </w:t>
      </w:r>
      <w:r w:rsidRPr="00EA5799">
        <w:rPr>
          <w:rFonts w:ascii="Book Antiqua" w:eastAsia="GungsuhChe" w:hAnsi="Book Antiqua" w:cs="Arial"/>
          <w:lang w:val="en-US"/>
        </w:rPr>
        <w:t>The main</w:t>
      </w:r>
      <w:r w:rsidR="00DC7060" w:rsidRPr="00EA5799">
        <w:rPr>
          <w:rFonts w:ascii="Book Antiqua" w:eastAsia="GungsuhChe" w:hAnsi="Book Antiqua" w:cs="Arial"/>
          <w:lang w:val="en-US"/>
        </w:rPr>
        <w:t xml:space="preserve"> </w:t>
      </w:r>
      <w:r w:rsidR="007A39E9" w:rsidRPr="00EA5799">
        <w:rPr>
          <w:rFonts w:ascii="Book Antiqua" w:eastAsia="GungsuhChe" w:hAnsi="Book Antiqua" w:cs="Arial"/>
          <w:lang w:val="en-US"/>
        </w:rPr>
        <w:t>clinical presentation</w:t>
      </w:r>
      <w:r w:rsidR="00DE6275" w:rsidRPr="00EA5799">
        <w:rPr>
          <w:rFonts w:ascii="Book Antiqua" w:eastAsia="GungsuhChe" w:hAnsi="Book Antiqua" w:cs="Arial"/>
          <w:lang w:val="en-US"/>
        </w:rPr>
        <w:t>s</w:t>
      </w:r>
      <w:r w:rsidR="00002AAC" w:rsidRPr="00EA5799">
        <w:rPr>
          <w:rFonts w:ascii="Book Antiqua" w:eastAsia="GungsuhChe" w:hAnsi="Book Antiqua" w:cs="Arial"/>
          <w:lang w:val="en-US"/>
        </w:rPr>
        <w:t xml:space="preserve"> </w:t>
      </w:r>
      <w:r w:rsidR="00DE6275" w:rsidRPr="00EA5799">
        <w:rPr>
          <w:rFonts w:ascii="Book Antiqua" w:eastAsia="GungsuhChe" w:hAnsi="Book Antiqua" w:cs="Arial"/>
          <w:lang w:val="en-US"/>
        </w:rPr>
        <w:t xml:space="preserve">in the pediatric population </w:t>
      </w:r>
      <w:r w:rsidR="00002AAC" w:rsidRPr="00EA5799">
        <w:rPr>
          <w:rFonts w:ascii="Book Antiqua" w:eastAsia="GungsuhChe" w:hAnsi="Book Antiqua" w:cs="Arial"/>
          <w:lang w:val="en-US"/>
        </w:rPr>
        <w:t>include</w:t>
      </w:r>
      <w:r w:rsidR="00DE6275" w:rsidRPr="00EA5799">
        <w:rPr>
          <w:rFonts w:ascii="Book Antiqua" w:eastAsia="GungsuhChe" w:hAnsi="Book Antiqua" w:cs="Arial"/>
          <w:lang w:val="en-US"/>
        </w:rPr>
        <w:t>,</w:t>
      </w:r>
      <w:r w:rsidR="00DC7060" w:rsidRPr="00EA5799">
        <w:rPr>
          <w:rFonts w:ascii="Book Antiqua" w:eastAsia="GungsuhChe" w:hAnsi="Book Antiqua" w:cs="Arial"/>
          <w:lang w:val="en-US"/>
        </w:rPr>
        <w:t xml:space="preserve"> malnutrition and growth delay</w:t>
      </w:r>
      <w:r w:rsidR="00C408CC" w:rsidRPr="00EA5799">
        <w:rPr>
          <w:rFonts w:ascii="Book Antiqua" w:eastAsia="GungsuhChe" w:hAnsi="Book Antiqua" w:cs="Arial"/>
          <w:lang w:val="en-US"/>
        </w:rPr>
        <w:t xml:space="preserve"> along with </w:t>
      </w:r>
      <w:r w:rsidR="00725784" w:rsidRPr="00EA5799">
        <w:rPr>
          <w:rFonts w:ascii="Book Antiqua" w:eastAsia="GungsuhChe" w:hAnsi="Book Antiqua" w:cs="Arial"/>
          <w:lang w:val="en-US"/>
        </w:rPr>
        <w:t>persistent</w:t>
      </w:r>
      <w:r w:rsidR="00C408CC" w:rsidRPr="00EA5799">
        <w:rPr>
          <w:rFonts w:ascii="Book Antiqua" w:eastAsia="GungsuhChe" w:hAnsi="Book Antiqua" w:cs="Arial"/>
          <w:lang w:val="en-US"/>
        </w:rPr>
        <w:t xml:space="preserve"> diarrhea and high </w:t>
      </w:r>
      <w:proofErr w:type="gramStart"/>
      <w:r w:rsidR="00C408CC" w:rsidRPr="00EA5799">
        <w:rPr>
          <w:rFonts w:ascii="Book Antiqua" w:eastAsia="GungsuhChe" w:hAnsi="Book Antiqua" w:cs="Arial"/>
          <w:lang w:val="en-US"/>
        </w:rPr>
        <w:t>mortality</w:t>
      </w:r>
      <w:r w:rsidR="00C878D8" w:rsidRPr="00EA5799">
        <w:rPr>
          <w:rFonts w:ascii="Book Antiqua" w:eastAsia="GungsuhChe" w:hAnsi="Book Antiqua" w:cs="Arial"/>
          <w:vertAlign w:val="superscript"/>
          <w:lang w:val="en-US"/>
        </w:rPr>
        <w:t>[</w:t>
      </w:r>
      <w:proofErr w:type="gramEnd"/>
      <w:r w:rsidR="00C878D8" w:rsidRPr="00EA5799">
        <w:rPr>
          <w:rFonts w:ascii="Book Antiqua" w:eastAsia="GungsuhChe" w:hAnsi="Book Antiqua" w:cs="Arial"/>
          <w:vertAlign w:val="superscript"/>
          <w:lang w:val="en-US"/>
        </w:rPr>
        <w:t>1]</w:t>
      </w:r>
      <w:r w:rsidR="00C878D8" w:rsidRPr="00EA5799">
        <w:rPr>
          <w:rFonts w:ascii="Book Antiqua" w:eastAsia="GungsuhChe" w:hAnsi="Book Antiqua" w:cs="Arial"/>
          <w:lang w:val="en-US"/>
        </w:rPr>
        <w:t>. A</w:t>
      </w:r>
      <w:r w:rsidR="00C32F1E" w:rsidRPr="00EA5799">
        <w:rPr>
          <w:rFonts w:ascii="Book Antiqua" w:eastAsia="GungsuhChe" w:hAnsi="Book Antiqua" w:cs="Arial"/>
          <w:lang w:val="en-US"/>
        </w:rPr>
        <w:t>lthough</w:t>
      </w:r>
      <w:r w:rsidR="00044B10" w:rsidRPr="00EA5799">
        <w:rPr>
          <w:rFonts w:ascii="Book Antiqua" w:eastAsia="GungsuhChe" w:hAnsi="Book Antiqua" w:cs="Arial"/>
          <w:lang w:val="en-US"/>
        </w:rPr>
        <w:t xml:space="preserve"> the long standing assumption is </w:t>
      </w:r>
      <w:r w:rsidR="00C32F1E" w:rsidRPr="00EA5799">
        <w:rPr>
          <w:rFonts w:ascii="Book Antiqua" w:eastAsia="GungsuhChe" w:hAnsi="Book Antiqua" w:cs="Arial"/>
          <w:lang w:val="en-US"/>
        </w:rPr>
        <w:t xml:space="preserve">that CD develops in childhood, </w:t>
      </w:r>
      <w:r w:rsidR="00044B10" w:rsidRPr="00EA5799">
        <w:rPr>
          <w:rFonts w:ascii="Book Antiqua" w:eastAsia="GungsuhChe" w:hAnsi="Book Antiqua" w:cs="Arial"/>
          <w:lang w:val="en-US"/>
        </w:rPr>
        <w:t xml:space="preserve">the disease </w:t>
      </w:r>
      <w:r w:rsidR="00C32F1E" w:rsidRPr="00EA5799">
        <w:rPr>
          <w:rFonts w:ascii="Book Antiqua" w:eastAsia="GungsuhChe" w:hAnsi="Book Antiqua" w:cs="Arial"/>
          <w:lang w:val="en-US"/>
        </w:rPr>
        <w:t>can occur at any age.</w:t>
      </w:r>
      <w:r w:rsidR="00A831BA" w:rsidRPr="00EA5799">
        <w:rPr>
          <w:rFonts w:ascii="Book Antiqua" w:eastAsia="GungsuhChe" w:hAnsi="Book Antiqua" w:cs="Arial"/>
          <w:lang w:val="en-US"/>
        </w:rPr>
        <w:t xml:space="preserve"> </w:t>
      </w:r>
      <w:r w:rsidR="001D2FA9" w:rsidRPr="00EA5799">
        <w:rPr>
          <w:rFonts w:ascii="Book Antiqua" w:eastAsia="GungsuhChe" w:hAnsi="Book Antiqua" w:cs="Arial"/>
          <w:lang w:val="en-US"/>
        </w:rPr>
        <w:t xml:space="preserve">The epidemiology and </w:t>
      </w:r>
      <w:r w:rsidR="00002AAC" w:rsidRPr="00EA5799">
        <w:rPr>
          <w:rFonts w:ascii="Book Antiqua" w:eastAsia="GungsuhChe" w:hAnsi="Book Antiqua" w:cs="Arial"/>
          <w:lang w:val="en-US"/>
        </w:rPr>
        <w:t xml:space="preserve">symptomatology </w:t>
      </w:r>
      <w:r w:rsidR="001D2FA9" w:rsidRPr="00EA5799">
        <w:rPr>
          <w:rFonts w:ascii="Book Antiqua" w:eastAsia="GungsuhChe" w:hAnsi="Book Antiqua" w:cs="Arial"/>
          <w:lang w:val="en-US"/>
        </w:rPr>
        <w:t xml:space="preserve">of CD have both </w:t>
      </w:r>
      <w:r w:rsidR="007C27EA" w:rsidRPr="00EA5799">
        <w:rPr>
          <w:rFonts w:ascii="Book Antiqua" w:eastAsia="GungsuhChe" w:hAnsi="Book Antiqua" w:cs="Arial"/>
          <w:lang w:val="en-US"/>
        </w:rPr>
        <w:t xml:space="preserve">considerably </w:t>
      </w:r>
      <w:r w:rsidR="001D2FA9" w:rsidRPr="00EA5799">
        <w:rPr>
          <w:rFonts w:ascii="Book Antiqua" w:eastAsia="GungsuhChe" w:hAnsi="Book Antiqua" w:cs="Arial"/>
          <w:lang w:val="en-US"/>
        </w:rPr>
        <w:t xml:space="preserve">changed </w:t>
      </w:r>
      <w:r w:rsidR="00F0449F" w:rsidRPr="00EA5799">
        <w:rPr>
          <w:rFonts w:ascii="Book Antiqua" w:eastAsia="GungsuhChe" w:hAnsi="Book Antiqua" w:cs="Arial"/>
          <w:lang w:val="en-US"/>
        </w:rPr>
        <w:t>in</w:t>
      </w:r>
      <w:r w:rsidR="00501386" w:rsidRPr="00EA5799">
        <w:rPr>
          <w:rFonts w:ascii="Book Antiqua" w:eastAsia="GungsuhChe" w:hAnsi="Book Antiqua" w:cs="Arial"/>
          <w:lang w:val="en-US"/>
        </w:rPr>
        <w:t xml:space="preserve"> </w:t>
      </w:r>
      <w:r w:rsidR="007C27EA" w:rsidRPr="00EA5799">
        <w:rPr>
          <w:rFonts w:ascii="Book Antiqua" w:eastAsia="GungsuhChe" w:hAnsi="Book Antiqua" w:cs="Arial"/>
          <w:lang w:val="en-US"/>
        </w:rPr>
        <w:t xml:space="preserve">recent </w:t>
      </w:r>
      <w:r w:rsidR="007A39E9" w:rsidRPr="00EA5799">
        <w:rPr>
          <w:rFonts w:ascii="Book Antiqua" w:eastAsia="GungsuhChe" w:hAnsi="Book Antiqua" w:cs="Arial"/>
          <w:lang w:val="en-US"/>
        </w:rPr>
        <w:t>years</w:t>
      </w:r>
      <w:r w:rsidR="001D2FA9" w:rsidRPr="00EA5799">
        <w:rPr>
          <w:rFonts w:ascii="Book Antiqua" w:eastAsia="GungsuhChe" w:hAnsi="Book Antiqua" w:cs="Arial"/>
          <w:lang w:val="en-US"/>
        </w:rPr>
        <w:t xml:space="preserve">, with a significant increase in adult </w:t>
      </w:r>
      <w:r w:rsidR="00A831BA" w:rsidRPr="00EA5799">
        <w:rPr>
          <w:rFonts w:ascii="Book Antiqua" w:eastAsia="GungsuhChe" w:hAnsi="Book Antiqua" w:cs="Arial"/>
          <w:lang w:val="en-US"/>
        </w:rPr>
        <w:t>prevalence that</w:t>
      </w:r>
      <w:r w:rsidR="004501E4" w:rsidRPr="00EA5799">
        <w:rPr>
          <w:rFonts w:ascii="Book Antiqua" w:eastAsia="GungsuhChe" w:hAnsi="Book Antiqua" w:cs="Arial"/>
          <w:lang w:val="en-US"/>
        </w:rPr>
        <w:t xml:space="preserve"> </w:t>
      </w:r>
      <w:r w:rsidR="001D2FA9" w:rsidRPr="00EA5799">
        <w:rPr>
          <w:rFonts w:ascii="Book Antiqua" w:eastAsia="GungsuhChe" w:hAnsi="Book Antiqua" w:cs="Arial"/>
          <w:lang w:val="en-US"/>
        </w:rPr>
        <w:t xml:space="preserve">was not </w:t>
      </w:r>
      <w:r w:rsidR="00F0449F" w:rsidRPr="00EA5799">
        <w:rPr>
          <w:rFonts w:ascii="Book Antiqua" w:eastAsia="GungsuhChe" w:hAnsi="Book Antiqua" w:cs="Arial"/>
          <w:lang w:val="en-US"/>
        </w:rPr>
        <w:t xml:space="preserve">previously </w:t>
      </w:r>
      <w:proofErr w:type="gramStart"/>
      <w:r w:rsidR="00EA3953">
        <w:rPr>
          <w:rFonts w:ascii="Book Antiqua" w:eastAsia="GungsuhChe" w:hAnsi="Book Antiqua" w:cs="Arial"/>
          <w:lang w:val="en-US"/>
        </w:rPr>
        <w:t>suspected</w:t>
      </w:r>
      <w:r w:rsidR="00C878D8" w:rsidRPr="00EA5799">
        <w:rPr>
          <w:rFonts w:ascii="Book Antiqua" w:eastAsia="GungsuhChe" w:hAnsi="Book Antiqua" w:cs="Arial"/>
          <w:vertAlign w:val="superscript"/>
          <w:lang w:val="en-US"/>
        </w:rPr>
        <w:t>[</w:t>
      </w:r>
      <w:proofErr w:type="gramEnd"/>
      <w:r w:rsidR="00C878D8" w:rsidRPr="00EA5799">
        <w:rPr>
          <w:rFonts w:ascii="Book Antiqua" w:eastAsia="GungsuhChe" w:hAnsi="Book Antiqua" w:cs="Arial"/>
          <w:vertAlign w:val="superscript"/>
          <w:lang w:val="en-US"/>
        </w:rPr>
        <w:t>2]</w:t>
      </w:r>
      <w:r w:rsidR="001D2FA9" w:rsidRPr="00EA5799">
        <w:rPr>
          <w:rFonts w:ascii="Book Antiqua" w:eastAsia="GungsuhChe" w:hAnsi="Book Antiqua" w:cs="Arial"/>
          <w:lang w:val="en-US"/>
        </w:rPr>
        <w:t>.</w:t>
      </w:r>
      <w:r w:rsidR="00501386" w:rsidRPr="00EA5799">
        <w:rPr>
          <w:rFonts w:ascii="Book Antiqua" w:eastAsia="GungsuhChe" w:hAnsi="Book Antiqua" w:cs="Arial"/>
          <w:lang w:val="en-US"/>
        </w:rPr>
        <w:t xml:space="preserve"> </w:t>
      </w:r>
      <w:r w:rsidR="00FF6A29" w:rsidRPr="00EA5799">
        <w:rPr>
          <w:rFonts w:ascii="Book Antiqua" w:eastAsia="GungsuhChe" w:hAnsi="Book Antiqua" w:cs="Arial"/>
          <w:lang w:val="en-US"/>
        </w:rPr>
        <w:t xml:space="preserve">The </w:t>
      </w:r>
      <w:r w:rsidR="007A39E9" w:rsidRPr="00EA5799">
        <w:rPr>
          <w:rFonts w:ascii="Book Antiqua" w:eastAsia="GungsuhChe" w:hAnsi="Book Antiqua" w:cs="Arial"/>
          <w:lang w:val="en-US"/>
        </w:rPr>
        <w:t>clinical presentation</w:t>
      </w:r>
      <w:r w:rsidR="00FF6A29" w:rsidRPr="00EA5799">
        <w:rPr>
          <w:rFonts w:ascii="Book Antiqua" w:eastAsia="GungsuhChe" w:hAnsi="Book Antiqua" w:cs="Arial"/>
          <w:lang w:val="en-US"/>
        </w:rPr>
        <w:t xml:space="preserve"> of CD</w:t>
      </w:r>
      <w:r w:rsidR="004501E4" w:rsidRPr="00EA5799">
        <w:rPr>
          <w:rFonts w:ascii="Book Antiqua" w:eastAsia="GungsuhChe" w:hAnsi="Book Antiqua" w:cs="Arial"/>
          <w:lang w:val="en-US"/>
        </w:rPr>
        <w:t xml:space="preserve"> has also changed, from typical malnutrition to </w:t>
      </w:r>
      <w:proofErr w:type="spellStart"/>
      <w:r w:rsidR="004501E4" w:rsidRPr="00EA5799">
        <w:rPr>
          <w:rFonts w:ascii="Book Antiqua" w:eastAsia="GungsuhChe" w:hAnsi="Book Antiqua" w:cs="Arial"/>
          <w:lang w:val="en-US"/>
        </w:rPr>
        <w:t>oligosymptomatic</w:t>
      </w:r>
      <w:proofErr w:type="spellEnd"/>
      <w:r w:rsidR="004501E4" w:rsidRPr="00EA5799">
        <w:rPr>
          <w:rFonts w:ascii="Book Antiqua" w:eastAsia="GungsuhChe" w:hAnsi="Book Antiqua" w:cs="Arial"/>
          <w:lang w:val="en-US"/>
        </w:rPr>
        <w:t xml:space="preserve"> cases such as anemia, osteoporosis and even asymptomatic</w:t>
      </w:r>
      <w:r w:rsidR="00D537CC" w:rsidRPr="00EA5799">
        <w:rPr>
          <w:rFonts w:ascii="Book Antiqua" w:eastAsia="GungsuhChe" w:hAnsi="Book Antiqua" w:cs="Arial"/>
          <w:lang w:val="en-US"/>
        </w:rPr>
        <w:t xml:space="preserve"> cases diagnose</w:t>
      </w:r>
      <w:r w:rsidR="005372E3" w:rsidRPr="00EA5799">
        <w:rPr>
          <w:rFonts w:ascii="Book Antiqua" w:eastAsia="GungsuhChe" w:hAnsi="Book Antiqua" w:cs="Arial"/>
          <w:lang w:val="en-US"/>
        </w:rPr>
        <w:t>d</w:t>
      </w:r>
      <w:r w:rsidR="00D537CC" w:rsidRPr="00EA5799">
        <w:rPr>
          <w:rFonts w:ascii="Book Antiqua" w:eastAsia="GungsuhChe" w:hAnsi="Book Antiqua" w:cs="Arial"/>
          <w:lang w:val="en-US"/>
        </w:rPr>
        <w:t xml:space="preserve"> by </w:t>
      </w:r>
      <w:r w:rsidR="00A831BA" w:rsidRPr="00EA5799">
        <w:rPr>
          <w:rFonts w:ascii="Book Antiqua" w:eastAsia="GungsuhChe" w:hAnsi="Book Antiqua" w:cs="Arial"/>
          <w:lang w:val="en-US"/>
        </w:rPr>
        <w:t>screening high-</w:t>
      </w:r>
      <w:r w:rsidR="00761B7B" w:rsidRPr="00EA5799">
        <w:rPr>
          <w:rFonts w:ascii="Book Antiqua" w:eastAsia="GungsuhChe" w:hAnsi="Book Antiqua" w:cs="Arial"/>
          <w:lang w:val="en-US"/>
        </w:rPr>
        <w:t xml:space="preserve">risk </w:t>
      </w:r>
      <w:proofErr w:type="gramStart"/>
      <w:r w:rsidR="00761B7B" w:rsidRPr="00EA5799">
        <w:rPr>
          <w:rFonts w:ascii="Book Antiqua" w:eastAsia="GungsuhChe" w:hAnsi="Book Antiqua" w:cs="Arial"/>
          <w:lang w:val="en-US"/>
        </w:rPr>
        <w:t>group</w:t>
      </w:r>
      <w:r w:rsidR="00A831BA" w:rsidRPr="00EA5799">
        <w:rPr>
          <w:rFonts w:ascii="Book Antiqua" w:eastAsia="GungsuhChe" w:hAnsi="Book Antiqua" w:cs="Arial"/>
          <w:lang w:val="en-US"/>
        </w:rPr>
        <w:t>s</w:t>
      </w:r>
      <w:r w:rsidR="00C878D8" w:rsidRPr="00EA5799">
        <w:rPr>
          <w:rFonts w:ascii="Book Antiqua" w:eastAsia="GungsuhChe" w:hAnsi="Book Antiqua" w:cs="Arial"/>
          <w:vertAlign w:val="superscript"/>
          <w:lang w:val="en-US"/>
        </w:rPr>
        <w:t>[</w:t>
      </w:r>
      <w:proofErr w:type="gramEnd"/>
      <w:r w:rsidR="00C878D8" w:rsidRPr="00EA5799">
        <w:rPr>
          <w:rFonts w:ascii="Book Antiqua" w:eastAsia="GungsuhChe" w:hAnsi="Book Antiqua" w:cs="Arial"/>
          <w:vertAlign w:val="superscript"/>
          <w:lang w:val="en-US"/>
        </w:rPr>
        <w:t>3,4]</w:t>
      </w:r>
      <w:r w:rsidR="00D537CC" w:rsidRPr="00EA5799">
        <w:rPr>
          <w:rFonts w:ascii="Book Antiqua" w:eastAsia="GungsuhChe" w:hAnsi="Book Antiqua" w:cs="Arial"/>
          <w:lang w:val="en-US"/>
        </w:rPr>
        <w:t>.</w:t>
      </w:r>
      <w:r w:rsidR="00C878D8" w:rsidRPr="00EA5799" w:rsidDel="00C878D8">
        <w:rPr>
          <w:rFonts w:ascii="Book Antiqua" w:eastAsia="GungsuhChe" w:hAnsi="Book Antiqua" w:cs="Arial"/>
          <w:lang w:val="en-US"/>
        </w:rPr>
        <w:t xml:space="preserve"> </w:t>
      </w:r>
    </w:p>
    <w:p w14:paraId="6065810E" w14:textId="077B0C1F" w:rsidR="00D537CC" w:rsidRDefault="00D537CC" w:rsidP="008C7794">
      <w:pPr>
        <w:spacing w:after="0" w:line="360" w:lineRule="auto"/>
        <w:ind w:firstLineChars="100" w:firstLine="240"/>
        <w:jc w:val="both"/>
        <w:rPr>
          <w:rFonts w:ascii="Book Antiqua" w:eastAsia="宋体" w:hAnsi="Book Antiqua" w:cs="Arial"/>
          <w:lang w:val="en-US" w:eastAsia="zh-CN"/>
        </w:rPr>
      </w:pPr>
      <w:r w:rsidRPr="00EA5799">
        <w:rPr>
          <w:rFonts w:ascii="Book Antiqua" w:eastAsia="GungsuhChe" w:hAnsi="Book Antiqua" w:cs="Arial"/>
          <w:lang w:val="en-US"/>
        </w:rPr>
        <w:t>The aim of this review is to describe the main differences in CD according to age</w:t>
      </w:r>
      <w:r w:rsidR="00A1148D" w:rsidRPr="00EA5799">
        <w:rPr>
          <w:rFonts w:ascii="Book Antiqua" w:eastAsia="GungsuhChe" w:hAnsi="Book Antiqua" w:cs="Arial"/>
          <w:lang w:val="en-US"/>
        </w:rPr>
        <w:t xml:space="preserve"> and</w:t>
      </w:r>
      <w:r w:rsidR="00260309" w:rsidRPr="00EA5799">
        <w:rPr>
          <w:rFonts w:ascii="Book Antiqua" w:eastAsia="GungsuhChe" w:hAnsi="Book Antiqua" w:cs="Arial"/>
          <w:lang w:val="en-US"/>
        </w:rPr>
        <w:t xml:space="preserve"> highlight the </w:t>
      </w:r>
      <w:r w:rsidR="00894DBD" w:rsidRPr="00EA5799">
        <w:rPr>
          <w:rFonts w:ascii="Book Antiqua" w:eastAsia="GungsuhChe" w:hAnsi="Book Antiqua" w:cs="Arial"/>
          <w:lang w:val="en-US"/>
        </w:rPr>
        <w:t xml:space="preserve">most </w:t>
      </w:r>
      <w:r w:rsidR="00260309" w:rsidRPr="00EA5799">
        <w:rPr>
          <w:rFonts w:ascii="Book Antiqua" w:eastAsia="GungsuhChe" w:hAnsi="Book Antiqua" w:cs="Arial"/>
          <w:lang w:val="en-US"/>
        </w:rPr>
        <w:t xml:space="preserve">characteristic aspects of </w:t>
      </w:r>
      <w:r w:rsidR="005E5B7F" w:rsidRPr="00EA5799">
        <w:rPr>
          <w:rFonts w:ascii="Book Antiqua" w:eastAsia="GungsuhChe" w:hAnsi="Book Antiqua" w:cs="Arial"/>
          <w:lang w:val="en-US"/>
        </w:rPr>
        <w:t xml:space="preserve">its </w:t>
      </w:r>
      <w:r w:rsidR="00260309" w:rsidRPr="00EA5799">
        <w:rPr>
          <w:rFonts w:ascii="Book Antiqua" w:eastAsia="GungsuhChe" w:hAnsi="Book Antiqua" w:cs="Arial"/>
          <w:lang w:val="en-US"/>
        </w:rPr>
        <w:t>adult forms.</w:t>
      </w:r>
    </w:p>
    <w:p w14:paraId="434F4B55" w14:textId="77777777" w:rsidR="008C7794" w:rsidRPr="008C7794" w:rsidRDefault="008C7794" w:rsidP="008C7794">
      <w:pPr>
        <w:spacing w:after="0" w:line="360" w:lineRule="auto"/>
        <w:ind w:firstLineChars="100" w:firstLine="240"/>
        <w:jc w:val="both"/>
        <w:rPr>
          <w:rFonts w:ascii="Book Antiqua" w:eastAsia="宋体" w:hAnsi="Book Antiqua" w:cs="Arial"/>
          <w:lang w:val="en-US" w:eastAsia="zh-CN"/>
        </w:rPr>
      </w:pPr>
    </w:p>
    <w:p w14:paraId="3114F28B" w14:textId="7F7B2827" w:rsidR="00A87C65" w:rsidRPr="00EA5799" w:rsidRDefault="008C7794" w:rsidP="00EA5799">
      <w:pPr>
        <w:spacing w:after="0" w:line="360" w:lineRule="auto"/>
        <w:jc w:val="both"/>
        <w:rPr>
          <w:rFonts w:ascii="Book Antiqua" w:eastAsia="GungsuhChe" w:hAnsi="Book Antiqua" w:cs="Arial"/>
          <w:b/>
          <w:lang w:val="en-US"/>
        </w:rPr>
      </w:pPr>
      <w:r w:rsidRPr="00EA5799">
        <w:rPr>
          <w:rFonts w:ascii="Book Antiqua" w:eastAsia="GungsuhChe" w:hAnsi="Book Antiqua" w:cs="Arial"/>
          <w:b/>
          <w:lang w:val="en-US"/>
        </w:rPr>
        <w:t>EPIDEMIOLOGY</w:t>
      </w:r>
    </w:p>
    <w:p w14:paraId="0BA98D06" w14:textId="53FEEDFD" w:rsidR="000C32C6" w:rsidRPr="00EA5799" w:rsidRDefault="00545204" w:rsidP="00EA5799">
      <w:pPr>
        <w:spacing w:after="0" w:line="360" w:lineRule="auto"/>
        <w:jc w:val="both"/>
        <w:rPr>
          <w:rFonts w:ascii="Book Antiqua" w:eastAsia="GungsuhChe" w:hAnsi="Book Antiqua" w:cs="Arial"/>
          <w:lang w:val="en-US"/>
        </w:rPr>
      </w:pPr>
      <w:r w:rsidRPr="00EA5799">
        <w:rPr>
          <w:rFonts w:ascii="Book Antiqua" w:eastAsia="GungsuhChe" w:hAnsi="Book Antiqua" w:cs="Arial"/>
          <w:lang w:val="en-US"/>
        </w:rPr>
        <w:t>CD</w:t>
      </w:r>
      <w:r w:rsidR="007A39E9" w:rsidRPr="00EA5799">
        <w:rPr>
          <w:rFonts w:ascii="Book Antiqua" w:eastAsia="GungsuhChe" w:hAnsi="Book Antiqua" w:cs="Arial"/>
          <w:lang w:val="en-US"/>
        </w:rPr>
        <w:t xml:space="preserve"> is a disorder more frequent than previously described. </w:t>
      </w:r>
      <w:r w:rsidR="00AA6C49" w:rsidRPr="00EA5799">
        <w:rPr>
          <w:rFonts w:ascii="Book Antiqua" w:eastAsia="GungsuhChe" w:hAnsi="Book Antiqua" w:cs="Arial"/>
          <w:lang w:val="en-US"/>
        </w:rPr>
        <w:t>The current prevalence of CD</w:t>
      </w:r>
      <w:r w:rsidR="003D40EB" w:rsidRPr="00EA5799">
        <w:rPr>
          <w:rFonts w:ascii="Book Antiqua" w:eastAsia="GungsuhChe" w:hAnsi="Book Antiqua" w:cs="Arial"/>
          <w:lang w:val="en-US"/>
        </w:rPr>
        <w:t xml:space="preserve"> ranges between 1/100-</w:t>
      </w:r>
      <w:r w:rsidR="00A7764F" w:rsidRPr="00EA5799">
        <w:rPr>
          <w:rFonts w:ascii="Book Antiqua" w:eastAsia="GungsuhChe" w:hAnsi="Book Antiqua" w:cs="Arial"/>
          <w:lang w:val="en-US"/>
        </w:rPr>
        <w:t>1/</w:t>
      </w:r>
      <w:r w:rsidR="003D40EB" w:rsidRPr="00EA5799">
        <w:rPr>
          <w:rFonts w:ascii="Book Antiqua" w:eastAsia="GungsuhChe" w:hAnsi="Book Antiqua" w:cs="Arial"/>
          <w:lang w:val="en-US"/>
        </w:rPr>
        <w:t xml:space="preserve">500 subjects </w:t>
      </w:r>
      <w:r w:rsidR="00A7764F" w:rsidRPr="00EA5799">
        <w:rPr>
          <w:rFonts w:ascii="Book Antiqua" w:eastAsia="GungsuhChe" w:hAnsi="Book Antiqua" w:cs="Arial"/>
          <w:lang w:val="en-US"/>
        </w:rPr>
        <w:t xml:space="preserve">depending </w:t>
      </w:r>
      <w:r w:rsidR="003D40EB" w:rsidRPr="00EA5799">
        <w:rPr>
          <w:rFonts w:ascii="Book Antiqua" w:eastAsia="GungsuhChe" w:hAnsi="Book Antiqua" w:cs="Arial"/>
          <w:lang w:val="en-US"/>
        </w:rPr>
        <w:t xml:space="preserve">to </w:t>
      </w:r>
      <w:r w:rsidR="00412B7E" w:rsidRPr="00EA5799">
        <w:rPr>
          <w:rFonts w:ascii="Book Antiqua" w:eastAsia="GungsuhChe" w:hAnsi="Book Antiqua" w:cs="Arial"/>
          <w:lang w:val="en-US"/>
        </w:rPr>
        <w:t xml:space="preserve">the </w:t>
      </w:r>
      <w:r w:rsidR="003D40EB" w:rsidRPr="00EA5799">
        <w:rPr>
          <w:rFonts w:ascii="Book Antiqua" w:eastAsia="GungsuhChe" w:hAnsi="Book Antiqua" w:cs="Arial"/>
          <w:lang w:val="en-US"/>
        </w:rPr>
        <w:t>different population</w:t>
      </w:r>
      <w:r w:rsidR="00A7764F" w:rsidRPr="00EA5799">
        <w:rPr>
          <w:rFonts w:ascii="Book Antiqua" w:eastAsia="GungsuhChe" w:hAnsi="Book Antiqua" w:cs="Arial"/>
          <w:lang w:val="en-US"/>
        </w:rPr>
        <w:t>s</w:t>
      </w:r>
      <w:r w:rsidR="003D40EB" w:rsidRPr="00EA5799">
        <w:rPr>
          <w:rFonts w:ascii="Book Antiqua" w:eastAsia="GungsuhChe" w:hAnsi="Book Antiqua" w:cs="Arial"/>
          <w:lang w:val="en-US"/>
        </w:rPr>
        <w:t xml:space="preserve"> </w:t>
      </w:r>
      <w:r w:rsidR="008F0592" w:rsidRPr="00EA5799">
        <w:rPr>
          <w:rFonts w:ascii="Book Antiqua" w:eastAsia="GungsuhChe" w:hAnsi="Book Antiqua" w:cs="Arial"/>
          <w:lang w:val="en-US"/>
        </w:rPr>
        <w:t xml:space="preserve">surveyed </w:t>
      </w:r>
      <w:r w:rsidR="003D40EB" w:rsidRPr="00EA5799">
        <w:rPr>
          <w:rFonts w:ascii="Book Antiqua" w:eastAsia="GungsuhChe" w:hAnsi="Book Antiqua" w:cs="Arial"/>
          <w:lang w:val="en-US"/>
        </w:rPr>
        <w:t xml:space="preserve">and the method employed, with a </w:t>
      </w:r>
      <w:r w:rsidR="00412B7E" w:rsidRPr="00EA5799">
        <w:rPr>
          <w:rFonts w:ascii="Book Antiqua" w:eastAsia="GungsuhChe" w:hAnsi="Book Antiqua" w:cs="Arial"/>
          <w:lang w:val="en-US"/>
        </w:rPr>
        <w:t>higher</w:t>
      </w:r>
      <w:r w:rsidR="003D40EB" w:rsidRPr="00EA5799">
        <w:rPr>
          <w:rFonts w:ascii="Book Antiqua" w:eastAsia="GungsuhChe" w:hAnsi="Book Antiqua" w:cs="Arial"/>
          <w:lang w:val="en-US"/>
        </w:rPr>
        <w:t xml:space="preserve"> </w:t>
      </w:r>
      <w:r w:rsidR="00AA6C49" w:rsidRPr="00EA5799">
        <w:rPr>
          <w:rFonts w:ascii="Book Antiqua" w:eastAsia="GungsuhChe" w:hAnsi="Book Antiqua" w:cs="Arial"/>
          <w:lang w:val="en-US"/>
        </w:rPr>
        <w:t>positive diagnosis in</w:t>
      </w:r>
      <w:r w:rsidR="0085227A" w:rsidRPr="00EA5799">
        <w:rPr>
          <w:rFonts w:ascii="Book Antiqua" w:eastAsia="GungsuhChe" w:hAnsi="Book Antiqua" w:cs="Arial"/>
          <w:lang w:val="en-US"/>
        </w:rPr>
        <w:t xml:space="preserve"> </w:t>
      </w:r>
      <w:proofErr w:type="gramStart"/>
      <w:r w:rsidR="003D40EB" w:rsidRPr="00EA5799">
        <w:rPr>
          <w:rFonts w:ascii="Book Antiqua" w:eastAsia="GungsuhChe" w:hAnsi="Book Antiqua" w:cs="Arial"/>
          <w:lang w:val="en-US"/>
        </w:rPr>
        <w:t>females</w:t>
      </w:r>
      <w:r w:rsidR="00C878D8" w:rsidRPr="00EA5799">
        <w:rPr>
          <w:rFonts w:ascii="Book Antiqua" w:eastAsia="GungsuhChe" w:hAnsi="Book Antiqua" w:cs="Arial"/>
          <w:vertAlign w:val="superscript"/>
          <w:lang w:val="en-US"/>
        </w:rPr>
        <w:t>[</w:t>
      </w:r>
      <w:proofErr w:type="gramEnd"/>
      <w:r w:rsidR="00C878D8" w:rsidRPr="00EA5799">
        <w:rPr>
          <w:rFonts w:ascii="Book Antiqua" w:eastAsia="GungsuhChe" w:hAnsi="Book Antiqua" w:cs="Arial"/>
          <w:vertAlign w:val="superscript"/>
          <w:lang w:val="en-US"/>
        </w:rPr>
        <w:t>2]</w:t>
      </w:r>
      <w:r w:rsidR="003D40EB" w:rsidRPr="00EA5799">
        <w:rPr>
          <w:rFonts w:ascii="Book Antiqua" w:eastAsia="GungsuhChe" w:hAnsi="Book Antiqua" w:cs="Arial"/>
          <w:lang w:val="en-US"/>
        </w:rPr>
        <w:t xml:space="preserve">. </w:t>
      </w:r>
      <w:r w:rsidR="0085227A" w:rsidRPr="00EA5799">
        <w:rPr>
          <w:rFonts w:ascii="Book Antiqua" w:eastAsia="GungsuhChe" w:hAnsi="Book Antiqua" w:cs="Arial"/>
          <w:lang w:val="en-US"/>
        </w:rPr>
        <w:t>The accuracy of CD prevalence has been substantially improved by the high sensitivity and specificity of serological tes</w:t>
      </w:r>
      <w:r w:rsidR="009827BC" w:rsidRPr="00EA5799">
        <w:rPr>
          <w:rFonts w:ascii="Book Antiqua" w:eastAsia="GungsuhChe" w:hAnsi="Book Antiqua" w:cs="Arial"/>
          <w:lang w:val="en-US"/>
        </w:rPr>
        <w:t>ts detecting anti-</w:t>
      </w:r>
      <w:proofErr w:type="spellStart"/>
      <w:r w:rsidR="009827BC" w:rsidRPr="00EA5799">
        <w:rPr>
          <w:rFonts w:ascii="Book Antiqua" w:eastAsia="GungsuhChe" w:hAnsi="Book Antiqua" w:cs="Arial"/>
          <w:lang w:val="en-US"/>
        </w:rPr>
        <w:t>endomysial</w:t>
      </w:r>
      <w:proofErr w:type="spellEnd"/>
      <w:r w:rsidR="009827BC" w:rsidRPr="00EA5799">
        <w:rPr>
          <w:rFonts w:ascii="Book Antiqua" w:eastAsia="GungsuhChe" w:hAnsi="Book Antiqua" w:cs="Arial"/>
          <w:lang w:val="en-US"/>
        </w:rPr>
        <w:t>,</w:t>
      </w:r>
      <w:r w:rsidR="0085227A" w:rsidRPr="00EA5799">
        <w:rPr>
          <w:rFonts w:ascii="Book Antiqua" w:eastAsia="GungsuhChe" w:hAnsi="Book Antiqua" w:cs="Arial"/>
          <w:lang w:val="en-US"/>
        </w:rPr>
        <w:t xml:space="preserve"> anti-tissue transglutaminase</w:t>
      </w:r>
      <w:r w:rsidR="009827BC" w:rsidRPr="00EA5799">
        <w:rPr>
          <w:rFonts w:ascii="Book Antiqua" w:eastAsia="GungsuhChe" w:hAnsi="Book Antiqua" w:cs="Arial"/>
          <w:lang w:val="en-US"/>
        </w:rPr>
        <w:t xml:space="preserve"> or anti-</w:t>
      </w:r>
      <w:proofErr w:type="spellStart"/>
      <w:r w:rsidR="009827BC" w:rsidRPr="00EA5799">
        <w:rPr>
          <w:rFonts w:ascii="Book Antiqua" w:eastAsia="GungsuhChe" w:hAnsi="Book Antiqua" w:cs="Arial"/>
          <w:lang w:val="en-US"/>
        </w:rPr>
        <w:t>deamidated</w:t>
      </w:r>
      <w:proofErr w:type="spellEnd"/>
      <w:r w:rsidR="009827BC" w:rsidRPr="00EA5799">
        <w:rPr>
          <w:rFonts w:ascii="Book Antiqua" w:eastAsia="GungsuhChe" w:hAnsi="Book Antiqua" w:cs="Arial"/>
          <w:lang w:val="en-US"/>
        </w:rPr>
        <w:t xml:space="preserve"> gliadin</w:t>
      </w:r>
      <w:r w:rsidR="0085227A" w:rsidRPr="00EA5799">
        <w:rPr>
          <w:rFonts w:ascii="Book Antiqua" w:eastAsia="GungsuhChe" w:hAnsi="Book Antiqua" w:cs="Arial"/>
          <w:lang w:val="en-US"/>
        </w:rPr>
        <w:t xml:space="preserve"> antibodies. These tests have allowed screening of large </w:t>
      </w:r>
      <w:r w:rsidR="00501386" w:rsidRPr="00EA5799">
        <w:rPr>
          <w:rFonts w:ascii="Book Antiqua" w:eastAsia="GungsuhChe" w:hAnsi="Book Antiqua" w:cs="Arial"/>
          <w:lang w:val="en-US"/>
        </w:rPr>
        <w:t>cohorts</w:t>
      </w:r>
      <w:r w:rsidR="00456A98" w:rsidRPr="00EA5799">
        <w:rPr>
          <w:rFonts w:ascii="Book Antiqua" w:eastAsia="GungsuhChe" w:hAnsi="Book Antiqua" w:cs="Arial"/>
          <w:lang w:val="en-US"/>
        </w:rPr>
        <w:t xml:space="preserve">, which </w:t>
      </w:r>
      <w:r w:rsidR="0085227A" w:rsidRPr="00EA5799">
        <w:rPr>
          <w:rFonts w:ascii="Book Antiqua" w:eastAsia="GungsuhChe" w:hAnsi="Book Antiqua" w:cs="Arial"/>
          <w:lang w:val="en-US"/>
        </w:rPr>
        <w:t xml:space="preserve">resulted in </w:t>
      </w:r>
      <w:r w:rsidR="00687915" w:rsidRPr="00EA5799">
        <w:rPr>
          <w:rFonts w:ascii="Book Antiqua" w:eastAsia="GungsuhChe" w:hAnsi="Book Antiqua" w:cs="Arial"/>
          <w:lang w:val="en-US"/>
        </w:rPr>
        <w:t>estimating</w:t>
      </w:r>
      <w:r w:rsidR="0085227A" w:rsidRPr="00EA5799">
        <w:rPr>
          <w:rFonts w:ascii="Book Antiqua" w:eastAsia="GungsuhChe" w:hAnsi="Book Antiqua" w:cs="Arial"/>
          <w:lang w:val="en-US"/>
        </w:rPr>
        <w:t xml:space="preserve"> CD prevalence as high as 1% of the general population</w:t>
      </w:r>
      <w:r w:rsidR="00071362" w:rsidRPr="00EA5799">
        <w:rPr>
          <w:rFonts w:ascii="Book Antiqua" w:eastAsia="GungsuhChe" w:hAnsi="Book Antiqua" w:cs="Arial"/>
          <w:lang w:val="en-US"/>
        </w:rPr>
        <w:t>,</w:t>
      </w:r>
      <w:r w:rsidR="0085227A" w:rsidRPr="00EA5799">
        <w:rPr>
          <w:rFonts w:ascii="Book Antiqua" w:eastAsia="GungsuhChe" w:hAnsi="Book Antiqua" w:cs="Arial"/>
          <w:lang w:val="en-US"/>
        </w:rPr>
        <w:t xml:space="preserve"> both in Europe and North </w:t>
      </w:r>
      <w:proofErr w:type="gramStart"/>
      <w:r w:rsidR="0085227A" w:rsidRPr="00EA5799">
        <w:rPr>
          <w:rFonts w:ascii="Book Antiqua" w:eastAsia="GungsuhChe" w:hAnsi="Book Antiqua" w:cs="Arial"/>
          <w:lang w:val="en-US"/>
        </w:rPr>
        <w:t>America</w:t>
      </w:r>
      <w:r w:rsidR="000E6543" w:rsidRPr="00EA5799">
        <w:rPr>
          <w:rFonts w:ascii="Book Antiqua" w:eastAsia="GungsuhChe" w:hAnsi="Book Antiqua" w:cs="Arial"/>
          <w:vertAlign w:val="superscript"/>
          <w:lang w:val="en-US"/>
        </w:rPr>
        <w:t>[</w:t>
      </w:r>
      <w:proofErr w:type="gramEnd"/>
      <w:r w:rsidR="000E6543" w:rsidRPr="00EA5799">
        <w:rPr>
          <w:rFonts w:ascii="Book Antiqua" w:eastAsia="GungsuhChe" w:hAnsi="Book Antiqua" w:cs="Arial"/>
          <w:vertAlign w:val="superscript"/>
          <w:lang w:val="en-US"/>
        </w:rPr>
        <w:t>5]</w:t>
      </w:r>
      <w:r w:rsidR="0085227A" w:rsidRPr="00EA5799">
        <w:rPr>
          <w:rFonts w:ascii="Book Antiqua" w:eastAsia="GungsuhChe" w:hAnsi="Book Antiqua" w:cs="Arial"/>
          <w:lang w:val="en-US"/>
        </w:rPr>
        <w:t xml:space="preserve">. However, most of these studies are focused </w:t>
      </w:r>
      <w:r w:rsidR="00071362" w:rsidRPr="00EA5799">
        <w:rPr>
          <w:rFonts w:ascii="Book Antiqua" w:eastAsia="GungsuhChe" w:hAnsi="Book Antiqua" w:cs="Arial"/>
          <w:lang w:val="en-US"/>
        </w:rPr>
        <w:t xml:space="preserve">on </w:t>
      </w:r>
      <w:r w:rsidR="0085227A" w:rsidRPr="00EA5799">
        <w:rPr>
          <w:rFonts w:ascii="Book Antiqua" w:eastAsia="GungsuhChe" w:hAnsi="Book Antiqua" w:cs="Arial"/>
          <w:lang w:val="en-US"/>
        </w:rPr>
        <w:t>children.</w:t>
      </w:r>
      <w:r w:rsidR="002E569F" w:rsidRPr="00EA5799">
        <w:rPr>
          <w:rFonts w:ascii="Book Antiqua" w:eastAsia="GungsuhChe" w:hAnsi="Book Antiqua" w:cs="Arial"/>
          <w:lang w:val="en-US"/>
        </w:rPr>
        <w:t xml:space="preserve"> </w:t>
      </w:r>
      <w:r w:rsidR="00A61210" w:rsidRPr="00EA5799">
        <w:rPr>
          <w:rFonts w:ascii="Book Antiqua" w:eastAsia="GungsuhChe" w:hAnsi="Book Antiqua" w:cs="Arial"/>
          <w:lang w:val="en-US"/>
        </w:rPr>
        <w:t>A</w:t>
      </w:r>
      <w:r w:rsidR="009B6BC2" w:rsidRPr="00EA5799">
        <w:rPr>
          <w:rFonts w:ascii="Book Antiqua" w:eastAsia="GungsuhChe" w:hAnsi="Book Antiqua" w:cs="Arial"/>
          <w:lang w:val="en-US"/>
        </w:rPr>
        <w:t xml:space="preserve"> </w:t>
      </w:r>
      <w:r w:rsidR="00956619" w:rsidRPr="00EA5799">
        <w:rPr>
          <w:rFonts w:ascii="Book Antiqua" w:eastAsia="GungsuhChe" w:hAnsi="Book Antiqua" w:cs="Arial"/>
          <w:lang w:val="en-US"/>
        </w:rPr>
        <w:t>recent epidemiological study</w:t>
      </w:r>
      <w:r w:rsidR="00275006" w:rsidRPr="00EA5799">
        <w:rPr>
          <w:rFonts w:ascii="Book Antiqua" w:eastAsia="GungsuhChe" w:hAnsi="Book Antiqua" w:cs="Arial"/>
          <w:lang w:val="en-US"/>
        </w:rPr>
        <w:t xml:space="preserve"> in Catalonia that</w:t>
      </w:r>
      <w:r w:rsidR="00A61210" w:rsidRPr="00EA5799">
        <w:rPr>
          <w:rFonts w:ascii="Book Antiqua" w:eastAsia="GungsuhChe" w:hAnsi="Book Antiqua" w:cs="Arial"/>
          <w:lang w:val="en-US"/>
        </w:rPr>
        <w:t xml:space="preserve"> </w:t>
      </w:r>
      <w:r w:rsidR="00275006" w:rsidRPr="00EA5799">
        <w:rPr>
          <w:rFonts w:ascii="Book Antiqua" w:eastAsia="GungsuhChe" w:hAnsi="Book Antiqua" w:cs="Arial"/>
          <w:lang w:val="en-US"/>
        </w:rPr>
        <w:t xml:space="preserve">used serology to </w:t>
      </w:r>
      <w:r w:rsidR="00A61210" w:rsidRPr="00EA5799">
        <w:rPr>
          <w:rFonts w:ascii="Book Antiqua" w:eastAsia="GungsuhChe" w:hAnsi="Book Antiqua" w:cs="Arial"/>
          <w:lang w:val="en-US"/>
        </w:rPr>
        <w:t>analyz</w:t>
      </w:r>
      <w:r w:rsidR="00275006" w:rsidRPr="00EA5799">
        <w:rPr>
          <w:rFonts w:ascii="Book Antiqua" w:eastAsia="GungsuhChe" w:hAnsi="Book Antiqua" w:cs="Arial"/>
          <w:lang w:val="en-US"/>
        </w:rPr>
        <w:t>e</w:t>
      </w:r>
      <w:r w:rsidR="00A61210" w:rsidRPr="00EA5799">
        <w:rPr>
          <w:rFonts w:ascii="Book Antiqua" w:eastAsia="GungsuhChe" w:hAnsi="Book Antiqua" w:cs="Arial"/>
          <w:lang w:val="en-US"/>
        </w:rPr>
        <w:t xml:space="preserve"> prevalence</w:t>
      </w:r>
      <w:r w:rsidR="00956619"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A61210" w:rsidRPr="00EA5799">
        <w:rPr>
          <w:rFonts w:ascii="Book Antiqua" w:eastAsia="GungsuhChe" w:hAnsi="Book Antiqua" w:cs="Arial"/>
          <w:lang w:val="en-US"/>
        </w:rPr>
        <w:t>showed that</w:t>
      </w:r>
      <w:r w:rsidR="00956619" w:rsidRPr="00EA5799">
        <w:rPr>
          <w:rFonts w:ascii="Book Antiqua" w:eastAsia="GungsuhChe" w:hAnsi="Book Antiqua" w:cs="Arial"/>
          <w:lang w:val="en-US"/>
        </w:rPr>
        <w:t xml:space="preserve"> </w:t>
      </w:r>
      <w:r w:rsidR="008B5F6B" w:rsidRPr="00EA5799">
        <w:rPr>
          <w:rFonts w:ascii="Book Antiqua" w:eastAsia="GungsuhChe" w:hAnsi="Book Antiqua" w:cs="Arial"/>
          <w:lang w:val="en-US"/>
        </w:rPr>
        <w:t xml:space="preserve">CD prevalence in children (1/71) was five times higher </w:t>
      </w:r>
      <w:r w:rsidR="00412B7E" w:rsidRPr="00EA5799">
        <w:rPr>
          <w:rFonts w:ascii="Book Antiqua" w:eastAsia="GungsuhChe" w:hAnsi="Book Antiqua" w:cs="Arial"/>
          <w:lang w:val="en-US"/>
        </w:rPr>
        <w:t xml:space="preserve">than </w:t>
      </w:r>
      <w:r w:rsidR="00123BEA" w:rsidRPr="00EA5799">
        <w:rPr>
          <w:rFonts w:ascii="Book Antiqua" w:eastAsia="GungsuhChe" w:hAnsi="Book Antiqua" w:cs="Arial"/>
          <w:lang w:val="en-US"/>
        </w:rPr>
        <w:t xml:space="preserve">in </w:t>
      </w:r>
      <w:r w:rsidR="008B5F6B" w:rsidRPr="00EA5799">
        <w:rPr>
          <w:rFonts w:ascii="Book Antiqua" w:eastAsia="GungsuhChe" w:hAnsi="Book Antiqua" w:cs="Arial"/>
          <w:lang w:val="en-US"/>
        </w:rPr>
        <w:t>adults</w:t>
      </w:r>
      <w:r w:rsidR="00A24A57" w:rsidRPr="00EA5799">
        <w:rPr>
          <w:rFonts w:ascii="Book Antiqua" w:eastAsia="GungsuhChe" w:hAnsi="Book Antiqua" w:cs="Arial"/>
          <w:lang w:val="en-US"/>
        </w:rPr>
        <w:t xml:space="preserve"> </w:t>
      </w:r>
      <w:r w:rsidR="00B864FE" w:rsidRPr="00EA5799">
        <w:rPr>
          <w:rFonts w:ascii="Book Antiqua" w:eastAsia="GungsuhChe" w:hAnsi="Book Antiqua" w:cs="Arial"/>
          <w:lang w:val="en-US"/>
        </w:rPr>
        <w:t>(1/357).</w:t>
      </w:r>
      <w:r w:rsidR="002E569F" w:rsidRPr="00EA5799">
        <w:rPr>
          <w:rFonts w:ascii="Book Antiqua" w:eastAsia="GungsuhChe" w:hAnsi="Book Antiqua" w:cs="Arial"/>
          <w:lang w:val="en-US"/>
        </w:rPr>
        <w:t xml:space="preserve"> </w:t>
      </w:r>
      <w:r w:rsidR="00123BEA" w:rsidRPr="00EA5799">
        <w:rPr>
          <w:rFonts w:ascii="Book Antiqua" w:eastAsia="GungsuhChe" w:hAnsi="Book Antiqua" w:cs="Arial"/>
          <w:lang w:val="en-US"/>
        </w:rPr>
        <w:t>The a</w:t>
      </w:r>
      <w:r w:rsidR="0022665A" w:rsidRPr="00EA5799">
        <w:rPr>
          <w:rFonts w:ascii="Book Antiqua" w:eastAsia="GungsuhChe" w:hAnsi="Book Antiqua" w:cs="Arial"/>
          <w:lang w:val="en-US"/>
        </w:rPr>
        <w:t>uthors</w:t>
      </w:r>
      <w:r w:rsidR="00D219FB" w:rsidRPr="00EA5799">
        <w:rPr>
          <w:rFonts w:ascii="Book Antiqua" w:eastAsia="GungsuhChe" w:hAnsi="Book Antiqua" w:cs="Arial"/>
          <w:lang w:val="en-US"/>
        </w:rPr>
        <w:t xml:space="preserve"> </w:t>
      </w:r>
      <w:r w:rsidR="00A24A57" w:rsidRPr="00EA5799">
        <w:rPr>
          <w:rFonts w:ascii="Book Antiqua" w:eastAsia="GungsuhChe" w:hAnsi="Book Antiqua" w:cs="Arial"/>
          <w:lang w:val="en-US"/>
        </w:rPr>
        <w:t>proposed a tendency towards latency in adults</w:t>
      </w:r>
      <w:r w:rsidR="00123BEA" w:rsidRPr="00EA5799">
        <w:rPr>
          <w:rFonts w:ascii="Book Antiqua" w:eastAsia="GungsuhChe" w:hAnsi="Book Antiqua" w:cs="Arial"/>
          <w:lang w:val="en-US"/>
        </w:rPr>
        <w:t>,</w:t>
      </w:r>
      <w:r w:rsidR="00A24A57" w:rsidRPr="00EA5799">
        <w:rPr>
          <w:rFonts w:ascii="Book Antiqua" w:eastAsia="GungsuhChe" w:hAnsi="Book Antiqua" w:cs="Arial"/>
          <w:lang w:val="en-US"/>
        </w:rPr>
        <w:t xml:space="preserve"> which would explain</w:t>
      </w:r>
      <w:r w:rsidR="002E569F" w:rsidRPr="00EA5799">
        <w:rPr>
          <w:rFonts w:ascii="Book Antiqua" w:eastAsia="GungsuhChe" w:hAnsi="Book Antiqua" w:cs="Arial"/>
          <w:lang w:val="en-US"/>
        </w:rPr>
        <w:t xml:space="preserve"> </w:t>
      </w:r>
      <w:r w:rsidR="009B6BC2" w:rsidRPr="00EA5799">
        <w:rPr>
          <w:rFonts w:ascii="Book Antiqua" w:eastAsia="GungsuhChe" w:hAnsi="Book Antiqua" w:cs="Arial"/>
          <w:lang w:val="en-US"/>
        </w:rPr>
        <w:t>the lower</w:t>
      </w:r>
      <w:r w:rsidR="00145A6D" w:rsidRPr="00EA5799">
        <w:rPr>
          <w:rFonts w:ascii="Book Antiqua" w:eastAsia="GungsuhChe" w:hAnsi="Book Antiqua" w:cs="Arial"/>
          <w:lang w:val="en-US"/>
        </w:rPr>
        <w:t xml:space="preserve"> prevalence</w:t>
      </w:r>
      <w:r w:rsidR="0022665A" w:rsidRPr="00EA5799">
        <w:rPr>
          <w:rFonts w:ascii="Book Antiqua" w:eastAsia="GungsuhChe" w:hAnsi="Book Antiqua" w:cs="Arial"/>
          <w:lang w:val="en-US"/>
        </w:rPr>
        <w:t xml:space="preserve"> of CD </w:t>
      </w:r>
      <w:r w:rsidR="00123BEA" w:rsidRPr="00EA5799">
        <w:rPr>
          <w:rFonts w:ascii="Book Antiqua" w:eastAsia="GungsuhChe" w:hAnsi="Book Antiqua" w:cs="Arial"/>
          <w:lang w:val="en-US"/>
        </w:rPr>
        <w:t xml:space="preserve">during </w:t>
      </w:r>
      <w:proofErr w:type="gramStart"/>
      <w:r w:rsidR="0022665A" w:rsidRPr="00EA5799">
        <w:rPr>
          <w:rFonts w:ascii="Book Antiqua" w:eastAsia="GungsuhChe" w:hAnsi="Book Antiqua" w:cs="Arial"/>
          <w:lang w:val="en-US"/>
        </w:rPr>
        <w:t>adulthood</w:t>
      </w:r>
      <w:r w:rsidR="00B97DBD" w:rsidRPr="00EA5799">
        <w:rPr>
          <w:rFonts w:ascii="Book Antiqua" w:eastAsia="GungsuhChe" w:hAnsi="Book Antiqua" w:cs="Arial"/>
          <w:vertAlign w:val="superscript"/>
          <w:lang w:val="en-US"/>
        </w:rPr>
        <w:t>[</w:t>
      </w:r>
      <w:proofErr w:type="gramEnd"/>
      <w:r w:rsidR="00B97DBD" w:rsidRPr="00EA5799">
        <w:rPr>
          <w:rFonts w:ascii="Book Antiqua" w:eastAsia="GungsuhChe" w:hAnsi="Book Antiqua" w:cs="Arial"/>
          <w:vertAlign w:val="superscript"/>
          <w:lang w:val="en-US"/>
        </w:rPr>
        <w:t>6]</w:t>
      </w:r>
      <w:r w:rsidR="00996005"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145A6D" w:rsidRPr="00EA5799">
        <w:rPr>
          <w:rFonts w:ascii="Book Antiqua" w:eastAsia="GungsuhChe" w:hAnsi="Book Antiqua" w:cs="Arial"/>
          <w:lang w:val="en-US"/>
        </w:rPr>
        <w:t xml:space="preserve">Similar studies in Brazil and India also found </w:t>
      </w:r>
      <w:r w:rsidR="00506528" w:rsidRPr="00EA5799">
        <w:rPr>
          <w:rFonts w:ascii="Book Antiqua" w:eastAsia="GungsuhChe" w:hAnsi="Book Antiqua" w:cs="Arial"/>
          <w:lang w:val="en-US"/>
        </w:rPr>
        <w:t xml:space="preserve">twice the CD frequency in </w:t>
      </w:r>
      <w:proofErr w:type="gramStart"/>
      <w:r w:rsidR="00506528" w:rsidRPr="00EA5799">
        <w:rPr>
          <w:rFonts w:ascii="Book Antiqua" w:eastAsia="GungsuhChe" w:hAnsi="Book Antiqua" w:cs="Arial"/>
          <w:lang w:val="en-US"/>
        </w:rPr>
        <w:t>children</w:t>
      </w:r>
      <w:r w:rsidR="00B97DBD" w:rsidRPr="00EA5799">
        <w:rPr>
          <w:rFonts w:ascii="Book Antiqua" w:eastAsia="GungsuhChe" w:hAnsi="Book Antiqua" w:cs="Arial"/>
          <w:vertAlign w:val="superscript"/>
          <w:lang w:val="en-US"/>
        </w:rPr>
        <w:t>[</w:t>
      </w:r>
      <w:proofErr w:type="gramEnd"/>
      <w:r w:rsidR="00B97DBD" w:rsidRPr="00EA5799">
        <w:rPr>
          <w:rFonts w:ascii="Book Antiqua" w:eastAsia="GungsuhChe" w:hAnsi="Book Antiqua" w:cs="Arial"/>
          <w:vertAlign w:val="superscript"/>
          <w:lang w:val="en-US"/>
        </w:rPr>
        <w:t>7,8]</w:t>
      </w:r>
      <w:r w:rsidR="0049252A" w:rsidRPr="00EA5799">
        <w:rPr>
          <w:rFonts w:ascii="Book Antiqua" w:eastAsia="GungsuhChe" w:hAnsi="Book Antiqua" w:cs="Arial"/>
          <w:lang w:val="en-US"/>
        </w:rPr>
        <w:t>.</w:t>
      </w:r>
    </w:p>
    <w:p w14:paraId="7E1630E7" w14:textId="4F383E2A" w:rsidR="00517B4A" w:rsidRPr="00EA5799" w:rsidRDefault="00EE1B8E" w:rsidP="004F2A2C">
      <w:pPr>
        <w:spacing w:after="0" w:line="360" w:lineRule="auto"/>
        <w:ind w:firstLineChars="100" w:firstLine="240"/>
        <w:jc w:val="both"/>
        <w:rPr>
          <w:rFonts w:ascii="Book Antiqua" w:eastAsia="GungsuhChe" w:hAnsi="Book Antiqua" w:cs="Arial"/>
          <w:lang w:val="en-US"/>
        </w:rPr>
      </w:pPr>
      <w:r w:rsidRPr="00EA5799">
        <w:rPr>
          <w:rFonts w:ascii="Book Antiqua" w:eastAsia="GungsuhChe" w:hAnsi="Book Antiqua" w:cs="Arial"/>
          <w:lang w:val="en-US"/>
        </w:rPr>
        <w:lastRenderedPageBreak/>
        <w:t>However, t</w:t>
      </w:r>
      <w:r w:rsidR="005249CC" w:rsidRPr="00EA5799">
        <w:rPr>
          <w:rFonts w:ascii="Book Antiqua" w:eastAsia="GungsuhChe" w:hAnsi="Book Antiqua" w:cs="Arial"/>
          <w:lang w:val="en-US"/>
        </w:rPr>
        <w:t>hese data</w:t>
      </w:r>
      <w:r w:rsidRPr="00EA5799">
        <w:rPr>
          <w:rFonts w:ascii="Book Antiqua" w:eastAsia="GungsuhChe" w:hAnsi="Book Antiqua" w:cs="Arial"/>
          <w:lang w:val="en-US"/>
        </w:rPr>
        <w:t xml:space="preserve"> are</w:t>
      </w:r>
      <w:r w:rsidR="005249CC" w:rsidRPr="00EA5799">
        <w:rPr>
          <w:rFonts w:ascii="Book Antiqua" w:eastAsia="GungsuhChe" w:hAnsi="Book Antiqua" w:cs="Arial"/>
          <w:lang w:val="en-US"/>
        </w:rPr>
        <w:t xml:space="preserve"> in contrast with the</w:t>
      </w:r>
      <w:r w:rsidRPr="00EA5799">
        <w:rPr>
          <w:rFonts w:ascii="Book Antiqua" w:eastAsia="GungsuhChe" w:hAnsi="Book Antiqua" w:cs="Arial"/>
          <w:lang w:val="en-US"/>
        </w:rPr>
        <w:t xml:space="preserve"> observed</w:t>
      </w:r>
      <w:r w:rsidR="005249CC" w:rsidRPr="00EA5799">
        <w:rPr>
          <w:rFonts w:ascii="Book Antiqua" w:eastAsia="GungsuhChe" w:hAnsi="Book Antiqua" w:cs="Arial"/>
          <w:lang w:val="en-US"/>
        </w:rPr>
        <w:t xml:space="preserve"> prevalence in adult </w:t>
      </w:r>
      <w:r w:rsidR="009B6BC2" w:rsidRPr="00EA5799">
        <w:rPr>
          <w:rFonts w:ascii="Book Antiqua" w:eastAsia="GungsuhChe" w:hAnsi="Book Antiqua" w:cs="Arial"/>
          <w:lang w:val="en-US"/>
        </w:rPr>
        <w:t xml:space="preserve">populations from </w:t>
      </w:r>
      <w:r w:rsidR="005249CC" w:rsidRPr="00EA5799">
        <w:rPr>
          <w:rFonts w:ascii="Book Antiqua" w:eastAsia="GungsuhChe" w:hAnsi="Book Antiqua" w:cs="Arial"/>
          <w:lang w:val="en-US"/>
        </w:rPr>
        <w:t xml:space="preserve">European countries such as the United Kingdom </w:t>
      </w:r>
      <w:r w:rsidR="000C32C6" w:rsidRPr="00EA5799">
        <w:rPr>
          <w:rFonts w:ascii="Book Antiqua" w:eastAsia="GungsuhChe" w:hAnsi="Book Antiqua" w:cs="Arial"/>
          <w:lang w:val="en-US"/>
        </w:rPr>
        <w:t>(1</w:t>
      </w:r>
      <w:r w:rsidR="005372E3" w:rsidRPr="00EA5799">
        <w:rPr>
          <w:rFonts w:ascii="Book Antiqua" w:eastAsia="GungsuhChe" w:hAnsi="Book Antiqua" w:cs="Arial"/>
          <w:lang w:val="en-US"/>
        </w:rPr>
        <w:t>.</w:t>
      </w:r>
      <w:r w:rsidR="000C32C6" w:rsidRPr="00EA5799">
        <w:rPr>
          <w:rFonts w:ascii="Book Antiqua" w:eastAsia="GungsuhChe" w:hAnsi="Book Antiqua" w:cs="Arial"/>
          <w:lang w:val="en-US"/>
        </w:rPr>
        <w:t>2%)</w:t>
      </w:r>
      <w:r w:rsidR="00BF4BFC" w:rsidRPr="00EA5799">
        <w:rPr>
          <w:rFonts w:ascii="Book Antiqua" w:eastAsia="GungsuhChe" w:hAnsi="Book Antiqua" w:cs="Arial"/>
          <w:vertAlign w:val="superscript"/>
          <w:lang w:val="en-US"/>
        </w:rPr>
        <w:t>[9]</w:t>
      </w:r>
      <w:r w:rsidR="000C32C6" w:rsidRPr="00EA5799">
        <w:rPr>
          <w:rFonts w:ascii="Book Antiqua" w:eastAsia="GungsuhChe" w:hAnsi="Book Antiqua" w:cs="Arial"/>
          <w:lang w:val="en-US"/>
        </w:rPr>
        <w:t xml:space="preserve"> </w:t>
      </w:r>
      <w:r w:rsidR="005249CC" w:rsidRPr="00EA5799">
        <w:rPr>
          <w:rFonts w:ascii="Book Antiqua" w:eastAsia="GungsuhChe" w:hAnsi="Book Antiqua" w:cs="Arial"/>
          <w:lang w:val="en-US"/>
        </w:rPr>
        <w:t xml:space="preserve">and, more surprisingly, </w:t>
      </w:r>
      <w:r w:rsidR="000C32C6" w:rsidRPr="00EA5799">
        <w:rPr>
          <w:rFonts w:ascii="Book Antiqua" w:eastAsia="GungsuhChe" w:hAnsi="Book Antiqua" w:cs="Arial"/>
          <w:lang w:val="en-US"/>
        </w:rPr>
        <w:t xml:space="preserve">Finland, </w:t>
      </w:r>
      <w:r w:rsidR="005372E3" w:rsidRPr="00EA5799">
        <w:rPr>
          <w:rFonts w:ascii="Book Antiqua" w:eastAsia="GungsuhChe" w:hAnsi="Book Antiqua" w:cs="Arial"/>
          <w:lang w:val="en-US"/>
        </w:rPr>
        <w:t>where</w:t>
      </w:r>
      <w:r w:rsidR="002E569F" w:rsidRPr="00EA5799">
        <w:rPr>
          <w:rFonts w:ascii="Book Antiqua" w:eastAsia="GungsuhChe" w:hAnsi="Book Antiqua" w:cs="Arial"/>
          <w:lang w:val="en-US"/>
        </w:rPr>
        <w:t xml:space="preserve"> </w:t>
      </w:r>
      <w:r w:rsidR="00DD7804" w:rsidRPr="00EA5799">
        <w:rPr>
          <w:rFonts w:ascii="Book Antiqua" w:eastAsia="GungsuhChe" w:hAnsi="Book Antiqua" w:cs="Arial"/>
          <w:lang w:val="en-US"/>
        </w:rPr>
        <w:t>a</w:t>
      </w:r>
      <w:r w:rsidR="008F0592" w:rsidRPr="00EA5799">
        <w:rPr>
          <w:rFonts w:ascii="Book Antiqua" w:eastAsia="GungsuhChe" w:hAnsi="Book Antiqua" w:cs="Arial"/>
          <w:lang w:val="en-US"/>
        </w:rPr>
        <w:t xml:space="preserve"> </w:t>
      </w:r>
      <w:r w:rsidR="005372E3" w:rsidRPr="00EA5799">
        <w:rPr>
          <w:rFonts w:ascii="Book Antiqua" w:eastAsia="GungsuhChe" w:hAnsi="Book Antiqua" w:cs="Arial"/>
          <w:lang w:val="en-US"/>
        </w:rPr>
        <w:t>2.4%</w:t>
      </w:r>
      <w:r w:rsidR="00DD7804" w:rsidRPr="00EA5799">
        <w:rPr>
          <w:rFonts w:ascii="Book Antiqua" w:eastAsia="GungsuhChe" w:hAnsi="Book Antiqua" w:cs="Arial"/>
          <w:lang w:val="en-US"/>
        </w:rPr>
        <w:t xml:space="preserve"> </w:t>
      </w:r>
      <w:r w:rsidR="007E0FC6" w:rsidRPr="00EA5799">
        <w:rPr>
          <w:rFonts w:ascii="Book Antiqua" w:eastAsia="GungsuhChe" w:hAnsi="Book Antiqua" w:cs="Arial"/>
          <w:lang w:val="en-US"/>
        </w:rPr>
        <w:t xml:space="preserve">prevalence </w:t>
      </w:r>
      <w:r w:rsidR="00DD7804" w:rsidRPr="00EA5799">
        <w:rPr>
          <w:rFonts w:ascii="Book Antiqua" w:eastAsia="GungsuhChe" w:hAnsi="Book Antiqua" w:cs="Arial"/>
          <w:lang w:val="en-US"/>
        </w:rPr>
        <w:t>of</w:t>
      </w:r>
      <w:r w:rsidR="00581743" w:rsidRPr="00EA5799">
        <w:rPr>
          <w:rFonts w:ascii="Book Antiqua" w:eastAsia="GungsuhChe" w:hAnsi="Book Antiqua" w:cs="Arial"/>
          <w:lang w:val="en-US"/>
        </w:rPr>
        <w:t xml:space="preserve"> CD </w:t>
      </w:r>
      <w:r w:rsidR="008F0592" w:rsidRPr="00EA5799">
        <w:rPr>
          <w:rFonts w:ascii="Book Antiqua" w:eastAsia="GungsuhChe" w:hAnsi="Book Antiqua" w:cs="Arial"/>
          <w:lang w:val="en-US"/>
        </w:rPr>
        <w:t xml:space="preserve">was </w:t>
      </w:r>
      <w:r w:rsidR="00C53D90" w:rsidRPr="00EA5799">
        <w:rPr>
          <w:rFonts w:ascii="Book Antiqua" w:eastAsia="GungsuhChe" w:hAnsi="Book Antiqua" w:cs="Arial"/>
          <w:lang w:val="en-US"/>
        </w:rPr>
        <w:t>demonstrated by biopsy</w:t>
      </w:r>
      <w:r w:rsidR="00DD7804" w:rsidRPr="00EA5799">
        <w:rPr>
          <w:rFonts w:ascii="Book Antiqua" w:eastAsia="GungsuhChe" w:hAnsi="Book Antiqua" w:cs="Arial"/>
          <w:lang w:val="en-US"/>
        </w:rPr>
        <w:t xml:space="preserve"> in </w:t>
      </w:r>
      <w:r w:rsidR="0002616D" w:rsidRPr="00EA5799">
        <w:rPr>
          <w:rFonts w:ascii="Book Antiqua" w:eastAsia="GungsuhChe" w:hAnsi="Book Antiqua" w:cs="Arial"/>
          <w:lang w:val="en-US"/>
        </w:rPr>
        <w:t xml:space="preserve">a </w:t>
      </w:r>
      <w:r w:rsidR="00DD7804" w:rsidRPr="00EA5799">
        <w:rPr>
          <w:rFonts w:ascii="Book Antiqua" w:eastAsia="GungsuhChe" w:hAnsi="Book Antiqua" w:cs="Arial"/>
          <w:lang w:val="en-US"/>
        </w:rPr>
        <w:t xml:space="preserve">population of </w:t>
      </w:r>
      <w:r w:rsidR="0002616D" w:rsidRPr="00EA5799">
        <w:rPr>
          <w:rFonts w:ascii="Book Antiqua" w:eastAsia="GungsuhChe" w:hAnsi="Book Antiqua" w:cs="Arial"/>
          <w:lang w:val="en-US"/>
        </w:rPr>
        <w:t xml:space="preserve">adults </w:t>
      </w:r>
      <w:r w:rsidR="00DD7804" w:rsidRPr="00EA5799">
        <w:rPr>
          <w:rFonts w:ascii="Book Antiqua" w:eastAsia="GungsuhChe" w:hAnsi="Book Antiqua" w:cs="Arial"/>
          <w:lang w:val="en-US"/>
        </w:rPr>
        <w:t xml:space="preserve">over fifty years of </w:t>
      </w:r>
      <w:proofErr w:type="gramStart"/>
      <w:r w:rsidR="00DD7804" w:rsidRPr="00EA5799">
        <w:rPr>
          <w:rFonts w:ascii="Book Antiqua" w:eastAsia="GungsuhChe" w:hAnsi="Book Antiqua" w:cs="Arial"/>
          <w:lang w:val="en-US"/>
        </w:rPr>
        <w:t>age</w:t>
      </w:r>
      <w:r w:rsidR="00BF4BFC" w:rsidRPr="00EA5799">
        <w:rPr>
          <w:rFonts w:ascii="Book Antiqua" w:eastAsia="GungsuhChe" w:hAnsi="Book Antiqua" w:cs="Arial"/>
          <w:vertAlign w:val="superscript"/>
          <w:lang w:val="en-US"/>
        </w:rPr>
        <w:t>[</w:t>
      </w:r>
      <w:proofErr w:type="gramEnd"/>
      <w:r w:rsidR="00BF4BFC" w:rsidRPr="00EA5799">
        <w:rPr>
          <w:rFonts w:ascii="Book Antiqua" w:eastAsia="GungsuhChe" w:hAnsi="Book Antiqua" w:cs="Arial"/>
          <w:vertAlign w:val="superscript"/>
          <w:lang w:val="en-US"/>
        </w:rPr>
        <w:t>10]</w:t>
      </w:r>
      <w:hyperlink w:anchor="_ENREF_6" w:tooltip="Johnson, 2001 #3447" w:history="1"/>
      <w:r w:rsidR="000C32C6" w:rsidRPr="00EA5799">
        <w:rPr>
          <w:rFonts w:ascii="Book Antiqua" w:eastAsia="GungsuhChe" w:hAnsi="Book Antiqua" w:cs="Arial"/>
          <w:lang w:val="en-US"/>
        </w:rPr>
        <w:t>.</w:t>
      </w:r>
      <w:r w:rsidR="00D219FB" w:rsidRPr="00EA5799">
        <w:rPr>
          <w:rFonts w:ascii="Book Antiqua" w:eastAsia="GungsuhChe" w:hAnsi="Book Antiqua" w:cs="Arial"/>
          <w:lang w:val="en-US"/>
        </w:rPr>
        <w:t xml:space="preserve"> T</w:t>
      </w:r>
      <w:r w:rsidR="0082372C" w:rsidRPr="00EA5799">
        <w:rPr>
          <w:rFonts w:ascii="Book Antiqua" w:eastAsia="GungsuhChe" w:hAnsi="Book Antiqua" w:cs="Arial"/>
          <w:lang w:val="en-US"/>
        </w:rPr>
        <w:t>he pediatric population was not analyzed</w:t>
      </w:r>
      <w:r w:rsidR="00D219FB" w:rsidRPr="00EA5799">
        <w:rPr>
          <w:rFonts w:ascii="Book Antiqua" w:eastAsia="GungsuhChe" w:hAnsi="Book Antiqua" w:cs="Arial"/>
          <w:lang w:val="en-US"/>
        </w:rPr>
        <w:t xml:space="preserve"> in these studies</w:t>
      </w:r>
      <w:r w:rsidR="0082372C" w:rsidRPr="00EA5799">
        <w:rPr>
          <w:rFonts w:ascii="Book Antiqua" w:eastAsia="GungsuhChe" w:hAnsi="Book Antiqua" w:cs="Arial"/>
          <w:lang w:val="en-US"/>
        </w:rPr>
        <w:t xml:space="preserve">, but </w:t>
      </w:r>
      <w:r w:rsidR="00BF4BFC" w:rsidRPr="00EA5799">
        <w:rPr>
          <w:rFonts w:ascii="Book Antiqua" w:eastAsia="GungsuhChe" w:hAnsi="Book Antiqua" w:cs="Arial"/>
          <w:lang w:val="en-US"/>
        </w:rPr>
        <w:t>prevalence</w:t>
      </w:r>
      <w:r w:rsidR="004F6A37" w:rsidRPr="00EA5799">
        <w:rPr>
          <w:rFonts w:ascii="Book Antiqua" w:eastAsia="GungsuhChe" w:hAnsi="Book Antiqua" w:cs="Arial"/>
          <w:lang w:val="en-US"/>
        </w:rPr>
        <w:t xml:space="preserve"> of</w:t>
      </w:r>
      <w:r w:rsidR="0082372C" w:rsidRPr="00EA5799">
        <w:rPr>
          <w:rFonts w:ascii="Book Antiqua" w:eastAsia="GungsuhChe" w:hAnsi="Book Antiqua" w:cs="Arial"/>
          <w:lang w:val="en-US"/>
        </w:rPr>
        <w:t xml:space="preserve"> over 1%, even in older populations</w:t>
      </w:r>
      <w:r w:rsidR="004F6A37" w:rsidRPr="00EA5799">
        <w:rPr>
          <w:rFonts w:ascii="Book Antiqua" w:eastAsia="GungsuhChe" w:hAnsi="Book Antiqua" w:cs="Arial"/>
          <w:lang w:val="en-US"/>
        </w:rPr>
        <w:t>,</w:t>
      </w:r>
      <w:r w:rsidR="0082372C" w:rsidRPr="00EA5799">
        <w:rPr>
          <w:rFonts w:ascii="Book Antiqua" w:eastAsia="GungsuhChe" w:hAnsi="Book Antiqua" w:cs="Arial"/>
          <w:lang w:val="en-US"/>
        </w:rPr>
        <w:t xml:space="preserve"> </w:t>
      </w:r>
      <w:r w:rsidR="0002616D" w:rsidRPr="00EA5799">
        <w:rPr>
          <w:rFonts w:ascii="Book Antiqua" w:eastAsia="GungsuhChe" w:hAnsi="Book Antiqua" w:cs="Arial"/>
          <w:lang w:val="en-US"/>
        </w:rPr>
        <w:t xml:space="preserve">is </w:t>
      </w:r>
      <w:r w:rsidR="0082372C" w:rsidRPr="00EA5799">
        <w:rPr>
          <w:rFonts w:ascii="Book Antiqua" w:eastAsia="GungsuhChe" w:hAnsi="Book Antiqua" w:cs="Arial"/>
          <w:lang w:val="en-US"/>
        </w:rPr>
        <w:t xml:space="preserve">similar to </w:t>
      </w:r>
      <w:r w:rsidR="0002616D" w:rsidRPr="00EA5799">
        <w:rPr>
          <w:rFonts w:ascii="Book Antiqua" w:eastAsia="GungsuhChe" w:hAnsi="Book Antiqua" w:cs="Arial"/>
          <w:lang w:val="en-US"/>
        </w:rPr>
        <w:t xml:space="preserve">that </w:t>
      </w:r>
      <w:r w:rsidR="0082372C" w:rsidRPr="00EA5799">
        <w:rPr>
          <w:rFonts w:ascii="Book Antiqua" w:eastAsia="GungsuhChe" w:hAnsi="Book Antiqua" w:cs="Arial"/>
          <w:lang w:val="en-US"/>
        </w:rPr>
        <w:t>observed in pediatric studies.</w:t>
      </w:r>
      <w:r w:rsidR="009F7B2C" w:rsidRPr="00EA5799">
        <w:rPr>
          <w:rFonts w:ascii="Book Antiqua" w:eastAsia="GungsuhChe" w:hAnsi="Book Antiqua" w:cs="Arial"/>
          <w:lang w:val="en-US"/>
        </w:rPr>
        <w:t xml:space="preserve"> </w:t>
      </w:r>
      <w:r w:rsidR="006C1DCE" w:rsidRPr="00EA5799">
        <w:rPr>
          <w:rFonts w:ascii="Book Antiqua" w:eastAsia="GungsuhChe" w:hAnsi="Book Antiqua" w:cs="Arial"/>
          <w:lang w:val="en-US"/>
        </w:rPr>
        <w:t xml:space="preserve">A recent systematic review on world CD frequency </w:t>
      </w:r>
      <w:r w:rsidR="0002616D" w:rsidRPr="00EA5799">
        <w:rPr>
          <w:rFonts w:ascii="Book Antiqua" w:eastAsia="GungsuhChe" w:hAnsi="Book Antiqua" w:cs="Arial"/>
          <w:lang w:val="en-US"/>
        </w:rPr>
        <w:t xml:space="preserve">in </w:t>
      </w:r>
      <w:r w:rsidR="006C1DCE" w:rsidRPr="00EA5799">
        <w:rPr>
          <w:rFonts w:ascii="Book Antiqua" w:eastAsia="GungsuhChe" w:hAnsi="Book Antiqua" w:cs="Arial"/>
          <w:lang w:val="en-US"/>
        </w:rPr>
        <w:t xml:space="preserve">recent years, </w:t>
      </w:r>
      <w:r w:rsidR="0002616D" w:rsidRPr="00EA5799">
        <w:rPr>
          <w:rFonts w:ascii="Book Antiqua" w:eastAsia="GungsuhChe" w:hAnsi="Book Antiqua" w:cs="Arial"/>
          <w:lang w:val="en-US"/>
        </w:rPr>
        <w:t>mainly</w:t>
      </w:r>
      <w:r w:rsidR="006C1DCE" w:rsidRPr="00EA5799">
        <w:rPr>
          <w:rFonts w:ascii="Book Antiqua" w:eastAsia="GungsuhChe" w:hAnsi="Book Antiqua" w:cs="Arial"/>
          <w:lang w:val="en-US"/>
        </w:rPr>
        <w:t xml:space="preserve"> based on European studies, found </w:t>
      </w:r>
      <w:r w:rsidR="005230C4" w:rsidRPr="00EA5799">
        <w:rPr>
          <w:rFonts w:ascii="Book Antiqua" w:eastAsia="GungsuhChe" w:hAnsi="Book Antiqua" w:cs="Arial"/>
          <w:lang w:val="en-US"/>
        </w:rPr>
        <w:t xml:space="preserve">variable ratios of prevalence and </w:t>
      </w:r>
      <w:r w:rsidR="000361CA" w:rsidRPr="00EA5799">
        <w:rPr>
          <w:rFonts w:ascii="Book Antiqua" w:eastAsia="GungsuhChe" w:hAnsi="Book Antiqua" w:cs="Arial"/>
          <w:lang w:val="en-US"/>
        </w:rPr>
        <w:t>incidence,</w:t>
      </w:r>
      <w:r w:rsidR="0059687C" w:rsidRPr="00EA5799">
        <w:rPr>
          <w:rFonts w:ascii="Book Antiqua" w:eastAsia="GungsuhChe" w:hAnsi="Book Antiqua" w:cs="Arial"/>
          <w:lang w:val="en-US"/>
        </w:rPr>
        <w:t xml:space="preserve"> </w:t>
      </w:r>
      <w:r w:rsidR="0002616D" w:rsidRPr="00EA5799">
        <w:rPr>
          <w:rFonts w:ascii="Book Antiqua" w:eastAsia="GungsuhChe" w:hAnsi="Book Antiqua" w:cs="Arial"/>
          <w:lang w:val="en-US"/>
        </w:rPr>
        <w:t xml:space="preserve">which was </w:t>
      </w:r>
      <w:r w:rsidR="008E5030" w:rsidRPr="00EA5799">
        <w:rPr>
          <w:rFonts w:ascii="Book Antiqua" w:eastAsia="GungsuhChe" w:hAnsi="Book Antiqua" w:cs="Arial"/>
          <w:lang w:val="en-US"/>
        </w:rPr>
        <w:t>similar</w:t>
      </w:r>
      <w:r w:rsidR="0002616D" w:rsidRPr="00EA5799">
        <w:rPr>
          <w:rFonts w:ascii="Book Antiqua" w:eastAsia="GungsuhChe" w:hAnsi="Book Antiqua" w:cs="Arial"/>
          <w:lang w:val="en-US"/>
        </w:rPr>
        <w:t>,</w:t>
      </w:r>
      <w:r w:rsidR="008E5030" w:rsidRPr="00EA5799">
        <w:rPr>
          <w:rFonts w:ascii="Book Antiqua" w:eastAsia="GungsuhChe" w:hAnsi="Book Antiqua" w:cs="Arial"/>
          <w:lang w:val="en-US"/>
        </w:rPr>
        <w:t xml:space="preserve"> in many cases</w:t>
      </w:r>
      <w:r w:rsidR="0002616D" w:rsidRPr="00EA5799">
        <w:rPr>
          <w:rFonts w:ascii="Book Antiqua" w:eastAsia="GungsuhChe" w:hAnsi="Book Antiqua" w:cs="Arial"/>
          <w:lang w:val="en-US"/>
        </w:rPr>
        <w:t>,</w:t>
      </w:r>
      <w:r w:rsidR="008E5030" w:rsidRPr="00EA5799">
        <w:rPr>
          <w:rFonts w:ascii="Book Antiqua" w:eastAsia="GungsuhChe" w:hAnsi="Book Antiqua" w:cs="Arial"/>
          <w:lang w:val="en-US"/>
        </w:rPr>
        <w:t xml:space="preserve"> between children and </w:t>
      </w:r>
      <w:proofErr w:type="gramStart"/>
      <w:r w:rsidR="008E5030" w:rsidRPr="00EA5799">
        <w:rPr>
          <w:rFonts w:ascii="Book Antiqua" w:eastAsia="GungsuhChe" w:hAnsi="Book Antiqua" w:cs="Arial"/>
          <w:lang w:val="en-US"/>
        </w:rPr>
        <w:t>adults</w:t>
      </w:r>
      <w:r w:rsidR="00BF4BFC" w:rsidRPr="00EA5799">
        <w:rPr>
          <w:rFonts w:ascii="Book Antiqua" w:eastAsia="GungsuhChe" w:hAnsi="Book Antiqua" w:cs="Arial"/>
          <w:vertAlign w:val="superscript"/>
          <w:lang w:val="en-US"/>
        </w:rPr>
        <w:t>[</w:t>
      </w:r>
      <w:proofErr w:type="gramEnd"/>
      <w:r w:rsidR="00BF4BFC" w:rsidRPr="00EA5799">
        <w:rPr>
          <w:rFonts w:ascii="Book Antiqua" w:eastAsia="GungsuhChe" w:hAnsi="Book Antiqua" w:cs="Arial"/>
          <w:vertAlign w:val="superscript"/>
          <w:lang w:val="en-US"/>
        </w:rPr>
        <w:t>2]</w:t>
      </w:r>
      <w:r w:rsidR="00F74487" w:rsidRPr="00EA5799">
        <w:rPr>
          <w:rFonts w:ascii="Book Antiqua" w:eastAsia="GungsuhChe" w:hAnsi="Book Antiqua" w:cs="Arial"/>
          <w:lang w:val="en-US"/>
        </w:rPr>
        <w:t>.</w:t>
      </w:r>
    </w:p>
    <w:p w14:paraId="345F16AA" w14:textId="3C114EDD" w:rsidR="00F74487" w:rsidRDefault="005230C4" w:rsidP="004F2A2C">
      <w:pPr>
        <w:spacing w:after="0" w:line="360" w:lineRule="auto"/>
        <w:ind w:firstLineChars="100" w:firstLine="240"/>
        <w:jc w:val="both"/>
        <w:rPr>
          <w:rFonts w:ascii="Book Antiqua" w:eastAsia="宋体" w:hAnsi="Book Antiqua" w:cs="Arial"/>
          <w:lang w:val="en-US" w:eastAsia="zh-CN"/>
        </w:rPr>
      </w:pPr>
      <w:r w:rsidRPr="00EA5799">
        <w:rPr>
          <w:rFonts w:ascii="Book Antiqua" w:eastAsia="GungsuhChe" w:hAnsi="Book Antiqua" w:cs="Arial"/>
          <w:lang w:val="en-US"/>
        </w:rPr>
        <w:t>Although</w:t>
      </w:r>
      <w:r w:rsidR="00D219FB" w:rsidRPr="00EA5799">
        <w:rPr>
          <w:rFonts w:ascii="Book Antiqua" w:eastAsia="GungsuhChe" w:hAnsi="Book Antiqua" w:cs="Arial"/>
          <w:lang w:val="en-US"/>
        </w:rPr>
        <w:t xml:space="preserve"> a </w:t>
      </w:r>
      <w:r w:rsidR="00B2582E" w:rsidRPr="00EA5799">
        <w:rPr>
          <w:rFonts w:ascii="Book Antiqua" w:eastAsia="GungsuhChe" w:hAnsi="Book Antiqua" w:cs="Arial"/>
          <w:lang w:val="en-US"/>
        </w:rPr>
        <w:t xml:space="preserve">hypothesis based on </w:t>
      </w:r>
      <w:r w:rsidR="0002616D" w:rsidRPr="00EA5799">
        <w:rPr>
          <w:rFonts w:ascii="Book Antiqua" w:eastAsia="GungsuhChe" w:hAnsi="Book Antiqua" w:cs="Arial"/>
          <w:lang w:val="en-US"/>
        </w:rPr>
        <w:t>the evolution of</w:t>
      </w:r>
      <w:r w:rsidR="00B2582E" w:rsidRPr="00EA5799">
        <w:rPr>
          <w:rFonts w:ascii="Book Antiqua" w:eastAsia="GungsuhChe" w:hAnsi="Book Antiqua" w:cs="Arial"/>
          <w:lang w:val="en-US"/>
        </w:rPr>
        <w:t xml:space="preserve"> </w:t>
      </w:r>
      <w:r w:rsidR="00331997" w:rsidRPr="00EA5799">
        <w:rPr>
          <w:rFonts w:ascii="Book Antiqua" w:eastAsia="GungsuhChe" w:hAnsi="Book Antiqua" w:cs="Arial"/>
          <w:lang w:val="en-US"/>
        </w:rPr>
        <w:t xml:space="preserve">pediatric CD </w:t>
      </w:r>
      <w:r w:rsidR="00B2582E" w:rsidRPr="00EA5799">
        <w:rPr>
          <w:rFonts w:ascii="Book Antiqua" w:eastAsia="GungsuhChe" w:hAnsi="Book Antiqua" w:cs="Arial"/>
          <w:lang w:val="en-US"/>
        </w:rPr>
        <w:t>towards latency would explain a lower frequency in adults</w:t>
      </w:r>
      <w:r w:rsidR="004F6A37" w:rsidRPr="00EA5799">
        <w:rPr>
          <w:rFonts w:ascii="Book Antiqua" w:eastAsia="GungsuhChe" w:hAnsi="Book Antiqua" w:cs="Arial"/>
          <w:lang w:val="en-US"/>
        </w:rPr>
        <w:t>;</w:t>
      </w:r>
      <w:r w:rsidR="00B2582E" w:rsidRPr="00EA5799">
        <w:rPr>
          <w:rFonts w:ascii="Book Antiqua" w:eastAsia="GungsuhChe" w:hAnsi="Book Antiqua" w:cs="Arial"/>
          <w:lang w:val="en-US"/>
        </w:rPr>
        <w:t xml:space="preserve"> more studies </w:t>
      </w:r>
      <w:r w:rsidR="003E7D16" w:rsidRPr="00EA5799">
        <w:rPr>
          <w:rFonts w:ascii="Book Antiqua" w:eastAsia="GungsuhChe" w:hAnsi="Book Antiqua" w:cs="Arial"/>
          <w:lang w:val="en-US"/>
        </w:rPr>
        <w:t xml:space="preserve">on </w:t>
      </w:r>
      <w:r w:rsidR="00B2582E" w:rsidRPr="00EA5799">
        <w:rPr>
          <w:rFonts w:ascii="Book Antiqua" w:eastAsia="GungsuhChe" w:hAnsi="Book Antiqua" w:cs="Arial"/>
          <w:lang w:val="en-US"/>
        </w:rPr>
        <w:t>the natural evolution of t</w:t>
      </w:r>
      <w:r w:rsidR="005D5F91" w:rsidRPr="00EA5799">
        <w:rPr>
          <w:rFonts w:ascii="Book Antiqua" w:eastAsia="GungsuhChe" w:hAnsi="Book Antiqua" w:cs="Arial"/>
          <w:lang w:val="en-US"/>
        </w:rPr>
        <w:t xml:space="preserve">his disease are needed in </w:t>
      </w:r>
      <w:proofErr w:type="spellStart"/>
      <w:r w:rsidR="005D5F91" w:rsidRPr="00EA5799">
        <w:rPr>
          <w:rFonts w:ascii="Book Antiqua" w:eastAsia="GungsuhChe" w:hAnsi="Book Antiqua" w:cs="Arial"/>
          <w:lang w:val="en-US"/>
        </w:rPr>
        <w:t>orderto</w:t>
      </w:r>
      <w:proofErr w:type="spellEnd"/>
      <w:r w:rsidR="005D5F91" w:rsidRPr="00EA5799">
        <w:rPr>
          <w:rFonts w:ascii="Book Antiqua" w:eastAsia="GungsuhChe" w:hAnsi="Book Antiqua" w:cs="Arial"/>
          <w:lang w:val="en-US"/>
        </w:rPr>
        <w:t xml:space="preserve"> confirm it</w:t>
      </w:r>
      <w:r w:rsidR="00B2582E" w:rsidRPr="00EA5799">
        <w:rPr>
          <w:rFonts w:ascii="Book Antiqua" w:eastAsia="GungsuhChe" w:hAnsi="Book Antiqua" w:cs="Arial"/>
          <w:lang w:val="en-US"/>
        </w:rPr>
        <w:t>.</w:t>
      </w:r>
      <w:r w:rsidR="00A87295" w:rsidRPr="00EA5799">
        <w:rPr>
          <w:rFonts w:ascii="Book Antiqua" w:eastAsia="GungsuhChe" w:hAnsi="Book Antiqua" w:cs="Arial"/>
          <w:lang w:val="en-US"/>
        </w:rPr>
        <w:t xml:space="preserve"> </w:t>
      </w:r>
      <w:r w:rsidR="009F7B2C" w:rsidRPr="00EA5799">
        <w:rPr>
          <w:rFonts w:ascii="Book Antiqua" w:eastAsia="GungsuhChe" w:hAnsi="Book Antiqua" w:cs="Arial"/>
          <w:lang w:val="en-US"/>
        </w:rPr>
        <w:t>It is</w:t>
      </w:r>
      <w:r w:rsidR="00B2582E" w:rsidRPr="00EA5799">
        <w:rPr>
          <w:rFonts w:ascii="Book Antiqua" w:eastAsia="GungsuhChe" w:hAnsi="Book Antiqua" w:cs="Arial"/>
          <w:lang w:val="en-US"/>
        </w:rPr>
        <w:t xml:space="preserve"> clear that adult forms are becoming more frequent, sometimes reaching</w:t>
      </w:r>
      <w:r w:rsidR="004B1030" w:rsidRPr="00EA5799">
        <w:rPr>
          <w:rFonts w:ascii="Book Antiqua" w:eastAsia="GungsuhChe" w:hAnsi="Book Antiqua" w:cs="Arial"/>
          <w:lang w:val="en-US"/>
        </w:rPr>
        <w:t xml:space="preserve"> similar o</w:t>
      </w:r>
      <w:r w:rsidR="00F366B8" w:rsidRPr="00EA5799">
        <w:rPr>
          <w:rFonts w:ascii="Book Antiqua" w:eastAsia="GungsuhChe" w:hAnsi="Book Antiqua" w:cs="Arial"/>
          <w:lang w:val="en-US"/>
        </w:rPr>
        <w:t>r</w:t>
      </w:r>
      <w:r w:rsidR="004B1030" w:rsidRPr="00EA5799">
        <w:rPr>
          <w:rFonts w:ascii="Book Antiqua" w:eastAsia="GungsuhChe" w:hAnsi="Book Antiqua" w:cs="Arial"/>
          <w:lang w:val="en-US"/>
        </w:rPr>
        <w:t xml:space="preserve"> even higher numbers </w:t>
      </w:r>
      <w:r w:rsidR="004F6A37" w:rsidRPr="00EA5799">
        <w:rPr>
          <w:rFonts w:ascii="Book Antiqua" w:eastAsia="GungsuhChe" w:hAnsi="Book Antiqua" w:cs="Arial"/>
          <w:lang w:val="en-US"/>
        </w:rPr>
        <w:t>than</w:t>
      </w:r>
      <w:r w:rsidR="004B1030" w:rsidRPr="00EA5799">
        <w:rPr>
          <w:rFonts w:ascii="Book Antiqua" w:eastAsia="GungsuhChe" w:hAnsi="Book Antiqua" w:cs="Arial"/>
          <w:lang w:val="en-US"/>
        </w:rPr>
        <w:t xml:space="preserve"> those of </w:t>
      </w:r>
      <w:r w:rsidR="004F6A37" w:rsidRPr="00EA5799">
        <w:rPr>
          <w:rFonts w:ascii="Book Antiqua" w:eastAsia="GungsuhChe" w:hAnsi="Book Antiqua" w:cs="Arial"/>
          <w:lang w:val="en-US"/>
        </w:rPr>
        <w:t xml:space="preserve">the </w:t>
      </w:r>
      <w:r w:rsidR="004B1030" w:rsidRPr="00EA5799">
        <w:rPr>
          <w:rFonts w:ascii="Book Antiqua" w:eastAsia="GungsuhChe" w:hAnsi="Book Antiqua" w:cs="Arial"/>
          <w:lang w:val="en-US"/>
        </w:rPr>
        <w:t>pediatric population.</w:t>
      </w:r>
      <w:r w:rsidR="002E569F" w:rsidRPr="00EA5799">
        <w:rPr>
          <w:rFonts w:ascii="Book Antiqua" w:eastAsia="GungsuhChe" w:hAnsi="Book Antiqua" w:cs="Arial"/>
          <w:lang w:val="en-US"/>
        </w:rPr>
        <w:t xml:space="preserve"> </w:t>
      </w:r>
      <w:r w:rsidR="000361CA" w:rsidRPr="00EA5799">
        <w:rPr>
          <w:rFonts w:ascii="Book Antiqua" w:eastAsia="GungsuhChe" w:hAnsi="Book Antiqua" w:cs="Arial"/>
          <w:lang w:val="en-US"/>
        </w:rPr>
        <w:t>T</w:t>
      </w:r>
      <w:r w:rsidR="004B1030" w:rsidRPr="00EA5799">
        <w:rPr>
          <w:rFonts w:ascii="Book Antiqua" w:eastAsia="GungsuhChe" w:hAnsi="Book Antiqua" w:cs="Arial"/>
          <w:lang w:val="en-US"/>
        </w:rPr>
        <w:t xml:space="preserve">he </w:t>
      </w:r>
      <w:r w:rsidR="00133CFC" w:rsidRPr="00EA5799">
        <w:rPr>
          <w:rFonts w:ascii="Book Antiqua" w:eastAsia="GungsuhChe" w:hAnsi="Book Antiqua" w:cs="Arial"/>
          <w:lang w:val="en-US"/>
        </w:rPr>
        <w:t>screening</w:t>
      </w:r>
      <w:r w:rsidR="009F7B2C" w:rsidRPr="00EA5799">
        <w:rPr>
          <w:rFonts w:ascii="Book Antiqua" w:eastAsia="GungsuhChe" w:hAnsi="Book Antiqua" w:cs="Arial"/>
          <w:lang w:val="en-US"/>
        </w:rPr>
        <w:t xml:space="preserve"> methods</w:t>
      </w:r>
      <w:r w:rsidR="00133CFC" w:rsidRPr="00EA5799">
        <w:rPr>
          <w:rFonts w:ascii="Book Antiqua" w:eastAsia="GungsuhChe" w:hAnsi="Book Antiqua" w:cs="Arial"/>
          <w:lang w:val="en-US"/>
        </w:rPr>
        <w:t xml:space="preserve"> and </w:t>
      </w:r>
      <w:r w:rsidR="009F7B2C" w:rsidRPr="00EA5799">
        <w:rPr>
          <w:rFonts w:ascii="Book Antiqua" w:eastAsia="GungsuhChe" w:hAnsi="Book Antiqua" w:cs="Arial"/>
          <w:lang w:val="en-US"/>
        </w:rPr>
        <w:t xml:space="preserve">the </w:t>
      </w:r>
      <w:r w:rsidR="001F6FD4" w:rsidRPr="00EA5799">
        <w:rPr>
          <w:rFonts w:ascii="Book Antiqua" w:eastAsia="GungsuhChe" w:hAnsi="Book Antiqua" w:cs="Arial"/>
          <w:lang w:val="en-US"/>
        </w:rPr>
        <w:t xml:space="preserve">type </w:t>
      </w:r>
      <w:r w:rsidR="009F7B2C" w:rsidRPr="00EA5799">
        <w:rPr>
          <w:rFonts w:ascii="Book Antiqua" w:eastAsia="GungsuhChe" w:hAnsi="Book Antiqua" w:cs="Arial"/>
          <w:lang w:val="en-US"/>
        </w:rPr>
        <w:t xml:space="preserve">of </w:t>
      </w:r>
      <w:r w:rsidR="00133CFC" w:rsidRPr="00EA5799">
        <w:rPr>
          <w:rFonts w:ascii="Book Antiqua" w:eastAsia="GungsuhChe" w:hAnsi="Book Antiqua" w:cs="Arial"/>
          <w:lang w:val="en-US"/>
        </w:rPr>
        <w:t xml:space="preserve">population </w:t>
      </w:r>
      <w:r w:rsidR="001F6FD4" w:rsidRPr="00EA5799">
        <w:rPr>
          <w:rFonts w:ascii="Book Antiqua" w:eastAsia="GungsuhChe" w:hAnsi="Book Antiqua" w:cs="Arial"/>
          <w:lang w:val="en-US"/>
        </w:rPr>
        <w:t xml:space="preserve">selected </w:t>
      </w:r>
      <w:r w:rsidR="000361CA" w:rsidRPr="00EA5799">
        <w:rPr>
          <w:rFonts w:ascii="Book Antiqua" w:eastAsia="GungsuhChe" w:hAnsi="Book Antiqua" w:cs="Arial"/>
          <w:lang w:val="en-US"/>
        </w:rPr>
        <w:t xml:space="preserve">may </w:t>
      </w:r>
      <w:r w:rsidR="00133CFC" w:rsidRPr="00EA5799">
        <w:rPr>
          <w:rFonts w:ascii="Book Antiqua" w:eastAsia="GungsuhChe" w:hAnsi="Book Antiqua" w:cs="Arial"/>
          <w:lang w:val="en-US"/>
        </w:rPr>
        <w:t>have</w:t>
      </w:r>
      <w:r w:rsidR="001C4B04" w:rsidRPr="00EA5799">
        <w:rPr>
          <w:rFonts w:ascii="Book Antiqua" w:eastAsia="GungsuhChe" w:hAnsi="Book Antiqua" w:cs="Arial"/>
          <w:lang w:val="en-US"/>
        </w:rPr>
        <w:t xml:space="preserve"> an influence,</w:t>
      </w:r>
      <w:r w:rsidR="00F366B8" w:rsidRPr="00EA5799">
        <w:rPr>
          <w:rFonts w:ascii="Book Antiqua" w:eastAsia="GungsuhChe" w:hAnsi="Book Antiqua" w:cs="Arial"/>
          <w:lang w:val="en-US"/>
        </w:rPr>
        <w:t xml:space="preserve"> </w:t>
      </w:r>
      <w:r w:rsidR="00995C66" w:rsidRPr="00EA5799">
        <w:rPr>
          <w:rFonts w:ascii="Book Antiqua" w:eastAsia="GungsuhChe" w:hAnsi="Book Antiqua" w:cs="Arial"/>
          <w:lang w:val="en-US"/>
        </w:rPr>
        <w:t xml:space="preserve">since </w:t>
      </w:r>
      <w:r w:rsidR="009F7B2C" w:rsidRPr="00EA5799">
        <w:rPr>
          <w:rFonts w:ascii="Book Antiqua" w:eastAsia="GungsuhChe" w:hAnsi="Book Antiqua" w:cs="Arial"/>
          <w:lang w:val="en-US"/>
        </w:rPr>
        <w:t>in</w:t>
      </w:r>
      <w:r w:rsidR="00A87295" w:rsidRPr="00EA5799">
        <w:rPr>
          <w:rFonts w:ascii="Book Antiqua" w:eastAsia="GungsuhChe" w:hAnsi="Book Antiqua" w:cs="Arial"/>
          <w:lang w:val="en-US"/>
        </w:rPr>
        <w:t xml:space="preserve"> high-</w:t>
      </w:r>
      <w:r w:rsidR="001C4B04" w:rsidRPr="00EA5799">
        <w:rPr>
          <w:rFonts w:ascii="Book Antiqua" w:eastAsia="GungsuhChe" w:hAnsi="Book Antiqua" w:cs="Arial"/>
          <w:lang w:val="en-US"/>
        </w:rPr>
        <w:t>risk groups</w:t>
      </w:r>
      <w:r w:rsidR="00A87295" w:rsidRPr="00EA5799">
        <w:rPr>
          <w:rFonts w:ascii="Book Antiqua" w:eastAsia="GungsuhChe" w:hAnsi="Book Antiqua" w:cs="Arial"/>
          <w:lang w:val="en-US"/>
        </w:rPr>
        <w:t xml:space="preserve"> of adults</w:t>
      </w:r>
      <w:r w:rsidR="001C4B04" w:rsidRPr="00EA5799">
        <w:rPr>
          <w:rFonts w:ascii="Book Antiqua" w:eastAsia="GungsuhChe" w:hAnsi="Book Antiqua" w:cs="Arial"/>
          <w:lang w:val="en-US"/>
        </w:rPr>
        <w:t xml:space="preserve"> as well as in first-degree relatives</w:t>
      </w:r>
      <w:r w:rsidR="000E29AD" w:rsidRPr="00EA5799">
        <w:rPr>
          <w:rFonts w:ascii="Book Antiqua" w:eastAsia="GungsuhChe" w:hAnsi="Book Antiqua" w:cs="Arial"/>
          <w:lang w:val="en-US"/>
        </w:rPr>
        <w:t>,</w:t>
      </w:r>
      <w:r w:rsidR="001C4B04" w:rsidRPr="00EA5799">
        <w:rPr>
          <w:rFonts w:ascii="Book Antiqua" w:eastAsia="GungsuhChe" w:hAnsi="Book Antiqua" w:cs="Arial"/>
          <w:lang w:val="en-US"/>
        </w:rPr>
        <w:t xml:space="preserve"> </w:t>
      </w:r>
      <w:r w:rsidR="00AD1702" w:rsidRPr="00EA5799">
        <w:rPr>
          <w:rFonts w:ascii="Book Antiqua" w:eastAsia="GungsuhChe" w:hAnsi="Book Antiqua" w:cs="Arial"/>
          <w:lang w:val="en-US"/>
        </w:rPr>
        <w:t>affected individuals may exceed</w:t>
      </w:r>
      <w:r w:rsidR="001C4B04" w:rsidRPr="00EA5799">
        <w:rPr>
          <w:rFonts w:ascii="Book Antiqua" w:eastAsia="GungsuhChe" w:hAnsi="Book Antiqua" w:cs="Arial"/>
          <w:lang w:val="en-US"/>
        </w:rPr>
        <w:t xml:space="preserve"> 15%</w:t>
      </w:r>
      <w:r w:rsidR="00BF4BFC" w:rsidRPr="00EA5799">
        <w:rPr>
          <w:rFonts w:ascii="Book Antiqua" w:eastAsia="GungsuhChe" w:hAnsi="Book Antiqua" w:cs="Arial"/>
          <w:vertAlign w:val="superscript"/>
          <w:lang w:val="en-US"/>
        </w:rPr>
        <w:t>[3]</w:t>
      </w:r>
      <w:r w:rsidR="001C4B04" w:rsidRPr="00EA5799">
        <w:rPr>
          <w:rFonts w:ascii="Book Antiqua" w:eastAsia="GungsuhChe" w:hAnsi="Book Antiqua" w:cs="Arial"/>
          <w:lang w:val="en-US"/>
        </w:rPr>
        <w:t>.</w:t>
      </w:r>
      <w:r w:rsidR="008E68AD" w:rsidRPr="00EA5799">
        <w:rPr>
          <w:rFonts w:ascii="Book Antiqua" w:eastAsia="GungsuhChe" w:hAnsi="Book Antiqua" w:cs="Arial"/>
          <w:lang w:val="en-US"/>
        </w:rPr>
        <w:t xml:space="preserve"> It must also be taken into account that, as </w:t>
      </w:r>
      <w:r w:rsidR="005D5F91" w:rsidRPr="00EA5799">
        <w:rPr>
          <w:rFonts w:ascii="Book Antiqua" w:eastAsia="GungsuhChe" w:hAnsi="Book Antiqua" w:cs="Arial"/>
          <w:lang w:val="en-US"/>
        </w:rPr>
        <w:t>we discuss below</w:t>
      </w:r>
      <w:r w:rsidR="008E68AD" w:rsidRPr="00EA5799">
        <w:rPr>
          <w:rFonts w:ascii="Book Antiqua" w:eastAsia="GungsuhChe" w:hAnsi="Book Antiqua" w:cs="Arial"/>
          <w:lang w:val="en-US"/>
        </w:rPr>
        <w:t xml:space="preserve">, studies based on serological screening may not really demonstrate adult prevalence, where antibody titers are low </w:t>
      </w:r>
      <w:r w:rsidR="00DC4670" w:rsidRPr="00EA5799">
        <w:rPr>
          <w:rFonts w:ascii="Book Antiqua" w:eastAsia="GungsuhChe" w:hAnsi="Book Antiqua" w:cs="Arial"/>
          <w:lang w:val="en-US"/>
        </w:rPr>
        <w:t xml:space="preserve">or </w:t>
      </w:r>
      <w:r w:rsidR="008E68AD" w:rsidRPr="00EA5799">
        <w:rPr>
          <w:rFonts w:ascii="Book Antiqua" w:eastAsia="GungsuhChe" w:hAnsi="Book Antiqua" w:cs="Arial"/>
          <w:lang w:val="en-US"/>
        </w:rPr>
        <w:t xml:space="preserve">even negative, while histological damage and symptoms are compatible with </w:t>
      </w:r>
      <w:proofErr w:type="gramStart"/>
      <w:r w:rsidR="008E68AD" w:rsidRPr="00EA5799">
        <w:rPr>
          <w:rFonts w:ascii="Book Antiqua" w:eastAsia="GungsuhChe" w:hAnsi="Book Antiqua" w:cs="Arial"/>
          <w:lang w:val="en-US"/>
        </w:rPr>
        <w:t>CD</w:t>
      </w:r>
      <w:r w:rsidR="00BF4BFC" w:rsidRPr="00EA5799">
        <w:rPr>
          <w:rFonts w:ascii="Book Antiqua" w:eastAsia="GungsuhChe" w:hAnsi="Book Antiqua" w:cs="Arial"/>
          <w:vertAlign w:val="superscript"/>
          <w:lang w:val="en-US"/>
        </w:rPr>
        <w:t>[</w:t>
      </w:r>
      <w:proofErr w:type="gramEnd"/>
      <w:r w:rsidR="00BF4BFC" w:rsidRPr="00EA5799">
        <w:rPr>
          <w:rFonts w:ascii="Book Antiqua" w:eastAsia="GungsuhChe" w:hAnsi="Book Antiqua" w:cs="Arial"/>
          <w:vertAlign w:val="superscript"/>
          <w:lang w:val="en-US"/>
        </w:rPr>
        <w:t>11]</w:t>
      </w:r>
      <w:r w:rsidR="00625650" w:rsidRPr="00EA5799">
        <w:rPr>
          <w:rFonts w:ascii="Book Antiqua" w:eastAsia="GungsuhChe" w:hAnsi="Book Antiqua" w:cs="Arial"/>
          <w:lang w:val="en-US"/>
        </w:rPr>
        <w:t>.</w:t>
      </w:r>
      <w:r w:rsidR="00BF4BFC" w:rsidRPr="00EA5799" w:rsidDel="00BF4BFC">
        <w:rPr>
          <w:rFonts w:ascii="Book Antiqua" w:eastAsia="GungsuhChe" w:hAnsi="Book Antiqua" w:cs="Arial"/>
          <w:lang w:val="en-US"/>
        </w:rPr>
        <w:t xml:space="preserve"> </w:t>
      </w:r>
    </w:p>
    <w:p w14:paraId="12FFCF7C" w14:textId="77777777" w:rsidR="004F2A2C" w:rsidRPr="004F2A2C" w:rsidRDefault="004F2A2C" w:rsidP="004F2A2C">
      <w:pPr>
        <w:spacing w:after="0" w:line="360" w:lineRule="auto"/>
        <w:ind w:firstLineChars="100" w:firstLine="240"/>
        <w:jc w:val="both"/>
        <w:rPr>
          <w:rFonts w:ascii="Book Antiqua" w:eastAsia="宋体" w:hAnsi="Book Antiqua" w:cs="Arial"/>
          <w:lang w:val="en-US" w:eastAsia="zh-CN"/>
        </w:rPr>
      </w:pPr>
    </w:p>
    <w:p w14:paraId="3EF55532" w14:textId="4BC5955D" w:rsidR="00D021F1" w:rsidRPr="00EA5799" w:rsidRDefault="004F2A2C" w:rsidP="00EA5799">
      <w:pPr>
        <w:spacing w:after="0" w:line="360" w:lineRule="auto"/>
        <w:jc w:val="both"/>
        <w:rPr>
          <w:rFonts w:ascii="Book Antiqua" w:eastAsia="GungsuhChe" w:hAnsi="Book Antiqua" w:cs="Arial"/>
          <w:b/>
          <w:lang w:val="en-US"/>
        </w:rPr>
      </w:pPr>
      <w:r w:rsidRPr="00EA5799">
        <w:rPr>
          <w:rFonts w:ascii="Book Antiqua" w:eastAsia="GungsuhChe" w:hAnsi="Book Antiqua" w:cs="Arial"/>
          <w:b/>
          <w:lang w:val="en-US"/>
        </w:rPr>
        <w:t>SYMPTOMATOLOGY</w:t>
      </w:r>
    </w:p>
    <w:p w14:paraId="7CF4E322" w14:textId="6E785944" w:rsidR="00AD1702" w:rsidRPr="00EA5799" w:rsidRDefault="00AD6E68" w:rsidP="00EA5799">
      <w:pPr>
        <w:spacing w:after="0" w:line="360" w:lineRule="auto"/>
        <w:jc w:val="both"/>
        <w:rPr>
          <w:rFonts w:ascii="Book Antiqua" w:eastAsia="GungsuhChe" w:hAnsi="Book Antiqua" w:cs="Arial"/>
          <w:lang w:val="en-US"/>
        </w:rPr>
      </w:pPr>
      <w:r w:rsidRPr="00EA5799">
        <w:rPr>
          <w:rFonts w:ascii="Book Antiqua" w:eastAsia="GungsuhChe" w:hAnsi="Book Antiqua" w:cs="Arial"/>
          <w:lang w:val="en-US"/>
        </w:rPr>
        <w:t xml:space="preserve">The clearest difference between children and adults is </w:t>
      </w:r>
      <w:r w:rsidR="00FF588C" w:rsidRPr="00EA5799">
        <w:rPr>
          <w:rFonts w:ascii="Book Antiqua" w:eastAsia="GungsuhChe" w:hAnsi="Book Antiqua" w:cs="Arial"/>
          <w:lang w:val="en-US"/>
        </w:rPr>
        <w:t xml:space="preserve">the clinical </w:t>
      </w:r>
      <w:r w:rsidR="007E1D76" w:rsidRPr="00EA5799">
        <w:rPr>
          <w:rFonts w:ascii="Book Antiqua" w:eastAsia="GungsuhChe" w:hAnsi="Book Antiqua" w:cs="Arial"/>
          <w:lang w:val="en-US"/>
        </w:rPr>
        <w:t>expressiveness</w:t>
      </w:r>
      <w:r w:rsidR="00FF588C" w:rsidRPr="00EA5799">
        <w:rPr>
          <w:rFonts w:ascii="Book Antiqua" w:eastAsia="GungsuhChe" w:hAnsi="Book Antiqua" w:cs="Arial"/>
          <w:lang w:val="en-US"/>
        </w:rPr>
        <w:t xml:space="preserve"> of the disease at the time of diagnosis</w:t>
      </w:r>
      <w:r w:rsidR="007E1D76" w:rsidRPr="00EA5799">
        <w:rPr>
          <w:rFonts w:ascii="Book Antiqua" w:eastAsia="GungsuhChe" w:hAnsi="Book Antiqua" w:cs="Arial"/>
          <w:lang w:val="en-US"/>
        </w:rPr>
        <w:t xml:space="preserve">. </w:t>
      </w:r>
      <w:r w:rsidR="004A13A7" w:rsidRPr="00EA5799">
        <w:rPr>
          <w:rFonts w:ascii="Book Antiqua" w:eastAsia="GungsuhChe" w:hAnsi="Book Antiqua" w:cs="Arial"/>
          <w:lang w:val="en-US"/>
        </w:rPr>
        <w:t xml:space="preserve">Different studies have shown </w:t>
      </w:r>
      <w:r w:rsidR="00115973" w:rsidRPr="00EA5799">
        <w:rPr>
          <w:rFonts w:ascii="Book Antiqua" w:eastAsia="GungsuhChe" w:hAnsi="Book Antiqua" w:cs="Arial"/>
          <w:lang w:val="en-US"/>
        </w:rPr>
        <w:t>that classic</w:t>
      </w:r>
      <w:r w:rsidR="004A13A7" w:rsidRPr="00EA5799">
        <w:rPr>
          <w:rFonts w:ascii="Book Antiqua" w:eastAsia="GungsuhChe" w:hAnsi="Book Antiqua" w:cs="Arial"/>
          <w:lang w:val="en-US"/>
        </w:rPr>
        <w:t xml:space="preserve"> clinical </w:t>
      </w:r>
      <w:r w:rsidR="00A7144E" w:rsidRPr="00EA5799">
        <w:rPr>
          <w:rFonts w:ascii="Book Antiqua" w:eastAsia="GungsuhChe" w:hAnsi="Book Antiqua" w:cs="Arial"/>
          <w:lang w:val="en-US"/>
        </w:rPr>
        <w:t>malabsorption</w:t>
      </w:r>
      <w:r w:rsidR="004A13A7" w:rsidRPr="00EA5799">
        <w:rPr>
          <w:rFonts w:ascii="Book Antiqua" w:eastAsia="GungsuhChe" w:hAnsi="Book Antiqua" w:cs="Arial"/>
          <w:lang w:val="en-US"/>
        </w:rPr>
        <w:t xml:space="preserve"> pattern</w:t>
      </w:r>
      <w:r w:rsidR="0034670B" w:rsidRPr="00EA5799">
        <w:rPr>
          <w:rFonts w:ascii="Book Antiqua" w:eastAsia="GungsuhChe" w:hAnsi="Book Antiqua" w:cs="Arial"/>
          <w:lang w:val="en-US"/>
        </w:rPr>
        <w:t xml:space="preserve"> is</w:t>
      </w:r>
      <w:r w:rsidR="004A13A7" w:rsidRPr="00EA5799">
        <w:rPr>
          <w:rFonts w:ascii="Book Antiqua" w:eastAsia="GungsuhChe" w:hAnsi="Book Antiqua" w:cs="Arial"/>
          <w:lang w:val="en-US"/>
        </w:rPr>
        <w:t xml:space="preserve"> frequent</w:t>
      </w:r>
      <w:r w:rsidR="003903EF" w:rsidRPr="00EA5799">
        <w:rPr>
          <w:rFonts w:ascii="Book Antiqua" w:eastAsia="GungsuhChe" w:hAnsi="Book Antiqua" w:cs="Arial"/>
          <w:lang w:val="en-US"/>
        </w:rPr>
        <w:t>ly observed</w:t>
      </w:r>
      <w:r w:rsidR="004A13A7" w:rsidRPr="00EA5799">
        <w:rPr>
          <w:rFonts w:ascii="Book Antiqua" w:eastAsia="GungsuhChe" w:hAnsi="Book Antiqua" w:cs="Arial"/>
          <w:lang w:val="en-US"/>
        </w:rPr>
        <w:t xml:space="preserve"> </w:t>
      </w:r>
      <w:r w:rsidR="0034670B" w:rsidRPr="00EA5799">
        <w:rPr>
          <w:rFonts w:ascii="Book Antiqua" w:eastAsia="GungsuhChe" w:hAnsi="Book Antiqua" w:cs="Arial"/>
          <w:lang w:val="en-US"/>
        </w:rPr>
        <w:t xml:space="preserve">in children </w:t>
      </w:r>
      <w:r w:rsidR="003903EF" w:rsidRPr="00EA5799">
        <w:rPr>
          <w:rFonts w:ascii="Book Antiqua" w:eastAsia="GungsuhChe" w:hAnsi="Book Antiqua" w:cs="Arial"/>
          <w:lang w:val="en-US"/>
        </w:rPr>
        <w:t>during</w:t>
      </w:r>
      <w:r w:rsidR="00AD1702" w:rsidRPr="00EA5799">
        <w:rPr>
          <w:rFonts w:ascii="Book Antiqua" w:eastAsia="GungsuhChe" w:hAnsi="Book Antiqua" w:cs="Arial"/>
          <w:lang w:val="en-US"/>
        </w:rPr>
        <w:t xml:space="preserve"> </w:t>
      </w:r>
      <w:r w:rsidR="004A13A7" w:rsidRPr="00EA5799">
        <w:rPr>
          <w:rFonts w:ascii="Book Antiqua" w:eastAsia="GungsuhChe" w:hAnsi="Book Antiqua" w:cs="Arial"/>
          <w:lang w:val="en-US"/>
        </w:rPr>
        <w:t xml:space="preserve">diagnosis, while classical symptoms occur in less than </w:t>
      </w:r>
      <w:r w:rsidR="00E404F1" w:rsidRPr="00EA5799">
        <w:rPr>
          <w:rFonts w:ascii="Book Antiqua" w:eastAsia="GungsuhChe" w:hAnsi="Book Antiqua" w:cs="Arial"/>
          <w:lang w:val="en-US"/>
        </w:rPr>
        <w:t xml:space="preserve">25% </w:t>
      </w:r>
      <w:r w:rsidR="004A13A7" w:rsidRPr="00EA5799">
        <w:rPr>
          <w:rFonts w:ascii="Book Antiqua" w:eastAsia="GungsuhChe" w:hAnsi="Book Antiqua" w:cs="Arial"/>
          <w:lang w:val="en-US"/>
        </w:rPr>
        <w:t>of</w:t>
      </w:r>
      <w:r w:rsidR="002E569F" w:rsidRPr="00EA5799">
        <w:rPr>
          <w:rFonts w:ascii="Book Antiqua" w:eastAsia="GungsuhChe" w:hAnsi="Book Antiqua" w:cs="Arial"/>
          <w:lang w:val="en-US"/>
        </w:rPr>
        <w:t xml:space="preserve"> </w:t>
      </w:r>
      <w:r w:rsidR="00A87295" w:rsidRPr="00EA5799">
        <w:rPr>
          <w:rFonts w:ascii="Book Antiqua" w:eastAsia="GungsuhChe" w:hAnsi="Book Antiqua" w:cs="Arial"/>
          <w:lang w:val="en-US"/>
        </w:rPr>
        <w:t>adult</w:t>
      </w:r>
      <w:r w:rsidR="004A13A7" w:rsidRPr="00EA5799">
        <w:rPr>
          <w:rFonts w:ascii="Book Antiqua" w:eastAsia="GungsuhChe" w:hAnsi="Book Antiqua" w:cs="Arial"/>
          <w:lang w:val="en-US"/>
        </w:rPr>
        <w:t xml:space="preserve"> </w:t>
      </w:r>
      <w:proofErr w:type="gramStart"/>
      <w:r w:rsidR="00E404F1" w:rsidRPr="00EA5799">
        <w:rPr>
          <w:rFonts w:ascii="Book Antiqua" w:eastAsia="GungsuhChe" w:hAnsi="Book Antiqua" w:cs="Arial"/>
          <w:lang w:val="en-US"/>
        </w:rPr>
        <w:t>cas</w:t>
      </w:r>
      <w:r w:rsidR="004A13A7" w:rsidRPr="00EA5799">
        <w:rPr>
          <w:rFonts w:ascii="Book Antiqua" w:eastAsia="GungsuhChe" w:hAnsi="Book Antiqua" w:cs="Arial"/>
          <w:lang w:val="en-US"/>
        </w:rPr>
        <w:t>e</w:t>
      </w:r>
      <w:r w:rsidR="00E404F1" w:rsidRPr="00EA5799">
        <w:rPr>
          <w:rFonts w:ascii="Book Antiqua" w:eastAsia="GungsuhChe" w:hAnsi="Book Antiqua" w:cs="Arial"/>
          <w:lang w:val="en-US"/>
        </w:rPr>
        <w:t>s</w:t>
      </w:r>
      <w:r w:rsidR="00BF4BFC" w:rsidRPr="00EA5799">
        <w:rPr>
          <w:rFonts w:ascii="Book Antiqua" w:eastAsia="GungsuhChe" w:hAnsi="Book Antiqua" w:cs="Arial"/>
          <w:vertAlign w:val="superscript"/>
          <w:lang w:val="en-US"/>
        </w:rPr>
        <w:t>[</w:t>
      </w:r>
      <w:proofErr w:type="gramEnd"/>
      <w:r w:rsidR="00BF4BFC" w:rsidRPr="00EA5799">
        <w:rPr>
          <w:rFonts w:ascii="Book Antiqua" w:eastAsia="GungsuhChe" w:hAnsi="Book Antiqua" w:cs="Arial"/>
          <w:vertAlign w:val="superscript"/>
          <w:lang w:val="en-US"/>
        </w:rPr>
        <w:t>12]</w:t>
      </w:r>
      <w:r w:rsidR="004A13A7" w:rsidRPr="00EA5799">
        <w:rPr>
          <w:rFonts w:ascii="Book Antiqua" w:eastAsia="GungsuhChe" w:hAnsi="Book Antiqua" w:cs="Arial"/>
          <w:lang w:val="en-US"/>
        </w:rPr>
        <w:t>.</w:t>
      </w:r>
      <w:r w:rsidR="00AD1702" w:rsidRPr="00EA5799">
        <w:rPr>
          <w:rFonts w:ascii="Book Antiqua" w:eastAsia="GungsuhChe" w:hAnsi="Book Antiqua" w:cs="Arial"/>
          <w:lang w:val="en-US"/>
        </w:rPr>
        <w:t xml:space="preserve"> </w:t>
      </w:r>
      <w:r w:rsidR="00265ECC" w:rsidRPr="00EA5799">
        <w:rPr>
          <w:rFonts w:ascii="Book Antiqua" w:eastAsia="GungsuhChe" w:hAnsi="Book Antiqua" w:cs="Arial"/>
          <w:lang w:val="en-US"/>
        </w:rPr>
        <w:t xml:space="preserve">Table </w:t>
      </w:r>
      <w:r w:rsidR="00EA3953">
        <w:rPr>
          <w:rFonts w:ascii="Book Antiqua" w:eastAsia="宋体" w:hAnsi="Book Antiqua" w:cs="Arial" w:hint="eastAsia"/>
          <w:lang w:val="en-US" w:eastAsia="zh-CN"/>
        </w:rPr>
        <w:t>1</w:t>
      </w:r>
      <w:r w:rsidR="00265ECC" w:rsidRPr="00EA5799">
        <w:rPr>
          <w:rFonts w:ascii="Book Antiqua" w:eastAsia="GungsuhChe" w:hAnsi="Book Antiqua" w:cs="Arial"/>
          <w:lang w:val="en-US"/>
        </w:rPr>
        <w:t xml:space="preserve"> </w:t>
      </w:r>
      <w:r w:rsidR="00236DD5" w:rsidRPr="00EA5799">
        <w:rPr>
          <w:rFonts w:ascii="Book Antiqua" w:eastAsia="GungsuhChe" w:hAnsi="Book Antiqua" w:cs="Arial"/>
          <w:lang w:val="en-US"/>
        </w:rPr>
        <w:t xml:space="preserve">contains an overview </w:t>
      </w:r>
      <w:r w:rsidR="00434E11" w:rsidRPr="00EA5799">
        <w:rPr>
          <w:rFonts w:ascii="Book Antiqua" w:eastAsia="GungsuhChe" w:hAnsi="Book Antiqua" w:cs="Arial"/>
          <w:lang w:val="en-US"/>
        </w:rPr>
        <w:t>of different</w:t>
      </w:r>
      <w:r w:rsidR="00236DD5" w:rsidRPr="00EA5799">
        <w:rPr>
          <w:rFonts w:ascii="Book Antiqua" w:eastAsia="GungsuhChe" w:hAnsi="Book Antiqua" w:cs="Arial"/>
          <w:lang w:val="en-US"/>
        </w:rPr>
        <w:t xml:space="preserve"> clinical manifestation</w:t>
      </w:r>
      <w:r w:rsidR="006502AB" w:rsidRPr="00EA5799">
        <w:rPr>
          <w:rFonts w:ascii="Book Antiqua" w:eastAsia="GungsuhChe" w:hAnsi="Book Antiqua" w:cs="Arial"/>
          <w:lang w:val="en-US"/>
        </w:rPr>
        <w:t>s</w:t>
      </w:r>
      <w:r w:rsidR="00133CFC" w:rsidRPr="00EA5799">
        <w:rPr>
          <w:rFonts w:ascii="Book Antiqua" w:eastAsia="GungsuhChe" w:hAnsi="Book Antiqua" w:cs="Arial"/>
          <w:lang w:val="en-US"/>
        </w:rPr>
        <w:t xml:space="preserve"> in CD</w:t>
      </w:r>
      <w:r w:rsidR="00236DD5" w:rsidRPr="00EA5799">
        <w:rPr>
          <w:rFonts w:ascii="Book Antiqua" w:eastAsia="GungsuhChe" w:hAnsi="Book Antiqua" w:cs="Arial"/>
          <w:lang w:val="en-US"/>
        </w:rPr>
        <w:t xml:space="preserve"> according to </w:t>
      </w:r>
      <w:r w:rsidR="006502AB" w:rsidRPr="00EA5799">
        <w:rPr>
          <w:rFonts w:ascii="Book Antiqua" w:eastAsia="GungsuhChe" w:hAnsi="Book Antiqua" w:cs="Arial"/>
          <w:lang w:val="en-US"/>
        </w:rPr>
        <w:t>the prese</w:t>
      </w:r>
      <w:r w:rsidR="009F7FAA" w:rsidRPr="00EA5799">
        <w:rPr>
          <w:rFonts w:ascii="Book Antiqua" w:eastAsia="GungsuhChe" w:hAnsi="Book Antiqua" w:cs="Arial"/>
          <w:lang w:val="en-US"/>
        </w:rPr>
        <w:t xml:space="preserve">ntation </w:t>
      </w:r>
      <w:r w:rsidR="00236DD5" w:rsidRPr="00EA5799">
        <w:rPr>
          <w:rFonts w:ascii="Book Antiqua" w:eastAsia="GungsuhChe" w:hAnsi="Book Antiqua" w:cs="Arial"/>
          <w:lang w:val="en-US"/>
        </w:rPr>
        <w:t>age</w:t>
      </w:r>
      <w:r w:rsidR="009F7FAA" w:rsidRPr="00EA5799">
        <w:rPr>
          <w:rFonts w:ascii="Book Antiqua" w:eastAsia="GungsuhChe" w:hAnsi="Book Antiqua" w:cs="Arial"/>
          <w:lang w:val="en-US"/>
        </w:rPr>
        <w:t xml:space="preserve">. </w:t>
      </w:r>
    </w:p>
    <w:p w14:paraId="6D0A6DC1" w14:textId="4EBDB321" w:rsidR="009F7FAA" w:rsidRPr="00EA5799" w:rsidRDefault="00AA69B7" w:rsidP="004F2A2C">
      <w:pPr>
        <w:spacing w:after="0" w:line="360" w:lineRule="auto"/>
        <w:ind w:firstLineChars="100" w:firstLine="240"/>
        <w:jc w:val="both"/>
        <w:rPr>
          <w:rFonts w:ascii="Book Antiqua" w:eastAsia="GungsuhChe" w:hAnsi="Book Antiqua" w:cs="Arial"/>
          <w:lang w:val="en-US"/>
        </w:rPr>
      </w:pPr>
      <w:r w:rsidRPr="00EA5799">
        <w:rPr>
          <w:rFonts w:ascii="Book Antiqua" w:eastAsia="GungsuhChe" w:hAnsi="Book Antiqua" w:cs="Arial"/>
          <w:lang w:val="en-US"/>
        </w:rPr>
        <w:t xml:space="preserve">A tendency towards lower clinical </w:t>
      </w:r>
      <w:r w:rsidR="00FF588C" w:rsidRPr="00EA5799">
        <w:rPr>
          <w:rFonts w:ascii="Book Antiqua" w:eastAsia="GungsuhChe" w:hAnsi="Book Antiqua" w:cs="Arial"/>
          <w:lang w:val="en-US"/>
        </w:rPr>
        <w:t xml:space="preserve">manifestations </w:t>
      </w:r>
      <w:r w:rsidRPr="00EA5799">
        <w:rPr>
          <w:rFonts w:ascii="Book Antiqua" w:eastAsia="GungsuhChe" w:hAnsi="Book Antiqua" w:cs="Arial"/>
          <w:lang w:val="en-US"/>
        </w:rPr>
        <w:t xml:space="preserve">can be observed as age </w:t>
      </w:r>
      <w:proofErr w:type="gramStart"/>
      <w:r w:rsidRPr="00EA5799">
        <w:rPr>
          <w:rFonts w:ascii="Book Antiqua" w:eastAsia="GungsuhChe" w:hAnsi="Book Antiqua" w:cs="Arial"/>
          <w:lang w:val="en-US"/>
        </w:rPr>
        <w:t>increases</w:t>
      </w:r>
      <w:r w:rsidR="00BF4BFC" w:rsidRPr="00EA5799">
        <w:rPr>
          <w:rFonts w:ascii="Book Antiqua" w:eastAsia="GungsuhChe" w:hAnsi="Book Antiqua" w:cs="Arial"/>
          <w:vertAlign w:val="superscript"/>
          <w:lang w:val="en-US"/>
        </w:rPr>
        <w:t>[</w:t>
      </w:r>
      <w:proofErr w:type="gramEnd"/>
      <w:r w:rsidR="00BF4BFC" w:rsidRPr="00EA5799">
        <w:rPr>
          <w:rFonts w:ascii="Book Antiqua" w:eastAsia="GungsuhChe" w:hAnsi="Book Antiqua" w:cs="Arial"/>
          <w:vertAlign w:val="superscript"/>
          <w:lang w:val="en-US"/>
        </w:rPr>
        <w:t>4]</w:t>
      </w:r>
      <w:r w:rsidRPr="00EA5799">
        <w:rPr>
          <w:rFonts w:ascii="Book Antiqua" w:eastAsia="GungsuhChe" w:hAnsi="Book Antiqua" w:cs="Arial"/>
          <w:lang w:val="en-US"/>
        </w:rPr>
        <w:t>. In older children and adults</w:t>
      </w:r>
      <w:r w:rsidR="00A46101" w:rsidRPr="00EA5799">
        <w:rPr>
          <w:rFonts w:ascii="Book Antiqua" w:eastAsia="GungsuhChe" w:hAnsi="Book Antiqua" w:cs="Arial"/>
          <w:lang w:val="en-US"/>
        </w:rPr>
        <w:t xml:space="preserve"> </w:t>
      </w:r>
      <w:r w:rsidR="00B17FA3" w:rsidRPr="00EA5799">
        <w:rPr>
          <w:rFonts w:ascii="Book Antiqua" w:eastAsia="GungsuhChe" w:hAnsi="Book Antiqua" w:cs="Arial"/>
          <w:lang w:val="en-US"/>
        </w:rPr>
        <w:t xml:space="preserve">only limited </w:t>
      </w:r>
      <w:r w:rsidR="00A46101" w:rsidRPr="00EA5799">
        <w:rPr>
          <w:rFonts w:ascii="Book Antiqua" w:eastAsia="GungsuhChe" w:hAnsi="Book Antiqua" w:cs="Arial"/>
          <w:lang w:val="en-US"/>
        </w:rPr>
        <w:t xml:space="preserve">symptoms are prevalent, </w:t>
      </w:r>
      <w:r w:rsidR="00B17FA3" w:rsidRPr="00EA5799">
        <w:rPr>
          <w:rFonts w:ascii="Book Antiqua" w:eastAsia="GungsuhChe" w:hAnsi="Book Antiqua" w:cs="Arial"/>
          <w:lang w:val="en-US"/>
        </w:rPr>
        <w:t xml:space="preserve">which </w:t>
      </w:r>
      <w:r w:rsidR="00A46101" w:rsidRPr="00EA5799">
        <w:rPr>
          <w:rFonts w:ascii="Book Antiqua" w:eastAsia="GungsuhChe" w:hAnsi="Book Antiqua" w:cs="Arial"/>
          <w:lang w:val="en-US"/>
        </w:rPr>
        <w:t xml:space="preserve">often </w:t>
      </w:r>
      <w:r w:rsidR="00B17FA3" w:rsidRPr="00EA5799">
        <w:rPr>
          <w:rFonts w:ascii="Book Antiqua" w:eastAsia="GungsuhChe" w:hAnsi="Book Antiqua" w:cs="Arial"/>
          <w:lang w:val="en-US"/>
        </w:rPr>
        <w:t xml:space="preserve">consist of </w:t>
      </w:r>
      <w:r w:rsidR="00A46101" w:rsidRPr="00EA5799">
        <w:rPr>
          <w:rFonts w:ascii="Book Antiqua" w:eastAsia="GungsuhChe" w:hAnsi="Book Antiqua" w:cs="Arial"/>
          <w:lang w:val="en-US"/>
        </w:rPr>
        <w:t>an increase in stool volume</w:t>
      </w:r>
      <w:r w:rsidR="00B17FA3" w:rsidRPr="00EA5799">
        <w:rPr>
          <w:rFonts w:ascii="Book Antiqua" w:eastAsia="GungsuhChe" w:hAnsi="Book Antiqua" w:cs="Arial"/>
          <w:lang w:val="en-US"/>
        </w:rPr>
        <w:t>,</w:t>
      </w:r>
      <w:r w:rsidR="00A46101" w:rsidRPr="00EA5799">
        <w:rPr>
          <w:rFonts w:ascii="Book Antiqua" w:eastAsia="GungsuhChe" w:hAnsi="Book Antiqua" w:cs="Arial"/>
          <w:lang w:val="en-US"/>
        </w:rPr>
        <w:t xml:space="preserve"> or intestinal gas generated </w:t>
      </w:r>
      <w:r w:rsidR="00A46101" w:rsidRPr="00EA5799">
        <w:rPr>
          <w:rFonts w:ascii="Book Antiqua" w:eastAsia="GungsuhChe" w:hAnsi="Book Antiqua" w:cs="Arial"/>
          <w:lang w:val="en-US"/>
        </w:rPr>
        <w:lastRenderedPageBreak/>
        <w:t xml:space="preserve">by lactose </w:t>
      </w:r>
      <w:r w:rsidR="00A7144E" w:rsidRPr="00EA5799">
        <w:rPr>
          <w:rFonts w:ascii="Book Antiqua" w:eastAsia="GungsuhChe" w:hAnsi="Book Antiqua" w:cs="Arial"/>
          <w:lang w:val="en-US"/>
        </w:rPr>
        <w:t>malabsorption</w:t>
      </w:r>
      <w:r w:rsidR="00D86534" w:rsidRPr="00EA5799">
        <w:rPr>
          <w:rFonts w:ascii="Book Antiqua" w:eastAsia="GungsuhChe" w:hAnsi="Book Antiqua" w:cs="Arial"/>
          <w:lang w:val="en-US"/>
        </w:rPr>
        <w:t xml:space="preserve"> or bacterial overgrowth. </w:t>
      </w:r>
      <w:r w:rsidR="009A5366" w:rsidRPr="00EA5799">
        <w:rPr>
          <w:rFonts w:ascii="Book Antiqua" w:eastAsia="GungsuhChe" w:hAnsi="Book Antiqua" w:cs="Arial"/>
          <w:lang w:val="en-US"/>
        </w:rPr>
        <w:t>In fact,</w:t>
      </w:r>
      <w:r w:rsidR="00D86534" w:rsidRPr="00EA5799">
        <w:rPr>
          <w:rFonts w:ascii="Book Antiqua" w:eastAsia="GungsuhChe" w:hAnsi="Book Antiqua" w:cs="Arial"/>
          <w:lang w:val="en-US"/>
        </w:rPr>
        <w:t xml:space="preserve"> </w:t>
      </w:r>
      <w:r w:rsidR="009A5366" w:rsidRPr="00EA5799">
        <w:rPr>
          <w:rFonts w:ascii="Book Antiqua" w:eastAsia="GungsuhChe" w:hAnsi="Book Antiqua" w:cs="Arial"/>
          <w:lang w:val="en-US"/>
        </w:rPr>
        <w:t>c</w:t>
      </w:r>
      <w:r w:rsidR="00D86534" w:rsidRPr="00EA5799">
        <w:rPr>
          <w:rFonts w:ascii="Book Antiqua" w:eastAsia="GungsuhChe" w:hAnsi="Book Antiqua" w:cs="Arial"/>
          <w:lang w:val="en-US"/>
        </w:rPr>
        <w:t xml:space="preserve">onstipation </w:t>
      </w:r>
      <w:r w:rsidR="00FF588C" w:rsidRPr="00EA5799">
        <w:rPr>
          <w:rFonts w:ascii="Book Antiqua" w:eastAsia="GungsuhChe" w:hAnsi="Book Antiqua" w:cs="Arial"/>
          <w:lang w:val="en-US"/>
        </w:rPr>
        <w:t>may be</w:t>
      </w:r>
      <w:r w:rsidR="00D86534" w:rsidRPr="00EA5799">
        <w:rPr>
          <w:rFonts w:ascii="Book Antiqua" w:eastAsia="GungsuhChe" w:hAnsi="Book Antiqua" w:cs="Arial"/>
          <w:lang w:val="en-US"/>
        </w:rPr>
        <w:t xml:space="preserve"> the only manifestation in a celiac adult.</w:t>
      </w:r>
    </w:p>
    <w:p w14:paraId="44216552" w14:textId="68C501FE" w:rsidR="00AC0EB1" w:rsidRPr="00EA5799" w:rsidRDefault="00A7144E" w:rsidP="004F2A2C">
      <w:pPr>
        <w:spacing w:after="0" w:line="360" w:lineRule="auto"/>
        <w:ind w:firstLineChars="100" w:firstLine="240"/>
        <w:jc w:val="both"/>
        <w:rPr>
          <w:rFonts w:ascii="Book Antiqua" w:eastAsia="GungsuhChe" w:hAnsi="Book Antiqua" w:cs="Arial"/>
          <w:lang w:val="en-US"/>
        </w:rPr>
      </w:pPr>
      <w:proofErr w:type="spellStart"/>
      <w:r w:rsidRPr="00EA5799">
        <w:rPr>
          <w:rFonts w:ascii="Book Antiqua" w:eastAsia="GungsuhChe" w:hAnsi="Book Antiqua" w:cs="Arial"/>
          <w:lang w:val="en-US"/>
        </w:rPr>
        <w:t>Extraintestinal</w:t>
      </w:r>
      <w:proofErr w:type="spellEnd"/>
      <w:r w:rsidR="00A20807" w:rsidRPr="00EA5799">
        <w:rPr>
          <w:rFonts w:ascii="Book Antiqua" w:eastAsia="GungsuhChe" w:hAnsi="Book Antiqua" w:cs="Arial"/>
          <w:lang w:val="en-US"/>
        </w:rPr>
        <w:t xml:space="preserve"> symptoms or manifestations are quite freque</w:t>
      </w:r>
      <w:r w:rsidR="00CC41FB" w:rsidRPr="00EA5799">
        <w:rPr>
          <w:rFonts w:ascii="Book Antiqua" w:eastAsia="GungsuhChe" w:hAnsi="Book Antiqua" w:cs="Arial"/>
          <w:lang w:val="en-US"/>
        </w:rPr>
        <w:t>n</w:t>
      </w:r>
      <w:r w:rsidR="00A20807" w:rsidRPr="00EA5799">
        <w:rPr>
          <w:rFonts w:ascii="Book Antiqua" w:eastAsia="GungsuhChe" w:hAnsi="Book Antiqua" w:cs="Arial"/>
          <w:lang w:val="en-US"/>
        </w:rPr>
        <w:t>t in adult CD</w:t>
      </w:r>
      <w:r w:rsidR="001F373A" w:rsidRPr="00EA5799">
        <w:rPr>
          <w:rFonts w:ascii="Book Antiqua" w:eastAsia="GungsuhChe" w:hAnsi="Book Antiqua" w:cs="Arial"/>
          <w:lang w:val="en-US"/>
        </w:rPr>
        <w:t>,</w:t>
      </w:r>
      <w:r w:rsidR="00A20807" w:rsidRPr="00EA5799">
        <w:rPr>
          <w:rFonts w:ascii="Book Antiqua" w:eastAsia="GungsuhChe" w:hAnsi="Book Antiqua" w:cs="Arial"/>
          <w:lang w:val="en-US"/>
        </w:rPr>
        <w:t xml:space="preserve"> and may appear associated</w:t>
      </w:r>
      <w:r w:rsidR="006271A8" w:rsidRPr="00EA5799">
        <w:rPr>
          <w:rFonts w:ascii="Book Antiqua" w:eastAsia="GungsuhChe" w:hAnsi="Book Antiqua" w:cs="Arial"/>
          <w:lang w:val="en-US"/>
        </w:rPr>
        <w:t xml:space="preserve"> with other digestive symptoms</w:t>
      </w:r>
      <w:r w:rsidR="009A5366" w:rsidRPr="00EA5799">
        <w:rPr>
          <w:rFonts w:ascii="Book Antiqua" w:eastAsia="GungsuhChe" w:hAnsi="Book Antiqua" w:cs="Arial"/>
          <w:lang w:val="en-US"/>
        </w:rPr>
        <w:t xml:space="preserve"> such as</w:t>
      </w:r>
      <w:r w:rsidR="006271A8" w:rsidRPr="00EA5799">
        <w:rPr>
          <w:rFonts w:ascii="Book Antiqua" w:eastAsia="GungsuhChe" w:hAnsi="Book Antiqua" w:cs="Arial"/>
          <w:lang w:val="en-US"/>
        </w:rPr>
        <w:t xml:space="preserve"> </w:t>
      </w:r>
      <w:r w:rsidR="00FF588C" w:rsidRPr="00EA5799">
        <w:rPr>
          <w:rFonts w:ascii="Book Antiqua" w:eastAsia="GungsuhChe" w:hAnsi="Book Antiqua" w:cs="Arial"/>
          <w:lang w:val="en-US"/>
        </w:rPr>
        <w:t>a</w:t>
      </w:r>
      <w:r w:rsidR="006271A8" w:rsidRPr="00EA5799">
        <w:rPr>
          <w:rFonts w:ascii="Book Antiqua" w:eastAsia="GungsuhChe" w:hAnsi="Book Antiqua" w:cs="Arial"/>
          <w:lang w:val="en-US"/>
        </w:rPr>
        <w:t xml:space="preserve">sthenia, oral sores, </w:t>
      </w:r>
      <w:proofErr w:type="gramStart"/>
      <w:r w:rsidR="006271A8" w:rsidRPr="00EA5799">
        <w:rPr>
          <w:rFonts w:ascii="Book Antiqua" w:eastAsia="GungsuhChe" w:hAnsi="Book Antiqua" w:cs="Arial"/>
          <w:lang w:val="en-US"/>
        </w:rPr>
        <w:t>osteoporosis</w:t>
      </w:r>
      <w:proofErr w:type="gramEnd"/>
      <w:r w:rsidR="00FF588C" w:rsidRPr="00EA5799">
        <w:rPr>
          <w:rFonts w:ascii="Book Antiqua" w:eastAsia="GungsuhChe" w:hAnsi="Book Antiqua" w:cs="Arial"/>
          <w:lang w:val="en-US"/>
        </w:rPr>
        <w:t xml:space="preserve"> or</w:t>
      </w:r>
      <w:r w:rsidR="006271A8" w:rsidRPr="00EA5799">
        <w:rPr>
          <w:rFonts w:ascii="Book Antiqua" w:eastAsia="GungsuhChe" w:hAnsi="Book Antiqua" w:cs="Arial"/>
          <w:lang w:val="en-US"/>
        </w:rPr>
        <w:t xml:space="preserve"> skin lesion</w:t>
      </w:r>
      <w:r w:rsidR="001F373A" w:rsidRPr="00EA5799">
        <w:rPr>
          <w:rFonts w:ascii="Book Antiqua" w:eastAsia="GungsuhChe" w:hAnsi="Book Antiqua" w:cs="Arial"/>
          <w:lang w:val="en-US"/>
        </w:rPr>
        <w:t>s</w:t>
      </w:r>
      <w:r w:rsidR="00FF588C" w:rsidRPr="00EA5799">
        <w:rPr>
          <w:rFonts w:ascii="Book Antiqua" w:eastAsia="GungsuhChe" w:hAnsi="Book Antiqua" w:cs="Arial"/>
          <w:lang w:val="en-US"/>
        </w:rPr>
        <w:t>.</w:t>
      </w:r>
      <w:r w:rsidR="009A5366" w:rsidRPr="00EA5799">
        <w:rPr>
          <w:rFonts w:ascii="Book Antiqua" w:eastAsia="GungsuhChe" w:hAnsi="Book Antiqua" w:cs="Arial"/>
          <w:lang w:val="en-US"/>
        </w:rPr>
        <w:t xml:space="preserve"> </w:t>
      </w:r>
      <w:r w:rsidR="00522B85" w:rsidRPr="00EA5799">
        <w:rPr>
          <w:rFonts w:ascii="Book Antiqua" w:eastAsia="GungsuhChe" w:hAnsi="Book Antiqua" w:cs="Arial"/>
          <w:lang w:val="en-US"/>
        </w:rPr>
        <w:t>In fact, some patients only</w:t>
      </w:r>
      <w:r w:rsidR="009A5366" w:rsidRPr="00EA5799">
        <w:rPr>
          <w:rFonts w:ascii="Book Antiqua" w:eastAsia="GungsuhChe" w:hAnsi="Book Antiqua" w:cs="Arial"/>
          <w:lang w:val="en-US"/>
        </w:rPr>
        <w:t xml:space="preserve"> present</w:t>
      </w:r>
      <w:r w:rsidR="00522B85" w:rsidRPr="00EA5799">
        <w:rPr>
          <w:rFonts w:ascii="Book Antiqua" w:eastAsia="GungsuhChe" w:hAnsi="Book Antiqua" w:cs="Arial"/>
          <w:lang w:val="en-US"/>
        </w:rPr>
        <w:t xml:space="preserve"> these</w:t>
      </w:r>
      <w:r w:rsidR="00CC41FB" w:rsidRPr="00EA5799">
        <w:rPr>
          <w:rFonts w:ascii="Book Antiqua" w:eastAsia="GungsuhChe" w:hAnsi="Book Antiqua" w:cs="Arial"/>
          <w:lang w:val="en-US"/>
        </w:rPr>
        <w:t xml:space="preserve"> </w:t>
      </w:r>
      <w:proofErr w:type="spellStart"/>
      <w:r w:rsidR="00CC41FB" w:rsidRPr="00EA5799">
        <w:rPr>
          <w:rFonts w:ascii="Book Antiqua" w:eastAsia="GungsuhChe" w:hAnsi="Book Antiqua" w:cs="Arial"/>
          <w:lang w:val="en-US"/>
        </w:rPr>
        <w:t>extraintestinal</w:t>
      </w:r>
      <w:proofErr w:type="spellEnd"/>
      <w:r w:rsidR="00522B85" w:rsidRPr="00EA5799">
        <w:rPr>
          <w:rFonts w:ascii="Book Antiqua" w:eastAsia="GungsuhChe" w:hAnsi="Book Antiqua" w:cs="Arial"/>
          <w:lang w:val="en-US"/>
        </w:rPr>
        <w:t xml:space="preserve"> symptoms</w:t>
      </w:r>
      <w:r w:rsidR="009A5366" w:rsidRPr="00EA5799">
        <w:rPr>
          <w:rFonts w:ascii="Book Antiqua" w:eastAsia="GungsuhChe" w:hAnsi="Book Antiqua" w:cs="Arial"/>
          <w:lang w:val="en-US"/>
        </w:rPr>
        <w:t xml:space="preserve"> at diagnosis</w:t>
      </w:r>
      <w:r w:rsidR="00522B85"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522B85" w:rsidRPr="00EA5799">
        <w:rPr>
          <w:rFonts w:ascii="Book Antiqua" w:eastAsia="GungsuhChe" w:hAnsi="Book Antiqua" w:cs="Arial"/>
          <w:lang w:val="en-US"/>
        </w:rPr>
        <w:t>Although</w:t>
      </w:r>
      <w:r w:rsidR="008263FD" w:rsidRPr="00EA5799">
        <w:rPr>
          <w:rFonts w:ascii="Book Antiqua" w:eastAsia="GungsuhChe" w:hAnsi="Book Antiqua" w:cs="Arial"/>
          <w:lang w:val="en-US"/>
        </w:rPr>
        <w:t xml:space="preserve"> celiac </w:t>
      </w:r>
      <w:r w:rsidRPr="00EA5799">
        <w:rPr>
          <w:rFonts w:ascii="Book Antiqua" w:eastAsia="GungsuhChe" w:hAnsi="Book Antiqua" w:cs="Arial"/>
          <w:lang w:val="en-US"/>
        </w:rPr>
        <w:t>children</w:t>
      </w:r>
      <w:r w:rsidR="008263FD" w:rsidRPr="00EA5799">
        <w:rPr>
          <w:rFonts w:ascii="Book Antiqua" w:eastAsia="GungsuhChe" w:hAnsi="Book Antiqua" w:cs="Arial"/>
          <w:lang w:val="en-US"/>
        </w:rPr>
        <w:t xml:space="preserve"> may exhibit non-digestive manifestations, the</w:t>
      </w:r>
      <w:r w:rsidR="00522B85" w:rsidRPr="00EA5799">
        <w:rPr>
          <w:rFonts w:ascii="Book Antiqua" w:eastAsia="GungsuhChe" w:hAnsi="Book Antiqua" w:cs="Arial"/>
          <w:lang w:val="en-US"/>
        </w:rPr>
        <w:t>se</w:t>
      </w:r>
      <w:r w:rsidR="008263FD" w:rsidRPr="00EA5799">
        <w:rPr>
          <w:rFonts w:ascii="Book Antiqua" w:eastAsia="GungsuhChe" w:hAnsi="Book Antiqua" w:cs="Arial"/>
          <w:lang w:val="en-US"/>
        </w:rPr>
        <w:t xml:space="preserve"> are less frequent</w:t>
      </w:r>
      <w:r w:rsidR="00FF588C" w:rsidRPr="00EA5799">
        <w:rPr>
          <w:rFonts w:ascii="Book Antiqua" w:eastAsia="GungsuhChe" w:hAnsi="Book Antiqua" w:cs="Arial"/>
          <w:lang w:val="en-US"/>
        </w:rPr>
        <w:t xml:space="preserve"> and show a predominant digestive </w:t>
      </w:r>
      <w:proofErr w:type="gramStart"/>
      <w:r w:rsidR="00FF588C" w:rsidRPr="00EA5799">
        <w:rPr>
          <w:rFonts w:ascii="Book Antiqua" w:eastAsia="GungsuhChe" w:hAnsi="Book Antiqua" w:cs="Arial"/>
          <w:lang w:val="en-US"/>
        </w:rPr>
        <w:t>symptomatology</w:t>
      </w:r>
      <w:r w:rsidR="00BF4BFC" w:rsidRPr="00EA5799">
        <w:rPr>
          <w:rFonts w:ascii="Book Antiqua" w:eastAsia="GungsuhChe" w:hAnsi="Book Antiqua" w:cs="Arial"/>
          <w:vertAlign w:val="superscript"/>
          <w:lang w:val="en-US"/>
        </w:rPr>
        <w:t>[</w:t>
      </w:r>
      <w:proofErr w:type="gramEnd"/>
      <w:r w:rsidR="00BF4BFC" w:rsidRPr="00EA5799">
        <w:rPr>
          <w:rFonts w:ascii="Book Antiqua" w:eastAsia="GungsuhChe" w:hAnsi="Book Antiqua" w:cs="Arial"/>
          <w:vertAlign w:val="superscript"/>
          <w:lang w:val="en-US"/>
        </w:rPr>
        <w:t>13]</w:t>
      </w:r>
      <w:r w:rsidR="00FF588C" w:rsidRPr="00EA5799">
        <w:rPr>
          <w:rFonts w:ascii="Book Antiqua" w:eastAsia="GungsuhChe" w:hAnsi="Book Antiqua" w:cs="Arial"/>
          <w:lang w:val="en-US"/>
        </w:rPr>
        <w:t>.</w:t>
      </w:r>
    </w:p>
    <w:p w14:paraId="5038DD52" w14:textId="12F37477" w:rsidR="005A5A2F" w:rsidRPr="00EA5799" w:rsidRDefault="00A13553" w:rsidP="004F2A2C">
      <w:pPr>
        <w:spacing w:after="0" w:line="360" w:lineRule="auto"/>
        <w:ind w:firstLineChars="100" w:firstLine="240"/>
        <w:jc w:val="both"/>
        <w:rPr>
          <w:rFonts w:ascii="Book Antiqua" w:eastAsia="GungsuhChe" w:hAnsi="Book Antiqua" w:cs="Arial"/>
          <w:lang w:val="en-US"/>
        </w:rPr>
      </w:pPr>
      <w:r w:rsidRPr="00EA5799">
        <w:rPr>
          <w:rFonts w:ascii="Book Antiqua" w:eastAsia="GungsuhChe" w:hAnsi="Book Antiqua" w:cs="Arial"/>
          <w:lang w:val="en-US"/>
        </w:rPr>
        <w:t>There are numerous diseases associated with CD in children</w:t>
      </w:r>
      <w:r w:rsidR="006B1DA2" w:rsidRPr="00EA5799">
        <w:rPr>
          <w:rFonts w:ascii="Book Antiqua" w:eastAsia="GungsuhChe" w:hAnsi="Book Antiqua" w:cs="Arial"/>
          <w:lang w:val="en-US"/>
        </w:rPr>
        <w:t xml:space="preserve"> and</w:t>
      </w:r>
      <w:r w:rsidRPr="00EA5799">
        <w:rPr>
          <w:rFonts w:ascii="Book Antiqua" w:eastAsia="GungsuhChe" w:hAnsi="Book Antiqua" w:cs="Arial"/>
          <w:lang w:val="en-US"/>
        </w:rPr>
        <w:t xml:space="preserve"> adults</w:t>
      </w:r>
      <w:r w:rsidR="005A5A2F"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9B14C7" w:rsidRPr="00EA5799">
        <w:rPr>
          <w:rFonts w:ascii="Book Antiqua" w:eastAsia="GungsuhChe" w:hAnsi="Book Antiqua" w:cs="Arial"/>
          <w:lang w:val="en-US"/>
        </w:rPr>
        <w:t>However, the presence of associated pathologies in adults seem</w:t>
      </w:r>
      <w:r w:rsidR="004F2A2C">
        <w:rPr>
          <w:rFonts w:ascii="Book Antiqua" w:eastAsia="宋体" w:hAnsi="Book Antiqua" w:cs="Arial" w:hint="eastAsia"/>
          <w:lang w:val="en-US" w:eastAsia="zh-CN"/>
        </w:rPr>
        <w:t>s</w:t>
      </w:r>
      <w:r w:rsidR="009B14C7" w:rsidRPr="00EA5799">
        <w:rPr>
          <w:rFonts w:ascii="Book Antiqua" w:eastAsia="GungsuhChe" w:hAnsi="Book Antiqua" w:cs="Arial"/>
          <w:lang w:val="en-US"/>
        </w:rPr>
        <w:t xml:space="preserve"> to be more frequent and</w:t>
      </w:r>
      <w:r w:rsidR="000D0447" w:rsidRPr="00EA5799">
        <w:rPr>
          <w:rFonts w:ascii="Book Antiqua" w:eastAsia="GungsuhChe" w:hAnsi="Book Antiqua" w:cs="Arial"/>
          <w:lang w:val="en-US"/>
        </w:rPr>
        <w:t xml:space="preserve"> </w:t>
      </w:r>
      <w:r w:rsidR="00C16F70" w:rsidRPr="00EA5799">
        <w:rPr>
          <w:rFonts w:ascii="Book Antiqua" w:eastAsia="GungsuhChe" w:hAnsi="Book Antiqua" w:cs="Arial"/>
          <w:lang w:val="en-US"/>
        </w:rPr>
        <w:t xml:space="preserve">may </w:t>
      </w:r>
      <w:r w:rsidR="006B1DA2" w:rsidRPr="00EA5799">
        <w:rPr>
          <w:rFonts w:ascii="Book Antiqua" w:eastAsia="GungsuhChe" w:hAnsi="Book Antiqua" w:cs="Arial"/>
          <w:lang w:val="en-US"/>
        </w:rPr>
        <w:t xml:space="preserve">have </w:t>
      </w:r>
      <w:r w:rsidR="00C16F70" w:rsidRPr="00EA5799">
        <w:rPr>
          <w:rFonts w:ascii="Book Antiqua" w:eastAsia="GungsuhChe" w:hAnsi="Book Antiqua" w:cs="Arial"/>
          <w:lang w:val="en-US"/>
        </w:rPr>
        <w:t>an autoimmune origin</w:t>
      </w:r>
      <w:r w:rsidR="00D45A17" w:rsidRPr="00EA5799">
        <w:rPr>
          <w:rFonts w:ascii="Book Antiqua" w:eastAsia="GungsuhChe" w:hAnsi="Book Antiqua" w:cs="Arial"/>
          <w:lang w:val="en-US"/>
        </w:rPr>
        <w:t xml:space="preserve"> </w:t>
      </w:r>
      <w:r w:rsidR="00312626" w:rsidRPr="00EA5799">
        <w:rPr>
          <w:rFonts w:ascii="Book Antiqua" w:eastAsia="GungsuhChe" w:hAnsi="Book Antiqua" w:cs="Arial"/>
          <w:lang w:val="en-US"/>
        </w:rPr>
        <w:t xml:space="preserve">like </w:t>
      </w:r>
      <w:r w:rsidR="00D45A17" w:rsidRPr="00EA5799">
        <w:rPr>
          <w:rFonts w:ascii="Book Antiqua" w:eastAsia="GungsuhChe" w:hAnsi="Book Antiqua" w:cs="Arial"/>
          <w:lang w:val="en-US"/>
        </w:rPr>
        <w:t>CD. Autoimmune disorders</w:t>
      </w:r>
      <w:r w:rsidR="00C16F70" w:rsidRPr="00EA5799">
        <w:rPr>
          <w:rFonts w:ascii="Book Antiqua" w:eastAsia="GungsuhChe" w:hAnsi="Book Antiqua" w:cs="Arial"/>
          <w:lang w:val="en-US"/>
        </w:rPr>
        <w:t xml:space="preserve"> such as </w:t>
      </w:r>
      <w:r w:rsidR="008B1402" w:rsidRPr="00EA5799">
        <w:rPr>
          <w:rFonts w:ascii="Book Antiqua" w:eastAsia="GungsuhChe" w:hAnsi="Book Antiqua" w:cs="Arial"/>
          <w:lang w:val="en-US"/>
        </w:rPr>
        <w:t xml:space="preserve">autoimmune thyroiditis, </w:t>
      </w:r>
      <w:r w:rsidR="004F2A2C" w:rsidRPr="00EA5799">
        <w:rPr>
          <w:rFonts w:ascii="Book Antiqua" w:eastAsia="GungsuhChe" w:hAnsi="Book Antiqua" w:cs="Arial"/>
          <w:lang w:val="en-US"/>
        </w:rPr>
        <w:t>t</w:t>
      </w:r>
      <w:r w:rsidR="00C16F70" w:rsidRPr="00EA5799">
        <w:rPr>
          <w:rFonts w:ascii="Book Antiqua" w:eastAsia="GungsuhChe" w:hAnsi="Book Antiqua" w:cs="Arial"/>
          <w:lang w:val="en-US"/>
        </w:rPr>
        <w:t xml:space="preserve">ype I diabetes, </w:t>
      </w:r>
      <w:proofErr w:type="spellStart"/>
      <w:r w:rsidR="00C16F70" w:rsidRPr="00EA5799">
        <w:rPr>
          <w:rFonts w:ascii="Book Antiqua" w:eastAsia="GungsuhChe" w:hAnsi="Book Antiqua" w:cs="Arial"/>
          <w:lang w:val="en-US"/>
        </w:rPr>
        <w:t>Sjögren’s</w:t>
      </w:r>
      <w:proofErr w:type="spellEnd"/>
      <w:r w:rsidR="00C16F70" w:rsidRPr="00EA5799">
        <w:rPr>
          <w:rFonts w:ascii="Book Antiqua" w:eastAsia="GungsuhChe" w:hAnsi="Book Antiqua" w:cs="Arial"/>
          <w:lang w:val="en-US"/>
        </w:rPr>
        <w:t xml:space="preserve"> syndrome or dermatitis </w:t>
      </w:r>
      <w:proofErr w:type="spellStart"/>
      <w:r w:rsidR="00C16F70" w:rsidRPr="00EA5799">
        <w:rPr>
          <w:rFonts w:ascii="Book Antiqua" w:eastAsia="GungsuhChe" w:hAnsi="Book Antiqua" w:cs="Arial"/>
          <w:lang w:val="en-US"/>
        </w:rPr>
        <w:t>herpetiformis</w:t>
      </w:r>
      <w:proofErr w:type="spellEnd"/>
      <w:r w:rsidR="00D45A17" w:rsidRPr="00EA5799">
        <w:rPr>
          <w:rFonts w:ascii="Book Antiqua" w:eastAsia="GungsuhChe" w:hAnsi="Book Antiqua" w:cs="Arial"/>
          <w:lang w:val="en-US"/>
        </w:rPr>
        <w:t xml:space="preserve"> have been linked </w:t>
      </w:r>
      <w:r w:rsidR="00312626" w:rsidRPr="00EA5799">
        <w:rPr>
          <w:rFonts w:ascii="Book Antiqua" w:eastAsia="GungsuhChe" w:hAnsi="Book Antiqua" w:cs="Arial"/>
          <w:lang w:val="en-US"/>
        </w:rPr>
        <w:t xml:space="preserve">to </w:t>
      </w:r>
      <w:proofErr w:type="gramStart"/>
      <w:r w:rsidR="00D45A17" w:rsidRPr="00EA5799">
        <w:rPr>
          <w:rFonts w:ascii="Book Antiqua" w:eastAsia="GungsuhChe" w:hAnsi="Book Antiqua" w:cs="Arial"/>
          <w:lang w:val="en-US"/>
        </w:rPr>
        <w:t>CD</w:t>
      </w:r>
      <w:r w:rsidR="00307D56" w:rsidRPr="00EA5799">
        <w:rPr>
          <w:rFonts w:ascii="Book Antiqua" w:eastAsia="GungsuhChe" w:hAnsi="Book Antiqua" w:cs="Arial"/>
          <w:vertAlign w:val="superscript"/>
          <w:lang w:val="en-US"/>
        </w:rPr>
        <w:t>[</w:t>
      </w:r>
      <w:proofErr w:type="gramEnd"/>
      <w:r w:rsidR="00307D56" w:rsidRPr="00EA5799">
        <w:rPr>
          <w:rFonts w:ascii="Book Antiqua" w:eastAsia="GungsuhChe" w:hAnsi="Book Antiqua" w:cs="Arial"/>
          <w:vertAlign w:val="superscript"/>
          <w:lang w:val="en-US"/>
        </w:rPr>
        <w:t>14,15]</w:t>
      </w:r>
      <w:r w:rsidR="00C16F70" w:rsidRPr="00EA5799">
        <w:rPr>
          <w:rFonts w:ascii="Book Antiqua" w:eastAsia="GungsuhChe" w:hAnsi="Book Antiqua" w:cs="Arial"/>
          <w:lang w:val="en-US"/>
        </w:rPr>
        <w:t>.</w:t>
      </w:r>
    </w:p>
    <w:p w14:paraId="308F6729" w14:textId="0BC213A2" w:rsidR="004711BC" w:rsidRPr="00EA5799" w:rsidRDefault="00312626" w:rsidP="004F2A2C">
      <w:pPr>
        <w:spacing w:after="0" w:line="360" w:lineRule="auto"/>
        <w:ind w:firstLineChars="100" w:firstLine="240"/>
        <w:jc w:val="both"/>
        <w:rPr>
          <w:rFonts w:ascii="Book Antiqua" w:eastAsia="GungsuhChe" w:hAnsi="Book Antiqua" w:cs="Arial"/>
          <w:lang w:val="en-US"/>
        </w:rPr>
      </w:pPr>
      <w:r w:rsidRPr="00EA5799">
        <w:rPr>
          <w:rFonts w:ascii="Book Antiqua" w:eastAsia="GungsuhChe" w:hAnsi="Book Antiqua" w:cs="Arial"/>
          <w:lang w:val="en-US"/>
        </w:rPr>
        <w:t xml:space="preserve">Even though </w:t>
      </w:r>
      <w:r w:rsidR="000F62E5" w:rsidRPr="00EA5799">
        <w:rPr>
          <w:rFonts w:ascii="Book Antiqua" w:eastAsia="GungsuhChe" w:hAnsi="Book Antiqua" w:cs="Arial"/>
          <w:lang w:val="en-US"/>
        </w:rPr>
        <w:t>malnutrition is</w:t>
      </w:r>
      <w:r w:rsidR="00A35BDE" w:rsidRPr="00EA5799">
        <w:rPr>
          <w:rFonts w:ascii="Book Antiqua" w:eastAsia="GungsuhChe" w:hAnsi="Book Antiqua" w:cs="Arial"/>
          <w:lang w:val="en-US"/>
        </w:rPr>
        <w:t xml:space="preserve"> a frequent manifestation in CD</w:t>
      </w:r>
      <w:r w:rsidRPr="00EA5799">
        <w:rPr>
          <w:rFonts w:ascii="Book Antiqua" w:eastAsia="GungsuhChe" w:hAnsi="Book Antiqua" w:cs="Arial"/>
          <w:lang w:val="en-US"/>
        </w:rPr>
        <w:t>,</w:t>
      </w:r>
      <w:r w:rsidR="00A35BDE" w:rsidRPr="00EA5799">
        <w:rPr>
          <w:rFonts w:ascii="Book Antiqua" w:eastAsia="GungsuhChe" w:hAnsi="Book Antiqua" w:cs="Arial"/>
          <w:lang w:val="en-US"/>
        </w:rPr>
        <w:t xml:space="preserve"> </w:t>
      </w:r>
      <w:r w:rsidR="000F62E5" w:rsidRPr="00EA5799">
        <w:rPr>
          <w:rFonts w:ascii="Book Antiqua" w:eastAsia="GungsuhChe" w:hAnsi="Book Antiqua" w:cs="Arial"/>
          <w:lang w:val="en-US"/>
        </w:rPr>
        <w:t xml:space="preserve">mainly in </w:t>
      </w:r>
      <w:r w:rsidR="00522E17" w:rsidRPr="00EA5799">
        <w:rPr>
          <w:rFonts w:ascii="Book Antiqua" w:eastAsia="GungsuhChe" w:hAnsi="Book Antiqua" w:cs="Arial"/>
          <w:lang w:val="en-US"/>
        </w:rPr>
        <w:t>adults,</w:t>
      </w:r>
      <w:r w:rsidR="000F62E5" w:rsidRPr="00EA5799">
        <w:rPr>
          <w:rFonts w:ascii="Book Antiqua" w:eastAsia="GungsuhChe" w:hAnsi="Book Antiqua" w:cs="Arial"/>
          <w:lang w:val="en-US"/>
        </w:rPr>
        <w:t xml:space="preserve"> excessive weight or obesity may also be present at diagnosis. Recent studies have shown that more than half </w:t>
      </w:r>
      <w:r w:rsidRPr="00EA5799">
        <w:rPr>
          <w:rFonts w:ascii="Book Antiqua" w:eastAsia="GungsuhChe" w:hAnsi="Book Antiqua" w:cs="Arial"/>
          <w:lang w:val="en-US"/>
        </w:rPr>
        <w:t xml:space="preserve">the </w:t>
      </w:r>
      <w:r w:rsidR="000F62E5" w:rsidRPr="00EA5799">
        <w:rPr>
          <w:rFonts w:ascii="Book Antiqua" w:eastAsia="GungsuhChe" w:hAnsi="Book Antiqua" w:cs="Arial"/>
          <w:lang w:val="en-US"/>
        </w:rPr>
        <w:t>adults diagnosed with CD have obesity while</w:t>
      </w:r>
      <w:r w:rsidR="000D0447" w:rsidRPr="00EA5799">
        <w:rPr>
          <w:rFonts w:ascii="Book Antiqua" w:eastAsia="GungsuhChe" w:hAnsi="Book Antiqua" w:cs="Arial"/>
          <w:lang w:val="en-US"/>
        </w:rPr>
        <w:t xml:space="preserve"> only</w:t>
      </w:r>
      <w:r w:rsidR="000F62E5" w:rsidRPr="00EA5799">
        <w:rPr>
          <w:rFonts w:ascii="Book Antiqua" w:eastAsia="GungsuhChe" w:hAnsi="Book Antiqua" w:cs="Arial"/>
          <w:lang w:val="en-US"/>
        </w:rPr>
        <w:t xml:space="preserve"> 15% of them are below their normal </w:t>
      </w:r>
      <w:proofErr w:type="gramStart"/>
      <w:r w:rsidR="000F62E5" w:rsidRPr="00EA5799">
        <w:rPr>
          <w:rFonts w:ascii="Book Antiqua" w:eastAsia="GungsuhChe" w:hAnsi="Book Antiqua" w:cs="Arial"/>
          <w:lang w:val="en-US"/>
        </w:rPr>
        <w:t>weight</w:t>
      </w:r>
      <w:r w:rsidR="00307D56" w:rsidRPr="00EA5799">
        <w:rPr>
          <w:rFonts w:ascii="Book Antiqua" w:eastAsia="GungsuhChe" w:hAnsi="Book Antiqua" w:cs="Arial"/>
          <w:vertAlign w:val="superscript"/>
          <w:lang w:val="en-US"/>
        </w:rPr>
        <w:t>[</w:t>
      </w:r>
      <w:proofErr w:type="gramEnd"/>
      <w:r w:rsidR="00307D56" w:rsidRPr="00EA5799">
        <w:rPr>
          <w:rFonts w:ascii="Book Antiqua" w:eastAsia="GungsuhChe" w:hAnsi="Book Antiqua" w:cs="Arial"/>
          <w:vertAlign w:val="superscript"/>
          <w:lang w:val="en-US"/>
        </w:rPr>
        <w:t>16,17]</w:t>
      </w:r>
      <w:r w:rsidR="00E742EF" w:rsidRPr="00EA5799">
        <w:rPr>
          <w:rFonts w:ascii="Book Antiqua" w:eastAsia="GungsuhChe" w:hAnsi="Book Antiqua" w:cs="Arial"/>
          <w:lang w:val="en-US"/>
        </w:rPr>
        <w:t>.</w:t>
      </w:r>
      <w:r w:rsidR="00307D56" w:rsidRPr="00EA5799">
        <w:rPr>
          <w:rFonts w:ascii="Book Antiqua" w:eastAsia="GungsuhChe" w:hAnsi="Book Antiqua" w:cs="Arial"/>
          <w:lang w:val="en-US"/>
        </w:rPr>
        <w:t xml:space="preserve"> </w:t>
      </w:r>
      <w:r w:rsidR="00E742EF" w:rsidRPr="00EA5799">
        <w:rPr>
          <w:rFonts w:ascii="Book Antiqua" w:eastAsia="GungsuhChe" w:hAnsi="Book Antiqua" w:cs="Arial"/>
          <w:lang w:val="en-US"/>
        </w:rPr>
        <w:t xml:space="preserve">These figures </w:t>
      </w:r>
      <w:r w:rsidRPr="00EA5799">
        <w:rPr>
          <w:rFonts w:ascii="Book Antiqua" w:eastAsia="GungsuhChe" w:hAnsi="Book Antiqua" w:cs="Arial"/>
          <w:lang w:val="en-US"/>
        </w:rPr>
        <w:t xml:space="preserve">are </w:t>
      </w:r>
      <w:r w:rsidR="00E742EF" w:rsidRPr="00EA5799">
        <w:rPr>
          <w:rFonts w:ascii="Book Antiqua" w:eastAsia="GungsuhChe" w:hAnsi="Book Antiqua" w:cs="Arial"/>
          <w:lang w:val="en-US"/>
        </w:rPr>
        <w:t>from European</w:t>
      </w:r>
      <w:r w:rsidR="000F62E5" w:rsidRPr="00EA5799">
        <w:rPr>
          <w:rFonts w:ascii="Book Antiqua" w:eastAsia="GungsuhChe" w:hAnsi="Book Antiqua" w:cs="Arial"/>
          <w:lang w:val="en-US"/>
        </w:rPr>
        <w:t xml:space="preserve"> and North </w:t>
      </w:r>
      <w:r w:rsidR="000D0447" w:rsidRPr="00EA5799">
        <w:rPr>
          <w:rFonts w:ascii="Book Antiqua" w:eastAsia="GungsuhChe" w:hAnsi="Book Antiqua" w:cs="Arial"/>
          <w:lang w:val="en-US"/>
        </w:rPr>
        <w:t>American</w:t>
      </w:r>
      <w:r w:rsidR="00E742EF" w:rsidRPr="00EA5799">
        <w:rPr>
          <w:rFonts w:ascii="Book Antiqua" w:eastAsia="GungsuhChe" w:hAnsi="Book Antiqua" w:cs="Arial"/>
          <w:lang w:val="en-US"/>
        </w:rPr>
        <w:t xml:space="preserve"> studies</w:t>
      </w:r>
      <w:r w:rsidRPr="00EA5799">
        <w:rPr>
          <w:rFonts w:ascii="Book Antiqua" w:eastAsia="GungsuhChe" w:hAnsi="Book Antiqua" w:cs="Arial"/>
          <w:lang w:val="en-US"/>
        </w:rPr>
        <w:t>,</w:t>
      </w:r>
      <w:r w:rsidR="00E742EF" w:rsidRPr="00EA5799">
        <w:rPr>
          <w:rFonts w:ascii="Book Antiqua" w:eastAsia="GungsuhChe" w:hAnsi="Book Antiqua" w:cs="Arial"/>
          <w:lang w:val="en-US"/>
        </w:rPr>
        <w:t xml:space="preserve"> where the prevalence of obesity among the adult population is high</w:t>
      </w:r>
      <w:r w:rsidR="00E5775B"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E5775B" w:rsidRPr="00EA5799">
        <w:rPr>
          <w:rFonts w:ascii="Book Antiqua" w:eastAsia="GungsuhChe" w:hAnsi="Book Antiqua" w:cs="Arial"/>
          <w:lang w:val="en-US"/>
        </w:rPr>
        <w:t xml:space="preserve">Excess weight can also be observed in children </w:t>
      </w:r>
      <w:r w:rsidR="004F16EE" w:rsidRPr="00EA5799">
        <w:rPr>
          <w:rFonts w:ascii="Book Antiqua" w:eastAsia="GungsuhChe" w:hAnsi="Book Antiqua" w:cs="Arial"/>
          <w:lang w:val="en-US"/>
        </w:rPr>
        <w:t xml:space="preserve">at </w:t>
      </w:r>
      <w:r w:rsidR="00E5775B" w:rsidRPr="00EA5799">
        <w:rPr>
          <w:rFonts w:ascii="Book Antiqua" w:eastAsia="GungsuhChe" w:hAnsi="Book Antiqua" w:cs="Arial"/>
          <w:lang w:val="en-US"/>
        </w:rPr>
        <w:t>a lower frequency.</w:t>
      </w:r>
      <w:r w:rsidR="002E569F" w:rsidRPr="00EA5799">
        <w:rPr>
          <w:rFonts w:ascii="Book Antiqua" w:eastAsia="GungsuhChe" w:hAnsi="Book Antiqua" w:cs="Arial"/>
          <w:lang w:val="en-US"/>
        </w:rPr>
        <w:t xml:space="preserve"> </w:t>
      </w:r>
      <w:r w:rsidR="00E5775B" w:rsidRPr="00EA5799">
        <w:rPr>
          <w:rFonts w:ascii="Book Antiqua" w:eastAsia="GungsuhChe" w:hAnsi="Book Antiqua" w:cs="Arial"/>
          <w:lang w:val="en-US"/>
        </w:rPr>
        <w:t xml:space="preserve">Therefore, excess weight in an adult must not be a reason to lower the suspicion </w:t>
      </w:r>
      <w:r w:rsidR="00A7144E" w:rsidRPr="00EA5799">
        <w:rPr>
          <w:rFonts w:ascii="Book Antiqua" w:eastAsia="GungsuhChe" w:hAnsi="Book Antiqua" w:cs="Arial"/>
          <w:lang w:val="en-US"/>
        </w:rPr>
        <w:t>threshold</w:t>
      </w:r>
      <w:r w:rsidR="00E5775B" w:rsidRPr="00EA5799">
        <w:rPr>
          <w:rFonts w:ascii="Book Antiqua" w:eastAsia="GungsuhChe" w:hAnsi="Book Antiqua" w:cs="Arial"/>
          <w:lang w:val="en-US"/>
        </w:rPr>
        <w:t xml:space="preserve"> for CD.</w:t>
      </w:r>
    </w:p>
    <w:p w14:paraId="0875579B" w14:textId="299DBD62" w:rsidR="006B6B50" w:rsidRPr="00EA5799" w:rsidRDefault="0078334D" w:rsidP="004F2A2C">
      <w:pPr>
        <w:spacing w:after="0" w:line="360" w:lineRule="auto"/>
        <w:ind w:firstLineChars="100" w:firstLine="240"/>
        <w:jc w:val="both"/>
        <w:rPr>
          <w:rFonts w:ascii="Book Antiqua" w:eastAsia="GungsuhChe" w:hAnsi="Book Antiqua" w:cs="Arial"/>
          <w:lang w:val="en-US"/>
        </w:rPr>
      </w:pPr>
      <w:r w:rsidRPr="00EA5799">
        <w:rPr>
          <w:rFonts w:ascii="Book Antiqua" w:eastAsia="GungsuhChe" w:hAnsi="Book Antiqua" w:cs="Arial"/>
          <w:lang w:val="en-US"/>
        </w:rPr>
        <w:t xml:space="preserve">Functional dyspepsia and irritable bowel syndrome are two functional digestive </w:t>
      </w:r>
      <w:r w:rsidR="00073597" w:rsidRPr="00EA5799">
        <w:rPr>
          <w:rFonts w:ascii="Book Antiqua" w:eastAsia="GungsuhChe" w:hAnsi="Book Antiqua" w:cs="Arial"/>
          <w:lang w:val="en-US"/>
        </w:rPr>
        <w:t>pathologies, which</w:t>
      </w:r>
      <w:r w:rsidRPr="00EA5799">
        <w:rPr>
          <w:rFonts w:ascii="Book Antiqua" w:eastAsia="GungsuhChe" w:hAnsi="Book Antiqua" w:cs="Arial"/>
          <w:lang w:val="en-US"/>
        </w:rPr>
        <w:t xml:space="preserve"> are quite prevalent in the </w:t>
      </w:r>
      <w:r w:rsidR="003466B2" w:rsidRPr="00EA5799">
        <w:rPr>
          <w:rFonts w:ascii="Book Antiqua" w:eastAsia="GungsuhChe" w:hAnsi="Book Antiqua" w:cs="Arial"/>
          <w:lang w:val="en-US"/>
        </w:rPr>
        <w:t>adult population</w:t>
      </w:r>
      <w:r w:rsidR="004F16EE" w:rsidRPr="00EA5799">
        <w:rPr>
          <w:rFonts w:ascii="Book Antiqua" w:eastAsia="GungsuhChe" w:hAnsi="Book Antiqua" w:cs="Arial"/>
          <w:lang w:val="en-US"/>
        </w:rPr>
        <w:t>,</w:t>
      </w:r>
      <w:r w:rsidR="00A0160F" w:rsidRPr="00EA5799">
        <w:rPr>
          <w:rFonts w:ascii="Book Antiqua" w:eastAsia="GungsuhChe" w:hAnsi="Book Antiqua" w:cs="Arial"/>
          <w:lang w:val="en-US"/>
        </w:rPr>
        <w:t xml:space="preserve"> but</w:t>
      </w:r>
      <w:r w:rsidR="003466B2" w:rsidRPr="00EA5799">
        <w:rPr>
          <w:rFonts w:ascii="Book Antiqua" w:eastAsia="GungsuhChe" w:hAnsi="Book Antiqua" w:cs="Arial"/>
          <w:lang w:val="en-US"/>
        </w:rPr>
        <w:t xml:space="preserve"> </w:t>
      </w:r>
      <w:r w:rsidR="004F16EE" w:rsidRPr="00EA5799">
        <w:rPr>
          <w:rFonts w:ascii="Book Antiqua" w:eastAsia="GungsuhChe" w:hAnsi="Book Antiqua" w:cs="Arial"/>
          <w:lang w:val="en-US"/>
        </w:rPr>
        <w:t xml:space="preserve">are </w:t>
      </w:r>
      <w:r w:rsidR="003466B2" w:rsidRPr="00EA5799">
        <w:rPr>
          <w:rFonts w:ascii="Book Antiqua" w:eastAsia="GungsuhChe" w:hAnsi="Book Antiqua" w:cs="Arial"/>
          <w:lang w:val="en-US"/>
        </w:rPr>
        <w:t xml:space="preserve">also </w:t>
      </w:r>
      <w:r w:rsidR="004F16EE" w:rsidRPr="00EA5799">
        <w:rPr>
          <w:rFonts w:ascii="Book Antiqua" w:eastAsia="GungsuhChe" w:hAnsi="Book Antiqua" w:cs="Arial"/>
          <w:lang w:val="en-US"/>
        </w:rPr>
        <w:t xml:space="preserve">seen </w:t>
      </w:r>
      <w:r w:rsidR="003466B2" w:rsidRPr="00EA5799">
        <w:rPr>
          <w:rFonts w:ascii="Book Antiqua" w:eastAsia="GungsuhChe" w:hAnsi="Book Antiqua" w:cs="Arial"/>
          <w:lang w:val="en-US"/>
        </w:rPr>
        <w:t>during infancy.</w:t>
      </w:r>
      <w:r w:rsidR="002E569F" w:rsidRPr="00EA5799">
        <w:rPr>
          <w:rFonts w:ascii="Book Antiqua" w:eastAsia="GungsuhChe" w:hAnsi="Book Antiqua" w:cs="Arial"/>
          <w:lang w:val="en-US"/>
        </w:rPr>
        <w:t xml:space="preserve"> </w:t>
      </w:r>
      <w:r w:rsidR="003466B2" w:rsidRPr="00EA5799">
        <w:rPr>
          <w:rFonts w:ascii="Book Antiqua" w:eastAsia="GungsuhChe" w:hAnsi="Book Antiqua" w:cs="Arial"/>
          <w:lang w:val="en-US"/>
        </w:rPr>
        <w:t>CD prevalence in adults wit</w:t>
      </w:r>
      <w:r w:rsidR="00FB62B3" w:rsidRPr="00EA5799">
        <w:rPr>
          <w:rFonts w:ascii="Book Antiqua" w:eastAsia="GungsuhChe" w:hAnsi="Book Antiqua" w:cs="Arial"/>
          <w:lang w:val="en-US"/>
        </w:rPr>
        <w:t>h</w:t>
      </w:r>
      <w:r w:rsidR="003466B2" w:rsidRPr="00EA5799">
        <w:rPr>
          <w:rFonts w:ascii="Book Antiqua" w:eastAsia="GungsuhChe" w:hAnsi="Book Antiqua" w:cs="Arial"/>
          <w:lang w:val="en-US"/>
        </w:rPr>
        <w:t xml:space="preserve"> functional dyspepsia or irritable bowel syndrome</w:t>
      </w:r>
      <w:r w:rsidR="00FB62B3" w:rsidRPr="00EA5799">
        <w:rPr>
          <w:rFonts w:ascii="Book Antiqua" w:eastAsia="GungsuhChe" w:hAnsi="Book Antiqua" w:cs="Arial"/>
          <w:lang w:val="en-US"/>
        </w:rPr>
        <w:t xml:space="preserve"> can rise </w:t>
      </w:r>
      <w:r w:rsidR="00534567" w:rsidRPr="00EA5799">
        <w:rPr>
          <w:rFonts w:ascii="Book Antiqua" w:eastAsia="GungsuhChe" w:hAnsi="Book Antiqua" w:cs="Arial"/>
          <w:lang w:val="en-US"/>
        </w:rPr>
        <w:t xml:space="preserve">to </w:t>
      </w:r>
      <w:r w:rsidR="00FB62B3" w:rsidRPr="00EA5799">
        <w:rPr>
          <w:rFonts w:ascii="Book Antiqua" w:eastAsia="GungsuhChe" w:hAnsi="Book Antiqua" w:cs="Arial"/>
          <w:lang w:val="en-US"/>
        </w:rPr>
        <w:t>over 10% of cases</w:t>
      </w:r>
      <w:r w:rsidR="00D5116E" w:rsidRPr="00EA5799">
        <w:rPr>
          <w:rFonts w:ascii="Book Antiqua" w:eastAsia="GungsuhChe" w:hAnsi="Book Antiqua" w:cs="Arial"/>
          <w:lang w:val="en-US"/>
        </w:rPr>
        <w:t>,</w:t>
      </w:r>
      <w:r w:rsidR="00FB62B3" w:rsidRPr="00EA5799">
        <w:rPr>
          <w:rFonts w:ascii="Book Antiqua" w:eastAsia="GungsuhChe" w:hAnsi="Book Antiqua" w:cs="Arial"/>
          <w:lang w:val="en-US"/>
        </w:rPr>
        <w:t xml:space="preserve"> </w:t>
      </w:r>
      <w:r w:rsidR="00D5116E" w:rsidRPr="00EA5799">
        <w:rPr>
          <w:rFonts w:ascii="Book Antiqua" w:eastAsia="GungsuhChe" w:hAnsi="Book Antiqua" w:cs="Arial"/>
          <w:lang w:val="en-US"/>
        </w:rPr>
        <w:t xml:space="preserve">as reported </w:t>
      </w:r>
      <w:r w:rsidR="00FB62B3" w:rsidRPr="00EA5799">
        <w:rPr>
          <w:rFonts w:ascii="Book Antiqua" w:eastAsia="GungsuhChe" w:hAnsi="Book Antiqua" w:cs="Arial"/>
          <w:lang w:val="en-US"/>
        </w:rPr>
        <w:t>in some studies.</w:t>
      </w:r>
      <w:r w:rsidR="002E569F" w:rsidRPr="00EA5799">
        <w:rPr>
          <w:rFonts w:ascii="Book Antiqua" w:eastAsia="GungsuhChe" w:hAnsi="Book Antiqua" w:cs="Arial"/>
          <w:lang w:val="en-US"/>
        </w:rPr>
        <w:t xml:space="preserve"> </w:t>
      </w:r>
      <w:r w:rsidR="00FB62B3" w:rsidRPr="00EA5799">
        <w:rPr>
          <w:rFonts w:ascii="Book Antiqua" w:eastAsia="GungsuhChe" w:hAnsi="Book Antiqua" w:cs="Arial"/>
          <w:lang w:val="en-US"/>
        </w:rPr>
        <w:t>Currently, before</w:t>
      </w:r>
      <w:r w:rsidR="008E6A0B" w:rsidRPr="00EA5799">
        <w:rPr>
          <w:rFonts w:ascii="Book Antiqua" w:eastAsia="GungsuhChe" w:hAnsi="Book Antiqua" w:cs="Arial"/>
          <w:lang w:val="en-US"/>
        </w:rPr>
        <w:t xml:space="preserve"> diagnosing both functional pathologies in adults</w:t>
      </w:r>
      <w:r w:rsidR="00F34EB1" w:rsidRPr="00EA5799">
        <w:rPr>
          <w:rFonts w:ascii="Book Antiqua" w:eastAsia="GungsuhChe" w:hAnsi="Book Antiqua" w:cs="Arial"/>
          <w:lang w:val="en-US"/>
        </w:rPr>
        <w:t>,</w:t>
      </w:r>
      <w:r w:rsidR="008E6A0B" w:rsidRPr="00EA5799">
        <w:rPr>
          <w:rFonts w:ascii="Book Antiqua" w:eastAsia="GungsuhChe" w:hAnsi="Book Antiqua" w:cs="Arial"/>
          <w:lang w:val="en-US"/>
        </w:rPr>
        <w:t xml:space="preserve"> an underlying CD must always be </w:t>
      </w:r>
      <w:r w:rsidR="00451F01" w:rsidRPr="00EA5799">
        <w:rPr>
          <w:rFonts w:ascii="Book Antiqua" w:eastAsia="GungsuhChe" w:hAnsi="Book Antiqua" w:cs="Arial"/>
          <w:lang w:val="en-US"/>
        </w:rPr>
        <w:t>ruled out</w:t>
      </w:r>
      <w:r w:rsidR="008E6A0B" w:rsidRPr="00EA5799">
        <w:rPr>
          <w:rFonts w:ascii="Book Antiqua" w:eastAsia="GungsuhChe" w:hAnsi="Book Antiqua" w:cs="Arial"/>
          <w:lang w:val="en-US"/>
        </w:rPr>
        <w:t xml:space="preserve">, </w:t>
      </w:r>
      <w:r w:rsidR="004F2A2C">
        <w:rPr>
          <w:rFonts w:ascii="Book Antiqua" w:eastAsia="GungsuhChe" w:hAnsi="Book Antiqua" w:cs="Arial"/>
          <w:lang w:val="en-US"/>
        </w:rPr>
        <w:t xml:space="preserve">either by serology or </w:t>
      </w:r>
      <w:proofErr w:type="gramStart"/>
      <w:r w:rsidR="004F2A2C">
        <w:rPr>
          <w:rFonts w:ascii="Book Antiqua" w:eastAsia="GungsuhChe" w:hAnsi="Book Antiqua" w:cs="Arial"/>
          <w:lang w:val="en-US"/>
        </w:rPr>
        <w:t>endoscopy</w:t>
      </w:r>
      <w:r w:rsidR="00115973" w:rsidRPr="00EA5799">
        <w:rPr>
          <w:rFonts w:ascii="Book Antiqua" w:eastAsia="GungsuhChe" w:hAnsi="Book Antiqua" w:cs="Arial"/>
          <w:vertAlign w:val="superscript"/>
          <w:lang w:val="en-US"/>
        </w:rPr>
        <w:t>[</w:t>
      </w:r>
      <w:proofErr w:type="gramEnd"/>
      <w:r w:rsidR="00115973" w:rsidRPr="00EA5799">
        <w:rPr>
          <w:rFonts w:ascii="Book Antiqua" w:eastAsia="GungsuhChe" w:hAnsi="Book Antiqua" w:cs="Arial"/>
          <w:vertAlign w:val="superscript"/>
          <w:lang w:val="en-US"/>
        </w:rPr>
        <w:t>18,19]</w:t>
      </w:r>
      <w:r w:rsidR="008E6A0B" w:rsidRPr="00EA5799">
        <w:rPr>
          <w:rFonts w:ascii="Book Antiqua" w:eastAsia="GungsuhChe" w:hAnsi="Book Antiqua" w:cs="Arial"/>
          <w:lang w:val="en-US"/>
        </w:rPr>
        <w:t>.</w:t>
      </w:r>
    </w:p>
    <w:p w14:paraId="7C82988C" w14:textId="77777777" w:rsidR="00534567" w:rsidRPr="00EA5799" w:rsidRDefault="00534567" w:rsidP="00EA5799">
      <w:pPr>
        <w:spacing w:after="0" w:line="360" w:lineRule="auto"/>
        <w:jc w:val="both"/>
        <w:rPr>
          <w:rFonts w:ascii="Book Antiqua" w:eastAsia="GungsuhChe" w:hAnsi="Book Antiqua" w:cs="Arial"/>
          <w:b/>
          <w:lang w:val="en-US"/>
        </w:rPr>
      </w:pPr>
    </w:p>
    <w:p w14:paraId="18AE8245" w14:textId="6343F4FF" w:rsidR="009F20F2" w:rsidRPr="00EA5799" w:rsidRDefault="004F2A2C" w:rsidP="00EA5799">
      <w:pPr>
        <w:spacing w:after="0" w:line="360" w:lineRule="auto"/>
        <w:jc w:val="both"/>
        <w:rPr>
          <w:rFonts w:ascii="Book Antiqua" w:eastAsia="GungsuhChe" w:hAnsi="Book Antiqua" w:cs="Arial"/>
          <w:b/>
          <w:lang w:val="en-US"/>
        </w:rPr>
      </w:pPr>
      <w:r w:rsidRPr="00EA5799">
        <w:rPr>
          <w:rFonts w:ascii="Book Antiqua" w:eastAsia="GungsuhChe" w:hAnsi="Book Antiqua" w:cs="Arial"/>
          <w:b/>
          <w:lang w:val="en-US"/>
        </w:rPr>
        <w:t>DIAGNOSIS</w:t>
      </w:r>
    </w:p>
    <w:p w14:paraId="79C843F1" w14:textId="6D75B983" w:rsidR="00E179FA" w:rsidRPr="004F2A2C" w:rsidRDefault="00A83BAC" w:rsidP="00EA5799">
      <w:pPr>
        <w:spacing w:after="0" w:line="360" w:lineRule="auto"/>
        <w:jc w:val="both"/>
        <w:rPr>
          <w:rFonts w:ascii="Book Antiqua" w:eastAsia="宋体" w:hAnsi="Book Antiqua" w:cs="Arial"/>
          <w:lang w:val="en-US" w:eastAsia="zh-CN"/>
        </w:rPr>
      </w:pPr>
      <w:r w:rsidRPr="00EA5799">
        <w:rPr>
          <w:rFonts w:ascii="Book Antiqua" w:eastAsia="GungsuhChe" w:hAnsi="Book Antiqua" w:cs="Arial"/>
          <w:lang w:val="en-US"/>
        </w:rPr>
        <w:t xml:space="preserve">The diagnosis of CD is based on the presence of serum antibodies against </w:t>
      </w:r>
      <w:proofErr w:type="spellStart"/>
      <w:r w:rsidRPr="00EA5799">
        <w:rPr>
          <w:rFonts w:ascii="Book Antiqua" w:eastAsia="GungsuhChe" w:hAnsi="Book Antiqua" w:cs="Arial"/>
          <w:lang w:val="en-US"/>
        </w:rPr>
        <w:t>deamidated</w:t>
      </w:r>
      <w:proofErr w:type="spellEnd"/>
      <w:r w:rsidRPr="00EA5799">
        <w:rPr>
          <w:rFonts w:ascii="Book Antiqua" w:eastAsia="GungsuhChe" w:hAnsi="Book Antiqua" w:cs="Arial"/>
          <w:lang w:val="en-US"/>
        </w:rPr>
        <w:t xml:space="preserve"> </w:t>
      </w:r>
      <w:proofErr w:type="spellStart"/>
      <w:r w:rsidRPr="00EA5799">
        <w:rPr>
          <w:rFonts w:ascii="Book Antiqua" w:eastAsia="GungsuhChe" w:hAnsi="Book Antiqua" w:cs="Arial"/>
          <w:lang w:val="en-US"/>
        </w:rPr>
        <w:t>antigliadin</w:t>
      </w:r>
      <w:proofErr w:type="spellEnd"/>
      <w:r w:rsidRPr="00EA5799">
        <w:rPr>
          <w:rFonts w:ascii="Book Antiqua" w:eastAsia="GungsuhChe" w:hAnsi="Book Antiqua" w:cs="Arial"/>
          <w:lang w:val="en-US"/>
        </w:rPr>
        <w:t xml:space="preserve">, </w:t>
      </w:r>
      <w:proofErr w:type="spellStart"/>
      <w:r w:rsidRPr="00EA5799">
        <w:rPr>
          <w:rFonts w:ascii="Book Antiqua" w:eastAsia="GungsuhChe" w:hAnsi="Book Antiqua" w:cs="Arial"/>
          <w:lang w:val="en-US"/>
        </w:rPr>
        <w:t>antiendomysium</w:t>
      </w:r>
      <w:proofErr w:type="spellEnd"/>
      <w:r w:rsidRPr="00EA5799">
        <w:rPr>
          <w:rFonts w:ascii="Book Antiqua" w:eastAsia="GungsuhChe" w:hAnsi="Book Antiqua" w:cs="Arial"/>
          <w:lang w:val="en-US"/>
        </w:rPr>
        <w:t xml:space="preserve"> or anti-tissue transglutaminase antibodies. In addition, the presence of intraepithelial lymphocytosis and/or </w:t>
      </w:r>
      <w:r w:rsidRPr="00EA5799">
        <w:rPr>
          <w:rFonts w:ascii="Book Antiqua" w:eastAsia="GungsuhChe" w:hAnsi="Book Antiqua" w:cs="Arial"/>
          <w:lang w:val="en-US"/>
        </w:rPr>
        <w:lastRenderedPageBreak/>
        <w:t>villous atrophy and crypt hyperplasia of small-bowel mucosa, and clinical remission after withdrawal of gluten from the diet, are also used for diagnosis</w:t>
      </w:r>
      <w:r w:rsidR="004F2A2C">
        <w:rPr>
          <w:rFonts w:ascii="Book Antiqua" w:eastAsia="宋体" w:hAnsi="Book Antiqua" w:cs="Arial" w:hint="eastAsia"/>
          <w:lang w:val="en-US" w:eastAsia="zh-CN"/>
        </w:rPr>
        <w:t xml:space="preserve"> </w:t>
      </w:r>
      <w:proofErr w:type="spellStart"/>
      <w:r w:rsidR="004F2A2C" w:rsidRPr="00EA5799">
        <w:rPr>
          <w:rFonts w:ascii="Book Antiqua" w:eastAsia="GungsuhChe" w:hAnsi="Book Antiqua" w:cs="Arial"/>
          <w:lang w:val="en-US"/>
        </w:rPr>
        <w:t>a</w:t>
      </w:r>
      <w:r w:rsidR="00E412F4" w:rsidRPr="00EA5799">
        <w:rPr>
          <w:rFonts w:ascii="Book Antiqua" w:eastAsia="GungsuhChe" w:hAnsi="Book Antiqua" w:cs="Arial"/>
          <w:lang w:val="en-US"/>
        </w:rPr>
        <w:t>ntitransglutaminas</w:t>
      </w:r>
      <w:r w:rsidR="004C0753" w:rsidRPr="00EA5799">
        <w:rPr>
          <w:rFonts w:ascii="Book Antiqua" w:eastAsia="GungsuhChe" w:hAnsi="Book Antiqua" w:cs="Arial"/>
          <w:lang w:val="en-US"/>
        </w:rPr>
        <w:t>e</w:t>
      </w:r>
      <w:proofErr w:type="spellEnd"/>
      <w:r w:rsidR="00E412F4" w:rsidRPr="00EA5799">
        <w:rPr>
          <w:rFonts w:ascii="Book Antiqua" w:eastAsia="GungsuhChe" w:hAnsi="Book Antiqua" w:cs="Arial"/>
          <w:lang w:val="en-US"/>
        </w:rPr>
        <w:t xml:space="preserve"> antibody (</w:t>
      </w:r>
      <w:proofErr w:type="spellStart"/>
      <w:r w:rsidR="00E412F4" w:rsidRPr="00EA5799">
        <w:rPr>
          <w:rFonts w:ascii="Book Antiqua" w:eastAsia="GungsuhChe" w:hAnsi="Book Antiqua" w:cs="Arial"/>
          <w:lang w:val="en-US"/>
        </w:rPr>
        <w:t>tTGA</w:t>
      </w:r>
      <w:proofErr w:type="spellEnd"/>
      <w:r w:rsidR="00E412F4" w:rsidRPr="00EA5799">
        <w:rPr>
          <w:rFonts w:ascii="Book Antiqua" w:eastAsia="GungsuhChe" w:hAnsi="Book Antiqua" w:cs="Arial"/>
          <w:lang w:val="en-US"/>
        </w:rPr>
        <w:t xml:space="preserve">) titers and </w:t>
      </w:r>
      <w:r w:rsidR="00D22D7A" w:rsidRPr="00EA5799">
        <w:rPr>
          <w:rFonts w:ascii="Book Antiqua" w:eastAsia="GungsuhChe" w:hAnsi="Book Antiqua" w:cs="Arial"/>
          <w:lang w:val="en-US"/>
        </w:rPr>
        <w:t xml:space="preserve">the degree of </w:t>
      </w:r>
      <w:r w:rsidR="00E412F4" w:rsidRPr="00EA5799">
        <w:rPr>
          <w:rFonts w:ascii="Book Antiqua" w:eastAsia="GungsuhChe" w:hAnsi="Book Antiqua" w:cs="Arial"/>
          <w:lang w:val="en-US"/>
        </w:rPr>
        <w:t>histologic</w:t>
      </w:r>
      <w:r w:rsidR="00D22D7A" w:rsidRPr="00EA5799">
        <w:rPr>
          <w:rFonts w:ascii="Book Antiqua" w:eastAsia="GungsuhChe" w:hAnsi="Book Antiqua" w:cs="Arial"/>
          <w:lang w:val="en-US"/>
        </w:rPr>
        <w:t>al</w:t>
      </w:r>
      <w:r w:rsidR="00E412F4" w:rsidRPr="00EA5799">
        <w:rPr>
          <w:rFonts w:ascii="Book Antiqua" w:eastAsia="GungsuhChe" w:hAnsi="Book Antiqua" w:cs="Arial"/>
          <w:lang w:val="en-US"/>
        </w:rPr>
        <w:t xml:space="preserve"> lesion</w:t>
      </w:r>
      <w:r w:rsidR="00D22D7A" w:rsidRPr="00EA5799">
        <w:rPr>
          <w:rFonts w:ascii="Book Antiqua" w:eastAsia="GungsuhChe" w:hAnsi="Book Antiqua" w:cs="Arial"/>
          <w:lang w:val="en-US"/>
        </w:rPr>
        <w:t>s</w:t>
      </w:r>
      <w:r w:rsidR="00E412F4" w:rsidRPr="00EA5799">
        <w:rPr>
          <w:rFonts w:ascii="Book Antiqua" w:eastAsia="GungsuhChe" w:hAnsi="Book Antiqua" w:cs="Arial"/>
          <w:lang w:val="en-US"/>
        </w:rPr>
        <w:t xml:space="preserve"> inverse</w:t>
      </w:r>
      <w:r w:rsidR="00D22D7A" w:rsidRPr="00EA5799">
        <w:rPr>
          <w:rFonts w:ascii="Book Antiqua" w:eastAsia="GungsuhChe" w:hAnsi="Book Antiqua" w:cs="Arial"/>
          <w:lang w:val="en-US"/>
        </w:rPr>
        <w:t>ly</w:t>
      </w:r>
      <w:r w:rsidR="00E412F4" w:rsidRPr="00EA5799">
        <w:rPr>
          <w:rFonts w:ascii="Book Antiqua" w:eastAsia="GungsuhChe" w:hAnsi="Book Antiqua" w:cs="Arial"/>
          <w:lang w:val="en-US"/>
        </w:rPr>
        <w:t xml:space="preserve"> correlat</w:t>
      </w:r>
      <w:r w:rsidR="00D22D7A" w:rsidRPr="00EA5799">
        <w:rPr>
          <w:rFonts w:ascii="Book Antiqua" w:eastAsia="GungsuhChe" w:hAnsi="Book Antiqua" w:cs="Arial"/>
          <w:lang w:val="en-US"/>
        </w:rPr>
        <w:t>e</w:t>
      </w:r>
      <w:r w:rsidR="00E412F4" w:rsidRPr="00EA5799">
        <w:rPr>
          <w:rFonts w:ascii="Book Antiqua" w:eastAsia="GungsuhChe" w:hAnsi="Book Antiqua" w:cs="Arial"/>
          <w:lang w:val="en-US"/>
        </w:rPr>
        <w:t xml:space="preserve"> with </w:t>
      </w:r>
      <w:proofErr w:type="gramStart"/>
      <w:r w:rsidR="00E412F4" w:rsidRPr="00EA5799">
        <w:rPr>
          <w:rFonts w:ascii="Book Antiqua" w:eastAsia="GungsuhChe" w:hAnsi="Book Antiqua" w:cs="Arial"/>
          <w:lang w:val="en-US"/>
        </w:rPr>
        <w:t>age</w:t>
      </w:r>
      <w:r w:rsidR="00115973" w:rsidRPr="00EA5799">
        <w:rPr>
          <w:rFonts w:ascii="Book Antiqua" w:eastAsia="GungsuhChe" w:hAnsi="Book Antiqua" w:cs="Arial"/>
          <w:vertAlign w:val="superscript"/>
          <w:lang w:val="en-US"/>
        </w:rPr>
        <w:t>[</w:t>
      </w:r>
      <w:proofErr w:type="gramEnd"/>
      <w:r w:rsidR="00115973" w:rsidRPr="00EA5799">
        <w:rPr>
          <w:rFonts w:ascii="Book Antiqua" w:eastAsia="GungsuhChe" w:hAnsi="Book Antiqua" w:cs="Arial"/>
          <w:vertAlign w:val="superscript"/>
          <w:lang w:val="en-US"/>
        </w:rPr>
        <w:t>12]</w:t>
      </w:r>
      <w:r w:rsidR="00E412F4"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E412F4" w:rsidRPr="00EA5799">
        <w:rPr>
          <w:rFonts w:ascii="Book Antiqua" w:eastAsia="GungsuhChe" w:hAnsi="Book Antiqua" w:cs="Arial"/>
          <w:lang w:val="en-US"/>
        </w:rPr>
        <w:t>Thus, as the age of diagnosis increases antibody titer</w:t>
      </w:r>
      <w:r w:rsidR="00CC0FD1" w:rsidRPr="00EA5799">
        <w:rPr>
          <w:rFonts w:ascii="Book Antiqua" w:eastAsia="GungsuhChe" w:hAnsi="Book Antiqua" w:cs="Arial"/>
          <w:lang w:val="en-US"/>
        </w:rPr>
        <w:t>s</w:t>
      </w:r>
      <w:r w:rsidR="00E412F4" w:rsidRPr="00EA5799">
        <w:rPr>
          <w:rFonts w:ascii="Book Antiqua" w:eastAsia="GungsuhChe" w:hAnsi="Book Antiqua" w:cs="Arial"/>
          <w:lang w:val="en-US"/>
        </w:rPr>
        <w:t xml:space="preserve"> </w:t>
      </w:r>
      <w:r w:rsidR="00DE518C" w:rsidRPr="00EA5799">
        <w:rPr>
          <w:rFonts w:ascii="Book Antiqua" w:eastAsia="GungsuhChe" w:hAnsi="Book Antiqua" w:cs="Arial"/>
          <w:lang w:val="en-US"/>
        </w:rPr>
        <w:t>decrease and histological damage is less marked.</w:t>
      </w:r>
      <w:r w:rsidR="002E569F" w:rsidRPr="00EA5799">
        <w:rPr>
          <w:rFonts w:ascii="Book Antiqua" w:eastAsia="GungsuhChe" w:hAnsi="Book Antiqua" w:cs="Arial"/>
          <w:lang w:val="en-US"/>
        </w:rPr>
        <w:t xml:space="preserve"> </w:t>
      </w:r>
      <w:r w:rsidR="00DE518C" w:rsidRPr="00EA5799">
        <w:rPr>
          <w:rFonts w:ascii="Book Antiqua" w:eastAsia="GungsuhChe" w:hAnsi="Book Antiqua" w:cs="Arial"/>
          <w:lang w:val="en-US"/>
        </w:rPr>
        <w:t>It is common to find adults without v</w:t>
      </w:r>
      <w:r w:rsidR="00CC0FD1" w:rsidRPr="00EA5799">
        <w:rPr>
          <w:rFonts w:ascii="Book Antiqua" w:eastAsia="GungsuhChe" w:hAnsi="Book Antiqua" w:cs="Arial"/>
          <w:lang w:val="en-US"/>
        </w:rPr>
        <w:t xml:space="preserve">illous atrophy </w:t>
      </w:r>
      <w:r w:rsidR="00DE518C" w:rsidRPr="00EA5799">
        <w:rPr>
          <w:rFonts w:ascii="Book Antiqua" w:eastAsia="GungsuhChe" w:hAnsi="Book Antiqua" w:cs="Arial"/>
          <w:lang w:val="en-US"/>
        </w:rPr>
        <w:t>showing only</w:t>
      </w:r>
      <w:r w:rsidR="00366609" w:rsidRPr="00EA5799">
        <w:rPr>
          <w:rFonts w:ascii="Book Antiqua" w:eastAsia="GungsuhChe" w:hAnsi="Book Antiqua" w:cs="Arial"/>
          <w:lang w:val="en-US"/>
        </w:rPr>
        <w:t xml:space="preserve"> an inflammatory pattern</w:t>
      </w:r>
      <w:r w:rsidR="00DE518C" w:rsidRPr="00EA5799">
        <w:rPr>
          <w:rFonts w:ascii="Book Antiqua" w:eastAsia="GungsuhChe" w:hAnsi="Book Antiqua" w:cs="Arial"/>
          <w:lang w:val="en-US"/>
        </w:rPr>
        <w:t xml:space="preserve"> in duodenal mucosa biopsies</w:t>
      </w:r>
      <w:r w:rsidR="00366609"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943A52" w:rsidRPr="00EA5799">
        <w:rPr>
          <w:rFonts w:ascii="Book Antiqua" w:eastAsia="GungsuhChe" w:hAnsi="Book Antiqua" w:cs="Arial"/>
          <w:lang w:val="en-US"/>
        </w:rPr>
        <w:t>L</w:t>
      </w:r>
      <w:r w:rsidR="00E200FB" w:rsidRPr="00EA5799">
        <w:rPr>
          <w:rFonts w:ascii="Book Antiqua" w:eastAsia="GungsuhChe" w:hAnsi="Book Antiqua" w:cs="Arial"/>
          <w:lang w:val="en-US"/>
        </w:rPr>
        <w:t>ymphocytic enteritis (Marsh I) or added crypt hyperplasia (Marsh II)</w:t>
      </w:r>
      <w:r w:rsidR="007E71E3" w:rsidRPr="00EA5799">
        <w:rPr>
          <w:rFonts w:ascii="Book Antiqua" w:eastAsia="GungsuhChe" w:hAnsi="Book Antiqua" w:cs="Arial"/>
          <w:lang w:val="en-US"/>
        </w:rPr>
        <w:t>,</w:t>
      </w:r>
      <w:r w:rsidR="00E200FB" w:rsidRPr="00EA5799">
        <w:rPr>
          <w:rFonts w:ascii="Book Antiqua" w:eastAsia="GungsuhChe" w:hAnsi="Book Antiqua" w:cs="Arial"/>
          <w:lang w:val="en-US"/>
        </w:rPr>
        <w:t xml:space="preserve"> as seen in Figure 1.</w:t>
      </w:r>
    </w:p>
    <w:p w14:paraId="12E35B35" w14:textId="2B0F739F" w:rsidR="003B19FE" w:rsidRPr="00EA5799" w:rsidRDefault="004C0753" w:rsidP="004F2A2C">
      <w:pPr>
        <w:spacing w:after="0" w:line="360" w:lineRule="auto"/>
        <w:ind w:firstLineChars="100" w:firstLine="240"/>
        <w:jc w:val="both"/>
        <w:rPr>
          <w:rFonts w:ascii="Book Antiqua" w:eastAsia="GungsuhChe" w:hAnsi="Book Antiqua" w:cs="Arial"/>
          <w:lang w:val="en-US"/>
        </w:rPr>
      </w:pPr>
      <w:r w:rsidRPr="00EA5799">
        <w:rPr>
          <w:rFonts w:ascii="Book Antiqua" w:eastAsia="GungsuhChe" w:hAnsi="Book Antiqua" w:cs="Arial"/>
          <w:lang w:val="en-US"/>
        </w:rPr>
        <w:t>This lower clinical</w:t>
      </w:r>
      <w:r w:rsidR="006F03FB" w:rsidRPr="00EA5799">
        <w:rPr>
          <w:rFonts w:ascii="Book Antiqua" w:eastAsia="GungsuhChe" w:hAnsi="Book Antiqua" w:cs="Arial"/>
          <w:lang w:val="en-US"/>
        </w:rPr>
        <w:t xml:space="preserve">, </w:t>
      </w:r>
      <w:r w:rsidR="00A7144E" w:rsidRPr="00EA5799">
        <w:rPr>
          <w:rFonts w:ascii="Book Antiqua" w:eastAsia="GungsuhChe" w:hAnsi="Book Antiqua" w:cs="Arial"/>
          <w:lang w:val="en-US"/>
        </w:rPr>
        <w:t>analytical</w:t>
      </w:r>
      <w:r w:rsidR="006F03FB" w:rsidRPr="00EA5799">
        <w:rPr>
          <w:rFonts w:ascii="Book Antiqua" w:eastAsia="GungsuhChe" w:hAnsi="Book Antiqua" w:cs="Arial"/>
          <w:lang w:val="en-US"/>
        </w:rPr>
        <w:t xml:space="preserve"> and histological</w:t>
      </w:r>
      <w:r w:rsidRPr="00EA5799">
        <w:rPr>
          <w:rFonts w:ascii="Book Antiqua" w:eastAsia="GungsuhChe" w:hAnsi="Book Antiqua" w:cs="Arial"/>
          <w:lang w:val="en-US"/>
        </w:rPr>
        <w:t xml:space="preserve"> </w:t>
      </w:r>
      <w:r w:rsidR="00A7144E" w:rsidRPr="00EA5799">
        <w:rPr>
          <w:rFonts w:ascii="Book Antiqua" w:eastAsia="GungsuhChe" w:hAnsi="Book Antiqua" w:cs="Arial"/>
          <w:lang w:val="en-US"/>
        </w:rPr>
        <w:t>expressiveness</w:t>
      </w:r>
      <w:r w:rsidR="006F03FB" w:rsidRPr="00EA5799">
        <w:rPr>
          <w:rFonts w:ascii="Book Antiqua" w:eastAsia="GungsuhChe" w:hAnsi="Book Antiqua" w:cs="Arial"/>
          <w:lang w:val="en-US"/>
        </w:rPr>
        <w:t xml:space="preserve"> in adult forms makes their </w:t>
      </w:r>
      <w:r w:rsidR="00A83BAC" w:rsidRPr="00EA5799">
        <w:rPr>
          <w:rFonts w:ascii="Book Antiqua" w:eastAsia="GungsuhChe" w:hAnsi="Book Antiqua" w:cs="Arial"/>
          <w:lang w:val="en-US"/>
        </w:rPr>
        <w:t xml:space="preserve">diagnosis </w:t>
      </w:r>
      <w:r w:rsidR="00B16A8E" w:rsidRPr="00EA5799">
        <w:rPr>
          <w:rFonts w:ascii="Book Antiqua" w:eastAsia="GungsuhChe" w:hAnsi="Book Antiqua" w:cs="Arial"/>
          <w:lang w:val="en-US"/>
        </w:rPr>
        <w:t>more</w:t>
      </w:r>
      <w:r w:rsidR="006F03FB" w:rsidRPr="00EA5799">
        <w:rPr>
          <w:rFonts w:ascii="Book Antiqua" w:eastAsia="GungsuhChe" w:hAnsi="Book Antiqua" w:cs="Arial"/>
          <w:lang w:val="en-US"/>
        </w:rPr>
        <w:t xml:space="preserve"> complex than in pediatric forms.</w:t>
      </w:r>
      <w:r w:rsidR="002E569F" w:rsidRPr="00EA5799">
        <w:rPr>
          <w:rFonts w:ascii="Book Antiqua" w:eastAsia="GungsuhChe" w:hAnsi="Book Antiqua" w:cs="Arial"/>
          <w:lang w:val="en-US"/>
        </w:rPr>
        <w:t xml:space="preserve"> </w:t>
      </w:r>
      <w:r w:rsidR="006F03FB" w:rsidRPr="00EA5799">
        <w:rPr>
          <w:rFonts w:ascii="Book Antiqua" w:eastAsia="GungsuhChe" w:hAnsi="Book Antiqua" w:cs="Arial"/>
          <w:lang w:val="en-US"/>
        </w:rPr>
        <w:t>The</w:t>
      </w:r>
      <w:r w:rsidR="00377F12" w:rsidRPr="00EA5799">
        <w:rPr>
          <w:rFonts w:ascii="Book Antiqua" w:eastAsia="GungsuhChe" w:hAnsi="Book Antiqua" w:cs="Arial"/>
          <w:lang w:val="en-US"/>
        </w:rPr>
        <w:t xml:space="preserve"> European Pediatric Gastroenterology and Nutrition Society (ESPGHAN) criteria were edited in 2012 </w:t>
      </w:r>
      <w:r w:rsidR="00FF51E8" w:rsidRPr="00EA5799">
        <w:rPr>
          <w:rFonts w:ascii="Book Antiqua" w:eastAsia="GungsuhChe" w:hAnsi="Book Antiqua" w:cs="Arial"/>
          <w:lang w:val="en-US"/>
        </w:rPr>
        <w:t>for CD diagnosis in children.</w:t>
      </w:r>
      <w:r w:rsidR="002E569F" w:rsidRPr="00EA5799">
        <w:rPr>
          <w:rFonts w:ascii="Book Antiqua" w:eastAsia="GungsuhChe" w:hAnsi="Book Antiqua" w:cs="Arial"/>
          <w:lang w:val="en-US"/>
        </w:rPr>
        <w:t xml:space="preserve"> </w:t>
      </w:r>
      <w:r w:rsidR="00FF51E8" w:rsidRPr="00EA5799">
        <w:rPr>
          <w:rFonts w:ascii="Book Antiqua" w:eastAsia="GungsuhChe" w:hAnsi="Book Antiqua" w:cs="Arial"/>
          <w:lang w:val="en-US"/>
        </w:rPr>
        <w:t>The</w:t>
      </w:r>
      <w:r w:rsidR="005D44BF" w:rsidRPr="00EA5799">
        <w:rPr>
          <w:rFonts w:ascii="Book Antiqua" w:eastAsia="GungsuhChe" w:hAnsi="Book Antiqua" w:cs="Arial"/>
          <w:lang w:val="en-US"/>
        </w:rPr>
        <w:t>se</w:t>
      </w:r>
      <w:r w:rsidR="00FF51E8" w:rsidRPr="00EA5799">
        <w:rPr>
          <w:rFonts w:ascii="Book Antiqua" w:eastAsia="GungsuhChe" w:hAnsi="Book Antiqua" w:cs="Arial"/>
          <w:lang w:val="en-US"/>
        </w:rPr>
        <w:t xml:space="preserve"> current </w:t>
      </w:r>
      <w:r w:rsidR="00C11CA3" w:rsidRPr="00EA5799">
        <w:rPr>
          <w:rFonts w:ascii="Book Antiqua" w:eastAsia="GungsuhChe" w:hAnsi="Book Antiqua" w:cs="Arial"/>
          <w:lang w:val="en-US"/>
        </w:rPr>
        <w:t xml:space="preserve">pediatric </w:t>
      </w:r>
      <w:r w:rsidR="00FF51E8" w:rsidRPr="00EA5799">
        <w:rPr>
          <w:rFonts w:ascii="Book Antiqua" w:eastAsia="GungsuhChe" w:hAnsi="Book Antiqua" w:cs="Arial"/>
          <w:lang w:val="en-US"/>
        </w:rPr>
        <w:t>criteria</w:t>
      </w:r>
      <w:r w:rsidR="00C11CA3" w:rsidRPr="00EA5799">
        <w:rPr>
          <w:rFonts w:ascii="Book Antiqua" w:eastAsia="GungsuhChe" w:hAnsi="Book Antiqua" w:cs="Arial"/>
          <w:lang w:val="en-US"/>
        </w:rPr>
        <w:t xml:space="preserve"> allow CD diagnosis upon finding high </w:t>
      </w:r>
      <w:proofErr w:type="spellStart"/>
      <w:r w:rsidR="00C11CA3" w:rsidRPr="00EA5799">
        <w:rPr>
          <w:rFonts w:ascii="Book Antiqua" w:eastAsia="GungsuhChe" w:hAnsi="Book Antiqua" w:cs="Arial"/>
          <w:lang w:val="en-US"/>
        </w:rPr>
        <w:t>tTGA</w:t>
      </w:r>
      <w:proofErr w:type="spellEnd"/>
      <w:r w:rsidR="00C11CA3" w:rsidRPr="00EA5799">
        <w:rPr>
          <w:rFonts w:ascii="Book Antiqua" w:eastAsia="GungsuhChe" w:hAnsi="Book Antiqua" w:cs="Arial"/>
          <w:lang w:val="en-US"/>
        </w:rPr>
        <w:t xml:space="preserve"> titers</w:t>
      </w:r>
      <w:r w:rsidR="00193B4D" w:rsidRPr="00EA5799">
        <w:rPr>
          <w:rFonts w:ascii="Book Antiqua" w:eastAsia="GungsuhChe" w:hAnsi="Book Antiqua" w:cs="Arial"/>
          <w:lang w:val="en-US"/>
        </w:rPr>
        <w:t>,</w:t>
      </w:r>
      <w:r w:rsidR="00C11CA3" w:rsidRPr="00EA5799">
        <w:rPr>
          <w:rFonts w:ascii="Book Antiqua" w:eastAsia="GungsuhChe" w:hAnsi="Book Antiqua" w:cs="Arial"/>
          <w:lang w:val="en-US"/>
        </w:rPr>
        <w:t xml:space="preserve"> </w:t>
      </w:r>
      <w:r w:rsidR="00815B3D" w:rsidRPr="00EA5799">
        <w:rPr>
          <w:rFonts w:ascii="Book Antiqua" w:eastAsia="GungsuhChe" w:hAnsi="Book Antiqua" w:cs="Arial"/>
          <w:lang w:val="en-US"/>
        </w:rPr>
        <w:t xml:space="preserve">without the need for a duodenal </w:t>
      </w:r>
      <w:proofErr w:type="gramStart"/>
      <w:r w:rsidR="00815B3D" w:rsidRPr="00EA5799">
        <w:rPr>
          <w:rFonts w:ascii="Book Antiqua" w:eastAsia="GungsuhChe" w:hAnsi="Book Antiqua" w:cs="Arial"/>
          <w:lang w:val="en-US"/>
        </w:rPr>
        <w:t>biopsy</w:t>
      </w:r>
      <w:r w:rsidR="00115973" w:rsidRPr="00EA5799">
        <w:rPr>
          <w:rFonts w:ascii="Book Antiqua" w:eastAsia="GungsuhChe" w:hAnsi="Book Antiqua" w:cs="Arial"/>
          <w:vertAlign w:val="superscript"/>
          <w:lang w:val="en-US"/>
        </w:rPr>
        <w:t>[</w:t>
      </w:r>
      <w:proofErr w:type="gramEnd"/>
      <w:r w:rsidR="00115973" w:rsidRPr="00EA5799">
        <w:rPr>
          <w:rFonts w:ascii="Book Antiqua" w:eastAsia="GungsuhChe" w:hAnsi="Book Antiqua" w:cs="Arial"/>
          <w:vertAlign w:val="superscript"/>
          <w:lang w:val="en-US"/>
        </w:rPr>
        <w:t>20]</w:t>
      </w:r>
      <w:r w:rsidR="009A0FFC" w:rsidRPr="00EA5799">
        <w:rPr>
          <w:rFonts w:ascii="Book Antiqua" w:eastAsia="GungsuhChe" w:hAnsi="Book Antiqua" w:cs="Arial"/>
          <w:lang w:val="en-US"/>
        </w:rPr>
        <w:t>.</w:t>
      </w:r>
      <w:r w:rsidR="005D44BF" w:rsidRPr="00EA5799">
        <w:rPr>
          <w:rFonts w:ascii="Book Antiqua" w:eastAsia="GungsuhChe" w:hAnsi="Book Antiqua" w:cs="Arial"/>
          <w:lang w:val="en-US"/>
        </w:rPr>
        <w:t xml:space="preserve"> </w:t>
      </w:r>
      <w:r w:rsidR="00815B3D" w:rsidRPr="00EA5799">
        <w:rPr>
          <w:rFonts w:ascii="Book Antiqua" w:eastAsia="GungsuhChe" w:hAnsi="Book Antiqua" w:cs="Arial"/>
          <w:lang w:val="en-US"/>
        </w:rPr>
        <w:t xml:space="preserve">This is, again, based on the evidence </w:t>
      </w:r>
      <w:r w:rsidR="0033286D" w:rsidRPr="00EA5799">
        <w:rPr>
          <w:rFonts w:ascii="Book Antiqua" w:eastAsia="GungsuhChe" w:hAnsi="Book Antiqua" w:cs="Arial"/>
          <w:lang w:val="en-US"/>
        </w:rPr>
        <w:t>of</w:t>
      </w:r>
      <w:r w:rsidR="00193B4D" w:rsidRPr="00EA5799">
        <w:rPr>
          <w:rFonts w:ascii="Book Antiqua" w:eastAsia="GungsuhChe" w:hAnsi="Book Antiqua" w:cs="Arial"/>
          <w:lang w:val="en-US"/>
        </w:rPr>
        <w:t xml:space="preserve"> </w:t>
      </w:r>
      <w:r w:rsidR="00891B85" w:rsidRPr="00EA5799">
        <w:rPr>
          <w:rFonts w:ascii="Book Antiqua" w:eastAsia="GungsuhChe" w:hAnsi="Book Antiqua" w:cs="Arial"/>
          <w:lang w:val="en-US"/>
        </w:rPr>
        <w:t>high antibody titers hav</w:t>
      </w:r>
      <w:r w:rsidR="00193B4D" w:rsidRPr="00EA5799">
        <w:rPr>
          <w:rFonts w:ascii="Book Antiqua" w:eastAsia="GungsuhChe" w:hAnsi="Book Antiqua" w:cs="Arial"/>
          <w:lang w:val="en-US"/>
        </w:rPr>
        <w:t xml:space="preserve">ing </w:t>
      </w:r>
      <w:r w:rsidR="00891B85" w:rsidRPr="00EA5799">
        <w:rPr>
          <w:rFonts w:ascii="Book Antiqua" w:eastAsia="GungsuhChe" w:hAnsi="Book Antiqua" w:cs="Arial"/>
          <w:lang w:val="en-US"/>
        </w:rPr>
        <w:t>a</w:t>
      </w:r>
      <w:r w:rsidR="00325373" w:rsidRPr="00EA5799">
        <w:rPr>
          <w:rFonts w:ascii="Book Antiqua" w:eastAsia="GungsuhChe" w:hAnsi="Book Antiqua" w:cs="Arial"/>
          <w:lang w:val="en-US"/>
        </w:rPr>
        <w:t xml:space="preserve"> high </w:t>
      </w:r>
      <w:r w:rsidR="00193B4D" w:rsidRPr="00EA5799">
        <w:rPr>
          <w:rFonts w:ascii="Book Antiqua" w:eastAsia="GungsuhChe" w:hAnsi="Book Antiqua" w:cs="Arial"/>
          <w:lang w:val="en-US"/>
        </w:rPr>
        <w:t xml:space="preserve">predictive value for </w:t>
      </w:r>
      <w:r w:rsidR="00325373" w:rsidRPr="00EA5799">
        <w:rPr>
          <w:rFonts w:ascii="Book Antiqua" w:eastAsia="GungsuhChe" w:hAnsi="Book Antiqua" w:cs="Arial"/>
          <w:lang w:val="en-US"/>
        </w:rPr>
        <w:t>villous atrophy</w:t>
      </w:r>
      <w:r w:rsidR="0086625D" w:rsidRPr="00EA5799">
        <w:rPr>
          <w:rFonts w:ascii="Book Antiqua" w:eastAsia="GungsuhChe" w:hAnsi="Book Antiqua" w:cs="Arial"/>
          <w:lang w:val="en-US"/>
        </w:rPr>
        <w:t>,</w:t>
      </w:r>
      <w:r w:rsidR="00325373" w:rsidRPr="00EA5799">
        <w:rPr>
          <w:rFonts w:ascii="Book Antiqua" w:eastAsia="GungsuhChe" w:hAnsi="Book Antiqua" w:cs="Arial"/>
          <w:lang w:val="en-US"/>
        </w:rPr>
        <w:t xml:space="preserve"> and thus </w:t>
      </w:r>
      <w:r w:rsidR="0086625D" w:rsidRPr="00EA5799">
        <w:rPr>
          <w:rFonts w:ascii="Book Antiqua" w:eastAsia="GungsuhChe" w:hAnsi="Book Antiqua" w:cs="Arial"/>
          <w:lang w:val="en-US"/>
        </w:rPr>
        <w:t>avoiding the need for biopsy</w:t>
      </w:r>
      <w:r w:rsidR="00E802E9"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325373" w:rsidRPr="00EA5799">
        <w:rPr>
          <w:rFonts w:ascii="Book Antiqua" w:eastAsia="GungsuhChe" w:hAnsi="Book Antiqua" w:cs="Arial"/>
          <w:lang w:val="en-US"/>
        </w:rPr>
        <w:t xml:space="preserve">Thus, in pediatric </w:t>
      </w:r>
      <w:r w:rsidR="00DA659D" w:rsidRPr="00EA5799">
        <w:rPr>
          <w:rFonts w:ascii="Book Antiqua" w:eastAsia="GungsuhChe" w:hAnsi="Book Antiqua" w:cs="Arial"/>
          <w:lang w:val="en-US"/>
        </w:rPr>
        <w:t>patients,</w:t>
      </w:r>
      <w:r w:rsidR="00325373" w:rsidRPr="00EA5799">
        <w:rPr>
          <w:rFonts w:ascii="Book Antiqua" w:eastAsia="GungsuhChe" w:hAnsi="Book Antiqua" w:cs="Arial"/>
          <w:lang w:val="en-US"/>
        </w:rPr>
        <w:t xml:space="preserve"> up to 75% of duodenal biopsies</w:t>
      </w:r>
      <w:r w:rsidR="00A83BAC" w:rsidRPr="00EA5799">
        <w:rPr>
          <w:rFonts w:ascii="Book Antiqua" w:eastAsia="GungsuhChe" w:hAnsi="Book Antiqua" w:cs="Arial"/>
          <w:lang w:val="en-US"/>
        </w:rPr>
        <w:t xml:space="preserve"> can</w:t>
      </w:r>
      <w:r w:rsidR="00325373" w:rsidRPr="00EA5799">
        <w:rPr>
          <w:rFonts w:ascii="Book Antiqua" w:eastAsia="GungsuhChe" w:hAnsi="Book Antiqua" w:cs="Arial"/>
          <w:lang w:val="en-US"/>
        </w:rPr>
        <w:t xml:space="preserve"> be avoided</w:t>
      </w:r>
      <w:r w:rsidR="007A542F" w:rsidRPr="00EA5799">
        <w:rPr>
          <w:rFonts w:ascii="Book Antiqua" w:eastAsia="GungsuhChe" w:hAnsi="Book Antiqua" w:cs="Arial"/>
          <w:lang w:val="en-US"/>
        </w:rPr>
        <w:t>. H</w:t>
      </w:r>
      <w:r w:rsidR="001D3DF5" w:rsidRPr="00EA5799">
        <w:rPr>
          <w:rFonts w:ascii="Book Antiqua" w:eastAsia="GungsuhChe" w:hAnsi="Book Antiqua" w:cs="Arial"/>
          <w:lang w:val="en-US"/>
        </w:rPr>
        <w:t>owever, the presence of high antibody titers (&gt;</w:t>
      </w:r>
      <w:r w:rsidR="004F2A2C">
        <w:rPr>
          <w:rFonts w:ascii="Book Antiqua" w:eastAsia="宋体" w:hAnsi="Book Antiqua" w:cs="Arial" w:hint="eastAsia"/>
          <w:lang w:val="en-US" w:eastAsia="zh-CN"/>
        </w:rPr>
        <w:t xml:space="preserve"> </w:t>
      </w:r>
      <w:r w:rsidR="001D3DF5" w:rsidRPr="00EA5799">
        <w:rPr>
          <w:rFonts w:ascii="Book Antiqua" w:eastAsia="GungsuhChe" w:hAnsi="Book Antiqua" w:cs="Arial"/>
          <w:lang w:val="en-US"/>
        </w:rPr>
        <w:t xml:space="preserve">10 times normal levels) that allow </w:t>
      </w:r>
      <w:r w:rsidR="00AE046E" w:rsidRPr="00EA5799">
        <w:rPr>
          <w:rFonts w:ascii="Book Antiqua" w:eastAsia="GungsuhChe" w:hAnsi="Book Antiqua" w:cs="Arial"/>
          <w:lang w:val="en-US"/>
        </w:rPr>
        <w:t>bypassing</w:t>
      </w:r>
      <w:r w:rsidR="001D3DF5" w:rsidRPr="00EA5799">
        <w:rPr>
          <w:rFonts w:ascii="Book Antiqua" w:eastAsia="GungsuhChe" w:hAnsi="Book Antiqua" w:cs="Arial"/>
          <w:lang w:val="en-US"/>
        </w:rPr>
        <w:t xml:space="preserve"> biops</w:t>
      </w:r>
      <w:r w:rsidR="00AE046E" w:rsidRPr="00EA5799">
        <w:rPr>
          <w:rFonts w:ascii="Book Antiqua" w:eastAsia="GungsuhChe" w:hAnsi="Book Antiqua" w:cs="Arial"/>
          <w:lang w:val="en-US"/>
        </w:rPr>
        <w:t>ies,</w:t>
      </w:r>
      <w:r w:rsidR="001D3DF5" w:rsidRPr="00EA5799">
        <w:rPr>
          <w:rFonts w:ascii="Book Antiqua" w:eastAsia="GungsuhChe" w:hAnsi="Book Antiqua" w:cs="Arial"/>
          <w:lang w:val="en-US"/>
        </w:rPr>
        <w:t xml:space="preserve"> appear in less than half </w:t>
      </w:r>
      <w:r w:rsidR="00517B8E" w:rsidRPr="00EA5799">
        <w:rPr>
          <w:rFonts w:ascii="Book Antiqua" w:eastAsia="GungsuhChe" w:hAnsi="Book Antiqua" w:cs="Arial"/>
          <w:lang w:val="en-US"/>
        </w:rPr>
        <w:t xml:space="preserve">of adult </w:t>
      </w:r>
      <w:r w:rsidR="001D3DF5" w:rsidRPr="00EA5799">
        <w:rPr>
          <w:rFonts w:ascii="Book Antiqua" w:eastAsia="GungsuhChe" w:hAnsi="Book Antiqua" w:cs="Arial"/>
          <w:lang w:val="en-US"/>
        </w:rPr>
        <w:t>cases</w:t>
      </w:r>
      <w:r w:rsidR="00115973" w:rsidRPr="00EA5799">
        <w:rPr>
          <w:rFonts w:ascii="Book Antiqua" w:eastAsia="GungsuhChe" w:hAnsi="Book Antiqua" w:cs="Arial"/>
          <w:vertAlign w:val="superscript"/>
          <w:lang w:val="en-US"/>
        </w:rPr>
        <w:t>[21]</w:t>
      </w:r>
      <w:r w:rsidR="001D3DF5"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1D3DF5" w:rsidRPr="00EA5799">
        <w:rPr>
          <w:rFonts w:ascii="Book Antiqua" w:eastAsia="GungsuhChe" w:hAnsi="Book Antiqua" w:cs="Arial"/>
          <w:lang w:val="en-US"/>
        </w:rPr>
        <w:t xml:space="preserve">Besides, </w:t>
      </w:r>
      <w:r w:rsidR="00615845" w:rsidRPr="00EA5799">
        <w:rPr>
          <w:rFonts w:ascii="Book Antiqua" w:eastAsia="GungsuhChe" w:hAnsi="Book Antiqua" w:cs="Arial"/>
          <w:lang w:val="en-US"/>
        </w:rPr>
        <w:t xml:space="preserve">currently, when </w:t>
      </w:r>
      <w:r w:rsidR="00651102" w:rsidRPr="00EA5799">
        <w:rPr>
          <w:rFonts w:ascii="Book Antiqua" w:eastAsia="GungsuhChe" w:hAnsi="Book Antiqua" w:cs="Arial"/>
          <w:lang w:val="en-US"/>
        </w:rPr>
        <w:t xml:space="preserve">adult subjects present </w:t>
      </w:r>
      <w:r w:rsidR="001D3DF5" w:rsidRPr="00EA5799">
        <w:rPr>
          <w:rFonts w:ascii="Book Antiqua" w:eastAsia="GungsuhChe" w:hAnsi="Book Antiqua" w:cs="Arial"/>
          <w:lang w:val="en-US"/>
        </w:rPr>
        <w:t>symptoms such as dyspepsia</w:t>
      </w:r>
      <w:r w:rsidR="00615845" w:rsidRPr="00EA5799">
        <w:rPr>
          <w:rFonts w:ascii="Book Antiqua" w:eastAsia="GungsuhChe" w:hAnsi="Book Antiqua" w:cs="Arial"/>
          <w:lang w:val="en-US"/>
        </w:rPr>
        <w:t xml:space="preserve">, an upper endoscopy with duodenal biopsy is routinely performed independently of </w:t>
      </w:r>
      <w:r w:rsidR="0033286D" w:rsidRPr="00EA5799">
        <w:rPr>
          <w:rFonts w:ascii="Book Antiqua" w:eastAsia="GungsuhChe" w:hAnsi="Book Antiqua" w:cs="Arial"/>
          <w:lang w:val="en-US"/>
        </w:rPr>
        <w:t>CD</w:t>
      </w:r>
      <w:r w:rsidR="007A542F" w:rsidRPr="00EA5799">
        <w:rPr>
          <w:rFonts w:ascii="Book Antiqua" w:eastAsia="GungsuhChe" w:hAnsi="Book Antiqua" w:cs="Arial"/>
          <w:lang w:val="en-US"/>
        </w:rPr>
        <w:t xml:space="preserve"> </w:t>
      </w:r>
      <w:proofErr w:type="gramStart"/>
      <w:r w:rsidR="00615845" w:rsidRPr="00EA5799">
        <w:rPr>
          <w:rFonts w:ascii="Book Antiqua" w:eastAsia="GungsuhChe" w:hAnsi="Book Antiqua" w:cs="Arial"/>
          <w:lang w:val="en-US"/>
        </w:rPr>
        <w:t>serology</w:t>
      </w:r>
      <w:r w:rsidR="00115973" w:rsidRPr="00EA5799">
        <w:rPr>
          <w:rFonts w:ascii="Book Antiqua" w:eastAsia="GungsuhChe" w:hAnsi="Book Antiqua" w:cs="Arial"/>
          <w:vertAlign w:val="superscript"/>
          <w:lang w:val="en-US"/>
        </w:rPr>
        <w:t>[</w:t>
      </w:r>
      <w:proofErr w:type="gramEnd"/>
      <w:r w:rsidR="00115973" w:rsidRPr="00EA5799">
        <w:rPr>
          <w:rFonts w:ascii="Book Antiqua" w:eastAsia="GungsuhChe" w:hAnsi="Book Antiqua" w:cs="Arial"/>
          <w:vertAlign w:val="superscript"/>
          <w:lang w:val="en-US"/>
        </w:rPr>
        <w:t>18]</w:t>
      </w:r>
      <w:r w:rsidR="009A0FFC" w:rsidRPr="00EA5799">
        <w:rPr>
          <w:rFonts w:ascii="Book Antiqua" w:eastAsia="GungsuhChe" w:hAnsi="Book Antiqua" w:cs="Arial"/>
          <w:lang w:val="en-US"/>
        </w:rPr>
        <w:t>.</w:t>
      </w:r>
    </w:p>
    <w:p w14:paraId="5CE55752" w14:textId="6415CC66" w:rsidR="000756DF" w:rsidRPr="004F2A2C" w:rsidRDefault="00A83BAC" w:rsidP="004F2A2C">
      <w:pPr>
        <w:spacing w:after="0" w:line="360" w:lineRule="auto"/>
        <w:ind w:firstLineChars="100" w:firstLine="240"/>
        <w:jc w:val="both"/>
        <w:rPr>
          <w:rFonts w:ascii="Book Antiqua" w:eastAsia="宋体" w:hAnsi="Book Antiqua" w:cs="Arial"/>
          <w:lang w:val="en-US" w:eastAsia="zh-CN"/>
        </w:rPr>
      </w:pPr>
      <w:r w:rsidRPr="00EA5799">
        <w:rPr>
          <w:rFonts w:ascii="Book Antiqua" w:eastAsia="GungsuhChe" w:hAnsi="Book Antiqua" w:cs="Arial"/>
        </w:rPr>
        <w:t>Therefore, correct diagnosis can only be achieved on a few occasions, where high tTGA titers are present in adult patients</w:t>
      </w:r>
      <w:r w:rsidRPr="00EA5799">
        <w:rPr>
          <w:rFonts w:ascii="Book Antiqua" w:eastAsia="GungsuhChe" w:hAnsi="Book Antiqua" w:cs="Arial"/>
          <w:lang w:val="en-US"/>
        </w:rPr>
        <w:t xml:space="preserve">.  </w:t>
      </w:r>
      <w:r w:rsidR="00517B8E" w:rsidRPr="00EA5799">
        <w:rPr>
          <w:rFonts w:ascii="Book Antiqua" w:eastAsia="GungsuhChe" w:hAnsi="Book Antiqua" w:cs="Arial"/>
          <w:lang w:val="en-US"/>
        </w:rPr>
        <w:t xml:space="preserve">For </w:t>
      </w:r>
      <w:r w:rsidR="001B3F4C" w:rsidRPr="00EA5799">
        <w:rPr>
          <w:rFonts w:ascii="Book Antiqua" w:eastAsia="GungsuhChe" w:hAnsi="Book Antiqua" w:cs="Arial"/>
          <w:lang w:val="en-US"/>
        </w:rPr>
        <w:t xml:space="preserve">low titers, </w:t>
      </w:r>
      <w:r w:rsidR="007A542F" w:rsidRPr="00EA5799">
        <w:rPr>
          <w:rFonts w:ascii="Book Antiqua" w:eastAsia="GungsuhChe" w:hAnsi="Book Antiqua" w:cs="Arial"/>
          <w:lang w:val="en-US"/>
        </w:rPr>
        <w:t>duodenal biopsies have</w:t>
      </w:r>
      <w:r w:rsidR="001B3F4C" w:rsidRPr="00EA5799">
        <w:rPr>
          <w:rFonts w:ascii="Book Antiqua" w:eastAsia="GungsuhChe" w:hAnsi="Book Antiqua" w:cs="Arial"/>
          <w:lang w:val="en-US"/>
        </w:rPr>
        <w:t xml:space="preserve"> to be performed to verify histological damage and </w:t>
      </w:r>
      <w:r w:rsidR="00517B8E" w:rsidRPr="00EA5799">
        <w:rPr>
          <w:rFonts w:ascii="Book Antiqua" w:eastAsia="GungsuhChe" w:hAnsi="Book Antiqua" w:cs="Arial"/>
          <w:lang w:val="en-US"/>
        </w:rPr>
        <w:t xml:space="preserve">begin a </w:t>
      </w:r>
      <w:r w:rsidR="001B3F4C" w:rsidRPr="00EA5799">
        <w:rPr>
          <w:rFonts w:ascii="Book Antiqua" w:eastAsia="GungsuhChe" w:hAnsi="Book Antiqua" w:cs="Arial"/>
          <w:lang w:val="en-US"/>
        </w:rPr>
        <w:t>gluten-free diet.</w:t>
      </w:r>
      <w:r w:rsidR="002E569F" w:rsidRPr="00EA5799">
        <w:rPr>
          <w:rFonts w:ascii="Book Antiqua" w:eastAsia="GungsuhChe" w:hAnsi="Book Antiqua" w:cs="Arial"/>
          <w:lang w:val="en-US"/>
        </w:rPr>
        <w:t xml:space="preserve"> </w:t>
      </w:r>
      <w:r w:rsidR="001B3F4C" w:rsidRPr="00EA5799">
        <w:rPr>
          <w:rFonts w:ascii="Book Antiqua" w:eastAsia="GungsuhChe" w:hAnsi="Book Antiqua" w:cs="Arial"/>
          <w:lang w:val="en-US"/>
        </w:rPr>
        <w:t>However, adult patient</w:t>
      </w:r>
      <w:r w:rsidR="0033286D" w:rsidRPr="00EA5799">
        <w:rPr>
          <w:rFonts w:ascii="Book Antiqua" w:eastAsia="GungsuhChe" w:hAnsi="Book Antiqua" w:cs="Arial"/>
          <w:lang w:val="en-US"/>
        </w:rPr>
        <w:t>s</w:t>
      </w:r>
      <w:r w:rsidR="001B3F4C" w:rsidRPr="00EA5799">
        <w:rPr>
          <w:rFonts w:ascii="Book Antiqua" w:eastAsia="GungsuhChe" w:hAnsi="Book Antiqua" w:cs="Arial"/>
          <w:lang w:val="en-US"/>
        </w:rPr>
        <w:t xml:space="preserve"> with symptoms and serology</w:t>
      </w:r>
      <w:r w:rsidR="0033286D" w:rsidRPr="00EA5799">
        <w:rPr>
          <w:rFonts w:ascii="Book Antiqua" w:eastAsia="GungsuhChe" w:hAnsi="Book Antiqua" w:cs="Arial"/>
          <w:lang w:val="en-US"/>
        </w:rPr>
        <w:t xml:space="preserve"> could have two types of ent</w:t>
      </w:r>
      <w:r w:rsidR="008257F5" w:rsidRPr="00EA5799">
        <w:rPr>
          <w:rFonts w:ascii="Book Antiqua" w:eastAsia="GungsuhChe" w:hAnsi="Book Antiqua" w:cs="Arial"/>
          <w:lang w:val="en-US"/>
        </w:rPr>
        <w:t>eropathies based o</w:t>
      </w:r>
      <w:r w:rsidR="0033286D" w:rsidRPr="00EA5799">
        <w:rPr>
          <w:rFonts w:ascii="Book Antiqua" w:eastAsia="GungsuhChe" w:hAnsi="Book Antiqua" w:cs="Arial"/>
          <w:lang w:val="en-US"/>
        </w:rPr>
        <w:t>n duodenal biopsy</w:t>
      </w:r>
      <w:r w:rsidR="00517B8E" w:rsidRPr="00EA5799">
        <w:rPr>
          <w:rFonts w:ascii="Book Antiqua" w:eastAsia="GungsuhChe" w:hAnsi="Book Antiqua" w:cs="Arial"/>
          <w:lang w:val="en-US"/>
        </w:rPr>
        <w:t>:</w:t>
      </w:r>
      <w:r w:rsidR="004F2A2C">
        <w:rPr>
          <w:rFonts w:ascii="Book Antiqua" w:eastAsia="宋体" w:hAnsi="Book Antiqua" w:cs="Arial" w:hint="eastAsia"/>
          <w:lang w:val="en-US" w:eastAsia="zh-CN"/>
        </w:rPr>
        <w:t xml:space="preserve"> (1) </w:t>
      </w:r>
      <w:r w:rsidR="009F1E31" w:rsidRPr="00EA5799">
        <w:rPr>
          <w:rFonts w:ascii="Book Antiqua" w:eastAsia="GungsuhChe" w:hAnsi="Book Antiqua" w:cs="Arial"/>
          <w:lang w:val="en-US"/>
        </w:rPr>
        <w:t>Duodenal mucosa with slight villous atrophy and increase</w:t>
      </w:r>
      <w:r w:rsidR="000C6EA9" w:rsidRPr="00EA5799">
        <w:rPr>
          <w:rFonts w:ascii="Book Antiqua" w:eastAsia="GungsuhChe" w:hAnsi="Book Antiqua" w:cs="Arial"/>
          <w:lang w:val="en-US"/>
        </w:rPr>
        <w:t>d</w:t>
      </w:r>
      <w:r w:rsidR="009F1E31" w:rsidRPr="00EA5799">
        <w:rPr>
          <w:rFonts w:ascii="Book Antiqua" w:eastAsia="GungsuhChe" w:hAnsi="Book Antiqua" w:cs="Arial"/>
          <w:lang w:val="en-US"/>
        </w:rPr>
        <w:t xml:space="preserve"> intraepithelial lymphocytes (Marsh 3A).</w:t>
      </w:r>
      <w:r w:rsidR="002E569F" w:rsidRPr="00EA5799">
        <w:rPr>
          <w:rFonts w:ascii="Book Antiqua" w:eastAsia="GungsuhChe" w:hAnsi="Book Antiqua" w:cs="Arial"/>
          <w:lang w:val="en-US"/>
        </w:rPr>
        <w:t xml:space="preserve"> </w:t>
      </w:r>
      <w:r w:rsidR="00DC4BA3" w:rsidRPr="00EA5799">
        <w:rPr>
          <w:rFonts w:ascii="Book Antiqua" w:eastAsia="GungsuhChe" w:hAnsi="Book Antiqua" w:cs="Arial"/>
          <w:lang w:val="en-US"/>
        </w:rPr>
        <w:t>When a</w:t>
      </w:r>
      <w:r w:rsidR="009F1E31" w:rsidRPr="00EA5799">
        <w:rPr>
          <w:rFonts w:ascii="Book Antiqua" w:eastAsia="GungsuhChe" w:hAnsi="Book Antiqua" w:cs="Arial"/>
          <w:lang w:val="en-US"/>
        </w:rPr>
        <w:t xml:space="preserve"> DQ2 or DQ8 HLA genotype</w:t>
      </w:r>
      <w:r w:rsidR="00DC4BA3" w:rsidRPr="00EA5799">
        <w:rPr>
          <w:rFonts w:ascii="Book Antiqua" w:eastAsia="GungsuhChe" w:hAnsi="Book Antiqua" w:cs="Arial"/>
          <w:lang w:val="en-US"/>
        </w:rPr>
        <w:t xml:space="preserve"> is found</w:t>
      </w:r>
      <w:r w:rsidR="009F1E31" w:rsidRPr="00EA5799">
        <w:rPr>
          <w:rFonts w:ascii="Book Antiqua" w:eastAsia="GungsuhChe" w:hAnsi="Book Antiqua" w:cs="Arial"/>
          <w:lang w:val="en-US"/>
        </w:rPr>
        <w:t xml:space="preserve">, </w:t>
      </w:r>
      <w:r w:rsidR="005E5B9A" w:rsidRPr="00EA5799">
        <w:rPr>
          <w:rFonts w:ascii="Book Antiqua" w:eastAsia="GungsuhChe" w:hAnsi="Book Antiqua" w:cs="Arial"/>
          <w:lang w:val="en-US"/>
        </w:rPr>
        <w:t xml:space="preserve">the patient should be put on </w:t>
      </w:r>
      <w:r w:rsidR="009F1E31" w:rsidRPr="00EA5799">
        <w:rPr>
          <w:rFonts w:ascii="Book Antiqua" w:eastAsia="GungsuhChe" w:hAnsi="Book Antiqua" w:cs="Arial"/>
          <w:lang w:val="en-US"/>
        </w:rPr>
        <w:t>a gluten-free diet</w:t>
      </w:r>
      <w:r w:rsidR="005E5B9A" w:rsidRPr="00EA5799">
        <w:rPr>
          <w:rFonts w:ascii="Book Antiqua" w:eastAsia="GungsuhChe" w:hAnsi="Book Antiqua" w:cs="Arial"/>
          <w:lang w:val="en-US"/>
        </w:rPr>
        <w:t>,</w:t>
      </w:r>
      <w:r w:rsidR="009F1E31" w:rsidRPr="00EA5799">
        <w:rPr>
          <w:rFonts w:ascii="Book Antiqua" w:eastAsia="GungsuhChe" w:hAnsi="Book Antiqua" w:cs="Arial"/>
          <w:lang w:val="en-US"/>
        </w:rPr>
        <w:t xml:space="preserve"> and the clinical and histological response</w:t>
      </w:r>
      <w:r w:rsidR="00A7144E" w:rsidRPr="00EA5799">
        <w:rPr>
          <w:rFonts w:ascii="Book Antiqua" w:eastAsia="GungsuhChe" w:hAnsi="Book Antiqua" w:cs="Arial"/>
          <w:lang w:val="en-US"/>
        </w:rPr>
        <w:t xml:space="preserve"> must be </w:t>
      </w:r>
      <w:r w:rsidR="005E5B9A" w:rsidRPr="00EA5799">
        <w:rPr>
          <w:rFonts w:ascii="Book Antiqua" w:eastAsia="GungsuhChe" w:hAnsi="Book Antiqua" w:cs="Arial"/>
          <w:lang w:val="en-US"/>
        </w:rPr>
        <w:t xml:space="preserve">subsequently </w:t>
      </w:r>
      <w:r w:rsidR="00A7144E" w:rsidRPr="00EA5799">
        <w:rPr>
          <w:rFonts w:ascii="Book Antiqua" w:eastAsia="GungsuhChe" w:hAnsi="Book Antiqua" w:cs="Arial"/>
          <w:lang w:val="en-US"/>
        </w:rPr>
        <w:t>evaluated</w:t>
      </w:r>
      <w:r w:rsidR="009F1E31"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9F1E31" w:rsidRPr="00EA5799">
        <w:rPr>
          <w:rFonts w:ascii="Book Antiqua" w:eastAsia="GungsuhChe" w:hAnsi="Book Antiqua" w:cs="Arial"/>
          <w:lang w:val="en-US"/>
        </w:rPr>
        <w:t>T</w:t>
      </w:r>
      <w:r w:rsidR="00704CB7" w:rsidRPr="00EA5799">
        <w:rPr>
          <w:rFonts w:ascii="Book Antiqua" w:eastAsia="GungsuhChe" w:hAnsi="Book Antiqua" w:cs="Arial"/>
          <w:lang w:val="en-US"/>
        </w:rPr>
        <w:t>h</w:t>
      </w:r>
      <w:r w:rsidR="009F1E31" w:rsidRPr="00EA5799">
        <w:rPr>
          <w:rFonts w:ascii="Book Antiqua" w:eastAsia="GungsuhChe" w:hAnsi="Book Antiqua" w:cs="Arial"/>
          <w:lang w:val="en-US"/>
        </w:rPr>
        <w:t>us</w:t>
      </w:r>
      <w:r w:rsidR="001248E5" w:rsidRPr="00EA5799">
        <w:rPr>
          <w:rFonts w:ascii="Book Antiqua" w:eastAsia="GungsuhChe" w:hAnsi="Book Antiqua" w:cs="Arial"/>
          <w:lang w:val="en-US"/>
        </w:rPr>
        <w:t>,</w:t>
      </w:r>
      <w:r w:rsidR="009F1E31" w:rsidRPr="00EA5799">
        <w:rPr>
          <w:rFonts w:ascii="Book Antiqua" w:eastAsia="GungsuhChe" w:hAnsi="Book Antiqua" w:cs="Arial"/>
          <w:lang w:val="en-US"/>
        </w:rPr>
        <w:t xml:space="preserve"> </w:t>
      </w:r>
      <w:r w:rsidR="00DC4BA3" w:rsidRPr="00EA5799">
        <w:rPr>
          <w:rFonts w:ascii="Book Antiqua" w:eastAsia="GungsuhChe" w:hAnsi="Book Antiqua" w:cs="Arial"/>
          <w:lang w:val="en-US"/>
        </w:rPr>
        <w:t xml:space="preserve">4 out of the 5 criteria </w:t>
      </w:r>
      <w:r w:rsidR="00AC3C0C" w:rsidRPr="00EA5799">
        <w:rPr>
          <w:rFonts w:ascii="Book Antiqua" w:eastAsia="GungsuhChe" w:hAnsi="Book Antiqua" w:cs="Arial"/>
          <w:lang w:val="en-US"/>
        </w:rPr>
        <w:t>for gluten-sensitive enteropathy diagnosis</w:t>
      </w:r>
      <w:r w:rsidR="005E5B9A" w:rsidRPr="00EA5799">
        <w:rPr>
          <w:rFonts w:ascii="Book Antiqua" w:eastAsia="GungsuhChe" w:hAnsi="Book Antiqua" w:cs="Arial"/>
          <w:lang w:val="en-US"/>
        </w:rPr>
        <w:t>,</w:t>
      </w:r>
      <w:r w:rsidR="00AC3C0C" w:rsidRPr="00EA5799">
        <w:rPr>
          <w:rFonts w:ascii="Book Antiqua" w:eastAsia="GungsuhChe" w:hAnsi="Book Antiqua" w:cs="Arial"/>
          <w:lang w:val="en-US"/>
        </w:rPr>
        <w:t xml:space="preserve"> </w:t>
      </w:r>
      <w:r w:rsidR="00DC4BA3" w:rsidRPr="00EA5799">
        <w:rPr>
          <w:rFonts w:ascii="Book Antiqua" w:eastAsia="GungsuhChe" w:hAnsi="Book Antiqua" w:cs="Arial"/>
          <w:lang w:val="en-US"/>
        </w:rPr>
        <w:t xml:space="preserve">proposed by </w:t>
      </w:r>
      <w:proofErr w:type="spellStart"/>
      <w:r w:rsidR="00803287" w:rsidRPr="00EA5799">
        <w:rPr>
          <w:rFonts w:ascii="Book Antiqua" w:eastAsia="GungsuhChe" w:hAnsi="Book Antiqua" w:cs="Arial"/>
          <w:lang w:val="en-US"/>
        </w:rPr>
        <w:t>Catassi</w:t>
      </w:r>
      <w:proofErr w:type="spellEnd"/>
      <w:r w:rsidR="00803287" w:rsidRPr="00EA5799">
        <w:rPr>
          <w:rFonts w:ascii="Book Antiqua" w:eastAsia="GungsuhChe" w:hAnsi="Book Antiqua" w:cs="Arial"/>
          <w:lang w:val="en-US"/>
        </w:rPr>
        <w:t xml:space="preserve"> </w:t>
      </w:r>
      <w:r w:rsidR="000C6EA9" w:rsidRPr="00EA5799">
        <w:rPr>
          <w:rFonts w:ascii="Book Antiqua" w:eastAsia="GungsuhChe" w:hAnsi="Book Antiqua" w:cs="Arial"/>
          <w:lang w:val="en-US"/>
        </w:rPr>
        <w:t>and</w:t>
      </w:r>
      <w:r w:rsidR="00803287" w:rsidRPr="00EA5799">
        <w:rPr>
          <w:rFonts w:ascii="Book Antiqua" w:eastAsia="GungsuhChe" w:hAnsi="Book Antiqua" w:cs="Arial"/>
          <w:lang w:val="en-US"/>
        </w:rPr>
        <w:t xml:space="preserve"> Fasano</w:t>
      </w:r>
      <w:r w:rsidR="005E5B9A" w:rsidRPr="00EA5799">
        <w:rPr>
          <w:rFonts w:ascii="Book Antiqua" w:eastAsia="GungsuhChe" w:hAnsi="Book Antiqua" w:cs="Arial"/>
          <w:lang w:val="en-US"/>
        </w:rPr>
        <w:t>,</w:t>
      </w:r>
      <w:r w:rsidR="00803287" w:rsidRPr="00EA5799">
        <w:rPr>
          <w:rFonts w:ascii="Book Antiqua" w:eastAsia="GungsuhChe" w:hAnsi="Book Antiqua" w:cs="Arial"/>
          <w:lang w:val="en-US"/>
        </w:rPr>
        <w:t xml:space="preserve"> </w:t>
      </w:r>
      <w:r w:rsidR="00AC3C0C" w:rsidRPr="00EA5799">
        <w:rPr>
          <w:rFonts w:ascii="Book Antiqua" w:eastAsia="GungsuhChe" w:hAnsi="Book Antiqua" w:cs="Arial"/>
          <w:lang w:val="en-US"/>
        </w:rPr>
        <w:t>would be fulfilled</w:t>
      </w:r>
      <w:r w:rsidR="00803287" w:rsidRPr="00EA5799">
        <w:rPr>
          <w:rFonts w:ascii="Book Antiqua" w:eastAsia="GungsuhChe" w:hAnsi="Book Antiqua" w:cs="Arial"/>
          <w:lang w:val="en-US"/>
        </w:rPr>
        <w:t xml:space="preserve"> (Tabl</w:t>
      </w:r>
      <w:r w:rsidR="00AC3C0C" w:rsidRPr="00EA5799">
        <w:rPr>
          <w:rFonts w:ascii="Book Antiqua" w:eastAsia="GungsuhChe" w:hAnsi="Book Antiqua" w:cs="Arial"/>
          <w:lang w:val="en-US"/>
        </w:rPr>
        <w:t>e</w:t>
      </w:r>
      <w:r w:rsidR="00803287" w:rsidRPr="00EA5799">
        <w:rPr>
          <w:rFonts w:ascii="Book Antiqua" w:eastAsia="GungsuhChe" w:hAnsi="Book Antiqua" w:cs="Arial"/>
          <w:lang w:val="en-US"/>
        </w:rPr>
        <w:t xml:space="preserve"> 2)</w:t>
      </w:r>
      <w:r w:rsidR="00115973" w:rsidRPr="00EA5799">
        <w:rPr>
          <w:rFonts w:ascii="Book Antiqua" w:eastAsia="GungsuhChe" w:hAnsi="Book Antiqua" w:cs="Arial"/>
          <w:vertAlign w:val="superscript"/>
          <w:lang w:val="en-US"/>
        </w:rPr>
        <w:t>[22]</w:t>
      </w:r>
      <w:proofErr w:type="gramStart"/>
      <w:r w:rsidR="004F2A2C">
        <w:rPr>
          <w:rFonts w:ascii="Book Antiqua" w:eastAsia="宋体" w:hAnsi="Book Antiqua" w:cs="Arial" w:hint="eastAsia"/>
          <w:lang w:val="en-US" w:eastAsia="zh-CN"/>
        </w:rPr>
        <w:t>;</w:t>
      </w:r>
      <w:proofErr w:type="gramEnd"/>
      <w:r w:rsidR="004F2A2C">
        <w:rPr>
          <w:rFonts w:ascii="Book Antiqua" w:eastAsia="宋体" w:hAnsi="Book Antiqua" w:cs="Arial" w:hint="eastAsia"/>
          <w:lang w:val="en-US" w:eastAsia="zh-CN"/>
        </w:rPr>
        <w:t xml:space="preserve"> and (2) </w:t>
      </w:r>
      <w:r w:rsidR="00AC3C0C" w:rsidRPr="00EA5799">
        <w:rPr>
          <w:rFonts w:ascii="Book Antiqua" w:eastAsia="GungsuhChe" w:hAnsi="Book Antiqua" w:cs="Arial"/>
          <w:lang w:val="en-US"/>
        </w:rPr>
        <w:t>Mucosa with no villous atrophy</w:t>
      </w:r>
      <w:r w:rsidR="005E5B9A" w:rsidRPr="00EA5799">
        <w:rPr>
          <w:rFonts w:ascii="Book Antiqua" w:eastAsia="GungsuhChe" w:hAnsi="Book Antiqua" w:cs="Arial"/>
          <w:lang w:val="en-US"/>
        </w:rPr>
        <w:t>,</w:t>
      </w:r>
      <w:r w:rsidR="00AC3C0C" w:rsidRPr="00EA5799">
        <w:rPr>
          <w:rFonts w:ascii="Book Antiqua" w:eastAsia="GungsuhChe" w:hAnsi="Book Antiqua" w:cs="Arial"/>
          <w:lang w:val="en-US"/>
        </w:rPr>
        <w:t xml:space="preserve"> but with a </w:t>
      </w:r>
      <w:r w:rsidR="00DB4217" w:rsidRPr="00EA5799">
        <w:rPr>
          <w:rFonts w:ascii="Book Antiqua" w:eastAsia="GungsuhChe" w:hAnsi="Book Antiqua" w:cs="Arial"/>
          <w:lang w:val="en-US"/>
        </w:rPr>
        <w:t>marked</w:t>
      </w:r>
      <w:r w:rsidR="00AC3C0C" w:rsidRPr="00EA5799">
        <w:rPr>
          <w:rFonts w:ascii="Book Antiqua" w:eastAsia="GungsuhChe" w:hAnsi="Book Antiqua" w:cs="Arial"/>
          <w:lang w:val="en-US"/>
        </w:rPr>
        <w:t xml:space="preserve"> </w:t>
      </w:r>
      <w:r w:rsidR="002754B5" w:rsidRPr="00EA5799">
        <w:rPr>
          <w:rFonts w:ascii="Book Antiqua" w:eastAsia="GungsuhChe" w:hAnsi="Book Antiqua" w:cs="Arial"/>
          <w:lang w:val="en-US"/>
        </w:rPr>
        <w:t>increase</w:t>
      </w:r>
      <w:r w:rsidR="00AC3C0C" w:rsidRPr="00EA5799">
        <w:rPr>
          <w:rFonts w:ascii="Book Antiqua" w:eastAsia="GungsuhChe" w:hAnsi="Book Antiqua" w:cs="Arial"/>
          <w:lang w:val="en-US"/>
        </w:rPr>
        <w:t xml:space="preserve"> </w:t>
      </w:r>
      <w:r w:rsidR="005E5B9A" w:rsidRPr="00EA5799">
        <w:rPr>
          <w:rFonts w:ascii="Book Antiqua" w:eastAsia="GungsuhChe" w:hAnsi="Book Antiqua" w:cs="Arial"/>
          <w:lang w:val="en-US"/>
        </w:rPr>
        <w:t xml:space="preserve">in </w:t>
      </w:r>
      <w:r w:rsidR="00AC3C0C" w:rsidRPr="00EA5799">
        <w:rPr>
          <w:rFonts w:ascii="Book Antiqua" w:eastAsia="GungsuhChe" w:hAnsi="Book Antiqua" w:cs="Arial"/>
          <w:lang w:val="en-US"/>
        </w:rPr>
        <w:t xml:space="preserve">intraepithelial </w:t>
      </w:r>
      <w:r w:rsidR="00AC3C0C" w:rsidRPr="00EA5799">
        <w:rPr>
          <w:rFonts w:ascii="Book Antiqua" w:eastAsia="GungsuhChe" w:hAnsi="Book Antiqua" w:cs="Arial"/>
          <w:lang w:val="en-US"/>
        </w:rPr>
        <w:lastRenderedPageBreak/>
        <w:t>lymphocytes</w:t>
      </w:r>
      <w:r w:rsidR="00803287" w:rsidRPr="00EA5799">
        <w:rPr>
          <w:rFonts w:ascii="Book Antiqua" w:eastAsia="GungsuhChe" w:hAnsi="Book Antiqua" w:cs="Arial"/>
          <w:lang w:val="en-US"/>
        </w:rPr>
        <w:t xml:space="preserve"> (&gt;</w:t>
      </w:r>
      <w:r w:rsidR="004F2A2C">
        <w:rPr>
          <w:rFonts w:ascii="Book Antiqua" w:eastAsia="宋体" w:hAnsi="Book Antiqua" w:cs="Arial" w:hint="eastAsia"/>
          <w:lang w:val="en-US" w:eastAsia="zh-CN"/>
        </w:rPr>
        <w:t xml:space="preserve"> </w:t>
      </w:r>
      <w:r w:rsidR="00803287" w:rsidRPr="00EA5799">
        <w:rPr>
          <w:rFonts w:ascii="Book Antiqua" w:eastAsia="GungsuhChe" w:hAnsi="Book Antiqua" w:cs="Arial"/>
          <w:lang w:val="en-US"/>
        </w:rPr>
        <w:t>25 LIE/100 enteroc</w:t>
      </w:r>
      <w:r w:rsidR="002754B5" w:rsidRPr="00EA5799">
        <w:rPr>
          <w:rFonts w:ascii="Book Antiqua" w:eastAsia="GungsuhChe" w:hAnsi="Book Antiqua" w:cs="Arial"/>
          <w:lang w:val="en-US"/>
        </w:rPr>
        <w:t>ytes</w:t>
      </w:r>
      <w:r w:rsidR="00803287"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5E5B9A" w:rsidRPr="00EA5799">
        <w:rPr>
          <w:rFonts w:ascii="Book Antiqua" w:eastAsia="GungsuhChe" w:hAnsi="Book Antiqua" w:cs="Arial"/>
          <w:lang w:val="en-US"/>
        </w:rPr>
        <w:t>Such cases present</w:t>
      </w:r>
      <w:r w:rsidR="00DE040D" w:rsidRPr="00EA5799">
        <w:rPr>
          <w:rFonts w:ascii="Book Antiqua" w:eastAsia="GungsuhChe" w:hAnsi="Book Antiqua" w:cs="Arial"/>
          <w:lang w:val="en-US"/>
        </w:rPr>
        <w:t xml:space="preserve"> lymphocytic enteritis </w:t>
      </w:r>
      <w:r w:rsidR="00794476" w:rsidRPr="00EA5799">
        <w:rPr>
          <w:rFonts w:ascii="Book Antiqua" w:eastAsia="GungsuhChe" w:hAnsi="Book Antiqua" w:cs="Arial"/>
          <w:lang w:val="en-US"/>
        </w:rPr>
        <w:t xml:space="preserve">(Marsh I) </w:t>
      </w:r>
      <w:r w:rsidR="005E5B9A" w:rsidRPr="00EA5799">
        <w:rPr>
          <w:rFonts w:ascii="Book Antiqua" w:eastAsia="GungsuhChe" w:hAnsi="Book Antiqua" w:cs="Arial"/>
          <w:lang w:val="en-US"/>
        </w:rPr>
        <w:t xml:space="preserve">with diverse </w:t>
      </w:r>
      <w:r w:rsidR="00DE040D" w:rsidRPr="00EA5799">
        <w:rPr>
          <w:rFonts w:ascii="Book Antiqua" w:eastAsia="GungsuhChe" w:hAnsi="Book Antiqua" w:cs="Arial"/>
          <w:lang w:val="en-US"/>
        </w:rPr>
        <w:t>etiolog</w:t>
      </w:r>
      <w:r w:rsidR="005E5B9A" w:rsidRPr="00EA5799">
        <w:rPr>
          <w:rFonts w:ascii="Book Antiqua" w:eastAsia="GungsuhChe" w:hAnsi="Book Antiqua" w:cs="Arial"/>
          <w:lang w:val="en-US"/>
        </w:rPr>
        <w:t>ies</w:t>
      </w:r>
      <w:r w:rsidR="00DE040D" w:rsidRPr="00EA5799">
        <w:rPr>
          <w:rFonts w:ascii="Book Antiqua" w:eastAsia="GungsuhChe" w:hAnsi="Book Antiqua" w:cs="Arial"/>
          <w:lang w:val="en-US"/>
        </w:rPr>
        <w:t xml:space="preserve"> </w:t>
      </w:r>
      <w:r w:rsidR="005E5B9A" w:rsidRPr="00EA5799">
        <w:rPr>
          <w:rFonts w:ascii="Book Antiqua" w:eastAsia="GungsuhChe" w:hAnsi="Book Antiqua" w:cs="Arial"/>
          <w:lang w:val="en-US"/>
        </w:rPr>
        <w:t xml:space="preserve">that are </w:t>
      </w:r>
      <w:r w:rsidR="00DE040D" w:rsidRPr="00EA5799">
        <w:rPr>
          <w:rFonts w:ascii="Book Antiqua" w:eastAsia="GungsuhChe" w:hAnsi="Book Antiqua" w:cs="Arial"/>
          <w:lang w:val="en-US"/>
        </w:rPr>
        <w:t>independent o</w:t>
      </w:r>
      <w:r w:rsidR="00230056" w:rsidRPr="00EA5799">
        <w:rPr>
          <w:rFonts w:ascii="Book Antiqua" w:eastAsia="GungsuhChe" w:hAnsi="Book Antiqua" w:cs="Arial"/>
          <w:lang w:val="en-US"/>
        </w:rPr>
        <w:t>f CD:</w:t>
      </w:r>
      <w:r w:rsidR="002E569F" w:rsidRPr="00EA5799">
        <w:rPr>
          <w:rFonts w:ascii="Book Antiqua" w:eastAsia="GungsuhChe" w:hAnsi="Book Antiqua" w:cs="Arial"/>
          <w:lang w:val="en-US"/>
        </w:rPr>
        <w:t xml:space="preserve"> </w:t>
      </w:r>
      <w:r w:rsidR="00803287" w:rsidRPr="00EA5799">
        <w:rPr>
          <w:rFonts w:ascii="Book Antiqua" w:eastAsia="GungsuhChe" w:hAnsi="Book Antiqua" w:cs="Arial"/>
          <w:i/>
          <w:lang w:val="en-US"/>
        </w:rPr>
        <w:t>Helicobacter pylori</w:t>
      </w:r>
      <w:r w:rsidR="00230056" w:rsidRPr="00EA5799">
        <w:rPr>
          <w:rFonts w:ascii="Book Antiqua" w:eastAsia="GungsuhChe" w:hAnsi="Book Antiqua" w:cs="Arial"/>
          <w:lang w:val="en-US"/>
        </w:rPr>
        <w:t xml:space="preserve"> infection</w:t>
      </w:r>
      <w:r w:rsidR="00803287" w:rsidRPr="00EA5799">
        <w:rPr>
          <w:rFonts w:ascii="Book Antiqua" w:eastAsia="GungsuhChe" w:hAnsi="Book Antiqua" w:cs="Arial"/>
          <w:lang w:val="en-US"/>
        </w:rPr>
        <w:t xml:space="preserve">, </w:t>
      </w:r>
      <w:r w:rsidR="00230056" w:rsidRPr="00EA5799">
        <w:rPr>
          <w:rFonts w:ascii="Book Antiqua" w:eastAsia="GungsuhChe" w:hAnsi="Book Antiqua" w:cs="Arial"/>
          <w:lang w:val="en-US"/>
        </w:rPr>
        <w:t>NSAID in</w:t>
      </w:r>
      <w:r w:rsidR="001248E5" w:rsidRPr="00EA5799">
        <w:rPr>
          <w:rFonts w:ascii="Book Antiqua" w:eastAsia="GungsuhChe" w:hAnsi="Book Antiqua" w:cs="Arial"/>
          <w:lang w:val="en-US"/>
        </w:rPr>
        <w:t>take</w:t>
      </w:r>
      <w:r w:rsidR="00230056" w:rsidRPr="00EA5799">
        <w:rPr>
          <w:rFonts w:ascii="Book Antiqua" w:eastAsia="GungsuhChe" w:hAnsi="Book Antiqua" w:cs="Arial"/>
          <w:lang w:val="en-US"/>
        </w:rPr>
        <w:t xml:space="preserve">, infections or </w:t>
      </w:r>
      <w:r w:rsidR="00803287" w:rsidRPr="00EA5799">
        <w:rPr>
          <w:rFonts w:ascii="Book Antiqua" w:eastAsia="GungsuhChe" w:hAnsi="Book Antiqua" w:cs="Arial"/>
          <w:lang w:val="en-US"/>
        </w:rPr>
        <w:t>Crohn</w:t>
      </w:r>
      <w:r w:rsidR="00230056" w:rsidRPr="00EA5799">
        <w:rPr>
          <w:rFonts w:ascii="Book Antiqua" w:eastAsia="GungsuhChe" w:hAnsi="Book Antiqua" w:cs="Arial"/>
          <w:lang w:val="en-US"/>
        </w:rPr>
        <w:t>’s disease, among others</w:t>
      </w:r>
      <w:r w:rsidR="00803287"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230056" w:rsidRPr="00EA5799">
        <w:rPr>
          <w:rFonts w:ascii="Book Antiqua" w:eastAsia="GungsuhChe" w:hAnsi="Book Antiqua" w:cs="Arial"/>
          <w:lang w:val="en-US"/>
        </w:rPr>
        <w:t xml:space="preserve">If </w:t>
      </w:r>
      <w:r w:rsidR="00D01EE1" w:rsidRPr="00EA5799">
        <w:rPr>
          <w:rFonts w:ascii="Book Antiqua" w:eastAsia="GungsuhChe" w:hAnsi="Book Antiqua" w:cs="Arial"/>
          <w:lang w:val="en-US"/>
        </w:rPr>
        <w:t>none</w:t>
      </w:r>
      <w:r w:rsidR="00230056" w:rsidRPr="00EA5799">
        <w:rPr>
          <w:rFonts w:ascii="Book Antiqua" w:eastAsia="GungsuhChe" w:hAnsi="Book Antiqua" w:cs="Arial"/>
          <w:lang w:val="en-US"/>
        </w:rPr>
        <w:t xml:space="preserve"> of these conditions</w:t>
      </w:r>
      <w:r w:rsidR="00D01EE1" w:rsidRPr="00EA5799">
        <w:rPr>
          <w:rFonts w:ascii="Book Antiqua" w:eastAsia="GungsuhChe" w:hAnsi="Book Antiqua" w:cs="Arial"/>
          <w:lang w:val="en-US"/>
        </w:rPr>
        <w:t xml:space="preserve"> are suspected, and the patient has</w:t>
      </w:r>
      <w:r w:rsidR="00765922" w:rsidRPr="00EA5799">
        <w:rPr>
          <w:rFonts w:ascii="Book Antiqua" w:eastAsia="GungsuhChe" w:hAnsi="Book Antiqua" w:cs="Arial"/>
          <w:lang w:val="en-US"/>
        </w:rPr>
        <w:t xml:space="preserve"> a CD-compatible HLA genotype, the biopsy study can be </w:t>
      </w:r>
      <w:r w:rsidR="007A542F" w:rsidRPr="00EA5799">
        <w:rPr>
          <w:rFonts w:ascii="Book Antiqua" w:eastAsia="GungsuhChe" w:hAnsi="Book Antiqua" w:cs="Arial"/>
          <w:lang w:val="en-US"/>
        </w:rPr>
        <w:t>extended</w:t>
      </w:r>
      <w:r w:rsidR="00625DD2" w:rsidRPr="00EA5799">
        <w:rPr>
          <w:rFonts w:ascii="Book Antiqua" w:eastAsia="GungsuhChe" w:hAnsi="Book Antiqua" w:cs="Arial"/>
          <w:lang w:val="en-US"/>
        </w:rPr>
        <w:t xml:space="preserve"> by</w:t>
      </w:r>
      <w:r w:rsidR="000756DF" w:rsidRPr="00EA5799">
        <w:rPr>
          <w:rFonts w:ascii="Book Antiqua" w:eastAsia="GungsuhChe" w:hAnsi="Book Antiqua" w:cs="Arial"/>
          <w:lang w:val="en-US"/>
        </w:rPr>
        <w:t>:</w:t>
      </w:r>
      <w:r w:rsidR="004F2A2C">
        <w:rPr>
          <w:rFonts w:ascii="Book Antiqua" w:eastAsia="宋体" w:hAnsi="Book Antiqua" w:cs="Arial" w:hint="eastAsia"/>
          <w:lang w:val="en-US" w:eastAsia="zh-CN"/>
        </w:rPr>
        <w:t xml:space="preserve"> </w:t>
      </w:r>
      <w:r w:rsidR="004F2A2C" w:rsidRPr="00EA5799">
        <w:rPr>
          <w:rFonts w:ascii="Book Antiqua" w:eastAsia="GungsuhChe" w:hAnsi="Book Antiqua" w:cs="Arial"/>
          <w:lang w:val="en-US"/>
        </w:rPr>
        <w:t>a</w:t>
      </w:r>
      <w:r w:rsidR="00347854" w:rsidRPr="00EA5799">
        <w:rPr>
          <w:rFonts w:ascii="Book Antiqua" w:eastAsia="GungsuhChe" w:hAnsi="Book Antiqua" w:cs="Arial"/>
          <w:lang w:val="en-US"/>
        </w:rPr>
        <w:t>naly</w:t>
      </w:r>
      <w:r w:rsidR="008619EB" w:rsidRPr="00EA5799">
        <w:rPr>
          <w:rFonts w:ascii="Book Antiqua" w:eastAsia="GungsuhChe" w:hAnsi="Book Antiqua" w:cs="Arial"/>
          <w:lang w:val="en-US"/>
        </w:rPr>
        <w:t>zing</w:t>
      </w:r>
      <w:r w:rsidR="00347854" w:rsidRPr="00EA5799">
        <w:rPr>
          <w:rFonts w:ascii="Book Antiqua" w:eastAsia="GungsuhChe" w:hAnsi="Book Antiqua" w:cs="Arial"/>
          <w:lang w:val="en-US"/>
        </w:rPr>
        <w:t xml:space="preserve"> </w:t>
      </w:r>
      <w:r w:rsidR="002F24BD" w:rsidRPr="00EA5799">
        <w:rPr>
          <w:rFonts w:ascii="Book Antiqua" w:eastAsia="GungsuhChe" w:hAnsi="Book Antiqua" w:cs="Arial"/>
          <w:lang w:val="en-US"/>
        </w:rPr>
        <w:t xml:space="preserve">IgA </w:t>
      </w:r>
      <w:proofErr w:type="spellStart"/>
      <w:r w:rsidR="002F24BD" w:rsidRPr="00EA5799">
        <w:rPr>
          <w:rFonts w:ascii="Book Antiqua" w:eastAsia="GungsuhChe" w:hAnsi="Book Antiqua" w:cs="Arial"/>
          <w:lang w:val="en-US"/>
        </w:rPr>
        <w:t>antitransglutaminase</w:t>
      </w:r>
      <w:proofErr w:type="spellEnd"/>
      <w:r w:rsidR="002F24BD" w:rsidRPr="00EA5799">
        <w:rPr>
          <w:rFonts w:ascii="Book Antiqua" w:eastAsia="GungsuhChe" w:hAnsi="Book Antiqua" w:cs="Arial"/>
          <w:lang w:val="en-US"/>
        </w:rPr>
        <w:t xml:space="preserve"> </w:t>
      </w:r>
      <w:proofErr w:type="spellStart"/>
      <w:r w:rsidR="002F24BD" w:rsidRPr="00EA5799">
        <w:rPr>
          <w:rFonts w:ascii="Book Antiqua" w:eastAsia="GungsuhChe" w:hAnsi="Book Antiqua" w:cs="Arial"/>
          <w:lang w:val="en-US"/>
        </w:rPr>
        <w:t>subepithelial</w:t>
      </w:r>
      <w:proofErr w:type="spellEnd"/>
      <w:r w:rsidR="002F24BD" w:rsidRPr="00EA5799">
        <w:rPr>
          <w:rFonts w:ascii="Book Antiqua" w:eastAsia="GungsuhChe" w:hAnsi="Book Antiqua" w:cs="Arial"/>
          <w:lang w:val="en-US"/>
        </w:rPr>
        <w:t xml:space="preserve"> </w:t>
      </w:r>
      <w:proofErr w:type="gramStart"/>
      <w:r w:rsidR="002F24BD" w:rsidRPr="00EA5799">
        <w:rPr>
          <w:rFonts w:ascii="Book Antiqua" w:eastAsia="GungsuhChe" w:hAnsi="Book Antiqua" w:cs="Arial"/>
          <w:lang w:val="en-US"/>
        </w:rPr>
        <w:t>deposit</w:t>
      </w:r>
      <w:r w:rsidR="00347854" w:rsidRPr="00EA5799">
        <w:rPr>
          <w:rFonts w:ascii="Book Antiqua" w:eastAsia="GungsuhChe" w:hAnsi="Book Antiqua" w:cs="Arial"/>
          <w:lang w:val="en-US"/>
        </w:rPr>
        <w:t>s</w:t>
      </w:r>
      <w:r w:rsidR="00115973" w:rsidRPr="00EA5799">
        <w:rPr>
          <w:rFonts w:ascii="Book Antiqua" w:eastAsia="GungsuhChe" w:hAnsi="Book Antiqua" w:cs="Arial"/>
          <w:vertAlign w:val="superscript"/>
          <w:lang w:val="en-US"/>
        </w:rPr>
        <w:t>[</w:t>
      </w:r>
      <w:proofErr w:type="gramEnd"/>
      <w:r w:rsidR="00115973" w:rsidRPr="00EA5799">
        <w:rPr>
          <w:rFonts w:ascii="Book Antiqua" w:eastAsia="GungsuhChe" w:hAnsi="Book Antiqua" w:cs="Arial"/>
          <w:vertAlign w:val="superscript"/>
          <w:lang w:val="en-US"/>
        </w:rPr>
        <w:t>23]</w:t>
      </w:r>
      <w:r w:rsidR="004F2A2C">
        <w:rPr>
          <w:rFonts w:ascii="Book Antiqua" w:eastAsia="宋体" w:hAnsi="Book Antiqua" w:cs="Arial" w:hint="eastAsia"/>
          <w:lang w:val="en-US" w:eastAsia="zh-CN"/>
        </w:rPr>
        <w:t xml:space="preserve"> and </w:t>
      </w:r>
      <w:r w:rsidR="004F2A2C" w:rsidRPr="00EA5799">
        <w:rPr>
          <w:rFonts w:ascii="Book Antiqua" w:eastAsia="GungsuhChe" w:hAnsi="Book Antiqua" w:cs="Arial"/>
          <w:lang w:val="en-US"/>
        </w:rPr>
        <w:t>f</w:t>
      </w:r>
      <w:r w:rsidR="002F24BD" w:rsidRPr="00EA5799">
        <w:rPr>
          <w:rFonts w:ascii="Book Antiqua" w:eastAsia="GungsuhChe" w:hAnsi="Book Antiqua" w:cs="Arial"/>
          <w:lang w:val="en-US"/>
        </w:rPr>
        <w:t xml:space="preserve">low cytometry or </w:t>
      </w:r>
      <w:r w:rsidR="0045766A" w:rsidRPr="00EA5799">
        <w:rPr>
          <w:rFonts w:ascii="Book Antiqua" w:eastAsia="GungsuhChe" w:hAnsi="Book Antiqua" w:cs="Arial"/>
          <w:lang w:val="en-US"/>
        </w:rPr>
        <w:t>immunohistochemistry of</w:t>
      </w:r>
      <w:r w:rsidR="002E569F" w:rsidRPr="00EA5799">
        <w:rPr>
          <w:rFonts w:ascii="Book Antiqua" w:eastAsia="GungsuhChe" w:hAnsi="Book Antiqua" w:cs="Arial"/>
          <w:lang w:val="en-US"/>
        </w:rPr>
        <w:t xml:space="preserve"> </w:t>
      </w:r>
      <w:r w:rsidR="00D01EE1" w:rsidRPr="00EA5799">
        <w:rPr>
          <w:rFonts w:ascii="Book Antiqua" w:eastAsia="GungsuhChe" w:hAnsi="Book Antiqua" w:cs="Arial"/>
          <w:lang w:val="en-US"/>
        </w:rPr>
        <w:t xml:space="preserve">the </w:t>
      </w:r>
      <w:r w:rsidR="0045766A" w:rsidRPr="00EA5799">
        <w:rPr>
          <w:rFonts w:ascii="Book Antiqua" w:eastAsia="GungsuhChe" w:hAnsi="Book Antiqua" w:cs="Arial"/>
          <w:lang w:val="en-US"/>
        </w:rPr>
        <w:t>duodenal lymphocyt</w:t>
      </w:r>
      <w:r w:rsidR="00A35BDE" w:rsidRPr="00EA5799">
        <w:rPr>
          <w:rFonts w:ascii="Book Antiqua" w:eastAsia="GungsuhChe" w:hAnsi="Book Antiqua" w:cs="Arial"/>
          <w:lang w:val="en-US"/>
        </w:rPr>
        <w:t>ic</w:t>
      </w:r>
      <w:r w:rsidR="0045766A" w:rsidRPr="00EA5799">
        <w:rPr>
          <w:rFonts w:ascii="Book Antiqua" w:eastAsia="GungsuhChe" w:hAnsi="Book Antiqua" w:cs="Arial"/>
          <w:lang w:val="en-US"/>
        </w:rPr>
        <w:t xml:space="preserve"> population</w:t>
      </w:r>
      <w:r w:rsidR="00D01EE1" w:rsidRPr="00EA5799">
        <w:rPr>
          <w:rFonts w:ascii="Book Antiqua" w:eastAsia="GungsuhChe" w:hAnsi="Book Antiqua" w:cs="Arial"/>
          <w:lang w:val="en-US"/>
        </w:rPr>
        <w:t>,</w:t>
      </w:r>
      <w:r w:rsidR="0045766A" w:rsidRPr="00EA5799">
        <w:rPr>
          <w:rFonts w:ascii="Book Antiqua" w:eastAsia="GungsuhChe" w:hAnsi="Book Antiqua" w:cs="Arial"/>
          <w:lang w:val="en-US"/>
        </w:rPr>
        <w:t xml:space="preserve"> in order to evaluate </w:t>
      </w:r>
      <w:r w:rsidR="0071178B" w:rsidRPr="00EA5799">
        <w:rPr>
          <w:rFonts w:ascii="Book Antiqua" w:eastAsia="GungsuhChe" w:hAnsi="Book Antiqua" w:cs="Arial"/>
          <w:lang w:val="en-US"/>
        </w:rPr>
        <w:t xml:space="preserve">the prevalence of gamma-delta receptor expression </w:t>
      </w:r>
      <w:r w:rsidR="0045766A" w:rsidRPr="00EA5799">
        <w:rPr>
          <w:rFonts w:ascii="Book Antiqua" w:eastAsia="GungsuhChe" w:hAnsi="Book Antiqua" w:cs="Arial"/>
          <w:lang w:val="en-US"/>
        </w:rPr>
        <w:t>in T lymphocytes</w:t>
      </w:r>
      <w:r w:rsidR="00D01EE1" w:rsidRPr="00EA5799">
        <w:rPr>
          <w:rFonts w:ascii="Book Antiqua" w:eastAsia="GungsuhChe" w:hAnsi="Book Antiqua" w:cs="Arial"/>
          <w:lang w:val="en-US"/>
        </w:rPr>
        <w:t>,</w:t>
      </w:r>
      <w:r w:rsidR="0045766A" w:rsidRPr="00EA5799">
        <w:rPr>
          <w:rFonts w:ascii="Book Antiqua" w:eastAsia="GungsuhChe" w:hAnsi="Book Antiqua" w:cs="Arial"/>
          <w:lang w:val="en-US"/>
        </w:rPr>
        <w:t xml:space="preserve"> which could point to CD</w:t>
      </w:r>
      <w:r w:rsidR="00115973" w:rsidRPr="00EA5799">
        <w:rPr>
          <w:rFonts w:ascii="Book Antiqua" w:eastAsia="GungsuhChe" w:hAnsi="Book Antiqua" w:cs="Arial"/>
          <w:vertAlign w:val="superscript"/>
          <w:lang w:val="en-US"/>
        </w:rPr>
        <w:t>[24]</w:t>
      </w:r>
      <w:r w:rsidR="0045766A" w:rsidRPr="00EA5799">
        <w:rPr>
          <w:rFonts w:ascii="Book Antiqua" w:eastAsia="GungsuhChe" w:hAnsi="Book Antiqua" w:cs="Arial"/>
          <w:lang w:val="en-US"/>
        </w:rPr>
        <w:t>.</w:t>
      </w:r>
    </w:p>
    <w:p w14:paraId="6553D03C" w14:textId="2A6E0111" w:rsidR="0062617D" w:rsidRDefault="008619EB" w:rsidP="004F2A2C">
      <w:pPr>
        <w:spacing w:after="0" w:line="360" w:lineRule="auto"/>
        <w:ind w:firstLineChars="100" w:firstLine="240"/>
        <w:jc w:val="both"/>
        <w:rPr>
          <w:rFonts w:ascii="Book Antiqua" w:eastAsia="宋体" w:hAnsi="Book Antiqua" w:cs="Arial"/>
          <w:lang w:val="en-US" w:eastAsia="zh-CN"/>
        </w:rPr>
      </w:pPr>
      <w:r w:rsidRPr="00EA5799">
        <w:rPr>
          <w:rFonts w:ascii="Book Antiqua" w:eastAsia="GungsuhChe" w:hAnsi="Book Antiqua" w:cs="Arial"/>
          <w:lang w:val="en-US"/>
        </w:rPr>
        <w:t>Although, t</w:t>
      </w:r>
      <w:r w:rsidR="000B379B" w:rsidRPr="00EA5799">
        <w:rPr>
          <w:rFonts w:ascii="Book Antiqua" w:eastAsia="GungsuhChe" w:hAnsi="Book Antiqua" w:cs="Arial"/>
          <w:lang w:val="en-US"/>
        </w:rPr>
        <w:t xml:space="preserve">hese tools could </w:t>
      </w:r>
      <w:r w:rsidRPr="00EA5799">
        <w:rPr>
          <w:rFonts w:ascii="Book Antiqua" w:eastAsia="GungsuhChe" w:hAnsi="Book Antiqua" w:cs="Arial"/>
          <w:lang w:val="en-US"/>
        </w:rPr>
        <w:t>implicate</w:t>
      </w:r>
      <w:r w:rsidR="008D681B" w:rsidRPr="00EA5799">
        <w:rPr>
          <w:rFonts w:ascii="Book Antiqua" w:eastAsia="GungsuhChe" w:hAnsi="Book Antiqua" w:cs="Arial"/>
          <w:lang w:val="en-US"/>
        </w:rPr>
        <w:t xml:space="preserve"> CD, </w:t>
      </w:r>
      <w:r w:rsidR="006A7C30" w:rsidRPr="00EA5799">
        <w:rPr>
          <w:rFonts w:ascii="Book Antiqua" w:eastAsia="GungsuhChe" w:hAnsi="Book Antiqua" w:cs="Arial"/>
          <w:lang w:val="en-US"/>
        </w:rPr>
        <w:t xml:space="preserve">in order to fulfill the criteria proposed by </w:t>
      </w:r>
      <w:proofErr w:type="spellStart"/>
      <w:r w:rsidR="006A7C30" w:rsidRPr="00EA5799">
        <w:rPr>
          <w:rFonts w:ascii="Book Antiqua" w:eastAsia="GungsuhChe" w:hAnsi="Book Antiqua" w:cs="Arial"/>
          <w:lang w:val="en-US"/>
        </w:rPr>
        <w:t>Catassi</w:t>
      </w:r>
      <w:proofErr w:type="spellEnd"/>
      <w:r w:rsidR="00BF1A3E" w:rsidRPr="00EA5799">
        <w:rPr>
          <w:rFonts w:ascii="Book Antiqua" w:eastAsia="GungsuhChe" w:hAnsi="Book Antiqua" w:cs="Arial"/>
          <w:lang w:val="en-US"/>
        </w:rPr>
        <w:t>,</w:t>
      </w:r>
      <w:r w:rsidR="0062617D" w:rsidRPr="00EA5799">
        <w:rPr>
          <w:rFonts w:ascii="Book Antiqua" w:eastAsia="GungsuhChe" w:hAnsi="Book Antiqua" w:cs="Arial"/>
          <w:lang w:val="en-US"/>
        </w:rPr>
        <w:t xml:space="preserve"> the lymphocyti</w:t>
      </w:r>
      <w:r w:rsidR="00CD05DC" w:rsidRPr="00EA5799">
        <w:rPr>
          <w:rFonts w:ascii="Book Antiqua" w:eastAsia="GungsuhChe" w:hAnsi="Book Antiqua" w:cs="Arial"/>
          <w:lang w:val="en-US"/>
        </w:rPr>
        <w:t>c</w:t>
      </w:r>
      <w:r w:rsidR="0062617D" w:rsidRPr="00EA5799">
        <w:rPr>
          <w:rFonts w:ascii="Book Antiqua" w:eastAsia="GungsuhChe" w:hAnsi="Book Antiqua" w:cs="Arial"/>
          <w:lang w:val="en-US"/>
        </w:rPr>
        <w:t xml:space="preserve"> enteritis response to the gluten-free diet</w:t>
      </w:r>
      <w:r w:rsidR="0013357D" w:rsidRPr="00EA5799">
        <w:rPr>
          <w:rFonts w:ascii="Book Antiqua" w:eastAsia="GungsuhChe" w:hAnsi="Book Antiqua" w:cs="Arial"/>
          <w:lang w:val="en-US"/>
        </w:rPr>
        <w:t xml:space="preserve"> </w:t>
      </w:r>
      <w:r w:rsidRPr="00EA5799">
        <w:rPr>
          <w:rFonts w:ascii="Book Antiqua" w:eastAsia="GungsuhChe" w:hAnsi="Book Antiqua" w:cs="Arial"/>
          <w:lang w:val="en-US"/>
        </w:rPr>
        <w:t xml:space="preserve">has </w:t>
      </w:r>
      <w:r w:rsidR="0013357D" w:rsidRPr="00EA5799">
        <w:rPr>
          <w:rFonts w:ascii="Book Antiqua" w:eastAsia="GungsuhChe" w:hAnsi="Book Antiqua" w:cs="Arial"/>
          <w:lang w:val="en-US"/>
        </w:rPr>
        <w:t xml:space="preserve">to be evaluated, along with </w:t>
      </w:r>
      <w:r w:rsidR="00CD05DC" w:rsidRPr="00EA5799">
        <w:rPr>
          <w:rFonts w:ascii="Book Antiqua" w:eastAsia="GungsuhChe" w:hAnsi="Book Antiqua" w:cs="Arial"/>
          <w:lang w:val="en-US"/>
        </w:rPr>
        <w:t>a biopsy</w:t>
      </w:r>
      <w:r w:rsidR="00500FFC" w:rsidRPr="00EA5799">
        <w:rPr>
          <w:rFonts w:ascii="Book Antiqua" w:eastAsia="GungsuhChe" w:hAnsi="Book Antiqua" w:cs="Arial"/>
          <w:lang w:val="en-US"/>
        </w:rPr>
        <w:t>,</w:t>
      </w:r>
      <w:r w:rsidR="00CD05DC" w:rsidRPr="00EA5799">
        <w:rPr>
          <w:rFonts w:ascii="Book Antiqua" w:eastAsia="GungsuhChe" w:hAnsi="Book Antiqua" w:cs="Arial"/>
          <w:lang w:val="en-US"/>
        </w:rPr>
        <w:t xml:space="preserve"> </w:t>
      </w:r>
      <w:r w:rsidR="00917F68" w:rsidRPr="00EA5799">
        <w:rPr>
          <w:rFonts w:ascii="Book Antiqua" w:eastAsia="GungsuhChe" w:hAnsi="Book Antiqua" w:cs="Arial"/>
          <w:lang w:val="en-US"/>
        </w:rPr>
        <w:t xml:space="preserve">once </w:t>
      </w:r>
      <w:r w:rsidR="0013357D" w:rsidRPr="00EA5799">
        <w:rPr>
          <w:rFonts w:ascii="Book Antiqua" w:eastAsia="GungsuhChe" w:hAnsi="Book Antiqua" w:cs="Arial"/>
          <w:lang w:val="en-US"/>
        </w:rPr>
        <w:t>clinical improvement</w:t>
      </w:r>
      <w:r w:rsidR="00923FF4" w:rsidRPr="00EA5799">
        <w:rPr>
          <w:rFonts w:ascii="Book Antiqua" w:eastAsia="GungsuhChe" w:hAnsi="Book Antiqua" w:cs="Arial"/>
          <w:lang w:val="en-US"/>
        </w:rPr>
        <w:t xml:space="preserve"> </w:t>
      </w:r>
      <w:r w:rsidR="00917F68" w:rsidRPr="00EA5799">
        <w:rPr>
          <w:rFonts w:ascii="Book Antiqua" w:eastAsia="GungsuhChe" w:hAnsi="Book Antiqua" w:cs="Arial"/>
          <w:lang w:val="en-US"/>
        </w:rPr>
        <w:t>is seen</w:t>
      </w:r>
      <w:r w:rsidR="0013357D" w:rsidRPr="00EA5799">
        <w:rPr>
          <w:rFonts w:ascii="Book Antiqua" w:eastAsia="GungsuhChe" w:hAnsi="Book Antiqua" w:cs="Arial"/>
          <w:lang w:val="en-US"/>
        </w:rPr>
        <w:t>.</w:t>
      </w:r>
      <w:r w:rsidR="00D22A02" w:rsidRPr="00EA5799">
        <w:rPr>
          <w:rFonts w:ascii="Book Antiqua" w:eastAsia="GungsuhChe" w:hAnsi="Book Antiqua" w:cs="Arial"/>
          <w:lang w:val="en-US"/>
        </w:rPr>
        <w:t xml:space="preserve"> The evolution of lymphocytic enteritis associated with adult CD</w:t>
      </w:r>
      <w:r w:rsidR="00FD466B" w:rsidRPr="00EA5799">
        <w:rPr>
          <w:rFonts w:ascii="Book Antiqua" w:eastAsia="GungsuhChe" w:hAnsi="Book Antiqua" w:cs="Arial"/>
          <w:lang w:val="en-US"/>
        </w:rPr>
        <w:t>,</w:t>
      </w:r>
      <w:r w:rsidR="000715A2" w:rsidRPr="00EA5799">
        <w:rPr>
          <w:rFonts w:ascii="Book Antiqua" w:eastAsia="GungsuhChe" w:hAnsi="Book Antiqua" w:cs="Arial"/>
          <w:lang w:val="en-US"/>
        </w:rPr>
        <w:t xml:space="preserve"> and its relation </w:t>
      </w:r>
      <w:r w:rsidR="00FD466B" w:rsidRPr="00EA5799">
        <w:rPr>
          <w:rFonts w:ascii="Book Antiqua" w:eastAsia="GungsuhChe" w:hAnsi="Book Antiqua" w:cs="Arial"/>
          <w:lang w:val="en-US"/>
        </w:rPr>
        <w:t xml:space="preserve">to </w:t>
      </w:r>
      <w:r w:rsidR="000715A2" w:rsidRPr="00EA5799">
        <w:rPr>
          <w:rFonts w:ascii="Book Antiqua" w:eastAsia="GungsuhChe" w:hAnsi="Book Antiqua" w:cs="Arial"/>
          <w:lang w:val="en-US"/>
        </w:rPr>
        <w:t>complications are</w:t>
      </w:r>
      <w:r w:rsidR="00D22A02" w:rsidRPr="00EA5799">
        <w:rPr>
          <w:rFonts w:ascii="Book Antiqua" w:eastAsia="GungsuhChe" w:hAnsi="Book Antiqua" w:cs="Arial"/>
          <w:lang w:val="en-US"/>
        </w:rPr>
        <w:t xml:space="preserve"> not clearly understood</w:t>
      </w:r>
      <w:r w:rsidR="00500FFC" w:rsidRPr="00EA5799">
        <w:rPr>
          <w:rFonts w:ascii="Book Antiqua" w:eastAsia="GungsuhChe" w:hAnsi="Book Antiqua" w:cs="Arial"/>
          <w:lang w:val="en-US"/>
        </w:rPr>
        <w:t>.</w:t>
      </w:r>
      <w:r w:rsidR="00EC4D39" w:rsidRPr="00EA5799">
        <w:rPr>
          <w:rFonts w:ascii="Book Antiqua" w:eastAsia="GungsuhChe" w:hAnsi="Book Antiqua" w:cs="Arial"/>
          <w:lang w:val="en-US"/>
        </w:rPr>
        <w:t xml:space="preserve"> Therefore, </w:t>
      </w:r>
      <w:r w:rsidR="00FD466B" w:rsidRPr="00EA5799">
        <w:rPr>
          <w:rFonts w:ascii="Book Antiqua" w:eastAsia="GungsuhChe" w:hAnsi="Book Antiqua" w:cs="Arial"/>
          <w:lang w:val="en-US"/>
        </w:rPr>
        <w:t xml:space="preserve">once </w:t>
      </w:r>
      <w:r w:rsidR="008D681B" w:rsidRPr="00EA5799">
        <w:rPr>
          <w:rFonts w:ascii="Book Antiqua" w:eastAsia="GungsuhChe" w:hAnsi="Book Antiqua" w:cs="Arial"/>
          <w:lang w:val="en-US"/>
        </w:rPr>
        <w:t>lymphocytic</w:t>
      </w:r>
      <w:r w:rsidR="00EC4D39" w:rsidRPr="00EA5799">
        <w:rPr>
          <w:rFonts w:ascii="Book Antiqua" w:eastAsia="GungsuhChe" w:hAnsi="Book Antiqua" w:cs="Arial"/>
          <w:lang w:val="en-US"/>
        </w:rPr>
        <w:t xml:space="preserve"> enteritis is found in an adult subject with negative serology, </w:t>
      </w:r>
      <w:r w:rsidR="00A83BAC" w:rsidRPr="00EA5799">
        <w:rPr>
          <w:rFonts w:ascii="Book Antiqua" w:eastAsia="GungsuhChe" w:hAnsi="Book Antiqua" w:cs="Arial"/>
          <w:lang w:val="en-US"/>
        </w:rPr>
        <w:t>CD diagnosis must be carefully made with a subsequent follow-up check.</w:t>
      </w:r>
    </w:p>
    <w:p w14:paraId="334F42F1" w14:textId="77777777" w:rsidR="004F2A2C" w:rsidRPr="004F2A2C" w:rsidRDefault="004F2A2C" w:rsidP="004F2A2C">
      <w:pPr>
        <w:spacing w:after="0" w:line="360" w:lineRule="auto"/>
        <w:ind w:firstLineChars="100" w:firstLine="240"/>
        <w:jc w:val="both"/>
        <w:rPr>
          <w:rFonts w:ascii="Book Antiqua" w:eastAsia="宋体" w:hAnsi="Book Antiqua" w:cs="Arial"/>
          <w:lang w:val="en-US" w:eastAsia="zh-CN"/>
        </w:rPr>
      </w:pPr>
    </w:p>
    <w:p w14:paraId="5B6879C4" w14:textId="04B44907" w:rsidR="00520569" w:rsidRPr="00EA5799" w:rsidRDefault="004F2A2C" w:rsidP="00EA5799">
      <w:pPr>
        <w:spacing w:after="0" w:line="360" w:lineRule="auto"/>
        <w:jc w:val="both"/>
        <w:rPr>
          <w:rFonts w:ascii="Book Antiqua" w:eastAsia="GungsuhChe" w:hAnsi="Book Antiqua" w:cs="Arial"/>
          <w:b/>
          <w:lang w:val="en-US"/>
        </w:rPr>
      </w:pPr>
      <w:r w:rsidRPr="00EA5799">
        <w:rPr>
          <w:rFonts w:ascii="Book Antiqua" w:eastAsia="GungsuhChe" w:hAnsi="Book Antiqua" w:cs="Arial"/>
          <w:b/>
          <w:lang w:val="en-US"/>
        </w:rPr>
        <w:t>POSSIBLE PATHOGENIC DIFFERENCES</w:t>
      </w:r>
    </w:p>
    <w:p w14:paraId="52144A97" w14:textId="3D93F041" w:rsidR="00A75830" w:rsidRPr="00EA5799" w:rsidRDefault="008A7F9C" w:rsidP="00EA5799">
      <w:pPr>
        <w:spacing w:after="0" w:line="360" w:lineRule="auto"/>
        <w:jc w:val="both"/>
        <w:rPr>
          <w:rFonts w:ascii="Book Antiqua" w:eastAsia="GungsuhChe" w:hAnsi="Book Antiqua" w:cs="Arial"/>
          <w:lang w:val="en-US"/>
        </w:rPr>
      </w:pPr>
      <w:r w:rsidRPr="00EA5799">
        <w:rPr>
          <w:rFonts w:ascii="Book Antiqua" w:eastAsia="GungsuhChe" w:hAnsi="Book Antiqua" w:cs="Arial"/>
          <w:lang w:val="en-US"/>
        </w:rPr>
        <w:t xml:space="preserve">A number of studies have evaluated </w:t>
      </w:r>
      <w:r w:rsidR="0079706C" w:rsidRPr="00EA5799">
        <w:rPr>
          <w:rFonts w:ascii="Book Antiqua" w:eastAsia="GungsuhChe" w:hAnsi="Book Antiqua" w:cs="Arial"/>
          <w:lang w:val="en-US"/>
        </w:rPr>
        <w:t xml:space="preserve">intestinal </w:t>
      </w:r>
      <w:r w:rsidR="00DB4217" w:rsidRPr="00EA5799">
        <w:rPr>
          <w:rFonts w:ascii="Book Antiqua" w:eastAsia="GungsuhChe" w:hAnsi="Book Antiqua" w:cs="Arial"/>
          <w:lang w:val="en-US"/>
        </w:rPr>
        <w:t>microbiota</w:t>
      </w:r>
      <w:r w:rsidR="0079706C" w:rsidRPr="00EA5799">
        <w:rPr>
          <w:rFonts w:ascii="Book Antiqua" w:eastAsia="GungsuhChe" w:hAnsi="Book Antiqua" w:cs="Arial"/>
          <w:lang w:val="en-US"/>
        </w:rPr>
        <w:t xml:space="preserve"> </w:t>
      </w:r>
      <w:r w:rsidR="004F2A2C">
        <w:rPr>
          <w:rFonts w:ascii="Book Antiqua" w:eastAsia="GungsuhChe" w:hAnsi="Book Antiqua" w:cs="Arial"/>
          <w:lang w:val="en-US"/>
        </w:rPr>
        <w:t xml:space="preserve">in relation to </w:t>
      </w:r>
      <w:proofErr w:type="gramStart"/>
      <w:r w:rsidR="004F2A2C">
        <w:rPr>
          <w:rFonts w:ascii="Book Antiqua" w:eastAsia="GungsuhChe" w:hAnsi="Book Antiqua" w:cs="Arial"/>
          <w:lang w:val="en-US"/>
        </w:rPr>
        <w:t>CD</w:t>
      </w:r>
      <w:r w:rsidR="00115973" w:rsidRPr="00EA5799">
        <w:rPr>
          <w:rFonts w:ascii="Book Antiqua" w:eastAsia="GungsuhChe" w:hAnsi="Book Antiqua" w:cs="Arial"/>
          <w:vertAlign w:val="superscript"/>
          <w:lang w:val="en-US"/>
        </w:rPr>
        <w:t>[</w:t>
      </w:r>
      <w:proofErr w:type="gramEnd"/>
      <w:r w:rsidR="00115973" w:rsidRPr="00EA5799">
        <w:rPr>
          <w:rFonts w:ascii="Book Antiqua" w:eastAsia="GungsuhChe" w:hAnsi="Book Antiqua" w:cs="Arial"/>
          <w:vertAlign w:val="superscript"/>
          <w:lang w:val="en-US"/>
        </w:rPr>
        <w:t>25]</w:t>
      </w:r>
      <w:r w:rsidR="007A542F" w:rsidRPr="00EA5799">
        <w:rPr>
          <w:rFonts w:ascii="Book Antiqua" w:eastAsia="GungsuhChe" w:hAnsi="Book Antiqua" w:cs="Arial"/>
          <w:lang w:val="en-US"/>
        </w:rPr>
        <w:t>.</w:t>
      </w:r>
      <w:r w:rsidR="007C0E30" w:rsidRPr="00EA5799">
        <w:rPr>
          <w:rFonts w:ascii="Book Antiqua" w:eastAsia="GungsuhChe" w:hAnsi="Book Antiqua" w:cs="Arial"/>
          <w:lang w:val="en-US"/>
        </w:rPr>
        <w:t xml:space="preserve"> </w:t>
      </w:r>
      <w:r w:rsidR="00760A02" w:rsidRPr="00EA5799">
        <w:rPr>
          <w:rFonts w:ascii="Book Antiqua" w:eastAsia="GungsuhChe" w:hAnsi="Book Antiqua" w:cs="Arial"/>
          <w:lang w:val="en-US"/>
        </w:rPr>
        <w:t>The colonization process during the early stages of life</w:t>
      </w:r>
      <w:r w:rsidRPr="00EA5799">
        <w:rPr>
          <w:rFonts w:ascii="Book Antiqua" w:eastAsia="GungsuhChe" w:hAnsi="Book Antiqua" w:cs="Arial"/>
          <w:lang w:val="en-US"/>
        </w:rPr>
        <w:t>,</w:t>
      </w:r>
      <w:r w:rsidR="00760A02" w:rsidRPr="00EA5799">
        <w:rPr>
          <w:rFonts w:ascii="Book Antiqua" w:eastAsia="GungsuhChe" w:hAnsi="Book Antiqua" w:cs="Arial"/>
          <w:lang w:val="en-US"/>
        </w:rPr>
        <w:t xml:space="preserve"> and the interaction between the microbiota and the immune system</w:t>
      </w:r>
      <w:r w:rsidRPr="00EA5799">
        <w:rPr>
          <w:rFonts w:ascii="Book Antiqua" w:eastAsia="GungsuhChe" w:hAnsi="Book Antiqua" w:cs="Arial"/>
          <w:lang w:val="en-US"/>
        </w:rPr>
        <w:t>,</w:t>
      </w:r>
      <w:r w:rsidR="00760A02" w:rsidRPr="00EA5799">
        <w:rPr>
          <w:rFonts w:ascii="Book Antiqua" w:eastAsia="GungsuhChe" w:hAnsi="Book Antiqua" w:cs="Arial"/>
          <w:lang w:val="en-US"/>
        </w:rPr>
        <w:t xml:space="preserve"> could have an important role</w:t>
      </w:r>
      <w:r w:rsidR="00A75830" w:rsidRPr="00EA5799">
        <w:rPr>
          <w:rFonts w:ascii="Book Antiqua" w:eastAsia="GungsuhChe" w:hAnsi="Book Antiqua" w:cs="Arial"/>
          <w:lang w:val="en-US"/>
        </w:rPr>
        <w:t xml:space="preserve"> in the pathogenesis of CD</w:t>
      </w:r>
      <w:r w:rsidR="009041C6" w:rsidRPr="00EA5799">
        <w:rPr>
          <w:rFonts w:ascii="Book Antiqua" w:eastAsia="GungsuhChe" w:hAnsi="Book Antiqua" w:cs="Arial"/>
          <w:lang w:val="en-US"/>
        </w:rPr>
        <w:t>.</w:t>
      </w:r>
    </w:p>
    <w:p w14:paraId="6F7E5C64" w14:textId="78CFF545" w:rsidR="00A91709" w:rsidRPr="00EA5799" w:rsidRDefault="00A75830" w:rsidP="004F2A2C">
      <w:pPr>
        <w:spacing w:after="0" w:line="360" w:lineRule="auto"/>
        <w:ind w:firstLineChars="100" w:firstLine="240"/>
        <w:jc w:val="both"/>
        <w:rPr>
          <w:rFonts w:ascii="Book Antiqua" w:eastAsia="GungsuhChe" w:hAnsi="Book Antiqua" w:cs="Arial"/>
          <w:lang w:val="en-US"/>
        </w:rPr>
      </w:pPr>
      <w:r w:rsidRPr="00EA5799">
        <w:rPr>
          <w:rFonts w:ascii="Book Antiqua" w:eastAsia="GungsuhChe" w:hAnsi="Book Antiqua" w:cs="Arial"/>
          <w:lang w:val="en-US"/>
        </w:rPr>
        <w:t xml:space="preserve">The </w:t>
      </w:r>
      <w:r w:rsidR="008A7F9C" w:rsidRPr="00EA5799">
        <w:rPr>
          <w:rFonts w:ascii="Book Antiqua" w:eastAsia="GungsuhChe" w:hAnsi="Book Antiqua" w:cs="Arial"/>
          <w:lang w:val="en-US"/>
        </w:rPr>
        <w:t xml:space="preserve">composition of the </w:t>
      </w:r>
      <w:r w:rsidRPr="00EA5799">
        <w:rPr>
          <w:rFonts w:ascii="Book Antiqua" w:eastAsia="GungsuhChe" w:hAnsi="Book Antiqua" w:cs="Arial"/>
          <w:lang w:val="en-US"/>
        </w:rPr>
        <w:t>intestinal microbiota</w:t>
      </w:r>
      <w:r w:rsidR="008A7F9C" w:rsidRPr="00EA5799">
        <w:rPr>
          <w:rFonts w:ascii="Book Antiqua" w:eastAsia="GungsuhChe" w:hAnsi="Book Antiqua" w:cs="Arial"/>
          <w:lang w:val="en-US"/>
        </w:rPr>
        <w:t>,</w:t>
      </w:r>
      <w:r w:rsidRPr="00EA5799">
        <w:rPr>
          <w:rFonts w:ascii="Book Antiqua" w:eastAsia="GungsuhChe" w:hAnsi="Book Antiqua" w:cs="Arial"/>
          <w:lang w:val="en-US"/>
        </w:rPr>
        <w:t xml:space="preserve"> both in duodenal biopsies and stool </w:t>
      </w:r>
      <w:r w:rsidR="00DB1780" w:rsidRPr="00EA5799">
        <w:rPr>
          <w:rFonts w:ascii="Book Antiqua" w:eastAsia="GungsuhChe" w:hAnsi="Book Antiqua" w:cs="Arial"/>
          <w:lang w:val="en-US"/>
        </w:rPr>
        <w:t xml:space="preserve">samples </w:t>
      </w:r>
      <w:r w:rsidRPr="00EA5799">
        <w:rPr>
          <w:rFonts w:ascii="Book Antiqua" w:eastAsia="GungsuhChe" w:hAnsi="Book Antiqua" w:cs="Arial"/>
          <w:lang w:val="en-US"/>
        </w:rPr>
        <w:t>of celiac children and adults</w:t>
      </w:r>
      <w:r w:rsidR="008A7F9C" w:rsidRPr="00EA5799">
        <w:rPr>
          <w:rFonts w:ascii="Book Antiqua" w:eastAsia="GungsuhChe" w:hAnsi="Book Antiqua" w:cs="Arial"/>
          <w:lang w:val="en-US"/>
        </w:rPr>
        <w:t>,</w:t>
      </w:r>
      <w:r w:rsidR="00DB1780" w:rsidRPr="00EA5799">
        <w:rPr>
          <w:rFonts w:ascii="Book Antiqua" w:eastAsia="GungsuhChe" w:hAnsi="Book Antiqua" w:cs="Arial"/>
          <w:lang w:val="en-US"/>
        </w:rPr>
        <w:t xml:space="preserve"> exhibits alterations in relation </w:t>
      </w:r>
      <w:r w:rsidR="008A7F9C" w:rsidRPr="00EA5799">
        <w:rPr>
          <w:rFonts w:ascii="Book Antiqua" w:eastAsia="GungsuhChe" w:hAnsi="Book Antiqua" w:cs="Arial"/>
          <w:lang w:val="en-US"/>
        </w:rPr>
        <w:t xml:space="preserve">to </w:t>
      </w:r>
      <w:r w:rsidR="00DB1780" w:rsidRPr="00EA5799">
        <w:rPr>
          <w:rFonts w:ascii="Book Antiqua" w:eastAsia="GungsuhChe" w:hAnsi="Book Antiqua" w:cs="Arial"/>
          <w:lang w:val="en-US"/>
        </w:rPr>
        <w:t xml:space="preserve">non-celiac </w:t>
      </w:r>
      <w:proofErr w:type="gramStart"/>
      <w:r w:rsidR="00DB1780" w:rsidRPr="00EA5799">
        <w:rPr>
          <w:rFonts w:ascii="Book Antiqua" w:eastAsia="GungsuhChe" w:hAnsi="Book Antiqua" w:cs="Arial"/>
          <w:lang w:val="en-US"/>
        </w:rPr>
        <w:t>controls</w:t>
      </w:r>
      <w:r w:rsidR="00115973" w:rsidRPr="00EA5799">
        <w:rPr>
          <w:rFonts w:ascii="Book Antiqua" w:eastAsia="GungsuhChe" w:hAnsi="Book Antiqua" w:cs="Arial"/>
          <w:vertAlign w:val="superscript"/>
          <w:lang w:val="en-US"/>
        </w:rPr>
        <w:t>[</w:t>
      </w:r>
      <w:proofErr w:type="gramEnd"/>
      <w:r w:rsidR="00115973" w:rsidRPr="00EA5799">
        <w:rPr>
          <w:rFonts w:ascii="Book Antiqua" w:eastAsia="GungsuhChe" w:hAnsi="Book Antiqua" w:cs="Arial"/>
          <w:vertAlign w:val="superscript"/>
          <w:lang w:val="en-US"/>
        </w:rPr>
        <w:t>26]</w:t>
      </w:r>
      <w:r w:rsidR="006C0B09"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52763F" w:rsidRPr="00EA5799">
        <w:rPr>
          <w:rFonts w:ascii="Book Antiqua" w:eastAsia="GungsuhChe" w:hAnsi="Book Antiqua" w:cs="Arial"/>
          <w:lang w:val="en-US"/>
        </w:rPr>
        <w:t>Age-related d</w:t>
      </w:r>
      <w:r w:rsidR="00D44C9A" w:rsidRPr="00EA5799">
        <w:rPr>
          <w:rFonts w:ascii="Book Antiqua" w:eastAsia="GungsuhChe" w:hAnsi="Book Antiqua" w:cs="Arial"/>
          <w:lang w:val="en-US"/>
        </w:rPr>
        <w:t xml:space="preserve">ifferences </w:t>
      </w:r>
      <w:r w:rsidR="003C582E" w:rsidRPr="00EA5799">
        <w:rPr>
          <w:rFonts w:ascii="Book Antiqua" w:eastAsia="GungsuhChe" w:hAnsi="Book Antiqua" w:cs="Arial"/>
          <w:lang w:val="en-US"/>
        </w:rPr>
        <w:t>in</w:t>
      </w:r>
      <w:r w:rsidR="00D44C9A" w:rsidRPr="00EA5799">
        <w:rPr>
          <w:rFonts w:ascii="Book Antiqua" w:eastAsia="GungsuhChe" w:hAnsi="Book Antiqua" w:cs="Arial"/>
          <w:lang w:val="en-US"/>
        </w:rPr>
        <w:t xml:space="preserve"> duodenal microbiota composition </w:t>
      </w:r>
      <w:r w:rsidR="003C582E" w:rsidRPr="00EA5799">
        <w:rPr>
          <w:rFonts w:ascii="Book Antiqua" w:eastAsia="GungsuhChe" w:hAnsi="Book Antiqua" w:cs="Arial"/>
          <w:lang w:val="en-US"/>
        </w:rPr>
        <w:t xml:space="preserve">have also been found between </w:t>
      </w:r>
      <w:r w:rsidR="00D44C9A" w:rsidRPr="00EA5799">
        <w:rPr>
          <w:rFonts w:ascii="Book Antiqua" w:eastAsia="GungsuhChe" w:hAnsi="Book Antiqua" w:cs="Arial"/>
          <w:lang w:val="en-US"/>
        </w:rPr>
        <w:t>celiac and non-</w:t>
      </w:r>
      <w:r w:rsidR="009A0FFC" w:rsidRPr="00EA5799">
        <w:rPr>
          <w:rFonts w:ascii="Book Antiqua" w:eastAsia="GungsuhChe" w:hAnsi="Book Antiqua" w:cs="Arial"/>
          <w:lang w:val="en-US"/>
        </w:rPr>
        <w:t>celiac</w:t>
      </w:r>
      <w:r w:rsidR="004F2A2C">
        <w:rPr>
          <w:rFonts w:ascii="Book Antiqua" w:eastAsia="GungsuhChe" w:hAnsi="Book Antiqua" w:cs="Arial"/>
          <w:lang w:val="en-US"/>
        </w:rPr>
        <w:t xml:space="preserve"> </w:t>
      </w:r>
      <w:proofErr w:type="gramStart"/>
      <w:r w:rsidR="004F2A2C">
        <w:rPr>
          <w:rFonts w:ascii="Book Antiqua" w:eastAsia="GungsuhChe" w:hAnsi="Book Antiqua" w:cs="Arial"/>
          <w:lang w:val="en-US"/>
        </w:rPr>
        <w:t>subjects</w:t>
      </w:r>
      <w:r w:rsidR="00115973" w:rsidRPr="00EA5799">
        <w:rPr>
          <w:rFonts w:ascii="Book Antiqua" w:eastAsia="GungsuhChe" w:hAnsi="Book Antiqua" w:cs="Arial"/>
          <w:vertAlign w:val="superscript"/>
          <w:lang w:val="en-US"/>
        </w:rPr>
        <w:t>[</w:t>
      </w:r>
      <w:proofErr w:type="gramEnd"/>
      <w:r w:rsidR="00115973" w:rsidRPr="00EA5799">
        <w:rPr>
          <w:rFonts w:ascii="Book Antiqua" w:eastAsia="GungsuhChe" w:hAnsi="Book Antiqua" w:cs="Arial"/>
          <w:vertAlign w:val="superscript"/>
          <w:lang w:val="en-US"/>
        </w:rPr>
        <w:t>27,28]</w:t>
      </w:r>
      <w:r w:rsidR="009A0FFC" w:rsidRPr="00EA5799">
        <w:rPr>
          <w:rFonts w:ascii="Book Antiqua" w:eastAsia="GungsuhChe" w:hAnsi="Book Antiqua" w:cs="Arial"/>
          <w:lang w:val="en-US"/>
        </w:rPr>
        <w:t xml:space="preserve">. </w:t>
      </w:r>
      <w:r w:rsidR="000044A0" w:rsidRPr="00EA5799">
        <w:rPr>
          <w:rFonts w:ascii="Book Antiqua" w:eastAsia="GungsuhChe" w:hAnsi="Book Antiqua" w:cs="Arial"/>
          <w:lang w:val="en-US"/>
        </w:rPr>
        <w:t xml:space="preserve">In general terms, </w:t>
      </w:r>
      <w:r w:rsidR="004D709C" w:rsidRPr="00EA5799">
        <w:rPr>
          <w:rFonts w:ascii="Book Antiqua" w:eastAsia="GungsuhChe" w:hAnsi="Book Antiqua" w:cs="Arial"/>
          <w:lang w:val="en-US"/>
        </w:rPr>
        <w:t xml:space="preserve">the </w:t>
      </w:r>
      <w:r w:rsidR="000044A0" w:rsidRPr="00EA5799">
        <w:rPr>
          <w:rFonts w:ascii="Book Antiqua" w:eastAsia="GungsuhChe" w:hAnsi="Book Antiqua" w:cs="Arial"/>
          <w:lang w:val="en-US"/>
        </w:rPr>
        <w:t>richness</w:t>
      </w:r>
      <w:r w:rsidR="00ED46E6" w:rsidRPr="00EA5799">
        <w:rPr>
          <w:rFonts w:ascii="Book Antiqua" w:eastAsia="GungsuhChe" w:hAnsi="Book Antiqua" w:cs="Arial"/>
          <w:lang w:val="en-US"/>
        </w:rPr>
        <w:t xml:space="preserve"> in intestinal microbiota</w:t>
      </w:r>
      <w:r w:rsidR="002E569F" w:rsidRPr="00EA5799">
        <w:rPr>
          <w:rFonts w:ascii="Book Antiqua" w:eastAsia="GungsuhChe" w:hAnsi="Book Antiqua" w:cs="Arial"/>
          <w:lang w:val="en-US"/>
        </w:rPr>
        <w:t xml:space="preserve"> </w:t>
      </w:r>
      <w:r w:rsidR="004F2A2C">
        <w:rPr>
          <w:rFonts w:ascii="Book Antiqua" w:eastAsia="GungsuhChe" w:hAnsi="Book Antiqua" w:cs="Arial"/>
          <w:lang w:val="en-US"/>
        </w:rPr>
        <w:t>increase</w:t>
      </w:r>
      <w:r w:rsidR="004F2A2C">
        <w:rPr>
          <w:rFonts w:ascii="Book Antiqua" w:eastAsia="宋体" w:hAnsi="Book Antiqua" w:cs="Arial" w:hint="eastAsia"/>
          <w:lang w:val="en-US" w:eastAsia="zh-CN"/>
        </w:rPr>
        <w:t>s</w:t>
      </w:r>
      <w:r w:rsidR="000044A0" w:rsidRPr="00EA5799">
        <w:rPr>
          <w:rFonts w:ascii="Book Antiqua" w:eastAsia="GungsuhChe" w:hAnsi="Book Antiqua" w:cs="Arial"/>
          <w:lang w:val="en-US"/>
        </w:rPr>
        <w:t xml:space="preserve"> with age, as expected. </w:t>
      </w:r>
      <w:r w:rsidR="00613BA1" w:rsidRPr="00EA5799">
        <w:rPr>
          <w:rFonts w:ascii="Book Antiqua" w:eastAsia="GungsuhChe" w:hAnsi="Book Antiqua" w:cs="Arial"/>
          <w:lang w:val="en-US"/>
        </w:rPr>
        <w:t>Moreover</w:t>
      </w:r>
      <w:r w:rsidR="0052763F" w:rsidRPr="00EA5799">
        <w:rPr>
          <w:rFonts w:ascii="Book Antiqua" w:eastAsia="GungsuhChe" w:hAnsi="Book Antiqua" w:cs="Arial"/>
          <w:lang w:val="en-US"/>
        </w:rPr>
        <w:t>,</w:t>
      </w:r>
      <w:r w:rsidR="000044A0" w:rsidRPr="00EA5799">
        <w:rPr>
          <w:rFonts w:ascii="Book Antiqua" w:eastAsia="GungsuhChe" w:hAnsi="Book Antiqua" w:cs="Arial"/>
          <w:lang w:val="en-US"/>
        </w:rPr>
        <w:t xml:space="preserve"> differences were also observed </w:t>
      </w:r>
      <w:r w:rsidR="004D709C" w:rsidRPr="00EA5799">
        <w:rPr>
          <w:rFonts w:ascii="Book Antiqua" w:eastAsia="GungsuhChe" w:hAnsi="Book Antiqua" w:cs="Arial"/>
          <w:lang w:val="en-US"/>
        </w:rPr>
        <w:t xml:space="preserve">in </w:t>
      </w:r>
      <w:r w:rsidR="00BB565F" w:rsidRPr="00EA5799">
        <w:rPr>
          <w:rFonts w:ascii="Book Antiqua" w:eastAsia="GungsuhChe" w:hAnsi="Book Antiqua" w:cs="Arial"/>
          <w:lang w:val="en-US"/>
        </w:rPr>
        <w:t>the kind of bacterial community in children and adults</w:t>
      </w:r>
      <w:r w:rsidR="00A67F0F" w:rsidRPr="00EA5799">
        <w:rPr>
          <w:rFonts w:ascii="Book Antiqua" w:eastAsia="GungsuhChe" w:hAnsi="Book Antiqua" w:cs="Arial"/>
          <w:lang w:val="en-US"/>
        </w:rPr>
        <w:t>.</w:t>
      </w:r>
      <w:r w:rsidR="00613BA1" w:rsidRPr="00EA5799">
        <w:rPr>
          <w:rFonts w:ascii="Book Antiqua" w:eastAsia="GungsuhChe" w:hAnsi="Book Antiqua" w:cs="Arial"/>
          <w:lang w:val="en-US"/>
        </w:rPr>
        <w:t xml:space="preserve"> Although </w:t>
      </w:r>
      <w:r w:rsidR="00BB565F" w:rsidRPr="00EA5799">
        <w:rPr>
          <w:rFonts w:ascii="Book Antiqua" w:eastAsia="GungsuhChe" w:hAnsi="Book Antiqua" w:cs="Arial"/>
          <w:lang w:val="en-US"/>
        </w:rPr>
        <w:t xml:space="preserve">these are speculative data, it could be </w:t>
      </w:r>
      <w:r w:rsidR="004D709C" w:rsidRPr="00EA5799">
        <w:rPr>
          <w:rFonts w:ascii="Book Antiqua" w:eastAsia="GungsuhChe" w:hAnsi="Book Antiqua" w:cs="Arial"/>
          <w:lang w:val="en-US"/>
        </w:rPr>
        <w:t xml:space="preserve">hypothesized </w:t>
      </w:r>
      <w:r w:rsidR="00BB565F" w:rsidRPr="00EA5799">
        <w:rPr>
          <w:rFonts w:ascii="Book Antiqua" w:eastAsia="GungsuhChe" w:hAnsi="Book Antiqua" w:cs="Arial"/>
          <w:lang w:val="en-US"/>
        </w:rPr>
        <w:t xml:space="preserve">that the interaction between </w:t>
      </w:r>
      <w:r w:rsidR="002F7E77" w:rsidRPr="00EA5799">
        <w:rPr>
          <w:rFonts w:ascii="Book Antiqua" w:eastAsia="GungsuhChe" w:hAnsi="Book Antiqua" w:cs="Arial"/>
          <w:lang w:val="en-US"/>
        </w:rPr>
        <w:t xml:space="preserve">microbiota and the immune system </w:t>
      </w:r>
      <w:r w:rsidR="00F06F0A" w:rsidRPr="00EA5799">
        <w:rPr>
          <w:rFonts w:ascii="Book Antiqua" w:eastAsia="GungsuhChe" w:hAnsi="Book Antiqua" w:cs="Arial"/>
          <w:lang w:val="en-US"/>
        </w:rPr>
        <w:t>differ</w:t>
      </w:r>
      <w:r w:rsidR="00B2476C" w:rsidRPr="00EA5799">
        <w:rPr>
          <w:rFonts w:ascii="Book Antiqua" w:eastAsia="GungsuhChe" w:hAnsi="Book Antiqua" w:cs="Arial"/>
          <w:lang w:val="en-US"/>
        </w:rPr>
        <w:t>s</w:t>
      </w:r>
      <w:r w:rsidR="002F7E77" w:rsidRPr="00EA5799">
        <w:rPr>
          <w:rFonts w:ascii="Book Antiqua" w:eastAsia="GungsuhChe" w:hAnsi="Book Antiqua" w:cs="Arial"/>
          <w:lang w:val="en-US"/>
        </w:rPr>
        <w:t xml:space="preserve"> </w:t>
      </w:r>
      <w:r w:rsidR="004D709C" w:rsidRPr="00EA5799">
        <w:rPr>
          <w:rFonts w:ascii="Book Antiqua" w:eastAsia="GungsuhChe" w:hAnsi="Book Antiqua" w:cs="Arial"/>
          <w:lang w:val="en-US"/>
        </w:rPr>
        <w:t>based on</w:t>
      </w:r>
      <w:r w:rsidR="002F7E77" w:rsidRPr="00EA5799">
        <w:rPr>
          <w:rFonts w:ascii="Book Antiqua" w:eastAsia="GungsuhChe" w:hAnsi="Book Antiqua" w:cs="Arial"/>
          <w:lang w:val="en-US"/>
        </w:rPr>
        <w:t xml:space="preserve"> </w:t>
      </w:r>
      <w:r w:rsidR="004D709C" w:rsidRPr="00EA5799">
        <w:rPr>
          <w:rFonts w:ascii="Book Antiqua" w:eastAsia="GungsuhChe" w:hAnsi="Book Antiqua" w:cs="Arial"/>
          <w:lang w:val="en-US"/>
        </w:rPr>
        <w:t xml:space="preserve">the </w:t>
      </w:r>
      <w:r w:rsidR="002F7E77" w:rsidRPr="00EA5799">
        <w:rPr>
          <w:rFonts w:ascii="Book Antiqua" w:eastAsia="GungsuhChe" w:hAnsi="Book Antiqua" w:cs="Arial"/>
          <w:lang w:val="en-US"/>
        </w:rPr>
        <w:t>age</w:t>
      </w:r>
      <w:r w:rsidR="004D709C" w:rsidRPr="00EA5799">
        <w:rPr>
          <w:rFonts w:ascii="Book Antiqua" w:eastAsia="GungsuhChe" w:hAnsi="Book Antiqua" w:cs="Arial"/>
          <w:lang w:val="en-US"/>
        </w:rPr>
        <w:t>-</w:t>
      </w:r>
      <w:r w:rsidR="00F06F0A" w:rsidRPr="00EA5799">
        <w:rPr>
          <w:rFonts w:ascii="Book Antiqua" w:eastAsia="GungsuhChe" w:hAnsi="Book Antiqua" w:cs="Arial"/>
          <w:lang w:val="en-US"/>
        </w:rPr>
        <w:t>varying</w:t>
      </w:r>
      <w:r w:rsidR="002F7E77" w:rsidRPr="00EA5799">
        <w:rPr>
          <w:rFonts w:ascii="Book Antiqua" w:eastAsia="GungsuhChe" w:hAnsi="Book Antiqua" w:cs="Arial"/>
          <w:lang w:val="en-US"/>
        </w:rPr>
        <w:t xml:space="preserve"> microbial composition</w:t>
      </w:r>
      <w:r w:rsidR="00A67F0F"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F06F0A" w:rsidRPr="00EA5799">
        <w:rPr>
          <w:rFonts w:ascii="Book Antiqua" w:eastAsia="GungsuhChe" w:hAnsi="Book Antiqua" w:cs="Arial"/>
          <w:lang w:val="en-US"/>
        </w:rPr>
        <w:t xml:space="preserve">This would </w:t>
      </w:r>
      <w:r w:rsidR="00F06F0A" w:rsidRPr="00EA5799">
        <w:rPr>
          <w:rFonts w:ascii="Book Antiqua" w:eastAsia="GungsuhChe" w:hAnsi="Book Antiqua" w:cs="Arial"/>
          <w:lang w:val="en-US"/>
        </w:rPr>
        <w:lastRenderedPageBreak/>
        <w:t xml:space="preserve">originate a different </w:t>
      </w:r>
      <w:r w:rsidR="00896172" w:rsidRPr="00EA5799">
        <w:rPr>
          <w:rFonts w:ascii="Book Antiqua" w:eastAsia="GungsuhChe" w:hAnsi="Book Antiqua" w:cs="Arial"/>
          <w:lang w:val="en-US"/>
        </w:rPr>
        <w:t>response, which</w:t>
      </w:r>
      <w:r w:rsidR="00613BA1" w:rsidRPr="00EA5799">
        <w:rPr>
          <w:rFonts w:ascii="Book Antiqua" w:eastAsia="GungsuhChe" w:hAnsi="Book Antiqua" w:cs="Arial"/>
          <w:lang w:val="en-US"/>
        </w:rPr>
        <w:t xml:space="preserve"> </w:t>
      </w:r>
      <w:r w:rsidR="00F06F0A" w:rsidRPr="00EA5799">
        <w:rPr>
          <w:rFonts w:ascii="Book Antiqua" w:eastAsia="GungsuhChe" w:hAnsi="Book Antiqua" w:cs="Arial"/>
          <w:lang w:val="en-US"/>
        </w:rPr>
        <w:t xml:space="preserve">could be related </w:t>
      </w:r>
      <w:r w:rsidR="000D1A81" w:rsidRPr="00EA5799">
        <w:rPr>
          <w:rFonts w:ascii="Book Antiqua" w:eastAsia="GungsuhChe" w:hAnsi="Book Antiqua" w:cs="Arial"/>
          <w:lang w:val="en-US"/>
        </w:rPr>
        <w:t xml:space="preserve">to </w:t>
      </w:r>
      <w:r w:rsidR="00F06F0A" w:rsidRPr="00EA5799">
        <w:rPr>
          <w:rFonts w:ascii="Book Antiqua" w:eastAsia="GungsuhChe" w:hAnsi="Book Antiqua" w:cs="Arial"/>
          <w:lang w:val="en-US"/>
        </w:rPr>
        <w:t>the clinical, analytical and histological response</w:t>
      </w:r>
      <w:r w:rsidR="000D1A81" w:rsidRPr="00EA5799">
        <w:rPr>
          <w:rFonts w:ascii="Book Antiqua" w:eastAsia="GungsuhChe" w:hAnsi="Book Antiqua" w:cs="Arial"/>
          <w:lang w:val="en-US"/>
        </w:rPr>
        <w:t>s,</w:t>
      </w:r>
      <w:r w:rsidR="00F06F0A" w:rsidRPr="00EA5799">
        <w:rPr>
          <w:rFonts w:ascii="Book Antiqua" w:eastAsia="GungsuhChe" w:hAnsi="Book Antiqua" w:cs="Arial"/>
          <w:lang w:val="en-US"/>
        </w:rPr>
        <w:t xml:space="preserve"> we see in adults.</w:t>
      </w:r>
      <w:r w:rsidR="002E569F" w:rsidRPr="00EA5799">
        <w:rPr>
          <w:rFonts w:ascii="Book Antiqua" w:eastAsia="GungsuhChe" w:hAnsi="Book Antiqua" w:cs="Arial"/>
          <w:lang w:val="en-US"/>
        </w:rPr>
        <w:t xml:space="preserve"> </w:t>
      </w:r>
    </w:p>
    <w:p w14:paraId="5DAB6ADA" w14:textId="11FF0520" w:rsidR="00E75BA6" w:rsidRDefault="00DB4217" w:rsidP="004F2A2C">
      <w:pPr>
        <w:spacing w:after="0" w:line="360" w:lineRule="auto"/>
        <w:ind w:firstLineChars="100" w:firstLine="240"/>
        <w:jc w:val="both"/>
        <w:rPr>
          <w:rFonts w:ascii="Book Antiqua" w:eastAsia="宋体" w:hAnsi="Book Antiqua" w:cs="Arial"/>
          <w:lang w:val="en-US" w:eastAsia="zh-CN"/>
        </w:rPr>
      </w:pPr>
      <w:r w:rsidRPr="00EA5799">
        <w:rPr>
          <w:rFonts w:ascii="Book Antiqua" w:eastAsia="GungsuhChe" w:hAnsi="Book Antiqua" w:cs="Arial"/>
          <w:lang w:val="en-US"/>
        </w:rPr>
        <w:t>Intraepithelial</w:t>
      </w:r>
      <w:r w:rsidR="00B2476C" w:rsidRPr="00EA5799">
        <w:rPr>
          <w:rFonts w:ascii="Book Antiqua" w:eastAsia="GungsuhChe" w:hAnsi="Book Antiqua" w:cs="Arial"/>
          <w:lang w:val="en-US"/>
        </w:rPr>
        <w:t xml:space="preserve"> lymphocytes (IEL) have an important role in the immune </w:t>
      </w:r>
      <w:r w:rsidR="008D681B" w:rsidRPr="00EA5799">
        <w:rPr>
          <w:rFonts w:ascii="Book Antiqua" w:eastAsia="GungsuhChe" w:hAnsi="Book Antiqua" w:cs="Arial"/>
          <w:lang w:val="en-US"/>
        </w:rPr>
        <w:t>response, which</w:t>
      </w:r>
      <w:r w:rsidR="00B2476C" w:rsidRPr="00EA5799">
        <w:rPr>
          <w:rFonts w:ascii="Book Antiqua" w:eastAsia="GungsuhChe" w:hAnsi="Book Antiqua" w:cs="Arial"/>
          <w:lang w:val="en-US"/>
        </w:rPr>
        <w:t xml:space="preserve"> is part of </w:t>
      </w:r>
      <w:r w:rsidR="008312D7" w:rsidRPr="00EA5799">
        <w:rPr>
          <w:rFonts w:ascii="Book Antiqua" w:eastAsia="GungsuhChe" w:hAnsi="Book Antiqua" w:cs="Arial"/>
          <w:lang w:val="en-US"/>
        </w:rPr>
        <w:t xml:space="preserve">the pathogenesis of </w:t>
      </w:r>
      <w:r w:rsidR="00B2476C" w:rsidRPr="00EA5799">
        <w:rPr>
          <w:rFonts w:ascii="Book Antiqua" w:eastAsia="GungsuhChe" w:hAnsi="Book Antiqua" w:cs="Arial"/>
          <w:lang w:val="en-US"/>
        </w:rPr>
        <w:t>CD</w:t>
      </w:r>
      <w:r w:rsidR="0097049F"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1D3299" w:rsidRPr="00EA5799">
        <w:rPr>
          <w:rFonts w:ascii="Book Antiqua" w:eastAsia="GungsuhChe" w:hAnsi="Book Antiqua" w:cs="Arial"/>
          <w:lang w:val="en-US"/>
        </w:rPr>
        <w:t xml:space="preserve">Within these lymphocytes, the most characteristic feature of CD, independent of the presentation age, is the increase in CD3+ </w:t>
      </w:r>
      <w:r w:rsidR="008D681B" w:rsidRPr="00EA5799">
        <w:rPr>
          <w:rFonts w:ascii="Book Antiqua" w:eastAsia="GungsuhChe" w:hAnsi="Book Antiqua" w:cs="Arial"/>
          <w:lang w:val="en-US"/>
        </w:rPr>
        <w:t>lymphocytes</w:t>
      </w:r>
      <w:r w:rsidR="000D1A81" w:rsidRPr="00EA5799">
        <w:rPr>
          <w:rFonts w:ascii="Book Antiqua" w:eastAsia="GungsuhChe" w:hAnsi="Book Antiqua" w:cs="Arial"/>
          <w:lang w:val="en-US"/>
        </w:rPr>
        <w:t>,</w:t>
      </w:r>
      <w:r w:rsidR="008D681B" w:rsidRPr="00EA5799">
        <w:rPr>
          <w:rFonts w:ascii="Book Antiqua" w:eastAsia="GungsuhChe" w:hAnsi="Book Antiqua" w:cs="Arial"/>
          <w:lang w:val="en-US"/>
        </w:rPr>
        <w:t xml:space="preserve"> which</w:t>
      </w:r>
      <w:r w:rsidR="001D3299" w:rsidRPr="00EA5799">
        <w:rPr>
          <w:rFonts w:ascii="Book Antiqua" w:eastAsia="GungsuhChe" w:hAnsi="Book Antiqua" w:cs="Arial"/>
          <w:lang w:val="en-US"/>
        </w:rPr>
        <w:t xml:space="preserve"> express the </w:t>
      </w:r>
      <w:r w:rsidRPr="00EA5799">
        <w:rPr>
          <w:rFonts w:ascii="Book Antiqua" w:eastAsia="GungsuhChe" w:hAnsi="Book Antiqua" w:cs="Arial"/>
          <w:lang w:val="en-US"/>
        </w:rPr>
        <w:sym w:font="Symbol" w:char="F067"/>
      </w:r>
      <w:r w:rsidRPr="00EA5799">
        <w:rPr>
          <w:rFonts w:ascii="Book Antiqua" w:eastAsia="GungsuhChe" w:hAnsi="Book Antiqua" w:cs="Arial"/>
          <w:lang w:val="en-US"/>
        </w:rPr>
        <w:sym w:font="Symbol" w:char="F064"/>
      </w:r>
      <w:r w:rsidR="006033B7" w:rsidRPr="00EA5799">
        <w:rPr>
          <w:rFonts w:ascii="Book Antiqua" w:eastAsia="GungsuhChe" w:hAnsi="Book Antiqua" w:cs="Arial"/>
          <w:lang w:val="en-US"/>
        </w:rPr>
        <w:t xml:space="preserve"> </w:t>
      </w:r>
      <w:r w:rsidR="00A945E5" w:rsidRPr="00EA5799">
        <w:rPr>
          <w:rFonts w:ascii="Book Antiqua" w:eastAsia="GungsuhChe" w:hAnsi="Book Antiqua" w:cs="Arial"/>
          <w:lang w:val="en-US"/>
        </w:rPr>
        <w:t>receptor</w:t>
      </w:r>
      <w:r w:rsidR="00194BAC"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6033B7" w:rsidRPr="00EA5799">
        <w:rPr>
          <w:rFonts w:ascii="Book Antiqua" w:eastAsia="GungsuhChe" w:hAnsi="Book Antiqua" w:cs="Arial"/>
          <w:lang w:val="en-US"/>
        </w:rPr>
        <w:t xml:space="preserve">The </w:t>
      </w:r>
      <w:r w:rsidR="000E4282" w:rsidRPr="00EA5799">
        <w:rPr>
          <w:rFonts w:ascii="Book Antiqua" w:eastAsia="GungsuhChe" w:hAnsi="Book Antiqua" w:cs="Arial"/>
          <w:lang w:val="en-US"/>
        </w:rPr>
        <w:t xml:space="preserve">function of </w:t>
      </w:r>
      <w:r w:rsidR="006033B7" w:rsidRPr="00EA5799">
        <w:rPr>
          <w:rFonts w:ascii="Book Antiqua" w:eastAsia="GungsuhChe" w:hAnsi="Book Antiqua" w:cs="Arial"/>
          <w:lang w:val="en-US"/>
        </w:rPr>
        <w:sym w:font="Symbol" w:char="F067"/>
      </w:r>
      <w:r w:rsidR="006033B7" w:rsidRPr="00EA5799">
        <w:rPr>
          <w:rFonts w:ascii="Book Antiqua" w:eastAsia="GungsuhChe" w:hAnsi="Book Antiqua" w:cs="Arial"/>
          <w:lang w:val="en-US"/>
        </w:rPr>
        <w:sym w:font="Symbol" w:char="F064"/>
      </w:r>
      <w:r w:rsidR="006033B7" w:rsidRPr="00EA5799">
        <w:rPr>
          <w:rFonts w:ascii="Book Antiqua" w:eastAsia="GungsuhChe" w:hAnsi="Book Antiqua" w:cs="Arial"/>
          <w:lang w:val="en-US"/>
        </w:rPr>
        <w:t xml:space="preserve"> IELs is not known, but they could have a regulatory role </w:t>
      </w:r>
      <w:r w:rsidR="00E12F67" w:rsidRPr="00EA5799">
        <w:rPr>
          <w:rFonts w:ascii="Book Antiqua" w:eastAsia="GungsuhChe" w:hAnsi="Book Antiqua" w:cs="Arial"/>
          <w:lang w:val="en-US"/>
        </w:rPr>
        <w:t xml:space="preserve">in </w:t>
      </w:r>
      <w:r w:rsidR="006033B7" w:rsidRPr="00EA5799">
        <w:rPr>
          <w:rFonts w:ascii="Book Antiqua" w:eastAsia="GungsuhChe" w:hAnsi="Book Antiqua" w:cs="Arial"/>
          <w:lang w:val="en-US"/>
        </w:rPr>
        <w:t xml:space="preserve">the immune </w:t>
      </w:r>
      <w:proofErr w:type="gramStart"/>
      <w:r w:rsidR="006033B7" w:rsidRPr="00EA5799">
        <w:rPr>
          <w:rFonts w:ascii="Book Antiqua" w:eastAsia="GungsuhChe" w:hAnsi="Book Antiqua" w:cs="Arial"/>
          <w:lang w:val="en-US"/>
        </w:rPr>
        <w:t>response</w:t>
      </w:r>
      <w:r w:rsidR="00115973" w:rsidRPr="00EA5799">
        <w:rPr>
          <w:rFonts w:ascii="Book Antiqua" w:eastAsia="GungsuhChe" w:hAnsi="Book Antiqua" w:cs="Arial"/>
          <w:vertAlign w:val="superscript"/>
          <w:lang w:val="en-US"/>
        </w:rPr>
        <w:t>[</w:t>
      </w:r>
      <w:proofErr w:type="gramEnd"/>
      <w:r w:rsidR="00115973" w:rsidRPr="00EA5799">
        <w:rPr>
          <w:rFonts w:ascii="Book Antiqua" w:eastAsia="GungsuhChe" w:hAnsi="Book Antiqua" w:cs="Arial"/>
          <w:vertAlign w:val="superscript"/>
          <w:lang w:val="en-US"/>
        </w:rPr>
        <w:t>29]</w:t>
      </w:r>
      <w:r w:rsidR="006033B7"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6033B7" w:rsidRPr="00EA5799">
        <w:rPr>
          <w:rFonts w:ascii="Book Antiqua" w:eastAsia="GungsuhChe" w:hAnsi="Book Antiqua" w:cs="Arial"/>
          <w:lang w:val="en-US"/>
        </w:rPr>
        <w:t>This would explain their relationship with the</w:t>
      </w:r>
      <w:r w:rsidR="00500FFC" w:rsidRPr="00EA5799">
        <w:rPr>
          <w:rFonts w:ascii="Book Antiqua" w:eastAsia="GungsuhChe" w:hAnsi="Book Antiqua" w:cs="Arial"/>
          <w:lang w:val="en-US"/>
        </w:rPr>
        <w:t xml:space="preserve"> degree of</w:t>
      </w:r>
      <w:r w:rsidR="006033B7" w:rsidRPr="00EA5799">
        <w:rPr>
          <w:rFonts w:ascii="Book Antiqua" w:eastAsia="GungsuhChe" w:hAnsi="Book Antiqua" w:cs="Arial"/>
          <w:lang w:val="en-US"/>
        </w:rPr>
        <w:t xml:space="preserve"> villous atrophy both in children and in </w:t>
      </w:r>
      <w:proofErr w:type="gramStart"/>
      <w:r w:rsidR="006033B7" w:rsidRPr="00EA5799">
        <w:rPr>
          <w:rFonts w:ascii="Book Antiqua" w:eastAsia="GungsuhChe" w:hAnsi="Book Antiqua" w:cs="Arial"/>
          <w:lang w:val="en-US"/>
        </w:rPr>
        <w:t>adults</w:t>
      </w:r>
      <w:r w:rsidR="00115973" w:rsidRPr="00EA5799">
        <w:rPr>
          <w:rFonts w:ascii="Book Antiqua" w:eastAsia="GungsuhChe" w:hAnsi="Book Antiqua" w:cs="Arial"/>
          <w:vertAlign w:val="superscript"/>
          <w:lang w:val="en-US"/>
        </w:rPr>
        <w:t>[</w:t>
      </w:r>
      <w:proofErr w:type="gramEnd"/>
      <w:r w:rsidR="00115973" w:rsidRPr="00EA5799">
        <w:rPr>
          <w:rFonts w:ascii="Book Antiqua" w:eastAsia="GungsuhChe" w:hAnsi="Book Antiqua" w:cs="Arial"/>
          <w:vertAlign w:val="superscript"/>
          <w:lang w:val="en-US"/>
        </w:rPr>
        <w:t>30]</w:t>
      </w:r>
      <w:r w:rsidR="006033B7"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6033B7" w:rsidRPr="00EA5799">
        <w:rPr>
          <w:rFonts w:ascii="Book Antiqua" w:eastAsia="GungsuhChe" w:hAnsi="Book Antiqua" w:cs="Arial"/>
          <w:lang w:val="en-US"/>
        </w:rPr>
        <w:t xml:space="preserve">Another characteristic population is CD3-, which </w:t>
      </w:r>
      <w:r w:rsidR="006033B7" w:rsidRPr="00EA5799">
        <w:rPr>
          <w:rFonts w:ascii="Book Antiqua" w:eastAsia="GungsuhChe" w:hAnsi="Book Antiqua" w:cs="Arial"/>
          <w:i/>
          <w:lang w:val="en-US"/>
        </w:rPr>
        <w:t>is</w:t>
      </w:r>
      <w:r w:rsidR="006033B7" w:rsidRPr="00EA5799">
        <w:rPr>
          <w:rFonts w:ascii="Book Antiqua" w:eastAsia="GungsuhChe" w:hAnsi="Book Antiqua" w:cs="Arial"/>
          <w:lang w:val="en-US"/>
        </w:rPr>
        <w:t xml:space="preserve"> inversely related </w:t>
      </w:r>
      <w:r w:rsidR="00E12F67" w:rsidRPr="00EA5799">
        <w:rPr>
          <w:rFonts w:ascii="Book Antiqua" w:eastAsia="GungsuhChe" w:hAnsi="Book Antiqua" w:cs="Arial"/>
          <w:lang w:val="en-US"/>
        </w:rPr>
        <w:t xml:space="preserve">to </w:t>
      </w:r>
      <w:r w:rsidR="006033B7" w:rsidRPr="00EA5799">
        <w:rPr>
          <w:rFonts w:ascii="Book Antiqua" w:eastAsia="GungsuhChe" w:hAnsi="Book Antiqua" w:cs="Arial"/>
          <w:lang w:val="en-US"/>
        </w:rPr>
        <w:t>age</w:t>
      </w:r>
      <w:r w:rsidR="00F44B14" w:rsidRPr="00EA5799">
        <w:rPr>
          <w:rFonts w:ascii="Book Antiqua" w:eastAsia="GungsuhChe" w:hAnsi="Book Antiqua" w:cs="Arial"/>
          <w:lang w:val="en-US"/>
        </w:rPr>
        <w:t xml:space="preserve">. It </w:t>
      </w:r>
      <w:r w:rsidR="006033B7" w:rsidRPr="00EA5799">
        <w:rPr>
          <w:rFonts w:ascii="Book Antiqua" w:eastAsia="GungsuhChe" w:hAnsi="Book Antiqua" w:cs="Arial"/>
          <w:lang w:val="en-US"/>
        </w:rPr>
        <w:t xml:space="preserve">appears </w:t>
      </w:r>
      <w:r w:rsidR="00500FFC" w:rsidRPr="00EA5799">
        <w:rPr>
          <w:rFonts w:ascii="Book Antiqua" w:eastAsia="GungsuhChe" w:hAnsi="Book Antiqua" w:cs="Arial"/>
          <w:lang w:val="en-US"/>
        </w:rPr>
        <w:t xml:space="preserve">at </w:t>
      </w:r>
      <w:r w:rsidR="006033B7" w:rsidRPr="00EA5799">
        <w:rPr>
          <w:rFonts w:ascii="Book Antiqua" w:eastAsia="GungsuhChe" w:hAnsi="Book Antiqua" w:cs="Arial"/>
          <w:lang w:val="en-US"/>
        </w:rPr>
        <w:t xml:space="preserve">twice </w:t>
      </w:r>
      <w:r w:rsidR="00E12F67" w:rsidRPr="00EA5799">
        <w:rPr>
          <w:rFonts w:ascii="Book Antiqua" w:eastAsia="GungsuhChe" w:hAnsi="Book Antiqua" w:cs="Arial"/>
          <w:lang w:val="en-US"/>
        </w:rPr>
        <w:t xml:space="preserve">the </w:t>
      </w:r>
      <w:r w:rsidR="006033B7" w:rsidRPr="00EA5799">
        <w:rPr>
          <w:rFonts w:ascii="Book Antiqua" w:eastAsia="GungsuhChe" w:hAnsi="Book Antiqua" w:cs="Arial"/>
          <w:lang w:val="en-US"/>
        </w:rPr>
        <w:t>frequency</w:t>
      </w:r>
      <w:r w:rsidR="00F44B14" w:rsidRPr="00EA5799">
        <w:rPr>
          <w:rFonts w:ascii="Book Antiqua" w:eastAsia="GungsuhChe" w:hAnsi="Book Antiqua" w:cs="Arial"/>
          <w:lang w:val="en-US"/>
        </w:rPr>
        <w:t xml:space="preserve"> in children under three years of age</w:t>
      </w:r>
      <w:r w:rsidR="006033B7" w:rsidRPr="00EA5799">
        <w:rPr>
          <w:rFonts w:ascii="Book Antiqua" w:eastAsia="GungsuhChe" w:hAnsi="Book Antiqua" w:cs="Arial"/>
          <w:lang w:val="en-US"/>
        </w:rPr>
        <w:t xml:space="preserve"> </w:t>
      </w:r>
      <w:r w:rsidR="00F44B14" w:rsidRPr="00EA5799">
        <w:rPr>
          <w:rFonts w:ascii="Book Antiqua" w:eastAsia="GungsuhChe" w:hAnsi="Book Antiqua" w:cs="Arial"/>
          <w:lang w:val="en-US"/>
        </w:rPr>
        <w:t>than</w:t>
      </w:r>
      <w:r w:rsidR="002E569F" w:rsidRPr="00EA5799">
        <w:rPr>
          <w:rFonts w:ascii="Book Antiqua" w:eastAsia="GungsuhChe" w:hAnsi="Book Antiqua" w:cs="Arial"/>
          <w:lang w:val="en-US"/>
        </w:rPr>
        <w:t xml:space="preserve"> </w:t>
      </w:r>
      <w:proofErr w:type="gramStart"/>
      <w:r w:rsidR="006033B7" w:rsidRPr="00EA5799">
        <w:rPr>
          <w:rFonts w:ascii="Book Antiqua" w:eastAsia="GungsuhChe" w:hAnsi="Book Antiqua" w:cs="Arial"/>
          <w:lang w:val="en-US"/>
        </w:rPr>
        <w:t>adults</w:t>
      </w:r>
      <w:r w:rsidR="003967CC" w:rsidRPr="00EA5799">
        <w:rPr>
          <w:rFonts w:ascii="Book Antiqua" w:eastAsia="GungsuhChe" w:hAnsi="Book Antiqua" w:cs="Arial"/>
          <w:vertAlign w:val="superscript"/>
          <w:lang w:val="en-US"/>
        </w:rPr>
        <w:t>[</w:t>
      </w:r>
      <w:proofErr w:type="gramEnd"/>
      <w:r w:rsidR="003967CC" w:rsidRPr="00EA5799">
        <w:rPr>
          <w:rFonts w:ascii="Book Antiqua" w:eastAsia="GungsuhChe" w:hAnsi="Book Antiqua" w:cs="Arial"/>
          <w:vertAlign w:val="superscript"/>
          <w:lang w:val="en-US"/>
        </w:rPr>
        <w:t>31]</w:t>
      </w:r>
      <w:r w:rsidR="007D4028"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F44B14" w:rsidRPr="00EA5799">
        <w:rPr>
          <w:rFonts w:ascii="Book Antiqua" w:eastAsia="GungsuhChe" w:hAnsi="Book Antiqua" w:cs="Arial"/>
          <w:lang w:val="en-US"/>
        </w:rPr>
        <w:t xml:space="preserve"> Changes in</w:t>
      </w:r>
      <w:r w:rsidR="00896172" w:rsidRPr="00EA5799">
        <w:rPr>
          <w:rFonts w:ascii="Book Antiqua" w:eastAsia="GungsuhChe" w:hAnsi="Book Antiqua" w:cs="Arial"/>
          <w:lang w:val="en-US"/>
        </w:rPr>
        <w:t xml:space="preserve"> </w:t>
      </w:r>
      <w:r w:rsidR="00B369F9" w:rsidRPr="00EA5799">
        <w:rPr>
          <w:rFonts w:ascii="Book Antiqua" w:eastAsia="GungsuhChe" w:hAnsi="Book Antiqua" w:cs="Arial"/>
          <w:lang w:val="en-US"/>
        </w:rPr>
        <w:t>IEL population may be related to the presentation form according to age.</w:t>
      </w:r>
      <w:r w:rsidR="002E569F" w:rsidRPr="00EA5799">
        <w:rPr>
          <w:rFonts w:ascii="Book Antiqua" w:eastAsia="GungsuhChe" w:hAnsi="Book Antiqua" w:cs="Arial"/>
          <w:lang w:val="en-US"/>
        </w:rPr>
        <w:t xml:space="preserve"> </w:t>
      </w:r>
      <w:r w:rsidR="00B369F9" w:rsidRPr="00EA5799">
        <w:rPr>
          <w:rFonts w:ascii="Book Antiqua" w:eastAsia="GungsuhChe" w:hAnsi="Book Antiqua" w:cs="Arial"/>
          <w:lang w:val="en-US"/>
        </w:rPr>
        <w:t>Advance</w:t>
      </w:r>
      <w:r w:rsidR="00847EF4" w:rsidRPr="00EA5799">
        <w:rPr>
          <w:rFonts w:ascii="Book Antiqua" w:eastAsia="GungsuhChe" w:hAnsi="Book Antiqua" w:cs="Arial"/>
          <w:lang w:val="en-US"/>
        </w:rPr>
        <w:t>s</w:t>
      </w:r>
      <w:r w:rsidR="00B369F9" w:rsidRPr="00EA5799">
        <w:rPr>
          <w:rFonts w:ascii="Book Antiqua" w:eastAsia="GungsuhChe" w:hAnsi="Book Antiqua" w:cs="Arial"/>
          <w:lang w:val="en-US"/>
        </w:rPr>
        <w:t xml:space="preserve"> in </w:t>
      </w:r>
      <w:r w:rsidR="00F77624" w:rsidRPr="00EA5799">
        <w:rPr>
          <w:rFonts w:ascii="Book Antiqua" w:eastAsia="GungsuhChe" w:hAnsi="Book Antiqua" w:cs="Arial"/>
          <w:lang w:val="en-US"/>
        </w:rPr>
        <w:t xml:space="preserve">the </w:t>
      </w:r>
      <w:r w:rsidR="00B369F9" w:rsidRPr="00EA5799">
        <w:rPr>
          <w:rFonts w:ascii="Book Antiqua" w:eastAsia="GungsuhChe" w:hAnsi="Book Antiqua" w:cs="Arial"/>
          <w:lang w:val="en-US"/>
        </w:rPr>
        <w:t xml:space="preserve">knowledge of these lymphocytes and CD pathogenesis will offer answers in </w:t>
      </w:r>
      <w:r w:rsidR="00EC38DD" w:rsidRPr="00EA5799">
        <w:rPr>
          <w:rFonts w:ascii="Book Antiqua" w:eastAsia="GungsuhChe" w:hAnsi="Book Antiqua" w:cs="Arial"/>
          <w:lang w:val="en-US"/>
        </w:rPr>
        <w:t xml:space="preserve">the </w:t>
      </w:r>
      <w:r w:rsidR="00B369F9" w:rsidRPr="00EA5799">
        <w:rPr>
          <w:rFonts w:ascii="Book Antiqua" w:eastAsia="GungsuhChe" w:hAnsi="Book Antiqua" w:cs="Arial"/>
          <w:lang w:val="en-US"/>
        </w:rPr>
        <w:t>near future.</w:t>
      </w:r>
    </w:p>
    <w:p w14:paraId="5D015A11" w14:textId="77777777" w:rsidR="004F2A2C" w:rsidRPr="004F2A2C" w:rsidRDefault="004F2A2C" w:rsidP="004F2A2C">
      <w:pPr>
        <w:spacing w:after="0" w:line="360" w:lineRule="auto"/>
        <w:ind w:firstLineChars="100" w:firstLine="240"/>
        <w:jc w:val="both"/>
        <w:rPr>
          <w:rFonts w:ascii="Book Antiqua" w:eastAsia="宋体" w:hAnsi="Book Antiqua" w:cs="Arial"/>
          <w:lang w:val="en-US" w:eastAsia="zh-CN"/>
        </w:rPr>
      </w:pPr>
    </w:p>
    <w:p w14:paraId="142F1739" w14:textId="488A7602" w:rsidR="00520569" w:rsidRPr="00EA5799" w:rsidRDefault="004F2A2C" w:rsidP="00EA5799">
      <w:pPr>
        <w:spacing w:after="0" w:line="360" w:lineRule="auto"/>
        <w:jc w:val="both"/>
        <w:rPr>
          <w:rFonts w:ascii="Book Antiqua" w:eastAsia="GungsuhChe" w:hAnsi="Book Antiqua" w:cs="Arial"/>
          <w:b/>
          <w:lang w:val="en-US"/>
        </w:rPr>
      </w:pPr>
      <w:r w:rsidRPr="00EA5799">
        <w:rPr>
          <w:rFonts w:ascii="Book Antiqua" w:eastAsia="GungsuhChe" w:hAnsi="Book Antiqua" w:cs="Arial"/>
          <w:b/>
          <w:lang w:val="en-US"/>
        </w:rPr>
        <w:t>EVOLUTION AND PROGNOSIS</w:t>
      </w:r>
    </w:p>
    <w:p w14:paraId="6D9A9A01" w14:textId="0CF8BBD9" w:rsidR="00990600" w:rsidRPr="00EA5799" w:rsidRDefault="00990600" w:rsidP="00EA5799">
      <w:pPr>
        <w:spacing w:after="0" w:line="360" w:lineRule="auto"/>
        <w:jc w:val="both"/>
        <w:rPr>
          <w:rFonts w:ascii="Book Antiqua" w:eastAsia="GungsuhChe" w:hAnsi="Book Antiqua" w:cs="Arial"/>
          <w:lang w:val="en-US"/>
        </w:rPr>
      </w:pPr>
      <w:r w:rsidRPr="00EA5799">
        <w:rPr>
          <w:rFonts w:ascii="Book Antiqua" w:eastAsia="GungsuhChe" w:hAnsi="Book Antiqua" w:cs="Arial"/>
          <w:lang w:val="en-US"/>
        </w:rPr>
        <w:t xml:space="preserve">CD treatment consists </w:t>
      </w:r>
      <w:r w:rsidR="00D72C43" w:rsidRPr="00EA5799">
        <w:rPr>
          <w:rFonts w:ascii="Book Antiqua" w:eastAsia="GungsuhChe" w:hAnsi="Book Antiqua" w:cs="Arial"/>
          <w:lang w:val="en-US"/>
        </w:rPr>
        <w:t>of</w:t>
      </w:r>
      <w:r w:rsidRPr="00EA5799">
        <w:rPr>
          <w:rFonts w:ascii="Book Antiqua" w:eastAsia="GungsuhChe" w:hAnsi="Book Antiqua" w:cs="Arial"/>
          <w:lang w:val="en-US"/>
        </w:rPr>
        <w:t xml:space="preserve"> a stric</w:t>
      </w:r>
      <w:r w:rsidR="00D72C43" w:rsidRPr="00EA5799">
        <w:rPr>
          <w:rFonts w:ascii="Book Antiqua" w:eastAsia="GungsuhChe" w:hAnsi="Book Antiqua" w:cs="Arial"/>
          <w:lang w:val="en-US"/>
        </w:rPr>
        <w:t>t</w:t>
      </w:r>
      <w:r w:rsidR="00ED46E6" w:rsidRPr="00EA5799">
        <w:rPr>
          <w:rFonts w:ascii="Book Antiqua" w:eastAsia="GungsuhChe" w:hAnsi="Book Antiqua" w:cs="Arial"/>
          <w:lang w:val="en-US"/>
        </w:rPr>
        <w:t xml:space="preserve"> life-long</w:t>
      </w:r>
      <w:r w:rsidRPr="00EA5799">
        <w:rPr>
          <w:rFonts w:ascii="Book Antiqua" w:eastAsia="GungsuhChe" w:hAnsi="Book Antiqua" w:cs="Arial"/>
          <w:lang w:val="en-US"/>
        </w:rPr>
        <w:t xml:space="preserve"> gluten-free diet</w:t>
      </w:r>
      <w:r w:rsidR="0053736A" w:rsidRPr="00EA5799">
        <w:rPr>
          <w:rFonts w:ascii="Book Antiqua" w:eastAsia="GungsuhChe" w:hAnsi="Book Antiqua" w:cs="Arial"/>
          <w:lang w:val="en-US"/>
        </w:rPr>
        <w:t xml:space="preserve"> (GFD).</w:t>
      </w:r>
      <w:r w:rsidR="002E569F" w:rsidRPr="00EA5799">
        <w:rPr>
          <w:rFonts w:ascii="Book Antiqua" w:eastAsia="GungsuhChe" w:hAnsi="Book Antiqua" w:cs="Arial"/>
          <w:lang w:val="en-US"/>
        </w:rPr>
        <w:t xml:space="preserve"> </w:t>
      </w:r>
      <w:r w:rsidR="0053736A" w:rsidRPr="00EA5799">
        <w:rPr>
          <w:rFonts w:ascii="Book Antiqua" w:eastAsia="GungsuhChe" w:hAnsi="Book Antiqua" w:cs="Arial"/>
          <w:lang w:val="en-US"/>
        </w:rPr>
        <w:t>Once the diet has begun, a clinical response can be observed in most patients.</w:t>
      </w:r>
      <w:r w:rsidR="002E569F" w:rsidRPr="00EA5799">
        <w:rPr>
          <w:rFonts w:ascii="Book Antiqua" w:eastAsia="GungsuhChe" w:hAnsi="Book Antiqua" w:cs="Arial"/>
          <w:lang w:val="en-US"/>
        </w:rPr>
        <w:t xml:space="preserve"> </w:t>
      </w:r>
      <w:r w:rsidR="0053736A" w:rsidRPr="00EA5799">
        <w:rPr>
          <w:rFonts w:ascii="Book Antiqua" w:eastAsia="GungsuhChe" w:hAnsi="Book Antiqua" w:cs="Arial"/>
          <w:lang w:val="en-US"/>
        </w:rPr>
        <w:t xml:space="preserve">However, in contrast </w:t>
      </w:r>
      <w:r w:rsidR="00EC38DD" w:rsidRPr="00EA5799">
        <w:rPr>
          <w:rFonts w:ascii="Book Antiqua" w:eastAsia="GungsuhChe" w:hAnsi="Book Antiqua" w:cs="Arial"/>
          <w:lang w:val="en-US"/>
        </w:rPr>
        <w:t xml:space="preserve">to </w:t>
      </w:r>
      <w:r w:rsidR="00A7144E" w:rsidRPr="00EA5799">
        <w:rPr>
          <w:rFonts w:ascii="Book Antiqua" w:eastAsia="GungsuhChe" w:hAnsi="Book Antiqua" w:cs="Arial"/>
          <w:lang w:val="en-US"/>
        </w:rPr>
        <w:t>children</w:t>
      </w:r>
      <w:r w:rsidR="0053736A" w:rsidRPr="00EA5799">
        <w:rPr>
          <w:rFonts w:ascii="Book Antiqua" w:eastAsia="GungsuhChe" w:hAnsi="Book Antiqua" w:cs="Arial"/>
          <w:lang w:val="en-US"/>
        </w:rPr>
        <w:t>, up to 30%</w:t>
      </w:r>
      <w:r w:rsidR="009060A3" w:rsidRPr="00EA5799">
        <w:rPr>
          <w:rFonts w:ascii="Book Antiqua" w:eastAsia="GungsuhChe" w:hAnsi="Book Antiqua" w:cs="Arial"/>
          <w:lang w:val="en-US"/>
        </w:rPr>
        <w:t xml:space="preserve"> adults</w:t>
      </w:r>
      <w:r w:rsidR="003368F9" w:rsidRPr="00EA5799">
        <w:rPr>
          <w:rFonts w:ascii="Book Antiqua" w:eastAsia="GungsuhChe" w:hAnsi="Book Antiqua" w:cs="Arial"/>
          <w:lang w:val="en-US"/>
        </w:rPr>
        <w:t xml:space="preserve"> may still have symptoms </w:t>
      </w:r>
      <w:r w:rsidR="00EC38DD" w:rsidRPr="00EA5799">
        <w:rPr>
          <w:rFonts w:ascii="Book Antiqua" w:eastAsia="GungsuhChe" w:hAnsi="Book Antiqua" w:cs="Arial"/>
          <w:lang w:val="en-US"/>
        </w:rPr>
        <w:t>despite</w:t>
      </w:r>
      <w:r w:rsidR="003368F9" w:rsidRPr="00EA5799">
        <w:rPr>
          <w:rFonts w:ascii="Book Antiqua" w:eastAsia="GungsuhChe" w:hAnsi="Book Antiqua" w:cs="Arial"/>
          <w:lang w:val="en-US"/>
        </w:rPr>
        <w:t xml:space="preserve"> having</w:t>
      </w:r>
      <w:r w:rsidR="00896172" w:rsidRPr="00EA5799">
        <w:rPr>
          <w:rFonts w:ascii="Book Antiqua" w:eastAsia="GungsuhChe" w:hAnsi="Book Antiqua" w:cs="Arial"/>
          <w:lang w:val="en-US"/>
        </w:rPr>
        <w:t xml:space="preserve"> </w:t>
      </w:r>
      <w:r w:rsidR="003368F9" w:rsidRPr="00EA5799">
        <w:rPr>
          <w:rFonts w:ascii="Book Antiqua" w:eastAsia="GungsuhChe" w:hAnsi="Book Antiqua" w:cs="Arial"/>
          <w:lang w:val="en-US"/>
        </w:rPr>
        <w:t>withdrawn gluten from the</w:t>
      </w:r>
      <w:r w:rsidR="00EC38DD" w:rsidRPr="00EA5799">
        <w:rPr>
          <w:rFonts w:ascii="Book Antiqua" w:eastAsia="GungsuhChe" w:hAnsi="Book Antiqua" w:cs="Arial"/>
          <w:lang w:val="en-US"/>
        </w:rPr>
        <w:t>ir</w:t>
      </w:r>
      <w:r w:rsidR="003368F9" w:rsidRPr="00EA5799">
        <w:rPr>
          <w:rFonts w:ascii="Book Antiqua" w:eastAsia="GungsuhChe" w:hAnsi="Book Antiqua" w:cs="Arial"/>
          <w:lang w:val="en-US"/>
        </w:rPr>
        <w:t xml:space="preserve"> diet.</w:t>
      </w:r>
      <w:r w:rsidR="002E569F" w:rsidRPr="00EA5799">
        <w:rPr>
          <w:rFonts w:ascii="Book Antiqua" w:eastAsia="GungsuhChe" w:hAnsi="Book Antiqua" w:cs="Arial"/>
          <w:lang w:val="en-US"/>
        </w:rPr>
        <w:t xml:space="preserve"> </w:t>
      </w:r>
      <w:r w:rsidR="00267430" w:rsidRPr="00EA5799">
        <w:rPr>
          <w:rFonts w:ascii="Book Antiqua" w:eastAsia="GungsuhChe" w:hAnsi="Book Antiqua" w:cs="Arial"/>
          <w:lang w:val="en-US"/>
        </w:rPr>
        <w:t xml:space="preserve">This fact </w:t>
      </w:r>
      <w:r w:rsidR="00F77624" w:rsidRPr="00EA5799">
        <w:rPr>
          <w:rFonts w:ascii="Book Antiqua" w:eastAsia="GungsuhChe" w:hAnsi="Book Antiqua" w:cs="Arial"/>
          <w:lang w:val="en-US"/>
        </w:rPr>
        <w:t>demands</w:t>
      </w:r>
      <w:r w:rsidR="00267430" w:rsidRPr="00EA5799">
        <w:rPr>
          <w:rFonts w:ascii="Book Antiqua" w:eastAsia="GungsuhChe" w:hAnsi="Book Antiqua" w:cs="Arial"/>
          <w:lang w:val="en-US"/>
        </w:rPr>
        <w:t xml:space="preserve"> investigation, in adult forms, of other possible causes associated to symptoms in celiac patient</w:t>
      </w:r>
      <w:r w:rsidR="009060A3" w:rsidRPr="00EA5799">
        <w:rPr>
          <w:rFonts w:ascii="Book Antiqua" w:eastAsia="GungsuhChe" w:hAnsi="Book Antiqua" w:cs="Arial"/>
          <w:lang w:val="en-US"/>
        </w:rPr>
        <w:t>s</w:t>
      </w:r>
      <w:r w:rsidR="00267430"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7E5201" w:rsidRPr="00EA5799">
        <w:rPr>
          <w:rFonts w:ascii="Book Antiqua" w:eastAsia="GungsuhChe" w:hAnsi="Book Antiqua" w:cs="Arial"/>
          <w:lang w:val="en-US"/>
        </w:rPr>
        <w:t>l</w:t>
      </w:r>
      <w:r w:rsidR="00267430" w:rsidRPr="00EA5799">
        <w:rPr>
          <w:rFonts w:ascii="Book Antiqua" w:eastAsia="GungsuhChe" w:hAnsi="Book Antiqua" w:cs="Arial"/>
          <w:lang w:val="en-US"/>
        </w:rPr>
        <w:t>actose intolerance, bacterial overgrowth, pancreatic insufficiency, microscopic colitis or refractory CD.</w:t>
      </w:r>
    </w:p>
    <w:p w14:paraId="5F131052" w14:textId="6047E8F9" w:rsidR="00DD40C8" w:rsidRPr="00EA5799" w:rsidRDefault="00C213FC" w:rsidP="004F2A2C">
      <w:pPr>
        <w:spacing w:after="0" w:line="360" w:lineRule="auto"/>
        <w:ind w:firstLineChars="100" w:firstLine="240"/>
        <w:jc w:val="both"/>
        <w:rPr>
          <w:rFonts w:ascii="Book Antiqua" w:eastAsia="GungsuhChe" w:hAnsi="Book Antiqua" w:cs="Arial"/>
          <w:lang w:val="en-US"/>
        </w:rPr>
      </w:pPr>
      <w:r w:rsidRPr="00EA5799">
        <w:rPr>
          <w:rFonts w:ascii="Book Antiqua" w:eastAsia="GungsuhChe" w:hAnsi="Book Antiqua" w:cs="Arial"/>
          <w:lang w:val="en-US"/>
        </w:rPr>
        <w:t xml:space="preserve">Not only </w:t>
      </w:r>
      <w:r w:rsidR="00EC38DD" w:rsidRPr="00EA5799">
        <w:rPr>
          <w:rFonts w:ascii="Book Antiqua" w:eastAsia="GungsuhChe" w:hAnsi="Book Antiqua" w:cs="Arial"/>
          <w:lang w:val="en-US"/>
        </w:rPr>
        <w:t xml:space="preserve">do </w:t>
      </w:r>
      <w:r w:rsidRPr="00EA5799">
        <w:rPr>
          <w:rFonts w:ascii="Book Antiqua" w:eastAsia="GungsuhChe" w:hAnsi="Book Antiqua" w:cs="Arial"/>
          <w:lang w:val="en-US"/>
        </w:rPr>
        <w:t xml:space="preserve">a high percentage of adults </w:t>
      </w:r>
      <w:r w:rsidR="009A0FFC" w:rsidRPr="00EA5799">
        <w:rPr>
          <w:rFonts w:ascii="Book Antiqua" w:eastAsia="GungsuhChe" w:hAnsi="Book Antiqua" w:cs="Arial"/>
          <w:lang w:val="en-US"/>
        </w:rPr>
        <w:t>not</w:t>
      </w:r>
      <w:r w:rsidRPr="00EA5799">
        <w:rPr>
          <w:rFonts w:ascii="Book Antiqua" w:eastAsia="GungsuhChe" w:hAnsi="Book Antiqua" w:cs="Arial"/>
          <w:lang w:val="en-US"/>
        </w:rPr>
        <w:t xml:space="preserve"> respond to the GFD</w:t>
      </w:r>
      <w:r w:rsidR="00EC38DD" w:rsidRPr="00EA5799">
        <w:rPr>
          <w:rFonts w:ascii="Book Antiqua" w:eastAsia="GungsuhChe" w:hAnsi="Book Antiqua" w:cs="Arial"/>
          <w:lang w:val="en-US"/>
        </w:rPr>
        <w:t>,</w:t>
      </w:r>
      <w:r w:rsidRPr="00EA5799">
        <w:rPr>
          <w:rFonts w:ascii="Book Antiqua" w:eastAsia="GungsuhChe" w:hAnsi="Book Antiqua" w:cs="Arial"/>
          <w:lang w:val="en-US"/>
        </w:rPr>
        <w:t xml:space="preserve"> there is also an observable lack of histological recovery during follow-up.</w:t>
      </w:r>
      <w:r w:rsidR="002E569F" w:rsidRPr="00EA5799">
        <w:rPr>
          <w:rFonts w:ascii="Book Antiqua" w:eastAsia="GungsuhChe" w:hAnsi="Book Antiqua" w:cs="Arial"/>
          <w:lang w:val="en-US"/>
        </w:rPr>
        <w:t xml:space="preserve"> </w:t>
      </w:r>
      <w:r w:rsidRPr="00EA5799">
        <w:rPr>
          <w:rFonts w:ascii="Book Antiqua" w:eastAsia="GungsuhChe" w:hAnsi="Book Antiqua" w:cs="Arial"/>
          <w:lang w:val="en-US"/>
        </w:rPr>
        <w:t>Recent studies</w:t>
      </w:r>
      <w:r w:rsidR="00B86BE4" w:rsidRPr="00EA5799">
        <w:rPr>
          <w:rFonts w:ascii="Book Antiqua" w:eastAsia="GungsuhChe" w:hAnsi="Book Antiqua" w:cs="Arial"/>
          <w:lang w:val="en-US"/>
        </w:rPr>
        <w:t xml:space="preserve"> have</w:t>
      </w:r>
      <w:r w:rsidRPr="00EA5799">
        <w:rPr>
          <w:rFonts w:ascii="Book Antiqua" w:eastAsia="GungsuhChe" w:hAnsi="Book Antiqua" w:cs="Arial"/>
          <w:lang w:val="en-US"/>
        </w:rPr>
        <w:t xml:space="preserve"> show</w:t>
      </w:r>
      <w:r w:rsidR="00B86BE4" w:rsidRPr="00EA5799">
        <w:rPr>
          <w:rFonts w:ascii="Book Antiqua" w:eastAsia="GungsuhChe" w:hAnsi="Book Antiqua" w:cs="Arial"/>
          <w:lang w:val="en-US"/>
        </w:rPr>
        <w:t>n</w:t>
      </w:r>
      <w:r w:rsidRPr="00EA5799">
        <w:rPr>
          <w:rFonts w:ascii="Book Antiqua" w:eastAsia="GungsuhChe" w:hAnsi="Book Antiqua" w:cs="Arial"/>
          <w:lang w:val="en-US"/>
        </w:rPr>
        <w:t xml:space="preserve"> that more </w:t>
      </w:r>
      <w:r w:rsidR="00D27952" w:rsidRPr="00EA5799">
        <w:rPr>
          <w:rFonts w:ascii="Book Antiqua" w:eastAsia="GungsuhChe" w:hAnsi="Book Antiqua" w:cs="Arial"/>
          <w:lang w:val="en-US"/>
        </w:rPr>
        <w:t>than</w:t>
      </w:r>
      <w:r w:rsidRPr="00EA5799">
        <w:rPr>
          <w:rFonts w:ascii="Book Antiqua" w:eastAsia="GungsuhChe" w:hAnsi="Book Antiqua" w:cs="Arial"/>
          <w:lang w:val="en-US"/>
        </w:rPr>
        <w:t xml:space="preserve"> 50% </w:t>
      </w:r>
      <w:r w:rsidR="003967CC" w:rsidRPr="00EA5799">
        <w:rPr>
          <w:rFonts w:ascii="Book Antiqua" w:eastAsia="GungsuhChe" w:hAnsi="Book Antiqua" w:cs="Arial"/>
          <w:lang w:val="en-US"/>
        </w:rPr>
        <w:t>of adults</w:t>
      </w:r>
      <w:r w:rsidR="002E569F" w:rsidRPr="00EA5799">
        <w:rPr>
          <w:rFonts w:ascii="Book Antiqua" w:eastAsia="GungsuhChe" w:hAnsi="Book Antiqua" w:cs="Arial"/>
          <w:lang w:val="en-US"/>
        </w:rPr>
        <w:t xml:space="preserve"> </w:t>
      </w:r>
      <w:r w:rsidR="00EC38DD" w:rsidRPr="00EA5799">
        <w:rPr>
          <w:rFonts w:ascii="Book Antiqua" w:eastAsia="GungsuhChe" w:hAnsi="Book Antiqua" w:cs="Arial"/>
          <w:lang w:val="en-US"/>
        </w:rPr>
        <w:t>do not</w:t>
      </w:r>
      <w:r w:rsidRPr="00EA5799">
        <w:rPr>
          <w:rFonts w:ascii="Book Antiqua" w:eastAsia="GungsuhChe" w:hAnsi="Book Antiqua" w:cs="Arial"/>
          <w:lang w:val="en-US"/>
        </w:rPr>
        <w:t xml:space="preserve"> </w:t>
      </w:r>
      <w:r w:rsidR="00F16767" w:rsidRPr="00EA5799">
        <w:rPr>
          <w:rFonts w:ascii="Book Antiqua" w:eastAsia="GungsuhChe" w:hAnsi="Book Antiqua" w:cs="Arial"/>
          <w:lang w:val="en-US"/>
        </w:rPr>
        <w:t xml:space="preserve">recover from villous atrophy, even after two years </w:t>
      </w:r>
      <w:r w:rsidR="000134CC" w:rsidRPr="00EA5799">
        <w:rPr>
          <w:rFonts w:ascii="Book Antiqua" w:eastAsia="GungsuhChe" w:hAnsi="Book Antiqua" w:cs="Arial"/>
          <w:lang w:val="en-US"/>
        </w:rPr>
        <w:t xml:space="preserve">on </w:t>
      </w:r>
      <w:r w:rsidR="00F16767" w:rsidRPr="00EA5799">
        <w:rPr>
          <w:rFonts w:ascii="Book Antiqua" w:eastAsia="GungsuhChe" w:hAnsi="Book Antiqua" w:cs="Arial"/>
          <w:lang w:val="en-US"/>
        </w:rPr>
        <w:t xml:space="preserve">a proper </w:t>
      </w:r>
      <w:proofErr w:type="gramStart"/>
      <w:r w:rsidR="00F16767" w:rsidRPr="00EA5799">
        <w:rPr>
          <w:rFonts w:ascii="Book Antiqua" w:eastAsia="GungsuhChe" w:hAnsi="Book Antiqua" w:cs="Arial"/>
          <w:lang w:val="en-US"/>
        </w:rPr>
        <w:t>diet</w:t>
      </w:r>
      <w:r w:rsidR="003967CC" w:rsidRPr="00EA5799">
        <w:rPr>
          <w:rFonts w:ascii="Book Antiqua" w:eastAsia="GungsuhChe" w:hAnsi="Book Antiqua" w:cs="Arial"/>
          <w:vertAlign w:val="superscript"/>
          <w:lang w:val="en-US"/>
        </w:rPr>
        <w:t>[</w:t>
      </w:r>
      <w:proofErr w:type="gramEnd"/>
      <w:r w:rsidR="003967CC" w:rsidRPr="00EA5799">
        <w:rPr>
          <w:rFonts w:ascii="Book Antiqua" w:eastAsia="GungsuhChe" w:hAnsi="Book Antiqua" w:cs="Arial"/>
          <w:vertAlign w:val="superscript"/>
          <w:lang w:val="en-US"/>
        </w:rPr>
        <w:t>32]</w:t>
      </w:r>
      <w:r w:rsidR="00F16767"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7D0A6B" w:rsidRPr="00EA5799">
        <w:rPr>
          <w:rFonts w:ascii="Book Antiqua" w:eastAsia="GungsuhChe" w:hAnsi="Book Antiqua" w:cs="Arial"/>
          <w:lang w:val="en-US"/>
        </w:rPr>
        <w:t>In the case of children, even though information is limited, there is duodenal mucosa recovery</w:t>
      </w:r>
      <w:r w:rsidR="004F2A2C">
        <w:rPr>
          <w:rFonts w:ascii="Book Antiqua" w:eastAsia="GungsuhChe" w:hAnsi="Book Antiqua" w:cs="Arial"/>
          <w:lang w:val="en-US"/>
        </w:rPr>
        <w:t xml:space="preserve"> in the vast majority (95</w:t>
      </w:r>
      <w:r w:rsidR="00361F11" w:rsidRPr="00EA5799">
        <w:rPr>
          <w:rFonts w:ascii="Book Antiqua" w:eastAsia="GungsuhChe" w:hAnsi="Book Antiqua" w:cs="Arial"/>
          <w:lang w:val="en-US"/>
        </w:rPr>
        <w:t>%)</w:t>
      </w:r>
      <w:r w:rsidR="007D0A6B" w:rsidRPr="00EA5799">
        <w:rPr>
          <w:rFonts w:ascii="Book Antiqua" w:eastAsia="GungsuhChe" w:hAnsi="Book Antiqua" w:cs="Arial"/>
          <w:lang w:val="en-US"/>
        </w:rPr>
        <w:t xml:space="preserve"> during the first two years </w:t>
      </w:r>
      <w:r w:rsidR="00D27952" w:rsidRPr="00EA5799">
        <w:rPr>
          <w:rFonts w:ascii="Book Antiqua" w:eastAsia="GungsuhChe" w:hAnsi="Book Antiqua" w:cs="Arial"/>
          <w:lang w:val="en-US"/>
        </w:rPr>
        <w:t>after</w:t>
      </w:r>
      <w:r w:rsidR="00A83BAC" w:rsidRPr="00EA5799">
        <w:rPr>
          <w:rFonts w:ascii="Book Antiqua" w:eastAsia="GungsuhChe" w:hAnsi="Book Antiqua" w:cs="Arial"/>
          <w:lang w:val="en-US"/>
        </w:rPr>
        <w:t xml:space="preserve"> the </w:t>
      </w:r>
      <w:proofErr w:type="gramStart"/>
      <w:r w:rsidR="007D0A6B" w:rsidRPr="00EA5799">
        <w:rPr>
          <w:rFonts w:ascii="Book Antiqua" w:eastAsia="GungsuhChe" w:hAnsi="Book Antiqua" w:cs="Arial"/>
          <w:lang w:val="en-US"/>
        </w:rPr>
        <w:t>diagnosis</w:t>
      </w:r>
      <w:r w:rsidR="003967CC" w:rsidRPr="00EA5799">
        <w:rPr>
          <w:rFonts w:ascii="Book Antiqua" w:eastAsia="GungsuhChe" w:hAnsi="Book Antiqua" w:cs="Arial"/>
          <w:vertAlign w:val="superscript"/>
          <w:lang w:val="en-US"/>
        </w:rPr>
        <w:t>[</w:t>
      </w:r>
      <w:proofErr w:type="gramEnd"/>
      <w:r w:rsidR="003967CC" w:rsidRPr="00EA5799">
        <w:rPr>
          <w:rFonts w:ascii="Book Antiqua" w:eastAsia="GungsuhChe" w:hAnsi="Book Antiqua" w:cs="Arial"/>
          <w:vertAlign w:val="superscript"/>
          <w:lang w:val="en-US"/>
        </w:rPr>
        <w:t>33]</w:t>
      </w:r>
      <w:r w:rsidR="007D0A6B"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7D0A6B" w:rsidRPr="00EA5799">
        <w:rPr>
          <w:rFonts w:ascii="Book Antiqua" w:eastAsia="GungsuhChe" w:hAnsi="Book Antiqua" w:cs="Arial"/>
          <w:lang w:val="en-US"/>
        </w:rPr>
        <w:t>The main cause of this l</w:t>
      </w:r>
      <w:r w:rsidR="00563709" w:rsidRPr="00EA5799">
        <w:rPr>
          <w:rFonts w:ascii="Book Antiqua" w:eastAsia="GungsuhChe" w:hAnsi="Book Antiqua" w:cs="Arial"/>
          <w:lang w:val="en-US"/>
        </w:rPr>
        <w:t>ack of mucosal recovery</w:t>
      </w:r>
      <w:r w:rsidR="00A83BAC" w:rsidRPr="00EA5799">
        <w:rPr>
          <w:rFonts w:ascii="Book Antiqua" w:eastAsia="GungsuhChe" w:hAnsi="Book Antiqua" w:cs="Arial"/>
          <w:lang w:val="en-US"/>
        </w:rPr>
        <w:t xml:space="preserve"> in adults</w:t>
      </w:r>
      <w:r w:rsidR="00563709" w:rsidRPr="00EA5799">
        <w:rPr>
          <w:rFonts w:ascii="Book Antiqua" w:eastAsia="GungsuhChe" w:hAnsi="Book Antiqua" w:cs="Arial"/>
          <w:lang w:val="en-US"/>
        </w:rPr>
        <w:t xml:space="preserve"> could be the </w:t>
      </w:r>
      <w:r w:rsidR="00D27952" w:rsidRPr="00EA5799">
        <w:rPr>
          <w:rFonts w:ascii="Book Antiqua" w:eastAsia="GungsuhChe" w:hAnsi="Book Antiqua" w:cs="Arial"/>
          <w:lang w:val="en-US"/>
        </w:rPr>
        <w:t>continuous</w:t>
      </w:r>
      <w:r w:rsidR="00563709" w:rsidRPr="00EA5799">
        <w:rPr>
          <w:rFonts w:ascii="Book Antiqua" w:eastAsia="GungsuhChe" w:hAnsi="Book Antiqua" w:cs="Arial"/>
          <w:lang w:val="en-US"/>
        </w:rPr>
        <w:t xml:space="preserve"> and inadvertent ingestion of small</w:t>
      </w:r>
      <w:r w:rsidR="0064500D" w:rsidRPr="00EA5799">
        <w:rPr>
          <w:rFonts w:ascii="Book Antiqua" w:eastAsia="GungsuhChe" w:hAnsi="Book Antiqua" w:cs="Arial"/>
          <w:lang w:val="en-US"/>
        </w:rPr>
        <w:t xml:space="preserve"> amounts of</w:t>
      </w:r>
      <w:r w:rsidR="00563709" w:rsidRPr="00EA5799">
        <w:rPr>
          <w:rFonts w:ascii="Book Antiqua" w:eastAsia="GungsuhChe" w:hAnsi="Book Antiqua" w:cs="Arial"/>
          <w:lang w:val="en-US"/>
        </w:rPr>
        <w:t xml:space="preserve"> gluten</w:t>
      </w:r>
      <w:r w:rsidR="0000784D"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047357" w:rsidRPr="00EA5799">
        <w:rPr>
          <w:rFonts w:ascii="Book Antiqua" w:eastAsia="GungsuhChe" w:hAnsi="Book Antiqua" w:cs="Arial"/>
          <w:lang w:val="en-US"/>
        </w:rPr>
        <w:t xml:space="preserve">This </w:t>
      </w:r>
      <w:r w:rsidR="00347EA4" w:rsidRPr="00EA5799">
        <w:rPr>
          <w:rFonts w:ascii="Book Antiqua" w:eastAsia="GungsuhChe" w:hAnsi="Book Antiqua" w:cs="Arial"/>
          <w:lang w:val="en-US"/>
        </w:rPr>
        <w:t xml:space="preserve">cause is likely to </w:t>
      </w:r>
      <w:r w:rsidR="00047357" w:rsidRPr="00EA5799">
        <w:rPr>
          <w:rFonts w:ascii="Book Antiqua" w:eastAsia="GungsuhChe" w:hAnsi="Book Antiqua" w:cs="Arial"/>
          <w:lang w:val="en-US"/>
        </w:rPr>
        <w:t>be more frequent in adults</w:t>
      </w:r>
      <w:r w:rsidR="00347EA4" w:rsidRPr="00EA5799">
        <w:rPr>
          <w:rFonts w:ascii="Book Antiqua" w:eastAsia="GungsuhChe" w:hAnsi="Book Antiqua" w:cs="Arial"/>
          <w:lang w:val="en-US"/>
        </w:rPr>
        <w:t>,</w:t>
      </w:r>
      <w:r w:rsidR="00047357" w:rsidRPr="00EA5799">
        <w:rPr>
          <w:rFonts w:ascii="Book Antiqua" w:eastAsia="GungsuhChe" w:hAnsi="Book Antiqua" w:cs="Arial"/>
          <w:lang w:val="en-US"/>
        </w:rPr>
        <w:t xml:space="preserve"> </w:t>
      </w:r>
      <w:r w:rsidR="00347EA4" w:rsidRPr="00EA5799">
        <w:rPr>
          <w:rFonts w:ascii="Book Antiqua" w:eastAsia="GungsuhChe" w:hAnsi="Book Antiqua" w:cs="Arial"/>
          <w:lang w:val="en-US"/>
        </w:rPr>
        <w:t xml:space="preserve">since the daily diets of </w:t>
      </w:r>
      <w:r w:rsidR="00047357" w:rsidRPr="00EA5799">
        <w:rPr>
          <w:rFonts w:ascii="Book Antiqua" w:eastAsia="GungsuhChe" w:hAnsi="Book Antiqua" w:cs="Arial"/>
          <w:lang w:val="en-US"/>
        </w:rPr>
        <w:t>children are more closely monitored.</w:t>
      </w:r>
    </w:p>
    <w:p w14:paraId="796612A5" w14:textId="002F5BB0" w:rsidR="00693C13" w:rsidRPr="00EA5799" w:rsidRDefault="004F7ECB" w:rsidP="004F2A2C">
      <w:pPr>
        <w:tabs>
          <w:tab w:val="left" w:pos="142"/>
        </w:tabs>
        <w:spacing w:after="0" w:line="360" w:lineRule="auto"/>
        <w:ind w:firstLineChars="100" w:firstLine="240"/>
        <w:jc w:val="both"/>
        <w:rPr>
          <w:rFonts w:ascii="Book Antiqua" w:eastAsia="GungsuhChe" w:hAnsi="Book Antiqua" w:cs="Arial"/>
          <w:lang w:val="en-US"/>
        </w:rPr>
      </w:pPr>
      <w:r w:rsidRPr="00EA5799">
        <w:rPr>
          <w:rFonts w:ascii="Book Antiqua" w:eastAsia="GungsuhChe" w:hAnsi="Book Antiqua" w:cs="Arial"/>
          <w:lang w:val="en-US"/>
        </w:rPr>
        <w:lastRenderedPageBreak/>
        <w:t xml:space="preserve">A strict adherence to the diet along </w:t>
      </w:r>
      <w:r w:rsidR="00E72609" w:rsidRPr="00EA5799">
        <w:rPr>
          <w:rFonts w:ascii="Book Antiqua" w:eastAsia="GungsuhChe" w:hAnsi="Book Antiqua" w:cs="Arial"/>
          <w:lang w:val="en-US"/>
        </w:rPr>
        <w:t xml:space="preserve">with </w:t>
      </w:r>
      <w:r w:rsidRPr="00EA5799">
        <w:rPr>
          <w:rFonts w:ascii="Book Antiqua" w:eastAsia="GungsuhChe" w:hAnsi="Book Antiqua" w:cs="Arial"/>
          <w:lang w:val="en-US"/>
        </w:rPr>
        <w:t>duodenal mucosa normalization should be the main objectives of adult follow-up.</w:t>
      </w:r>
      <w:r w:rsidR="002E569F" w:rsidRPr="00EA5799">
        <w:rPr>
          <w:rFonts w:ascii="Book Antiqua" w:eastAsia="GungsuhChe" w:hAnsi="Book Antiqua" w:cs="Arial"/>
          <w:lang w:val="en-US"/>
        </w:rPr>
        <w:t xml:space="preserve"> </w:t>
      </w:r>
      <w:r w:rsidR="0070089A" w:rsidRPr="00EA5799">
        <w:rPr>
          <w:rFonts w:ascii="Book Antiqua" w:eastAsia="GungsuhChe" w:hAnsi="Book Antiqua" w:cs="Arial"/>
          <w:lang w:val="en-US"/>
        </w:rPr>
        <w:t>The l</w:t>
      </w:r>
      <w:r w:rsidR="005851C2" w:rsidRPr="00EA5799">
        <w:rPr>
          <w:rFonts w:ascii="Book Antiqua" w:eastAsia="GungsuhChe" w:hAnsi="Book Antiqua" w:cs="Arial"/>
          <w:lang w:val="en-US"/>
        </w:rPr>
        <w:t xml:space="preserve">ack of dietary compliance and </w:t>
      </w:r>
      <w:r w:rsidR="0070089A" w:rsidRPr="00EA5799">
        <w:rPr>
          <w:rFonts w:ascii="Book Antiqua" w:eastAsia="GungsuhChe" w:hAnsi="Book Antiqua" w:cs="Arial"/>
          <w:lang w:val="en-US"/>
        </w:rPr>
        <w:t xml:space="preserve">persistence of </w:t>
      </w:r>
      <w:r w:rsidR="005851C2" w:rsidRPr="00EA5799">
        <w:rPr>
          <w:rFonts w:ascii="Book Antiqua" w:eastAsia="GungsuhChe" w:hAnsi="Book Antiqua" w:cs="Arial"/>
          <w:lang w:val="en-US"/>
        </w:rPr>
        <w:t>histological damage</w:t>
      </w:r>
      <w:r w:rsidR="0070089A" w:rsidRPr="00EA5799">
        <w:rPr>
          <w:rFonts w:ascii="Book Antiqua" w:eastAsia="GungsuhChe" w:hAnsi="Book Antiqua" w:cs="Arial"/>
          <w:lang w:val="en-US"/>
        </w:rPr>
        <w:t>,</w:t>
      </w:r>
      <w:r w:rsidR="005851C2" w:rsidRPr="00EA5799">
        <w:rPr>
          <w:rFonts w:ascii="Book Antiqua" w:eastAsia="GungsuhChe" w:hAnsi="Book Antiqua" w:cs="Arial"/>
          <w:lang w:val="en-US"/>
        </w:rPr>
        <w:t xml:space="preserve"> are two factors associated with </w:t>
      </w:r>
      <w:r w:rsidR="0070089A" w:rsidRPr="00EA5799">
        <w:rPr>
          <w:rFonts w:ascii="Book Antiqua" w:eastAsia="GungsuhChe" w:hAnsi="Book Antiqua" w:cs="Arial"/>
          <w:lang w:val="en-US"/>
        </w:rPr>
        <w:t xml:space="preserve">the </w:t>
      </w:r>
      <w:r w:rsidR="005851C2" w:rsidRPr="00EA5799">
        <w:rPr>
          <w:rFonts w:ascii="Book Antiqua" w:eastAsia="GungsuhChe" w:hAnsi="Book Antiqua" w:cs="Arial"/>
          <w:lang w:val="en-US"/>
        </w:rPr>
        <w:t>development of lymphoproliferative di</w:t>
      </w:r>
      <w:r w:rsidR="00B3307D" w:rsidRPr="00EA5799">
        <w:rPr>
          <w:rFonts w:ascii="Book Antiqua" w:eastAsia="GungsuhChe" w:hAnsi="Book Antiqua" w:cs="Arial"/>
          <w:lang w:val="en-US"/>
        </w:rPr>
        <w:t xml:space="preserve">sease in adults, which is the </w:t>
      </w:r>
      <w:r w:rsidR="008D681B" w:rsidRPr="00EA5799">
        <w:rPr>
          <w:rFonts w:ascii="Book Antiqua" w:eastAsia="GungsuhChe" w:hAnsi="Book Antiqua" w:cs="Arial"/>
          <w:lang w:val="en-US"/>
        </w:rPr>
        <w:t>most severe</w:t>
      </w:r>
      <w:r w:rsidR="00B3307D" w:rsidRPr="00EA5799">
        <w:rPr>
          <w:rFonts w:ascii="Book Antiqua" w:eastAsia="GungsuhChe" w:hAnsi="Book Antiqua" w:cs="Arial"/>
          <w:lang w:val="en-US"/>
        </w:rPr>
        <w:t xml:space="preserve"> complication associated to </w:t>
      </w:r>
      <w:proofErr w:type="gramStart"/>
      <w:r w:rsidR="00B3307D" w:rsidRPr="00EA5799">
        <w:rPr>
          <w:rFonts w:ascii="Book Antiqua" w:eastAsia="GungsuhChe" w:hAnsi="Book Antiqua" w:cs="Arial"/>
          <w:lang w:val="en-US"/>
        </w:rPr>
        <w:t>CD</w:t>
      </w:r>
      <w:r w:rsidR="00FA0B24" w:rsidRPr="00EA5799">
        <w:rPr>
          <w:rFonts w:ascii="Book Antiqua" w:eastAsia="GungsuhChe" w:hAnsi="Book Antiqua" w:cs="Arial"/>
          <w:vertAlign w:val="superscript"/>
          <w:lang w:val="en-US"/>
        </w:rPr>
        <w:t>[</w:t>
      </w:r>
      <w:proofErr w:type="gramEnd"/>
      <w:r w:rsidR="00FA0B24" w:rsidRPr="00EA5799">
        <w:rPr>
          <w:rFonts w:ascii="Book Antiqua" w:eastAsia="GungsuhChe" w:hAnsi="Book Antiqua" w:cs="Arial"/>
          <w:vertAlign w:val="superscript"/>
          <w:lang w:val="en-US"/>
        </w:rPr>
        <w:t>34]</w:t>
      </w:r>
      <w:r w:rsidR="00B3307D"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B3307D" w:rsidRPr="00EA5799">
        <w:rPr>
          <w:rFonts w:ascii="Book Antiqua" w:eastAsia="GungsuhChe" w:hAnsi="Book Antiqua" w:cs="Arial"/>
          <w:lang w:val="en-US"/>
        </w:rPr>
        <w:t>A recent Swedish population study noted that celiac patients with persistent villous atrophy</w:t>
      </w:r>
      <w:r w:rsidR="00574154" w:rsidRPr="00EA5799">
        <w:rPr>
          <w:rFonts w:ascii="Book Antiqua" w:eastAsia="GungsuhChe" w:hAnsi="Book Antiqua" w:cs="Arial"/>
          <w:lang w:val="en-US"/>
        </w:rPr>
        <w:t>,</w:t>
      </w:r>
      <w:r w:rsidR="00B3307D" w:rsidRPr="00EA5799">
        <w:rPr>
          <w:rFonts w:ascii="Book Antiqua" w:eastAsia="GungsuhChe" w:hAnsi="Book Antiqua" w:cs="Arial"/>
          <w:lang w:val="en-US"/>
        </w:rPr>
        <w:t xml:space="preserve"> </w:t>
      </w:r>
      <w:r w:rsidR="00693C13" w:rsidRPr="00EA5799">
        <w:rPr>
          <w:rFonts w:ascii="Book Antiqua" w:eastAsia="GungsuhChe" w:hAnsi="Book Antiqua" w:cs="Arial"/>
          <w:lang w:val="en-US"/>
        </w:rPr>
        <w:t>during follow-up</w:t>
      </w:r>
      <w:r w:rsidR="00574154" w:rsidRPr="00EA5799">
        <w:rPr>
          <w:rFonts w:ascii="Book Antiqua" w:eastAsia="GungsuhChe" w:hAnsi="Book Antiqua" w:cs="Arial"/>
          <w:lang w:val="en-US"/>
        </w:rPr>
        <w:t>,</w:t>
      </w:r>
      <w:r w:rsidR="00693C13" w:rsidRPr="00EA5799">
        <w:rPr>
          <w:rFonts w:ascii="Book Antiqua" w:eastAsia="GungsuhChe" w:hAnsi="Book Antiqua" w:cs="Arial"/>
          <w:lang w:val="en-US"/>
        </w:rPr>
        <w:t xml:space="preserve"> </w:t>
      </w:r>
      <w:r w:rsidR="00B3307D" w:rsidRPr="00EA5799">
        <w:rPr>
          <w:rFonts w:ascii="Book Antiqua" w:eastAsia="GungsuhChe" w:hAnsi="Book Antiqua" w:cs="Arial"/>
          <w:lang w:val="en-US"/>
        </w:rPr>
        <w:t xml:space="preserve">had twice </w:t>
      </w:r>
      <w:r w:rsidR="00693C13" w:rsidRPr="00EA5799">
        <w:rPr>
          <w:rFonts w:ascii="Book Antiqua" w:eastAsia="GungsuhChe" w:hAnsi="Book Antiqua" w:cs="Arial"/>
          <w:lang w:val="en-US"/>
        </w:rPr>
        <w:t>the</w:t>
      </w:r>
      <w:r w:rsidR="00B3307D" w:rsidRPr="00EA5799">
        <w:rPr>
          <w:rFonts w:ascii="Book Antiqua" w:eastAsia="GungsuhChe" w:hAnsi="Book Antiqua" w:cs="Arial"/>
          <w:lang w:val="en-US"/>
        </w:rPr>
        <w:t xml:space="preserve"> risk of developing a malignant </w:t>
      </w:r>
      <w:r w:rsidR="00D27952" w:rsidRPr="00EA5799">
        <w:rPr>
          <w:rFonts w:ascii="Book Antiqua" w:eastAsia="GungsuhChe" w:hAnsi="Book Antiqua" w:cs="Arial"/>
          <w:lang w:val="en-US"/>
        </w:rPr>
        <w:t>lymphoproliferative</w:t>
      </w:r>
      <w:r w:rsidR="00693C13" w:rsidRPr="00EA5799">
        <w:rPr>
          <w:rFonts w:ascii="Book Antiqua" w:eastAsia="GungsuhChe" w:hAnsi="Book Antiqua" w:cs="Arial"/>
          <w:lang w:val="en-US"/>
        </w:rPr>
        <w:t xml:space="preserve"> disease, mostly T </w:t>
      </w:r>
      <w:proofErr w:type="gramStart"/>
      <w:r w:rsidR="00693C13" w:rsidRPr="00EA5799">
        <w:rPr>
          <w:rFonts w:ascii="Book Antiqua" w:eastAsia="GungsuhChe" w:hAnsi="Book Antiqua" w:cs="Arial"/>
          <w:lang w:val="en-US"/>
        </w:rPr>
        <w:t>lymphoma</w:t>
      </w:r>
      <w:r w:rsidR="00FA0B24" w:rsidRPr="00EA5799">
        <w:rPr>
          <w:rFonts w:ascii="Book Antiqua" w:eastAsia="GungsuhChe" w:hAnsi="Book Antiqua" w:cs="Arial"/>
          <w:vertAlign w:val="superscript"/>
          <w:lang w:val="en-US"/>
        </w:rPr>
        <w:t>[</w:t>
      </w:r>
      <w:proofErr w:type="gramEnd"/>
      <w:r w:rsidR="00FA0B24" w:rsidRPr="00EA5799">
        <w:rPr>
          <w:rFonts w:ascii="Book Antiqua" w:eastAsia="GungsuhChe" w:hAnsi="Book Antiqua" w:cs="Arial"/>
          <w:vertAlign w:val="superscript"/>
          <w:lang w:val="en-US"/>
        </w:rPr>
        <w:t>35]</w:t>
      </w:r>
      <w:r w:rsidR="00693C13" w:rsidRPr="00EA5799">
        <w:rPr>
          <w:rFonts w:ascii="Book Antiqua" w:eastAsia="GungsuhChe" w:hAnsi="Book Antiqua" w:cs="Arial"/>
          <w:lang w:val="en-US"/>
        </w:rPr>
        <w:t>.</w:t>
      </w:r>
      <w:r w:rsidR="002E569F" w:rsidRPr="00EA5799">
        <w:rPr>
          <w:rFonts w:ascii="Book Antiqua" w:eastAsia="GungsuhChe" w:hAnsi="Book Antiqua" w:cs="Arial"/>
          <w:lang w:val="en-US"/>
        </w:rPr>
        <w:t xml:space="preserve"> </w:t>
      </w:r>
      <w:r w:rsidR="00693C13" w:rsidRPr="00EA5799">
        <w:rPr>
          <w:rFonts w:ascii="Book Antiqua" w:eastAsia="GungsuhChe" w:hAnsi="Book Antiqua" w:cs="Arial"/>
          <w:lang w:val="en-US"/>
        </w:rPr>
        <w:t xml:space="preserve">These findings </w:t>
      </w:r>
      <w:r w:rsidR="00413456" w:rsidRPr="00EA5799">
        <w:rPr>
          <w:rFonts w:ascii="Book Antiqua" w:eastAsia="GungsuhChe" w:hAnsi="Book Antiqua" w:cs="Arial"/>
          <w:lang w:val="en-US"/>
        </w:rPr>
        <w:t>make it necessary to recommend a control biopsy</w:t>
      </w:r>
      <w:r w:rsidR="00724A32" w:rsidRPr="00EA5799">
        <w:rPr>
          <w:rFonts w:ascii="Book Antiqua" w:eastAsia="GungsuhChe" w:hAnsi="Book Antiqua" w:cs="Arial"/>
          <w:lang w:val="en-US"/>
        </w:rPr>
        <w:t xml:space="preserve"> during the second year after diagnosis</w:t>
      </w:r>
      <w:r w:rsidR="005659E0" w:rsidRPr="00EA5799">
        <w:rPr>
          <w:rFonts w:ascii="Book Antiqua" w:eastAsia="GungsuhChe" w:hAnsi="Book Antiqua" w:cs="Arial"/>
          <w:lang w:val="en-US"/>
        </w:rPr>
        <w:t>,</w:t>
      </w:r>
      <w:r w:rsidR="00724A32" w:rsidRPr="00EA5799">
        <w:rPr>
          <w:rFonts w:ascii="Book Antiqua" w:eastAsia="GungsuhChe" w:hAnsi="Book Antiqua" w:cs="Arial"/>
          <w:lang w:val="en-US"/>
        </w:rPr>
        <w:t xml:space="preserve"> in order to evaluate villous atrophy recovery.</w:t>
      </w:r>
      <w:r w:rsidR="002E569F" w:rsidRPr="00EA5799">
        <w:rPr>
          <w:rFonts w:ascii="Book Antiqua" w:eastAsia="GungsuhChe" w:hAnsi="Book Antiqua" w:cs="Arial"/>
          <w:lang w:val="en-US"/>
        </w:rPr>
        <w:t xml:space="preserve"> </w:t>
      </w:r>
      <w:r w:rsidR="00047250" w:rsidRPr="00EA5799">
        <w:rPr>
          <w:rFonts w:ascii="Book Antiqua" w:eastAsia="GungsuhChe" w:hAnsi="Book Antiqua" w:cs="Arial"/>
          <w:lang w:val="en-US"/>
        </w:rPr>
        <w:t>Thus, those individuals at higher risk of developing CD-associated complications could be identified and a closer follow-up performed</w:t>
      </w:r>
      <w:r w:rsidR="00232888" w:rsidRPr="00EA5799">
        <w:rPr>
          <w:rFonts w:ascii="Book Antiqua" w:eastAsia="GungsuhChe" w:hAnsi="Book Antiqua" w:cs="Arial"/>
          <w:lang w:val="en-US"/>
        </w:rPr>
        <w:t xml:space="preserve"> </w:t>
      </w:r>
      <w:r w:rsidR="005659E0" w:rsidRPr="00EA5799">
        <w:rPr>
          <w:rFonts w:ascii="Book Antiqua" w:eastAsia="GungsuhChe" w:hAnsi="Book Antiqua" w:cs="Arial"/>
          <w:lang w:val="en-US"/>
        </w:rPr>
        <w:t>in conjunction with monitoring</w:t>
      </w:r>
      <w:r w:rsidR="00232888" w:rsidRPr="00EA5799">
        <w:rPr>
          <w:rFonts w:ascii="Book Antiqua" w:eastAsia="GungsuhChe" w:hAnsi="Book Antiqua" w:cs="Arial"/>
          <w:lang w:val="en-US"/>
        </w:rPr>
        <w:t xml:space="preserve"> dietary compliance.</w:t>
      </w:r>
    </w:p>
    <w:p w14:paraId="5BE6439E" w14:textId="34DE8E94" w:rsidR="00CF6D00" w:rsidRPr="00EA5799" w:rsidRDefault="00545204" w:rsidP="004F2A2C">
      <w:pPr>
        <w:tabs>
          <w:tab w:val="left" w:pos="142"/>
        </w:tabs>
        <w:spacing w:after="0" w:line="360" w:lineRule="auto"/>
        <w:ind w:firstLineChars="100" w:firstLine="240"/>
        <w:jc w:val="both"/>
        <w:rPr>
          <w:rFonts w:ascii="Book Antiqua" w:eastAsia="GungsuhChe" w:hAnsi="Book Antiqua" w:cs="Arial"/>
          <w:lang w:val="en-US"/>
        </w:rPr>
      </w:pPr>
      <w:r w:rsidRPr="00EA5799">
        <w:rPr>
          <w:rFonts w:ascii="Book Antiqua" w:eastAsia="GungsuhChe" w:hAnsi="Book Antiqua" w:cs="Arial"/>
          <w:lang w:val="en-US"/>
        </w:rPr>
        <w:t>CD</w:t>
      </w:r>
      <w:r w:rsidR="00C65B97" w:rsidRPr="00EA5799">
        <w:rPr>
          <w:rFonts w:ascii="Book Antiqua" w:hAnsi="Book Antiqua" w:cs="Arial"/>
          <w:lang w:val="en-US"/>
        </w:rPr>
        <w:t xml:space="preserve"> patients have other complications that should be monitored</w:t>
      </w:r>
      <w:r w:rsidR="00896172" w:rsidRPr="00EA5799">
        <w:rPr>
          <w:rFonts w:ascii="Book Antiqua" w:hAnsi="Book Antiqua" w:cs="Arial"/>
          <w:lang w:val="en-US"/>
        </w:rPr>
        <w:t>.</w:t>
      </w:r>
      <w:r w:rsidR="002E569F" w:rsidRPr="00EA5799">
        <w:rPr>
          <w:rFonts w:ascii="Book Antiqua" w:hAnsi="Book Antiqua" w:cs="Arial"/>
          <w:lang w:val="en-US"/>
        </w:rPr>
        <w:t xml:space="preserve"> </w:t>
      </w:r>
      <w:r w:rsidR="00CF6D00" w:rsidRPr="00EA5799">
        <w:rPr>
          <w:rFonts w:ascii="Book Antiqua" w:hAnsi="Book Antiqua" w:cs="Arial"/>
          <w:lang w:val="en-US"/>
        </w:rPr>
        <w:t>Decrease in bone mineral density is probably due to vitamin D deficiency.</w:t>
      </w:r>
      <w:r w:rsidR="002E569F" w:rsidRPr="00EA5799">
        <w:rPr>
          <w:rFonts w:ascii="Book Antiqua" w:hAnsi="Book Antiqua" w:cs="Arial"/>
          <w:lang w:val="en-US"/>
        </w:rPr>
        <w:t xml:space="preserve"> </w:t>
      </w:r>
      <w:r w:rsidR="00CF6D00" w:rsidRPr="00EA5799">
        <w:rPr>
          <w:rFonts w:ascii="Book Antiqua" w:hAnsi="Book Antiqua" w:cs="Arial"/>
          <w:lang w:val="en-US"/>
        </w:rPr>
        <w:t>However, the risk of fracture in CD patients is unclear</w:t>
      </w:r>
      <w:r w:rsidR="004B3E97" w:rsidRPr="00EA5799">
        <w:rPr>
          <w:rFonts w:ascii="Book Antiqua" w:hAnsi="Book Antiqua" w:cs="Arial"/>
          <w:lang w:val="en-US"/>
        </w:rPr>
        <w:t>,</w:t>
      </w:r>
      <w:r w:rsidR="00CF6D00" w:rsidRPr="00EA5799">
        <w:rPr>
          <w:rFonts w:ascii="Book Antiqua" w:hAnsi="Book Antiqua" w:cs="Arial"/>
          <w:lang w:val="en-US"/>
        </w:rPr>
        <w:t xml:space="preserve"> and the predictive value of bone densitometry is not </w:t>
      </w:r>
      <w:r w:rsidR="004B3E97" w:rsidRPr="00EA5799">
        <w:rPr>
          <w:rFonts w:ascii="Book Antiqua" w:hAnsi="Book Antiqua" w:cs="Arial"/>
          <w:lang w:val="en-US"/>
        </w:rPr>
        <w:t xml:space="preserve">sufficient </w:t>
      </w:r>
      <w:r w:rsidR="00CF6D00" w:rsidRPr="00EA5799">
        <w:rPr>
          <w:rFonts w:ascii="Book Antiqua" w:hAnsi="Book Antiqua" w:cs="Arial"/>
          <w:lang w:val="en-US"/>
        </w:rPr>
        <w:t>to identify individuals at high-risk of fracture.</w:t>
      </w:r>
      <w:r w:rsidR="002E569F" w:rsidRPr="00EA5799">
        <w:rPr>
          <w:rFonts w:ascii="Book Antiqua" w:hAnsi="Book Antiqua" w:cs="Arial"/>
          <w:lang w:val="en-US"/>
        </w:rPr>
        <w:t xml:space="preserve"> </w:t>
      </w:r>
      <w:r w:rsidR="00CF6D00" w:rsidRPr="00EA5799">
        <w:rPr>
          <w:rFonts w:ascii="Book Antiqua" w:hAnsi="Book Antiqua" w:cs="Arial"/>
          <w:lang w:val="en-US"/>
        </w:rPr>
        <w:t xml:space="preserve">It seems reasonable to perform bone densitometry </w:t>
      </w:r>
      <w:r w:rsidR="004B3E97" w:rsidRPr="00EA5799">
        <w:rPr>
          <w:rFonts w:ascii="Book Antiqua" w:hAnsi="Book Antiqua" w:cs="Arial"/>
          <w:lang w:val="en-US"/>
        </w:rPr>
        <w:t xml:space="preserve">on </w:t>
      </w:r>
      <w:r w:rsidR="00CF6D00" w:rsidRPr="00EA5799">
        <w:rPr>
          <w:rFonts w:ascii="Book Antiqua" w:hAnsi="Book Antiqua" w:cs="Arial"/>
          <w:lang w:val="en-US"/>
        </w:rPr>
        <w:t xml:space="preserve">adult CD patients </w:t>
      </w:r>
      <w:r w:rsidR="004B3E97" w:rsidRPr="00EA5799">
        <w:rPr>
          <w:rFonts w:ascii="Book Antiqua" w:hAnsi="Book Antiqua" w:cs="Arial"/>
          <w:lang w:val="en-US"/>
        </w:rPr>
        <w:t>in</w:t>
      </w:r>
      <w:r w:rsidR="00CF6D00" w:rsidRPr="00EA5799">
        <w:rPr>
          <w:rFonts w:ascii="Book Antiqua" w:hAnsi="Book Antiqua" w:cs="Arial"/>
          <w:lang w:val="en-US"/>
        </w:rPr>
        <w:t xml:space="preserve"> high-risk situations </w:t>
      </w:r>
      <w:r w:rsidR="004B3E97" w:rsidRPr="00EA5799">
        <w:rPr>
          <w:rFonts w:ascii="Book Antiqua" w:hAnsi="Book Antiqua" w:cs="Arial"/>
          <w:lang w:val="en-US"/>
        </w:rPr>
        <w:t xml:space="preserve">who </w:t>
      </w:r>
      <w:r w:rsidR="00CF6D00" w:rsidRPr="00EA5799">
        <w:rPr>
          <w:rFonts w:ascii="Book Antiqua" w:hAnsi="Book Antiqua" w:cs="Arial"/>
          <w:lang w:val="en-US"/>
        </w:rPr>
        <w:t>include post-menopausal women, men &gt;</w:t>
      </w:r>
      <w:r w:rsidR="004F2A2C">
        <w:rPr>
          <w:rFonts w:ascii="Book Antiqua" w:eastAsia="宋体" w:hAnsi="Book Antiqua" w:cs="Arial" w:hint="eastAsia"/>
          <w:lang w:val="en-US" w:eastAsia="zh-CN"/>
        </w:rPr>
        <w:t xml:space="preserve"> </w:t>
      </w:r>
      <w:r w:rsidR="00CF6D00" w:rsidRPr="00EA5799">
        <w:rPr>
          <w:rFonts w:ascii="Book Antiqua" w:hAnsi="Book Antiqua" w:cs="Arial"/>
          <w:lang w:val="en-US"/>
        </w:rPr>
        <w:t xml:space="preserve">55 years and those with known osteopenia before the diagnosis of </w:t>
      </w:r>
      <w:proofErr w:type="gramStart"/>
      <w:r w:rsidR="00CF6D00" w:rsidRPr="00EA5799">
        <w:rPr>
          <w:rFonts w:ascii="Book Antiqua" w:hAnsi="Book Antiqua" w:cs="Arial"/>
          <w:lang w:val="en-US"/>
        </w:rPr>
        <w:t>CD</w:t>
      </w:r>
      <w:r w:rsidR="00FA0B24" w:rsidRPr="00EA5799">
        <w:rPr>
          <w:rFonts w:ascii="Book Antiqua" w:hAnsi="Book Antiqua" w:cs="Arial"/>
          <w:vertAlign w:val="superscript"/>
          <w:lang w:val="en-US"/>
        </w:rPr>
        <w:t>[</w:t>
      </w:r>
      <w:proofErr w:type="gramEnd"/>
      <w:r w:rsidR="00FA0B24" w:rsidRPr="00EA5799">
        <w:rPr>
          <w:rFonts w:ascii="Book Antiqua" w:hAnsi="Book Antiqua" w:cs="Arial"/>
          <w:vertAlign w:val="superscript"/>
          <w:lang w:val="en-US"/>
        </w:rPr>
        <w:t>36]</w:t>
      </w:r>
      <w:r w:rsidR="00CF6D00" w:rsidRPr="00EA5799">
        <w:rPr>
          <w:rFonts w:ascii="Book Antiqua" w:hAnsi="Book Antiqua" w:cs="Arial"/>
          <w:lang w:val="en-US"/>
        </w:rPr>
        <w:t>.</w:t>
      </w:r>
      <w:r w:rsidR="002E569F" w:rsidRPr="00EA5799">
        <w:rPr>
          <w:rFonts w:ascii="Book Antiqua" w:hAnsi="Book Antiqua" w:cs="Arial"/>
          <w:lang w:val="en-US"/>
        </w:rPr>
        <w:t xml:space="preserve"> </w:t>
      </w:r>
      <w:r w:rsidR="00CF6D00" w:rsidRPr="00EA5799">
        <w:rPr>
          <w:rFonts w:ascii="Book Antiqua" w:hAnsi="Book Antiqua" w:cs="Arial"/>
          <w:lang w:val="en-US"/>
        </w:rPr>
        <w:t xml:space="preserve">Further studies are required to identify the efficacy and cost-effectiveness to perform bone densitometry </w:t>
      </w:r>
      <w:r w:rsidR="004B3E97" w:rsidRPr="00EA5799">
        <w:rPr>
          <w:rFonts w:ascii="Book Antiqua" w:hAnsi="Book Antiqua" w:cs="Arial"/>
          <w:lang w:val="en-US"/>
        </w:rPr>
        <w:t xml:space="preserve">on </w:t>
      </w:r>
      <w:r w:rsidR="00CF6D00" w:rsidRPr="00EA5799">
        <w:rPr>
          <w:rFonts w:ascii="Book Antiqua" w:hAnsi="Book Antiqua" w:cs="Arial"/>
          <w:lang w:val="en-US"/>
        </w:rPr>
        <w:t>all adult CD patients at diagnosis</w:t>
      </w:r>
      <w:r w:rsidR="004B3E97" w:rsidRPr="00EA5799">
        <w:rPr>
          <w:rFonts w:ascii="Book Antiqua" w:hAnsi="Book Antiqua" w:cs="Arial"/>
          <w:lang w:val="en-US"/>
        </w:rPr>
        <w:t>,</w:t>
      </w:r>
      <w:r w:rsidR="00CF6D00" w:rsidRPr="00EA5799">
        <w:rPr>
          <w:rFonts w:ascii="Book Antiqua" w:hAnsi="Book Antiqua" w:cs="Arial"/>
          <w:lang w:val="en-US"/>
        </w:rPr>
        <w:t xml:space="preserve"> and to identify the follow-up frequency of performing </w:t>
      </w:r>
      <w:r w:rsidR="004B3E97" w:rsidRPr="00EA5799">
        <w:rPr>
          <w:rFonts w:ascii="Book Antiqua" w:hAnsi="Book Antiqua" w:cs="Arial"/>
          <w:lang w:val="en-US"/>
        </w:rPr>
        <w:t xml:space="preserve">such </w:t>
      </w:r>
      <w:proofErr w:type="gramStart"/>
      <w:r w:rsidR="00CF6D00" w:rsidRPr="00EA5799">
        <w:rPr>
          <w:rFonts w:ascii="Book Antiqua" w:hAnsi="Book Antiqua" w:cs="Arial"/>
          <w:lang w:val="en-US"/>
        </w:rPr>
        <w:t>analysis</w:t>
      </w:r>
      <w:r w:rsidR="00FA0B24" w:rsidRPr="00EA5799">
        <w:rPr>
          <w:rFonts w:ascii="Book Antiqua" w:hAnsi="Book Antiqua" w:cs="Arial"/>
          <w:vertAlign w:val="superscript"/>
          <w:lang w:val="en-US"/>
        </w:rPr>
        <w:t>[</w:t>
      </w:r>
      <w:proofErr w:type="gramEnd"/>
      <w:r w:rsidR="00FA0B24" w:rsidRPr="00EA5799">
        <w:rPr>
          <w:rFonts w:ascii="Book Antiqua" w:hAnsi="Book Antiqua" w:cs="Arial"/>
          <w:vertAlign w:val="superscript"/>
          <w:lang w:val="en-US"/>
        </w:rPr>
        <w:t>37]</w:t>
      </w:r>
      <w:r w:rsidR="00CF6D00" w:rsidRPr="00EA5799">
        <w:rPr>
          <w:rFonts w:ascii="Book Antiqua" w:hAnsi="Book Antiqua" w:cs="Arial"/>
          <w:lang w:val="en-US"/>
        </w:rPr>
        <w:t>.</w:t>
      </w:r>
      <w:r w:rsidR="002E569F" w:rsidRPr="00EA5799">
        <w:rPr>
          <w:rFonts w:ascii="Book Antiqua" w:hAnsi="Book Antiqua" w:cs="Arial"/>
          <w:lang w:val="en-US"/>
        </w:rPr>
        <w:t xml:space="preserve"> </w:t>
      </w:r>
      <w:r w:rsidR="00506508" w:rsidRPr="00EA5799">
        <w:rPr>
          <w:rFonts w:ascii="Book Antiqua" w:hAnsi="Book Antiqua" w:cs="Arial"/>
          <w:lang w:val="en-US"/>
        </w:rPr>
        <w:t xml:space="preserve">Children may have reduced bone mass at diagnosis. However, they are more likely to have fully restored bone mass after 6-12 </w:t>
      </w:r>
      <w:proofErr w:type="spellStart"/>
      <w:r w:rsidR="00506508" w:rsidRPr="00EA5799">
        <w:rPr>
          <w:rFonts w:ascii="Book Antiqua" w:hAnsi="Book Antiqua" w:cs="Arial"/>
          <w:lang w:val="en-US"/>
        </w:rPr>
        <w:t>mo</w:t>
      </w:r>
      <w:proofErr w:type="spellEnd"/>
      <w:r w:rsidR="00506508" w:rsidRPr="00EA5799">
        <w:rPr>
          <w:rFonts w:ascii="Book Antiqua" w:hAnsi="Book Antiqua" w:cs="Arial"/>
          <w:lang w:val="en-US"/>
        </w:rPr>
        <w:t xml:space="preserve"> of a GFD</w:t>
      </w:r>
      <w:r w:rsidR="009154E2" w:rsidRPr="00EA5799">
        <w:rPr>
          <w:rFonts w:ascii="Book Antiqua" w:hAnsi="Book Antiqua" w:cs="Arial"/>
          <w:lang w:val="en-US"/>
        </w:rPr>
        <w:t xml:space="preserve"> than adults</w:t>
      </w:r>
      <w:r w:rsidR="00506508" w:rsidRPr="00EA5799">
        <w:rPr>
          <w:rFonts w:ascii="Book Antiqua" w:hAnsi="Book Antiqua" w:cs="Arial"/>
          <w:lang w:val="en-US"/>
        </w:rPr>
        <w:t>.</w:t>
      </w:r>
      <w:r w:rsidR="002E569F" w:rsidRPr="00EA5799">
        <w:rPr>
          <w:rFonts w:ascii="Book Antiqua" w:hAnsi="Book Antiqua" w:cs="Arial"/>
          <w:lang w:val="en-US"/>
        </w:rPr>
        <w:t xml:space="preserve"> </w:t>
      </w:r>
      <w:r w:rsidR="00506508" w:rsidRPr="00EA5799">
        <w:rPr>
          <w:rFonts w:ascii="Book Antiqua" w:hAnsi="Book Antiqua" w:cs="Arial"/>
          <w:lang w:val="en-US"/>
        </w:rPr>
        <w:t>Bone densitometry is not generally required in newly diagnosed pediatric patients with uncomplicated CD.</w:t>
      </w:r>
      <w:r w:rsidR="002E569F" w:rsidRPr="00EA5799">
        <w:rPr>
          <w:rFonts w:ascii="Book Antiqua" w:hAnsi="Book Antiqua" w:cs="Arial"/>
          <w:lang w:val="en-US"/>
        </w:rPr>
        <w:t xml:space="preserve"> </w:t>
      </w:r>
      <w:r w:rsidR="009A0FFC" w:rsidRPr="00EA5799">
        <w:rPr>
          <w:rFonts w:ascii="Book Antiqua" w:hAnsi="Book Antiqua" w:cs="Arial"/>
          <w:lang w:val="en-US"/>
        </w:rPr>
        <w:t>Special</w:t>
      </w:r>
      <w:r w:rsidR="00506508" w:rsidRPr="00EA5799">
        <w:rPr>
          <w:rFonts w:ascii="Book Antiqua" w:hAnsi="Book Antiqua" w:cs="Arial"/>
          <w:lang w:val="en-US"/>
        </w:rPr>
        <w:t xml:space="preserve"> attention to </w:t>
      </w:r>
      <w:r w:rsidR="004B3E97" w:rsidRPr="00EA5799">
        <w:rPr>
          <w:rFonts w:ascii="Book Antiqua" w:hAnsi="Book Antiqua" w:cs="Arial"/>
          <w:lang w:val="en-US"/>
        </w:rPr>
        <w:t xml:space="preserve">ensure </w:t>
      </w:r>
      <w:r w:rsidR="00506508" w:rsidRPr="00EA5799">
        <w:rPr>
          <w:rFonts w:ascii="Book Antiqua" w:hAnsi="Book Antiqua" w:cs="Arial"/>
          <w:lang w:val="en-US"/>
        </w:rPr>
        <w:t>normal growth and development is recommended</w:t>
      </w:r>
      <w:r w:rsidR="00B87FC9" w:rsidRPr="00EA5799">
        <w:rPr>
          <w:rFonts w:ascii="Book Antiqua" w:hAnsi="Book Antiqua" w:cs="Arial"/>
          <w:lang w:val="en-US"/>
        </w:rPr>
        <w:t xml:space="preserve"> in </w:t>
      </w:r>
      <w:proofErr w:type="gramStart"/>
      <w:r w:rsidR="00B87FC9" w:rsidRPr="00EA5799">
        <w:rPr>
          <w:rFonts w:ascii="Book Antiqua" w:hAnsi="Book Antiqua" w:cs="Arial"/>
          <w:lang w:val="en-US"/>
        </w:rPr>
        <w:t>children</w:t>
      </w:r>
      <w:r w:rsidR="00FA0B24" w:rsidRPr="00EA5799">
        <w:rPr>
          <w:rFonts w:ascii="Book Antiqua" w:hAnsi="Book Antiqua" w:cs="Arial"/>
          <w:vertAlign w:val="superscript"/>
          <w:lang w:val="en-US"/>
        </w:rPr>
        <w:t>[</w:t>
      </w:r>
      <w:proofErr w:type="gramEnd"/>
      <w:r w:rsidR="00FA0B24" w:rsidRPr="00EA5799">
        <w:rPr>
          <w:rFonts w:ascii="Book Antiqua" w:hAnsi="Book Antiqua" w:cs="Arial"/>
          <w:vertAlign w:val="superscript"/>
          <w:lang w:val="en-US"/>
        </w:rPr>
        <w:t>38]</w:t>
      </w:r>
      <w:r w:rsidR="00FA0B24" w:rsidRPr="00EA5799">
        <w:rPr>
          <w:rFonts w:ascii="Book Antiqua" w:hAnsi="Book Antiqua" w:cs="Arial"/>
          <w:lang w:val="en-US"/>
        </w:rPr>
        <w:t>.</w:t>
      </w:r>
    </w:p>
    <w:p w14:paraId="2BBCF205" w14:textId="11725652" w:rsidR="00CF6D00" w:rsidRPr="00EA5799" w:rsidRDefault="00CF6D00" w:rsidP="004F2A2C">
      <w:pPr>
        <w:spacing w:after="0" w:line="360" w:lineRule="auto"/>
        <w:ind w:firstLineChars="100" w:firstLine="240"/>
        <w:jc w:val="both"/>
        <w:rPr>
          <w:rFonts w:ascii="Book Antiqua" w:hAnsi="Book Antiqua" w:cs="Arial"/>
          <w:lang w:val="en-US"/>
        </w:rPr>
      </w:pPr>
      <w:proofErr w:type="spellStart"/>
      <w:r w:rsidRPr="00EA5799">
        <w:rPr>
          <w:rFonts w:ascii="Book Antiqua" w:hAnsi="Book Antiqua" w:cs="Arial"/>
          <w:lang w:val="en-US"/>
        </w:rPr>
        <w:t>Hyposplenism</w:t>
      </w:r>
      <w:proofErr w:type="spellEnd"/>
      <w:r w:rsidRPr="00EA5799">
        <w:rPr>
          <w:rFonts w:ascii="Book Antiqua" w:hAnsi="Book Antiqua" w:cs="Arial"/>
          <w:lang w:val="en-US"/>
        </w:rPr>
        <w:t xml:space="preserve"> may affect more than one-third of </w:t>
      </w:r>
      <w:r w:rsidR="00D62780" w:rsidRPr="00EA5799">
        <w:rPr>
          <w:rFonts w:ascii="Book Antiqua" w:hAnsi="Book Antiqua" w:cs="Arial"/>
          <w:lang w:val="en-US"/>
        </w:rPr>
        <w:t xml:space="preserve">adult </w:t>
      </w:r>
      <w:r w:rsidRPr="00EA5799">
        <w:rPr>
          <w:rFonts w:ascii="Book Antiqua" w:hAnsi="Book Antiqua" w:cs="Arial"/>
          <w:lang w:val="en-US"/>
        </w:rPr>
        <w:t>CD patients, while it is not a complication in pediatric patients.</w:t>
      </w:r>
      <w:r w:rsidR="002E569F" w:rsidRPr="00EA5799">
        <w:rPr>
          <w:rFonts w:ascii="Book Antiqua" w:hAnsi="Book Antiqua" w:cs="Arial"/>
          <w:lang w:val="en-US"/>
        </w:rPr>
        <w:t xml:space="preserve"> </w:t>
      </w:r>
      <w:r w:rsidRPr="00EA5799">
        <w:rPr>
          <w:rFonts w:ascii="Book Antiqua" w:hAnsi="Book Antiqua" w:cs="Arial"/>
          <w:lang w:val="en-US"/>
        </w:rPr>
        <w:t xml:space="preserve">The incidence of </w:t>
      </w:r>
      <w:proofErr w:type="spellStart"/>
      <w:r w:rsidRPr="00EA5799">
        <w:rPr>
          <w:rFonts w:ascii="Book Antiqua" w:hAnsi="Book Antiqua" w:cs="Arial"/>
          <w:lang w:val="en-US"/>
        </w:rPr>
        <w:t>hyposplenism</w:t>
      </w:r>
      <w:proofErr w:type="spellEnd"/>
      <w:r w:rsidRPr="00EA5799">
        <w:rPr>
          <w:rFonts w:ascii="Book Antiqua" w:hAnsi="Book Antiqua" w:cs="Arial"/>
          <w:lang w:val="en-US"/>
        </w:rPr>
        <w:t xml:space="preserve"> correlates with the duration of pre-exposure to gluten</w:t>
      </w:r>
      <w:r w:rsidR="00EC7FD4" w:rsidRPr="00EA5799">
        <w:rPr>
          <w:rFonts w:ascii="Book Antiqua" w:hAnsi="Book Antiqua" w:cs="Arial"/>
          <w:lang w:val="en-US"/>
        </w:rPr>
        <w:t>,</w:t>
      </w:r>
      <w:r w:rsidRPr="00EA5799">
        <w:rPr>
          <w:rFonts w:ascii="Book Antiqua" w:hAnsi="Book Antiqua" w:cs="Arial"/>
          <w:lang w:val="en-US"/>
        </w:rPr>
        <w:t xml:space="preserve"> and it is higher in those with concomitant autoimmune disorders or pre-malignant </w:t>
      </w:r>
      <w:proofErr w:type="gramStart"/>
      <w:r w:rsidRPr="00EA5799">
        <w:rPr>
          <w:rFonts w:ascii="Book Antiqua" w:hAnsi="Book Antiqua" w:cs="Arial"/>
          <w:lang w:val="en-US"/>
        </w:rPr>
        <w:t>conditions</w:t>
      </w:r>
      <w:r w:rsidR="00FA0B24" w:rsidRPr="00EA5799">
        <w:rPr>
          <w:rFonts w:ascii="Book Antiqua" w:hAnsi="Book Antiqua" w:cs="Arial"/>
          <w:vertAlign w:val="superscript"/>
          <w:lang w:val="en-US"/>
        </w:rPr>
        <w:t>[</w:t>
      </w:r>
      <w:proofErr w:type="gramEnd"/>
      <w:r w:rsidR="00FA0B24" w:rsidRPr="00EA5799">
        <w:rPr>
          <w:rFonts w:ascii="Book Antiqua" w:hAnsi="Book Antiqua" w:cs="Arial"/>
          <w:vertAlign w:val="superscript"/>
          <w:lang w:val="en-US"/>
        </w:rPr>
        <w:t>39]</w:t>
      </w:r>
      <w:r w:rsidRPr="00EA5799">
        <w:rPr>
          <w:rFonts w:ascii="Book Antiqua" w:hAnsi="Book Antiqua" w:cs="Arial"/>
          <w:lang w:val="en-US"/>
        </w:rPr>
        <w:t xml:space="preserve">. Based on </w:t>
      </w:r>
      <w:r w:rsidR="00EC7FD4" w:rsidRPr="00EA5799">
        <w:rPr>
          <w:rFonts w:ascii="Book Antiqua" w:hAnsi="Book Antiqua" w:cs="Arial"/>
          <w:lang w:val="en-US"/>
        </w:rPr>
        <w:t xml:space="preserve">these </w:t>
      </w:r>
      <w:r w:rsidRPr="00EA5799">
        <w:rPr>
          <w:rFonts w:ascii="Book Antiqua" w:hAnsi="Book Antiqua" w:cs="Arial"/>
          <w:lang w:val="en-US"/>
        </w:rPr>
        <w:t xml:space="preserve">associated factors, splenic function may be determined in a selected </w:t>
      </w:r>
      <w:r w:rsidRPr="00EA5799">
        <w:rPr>
          <w:rFonts w:ascii="Book Antiqua" w:hAnsi="Book Antiqua" w:cs="Arial"/>
          <w:lang w:val="en-US"/>
        </w:rPr>
        <w:lastRenderedPageBreak/>
        <w:t xml:space="preserve">group of adult CD patients: </w:t>
      </w:r>
      <w:r w:rsidR="00A83BAC" w:rsidRPr="00EA5799">
        <w:rPr>
          <w:rFonts w:ascii="Book Antiqua" w:hAnsi="Book Antiqua" w:cs="Arial"/>
        </w:rPr>
        <w:t>older patients at diagnosis, those with concomitant autoimmune or premalignant disorders, and patients with a previous history of major infections or thromboembolism</w:t>
      </w:r>
      <w:r w:rsidRPr="00EA5799">
        <w:rPr>
          <w:rFonts w:ascii="Book Antiqua" w:hAnsi="Book Antiqua" w:cs="Arial"/>
          <w:lang w:val="en-US"/>
        </w:rPr>
        <w:t>.</w:t>
      </w:r>
      <w:r w:rsidR="002E569F" w:rsidRPr="00EA5799">
        <w:rPr>
          <w:rFonts w:ascii="Book Antiqua" w:hAnsi="Book Antiqua" w:cs="Arial"/>
          <w:lang w:val="en-US"/>
        </w:rPr>
        <w:t xml:space="preserve"> </w:t>
      </w:r>
      <w:r w:rsidRPr="00EA5799">
        <w:rPr>
          <w:rFonts w:ascii="Book Antiqua" w:hAnsi="Book Antiqua" w:cs="Arial"/>
          <w:lang w:val="en-US"/>
        </w:rPr>
        <w:t xml:space="preserve">As a diagnostic tool, pitted red cell counting remains an accurate, quantitative and inexpensive </w:t>
      </w:r>
      <w:proofErr w:type="gramStart"/>
      <w:r w:rsidRPr="00EA5799">
        <w:rPr>
          <w:rFonts w:ascii="Book Antiqua" w:hAnsi="Book Antiqua" w:cs="Arial"/>
          <w:lang w:val="en-US"/>
        </w:rPr>
        <w:t>method</w:t>
      </w:r>
      <w:r w:rsidR="00FA0B24" w:rsidRPr="00EA5799">
        <w:rPr>
          <w:rFonts w:ascii="Book Antiqua" w:hAnsi="Book Antiqua" w:cs="Arial"/>
          <w:vertAlign w:val="superscript"/>
          <w:lang w:val="en-US"/>
        </w:rPr>
        <w:t>[</w:t>
      </w:r>
      <w:proofErr w:type="gramEnd"/>
      <w:r w:rsidR="00FA0B24" w:rsidRPr="00EA5799">
        <w:rPr>
          <w:rFonts w:ascii="Book Antiqua" w:hAnsi="Book Antiqua" w:cs="Arial"/>
          <w:vertAlign w:val="superscript"/>
          <w:lang w:val="en-US"/>
        </w:rPr>
        <w:t>40]</w:t>
      </w:r>
      <w:r w:rsidRPr="00EA5799">
        <w:rPr>
          <w:rFonts w:ascii="Book Antiqua" w:hAnsi="Book Antiqua" w:cs="Arial"/>
          <w:lang w:val="en-US"/>
        </w:rPr>
        <w:t xml:space="preserve">. Protein-conjugate vaccines should be recommended in patients with major </w:t>
      </w:r>
      <w:proofErr w:type="spellStart"/>
      <w:r w:rsidRPr="00EA5799">
        <w:rPr>
          <w:rFonts w:ascii="Book Antiqua" w:hAnsi="Book Antiqua" w:cs="Arial"/>
          <w:lang w:val="en-US"/>
        </w:rPr>
        <w:t>hyposplenism</w:t>
      </w:r>
      <w:proofErr w:type="spellEnd"/>
      <w:r w:rsidRPr="00EA5799">
        <w:rPr>
          <w:rFonts w:ascii="Book Antiqua" w:hAnsi="Book Antiqua" w:cs="Arial"/>
          <w:lang w:val="en-US"/>
        </w:rPr>
        <w:t>, defined by a pitted red cell value higher than 10% and/or an IgM memory B cell frequency lower than 10%.</w:t>
      </w:r>
    </w:p>
    <w:p w14:paraId="0A9D79B2" w14:textId="6D195960" w:rsidR="00CF6D00" w:rsidRPr="00EA5799" w:rsidRDefault="00506508" w:rsidP="004F2A2C">
      <w:pPr>
        <w:autoSpaceDE w:val="0"/>
        <w:spacing w:after="0" w:line="360" w:lineRule="auto"/>
        <w:ind w:firstLineChars="100" w:firstLine="240"/>
        <w:jc w:val="both"/>
        <w:rPr>
          <w:rFonts w:ascii="Book Antiqua" w:eastAsia="GungsuhChe" w:hAnsi="Book Antiqua" w:cs="Arial"/>
          <w:lang w:val="en-US"/>
        </w:rPr>
      </w:pPr>
      <w:r w:rsidRPr="00EA5799">
        <w:rPr>
          <w:rFonts w:ascii="Book Antiqua" w:hAnsi="Book Antiqua" w:cs="Arial"/>
          <w:lang w:val="en-US"/>
        </w:rPr>
        <w:t xml:space="preserve">Pediatric CD may be followed </w:t>
      </w:r>
      <w:r w:rsidR="00F776B0" w:rsidRPr="00EA5799">
        <w:rPr>
          <w:rFonts w:ascii="Book Antiqua" w:hAnsi="Book Antiqua" w:cs="Arial"/>
          <w:lang w:val="en-US"/>
        </w:rPr>
        <w:t xml:space="preserve">using </w:t>
      </w:r>
      <w:r w:rsidRPr="00EA5799">
        <w:rPr>
          <w:rFonts w:ascii="Book Antiqua" w:hAnsi="Book Antiqua" w:cs="Arial"/>
          <w:lang w:val="en-US"/>
        </w:rPr>
        <w:t xml:space="preserve">the same scheme </w:t>
      </w:r>
      <w:r w:rsidR="00F776B0" w:rsidRPr="00EA5799">
        <w:rPr>
          <w:rFonts w:ascii="Book Antiqua" w:hAnsi="Book Antiqua" w:cs="Arial"/>
          <w:lang w:val="en-US"/>
        </w:rPr>
        <w:t xml:space="preserve">as </w:t>
      </w:r>
      <w:r w:rsidRPr="00EA5799">
        <w:rPr>
          <w:rFonts w:ascii="Book Antiqua" w:hAnsi="Book Antiqua" w:cs="Arial"/>
          <w:lang w:val="en-US"/>
        </w:rPr>
        <w:t>adults.</w:t>
      </w:r>
      <w:r w:rsidR="002E569F" w:rsidRPr="00EA5799">
        <w:rPr>
          <w:rFonts w:ascii="Book Antiqua" w:hAnsi="Book Antiqua" w:cs="Arial"/>
          <w:lang w:val="en-US"/>
        </w:rPr>
        <w:t xml:space="preserve"> </w:t>
      </w:r>
      <w:r w:rsidRPr="00EA5799">
        <w:rPr>
          <w:rFonts w:ascii="Book Antiqua" w:hAnsi="Book Antiqua" w:cs="Arial"/>
          <w:lang w:val="en-US"/>
        </w:rPr>
        <w:t xml:space="preserve">However, bone densitometry and follow-up biopsy </w:t>
      </w:r>
      <w:r w:rsidR="00F776B0" w:rsidRPr="00EA5799">
        <w:rPr>
          <w:rFonts w:ascii="Book Antiqua" w:hAnsi="Book Antiqua" w:cs="Arial"/>
          <w:lang w:val="en-US"/>
        </w:rPr>
        <w:t xml:space="preserve">should only </w:t>
      </w:r>
      <w:r w:rsidRPr="00EA5799">
        <w:rPr>
          <w:rFonts w:ascii="Book Antiqua" w:hAnsi="Book Antiqua" w:cs="Arial"/>
          <w:lang w:val="en-US"/>
        </w:rPr>
        <w:t xml:space="preserve">be </w:t>
      </w:r>
      <w:r w:rsidR="00F776B0" w:rsidRPr="00EA5799">
        <w:rPr>
          <w:rFonts w:ascii="Book Antiqua" w:hAnsi="Book Antiqua" w:cs="Arial"/>
          <w:lang w:val="en-US"/>
        </w:rPr>
        <w:t xml:space="preserve">performed </w:t>
      </w:r>
      <w:r w:rsidRPr="00EA5799">
        <w:rPr>
          <w:rFonts w:ascii="Book Antiqua" w:hAnsi="Book Antiqua" w:cs="Arial"/>
          <w:lang w:val="en-US"/>
        </w:rPr>
        <w:t>in select cases.</w:t>
      </w:r>
      <w:r w:rsidR="002E569F" w:rsidRPr="00EA5799">
        <w:rPr>
          <w:rFonts w:ascii="Book Antiqua" w:hAnsi="Book Antiqua" w:cs="Arial"/>
          <w:lang w:val="en-US"/>
        </w:rPr>
        <w:t xml:space="preserve"> </w:t>
      </w:r>
      <w:r w:rsidR="00F909F7" w:rsidRPr="00EA5799">
        <w:rPr>
          <w:rFonts w:ascii="Book Antiqua" w:hAnsi="Book Antiqua" w:cs="Arial"/>
          <w:lang w:val="en-US"/>
        </w:rPr>
        <w:t>C</w:t>
      </w:r>
      <w:r w:rsidRPr="00EA5799">
        <w:rPr>
          <w:rFonts w:ascii="Book Antiqua" w:hAnsi="Book Antiqua" w:cs="Arial"/>
          <w:lang w:val="en-US"/>
        </w:rPr>
        <w:t>hildren with good adherence to GFD and normal antibod</w:t>
      </w:r>
      <w:r w:rsidR="00365F7F" w:rsidRPr="00EA5799">
        <w:rPr>
          <w:rFonts w:ascii="Book Antiqua" w:hAnsi="Book Antiqua" w:cs="Arial"/>
          <w:lang w:val="en-US"/>
        </w:rPr>
        <w:t>y</w:t>
      </w:r>
      <w:r w:rsidRPr="00EA5799">
        <w:rPr>
          <w:rFonts w:ascii="Book Antiqua" w:hAnsi="Book Antiqua" w:cs="Arial"/>
          <w:lang w:val="en-US"/>
        </w:rPr>
        <w:t xml:space="preserve"> </w:t>
      </w:r>
      <w:proofErr w:type="gramStart"/>
      <w:r w:rsidRPr="00EA5799">
        <w:rPr>
          <w:rFonts w:ascii="Book Antiqua" w:hAnsi="Book Antiqua" w:cs="Arial"/>
          <w:lang w:val="en-US"/>
        </w:rPr>
        <w:t>levels</w:t>
      </w:r>
      <w:r w:rsidR="00F776B0" w:rsidRPr="00EA5799">
        <w:rPr>
          <w:rFonts w:ascii="Book Antiqua" w:hAnsi="Book Antiqua" w:cs="Arial"/>
          <w:lang w:val="en-US"/>
        </w:rPr>
        <w:t>,</w:t>
      </w:r>
      <w:proofErr w:type="gramEnd"/>
      <w:r w:rsidRPr="00EA5799">
        <w:rPr>
          <w:rFonts w:ascii="Book Antiqua" w:hAnsi="Book Antiqua" w:cs="Arial"/>
          <w:lang w:val="en-US"/>
        </w:rPr>
        <w:t xml:space="preserve"> </w:t>
      </w:r>
      <w:r w:rsidR="00F776B0" w:rsidRPr="00EA5799">
        <w:rPr>
          <w:rFonts w:ascii="Book Antiqua" w:hAnsi="Book Antiqua" w:cs="Arial"/>
          <w:lang w:val="en-US"/>
        </w:rPr>
        <w:t xml:space="preserve">should </w:t>
      </w:r>
      <w:r w:rsidRPr="00EA5799">
        <w:rPr>
          <w:rFonts w:ascii="Book Antiqua" w:hAnsi="Book Antiqua" w:cs="Arial"/>
          <w:lang w:val="en-US"/>
        </w:rPr>
        <w:t xml:space="preserve">be followed </w:t>
      </w:r>
      <w:r w:rsidR="00F776B0" w:rsidRPr="00EA5799">
        <w:rPr>
          <w:rFonts w:ascii="Book Antiqua" w:hAnsi="Book Antiqua" w:cs="Arial"/>
          <w:lang w:val="en-US"/>
        </w:rPr>
        <w:t xml:space="preserve">annually </w:t>
      </w:r>
      <w:r w:rsidRPr="00EA5799">
        <w:rPr>
          <w:rFonts w:ascii="Book Antiqua" w:hAnsi="Book Antiqua" w:cs="Arial"/>
          <w:lang w:val="en-US"/>
        </w:rPr>
        <w:t>instead of every two years.</w:t>
      </w:r>
      <w:r w:rsidR="002E569F" w:rsidRPr="00EA5799">
        <w:rPr>
          <w:rFonts w:ascii="Book Antiqua" w:hAnsi="Book Antiqua" w:cs="Arial"/>
          <w:lang w:val="en-US"/>
        </w:rPr>
        <w:t xml:space="preserve"> </w:t>
      </w:r>
      <w:r w:rsidRPr="00EA5799">
        <w:rPr>
          <w:rFonts w:ascii="Book Antiqua" w:hAnsi="Book Antiqua" w:cs="Arial"/>
          <w:lang w:val="en-US"/>
        </w:rPr>
        <w:t>The main reason for this shorter interval is the need for an early recognition of conditions associated to pediatric CD</w:t>
      </w:r>
      <w:r w:rsidR="00F776B0" w:rsidRPr="00EA5799">
        <w:rPr>
          <w:rFonts w:ascii="Book Antiqua" w:hAnsi="Book Antiqua" w:cs="Arial"/>
          <w:lang w:val="en-US"/>
        </w:rPr>
        <w:t>,</w:t>
      </w:r>
      <w:r w:rsidRPr="00EA5799">
        <w:rPr>
          <w:rFonts w:ascii="Book Antiqua" w:hAnsi="Book Antiqua" w:cs="Arial"/>
          <w:lang w:val="en-US"/>
        </w:rPr>
        <w:t xml:space="preserve"> and </w:t>
      </w:r>
      <w:r w:rsidR="00943A8C" w:rsidRPr="00EA5799">
        <w:rPr>
          <w:rFonts w:ascii="Book Antiqua" w:hAnsi="Book Antiqua" w:cs="Arial"/>
          <w:lang w:val="en-US"/>
        </w:rPr>
        <w:t>e</w:t>
      </w:r>
      <w:r w:rsidRPr="00EA5799">
        <w:rPr>
          <w:rFonts w:ascii="Book Antiqua" w:hAnsi="Book Antiqua" w:cs="Arial"/>
          <w:lang w:val="en-US"/>
        </w:rPr>
        <w:t xml:space="preserve">specially to </w:t>
      </w:r>
      <w:r w:rsidR="00943A8C" w:rsidRPr="00EA5799">
        <w:rPr>
          <w:rFonts w:ascii="Book Antiqua" w:hAnsi="Book Antiqua" w:cs="Arial"/>
          <w:lang w:val="en-US"/>
        </w:rPr>
        <w:t xml:space="preserve">ensure </w:t>
      </w:r>
      <w:r w:rsidRPr="00EA5799">
        <w:rPr>
          <w:rFonts w:ascii="Book Antiqua" w:hAnsi="Book Antiqua" w:cs="Arial"/>
          <w:lang w:val="en-US"/>
        </w:rPr>
        <w:t>normal growth and development.</w:t>
      </w:r>
      <w:r w:rsidR="00F909F7" w:rsidRPr="00EA5799">
        <w:rPr>
          <w:rFonts w:ascii="Book Antiqua" w:hAnsi="Book Antiqua" w:cs="Arial"/>
          <w:lang w:val="en-US"/>
        </w:rPr>
        <w:t xml:space="preserve"> </w:t>
      </w:r>
      <w:r w:rsidR="00CF6D00" w:rsidRPr="00EA5799">
        <w:rPr>
          <w:rFonts w:ascii="Book Antiqua" w:eastAsia="GungsuhChe" w:hAnsi="Book Antiqua" w:cs="Arial"/>
          <w:lang w:val="en-US"/>
        </w:rPr>
        <w:t>The appearance of malignant complications associated to CD</w:t>
      </w:r>
      <w:r w:rsidR="00943A8C" w:rsidRPr="00EA5799">
        <w:rPr>
          <w:rFonts w:ascii="Book Antiqua" w:eastAsia="GungsuhChe" w:hAnsi="Book Antiqua" w:cs="Arial"/>
          <w:lang w:val="en-US"/>
        </w:rPr>
        <w:t>,</w:t>
      </w:r>
      <w:r w:rsidR="00CF6D00" w:rsidRPr="00EA5799">
        <w:rPr>
          <w:rFonts w:ascii="Book Antiqua" w:eastAsia="GungsuhChe" w:hAnsi="Book Antiqua" w:cs="Arial"/>
          <w:lang w:val="en-US"/>
        </w:rPr>
        <w:t xml:space="preserve"> as well as the development of refractory</w:t>
      </w:r>
      <w:r w:rsidR="00F909F7" w:rsidRPr="00EA5799">
        <w:rPr>
          <w:rFonts w:ascii="Book Antiqua" w:eastAsia="GungsuhChe" w:hAnsi="Book Antiqua" w:cs="Arial"/>
          <w:lang w:val="en-US"/>
        </w:rPr>
        <w:t xml:space="preserve"> CD</w:t>
      </w:r>
      <w:r w:rsidR="00943A8C" w:rsidRPr="00EA5799">
        <w:rPr>
          <w:rFonts w:ascii="Book Antiqua" w:eastAsia="GungsuhChe" w:hAnsi="Book Antiqua" w:cs="Arial"/>
          <w:lang w:val="en-US"/>
        </w:rPr>
        <w:t>,</w:t>
      </w:r>
      <w:r w:rsidR="00CF6D00" w:rsidRPr="00EA5799">
        <w:rPr>
          <w:rFonts w:ascii="Book Antiqua" w:eastAsia="GungsuhChe" w:hAnsi="Book Antiqua" w:cs="Arial"/>
          <w:lang w:val="en-US"/>
        </w:rPr>
        <w:t xml:space="preserve"> </w:t>
      </w:r>
      <w:r w:rsidR="004F2A2C">
        <w:rPr>
          <w:rFonts w:ascii="Book Antiqua" w:eastAsia="宋体" w:hAnsi="Book Antiqua" w:cs="Arial" w:hint="eastAsia"/>
          <w:lang w:val="en-US" w:eastAsia="zh-CN"/>
        </w:rPr>
        <w:t>is</w:t>
      </w:r>
      <w:r w:rsidR="00CF6D00" w:rsidRPr="00EA5799">
        <w:rPr>
          <w:rFonts w:ascii="Book Antiqua" w:eastAsia="GungsuhChe" w:hAnsi="Book Antiqua" w:cs="Arial"/>
          <w:lang w:val="en-US"/>
        </w:rPr>
        <w:t xml:space="preserve"> both </w:t>
      </w:r>
      <w:r w:rsidR="00943A8C" w:rsidRPr="00EA5799">
        <w:rPr>
          <w:rFonts w:ascii="Book Antiqua" w:eastAsia="GungsuhChe" w:hAnsi="Book Antiqua" w:cs="Arial"/>
          <w:lang w:val="en-US"/>
        </w:rPr>
        <w:t xml:space="preserve">exclusively </w:t>
      </w:r>
      <w:r w:rsidR="00CF6D00" w:rsidRPr="00EA5799">
        <w:rPr>
          <w:rFonts w:ascii="Book Antiqua" w:eastAsia="GungsuhChe" w:hAnsi="Book Antiqua" w:cs="Arial"/>
          <w:lang w:val="en-US"/>
        </w:rPr>
        <w:t>associated to adult forms.</w:t>
      </w:r>
      <w:r w:rsidR="002E569F" w:rsidRPr="00EA5799">
        <w:rPr>
          <w:rFonts w:ascii="Book Antiqua" w:eastAsia="GungsuhChe" w:hAnsi="Book Antiqua" w:cs="Arial"/>
          <w:lang w:val="en-US"/>
        </w:rPr>
        <w:t xml:space="preserve"> </w:t>
      </w:r>
      <w:r w:rsidR="00CF6D00" w:rsidRPr="00EA5799">
        <w:rPr>
          <w:rFonts w:ascii="Book Antiqua" w:eastAsia="GungsuhChe" w:hAnsi="Book Antiqua" w:cs="Arial"/>
          <w:lang w:val="en-US"/>
        </w:rPr>
        <w:t>Even when both situations are infrequent, they dictate a different follow-up from that performed for pediatric patients.</w:t>
      </w:r>
    </w:p>
    <w:p w14:paraId="565246E7" w14:textId="77777777" w:rsidR="00CF6D00" w:rsidRPr="00EA5799" w:rsidRDefault="00CF6D00" w:rsidP="00EA5799">
      <w:pPr>
        <w:spacing w:after="0" w:line="360" w:lineRule="auto"/>
        <w:jc w:val="both"/>
        <w:rPr>
          <w:rFonts w:ascii="Book Antiqua" w:eastAsia="GungsuhChe" w:hAnsi="Book Antiqua" w:cs="Arial"/>
          <w:lang w:val="en-US"/>
        </w:rPr>
      </w:pPr>
    </w:p>
    <w:p w14:paraId="2D76F053" w14:textId="50874409" w:rsidR="002C1FE2" w:rsidRPr="004F2A2C" w:rsidRDefault="004F2A2C" w:rsidP="00EA5799">
      <w:pPr>
        <w:spacing w:after="0" w:line="360" w:lineRule="auto"/>
        <w:jc w:val="both"/>
        <w:rPr>
          <w:rFonts w:ascii="Book Antiqua" w:eastAsia="宋体" w:hAnsi="Book Antiqua" w:cs="Arial"/>
          <w:b/>
          <w:lang w:val="en-US" w:eastAsia="zh-CN"/>
        </w:rPr>
      </w:pPr>
      <w:r>
        <w:rPr>
          <w:rFonts w:ascii="Book Antiqua" w:eastAsia="GungsuhChe" w:hAnsi="Book Antiqua" w:cs="Arial"/>
          <w:b/>
          <w:lang w:val="en-US"/>
        </w:rPr>
        <w:t>CONCLUSION</w:t>
      </w:r>
    </w:p>
    <w:p w14:paraId="563CA5BC" w14:textId="18F17A9E" w:rsidR="002B3A33" w:rsidRPr="00EA5799" w:rsidRDefault="00545204" w:rsidP="00EA5799">
      <w:pPr>
        <w:spacing w:after="0" w:line="360" w:lineRule="auto"/>
        <w:jc w:val="both"/>
        <w:rPr>
          <w:rFonts w:ascii="Book Antiqua" w:eastAsia="GungsuhChe" w:hAnsi="Book Antiqua" w:cs="Arial"/>
          <w:lang w:val="en-US"/>
        </w:rPr>
      </w:pPr>
      <w:r w:rsidRPr="00EA5799">
        <w:rPr>
          <w:rFonts w:ascii="Book Antiqua" w:eastAsia="GungsuhChe" w:hAnsi="Book Antiqua" w:cs="Arial"/>
          <w:lang w:val="en-US"/>
        </w:rPr>
        <w:t>CD</w:t>
      </w:r>
      <w:r w:rsidR="00047357" w:rsidRPr="00EA5799">
        <w:rPr>
          <w:rFonts w:ascii="Book Antiqua" w:eastAsia="GungsuhChe" w:hAnsi="Book Antiqua" w:cs="Arial"/>
          <w:lang w:val="en-US"/>
        </w:rPr>
        <w:t xml:space="preserve"> has many differences between children and adults.</w:t>
      </w:r>
      <w:r w:rsidR="002E569F" w:rsidRPr="00EA5799">
        <w:rPr>
          <w:rFonts w:ascii="Book Antiqua" w:eastAsia="GungsuhChe" w:hAnsi="Book Antiqua" w:cs="Arial"/>
          <w:lang w:val="en-US"/>
        </w:rPr>
        <w:t xml:space="preserve"> </w:t>
      </w:r>
      <w:r w:rsidR="00047357" w:rsidRPr="00EA5799">
        <w:rPr>
          <w:rFonts w:ascii="Book Antiqua" w:eastAsia="GungsuhChe" w:hAnsi="Book Antiqua" w:cs="Arial"/>
          <w:lang w:val="en-US"/>
        </w:rPr>
        <w:t xml:space="preserve">In adults, the presentation of the disease is less marked than </w:t>
      </w:r>
      <w:r w:rsidR="00943A8C" w:rsidRPr="00EA5799">
        <w:rPr>
          <w:rFonts w:ascii="Book Antiqua" w:eastAsia="GungsuhChe" w:hAnsi="Book Antiqua" w:cs="Arial"/>
          <w:lang w:val="en-US"/>
        </w:rPr>
        <w:t xml:space="preserve">during </w:t>
      </w:r>
      <w:r w:rsidR="00047357" w:rsidRPr="00EA5799">
        <w:rPr>
          <w:rFonts w:ascii="Book Antiqua" w:eastAsia="GungsuhChe" w:hAnsi="Book Antiqua" w:cs="Arial"/>
          <w:lang w:val="en-US"/>
        </w:rPr>
        <w:t>childhood.</w:t>
      </w:r>
      <w:r w:rsidR="002E569F" w:rsidRPr="00EA5799">
        <w:rPr>
          <w:rFonts w:ascii="Book Antiqua" w:eastAsia="GungsuhChe" w:hAnsi="Book Antiqua" w:cs="Arial"/>
          <w:lang w:val="en-US"/>
        </w:rPr>
        <w:t xml:space="preserve"> </w:t>
      </w:r>
      <w:r w:rsidR="00047357" w:rsidRPr="00EA5799">
        <w:rPr>
          <w:rFonts w:ascii="Book Antiqua" w:eastAsia="GungsuhChe" w:hAnsi="Book Antiqua" w:cs="Arial"/>
          <w:lang w:val="en-US"/>
        </w:rPr>
        <w:t xml:space="preserve">Clinicians must be aware </w:t>
      </w:r>
      <w:r w:rsidR="00943A8C" w:rsidRPr="00EA5799">
        <w:rPr>
          <w:rFonts w:ascii="Book Antiqua" w:eastAsia="GungsuhChe" w:hAnsi="Book Antiqua" w:cs="Arial"/>
          <w:lang w:val="en-US"/>
        </w:rPr>
        <w:t xml:space="preserve">of </w:t>
      </w:r>
      <w:r w:rsidR="00047357" w:rsidRPr="00EA5799">
        <w:rPr>
          <w:rFonts w:ascii="Book Antiqua" w:eastAsia="GungsuhChe" w:hAnsi="Book Antiqua" w:cs="Arial"/>
          <w:lang w:val="en-US"/>
        </w:rPr>
        <w:t>the less marked clinical profile in adults than children, such as atypical or minor symptoms, lower antibod</w:t>
      </w:r>
      <w:r w:rsidR="00365F7F" w:rsidRPr="00EA5799">
        <w:rPr>
          <w:rFonts w:ascii="Book Antiqua" w:eastAsia="GungsuhChe" w:hAnsi="Book Antiqua" w:cs="Arial"/>
          <w:lang w:val="en-US"/>
        </w:rPr>
        <w:t>y</w:t>
      </w:r>
      <w:r w:rsidR="00047357" w:rsidRPr="00EA5799">
        <w:rPr>
          <w:rFonts w:ascii="Book Antiqua" w:eastAsia="GungsuhChe" w:hAnsi="Book Antiqua" w:cs="Arial"/>
          <w:lang w:val="en-US"/>
        </w:rPr>
        <w:t xml:space="preserve"> titers and mild mucosal lesions (Table 3).</w:t>
      </w:r>
      <w:r w:rsidR="002E569F" w:rsidRPr="00EA5799">
        <w:rPr>
          <w:rFonts w:ascii="Book Antiqua" w:eastAsia="GungsuhChe" w:hAnsi="Book Antiqua" w:cs="Arial"/>
          <w:lang w:val="en-US"/>
        </w:rPr>
        <w:t xml:space="preserve"> </w:t>
      </w:r>
      <w:r w:rsidR="002B3A33" w:rsidRPr="00EA5799">
        <w:rPr>
          <w:rFonts w:ascii="Book Antiqua" w:eastAsia="GungsuhChe" w:hAnsi="Book Antiqua" w:cs="Arial"/>
          <w:lang w:val="en-US"/>
        </w:rPr>
        <w:t>Pediatric diagnostic criteria (ESPGAN</w:t>
      </w:r>
      <w:proofErr w:type="gramStart"/>
      <w:r w:rsidR="002B3A33" w:rsidRPr="00EA5799">
        <w:rPr>
          <w:rFonts w:ascii="Book Antiqua" w:eastAsia="GungsuhChe" w:hAnsi="Book Antiqua" w:cs="Arial"/>
          <w:lang w:val="en-US"/>
        </w:rPr>
        <w:t>),</w:t>
      </w:r>
      <w:proofErr w:type="gramEnd"/>
      <w:r w:rsidR="002B3A33" w:rsidRPr="00EA5799">
        <w:rPr>
          <w:rFonts w:ascii="Book Antiqua" w:eastAsia="GungsuhChe" w:hAnsi="Book Antiqua" w:cs="Arial"/>
          <w:lang w:val="en-US"/>
        </w:rPr>
        <w:t xml:space="preserve"> cannot always be applied to adulthood.</w:t>
      </w:r>
      <w:r w:rsidR="002E569F" w:rsidRPr="00EA5799">
        <w:rPr>
          <w:rFonts w:ascii="Book Antiqua" w:eastAsia="GungsuhChe" w:hAnsi="Book Antiqua" w:cs="Arial"/>
          <w:lang w:val="en-US"/>
        </w:rPr>
        <w:t xml:space="preserve"> </w:t>
      </w:r>
      <w:r w:rsidR="002B3A33" w:rsidRPr="00EA5799">
        <w:rPr>
          <w:rFonts w:ascii="Book Antiqua" w:eastAsia="GungsuhChe" w:hAnsi="Book Antiqua" w:cs="Arial"/>
          <w:lang w:val="en-US"/>
        </w:rPr>
        <w:t xml:space="preserve">In fact, duodenal biopsy </w:t>
      </w:r>
      <w:r w:rsidR="00943A8C" w:rsidRPr="00EA5799">
        <w:rPr>
          <w:rFonts w:ascii="Book Antiqua" w:eastAsia="GungsuhChe" w:hAnsi="Book Antiqua" w:cs="Arial"/>
          <w:lang w:val="en-US"/>
        </w:rPr>
        <w:t>is</w:t>
      </w:r>
      <w:r w:rsidR="002B3A33" w:rsidRPr="00EA5799">
        <w:rPr>
          <w:rFonts w:ascii="Book Antiqua" w:eastAsia="GungsuhChe" w:hAnsi="Book Antiqua" w:cs="Arial"/>
          <w:lang w:val="en-US"/>
        </w:rPr>
        <w:t xml:space="preserve"> nece</w:t>
      </w:r>
      <w:r w:rsidR="00943A8C" w:rsidRPr="00EA5799">
        <w:rPr>
          <w:rFonts w:ascii="Book Antiqua" w:eastAsia="GungsuhChe" w:hAnsi="Book Antiqua" w:cs="Arial"/>
          <w:lang w:val="en-US"/>
        </w:rPr>
        <w:t>s</w:t>
      </w:r>
      <w:r w:rsidR="002B3A33" w:rsidRPr="00EA5799">
        <w:rPr>
          <w:rFonts w:ascii="Book Antiqua" w:eastAsia="GungsuhChe" w:hAnsi="Book Antiqua" w:cs="Arial"/>
          <w:lang w:val="en-US"/>
        </w:rPr>
        <w:t>sary in most adult</w:t>
      </w:r>
      <w:r w:rsidR="00943A8C" w:rsidRPr="00EA5799">
        <w:rPr>
          <w:rFonts w:ascii="Book Antiqua" w:eastAsia="GungsuhChe" w:hAnsi="Book Antiqua" w:cs="Arial"/>
          <w:lang w:val="en-US"/>
        </w:rPr>
        <w:t xml:space="preserve"> </w:t>
      </w:r>
      <w:r w:rsidR="002B3A33" w:rsidRPr="00EA5799">
        <w:rPr>
          <w:rFonts w:ascii="Book Antiqua" w:eastAsia="GungsuhChe" w:hAnsi="Book Antiqua" w:cs="Arial"/>
          <w:lang w:val="en-US"/>
        </w:rPr>
        <w:t>CD diagnosis</w:t>
      </w:r>
      <w:r w:rsidR="00943A8C" w:rsidRPr="00EA5799">
        <w:rPr>
          <w:rFonts w:ascii="Book Antiqua" w:eastAsia="GungsuhChe" w:hAnsi="Book Antiqua" w:cs="Arial"/>
          <w:lang w:val="en-US"/>
        </w:rPr>
        <w:t>,</w:t>
      </w:r>
      <w:r w:rsidR="002B3A33" w:rsidRPr="00EA5799">
        <w:rPr>
          <w:rFonts w:ascii="Book Antiqua" w:eastAsia="GungsuhChe" w:hAnsi="Book Antiqua" w:cs="Arial"/>
          <w:lang w:val="en-US"/>
        </w:rPr>
        <w:t xml:space="preserve"> and </w:t>
      </w:r>
      <w:r w:rsidR="00943A8C" w:rsidRPr="00EA5799">
        <w:rPr>
          <w:rFonts w:ascii="Book Antiqua" w:eastAsia="GungsuhChe" w:hAnsi="Book Antiqua" w:cs="Arial"/>
          <w:lang w:val="en-US"/>
        </w:rPr>
        <w:t xml:space="preserve">during </w:t>
      </w:r>
      <w:r w:rsidR="002B3A33" w:rsidRPr="00EA5799">
        <w:rPr>
          <w:rFonts w:ascii="Book Antiqua" w:eastAsia="GungsuhChe" w:hAnsi="Book Antiqua" w:cs="Arial"/>
          <w:lang w:val="en-US"/>
        </w:rPr>
        <w:t>follow-up</w:t>
      </w:r>
      <w:r w:rsidR="00943A8C" w:rsidRPr="00EA5799">
        <w:rPr>
          <w:rFonts w:ascii="Book Antiqua" w:eastAsia="GungsuhChe" w:hAnsi="Book Antiqua" w:cs="Arial"/>
          <w:lang w:val="en-US"/>
        </w:rPr>
        <w:t>,</w:t>
      </w:r>
      <w:r w:rsidR="002B3A33" w:rsidRPr="00EA5799">
        <w:rPr>
          <w:rFonts w:ascii="Book Antiqua" w:eastAsia="GungsuhChe" w:hAnsi="Book Antiqua" w:cs="Arial"/>
          <w:lang w:val="en-US"/>
        </w:rPr>
        <w:t xml:space="preserve"> to assess mucosal recovery and </w:t>
      </w:r>
      <w:r w:rsidR="00943A8C" w:rsidRPr="00EA5799">
        <w:rPr>
          <w:rFonts w:ascii="Book Antiqua" w:eastAsia="GungsuhChe" w:hAnsi="Book Antiqua" w:cs="Arial"/>
          <w:lang w:val="en-US"/>
        </w:rPr>
        <w:t xml:space="preserve">to detect </w:t>
      </w:r>
      <w:r w:rsidR="002B3A33" w:rsidRPr="00EA5799">
        <w:rPr>
          <w:rFonts w:ascii="Book Antiqua" w:eastAsia="GungsuhChe" w:hAnsi="Book Antiqua" w:cs="Arial"/>
          <w:lang w:val="en-US"/>
        </w:rPr>
        <w:t>complications.</w:t>
      </w:r>
    </w:p>
    <w:p w14:paraId="7C89CD43" w14:textId="4D94759B" w:rsidR="00965571" w:rsidRPr="00EA5799" w:rsidRDefault="00965571" w:rsidP="00EA5799">
      <w:pPr>
        <w:spacing w:after="0" w:line="360" w:lineRule="auto"/>
        <w:jc w:val="both"/>
        <w:rPr>
          <w:rFonts w:ascii="Book Antiqua" w:eastAsia="GungsuhChe" w:hAnsi="Book Antiqua" w:cs="Helvetica"/>
          <w:lang w:val="en-US"/>
        </w:rPr>
      </w:pPr>
    </w:p>
    <w:p w14:paraId="6F5BE18A" w14:textId="77777777" w:rsidR="004F2A2C" w:rsidRDefault="004F2A2C">
      <w:pPr>
        <w:rPr>
          <w:rFonts w:ascii="Book Antiqua" w:hAnsi="Book Antiqua" w:cs="Times New Roman"/>
          <w:b/>
        </w:rPr>
      </w:pPr>
      <w:r>
        <w:rPr>
          <w:rFonts w:ascii="Book Antiqua" w:hAnsi="Book Antiqua" w:cs="Times New Roman"/>
          <w:b/>
        </w:rPr>
        <w:br w:type="page"/>
      </w:r>
    </w:p>
    <w:p w14:paraId="211C6438" w14:textId="1E319633" w:rsidR="004F2A2C" w:rsidRPr="00E2037D" w:rsidRDefault="004F2A2C" w:rsidP="00E2037D">
      <w:pPr>
        <w:spacing w:after="0" w:line="360" w:lineRule="auto"/>
        <w:jc w:val="both"/>
        <w:rPr>
          <w:rFonts w:ascii="Book Antiqua" w:eastAsia="GungsuhChe" w:hAnsi="Book Antiqua" w:cs="Arial"/>
          <w:lang w:val="en-US"/>
        </w:rPr>
      </w:pPr>
      <w:r w:rsidRPr="00E2037D">
        <w:rPr>
          <w:rFonts w:ascii="Book Antiqua" w:hAnsi="Book Antiqua" w:cs="Times New Roman"/>
          <w:b/>
        </w:rPr>
        <w:lastRenderedPageBreak/>
        <w:t>REFERENCES</w:t>
      </w:r>
    </w:p>
    <w:p w14:paraId="72730B09"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1 </w:t>
      </w:r>
      <w:proofErr w:type="spellStart"/>
      <w:r w:rsidRPr="00E2037D">
        <w:rPr>
          <w:rFonts w:ascii="Book Antiqua" w:eastAsia="宋体" w:hAnsi="Book Antiqua" w:cs="宋体"/>
          <w:b/>
          <w:bCs/>
          <w:lang w:val="en-US" w:eastAsia="zh-CN"/>
        </w:rPr>
        <w:t>Ludvigsson</w:t>
      </w:r>
      <w:proofErr w:type="spellEnd"/>
      <w:r w:rsidRPr="00E2037D">
        <w:rPr>
          <w:rFonts w:ascii="Book Antiqua" w:eastAsia="宋体" w:hAnsi="Book Antiqua" w:cs="宋体"/>
          <w:b/>
          <w:bCs/>
          <w:lang w:val="en-US" w:eastAsia="zh-CN"/>
        </w:rPr>
        <w:t xml:space="preserve"> JF</w:t>
      </w:r>
      <w:r w:rsidRPr="00E2037D">
        <w:rPr>
          <w:rFonts w:ascii="Book Antiqua" w:eastAsia="宋体" w:hAnsi="Book Antiqua" w:cs="宋体"/>
          <w:lang w:val="en-US" w:eastAsia="zh-CN"/>
        </w:rPr>
        <w:t xml:space="preserve">, Bai JC, </w:t>
      </w:r>
      <w:proofErr w:type="spellStart"/>
      <w:r w:rsidRPr="00E2037D">
        <w:rPr>
          <w:rFonts w:ascii="Book Antiqua" w:eastAsia="宋体" w:hAnsi="Book Antiqua" w:cs="宋体"/>
          <w:lang w:val="en-US" w:eastAsia="zh-CN"/>
        </w:rPr>
        <w:t>Biagi</w:t>
      </w:r>
      <w:proofErr w:type="spellEnd"/>
      <w:r w:rsidRPr="00E2037D">
        <w:rPr>
          <w:rFonts w:ascii="Book Antiqua" w:eastAsia="宋体" w:hAnsi="Book Antiqua" w:cs="宋体"/>
          <w:lang w:val="en-US" w:eastAsia="zh-CN"/>
        </w:rPr>
        <w:t xml:space="preserve"> F, Card TR, </w:t>
      </w:r>
      <w:proofErr w:type="spellStart"/>
      <w:r w:rsidRPr="00E2037D">
        <w:rPr>
          <w:rFonts w:ascii="Book Antiqua" w:eastAsia="宋体" w:hAnsi="Book Antiqua" w:cs="宋体"/>
          <w:lang w:val="en-US" w:eastAsia="zh-CN"/>
        </w:rPr>
        <w:t>Ciacci</w:t>
      </w:r>
      <w:proofErr w:type="spellEnd"/>
      <w:r w:rsidRPr="00E2037D">
        <w:rPr>
          <w:rFonts w:ascii="Book Antiqua" w:eastAsia="宋体" w:hAnsi="Book Antiqua" w:cs="宋体"/>
          <w:lang w:val="en-US" w:eastAsia="zh-CN"/>
        </w:rPr>
        <w:t xml:space="preserve"> C, </w:t>
      </w:r>
      <w:proofErr w:type="spellStart"/>
      <w:r w:rsidRPr="00E2037D">
        <w:rPr>
          <w:rFonts w:ascii="Book Antiqua" w:eastAsia="宋体" w:hAnsi="Book Antiqua" w:cs="宋体"/>
          <w:lang w:val="en-US" w:eastAsia="zh-CN"/>
        </w:rPr>
        <w:t>Ciclitira</w:t>
      </w:r>
      <w:proofErr w:type="spellEnd"/>
      <w:r w:rsidRPr="00E2037D">
        <w:rPr>
          <w:rFonts w:ascii="Book Antiqua" w:eastAsia="宋体" w:hAnsi="Book Antiqua" w:cs="宋体"/>
          <w:lang w:val="en-US" w:eastAsia="zh-CN"/>
        </w:rPr>
        <w:t xml:space="preserve"> PJ, Green PH, </w:t>
      </w:r>
      <w:proofErr w:type="spellStart"/>
      <w:r w:rsidRPr="00E2037D">
        <w:rPr>
          <w:rFonts w:ascii="Book Antiqua" w:eastAsia="宋体" w:hAnsi="Book Antiqua" w:cs="宋体"/>
          <w:lang w:val="en-US" w:eastAsia="zh-CN"/>
        </w:rPr>
        <w:t>Hadjivassiliou</w:t>
      </w:r>
      <w:proofErr w:type="spellEnd"/>
      <w:r w:rsidRPr="00E2037D">
        <w:rPr>
          <w:rFonts w:ascii="Book Antiqua" w:eastAsia="宋体" w:hAnsi="Book Antiqua" w:cs="宋体"/>
          <w:lang w:val="en-US" w:eastAsia="zh-CN"/>
        </w:rPr>
        <w:t xml:space="preserve"> M, </w:t>
      </w:r>
      <w:proofErr w:type="spellStart"/>
      <w:r w:rsidRPr="00E2037D">
        <w:rPr>
          <w:rFonts w:ascii="Book Antiqua" w:eastAsia="宋体" w:hAnsi="Book Antiqua" w:cs="宋体"/>
          <w:lang w:val="en-US" w:eastAsia="zh-CN"/>
        </w:rPr>
        <w:t>Holdoway</w:t>
      </w:r>
      <w:proofErr w:type="spellEnd"/>
      <w:r w:rsidRPr="00E2037D">
        <w:rPr>
          <w:rFonts w:ascii="Book Antiqua" w:eastAsia="宋体" w:hAnsi="Book Antiqua" w:cs="宋体"/>
          <w:lang w:val="en-US" w:eastAsia="zh-CN"/>
        </w:rPr>
        <w:t xml:space="preserve"> A, van Heel DA, </w:t>
      </w:r>
      <w:proofErr w:type="spellStart"/>
      <w:r w:rsidRPr="00E2037D">
        <w:rPr>
          <w:rFonts w:ascii="Book Antiqua" w:eastAsia="宋体" w:hAnsi="Book Antiqua" w:cs="宋体"/>
          <w:lang w:val="en-US" w:eastAsia="zh-CN"/>
        </w:rPr>
        <w:t>Kaukinen</w:t>
      </w:r>
      <w:proofErr w:type="spellEnd"/>
      <w:r w:rsidRPr="00E2037D">
        <w:rPr>
          <w:rFonts w:ascii="Book Antiqua" w:eastAsia="宋体" w:hAnsi="Book Antiqua" w:cs="宋体"/>
          <w:lang w:val="en-US" w:eastAsia="zh-CN"/>
        </w:rPr>
        <w:t xml:space="preserve"> K, </w:t>
      </w:r>
      <w:proofErr w:type="spellStart"/>
      <w:r w:rsidRPr="00E2037D">
        <w:rPr>
          <w:rFonts w:ascii="Book Antiqua" w:eastAsia="宋体" w:hAnsi="Book Antiqua" w:cs="宋体"/>
          <w:lang w:val="en-US" w:eastAsia="zh-CN"/>
        </w:rPr>
        <w:t>Leffler</w:t>
      </w:r>
      <w:proofErr w:type="spellEnd"/>
      <w:r w:rsidRPr="00E2037D">
        <w:rPr>
          <w:rFonts w:ascii="Book Antiqua" w:eastAsia="宋体" w:hAnsi="Book Antiqua" w:cs="宋体"/>
          <w:lang w:val="en-US" w:eastAsia="zh-CN"/>
        </w:rPr>
        <w:t xml:space="preserve"> DA, Leonard JN, Lundin KE, McGough N, Davidson M, Murray JA, Swift GL, Walker MM, </w:t>
      </w:r>
      <w:proofErr w:type="spellStart"/>
      <w:r w:rsidRPr="00E2037D">
        <w:rPr>
          <w:rFonts w:ascii="Book Antiqua" w:eastAsia="宋体" w:hAnsi="Book Antiqua" w:cs="宋体"/>
          <w:lang w:val="en-US" w:eastAsia="zh-CN"/>
        </w:rPr>
        <w:t>Zingone</w:t>
      </w:r>
      <w:proofErr w:type="spellEnd"/>
      <w:r w:rsidRPr="00E2037D">
        <w:rPr>
          <w:rFonts w:ascii="Book Antiqua" w:eastAsia="宋体" w:hAnsi="Book Antiqua" w:cs="宋体"/>
          <w:lang w:val="en-US" w:eastAsia="zh-CN"/>
        </w:rPr>
        <w:t xml:space="preserve"> F, Sanders DS. Diagnosis and management of adult coeliac disease: guidelines from the British Society of Gastroenterology. </w:t>
      </w:r>
      <w:r w:rsidRPr="00E2037D">
        <w:rPr>
          <w:rFonts w:ascii="Book Antiqua" w:eastAsia="宋体" w:hAnsi="Book Antiqua" w:cs="宋体"/>
          <w:i/>
          <w:iCs/>
          <w:lang w:val="en-US" w:eastAsia="zh-CN"/>
        </w:rPr>
        <w:t>Gut</w:t>
      </w:r>
      <w:r w:rsidRPr="00E2037D">
        <w:rPr>
          <w:rFonts w:ascii="Book Antiqua" w:eastAsia="宋体" w:hAnsi="Book Antiqua" w:cs="宋体"/>
          <w:lang w:val="en-US" w:eastAsia="zh-CN"/>
        </w:rPr>
        <w:t xml:space="preserve"> 2014; </w:t>
      </w:r>
      <w:r w:rsidRPr="00E2037D">
        <w:rPr>
          <w:rFonts w:ascii="Book Antiqua" w:eastAsia="宋体" w:hAnsi="Book Antiqua" w:cs="宋体"/>
          <w:b/>
          <w:bCs/>
          <w:lang w:val="en-US" w:eastAsia="zh-CN"/>
        </w:rPr>
        <w:t>63</w:t>
      </w:r>
      <w:r w:rsidRPr="00E2037D">
        <w:rPr>
          <w:rFonts w:ascii="Book Antiqua" w:eastAsia="宋体" w:hAnsi="Book Antiqua" w:cs="宋体"/>
          <w:lang w:val="en-US" w:eastAsia="zh-CN"/>
        </w:rPr>
        <w:t>: 1210-1228 [PMID: 24917550 DOI: 10.1136/gutjnl-2013-306578]</w:t>
      </w:r>
    </w:p>
    <w:p w14:paraId="427B5BEB"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2 </w:t>
      </w:r>
      <w:r w:rsidRPr="00E2037D">
        <w:rPr>
          <w:rFonts w:ascii="Book Antiqua" w:eastAsia="宋体" w:hAnsi="Book Antiqua" w:cs="宋体"/>
          <w:b/>
          <w:bCs/>
          <w:lang w:val="en-US" w:eastAsia="zh-CN"/>
        </w:rPr>
        <w:t>Kang JY</w:t>
      </w:r>
      <w:r w:rsidRPr="00E2037D">
        <w:rPr>
          <w:rFonts w:ascii="Book Antiqua" w:eastAsia="宋体" w:hAnsi="Book Antiqua" w:cs="宋体"/>
          <w:lang w:val="en-US" w:eastAsia="zh-CN"/>
        </w:rPr>
        <w:t xml:space="preserve">, Kang AH, Green A, </w:t>
      </w:r>
      <w:proofErr w:type="spellStart"/>
      <w:r w:rsidRPr="00E2037D">
        <w:rPr>
          <w:rFonts w:ascii="Book Antiqua" w:eastAsia="宋体" w:hAnsi="Book Antiqua" w:cs="宋体"/>
          <w:lang w:val="en-US" w:eastAsia="zh-CN"/>
        </w:rPr>
        <w:t>Gwee</w:t>
      </w:r>
      <w:proofErr w:type="spellEnd"/>
      <w:r w:rsidRPr="00E2037D">
        <w:rPr>
          <w:rFonts w:ascii="Book Antiqua" w:eastAsia="宋体" w:hAnsi="Book Antiqua" w:cs="宋体"/>
          <w:lang w:val="en-US" w:eastAsia="zh-CN"/>
        </w:rPr>
        <w:t xml:space="preserve"> KA, Ho KY. Systematic review: worldwide variation in the frequency of coeliac disease and changes over time. </w:t>
      </w:r>
      <w:r w:rsidRPr="00E2037D">
        <w:rPr>
          <w:rFonts w:ascii="Book Antiqua" w:eastAsia="宋体" w:hAnsi="Book Antiqua" w:cs="宋体"/>
          <w:i/>
          <w:iCs/>
          <w:lang w:val="en-US" w:eastAsia="zh-CN"/>
        </w:rPr>
        <w:t xml:space="preserve">Aliment </w:t>
      </w:r>
      <w:proofErr w:type="spellStart"/>
      <w:r w:rsidRPr="00E2037D">
        <w:rPr>
          <w:rFonts w:ascii="Book Antiqua" w:eastAsia="宋体" w:hAnsi="Book Antiqua" w:cs="宋体"/>
          <w:i/>
          <w:iCs/>
          <w:lang w:val="en-US" w:eastAsia="zh-CN"/>
        </w:rPr>
        <w:t>Pharmacol</w:t>
      </w:r>
      <w:proofErr w:type="spellEnd"/>
      <w:r w:rsidRPr="00E2037D">
        <w:rPr>
          <w:rFonts w:ascii="Book Antiqua" w:eastAsia="宋体" w:hAnsi="Book Antiqua" w:cs="宋体"/>
          <w:i/>
          <w:iCs/>
          <w:lang w:val="en-US" w:eastAsia="zh-CN"/>
        </w:rPr>
        <w:t xml:space="preserve"> </w:t>
      </w:r>
      <w:proofErr w:type="spellStart"/>
      <w:r w:rsidRPr="00E2037D">
        <w:rPr>
          <w:rFonts w:ascii="Book Antiqua" w:eastAsia="宋体" w:hAnsi="Book Antiqua" w:cs="宋体"/>
          <w:i/>
          <w:iCs/>
          <w:lang w:val="en-US" w:eastAsia="zh-CN"/>
        </w:rPr>
        <w:t>Ther</w:t>
      </w:r>
      <w:proofErr w:type="spellEnd"/>
      <w:r w:rsidRPr="00E2037D">
        <w:rPr>
          <w:rFonts w:ascii="Book Antiqua" w:eastAsia="宋体" w:hAnsi="Book Antiqua" w:cs="宋体"/>
          <w:lang w:val="en-US" w:eastAsia="zh-CN"/>
        </w:rPr>
        <w:t xml:space="preserve"> 2013; </w:t>
      </w:r>
      <w:r w:rsidRPr="00E2037D">
        <w:rPr>
          <w:rFonts w:ascii="Book Antiqua" w:eastAsia="宋体" w:hAnsi="Book Antiqua" w:cs="宋体"/>
          <w:b/>
          <w:bCs/>
          <w:lang w:val="en-US" w:eastAsia="zh-CN"/>
        </w:rPr>
        <w:t>38</w:t>
      </w:r>
      <w:r w:rsidRPr="00E2037D">
        <w:rPr>
          <w:rFonts w:ascii="Book Antiqua" w:eastAsia="宋体" w:hAnsi="Book Antiqua" w:cs="宋体"/>
          <w:lang w:val="en-US" w:eastAsia="zh-CN"/>
        </w:rPr>
        <w:t>: 226-245 [PMID: 23782240 DOI: 10.1111/apt.12373]</w:t>
      </w:r>
    </w:p>
    <w:p w14:paraId="118225C2"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3 </w:t>
      </w:r>
      <w:r w:rsidRPr="00E2037D">
        <w:rPr>
          <w:rFonts w:ascii="Book Antiqua" w:eastAsia="宋体" w:hAnsi="Book Antiqua" w:cs="宋体"/>
          <w:b/>
          <w:bCs/>
          <w:lang w:val="en-US" w:eastAsia="zh-CN"/>
        </w:rPr>
        <w:t>Vaquero L</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Caminero</w:t>
      </w:r>
      <w:proofErr w:type="spellEnd"/>
      <w:r w:rsidRPr="00E2037D">
        <w:rPr>
          <w:rFonts w:ascii="Book Antiqua" w:eastAsia="宋体" w:hAnsi="Book Antiqua" w:cs="宋体"/>
          <w:lang w:val="en-US" w:eastAsia="zh-CN"/>
        </w:rPr>
        <w:t xml:space="preserve"> A, </w:t>
      </w:r>
      <w:proofErr w:type="spellStart"/>
      <w:r w:rsidRPr="00E2037D">
        <w:rPr>
          <w:rFonts w:ascii="Book Antiqua" w:eastAsia="宋体" w:hAnsi="Book Antiqua" w:cs="宋体"/>
          <w:lang w:val="en-US" w:eastAsia="zh-CN"/>
        </w:rPr>
        <w:t>Nuñez</w:t>
      </w:r>
      <w:proofErr w:type="spellEnd"/>
      <w:r w:rsidRPr="00E2037D">
        <w:rPr>
          <w:rFonts w:ascii="Book Antiqua" w:eastAsia="宋体" w:hAnsi="Book Antiqua" w:cs="宋体"/>
          <w:lang w:val="en-US" w:eastAsia="zh-CN"/>
        </w:rPr>
        <w:t xml:space="preserve"> A, Hernando M, Iglesias C, </w:t>
      </w:r>
      <w:proofErr w:type="spellStart"/>
      <w:r w:rsidRPr="00E2037D">
        <w:rPr>
          <w:rFonts w:ascii="Book Antiqua" w:eastAsia="宋体" w:hAnsi="Book Antiqua" w:cs="宋体"/>
          <w:lang w:val="en-US" w:eastAsia="zh-CN"/>
        </w:rPr>
        <w:t>Casqueiro</w:t>
      </w:r>
      <w:proofErr w:type="spellEnd"/>
      <w:r w:rsidRPr="00E2037D">
        <w:rPr>
          <w:rFonts w:ascii="Book Antiqua" w:eastAsia="宋体" w:hAnsi="Book Antiqua" w:cs="宋体"/>
          <w:lang w:val="en-US" w:eastAsia="zh-CN"/>
        </w:rPr>
        <w:t xml:space="preserve"> J, </w:t>
      </w:r>
      <w:proofErr w:type="spellStart"/>
      <w:r w:rsidRPr="00E2037D">
        <w:rPr>
          <w:rFonts w:ascii="Book Antiqua" w:eastAsia="宋体" w:hAnsi="Book Antiqua" w:cs="宋体"/>
          <w:lang w:val="en-US" w:eastAsia="zh-CN"/>
        </w:rPr>
        <w:t>Vivas</w:t>
      </w:r>
      <w:proofErr w:type="spellEnd"/>
      <w:r w:rsidRPr="00E2037D">
        <w:rPr>
          <w:rFonts w:ascii="Book Antiqua" w:eastAsia="宋体" w:hAnsi="Book Antiqua" w:cs="宋体"/>
          <w:lang w:val="en-US" w:eastAsia="zh-CN"/>
        </w:rPr>
        <w:t xml:space="preserve"> S. Coeliac disease screening in first-degree relatives on the basis of biopsy and genetic risk. </w:t>
      </w:r>
      <w:proofErr w:type="spellStart"/>
      <w:r w:rsidRPr="00E2037D">
        <w:rPr>
          <w:rFonts w:ascii="Book Antiqua" w:eastAsia="宋体" w:hAnsi="Book Antiqua" w:cs="宋体"/>
          <w:i/>
          <w:iCs/>
          <w:lang w:val="en-US" w:eastAsia="zh-CN"/>
        </w:rPr>
        <w:t>Eur</w:t>
      </w:r>
      <w:proofErr w:type="spellEnd"/>
      <w:r w:rsidRPr="00E2037D">
        <w:rPr>
          <w:rFonts w:ascii="Book Antiqua" w:eastAsia="宋体" w:hAnsi="Book Antiqua" w:cs="宋体"/>
          <w:i/>
          <w:iCs/>
          <w:lang w:val="en-US" w:eastAsia="zh-CN"/>
        </w:rPr>
        <w:t xml:space="preserve"> J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i/>
          <w:iCs/>
          <w:lang w:val="en-US" w:eastAsia="zh-CN"/>
        </w:rPr>
        <w:t xml:space="preserve"> </w:t>
      </w:r>
      <w:proofErr w:type="spellStart"/>
      <w:r w:rsidRPr="00E2037D">
        <w:rPr>
          <w:rFonts w:ascii="Book Antiqua" w:eastAsia="宋体" w:hAnsi="Book Antiqua" w:cs="宋体"/>
          <w:i/>
          <w:iCs/>
          <w:lang w:val="en-US" w:eastAsia="zh-CN"/>
        </w:rPr>
        <w:t>Hepatol</w:t>
      </w:r>
      <w:proofErr w:type="spellEnd"/>
      <w:r w:rsidRPr="00E2037D">
        <w:rPr>
          <w:rFonts w:ascii="Book Antiqua" w:eastAsia="宋体" w:hAnsi="Book Antiqua" w:cs="宋体"/>
          <w:lang w:val="en-US" w:eastAsia="zh-CN"/>
        </w:rPr>
        <w:t xml:space="preserve"> 2014; </w:t>
      </w:r>
      <w:r w:rsidRPr="00E2037D">
        <w:rPr>
          <w:rFonts w:ascii="Book Antiqua" w:eastAsia="宋体" w:hAnsi="Book Antiqua" w:cs="宋体"/>
          <w:b/>
          <w:bCs/>
          <w:lang w:val="en-US" w:eastAsia="zh-CN"/>
        </w:rPr>
        <w:t>26</w:t>
      </w:r>
      <w:r w:rsidRPr="00E2037D">
        <w:rPr>
          <w:rFonts w:ascii="Book Antiqua" w:eastAsia="宋体" w:hAnsi="Book Antiqua" w:cs="宋体"/>
          <w:lang w:val="en-US" w:eastAsia="zh-CN"/>
        </w:rPr>
        <w:t>: 263-267 [PMID: 24300305 DOI: 10.1097/MEG.0000000000000020]</w:t>
      </w:r>
    </w:p>
    <w:p w14:paraId="48EF3FB8" w14:textId="77777777" w:rsidR="00E2037D" w:rsidRPr="00E2037D" w:rsidRDefault="00E2037D" w:rsidP="00E2037D">
      <w:pPr>
        <w:spacing w:after="0" w:line="360" w:lineRule="auto"/>
        <w:jc w:val="both"/>
        <w:rPr>
          <w:rFonts w:ascii="Book Antiqua" w:eastAsia="宋体" w:hAnsi="Book Antiqua" w:cs="宋体"/>
          <w:lang w:val="en-US" w:eastAsia="zh-CN"/>
        </w:rPr>
      </w:pPr>
      <w:proofErr w:type="gramStart"/>
      <w:r w:rsidRPr="00E2037D">
        <w:rPr>
          <w:rFonts w:ascii="Book Antiqua" w:eastAsia="宋体" w:hAnsi="Book Antiqua" w:cs="宋体"/>
          <w:lang w:val="en-US" w:eastAsia="zh-CN"/>
        </w:rPr>
        <w:t xml:space="preserve">4 </w:t>
      </w:r>
      <w:r w:rsidRPr="00E2037D">
        <w:rPr>
          <w:rFonts w:ascii="Book Antiqua" w:eastAsia="宋体" w:hAnsi="Book Antiqua" w:cs="宋体"/>
          <w:b/>
          <w:bCs/>
          <w:lang w:val="en-US" w:eastAsia="zh-CN"/>
        </w:rPr>
        <w:t>Volta U</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Caio</w:t>
      </w:r>
      <w:proofErr w:type="spellEnd"/>
      <w:r w:rsidRPr="00E2037D">
        <w:rPr>
          <w:rFonts w:ascii="Book Antiqua" w:eastAsia="宋体" w:hAnsi="Book Antiqua" w:cs="宋体"/>
          <w:lang w:val="en-US" w:eastAsia="zh-CN"/>
        </w:rPr>
        <w:t xml:space="preserve"> G, </w:t>
      </w:r>
      <w:proofErr w:type="spellStart"/>
      <w:r w:rsidRPr="00E2037D">
        <w:rPr>
          <w:rFonts w:ascii="Book Antiqua" w:eastAsia="宋体" w:hAnsi="Book Antiqua" w:cs="宋体"/>
          <w:lang w:val="en-US" w:eastAsia="zh-CN"/>
        </w:rPr>
        <w:t>Stanghellini</w:t>
      </w:r>
      <w:proofErr w:type="spellEnd"/>
      <w:r w:rsidRPr="00E2037D">
        <w:rPr>
          <w:rFonts w:ascii="Book Antiqua" w:eastAsia="宋体" w:hAnsi="Book Antiqua" w:cs="宋体"/>
          <w:lang w:val="en-US" w:eastAsia="zh-CN"/>
        </w:rPr>
        <w:t xml:space="preserve"> V, De Giorgio R.</w:t>
      </w:r>
      <w:proofErr w:type="gramEnd"/>
      <w:r w:rsidRPr="00E2037D">
        <w:rPr>
          <w:rFonts w:ascii="Book Antiqua" w:eastAsia="宋体" w:hAnsi="Book Antiqua" w:cs="宋体"/>
          <w:lang w:val="en-US" w:eastAsia="zh-CN"/>
        </w:rPr>
        <w:t xml:space="preserve"> The changing clinical profile of celiac disease: a 15-year experience (1998-2012) in an Italian referral center. </w:t>
      </w:r>
      <w:r w:rsidRPr="00E2037D">
        <w:rPr>
          <w:rFonts w:ascii="Book Antiqua" w:eastAsia="宋体" w:hAnsi="Book Antiqua" w:cs="宋体"/>
          <w:i/>
          <w:iCs/>
          <w:lang w:val="en-US" w:eastAsia="zh-CN"/>
        </w:rPr>
        <w:t xml:space="preserve">BMC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lang w:val="en-US" w:eastAsia="zh-CN"/>
        </w:rPr>
        <w:t xml:space="preserve"> 2014; </w:t>
      </w:r>
      <w:r w:rsidRPr="00E2037D">
        <w:rPr>
          <w:rFonts w:ascii="Book Antiqua" w:eastAsia="宋体" w:hAnsi="Book Antiqua" w:cs="宋体"/>
          <w:b/>
          <w:bCs/>
          <w:lang w:val="en-US" w:eastAsia="zh-CN"/>
        </w:rPr>
        <w:t>14</w:t>
      </w:r>
      <w:r w:rsidRPr="00E2037D">
        <w:rPr>
          <w:rFonts w:ascii="Book Antiqua" w:eastAsia="宋体" w:hAnsi="Book Antiqua" w:cs="宋体"/>
          <w:lang w:val="en-US" w:eastAsia="zh-CN"/>
        </w:rPr>
        <w:t>: 194 [PMID: 25404189 DOI: 10.1186/s12876-014-0194-x]</w:t>
      </w:r>
    </w:p>
    <w:p w14:paraId="1D6C512F" w14:textId="678B2A1D" w:rsidR="00E2037D" w:rsidRPr="00E2037D" w:rsidRDefault="00E2037D" w:rsidP="00E2037D">
      <w:pPr>
        <w:spacing w:after="0" w:line="360" w:lineRule="auto"/>
        <w:jc w:val="both"/>
        <w:rPr>
          <w:rFonts w:ascii="Book Antiqua" w:eastAsia="宋体" w:hAnsi="Book Antiqua" w:cs="宋体"/>
          <w:lang w:val="en-US" w:eastAsia="zh-CN"/>
        </w:rPr>
      </w:pPr>
      <w:proofErr w:type="gramStart"/>
      <w:r w:rsidRPr="00E2037D">
        <w:rPr>
          <w:rFonts w:ascii="Book Antiqua" w:eastAsia="宋体" w:hAnsi="Book Antiqua" w:cs="宋体"/>
          <w:lang w:val="en-US" w:eastAsia="zh-CN"/>
        </w:rPr>
        <w:t xml:space="preserve">5 </w:t>
      </w:r>
      <w:r w:rsidRPr="00E2037D">
        <w:rPr>
          <w:rFonts w:ascii="Book Antiqua" w:eastAsia="宋体" w:hAnsi="Book Antiqua" w:cs="宋体"/>
          <w:b/>
          <w:bCs/>
          <w:lang w:val="en-US" w:eastAsia="zh-CN"/>
        </w:rPr>
        <w:t>Rubio-Tapia A</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Ludvigsson</w:t>
      </w:r>
      <w:proofErr w:type="spellEnd"/>
      <w:r w:rsidRPr="00E2037D">
        <w:rPr>
          <w:rFonts w:ascii="Book Antiqua" w:eastAsia="宋体" w:hAnsi="Book Antiqua" w:cs="宋体"/>
          <w:lang w:val="en-US" w:eastAsia="zh-CN"/>
        </w:rPr>
        <w:t xml:space="preserve"> JF, </w:t>
      </w:r>
      <w:proofErr w:type="spellStart"/>
      <w:r w:rsidRPr="00E2037D">
        <w:rPr>
          <w:rFonts w:ascii="Book Antiqua" w:eastAsia="宋体" w:hAnsi="Book Antiqua" w:cs="宋体"/>
          <w:lang w:val="en-US" w:eastAsia="zh-CN"/>
        </w:rPr>
        <w:t>Brantner</w:t>
      </w:r>
      <w:proofErr w:type="spellEnd"/>
      <w:r w:rsidRPr="00E2037D">
        <w:rPr>
          <w:rFonts w:ascii="Book Antiqua" w:eastAsia="宋体" w:hAnsi="Book Antiqua" w:cs="宋体"/>
          <w:lang w:val="en-US" w:eastAsia="zh-CN"/>
        </w:rPr>
        <w:t xml:space="preserve"> TL, Murray JA, Everhart JE.</w:t>
      </w:r>
      <w:proofErr w:type="gramEnd"/>
      <w:r w:rsidRPr="00E2037D">
        <w:rPr>
          <w:rFonts w:ascii="Book Antiqua" w:eastAsia="宋体" w:hAnsi="Book Antiqua" w:cs="宋体"/>
          <w:lang w:val="en-US" w:eastAsia="zh-CN"/>
        </w:rPr>
        <w:t xml:space="preserve"> </w:t>
      </w:r>
      <w:proofErr w:type="gramStart"/>
      <w:r w:rsidRPr="00E2037D">
        <w:rPr>
          <w:rFonts w:ascii="Book Antiqua" w:eastAsia="宋体" w:hAnsi="Book Antiqua" w:cs="宋体"/>
          <w:lang w:val="en-US" w:eastAsia="zh-CN"/>
        </w:rPr>
        <w:t>The prevalence of celiac disease in the United States.</w:t>
      </w:r>
      <w:proofErr w:type="gramEnd"/>
      <w:r w:rsidRPr="00E2037D">
        <w:rPr>
          <w:rFonts w:ascii="Book Antiqua" w:eastAsia="宋体" w:hAnsi="Book Antiqua" w:cs="宋体"/>
          <w:lang w:val="en-US" w:eastAsia="zh-CN"/>
        </w:rPr>
        <w:t xml:space="preserve"> </w:t>
      </w:r>
      <w:r w:rsidRPr="00E2037D">
        <w:rPr>
          <w:rFonts w:ascii="Book Antiqua" w:eastAsia="宋体" w:hAnsi="Book Antiqua" w:cs="宋体"/>
          <w:i/>
          <w:iCs/>
          <w:lang w:val="en-US" w:eastAsia="zh-CN"/>
        </w:rPr>
        <w:t xml:space="preserve">Am J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lang w:val="en-US" w:eastAsia="zh-CN"/>
        </w:rPr>
        <w:t xml:space="preserve"> 2012; </w:t>
      </w:r>
      <w:r w:rsidRPr="00E2037D">
        <w:rPr>
          <w:rFonts w:ascii="Book Antiqua" w:eastAsia="宋体" w:hAnsi="Book Antiqua" w:cs="宋体"/>
          <w:b/>
          <w:bCs/>
          <w:lang w:val="en-US" w:eastAsia="zh-CN"/>
        </w:rPr>
        <w:t>107</w:t>
      </w:r>
      <w:r w:rsidRPr="00E2037D">
        <w:rPr>
          <w:rFonts w:ascii="Book Antiqua" w:eastAsia="宋体" w:hAnsi="Book Antiqua" w:cs="宋体"/>
          <w:lang w:val="en-US" w:eastAsia="zh-CN"/>
        </w:rPr>
        <w:t>: 1538-1</w:t>
      </w:r>
      <w:r w:rsidR="000342F5">
        <w:rPr>
          <w:rFonts w:ascii="Book Antiqua" w:eastAsia="宋体" w:hAnsi="Book Antiqua" w:cs="宋体" w:hint="eastAsia"/>
          <w:lang w:val="en-US" w:eastAsia="zh-CN"/>
        </w:rPr>
        <w:t>5</w:t>
      </w:r>
      <w:r w:rsidRPr="00E2037D">
        <w:rPr>
          <w:rFonts w:ascii="Book Antiqua" w:eastAsia="宋体" w:hAnsi="Book Antiqua" w:cs="宋体"/>
          <w:lang w:val="en-US" w:eastAsia="zh-CN"/>
        </w:rPr>
        <w:t>44; quiz 1537, 1545 [PMID: 22850429 DOI: 10.1038/ajg.2012.219]</w:t>
      </w:r>
    </w:p>
    <w:p w14:paraId="5F733BA8"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6 </w:t>
      </w:r>
      <w:proofErr w:type="spellStart"/>
      <w:r w:rsidRPr="00E2037D">
        <w:rPr>
          <w:rFonts w:ascii="Book Antiqua" w:eastAsia="宋体" w:hAnsi="Book Antiqua" w:cs="宋体"/>
          <w:b/>
          <w:bCs/>
          <w:lang w:val="en-US" w:eastAsia="zh-CN"/>
        </w:rPr>
        <w:t>Mariné</w:t>
      </w:r>
      <w:proofErr w:type="spellEnd"/>
      <w:r w:rsidRPr="00E2037D">
        <w:rPr>
          <w:rFonts w:ascii="Book Antiqua" w:eastAsia="宋体" w:hAnsi="Book Antiqua" w:cs="宋体"/>
          <w:b/>
          <w:bCs/>
          <w:lang w:val="en-US" w:eastAsia="zh-CN"/>
        </w:rPr>
        <w:t xml:space="preserve"> M</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Farre</w:t>
      </w:r>
      <w:proofErr w:type="spellEnd"/>
      <w:r w:rsidRPr="00E2037D">
        <w:rPr>
          <w:rFonts w:ascii="Book Antiqua" w:eastAsia="宋体" w:hAnsi="Book Antiqua" w:cs="宋体"/>
          <w:lang w:val="en-US" w:eastAsia="zh-CN"/>
        </w:rPr>
        <w:t xml:space="preserve"> C, </w:t>
      </w:r>
      <w:proofErr w:type="spellStart"/>
      <w:r w:rsidRPr="00E2037D">
        <w:rPr>
          <w:rFonts w:ascii="Book Antiqua" w:eastAsia="宋体" w:hAnsi="Book Antiqua" w:cs="宋体"/>
          <w:lang w:val="en-US" w:eastAsia="zh-CN"/>
        </w:rPr>
        <w:t>Alsina</w:t>
      </w:r>
      <w:proofErr w:type="spellEnd"/>
      <w:r w:rsidRPr="00E2037D">
        <w:rPr>
          <w:rFonts w:ascii="Book Antiqua" w:eastAsia="宋体" w:hAnsi="Book Antiqua" w:cs="宋体"/>
          <w:lang w:val="en-US" w:eastAsia="zh-CN"/>
        </w:rPr>
        <w:t xml:space="preserve"> M, </w:t>
      </w:r>
      <w:proofErr w:type="spellStart"/>
      <w:r w:rsidRPr="00E2037D">
        <w:rPr>
          <w:rFonts w:ascii="Book Antiqua" w:eastAsia="宋体" w:hAnsi="Book Antiqua" w:cs="宋体"/>
          <w:lang w:val="en-US" w:eastAsia="zh-CN"/>
        </w:rPr>
        <w:t>Vilar</w:t>
      </w:r>
      <w:proofErr w:type="spellEnd"/>
      <w:r w:rsidRPr="00E2037D">
        <w:rPr>
          <w:rFonts w:ascii="Book Antiqua" w:eastAsia="宋体" w:hAnsi="Book Antiqua" w:cs="宋体"/>
          <w:lang w:val="en-US" w:eastAsia="zh-CN"/>
        </w:rPr>
        <w:t xml:space="preserve"> P, </w:t>
      </w:r>
      <w:proofErr w:type="spellStart"/>
      <w:r w:rsidRPr="00E2037D">
        <w:rPr>
          <w:rFonts w:ascii="Book Antiqua" w:eastAsia="宋体" w:hAnsi="Book Antiqua" w:cs="宋体"/>
          <w:lang w:val="en-US" w:eastAsia="zh-CN"/>
        </w:rPr>
        <w:t>Cortijo</w:t>
      </w:r>
      <w:proofErr w:type="spellEnd"/>
      <w:r w:rsidRPr="00E2037D">
        <w:rPr>
          <w:rFonts w:ascii="Book Antiqua" w:eastAsia="宋体" w:hAnsi="Book Antiqua" w:cs="宋体"/>
          <w:lang w:val="en-US" w:eastAsia="zh-CN"/>
        </w:rPr>
        <w:t xml:space="preserve"> M, Salas A, </w:t>
      </w:r>
      <w:proofErr w:type="spellStart"/>
      <w:r w:rsidRPr="00E2037D">
        <w:rPr>
          <w:rFonts w:ascii="Book Antiqua" w:eastAsia="宋体" w:hAnsi="Book Antiqua" w:cs="宋体"/>
          <w:lang w:val="en-US" w:eastAsia="zh-CN"/>
        </w:rPr>
        <w:t>Fernández-Bañares</w:t>
      </w:r>
      <w:proofErr w:type="spellEnd"/>
      <w:r w:rsidRPr="00E2037D">
        <w:rPr>
          <w:rFonts w:ascii="Book Antiqua" w:eastAsia="宋体" w:hAnsi="Book Antiqua" w:cs="宋体"/>
          <w:lang w:val="en-US" w:eastAsia="zh-CN"/>
        </w:rPr>
        <w:t xml:space="preserve"> F, </w:t>
      </w:r>
      <w:proofErr w:type="spellStart"/>
      <w:r w:rsidRPr="00E2037D">
        <w:rPr>
          <w:rFonts w:ascii="Book Antiqua" w:eastAsia="宋体" w:hAnsi="Book Antiqua" w:cs="宋体"/>
          <w:lang w:val="en-US" w:eastAsia="zh-CN"/>
        </w:rPr>
        <w:t>Rosinach</w:t>
      </w:r>
      <w:proofErr w:type="spellEnd"/>
      <w:r w:rsidRPr="00E2037D">
        <w:rPr>
          <w:rFonts w:ascii="Book Antiqua" w:eastAsia="宋体" w:hAnsi="Book Antiqua" w:cs="宋体"/>
          <w:lang w:val="en-US" w:eastAsia="zh-CN"/>
        </w:rPr>
        <w:t xml:space="preserve"> M, </w:t>
      </w:r>
      <w:proofErr w:type="spellStart"/>
      <w:r w:rsidRPr="00E2037D">
        <w:rPr>
          <w:rFonts w:ascii="Book Antiqua" w:eastAsia="宋体" w:hAnsi="Book Antiqua" w:cs="宋体"/>
          <w:lang w:val="en-US" w:eastAsia="zh-CN"/>
        </w:rPr>
        <w:t>Santaolalla</w:t>
      </w:r>
      <w:proofErr w:type="spellEnd"/>
      <w:r w:rsidRPr="00E2037D">
        <w:rPr>
          <w:rFonts w:ascii="Book Antiqua" w:eastAsia="宋体" w:hAnsi="Book Antiqua" w:cs="宋体"/>
          <w:lang w:val="en-US" w:eastAsia="zh-CN"/>
        </w:rPr>
        <w:t xml:space="preserve"> R, </w:t>
      </w:r>
      <w:proofErr w:type="spellStart"/>
      <w:r w:rsidRPr="00E2037D">
        <w:rPr>
          <w:rFonts w:ascii="Book Antiqua" w:eastAsia="宋体" w:hAnsi="Book Antiqua" w:cs="宋体"/>
          <w:lang w:val="en-US" w:eastAsia="zh-CN"/>
        </w:rPr>
        <w:t>Loras</w:t>
      </w:r>
      <w:proofErr w:type="spellEnd"/>
      <w:r w:rsidRPr="00E2037D">
        <w:rPr>
          <w:rFonts w:ascii="Book Antiqua" w:eastAsia="宋体" w:hAnsi="Book Antiqua" w:cs="宋体"/>
          <w:lang w:val="en-US" w:eastAsia="zh-CN"/>
        </w:rPr>
        <w:t xml:space="preserve"> C, </w:t>
      </w:r>
      <w:proofErr w:type="spellStart"/>
      <w:r w:rsidRPr="00E2037D">
        <w:rPr>
          <w:rFonts w:ascii="Book Antiqua" w:eastAsia="宋体" w:hAnsi="Book Antiqua" w:cs="宋体"/>
          <w:lang w:val="en-US" w:eastAsia="zh-CN"/>
        </w:rPr>
        <w:t>Marquès</w:t>
      </w:r>
      <w:proofErr w:type="spellEnd"/>
      <w:r w:rsidRPr="00E2037D">
        <w:rPr>
          <w:rFonts w:ascii="Book Antiqua" w:eastAsia="宋体" w:hAnsi="Book Antiqua" w:cs="宋体"/>
          <w:lang w:val="en-US" w:eastAsia="zh-CN"/>
        </w:rPr>
        <w:t xml:space="preserve"> T, </w:t>
      </w:r>
      <w:proofErr w:type="spellStart"/>
      <w:r w:rsidRPr="00E2037D">
        <w:rPr>
          <w:rFonts w:ascii="Book Antiqua" w:eastAsia="宋体" w:hAnsi="Book Antiqua" w:cs="宋体"/>
          <w:lang w:val="en-US" w:eastAsia="zh-CN"/>
        </w:rPr>
        <w:t>Cusí</w:t>
      </w:r>
      <w:proofErr w:type="spellEnd"/>
      <w:r w:rsidRPr="00E2037D">
        <w:rPr>
          <w:rFonts w:ascii="Book Antiqua" w:eastAsia="宋体" w:hAnsi="Book Antiqua" w:cs="宋体"/>
          <w:lang w:val="en-US" w:eastAsia="zh-CN"/>
        </w:rPr>
        <w:t xml:space="preserve"> V, Hernández MI, Carrasco A, </w:t>
      </w:r>
      <w:proofErr w:type="spellStart"/>
      <w:r w:rsidRPr="00E2037D">
        <w:rPr>
          <w:rFonts w:ascii="Book Antiqua" w:eastAsia="宋体" w:hAnsi="Book Antiqua" w:cs="宋体"/>
          <w:lang w:val="en-US" w:eastAsia="zh-CN"/>
        </w:rPr>
        <w:t>Ribes</w:t>
      </w:r>
      <w:proofErr w:type="spellEnd"/>
      <w:r w:rsidRPr="00E2037D">
        <w:rPr>
          <w:rFonts w:ascii="Book Antiqua" w:eastAsia="宋体" w:hAnsi="Book Antiqua" w:cs="宋体"/>
          <w:lang w:val="en-US" w:eastAsia="zh-CN"/>
        </w:rPr>
        <w:t xml:space="preserve"> J, </w:t>
      </w:r>
      <w:proofErr w:type="spellStart"/>
      <w:r w:rsidRPr="00E2037D">
        <w:rPr>
          <w:rFonts w:ascii="Book Antiqua" w:eastAsia="宋体" w:hAnsi="Book Antiqua" w:cs="宋体"/>
          <w:lang w:val="en-US" w:eastAsia="zh-CN"/>
        </w:rPr>
        <w:t>Viver</w:t>
      </w:r>
      <w:proofErr w:type="spellEnd"/>
      <w:r w:rsidRPr="00E2037D">
        <w:rPr>
          <w:rFonts w:ascii="Book Antiqua" w:eastAsia="宋体" w:hAnsi="Book Antiqua" w:cs="宋体"/>
          <w:lang w:val="en-US" w:eastAsia="zh-CN"/>
        </w:rPr>
        <w:t xml:space="preserve"> JM, </w:t>
      </w:r>
      <w:proofErr w:type="spellStart"/>
      <w:r w:rsidRPr="00E2037D">
        <w:rPr>
          <w:rFonts w:ascii="Book Antiqua" w:eastAsia="宋体" w:hAnsi="Book Antiqua" w:cs="宋体"/>
          <w:lang w:val="en-US" w:eastAsia="zh-CN"/>
        </w:rPr>
        <w:t>Esteve</w:t>
      </w:r>
      <w:proofErr w:type="spellEnd"/>
      <w:r w:rsidRPr="00E2037D">
        <w:rPr>
          <w:rFonts w:ascii="Book Antiqua" w:eastAsia="宋体" w:hAnsi="Book Antiqua" w:cs="宋体"/>
          <w:lang w:val="en-US" w:eastAsia="zh-CN"/>
        </w:rPr>
        <w:t xml:space="preserve"> M. The prevalence of coeliac disease is significantly higher in children compared with adults. </w:t>
      </w:r>
      <w:r w:rsidRPr="00E2037D">
        <w:rPr>
          <w:rFonts w:ascii="Book Antiqua" w:eastAsia="宋体" w:hAnsi="Book Antiqua" w:cs="宋体"/>
          <w:i/>
          <w:iCs/>
          <w:lang w:val="en-US" w:eastAsia="zh-CN"/>
        </w:rPr>
        <w:t xml:space="preserve">Aliment </w:t>
      </w:r>
      <w:proofErr w:type="spellStart"/>
      <w:r w:rsidRPr="00E2037D">
        <w:rPr>
          <w:rFonts w:ascii="Book Antiqua" w:eastAsia="宋体" w:hAnsi="Book Antiqua" w:cs="宋体"/>
          <w:i/>
          <w:iCs/>
          <w:lang w:val="en-US" w:eastAsia="zh-CN"/>
        </w:rPr>
        <w:t>Pharmacol</w:t>
      </w:r>
      <w:proofErr w:type="spellEnd"/>
      <w:r w:rsidRPr="00E2037D">
        <w:rPr>
          <w:rFonts w:ascii="Book Antiqua" w:eastAsia="宋体" w:hAnsi="Book Antiqua" w:cs="宋体"/>
          <w:i/>
          <w:iCs/>
          <w:lang w:val="en-US" w:eastAsia="zh-CN"/>
        </w:rPr>
        <w:t xml:space="preserve"> </w:t>
      </w:r>
      <w:proofErr w:type="spellStart"/>
      <w:r w:rsidRPr="00E2037D">
        <w:rPr>
          <w:rFonts w:ascii="Book Antiqua" w:eastAsia="宋体" w:hAnsi="Book Antiqua" w:cs="宋体"/>
          <w:i/>
          <w:iCs/>
          <w:lang w:val="en-US" w:eastAsia="zh-CN"/>
        </w:rPr>
        <w:t>Ther</w:t>
      </w:r>
      <w:proofErr w:type="spellEnd"/>
      <w:r w:rsidRPr="00E2037D">
        <w:rPr>
          <w:rFonts w:ascii="Book Antiqua" w:eastAsia="宋体" w:hAnsi="Book Antiqua" w:cs="宋体"/>
          <w:lang w:val="en-US" w:eastAsia="zh-CN"/>
        </w:rPr>
        <w:t xml:space="preserve"> 2011; </w:t>
      </w:r>
      <w:r w:rsidRPr="00E2037D">
        <w:rPr>
          <w:rFonts w:ascii="Book Antiqua" w:eastAsia="宋体" w:hAnsi="Book Antiqua" w:cs="宋体"/>
          <w:b/>
          <w:bCs/>
          <w:lang w:val="en-US" w:eastAsia="zh-CN"/>
        </w:rPr>
        <w:t>33</w:t>
      </w:r>
      <w:r w:rsidRPr="00E2037D">
        <w:rPr>
          <w:rFonts w:ascii="Book Antiqua" w:eastAsia="宋体" w:hAnsi="Book Antiqua" w:cs="宋体"/>
          <w:lang w:val="en-US" w:eastAsia="zh-CN"/>
        </w:rPr>
        <w:t>: 477-486 [PMID: 21166832 DOI: 10.1111/j.1365-2036.2010.04543.x]</w:t>
      </w:r>
    </w:p>
    <w:p w14:paraId="62C49616"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7 </w:t>
      </w:r>
      <w:proofErr w:type="spellStart"/>
      <w:r w:rsidRPr="00E2037D">
        <w:rPr>
          <w:rFonts w:ascii="Book Antiqua" w:eastAsia="宋体" w:hAnsi="Book Antiqua" w:cs="宋体"/>
          <w:b/>
          <w:bCs/>
          <w:lang w:val="en-US" w:eastAsia="zh-CN"/>
        </w:rPr>
        <w:t>Pratesi</w:t>
      </w:r>
      <w:proofErr w:type="spellEnd"/>
      <w:r w:rsidRPr="00E2037D">
        <w:rPr>
          <w:rFonts w:ascii="Book Antiqua" w:eastAsia="宋体" w:hAnsi="Book Antiqua" w:cs="宋体"/>
          <w:b/>
          <w:bCs/>
          <w:lang w:val="en-US" w:eastAsia="zh-CN"/>
        </w:rPr>
        <w:t xml:space="preserve"> R</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Gandolfi</w:t>
      </w:r>
      <w:proofErr w:type="spellEnd"/>
      <w:r w:rsidRPr="00E2037D">
        <w:rPr>
          <w:rFonts w:ascii="Book Antiqua" w:eastAsia="宋体" w:hAnsi="Book Antiqua" w:cs="宋体"/>
          <w:lang w:val="en-US" w:eastAsia="zh-CN"/>
        </w:rPr>
        <w:t xml:space="preserve"> L, Garcia SG, </w:t>
      </w:r>
      <w:proofErr w:type="spellStart"/>
      <w:r w:rsidRPr="00E2037D">
        <w:rPr>
          <w:rFonts w:ascii="Book Antiqua" w:eastAsia="宋体" w:hAnsi="Book Antiqua" w:cs="宋体"/>
          <w:lang w:val="en-US" w:eastAsia="zh-CN"/>
        </w:rPr>
        <w:t>Modelli</w:t>
      </w:r>
      <w:proofErr w:type="spellEnd"/>
      <w:r w:rsidRPr="00E2037D">
        <w:rPr>
          <w:rFonts w:ascii="Book Antiqua" w:eastAsia="宋体" w:hAnsi="Book Antiqua" w:cs="宋体"/>
          <w:lang w:val="en-US" w:eastAsia="zh-CN"/>
        </w:rPr>
        <w:t xml:space="preserve"> IC, Lopes de Almeida P, </w:t>
      </w:r>
      <w:proofErr w:type="spellStart"/>
      <w:r w:rsidRPr="00E2037D">
        <w:rPr>
          <w:rFonts w:ascii="Book Antiqua" w:eastAsia="宋体" w:hAnsi="Book Antiqua" w:cs="宋体"/>
          <w:lang w:val="en-US" w:eastAsia="zh-CN"/>
        </w:rPr>
        <w:t>Bocca</w:t>
      </w:r>
      <w:proofErr w:type="spellEnd"/>
      <w:r w:rsidRPr="00E2037D">
        <w:rPr>
          <w:rFonts w:ascii="Book Antiqua" w:eastAsia="宋体" w:hAnsi="Book Antiqua" w:cs="宋体"/>
          <w:lang w:val="en-US" w:eastAsia="zh-CN"/>
        </w:rPr>
        <w:t xml:space="preserve"> AL, </w:t>
      </w:r>
      <w:proofErr w:type="spellStart"/>
      <w:r w:rsidRPr="00E2037D">
        <w:rPr>
          <w:rFonts w:ascii="Book Antiqua" w:eastAsia="宋体" w:hAnsi="Book Antiqua" w:cs="宋体"/>
          <w:lang w:val="en-US" w:eastAsia="zh-CN"/>
        </w:rPr>
        <w:t>Catassi</w:t>
      </w:r>
      <w:proofErr w:type="spellEnd"/>
      <w:r w:rsidRPr="00E2037D">
        <w:rPr>
          <w:rFonts w:ascii="Book Antiqua" w:eastAsia="宋体" w:hAnsi="Book Antiqua" w:cs="宋体"/>
          <w:lang w:val="en-US" w:eastAsia="zh-CN"/>
        </w:rPr>
        <w:t xml:space="preserve"> C. Prevalence of coeliac disease: unexplained age-related variation in the same population. </w:t>
      </w:r>
      <w:proofErr w:type="spellStart"/>
      <w:r w:rsidRPr="00E2037D">
        <w:rPr>
          <w:rFonts w:ascii="Book Antiqua" w:eastAsia="宋体" w:hAnsi="Book Antiqua" w:cs="宋体"/>
          <w:i/>
          <w:iCs/>
          <w:lang w:val="en-US" w:eastAsia="zh-CN"/>
        </w:rPr>
        <w:t>Scand</w:t>
      </w:r>
      <w:proofErr w:type="spellEnd"/>
      <w:r w:rsidRPr="00E2037D">
        <w:rPr>
          <w:rFonts w:ascii="Book Antiqua" w:eastAsia="宋体" w:hAnsi="Book Antiqua" w:cs="宋体"/>
          <w:i/>
          <w:iCs/>
          <w:lang w:val="en-US" w:eastAsia="zh-CN"/>
        </w:rPr>
        <w:t xml:space="preserve"> J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lang w:val="en-US" w:eastAsia="zh-CN"/>
        </w:rPr>
        <w:t xml:space="preserve"> 2003; </w:t>
      </w:r>
      <w:r w:rsidRPr="00E2037D">
        <w:rPr>
          <w:rFonts w:ascii="Book Antiqua" w:eastAsia="宋体" w:hAnsi="Book Antiqua" w:cs="宋体"/>
          <w:b/>
          <w:bCs/>
          <w:lang w:val="en-US" w:eastAsia="zh-CN"/>
        </w:rPr>
        <w:t>38</w:t>
      </w:r>
      <w:r w:rsidRPr="00E2037D">
        <w:rPr>
          <w:rFonts w:ascii="Book Antiqua" w:eastAsia="宋体" w:hAnsi="Book Antiqua" w:cs="宋体"/>
          <w:lang w:val="en-US" w:eastAsia="zh-CN"/>
        </w:rPr>
        <w:t>: 747-750 [PMID: 12889561 DOI: 10.1080/00365520310003255]</w:t>
      </w:r>
    </w:p>
    <w:p w14:paraId="2ABEC613"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8 </w:t>
      </w:r>
      <w:proofErr w:type="spellStart"/>
      <w:r w:rsidRPr="00E2037D">
        <w:rPr>
          <w:rFonts w:ascii="Book Antiqua" w:eastAsia="宋体" w:hAnsi="Book Antiqua" w:cs="宋体"/>
          <w:b/>
          <w:bCs/>
          <w:lang w:val="en-US" w:eastAsia="zh-CN"/>
        </w:rPr>
        <w:t>Makharia</w:t>
      </w:r>
      <w:proofErr w:type="spellEnd"/>
      <w:r w:rsidRPr="00E2037D">
        <w:rPr>
          <w:rFonts w:ascii="Book Antiqua" w:eastAsia="宋体" w:hAnsi="Book Antiqua" w:cs="宋体"/>
          <w:b/>
          <w:bCs/>
          <w:lang w:val="en-US" w:eastAsia="zh-CN"/>
        </w:rPr>
        <w:t xml:space="preserve"> GK</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Verma</w:t>
      </w:r>
      <w:proofErr w:type="spellEnd"/>
      <w:r w:rsidRPr="00E2037D">
        <w:rPr>
          <w:rFonts w:ascii="Book Antiqua" w:eastAsia="宋体" w:hAnsi="Book Antiqua" w:cs="宋体"/>
          <w:lang w:val="en-US" w:eastAsia="zh-CN"/>
        </w:rPr>
        <w:t xml:space="preserve"> AK, </w:t>
      </w:r>
      <w:proofErr w:type="spellStart"/>
      <w:r w:rsidRPr="00E2037D">
        <w:rPr>
          <w:rFonts w:ascii="Book Antiqua" w:eastAsia="宋体" w:hAnsi="Book Antiqua" w:cs="宋体"/>
          <w:lang w:val="en-US" w:eastAsia="zh-CN"/>
        </w:rPr>
        <w:t>Amarchand</w:t>
      </w:r>
      <w:proofErr w:type="spellEnd"/>
      <w:r w:rsidRPr="00E2037D">
        <w:rPr>
          <w:rFonts w:ascii="Book Antiqua" w:eastAsia="宋体" w:hAnsi="Book Antiqua" w:cs="宋体"/>
          <w:lang w:val="en-US" w:eastAsia="zh-CN"/>
        </w:rPr>
        <w:t xml:space="preserve"> R, Bhatnagar S, Das P, </w:t>
      </w:r>
      <w:proofErr w:type="spellStart"/>
      <w:r w:rsidRPr="00E2037D">
        <w:rPr>
          <w:rFonts w:ascii="Book Antiqua" w:eastAsia="宋体" w:hAnsi="Book Antiqua" w:cs="宋体"/>
          <w:lang w:val="en-US" w:eastAsia="zh-CN"/>
        </w:rPr>
        <w:t>Goswami</w:t>
      </w:r>
      <w:proofErr w:type="spellEnd"/>
      <w:r w:rsidRPr="00E2037D">
        <w:rPr>
          <w:rFonts w:ascii="Book Antiqua" w:eastAsia="宋体" w:hAnsi="Book Antiqua" w:cs="宋体"/>
          <w:lang w:val="en-US" w:eastAsia="zh-CN"/>
        </w:rPr>
        <w:t xml:space="preserve"> A, Bhatia V, Ahuja V, </w:t>
      </w:r>
      <w:proofErr w:type="spellStart"/>
      <w:r w:rsidRPr="00E2037D">
        <w:rPr>
          <w:rFonts w:ascii="Book Antiqua" w:eastAsia="宋体" w:hAnsi="Book Antiqua" w:cs="宋体"/>
          <w:lang w:val="en-US" w:eastAsia="zh-CN"/>
        </w:rPr>
        <w:t>Datta</w:t>
      </w:r>
      <w:proofErr w:type="spellEnd"/>
      <w:r w:rsidRPr="00E2037D">
        <w:rPr>
          <w:rFonts w:ascii="Book Antiqua" w:eastAsia="宋体" w:hAnsi="Book Antiqua" w:cs="宋体"/>
          <w:lang w:val="en-US" w:eastAsia="zh-CN"/>
        </w:rPr>
        <w:t xml:space="preserve"> Gupta S, </w:t>
      </w:r>
      <w:proofErr w:type="spellStart"/>
      <w:r w:rsidRPr="00E2037D">
        <w:rPr>
          <w:rFonts w:ascii="Book Antiqua" w:eastAsia="宋体" w:hAnsi="Book Antiqua" w:cs="宋体"/>
          <w:lang w:val="en-US" w:eastAsia="zh-CN"/>
        </w:rPr>
        <w:t>Anand</w:t>
      </w:r>
      <w:proofErr w:type="spellEnd"/>
      <w:r w:rsidRPr="00E2037D">
        <w:rPr>
          <w:rFonts w:ascii="Book Antiqua" w:eastAsia="宋体" w:hAnsi="Book Antiqua" w:cs="宋体"/>
          <w:lang w:val="en-US" w:eastAsia="zh-CN"/>
        </w:rPr>
        <w:t xml:space="preserve"> K. Prevalence of celiac disease in the </w:t>
      </w:r>
      <w:r w:rsidRPr="00E2037D">
        <w:rPr>
          <w:rFonts w:ascii="Book Antiqua" w:eastAsia="宋体" w:hAnsi="Book Antiqua" w:cs="宋体"/>
          <w:lang w:val="en-US" w:eastAsia="zh-CN"/>
        </w:rPr>
        <w:lastRenderedPageBreak/>
        <w:t xml:space="preserve">northern part of India: a community based study. </w:t>
      </w:r>
      <w:r w:rsidRPr="00E2037D">
        <w:rPr>
          <w:rFonts w:ascii="Book Antiqua" w:eastAsia="宋体" w:hAnsi="Book Antiqua" w:cs="宋体"/>
          <w:i/>
          <w:iCs/>
          <w:lang w:val="en-US" w:eastAsia="zh-CN"/>
        </w:rPr>
        <w:t xml:space="preserve">J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i/>
          <w:iCs/>
          <w:lang w:val="en-US" w:eastAsia="zh-CN"/>
        </w:rPr>
        <w:t xml:space="preserve"> </w:t>
      </w:r>
      <w:proofErr w:type="spellStart"/>
      <w:r w:rsidRPr="00E2037D">
        <w:rPr>
          <w:rFonts w:ascii="Book Antiqua" w:eastAsia="宋体" w:hAnsi="Book Antiqua" w:cs="宋体"/>
          <w:i/>
          <w:iCs/>
          <w:lang w:val="en-US" w:eastAsia="zh-CN"/>
        </w:rPr>
        <w:t>Hepatol</w:t>
      </w:r>
      <w:proofErr w:type="spellEnd"/>
      <w:r w:rsidRPr="00E2037D">
        <w:rPr>
          <w:rFonts w:ascii="Book Antiqua" w:eastAsia="宋体" w:hAnsi="Book Antiqua" w:cs="宋体"/>
          <w:lang w:val="en-US" w:eastAsia="zh-CN"/>
        </w:rPr>
        <w:t xml:space="preserve"> 2011; </w:t>
      </w:r>
      <w:r w:rsidRPr="00E2037D">
        <w:rPr>
          <w:rFonts w:ascii="Book Antiqua" w:eastAsia="宋体" w:hAnsi="Book Antiqua" w:cs="宋体"/>
          <w:b/>
          <w:bCs/>
          <w:lang w:val="en-US" w:eastAsia="zh-CN"/>
        </w:rPr>
        <w:t>26</w:t>
      </w:r>
      <w:r w:rsidRPr="00E2037D">
        <w:rPr>
          <w:rFonts w:ascii="Book Antiqua" w:eastAsia="宋体" w:hAnsi="Book Antiqua" w:cs="宋体"/>
          <w:lang w:val="en-US" w:eastAsia="zh-CN"/>
        </w:rPr>
        <w:t>: 894-900 [PMID: 21182543 DOI: 10.1111/j.1440-1746.2010.06606.x]</w:t>
      </w:r>
    </w:p>
    <w:p w14:paraId="73C198F2"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9 </w:t>
      </w:r>
      <w:r w:rsidRPr="00E2037D">
        <w:rPr>
          <w:rFonts w:ascii="Book Antiqua" w:eastAsia="宋体" w:hAnsi="Book Antiqua" w:cs="宋体"/>
          <w:b/>
          <w:bCs/>
          <w:lang w:val="en-US" w:eastAsia="zh-CN"/>
        </w:rPr>
        <w:t>West J</w:t>
      </w:r>
      <w:r w:rsidRPr="00E2037D">
        <w:rPr>
          <w:rFonts w:ascii="Book Antiqua" w:eastAsia="宋体" w:hAnsi="Book Antiqua" w:cs="宋体"/>
          <w:lang w:val="en-US" w:eastAsia="zh-CN"/>
        </w:rPr>
        <w:t xml:space="preserve">, Logan RF, Hill PG, Lloyd A, Lewis S, Hubbard R, Reader R, Holmes GK, </w:t>
      </w:r>
      <w:proofErr w:type="spellStart"/>
      <w:r w:rsidRPr="00E2037D">
        <w:rPr>
          <w:rFonts w:ascii="Book Antiqua" w:eastAsia="宋体" w:hAnsi="Book Antiqua" w:cs="宋体"/>
          <w:lang w:val="en-US" w:eastAsia="zh-CN"/>
        </w:rPr>
        <w:t>Khaw</w:t>
      </w:r>
      <w:proofErr w:type="spellEnd"/>
      <w:r w:rsidRPr="00E2037D">
        <w:rPr>
          <w:rFonts w:ascii="Book Antiqua" w:eastAsia="宋体" w:hAnsi="Book Antiqua" w:cs="宋体"/>
          <w:lang w:val="en-US" w:eastAsia="zh-CN"/>
        </w:rPr>
        <w:t xml:space="preserve"> KT. </w:t>
      </w:r>
      <w:proofErr w:type="spellStart"/>
      <w:r w:rsidRPr="00E2037D">
        <w:rPr>
          <w:rFonts w:ascii="Book Antiqua" w:eastAsia="宋体" w:hAnsi="Book Antiqua" w:cs="宋体"/>
          <w:lang w:val="en-US" w:eastAsia="zh-CN"/>
        </w:rPr>
        <w:t>Seroprevalence</w:t>
      </w:r>
      <w:proofErr w:type="spellEnd"/>
      <w:r w:rsidRPr="00E2037D">
        <w:rPr>
          <w:rFonts w:ascii="Book Antiqua" w:eastAsia="宋体" w:hAnsi="Book Antiqua" w:cs="宋体"/>
          <w:lang w:val="en-US" w:eastAsia="zh-CN"/>
        </w:rPr>
        <w:t xml:space="preserve">, correlates, and characteristics of undetected coeliac disease in England. </w:t>
      </w:r>
      <w:r w:rsidRPr="00E2037D">
        <w:rPr>
          <w:rFonts w:ascii="Book Antiqua" w:eastAsia="宋体" w:hAnsi="Book Antiqua" w:cs="宋体"/>
          <w:i/>
          <w:iCs/>
          <w:lang w:val="en-US" w:eastAsia="zh-CN"/>
        </w:rPr>
        <w:t>Gut</w:t>
      </w:r>
      <w:r w:rsidRPr="00E2037D">
        <w:rPr>
          <w:rFonts w:ascii="Book Antiqua" w:eastAsia="宋体" w:hAnsi="Book Antiqua" w:cs="宋体"/>
          <w:lang w:val="en-US" w:eastAsia="zh-CN"/>
        </w:rPr>
        <w:t xml:space="preserve"> 2003; </w:t>
      </w:r>
      <w:r w:rsidRPr="00E2037D">
        <w:rPr>
          <w:rFonts w:ascii="Book Antiqua" w:eastAsia="宋体" w:hAnsi="Book Antiqua" w:cs="宋体"/>
          <w:b/>
          <w:bCs/>
          <w:lang w:val="en-US" w:eastAsia="zh-CN"/>
        </w:rPr>
        <w:t>52</w:t>
      </w:r>
      <w:r w:rsidRPr="00E2037D">
        <w:rPr>
          <w:rFonts w:ascii="Book Antiqua" w:eastAsia="宋体" w:hAnsi="Book Antiqua" w:cs="宋体"/>
          <w:lang w:val="en-US" w:eastAsia="zh-CN"/>
        </w:rPr>
        <w:t>: 960-965 [PMID: 12801951 DOI: 10.1136/gut.52.7.960]</w:t>
      </w:r>
    </w:p>
    <w:p w14:paraId="65157825"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10 </w:t>
      </w:r>
      <w:proofErr w:type="spellStart"/>
      <w:r w:rsidRPr="00E2037D">
        <w:rPr>
          <w:rFonts w:ascii="Book Antiqua" w:eastAsia="宋体" w:hAnsi="Book Antiqua" w:cs="宋体"/>
          <w:b/>
          <w:bCs/>
          <w:lang w:val="en-US" w:eastAsia="zh-CN"/>
        </w:rPr>
        <w:t>Vilppula</w:t>
      </w:r>
      <w:proofErr w:type="spellEnd"/>
      <w:r w:rsidRPr="00E2037D">
        <w:rPr>
          <w:rFonts w:ascii="Book Antiqua" w:eastAsia="宋体" w:hAnsi="Book Antiqua" w:cs="宋体"/>
          <w:b/>
          <w:bCs/>
          <w:lang w:val="en-US" w:eastAsia="zh-CN"/>
        </w:rPr>
        <w:t xml:space="preserve"> A</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Kaukinen</w:t>
      </w:r>
      <w:proofErr w:type="spellEnd"/>
      <w:r w:rsidRPr="00E2037D">
        <w:rPr>
          <w:rFonts w:ascii="Book Antiqua" w:eastAsia="宋体" w:hAnsi="Book Antiqua" w:cs="宋体"/>
          <w:lang w:val="en-US" w:eastAsia="zh-CN"/>
        </w:rPr>
        <w:t xml:space="preserve"> K, </w:t>
      </w:r>
      <w:proofErr w:type="spellStart"/>
      <w:r w:rsidRPr="00E2037D">
        <w:rPr>
          <w:rFonts w:ascii="Book Antiqua" w:eastAsia="宋体" w:hAnsi="Book Antiqua" w:cs="宋体"/>
          <w:lang w:val="en-US" w:eastAsia="zh-CN"/>
        </w:rPr>
        <w:t>Luostarinen</w:t>
      </w:r>
      <w:proofErr w:type="spellEnd"/>
      <w:r w:rsidRPr="00E2037D">
        <w:rPr>
          <w:rFonts w:ascii="Book Antiqua" w:eastAsia="宋体" w:hAnsi="Book Antiqua" w:cs="宋体"/>
          <w:lang w:val="en-US" w:eastAsia="zh-CN"/>
        </w:rPr>
        <w:t xml:space="preserve"> L, </w:t>
      </w:r>
      <w:proofErr w:type="spellStart"/>
      <w:r w:rsidRPr="00E2037D">
        <w:rPr>
          <w:rFonts w:ascii="Book Antiqua" w:eastAsia="宋体" w:hAnsi="Book Antiqua" w:cs="宋体"/>
          <w:lang w:val="en-US" w:eastAsia="zh-CN"/>
        </w:rPr>
        <w:t>Krekelä</w:t>
      </w:r>
      <w:proofErr w:type="spellEnd"/>
      <w:r w:rsidRPr="00E2037D">
        <w:rPr>
          <w:rFonts w:ascii="Book Antiqua" w:eastAsia="宋体" w:hAnsi="Book Antiqua" w:cs="宋体"/>
          <w:lang w:val="en-US" w:eastAsia="zh-CN"/>
        </w:rPr>
        <w:t xml:space="preserve"> I, </w:t>
      </w:r>
      <w:proofErr w:type="spellStart"/>
      <w:r w:rsidRPr="00E2037D">
        <w:rPr>
          <w:rFonts w:ascii="Book Antiqua" w:eastAsia="宋体" w:hAnsi="Book Antiqua" w:cs="宋体"/>
          <w:lang w:val="en-US" w:eastAsia="zh-CN"/>
        </w:rPr>
        <w:t>Patrikainen</w:t>
      </w:r>
      <w:proofErr w:type="spellEnd"/>
      <w:r w:rsidRPr="00E2037D">
        <w:rPr>
          <w:rFonts w:ascii="Book Antiqua" w:eastAsia="宋体" w:hAnsi="Book Antiqua" w:cs="宋体"/>
          <w:lang w:val="en-US" w:eastAsia="zh-CN"/>
        </w:rPr>
        <w:t xml:space="preserve"> H, Valve R, </w:t>
      </w:r>
      <w:proofErr w:type="spellStart"/>
      <w:r w:rsidRPr="00E2037D">
        <w:rPr>
          <w:rFonts w:ascii="Book Antiqua" w:eastAsia="宋体" w:hAnsi="Book Antiqua" w:cs="宋体"/>
          <w:lang w:val="en-US" w:eastAsia="zh-CN"/>
        </w:rPr>
        <w:t>Mäki</w:t>
      </w:r>
      <w:proofErr w:type="spellEnd"/>
      <w:r w:rsidRPr="00E2037D">
        <w:rPr>
          <w:rFonts w:ascii="Book Antiqua" w:eastAsia="宋体" w:hAnsi="Book Antiqua" w:cs="宋体"/>
          <w:lang w:val="en-US" w:eastAsia="zh-CN"/>
        </w:rPr>
        <w:t xml:space="preserve"> M, Collin P. Increasing prevalence and high incidence of celiac disease in elderly people: a population-based study. </w:t>
      </w:r>
      <w:r w:rsidRPr="00E2037D">
        <w:rPr>
          <w:rFonts w:ascii="Book Antiqua" w:eastAsia="宋体" w:hAnsi="Book Antiqua" w:cs="宋体"/>
          <w:i/>
          <w:iCs/>
          <w:lang w:val="en-US" w:eastAsia="zh-CN"/>
        </w:rPr>
        <w:t xml:space="preserve">BMC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lang w:val="en-US" w:eastAsia="zh-CN"/>
        </w:rPr>
        <w:t xml:space="preserve"> 2009; </w:t>
      </w:r>
      <w:r w:rsidRPr="00E2037D">
        <w:rPr>
          <w:rFonts w:ascii="Book Antiqua" w:eastAsia="宋体" w:hAnsi="Book Antiqua" w:cs="宋体"/>
          <w:b/>
          <w:bCs/>
          <w:lang w:val="en-US" w:eastAsia="zh-CN"/>
        </w:rPr>
        <w:t>9</w:t>
      </w:r>
      <w:r w:rsidRPr="00E2037D">
        <w:rPr>
          <w:rFonts w:ascii="Book Antiqua" w:eastAsia="宋体" w:hAnsi="Book Antiqua" w:cs="宋体"/>
          <w:lang w:val="en-US" w:eastAsia="zh-CN"/>
        </w:rPr>
        <w:t>: 49 [PMID: 19558729 DOI: 10.1186/1471-230X-9-49]</w:t>
      </w:r>
    </w:p>
    <w:p w14:paraId="03AF036E"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11 </w:t>
      </w:r>
      <w:r w:rsidRPr="00E2037D">
        <w:rPr>
          <w:rFonts w:ascii="Book Antiqua" w:eastAsia="宋体" w:hAnsi="Book Antiqua" w:cs="宋体"/>
          <w:b/>
          <w:bCs/>
          <w:lang w:val="en-US" w:eastAsia="zh-CN"/>
        </w:rPr>
        <w:t>Armstrong D</w:t>
      </w:r>
      <w:r w:rsidRPr="00E2037D">
        <w:rPr>
          <w:rFonts w:ascii="Book Antiqua" w:eastAsia="宋体" w:hAnsi="Book Antiqua" w:cs="宋体"/>
          <w:lang w:val="en-US" w:eastAsia="zh-CN"/>
        </w:rPr>
        <w:t>, Don-</w:t>
      </w:r>
      <w:proofErr w:type="spellStart"/>
      <w:r w:rsidRPr="00E2037D">
        <w:rPr>
          <w:rFonts w:ascii="Book Antiqua" w:eastAsia="宋体" w:hAnsi="Book Antiqua" w:cs="宋体"/>
          <w:lang w:val="en-US" w:eastAsia="zh-CN"/>
        </w:rPr>
        <w:t>Wauchope</w:t>
      </w:r>
      <w:proofErr w:type="spellEnd"/>
      <w:r w:rsidRPr="00E2037D">
        <w:rPr>
          <w:rFonts w:ascii="Book Antiqua" w:eastAsia="宋体" w:hAnsi="Book Antiqua" w:cs="宋体"/>
          <w:lang w:val="en-US" w:eastAsia="zh-CN"/>
        </w:rPr>
        <w:t xml:space="preserve"> AC, </w:t>
      </w:r>
      <w:proofErr w:type="spellStart"/>
      <w:r w:rsidRPr="00E2037D">
        <w:rPr>
          <w:rFonts w:ascii="Book Antiqua" w:eastAsia="宋体" w:hAnsi="Book Antiqua" w:cs="宋体"/>
          <w:lang w:val="en-US" w:eastAsia="zh-CN"/>
        </w:rPr>
        <w:t>Verdu</w:t>
      </w:r>
      <w:proofErr w:type="spellEnd"/>
      <w:r w:rsidRPr="00E2037D">
        <w:rPr>
          <w:rFonts w:ascii="Book Antiqua" w:eastAsia="宋体" w:hAnsi="Book Antiqua" w:cs="宋体"/>
          <w:lang w:val="en-US" w:eastAsia="zh-CN"/>
        </w:rPr>
        <w:t xml:space="preserve"> EF. Testing for gluten-related disorders in clinical practice: the role of serology in managing the spectrum of gluten sensitivity. </w:t>
      </w:r>
      <w:r w:rsidRPr="00E2037D">
        <w:rPr>
          <w:rFonts w:ascii="Book Antiqua" w:eastAsia="宋体" w:hAnsi="Book Antiqua" w:cs="宋体"/>
          <w:i/>
          <w:iCs/>
          <w:lang w:val="en-US" w:eastAsia="zh-CN"/>
        </w:rPr>
        <w:t xml:space="preserve">Can J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lang w:val="en-US" w:eastAsia="zh-CN"/>
        </w:rPr>
        <w:t xml:space="preserve"> 2011; </w:t>
      </w:r>
      <w:r w:rsidRPr="00E2037D">
        <w:rPr>
          <w:rFonts w:ascii="Book Antiqua" w:eastAsia="宋体" w:hAnsi="Book Antiqua" w:cs="宋体"/>
          <w:b/>
          <w:bCs/>
          <w:lang w:val="en-US" w:eastAsia="zh-CN"/>
        </w:rPr>
        <w:t>25</w:t>
      </w:r>
      <w:r w:rsidRPr="00E2037D">
        <w:rPr>
          <w:rFonts w:ascii="Book Antiqua" w:eastAsia="宋体" w:hAnsi="Book Antiqua" w:cs="宋体"/>
          <w:lang w:val="en-US" w:eastAsia="zh-CN"/>
        </w:rPr>
        <w:t>: 193-197 [PMID: 21523259]</w:t>
      </w:r>
    </w:p>
    <w:p w14:paraId="6C233A39" w14:textId="60DB7FFD"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12 </w:t>
      </w:r>
      <w:proofErr w:type="spellStart"/>
      <w:r w:rsidRPr="00E2037D">
        <w:rPr>
          <w:rFonts w:ascii="Book Antiqua" w:eastAsia="宋体" w:hAnsi="Book Antiqua" w:cs="宋体"/>
          <w:b/>
          <w:bCs/>
          <w:lang w:val="en-US" w:eastAsia="zh-CN"/>
        </w:rPr>
        <w:t>Vivas</w:t>
      </w:r>
      <w:proofErr w:type="spellEnd"/>
      <w:r w:rsidRPr="00E2037D">
        <w:rPr>
          <w:rFonts w:ascii="Book Antiqua" w:eastAsia="宋体" w:hAnsi="Book Antiqua" w:cs="宋体"/>
          <w:b/>
          <w:bCs/>
          <w:lang w:val="en-US" w:eastAsia="zh-CN"/>
        </w:rPr>
        <w:t xml:space="preserve"> S</w:t>
      </w:r>
      <w:r w:rsidRPr="00E2037D">
        <w:rPr>
          <w:rFonts w:ascii="Book Antiqua" w:eastAsia="宋体" w:hAnsi="Book Antiqua" w:cs="宋体"/>
          <w:lang w:val="en-US" w:eastAsia="zh-CN"/>
        </w:rPr>
        <w:t xml:space="preserve">, Ruiz de Morales JM, Fernandez M, Hernando M, Herrero B, </w:t>
      </w:r>
      <w:proofErr w:type="spellStart"/>
      <w:r w:rsidRPr="00E2037D">
        <w:rPr>
          <w:rFonts w:ascii="Book Antiqua" w:eastAsia="宋体" w:hAnsi="Book Antiqua" w:cs="宋体"/>
          <w:lang w:val="en-US" w:eastAsia="zh-CN"/>
        </w:rPr>
        <w:t>Casqueiro</w:t>
      </w:r>
      <w:proofErr w:type="spellEnd"/>
      <w:r w:rsidRPr="00E2037D">
        <w:rPr>
          <w:rFonts w:ascii="Book Antiqua" w:eastAsia="宋体" w:hAnsi="Book Antiqua" w:cs="宋体"/>
          <w:lang w:val="en-US" w:eastAsia="zh-CN"/>
        </w:rPr>
        <w:t xml:space="preserve"> J, Gutierrez S. Age-related clinical, serological, and histopathological features of celiac disease. </w:t>
      </w:r>
      <w:r w:rsidRPr="00E2037D">
        <w:rPr>
          <w:rFonts w:ascii="Book Antiqua" w:eastAsia="宋体" w:hAnsi="Book Antiqua" w:cs="宋体"/>
          <w:i/>
          <w:iCs/>
          <w:lang w:val="en-US" w:eastAsia="zh-CN"/>
        </w:rPr>
        <w:t xml:space="preserve">Am J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lang w:val="en-US" w:eastAsia="zh-CN"/>
        </w:rPr>
        <w:t xml:space="preserve"> 2008; </w:t>
      </w:r>
      <w:r w:rsidRPr="00E2037D">
        <w:rPr>
          <w:rFonts w:ascii="Book Antiqua" w:eastAsia="宋体" w:hAnsi="Book Antiqua" w:cs="宋体"/>
          <w:b/>
          <w:bCs/>
          <w:lang w:val="en-US" w:eastAsia="zh-CN"/>
        </w:rPr>
        <w:t>103</w:t>
      </w:r>
      <w:r w:rsidRPr="00E2037D">
        <w:rPr>
          <w:rFonts w:ascii="Book Antiqua" w:eastAsia="宋体" w:hAnsi="Book Antiqua" w:cs="宋体"/>
          <w:lang w:val="en-US" w:eastAsia="zh-CN"/>
        </w:rPr>
        <w:t>: 2360-23</w:t>
      </w:r>
      <w:r w:rsidR="000342F5">
        <w:rPr>
          <w:rFonts w:ascii="Book Antiqua" w:eastAsia="宋体" w:hAnsi="Book Antiqua" w:cs="宋体" w:hint="eastAsia"/>
          <w:lang w:val="en-US" w:eastAsia="zh-CN"/>
        </w:rPr>
        <w:t>6</w:t>
      </w:r>
      <w:r w:rsidRPr="00E2037D">
        <w:rPr>
          <w:rFonts w:ascii="Book Antiqua" w:eastAsia="宋体" w:hAnsi="Book Antiqua" w:cs="宋体"/>
          <w:lang w:val="en-US" w:eastAsia="zh-CN"/>
        </w:rPr>
        <w:t>5; quiz 2366 [PMID: 18702652 DOI: 10.1111/j.1572-0241.2008.01977.x]</w:t>
      </w:r>
    </w:p>
    <w:p w14:paraId="1E7D7D71"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13 </w:t>
      </w:r>
      <w:proofErr w:type="spellStart"/>
      <w:r w:rsidRPr="00E2037D">
        <w:rPr>
          <w:rFonts w:ascii="Book Antiqua" w:eastAsia="宋体" w:hAnsi="Book Antiqua" w:cs="宋体"/>
          <w:b/>
          <w:bCs/>
          <w:lang w:val="en-US" w:eastAsia="zh-CN"/>
        </w:rPr>
        <w:t>Lionetti</w:t>
      </w:r>
      <w:proofErr w:type="spellEnd"/>
      <w:r w:rsidRPr="00E2037D">
        <w:rPr>
          <w:rFonts w:ascii="Book Antiqua" w:eastAsia="宋体" w:hAnsi="Book Antiqua" w:cs="宋体"/>
          <w:b/>
          <w:bCs/>
          <w:lang w:val="en-US" w:eastAsia="zh-CN"/>
        </w:rPr>
        <w:t xml:space="preserve"> E</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Catassi</w:t>
      </w:r>
      <w:proofErr w:type="spellEnd"/>
      <w:r w:rsidRPr="00E2037D">
        <w:rPr>
          <w:rFonts w:ascii="Book Antiqua" w:eastAsia="宋体" w:hAnsi="Book Antiqua" w:cs="宋体"/>
          <w:lang w:val="en-US" w:eastAsia="zh-CN"/>
        </w:rPr>
        <w:t xml:space="preserve"> C. </w:t>
      </w:r>
      <w:proofErr w:type="gramStart"/>
      <w:r w:rsidRPr="00E2037D">
        <w:rPr>
          <w:rFonts w:ascii="Book Antiqua" w:eastAsia="宋体" w:hAnsi="Book Antiqua" w:cs="宋体"/>
          <w:lang w:val="en-US" w:eastAsia="zh-CN"/>
        </w:rPr>
        <w:t>New clues in celiac disease epidemiology, pathogenesis, clinical manifestations, and treatment.</w:t>
      </w:r>
      <w:proofErr w:type="gramEnd"/>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i/>
          <w:iCs/>
          <w:lang w:val="en-US" w:eastAsia="zh-CN"/>
        </w:rPr>
        <w:t>Int</w:t>
      </w:r>
      <w:proofErr w:type="spellEnd"/>
      <w:r w:rsidRPr="00E2037D">
        <w:rPr>
          <w:rFonts w:ascii="Book Antiqua" w:eastAsia="宋体" w:hAnsi="Book Antiqua" w:cs="宋体"/>
          <w:i/>
          <w:iCs/>
          <w:lang w:val="en-US" w:eastAsia="zh-CN"/>
        </w:rPr>
        <w:t xml:space="preserve"> Rev </w:t>
      </w:r>
      <w:proofErr w:type="spellStart"/>
      <w:r w:rsidRPr="00E2037D">
        <w:rPr>
          <w:rFonts w:ascii="Book Antiqua" w:eastAsia="宋体" w:hAnsi="Book Antiqua" w:cs="宋体"/>
          <w:i/>
          <w:iCs/>
          <w:lang w:val="en-US" w:eastAsia="zh-CN"/>
        </w:rPr>
        <w:t>Immunol</w:t>
      </w:r>
      <w:proofErr w:type="spellEnd"/>
      <w:r w:rsidRPr="00E2037D">
        <w:rPr>
          <w:rFonts w:ascii="Book Antiqua" w:eastAsia="宋体" w:hAnsi="Book Antiqua" w:cs="宋体"/>
          <w:lang w:val="en-US" w:eastAsia="zh-CN"/>
        </w:rPr>
        <w:t xml:space="preserve"> 2011; </w:t>
      </w:r>
      <w:r w:rsidRPr="00E2037D">
        <w:rPr>
          <w:rFonts w:ascii="Book Antiqua" w:eastAsia="宋体" w:hAnsi="Book Antiqua" w:cs="宋体"/>
          <w:b/>
          <w:bCs/>
          <w:lang w:val="en-US" w:eastAsia="zh-CN"/>
        </w:rPr>
        <w:t>30</w:t>
      </w:r>
      <w:r w:rsidRPr="00E2037D">
        <w:rPr>
          <w:rFonts w:ascii="Book Antiqua" w:eastAsia="宋体" w:hAnsi="Book Antiqua" w:cs="宋体"/>
          <w:lang w:val="en-US" w:eastAsia="zh-CN"/>
        </w:rPr>
        <w:t>: 219-231 [PMID: 21787227 DOI: 10.3109/08830185.2011.602443]</w:t>
      </w:r>
    </w:p>
    <w:p w14:paraId="4F421EB5"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14 </w:t>
      </w:r>
      <w:r w:rsidRPr="00E2037D">
        <w:rPr>
          <w:rFonts w:ascii="Book Antiqua" w:eastAsia="宋体" w:hAnsi="Book Antiqua" w:cs="宋体"/>
          <w:b/>
          <w:bCs/>
          <w:lang w:val="en-US" w:eastAsia="zh-CN"/>
        </w:rPr>
        <w:t>Bonaci-Nikolic B</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Andrejevic</w:t>
      </w:r>
      <w:proofErr w:type="spellEnd"/>
      <w:r w:rsidRPr="00E2037D">
        <w:rPr>
          <w:rFonts w:ascii="Book Antiqua" w:eastAsia="宋体" w:hAnsi="Book Antiqua" w:cs="宋体"/>
          <w:lang w:val="en-US" w:eastAsia="zh-CN"/>
        </w:rPr>
        <w:t xml:space="preserve"> S, </w:t>
      </w:r>
      <w:proofErr w:type="spellStart"/>
      <w:r w:rsidRPr="00E2037D">
        <w:rPr>
          <w:rFonts w:ascii="Book Antiqua" w:eastAsia="宋体" w:hAnsi="Book Antiqua" w:cs="宋体"/>
          <w:lang w:val="en-US" w:eastAsia="zh-CN"/>
        </w:rPr>
        <w:t>Radlovic</w:t>
      </w:r>
      <w:proofErr w:type="spellEnd"/>
      <w:r w:rsidRPr="00E2037D">
        <w:rPr>
          <w:rFonts w:ascii="Book Antiqua" w:eastAsia="宋体" w:hAnsi="Book Antiqua" w:cs="宋体"/>
          <w:lang w:val="en-US" w:eastAsia="zh-CN"/>
        </w:rPr>
        <w:t xml:space="preserve"> N, </w:t>
      </w:r>
      <w:proofErr w:type="spellStart"/>
      <w:r w:rsidRPr="00E2037D">
        <w:rPr>
          <w:rFonts w:ascii="Book Antiqua" w:eastAsia="宋体" w:hAnsi="Book Antiqua" w:cs="宋体"/>
          <w:lang w:val="en-US" w:eastAsia="zh-CN"/>
        </w:rPr>
        <w:t>Davidovic</w:t>
      </w:r>
      <w:proofErr w:type="spellEnd"/>
      <w:r w:rsidRPr="00E2037D">
        <w:rPr>
          <w:rFonts w:ascii="Book Antiqua" w:eastAsia="宋体" w:hAnsi="Book Antiqua" w:cs="宋体"/>
          <w:lang w:val="en-US" w:eastAsia="zh-CN"/>
        </w:rPr>
        <w:t xml:space="preserve"> I, </w:t>
      </w:r>
      <w:proofErr w:type="spellStart"/>
      <w:r w:rsidRPr="00E2037D">
        <w:rPr>
          <w:rFonts w:ascii="Book Antiqua" w:eastAsia="宋体" w:hAnsi="Book Antiqua" w:cs="宋体"/>
          <w:lang w:val="en-US" w:eastAsia="zh-CN"/>
        </w:rPr>
        <w:t>Sofronic</w:t>
      </w:r>
      <w:proofErr w:type="spellEnd"/>
      <w:r w:rsidRPr="00E2037D">
        <w:rPr>
          <w:rFonts w:ascii="Book Antiqua" w:eastAsia="宋体" w:hAnsi="Book Antiqua" w:cs="宋体"/>
          <w:lang w:val="en-US" w:eastAsia="zh-CN"/>
        </w:rPr>
        <w:t xml:space="preserve"> L, </w:t>
      </w:r>
      <w:proofErr w:type="spellStart"/>
      <w:r w:rsidRPr="00E2037D">
        <w:rPr>
          <w:rFonts w:ascii="Book Antiqua" w:eastAsia="宋体" w:hAnsi="Book Antiqua" w:cs="宋体"/>
          <w:lang w:val="en-US" w:eastAsia="zh-CN"/>
        </w:rPr>
        <w:t>Spuran</w:t>
      </w:r>
      <w:proofErr w:type="spellEnd"/>
      <w:r w:rsidRPr="00E2037D">
        <w:rPr>
          <w:rFonts w:ascii="Book Antiqua" w:eastAsia="宋体" w:hAnsi="Book Antiqua" w:cs="宋体"/>
          <w:lang w:val="en-US" w:eastAsia="zh-CN"/>
        </w:rPr>
        <w:t xml:space="preserve"> M, </w:t>
      </w:r>
      <w:proofErr w:type="spellStart"/>
      <w:r w:rsidRPr="00E2037D">
        <w:rPr>
          <w:rFonts w:ascii="Book Antiqua" w:eastAsia="宋体" w:hAnsi="Book Antiqua" w:cs="宋体"/>
          <w:lang w:val="en-US" w:eastAsia="zh-CN"/>
        </w:rPr>
        <w:t>Micev</w:t>
      </w:r>
      <w:proofErr w:type="spellEnd"/>
      <w:r w:rsidRPr="00E2037D">
        <w:rPr>
          <w:rFonts w:ascii="Book Antiqua" w:eastAsia="宋体" w:hAnsi="Book Antiqua" w:cs="宋体"/>
          <w:lang w:val="en-US" w:eastAsia="zh-CN"/>
        </w:rPr>
        <w:t xml:space="preserve"> M, Nikolic MM. Serological and clinical comparison of children and adults with anti-</w:t>
      </w:r>
      <w:proofErr w:type="spellStart"/>
      <w:r w:rsidRPr="00E2037D">
        <w:rPr>
          <w:rFonts w:ascii="Book Antiqua" w:eastAsia="宋体" w:hAnsi="Book Antiqua" w:cs="宋体"/>
          <w:lang w:val="en-US" w:eastAsia="zh-CN"/>
        </w:rPr>
        <w:t>endomysial</w:t>
      </w:r>
      <w:proofErr w:type="spellEnd"/>
      <w:r w:rsidRPr="00E2037D">
        <w:rPr>
          <w:rFonts w:ascii="Book Antiqua" w:eastAsia="宋体" w:hAnsi="Book Antiqua" w:cs="宋体"/>
          <w:lang w:val="en-US" w:eastAsia="zh-CN"/>
        </w:rPr>
        <w:t xml:space="preserve"> antibodies. </w:t>
      </w:r>
      <w:r w:rsidRPr="00E2037D">
        <w:rPr>
          <w:rFonts w:ascii="Book Antiqua" w:eastAsia="宋体" w:hAnsi="Book Antiqua" w:cs="宋体"/>
          <w:i/>
          <w:iCs/>
          <w:lang w:val="en-US" w:eastAsia="zh-CN"/>
        </w:rPr>
        <w:t xml:space="preserve">J </w:t>
      </w:r>
      <w:proofErr w:type="spellStart"/>
      <w:r w:rsidRPr="00E2037D">
        <w:rPr>
          <w:rFonts w:ascii="Book Antiqua" w:eastAsia="宋体" w:hAnsi="Book Antiqua" w:cs="宋体"/>
          <w:i/>
          <w:iCs/>
          <w:lang w:val="en-US" w:eastAsia="zh-CN"/>
        </w:rPr>
        <w:t>Clin</w:t>
      </w:r>
      <w:proofErr w:type="spellEnd"/>
      <w:r w:rsidRPr="00E2037D">
        <w:rPr>
          <w:rFonts w:ascii="Book Antiqua" w:eastAsia="宋体" w:hAnsi="Book Antiqua" w:cs="宋体"/>
          <w:i/>
          <w:iCs/>
          <w:lang w:val="en-US" w:eastAsia="zh-CN"/>
        </w:rPr>
        <w:t xml:space="preserve"> </w:t>
      </w:r>
      <w:proofErr w:type="spellStart"/>
      <w:r w:rsidRPr="00E2037D">
        <w:rPr>
          <w:rFonts w:ascii="Book Antiqua" w:eastAsia="宋体" w:hAnsi="Book Antiqua" w:cs="宋体"/>
          <w:i/>
          <w:iCs/>
          <w:lang w:val="en-US" w:eastAsia="zh-CN"/>
        </w:rPr>
        <w:t>Immunol</w:t>
      </w:r>
      <w:proofErr w:type="spellEnd"/>
      <w:r w:rsidRPr="00E2037D">
        <w:rPr>
          <w:rFonts w:ascii="Book Antiqua" w:eastAsia="宋体" w:hAnsi="Book Antiqua" w:cs="宋体"/>
          <w:lang w:val="en-US" w:eastAsia="zh-CN"/>
        </w:rPr>
        <w:t xml:space="preserve"> 2007; </w:t>
      </w:r>
      <w:r w:rsidRPr="00E2037D">
        <w:rPr>
          <w:rFonts w:ascii="Book Antiqua" w:eastAsia="宋体" w:hAnsi="Book Antiqua" w:cs="宋体"/>
          <w:b/>
          <w:bCs/>
          <w:lang w:val="en-US" w:eastAsia="zh-CN"/>
        </w:rPr>
        <w:t>27</w:t>
      </w:r>
      <w:r w:rsidRPr="00E2037D">
        <w:rPr>
          <w:rFonts w:ascii="Book Antiqua" w:eastAsia="宋体" w:hAnsi="Book Antiqua" w:cs="宋体"/>
          <w:lang w:val="en-US" w:eastAsia="zh-CN"/>
        </w:rPr>
        <w:t>: 163-171 [PMID: 17243009 DOI: 10.1007/s10875-006-9062-y]</w:t>
      </w:r>
    </w:p>
    <w:p w14:paraId="36A0EA9C" w14:textId="77777777" w:rsidR="00E2037D" w:rsidRPr="00E2037D" w:rsidRDefault="00E2037D" w:rsidP="00E2037D">
      <w:pPr>
        <w:spacing w:after="0" w:line="360" w:lineRule="auto"/>
        <w:jc w:val="both"/>
        <w:rPr>
          <w:rFonts w:ascii="Book Antiqua" w:eastAsia="宋体" w:hAnsi="Book Antiqua" w:cs="宋体"/>
          <w:lang w:val="en-US" w:eastAsia="zh-CN"/>
        </w:rPr>
      </w:pPr>
      <w:proofErr w:type="gramStart"/>
      <w:r w:rsidRPr="00E2037D">
        <w:rPr>
          <w:rFonts w:ascii="Book Antiqua" w:eastAsia="宋体" w:hAnsi="Book Antiqua" w:cs="宋体"/>
          <w:lang w:val="en-US" w:eastAsia="zh-CN"/>
        </w:rPr>
        <w:t xml:space="preserve">15 </w:t>
      </w:r>
      <w:proofErr w:type="spellStart"/>
      <w:r w:rsidRPr="00E2037D">
        <w:rPr>
          <w:rFonts w:ascii="Book Antiqua" w:eastAsia="宋体" w:hAnsi="Book Antiqua" w:cs="宋体"/>
          <w:b/>
          <w:bCs/>
          <w:lang w:val="en-US" w:eastAsia="zh-CN"/>
        </w:rPr>
        <w:t>Lauret</w:t>
      </w:r>
      <w:proofErr w:type="spellEnd"/>
      <w:r w:rsidRPr="00E2037D">
        <w:rPr>
          <w:rFonts w:ascii="Book Antiqua" w:eastAsia="宋体" w:hAnsi="Book Antiqua" w:cs="宋体"/>
          <w:b/>
          <w:bCs/>
          <w:lang w:val="en-US" w:eastAsia="zh-CN"/>
        </w:rPr>
        <w:t xml:space="preserve"> E</w:t>
      </w:r>
      <w:r w:rsidRPr="00E2037D">
        <w:rPr>
          <w:rFonts w:ascii="Book Antiqua" w:eastAsia="宋体" w:hAnsi="Book Antiqua" w:cs="宋体"/>
          <w:lang w:val="en-US" w:eastAsia="zh-CN"/>
        </w:rPr>
        <w:t>, Rodrigo L. Celiac disease and autoimmune-associated conditions.</w:t>
      </w:r>
      <w:proofErr w:type="gramEnd"/>
      <w:r w:rsidRPr="00E2037D">
        <w:rPr>
          <w:rFonts w:ascii="Book Antiqua" w:eastAsia="宋体" w:hAnsi="Book Antiqua" w:cs="宋体"/>
          <w:lang w:val="en-US" w:eastAsia="zh-CN"/>
        </w:rPr>
        <w:t xml:space="preserve"> </w:t>
      </w:r>
      <w:r w:rsidRPr="00E2037D">
        <w:rPr>
          <w:rFonts w:ascii="Book Antiqua" w:eastAsia="宋体" w:hAnsi="Book Antiqua" w:cs="宋体"/>
          <w:i/>
          <w:iCs/>
          <w:lang w:val="en-US" w:eastAsia="zh-CN"/>
        </w:rPr>
        <w:t xml:space="preserve">Biomed Res </w:t>
      </w:r>
      <w:proofErr w:type="spellStart"/>
      <w:r w:rsidRPr="00E2037D">
        <w:rPr>
          <w:rFonts w:ascii="Book Antiqua" w:eastAsia="宋体" w:hAnsi="Book Antiqua" w:cs="宋体"/>
          <w:i/>
          <w:iCs/>
          <w:lang w:val="en-US" w:eastAsia="zh-CN"/>
        </w:rPr>
        <w:t>Int</w:t>
      </w:r>
      <w:proofErr w:type="spellEnd"/>
      <w:r w:rsidRPr="00E2037D">
        <w:rPr>
          <w:rFonts w:ascii="Book Antiqua" w:eastAsia="宋体" w:hAnsi="Book Antiqua" w:cs="宋体"/>
          <w:lang w:val="en-US" w:eastAsia="zh-CN"/>
        </w:rPr>
        <w:t xml:space="preserve"> 2013; </w:t>
      </w:r>
      <w:r w:rsidRPr="00E2037D">
        <w:rPr>
          <w:rFonts w:ascii="Book Antiqua" w:eastAsia="宋体" w:hAnsi="Book Antiqua" w:cs="宋体"/>
          <w:b/>
          <w:bCs/>
          <w:lang w:val="en-US" w:eastAsia="zh-CN"/>
        </w:rPr>
        <w:t>2013</w:t>
      </w:r>
      <w:r w:rsidRPr="00E2037D">
        <w:rPr>
          <w:rFonts w:ascii="Book Antiqua" w:eastAsia="宋体" w:hAnsi="Book Antiqua" w:cs="宋体"/>
          <w:lang w:val="en-US" w:eastAsia="zh-CN"/>
        </w:rPr>
        <w:t>: 127589 [PMID: 23984314 DOI: 10.1155/2013/127589]</w:t>
      </w:r>
    </w:p>
    <w:p w14:paraId="565528E1"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16 </w:t>
      </w:r>
      <w:r w:rsidRPr="00E2037D">
        <w:rPr>
          <w:rFonts w:ascii="Book Antiqua" w:eastAsia="宋体" w:hAnsi="Book Antiqua" w:cs="宋体"/>
          <w:b/>
          <w:bCs/>
          <w:lang w:val="en-US" w:eastAsia="zh-CN"/>
        </w:rPr>
        <w:t>Dickey W</w:t>
      </w:r>
      <w:r w:rsidRPr="00E2037D">
        <w:rPr>
          <w:rFonts w:ascii="Book Antiqua" w:eastAsia="宋体" w:hAnsi="Book Antiqua" w:cs="宋体"/>
          <w:lang w:val="en-US" w:eastAsia="zh-CN"/>
        </w:rPr>
        <w:t xml:space="preserve">, Kearney N. Overweight in celiac disease: prevalence, clinical characteristics, and effect of a gluten-free diet. </w:t>
      </w:r>
      <w:r w:rsidRPr="00E2037D">
        <w:rPr>
          <w:rFonts w:ascii="Book Antiqua" w:eastAsia="宋体" w:hAnsi="Book Antiqua" w:cs="宋体"/>
          <w:i/>
          <w:iCs/>
          <w:lang w:val="en-US" w:eastAsia="zh-CN"/>
        </w:rPr>
        <w:t xml:space="preserve">Am J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lang w:val="en-US" w:eastAsia="zh-CN"/>
        </w:rPr>
        <w:t xml:space="preserve"> 2006; </w:t>
      </w:r>
      <w:r w:rsidRPr="00E2037D">
        <w:rPr>
          <w:rFonts w:ascii="Book Antiqua" w:eastAsia="宋体" w:hAnsi="Book Antiqua" w:cs="宋体"/>
          <w:b/>
          <w:bCs/>
          <w:lang w:val="en-US" w:eastAsia="zh-CN"/>
        </w:rPr>
        <w:t>101</w:t>
      </w:r>
      <w:r w:rsidRPr="00E2037D">
        <w:rPr>
          <w:rFonts w:ascii="Book Antiqua" w:eastAsia="宋体" w:hAnsi="Book Antiqua" w:cs="宋体"/>
          <w:lang w:val="en-US" w:eastAsia="zh-CN"/>
        </w:rPr>
        <w:t>: 2356-2359 [PMID: 17032202 DOI: 10.1111/j.1572-0241.2006.00750.x]</w:t>
      </w:r>
    </w:p>
    <w:p w14:paraId="1C0E2126"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17 </w:t>
      </w:r>
      <w:r w:rsidRPr="00E2037D">
        <w:rPr>
          <w:rFonts w:ascii="Book Antiqua" w:eastAsia="宋体" w:hAnsi="Book Antiqua" w:cs="宋体"/>
          <w:b/>
          <w:bCs/>
          <w:lang w:val="en-US" w:eastAsia="zh-CN"/>
        </w:rPr>
        <w:t>Cheng J</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Brar</w:t>
      </w:r>
      <w:proofErr w:type="spellEnd"/>
      <w:r w:rsidRPr="00E2037D">
        <w:rPr>
          <w:rFonts w:ascii="Book Antiqua" w:eastAsia="宋体" w:hAnsi="Book Antiqua" w:cs="宋体"/>
          <w:lang w:val="en-US" w:eastAsia="zh-CN"/>
        </w:rPr>
        <w:t xml:space="preserve"> PS, Lee AR, Green PH. Body mass index in celiac disease: beneficial effect of a gluten-free diet. </w:t>
      </w:r>
      <w:r w:rsidRPr="00E2037D">
        <w:rPr>
          <w:rFonts w:ascii="Book Antiqua" w:eastAsia="宋体" w:hAnsi="Book Antiqua" w:cs="宋体"/>
          <w:i/>
          <w:iCs/>
          <w:lang w:val="en-US" w:eastAsia="zh-CN"/>
        </w:rPr>
        <w:t xml:space="preserve">J </w:t>
      </w:r>
      <w:proofErr w:type="spellStart"/>
      <w:r w:rsidRPr="00E2037D">
        <w:rPr>
          <w:rFonts w:ascii="Book Antiqua" w:eastAsia="宋体" w:hAnsi="Book Antiqua" w:cs="宋体"/>
          <w:i/>
          <w:iCs/>
          <w:lang w:val="en-US" w:eastAsia="zh-CN"/>
        </w:rPr>
        <w:t>Clin</w:t>
      </w:r>
      <w:proofErr w:type="spellEnd"/>
      <w:r w:rsidRPr="00E2037D">
        <w:rPr>
          <w:rFonts w:ascii="Book Antiqua" w:eastAsia="宋体" w:hAnsi="Book Antiqua" w:cs="宋体"/>
          <w:i/>
          <w:iCs/>
          <w:lang w:val="en-US" w:eastAsia="zh-CN"/>
        </w:rPr>
        <w:t xml:space="preserve">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lang w:val="en-US" w:eastAsia="zh-CN"/>
        </w:rPr>
        <w:t xml:space="preserve"> 2010; </w:t>
      </w:r>
      <w:r w:rsidRPr="00E2037D">
        <w:rPr>
          <w:rFonts w:ascii="Book Antiqua" w:eastAsia="宋体" w:hAnsi="Book Antiqua" w:cs="宋体"/>
          <w:b/>
          <w:bCs/>
          <w:lang w:val="en-US" w:eastAsia="zh-CN"/>
        </w:rPr>
        <w:t>44</w:t>
      </w:r>
      <w:r w:rsidRPr="00E2037D">
        <w:rPr>
          <w:rFonts w:ascii="Book Antiqua" w:eastAsia="宋体" w:hAnsi="Book Antiqua" w:cs="宋体"/>
          <w:lang w:val="en-US" w:eastAsia="zh-CN"/>
        </w:rPr>
        <w:t>: 267-271 [PMID: 19779362 DOI: 10.1097/MCG.0b013e3181b7ed58]</w:t>
      </w:r>
    </w:p>
    <w:p w14:paraId="651A6760" w14:textId="77777777" w:rsidR="00E2037D" w:rsidRPr="00E2037D" w:rsidRDefault="00E2037D" w:rsidP="00E2037D">
      <w:pPr>
        <w:spacing w:after="0" w:line="360" w:lineRule="auto"/>
        <w:jc w:val="both"/>
        <w:rPr>
          <w:rFonts w:ascii="Book Antiqua" w:eastAsia="宋体" w:hAnsi="Book Antiqua" w:cs="宋体"/>
          <w:lang w:val="en-US" w:eastAsia="zh-CN"/>
        </w:rPr>
      </w:pPr>
      <w:proofErr w:type="gramStart"/>
      <w:r w:rsidRPr="00E2037D">
        <w:rPr>
          <w:rFonts w:ascii="Book Antiqua" w:eastAsia="宋体" w:hAnsi="Book Antiqua" w:cs="宋体"/>
          <w:lang w:val="en-US" w:eastAsia="zh-CN"/>
        </w:rPr>
        <w:lastRenderedPageBreak/>
        <w:t xml:space="preserve">18 </w:t>
      </w:r>
      <w:proofErr w:type="spellStart"/>
      <w:r w:rsidRPr="00E2037D">
        <w:rPr>
          <w:rFonts w:ascii="Book Antiqua" w:eastAsia="宋体" w:hAnsi="Book Antiqua" w:cs="宋体"/>
          <w:b/>
          <w:bCs/>
          <w:lang w:val="en-US" w:eastAsia="zh-CN"/>
        </w:rPr>
        <w:t>Santolaria</w:t>
      </w:r>
      <w:proofErr w:type="spellEnd"/>
      <w:r w:rsidRPr="00E2037D">
        <w:rPr>
          <w:rFonts w:ascii="Book Antiqua" w:eastAsia="宋体" w:hAnsi="Book Antiqua" w:cs="宋体"/>
          <w:b/>
          <w:bCs/>
          <w:lang w:val="en-US" w:eastAsia="zh-CN"/>
        </w:rPr>
        <w:t xml:space="preserve"> </w:t>
      </w:r>
      <w:proofErr w:type="spellStart"/>
      <w:r w:rsidRPr="00E2037D">
        <w:rPr>
          <w:rFonts w:ascii="Book Antiqua" w:eastAsia="宋体" w:hAnsi="Book Antiqua" w:cs="宋体"/>
          <w:b/>
          <w:bCs/>
          <w:lang w:val="en-US" w:eastAsia="zh-CN"/>
        </w:rPr>
        <w:t>Piedrafita</w:t>
      </w:r>
      <w:proofErr w:type="spellEnd"/>
      <w:r w:rsidRPr="00E2037D">
        <w:rPr>
          <w:rFonts w:ascii="Book Antiqua" w:eastAsia="宋体" w:hAnsi="Book Antiqua" w:cs="宋体"/>
          <w:b/>
          <w:bCs/>
          <w:lang w:val="en-US" w:eastAsia="zh-CN"/>
        </w:rPr>
        <w:t xml:space="preserve"> S</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Fernández</w:t>
      </w:r>
      <w:proofErr w:type="spellEnd"/>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Bañares</w:t>
      </w:r>
      <w:proofErr w:type="spellEnd"/>
      <w:r w:rsidRPr="00E2037D">
        <w:rPr>
          <w:rFonts w:ascii="Book Antiqua" w:eastAsia="宋体" w:hAnsi="Book Antiqua" w:cs="宋体"/>
          <w:lang w:val="en-US" w:eastAsia="zh-CN"/>
        </w:rPr>
        <w:t xml:space="preserve"> F. [Gluten-sensitive enteropathy and functional dyspepsia].</w:t>
      </w:r>
      <w:proofErr w:type="gramEnd"/>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i/>
          <w:iCs/>
          <w:lang w:val="en-US" w:eastAsia="zh-CN"/>
        </w:rPr>
        <w:t xml:space="preserve"> </w:t>
      </w:r>
      <w:proofErr w:type="spellStart"/>
      <w:r w:rsidRPr="00E2037D">
        <w:rPr>
          <w:rFonts w:ascii="Book Antiqua" w:eastAsia="宋体" w:hAnsi="Book Antiqua" w:cs="宋体"/>
          <w:i/>
          <w:iCs/>
          <w:lang w:val="en-US" w:eastAsia="zh-CN"/>
        </w:rPr>
        <w:t>Hepatol</w:t>
      </w:r>
      <w:proofErr w:type="spellEnd"/>
      <w:r w:rsidRPr="00E2037D">
        <w:rPr>
          <w:rFonts w:ascii="Book Antiqua" w:eastAsia="宋体" w:hAnsi="Book Antiqua" w:cs="宋体"/>
          <w:lang w:val="en-US" w:eastAsia="zh-CN"/>
        </w:rPr>
        <w:t xml:space="preserve"> 2012; </w:t>
      </w:r>
      <w:r w:rsidRPr="00E2037D">
        <w:rPr>
          <w:rFonts w:ascii="Book Antiqua" w:eastAsia="宋体" w:hAnsi="Book Antiqua" w:cs="宋体"/>
          <w:b/>
          <w:bCs/>
          <w:lang w:val="en-US" w:eastAsia="zh-CN"/>
        </w:rPr>
        <w:t>35</w:t>
      </w:r>
      <w:r w:rsidRPr="00E2037D">
        <w:rPr>
          <w:rFonts w:ascii="Book Antiqua" w:eastAsia="宋体" w:hAnsi="Book Antiqua" w:cs="宋体"/>
          <w:lang w:val="en-US" w:eastAsia="zh-CN"/>
        </w:rPr>
        <w:t>: 78-88 [PMID: 22177265 DOI: 10.1016/j.gastrohep.2011.10.006]</w:t>
      </w:r>
    </w:p>
    <w:p w14:paraId="40FCAD09" w14:textId="5FC9E480"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19 </w:t>
      </w:r>
      <w:r w:rsidRPr="00E2037D">
        <w:rPr>
          <w:rFonts w:ascii="Book Antiqua" w:eastAsia="宋体" w:hAnsi="Book Antiqua" w:cs="宋体"/>
          <w:b/>
          <w:bCs/>
          <w:lang w:val="en-US" w:eastAsia="zh-CN"/>
        </w:rPr>
        <w:t>Sainsbury A</w:t>
      </w:r>
      <w:r w:rsidRPr="00E2037D">
        <w:rPr>
          <w:rFonts w:ascii="Book Antiqua" w:eastAsia="宋体" w:hAnsi="Book Antiqua" w:cs="宋体"/>
          <w:lang w:val="en-US" w:eastAsia="zh-CN"/>
        </w:rPr>
        <w:t xml:space="preserve">, Sanders DS, Ford AC. Prevalence of irritable bowel syndrome-type symptoms in patients with celiac disease: a meta-analysis. </w:t>
      </w:r>
      <w:proofErr w:type="spellStart"/>
      <w:r w:rsidRPr="00E2037D">
        <w:rPr>
          <w:rFonts w:ascii="Book Antiqua" w:eastAsia="宋体" w:hAnsi="Book Antiqua" w:cs="宋体"/>
          <w:i/>
          <w:iCs/>
          <w:lang w:val="en-US" w:eastAsia="zh-CN"/>
        </w:rPr>
        <w:t>Clin</w:t>
      </w:r>
      <w:proofErr w:type="spellEnd"/>
      <w:r w:rsidRPr="00E2037D">
        <w:rPr>
          <w:rFonts w:ascii="Book Antiqua" w:eastAsia="宋体" w:hAnsi="Book Antiqua" w:cs="宋体"/>
          <w:i/>
          <w:iCs/>
          <w:lang w:val="en-US" w:eastAsia="zh-CN"/>
        </w:rPr>
        <w:t xml:space="preserve">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i/>
          <w:iCs/>
          <w:lang w:val="en-US" w:eastAsia="zh-CN"/>
        </w:rPr>
        <w:t xml:space="preserve"> </w:t>
      </w:r>
      <w:proofErr w:type="spellStart"/>
      <w:r w:rsidRPr="00E2037D">
        <w:rPr>
          <w:rFonts w:ascii="Book Antiqua" w:eastAsia="宋体" w:hAnsi="Book Antiqua" w:cs="宋体"/>
          <w:i/>
          <w:iCs/>
          <w:lang w:val="en-US" w:eastAsia="zh-CN"/>
        </w:rPr>
        <w:t>Hepatol</w:t>
      </w:r>
      <w:proofErr w:type="spellEnd"/>
      <w:r w:rsidRPr="00E2037D">
        <w:rPr>
          <w:rFonts w:ascii="Book Antiqua" w:eastAsia="宋体" w:hAnsi="Book Antiqua" w:cs="宋体"/>
          <w:lang w:val="en-US" w:eastAsia="zh-CN"/>
        </w:rPr>
        <w:t xml:space="preserve"> 2013; </w:t>
      </w:r>
      <w:r w:rsidRPr="00E2037D">
        <w:rPr>
          <w:rFonts w:ascii="Book Antiqua" w:eastAsia="宋体" w:hAnsi="Book Antiqua" w:cs="宋体"/>
          <w:b/>
          <w:bCs/>
          <w:lang w:val="en-US" w:eastAsia="zh-CN"/>
        </w:rPr>
        <w:t>11</w:t>
      </w:r>
      <w:r w:rsidRPr="00E2037D">
        <w:rPr>
          <w:rFonts w:ascii="Book Antiqua" w:eastAsia="宋体" w:hAnsi="Book Antiqua" w:cs="宋体"/>
          <w:lang w:val="en-US" w:eastAsia="zh-CN"/>
        </w:rPr>
        <w:t>: 359-</w:t>
      </w:r>
      <w:r w:rsidR="000342F5">
        <w:rPr>
          <w:rFonts w:ascii="Book Antiqua" w:eastAsia="宋体" w:hAnsi="Book Antiqua" w:cs="宋体" w:hint="eastAsia"/>
          <w:lang w:val="en-US" w:eastAsia="zh-CN"/>
        </w:rPr>
        <w:t>3</w:t>
      </w:r>
      <w:r w:rsidRPr="00E2037D">
        <w:rPr>
          <w:rFonts w:ascii="Book Antiqua" w:eastAsia="宋体" w:hAnsi="Book Antiqua" w:cs="宋体"/>
          <w:lang w:val="en-US" w:eastAsia="zh-CN"/>
        </w:rPr>
        <w:t>65.e1 [PMID: 23246645 DOI: 10.1016/j.cgh.2012.11.033]</w:t>
      </w:r>
    </w:p>
    <w:p w14:paraId="3886FFF9"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20 </w:t>
      </w:r>
      <w:proofErr w:type="spellStart"/>
      <w:r w:rsidRPr="00E2037D">
        <w:rPr>
          <w:rFonts w:ascii="Book Antiqua" w:eastAsia="宋体" w:hAnsi="Book Antiqua" w:cs="宋体"/>
          <w:b/>
          <w:bCs/>
          <w:lang w:val="en-US" w:eastAsia="zh-CN"/>
        </w:rPr>
        <w:t>Husby</w:t>
      </w:r>
      <w:proofErr w:type="spellEnd"/>
      <w:r w:rsidRPr="00E2037D">
        <w:rPr>
          <w:rFonts w:ascii="Book Antiqua" w:eastAsia="宋体" w:hAnsi="Book Antiqua" w:cs="宋体"/>
          <w:b/>
          <w:bCs/>
          <w:lang w:val="en-US" w:eastAsia="zh-CN"/>
        </w:rPr>
        <w:t xml:space="preserve"> S</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Koletzko</w:t>
      </w:r>
      <w:proofErr w:type="spellEnd"/>
      <w:r w:rsidRPr="00E2037D">
        <w:rPr>
          <w:rFonts w:ascii="Book Antiqua" w:eastAsia="宋体" w:hAnsi="Book Antiqua" w:cs="宋体"/>
          <w:lang w:val="en-US" w:eastAsia="zh-CN"/>
        </w:rPr>
        <w:t xml:space="preserve"> S, </w:t>
      </w:r>
      <w:proofErr w:type="spellStart"/>
      <w:r w:rsidRPr="00E2037D">
        <w:rPr>
          <w:rFonts w:ascii="Book Antiqua" w:eastAsia="宋体" w:hAnsi="Book Antiqua" w:cs="宋体"/>
          <w:lang w:val="en-US" w:eastAsia="zh-CN"/>
        </w:rPr>
        <w:t>Korponay-Szabó</w:t>
      </w:r>
      <w:proofErr w:type="spellEnd"/>
      <w:r w:rsidRPr="00E2037D">
        <w:rPr>
          <w:rFonts w:ascii="Book Antiqua" w:eastAsia="宋体" w:hAnsi="Book Antiqua" w:cs="宋体"/>
          <w:lang w:val="en-US" w:eastAsia="zh-CN"/>
        </w:rPr>
        <w:t xml:space="preserve"> IR, </w:t>
      </w:r>
      <w:proofErr w:type="spellStart"/>
      <w:r w:rsidRPr="00E2037D">
        <w:rPr>
          <w:rFonts w:ascii="Book Antiqua" w:eastAsia="宋体" w:hAnsi="Book Antiqua" w:cs="宋体"/>
          <w:lang w:val="en-US" w:eastAsia="zh-CN"/>
        </w:rPr>
        <w:t>Mearin</w:t>
      </w:r>
      <w:proofErr w:type="spellEnd"/>
      <w:r w:rsidRPr="00E2037D">
        <w:rPr>
          <w:rFonts w:ascii="Book Antiqua" w:eastAsia="宋体" w:hAnsi="Book Antiqua" w:cs="宋体"/>
          <w:lang w:val="en-US" w:eastAsia="zh-CN"/>
        </w:rPr>
        <w:t xml:space="preserve"> ML, Phillips A, Shamir R, </w:t>
      </w:r>
      <w:proofErr w:type="spellStart"/>
      <w:r w:rsidRPr="00E2037D">
        <w:rPr>
          <w:rFonts w:ascii="Book Antiqua" w:eastAsia="宋体" w:hAnsi="Book Antiqua" w:cs="宋体"/>
          <w:lang w:val="en-US" w:eastAsia="zh-CN"/>
        </w:rPr>
        <w:t>Troncone</w:t>
      </w:r>
      <w:proofErr w:type="spellEnd"/>
      <w:r w:rsidRPr="00E2037D">
        <w:rPr>
          <w:rFonts w:ascii="Book Antiqua" w:eastAsia="宋体" w:hAnsi="Book Antiqua" w:cs="宋体"/>
          <w:lang w:val="en-US" w:eastAsia="zh-CN"/>
        </w:rPr>
        <w:t xml:space="preserve"> R, </w:t>
      </w:r>
      <w:proofErr w:type="spellStart"/>
      <w:r w:rsidRPr="00E2037D">
        <w:rPr>
          <w:rFonts w:ascii="Book Antiqua" w:eastAsia="宋体" w:hAnsi="Book Antiqua" w:cs="宋体"/>
          <w:lang w:val="en-US" w:eastAsia="zh-CN"/>
        </w:rPr>
        <w:t>Giersiepen</w:t>
      </w:r>
      <w:proofErr w:type="spellEnd"/>
      <w:r w:rsidRPr="00E2037D">
        <w:rPr>
          <w:rFonts w:ascii="Book Antiqua" w:eastAsia="宋体" w:hAnsi="Book Antiqua" w:cs="宋体"/>
          <w:lang w:val="en-US" w:eastAsia="zh-CN"/>
        </w:rPr>
        <w:t xml:space="preserve"> K, </w:t>
      </w:r>
      <w:proofErr w:type="spellStart"/>
      <w:r w:rsidRPr="00E2037D">
        <w:rPr>
          <w:rFonts w:ascii="Book Antiqua" w:eastAsia="宋体" w:hAnsi="Book Antiqua" w:cs="宋体"/>
          <w:lang w:val="en-US" w:eastAsia="zh-CN"/>
        </w:rPr>
        <w:t>Branski</w:t>
      </w:r>
      <w:proofErr w:type="spellEnd"/>
      <w:r w:rsidRPr="00E2037D">
        <w:rPr>
          <w:rFonts w:ascii="Book Antiqua" w:eastAsia="宋体" w:hAnsi="Book Antiqua" w:cs="宋体"/>
          <w:lang w:val="en-US" w:eastAsia="zh-CN"/>
        </w:rPr>
        <w:t xml:space="preserve"> D, </w:t>
      </w:r>
      <w:proofErr w:type="spellStart"/>
      <w:r w:rsidRPr="00E2037D">
        <w:rPr>
          <w:rFonts w:ascii="Book Antiqua" w:eastAsia="宋体" w:hAnsi="Book Antiqua" w:cs="宋体"/>
          <w:lang w:val="en-US" w:eastAsia="zh-CN"/>
        </w:rPr>
        <w:t>Catassi</w:t>
      </w:r>
      <w:proofErr w:type="spellEnd"/>
      <w:r w:rsidRPr="00E2037D">
        <w:rPr>
          <w:rFonts w:ascii="Book Antiqua" w:eastAsia="宋体" w:hAnsi="Book Antiqua" w:cs="宋体"/>
          <w:lang w:val="en-US" w:eastAsia="zh-CN"/>
        </w:rPr>
        <w:t xml:space="preserve"> C, </w:t>
      </w:r>
      <w:proofErr w:type="spellStart"/>
      <w:r w:rsidRPr="00E2037D">
        <w:rPr>
          <w:rFonts w:ascii="Book Antiqua" w:eastAsia="宋体" w:hAnsi="Book Antiqua" w:cs="宋体"/>
          <w:lang w:val="en-US" w:eastAsia="zh-CN"/>
        </w:rPr>
        <w:t>Lelgeman</w:t>
      </w:r>
      <w:proofErr w:type="spellEnd"/>
      <w:r w:rsidRPr="00E2037D">
        <w:rPr>
          <w:rFonts w:ascii="Book Antiqua" w:eastAsia="宋体" w:hAnsi="Book Antiqua" w:cs="宋体"/>
          <w:lang w:val="en-US" w:eastAsia="zh-CN"/>
        </w:rPr>
        <w:t xml:space="preserve"> M, </w:t>
      </w:r>
      <w:proofErr w:type="spellStart"/>
      <w:r w:rsidRPr="00E2037D">
        <w:rPr>
          <w:rFonts w:ascii="Book Antiqua" w:eastAsia="宋体" w:hAnsi="Book Antiqua" w:cs="宋体"/>
          <w:lang w:val="en-US" w:eastAsia="zh-CN"/>
        </w:rPr>
        <w:t>Mäki</w:t>
      </w:r>
      <w:proofErr w:type="spellEnd"/>
      <w:r w:rsidRPr="00E2037D">
        <w:rPr>
          <w:rFonts w:ascii="Book Antiqua" w:eastAsia="宋体" w:hAnsi="Book Antiqua" w:cs="宋体"/>
          <w:lang w:val="en-US" w:eastAsia="zh-CN"/>
        </w:rPr>
        <w:t xml:space="preserve"> M, </w:t>
      </w:r>
      <w:proofErr w:type="spellStart"/>
      <w:r w:rsidRPr="00E2037D">
        <w:rPr>
          <w:rFonts w:ascii="Book Antiqua" w:eastAsia="宋体" w:hAnsi="Book Antiqua" w:cs="宋体"/>
          <w:lang w:val="en-US" w:eastAsia="zh-CN"/>
        </w:rPr>
        <w:t>Ribes-Koninckx</w:t>
      </w:r>
      <w:proofErr w:type="spellEnd"/>
      <w:r w:rsidRPr="00E2037D">
        <w:rPr>
          <w:rFonts w:ascii="Book Antiqua" w:eastAsia="宋体" w:hAnsi="Book Antiqua" w:cs="宋体"/>
          <w:lang w:val="en-US" w:eastAsia="zh-CN"/>
        </w:rPr>
        <w:t xml:space="preserve"> C, Ventura A, Zimmer KP. European Society for Pediatric Gastroenterology, Hepatology, and Nutrition guidelines for the diagnosis of coeliac disease. </w:t>
      </w:r>
      <w:r w:rsidRPr="00E2037D">
        <w:rPr>
          <w:rFonts w:ascii="Book Antiqua" w:eastAsia="宋体" w:hAnsi="Book Antiqua" w:cs="宋体"/>
          <w:i/>
          <w:iCs/>
          <w:lang w:val="en-US" w:eastAsia="zh-CN"/>
        </w:rPr>
        <w:t xml:space="preserve">J </w:t>
      </w:r>
      <w:proofErr w:type="spellStart"/>
      <w:r w:rsidRPr="00E2037D">
        <w:rPr>
          <w:rFonts w:ascii="Book Antiqua" w:eastAsia="宋体" w:hAnsi="Book Antiqua" w:cs="宋体"/>
          <w:i/>
          <w:iCs/>
          <w:lang w:val="en-US" w:eastAsia="zh-CN"/>
        </w:rPr>
        <w:t>Pediatr</w:t>
      </w:r>
      <w:proofErr w:type="spellEnd"/>
      <w:r w:rsidRPr="00E2037D">
        <w:rPr>
          <w:rFonts w:ascii="Book Antiqua" w:eastAsia="宋体" w:hAnsi="Book Antiqua" w:cs="宋体"/>
          <w:i/>
          <w:iCs/>
          <w:lang w:val="en-US" w:eastAsia="zh-CN"/>
        </w:rPr>
        <w:t xml:space="preserve">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i/>
          <w:iCs/>
          <w:lang w:val="en-US" w:eastAsia="zh-CN"/>
        </w:rPr>
        <w:t xml:space="preserve"> </w:t>
      </w:r>
      <w:proofErr w:type="spellStart"/>
      <w:r w:rsidRPr="00E2037D">
        <w:rPr>
          <w:rFonts w:ascii="Book Antiqua" w:eastAsia="宋体" w:hAnsi="Book Antiqua" w:cs="宋体"/>
          <w:i/>
          <w:iCs/>
          <w:lang w:val="en-US" w:eastAsia="zh-CN"/>
        </w:rPr>
        <w:t>Nutr</w:t>
      </w:r>
      <w:proofErr w:type="spellEnd"/>
      <w:r w:rsidRPr="00E2037D">
        <w:rPr>
          <w:rFonts w:ascii="Book Antiqua" w:eastAsia="宋体" w:hAnsi="Book Antiqua" w:cs="宋体"/>
          <w:lang w:val="en-US" w:eastAsia="zh-CN"/>
        </w:rPr>
        <w:t xml:space="preserve"> 2012; </w:t>
      </w:r>
      <w:r w:rsidRPr="00E2037D">
        <w:rPr>
          <w:rFonts w:ascii="Book Antiqua" w:eastAsia="宋体" w:hAnsi="Book Antiqua" w:cs="宋体"/>
          <w:b/>
          <w:bCs/>
          <w:lang w:val="en-US" w:eastAsia="zh-CN"/>
        </w:rPr>
        <w:t>54</w:t>
      </w:r>
      <w:r w:rsidRPr="00E2037D">
        <w:rPr>
          <w:rFonts w:ascii="Book Antiqua" w:eastAsia="宋体" w:hAnsi="Book Antiqua" w:cs="宋体"/>
          <w:lang w:val="en-US" w:eastAsia="zh-CN"/>
        </w:rPr>
        <w:t>: 136-160 [PMID: 22197856 DOI: 10.1097/MPG.0b013e31821a23d0]</w:t>
      </w:r>
    </w:p>
    <w:p w14:paraId="2E16B4CC"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21 </w:t>
      </w:r>
      <w:proofErr w:type="spellStart"/>
      <w:r w:rsidRPr="00E2037D">
        <w:rPr>
          <w:rFonts w:ascii="Book Antiqua" w:eastAsia="宋体" w:hAnsi="Book Antiqua" w:cs="宋体"/>
          <w:b/>
          <w:bCs/>
          <w:lang w:val="en-US" w:eastAsia="zh-CN"/>
        </w:rPr>
        <w:t>Vivas</w:t>
      </w:r>
      <w:proofErr w:type="spellEnd"/>
      <w:r w:rsidRPr="00E2037D">
        <w:rPr>
          <w:rFonts w:ascii="Book Antiqua" w:eastAsia="宋体" w:hAnsi="Book Antiqua" w:cs="宋体"/>
          <w:b/>
          <w:bCs/>
          <w:lang w:val="en-US" w:eastAsia="zh-CN"/>
        </w:rPr>
        <w:t xml:space="preserve"> S</w:t>
      </w:r>
      <w:r w:rsidRPr="00E2037D">
        <w:rPr>
          <w:rFonts w:ascii="Book Antiqua" w:eastAsia="宋体" w:hAnsi="Book Antiqua" w:cs="宋体"/>
          <w:lang w:val="en-US" w:eastAsia="zh-CN"/>
        </w:rPr>
        <w:t xml:space="preserve">, Ruiz de Morales JG, </w:t>
      </w:r>
      <w:proofErr w:type="spellStart"/>
      <w:r w:rsidRPr="00E2037D">
        <w:rPr>
          <w:rFonts w:ascii="Book Antiqua" w:eastAsia="宋体" w:hAnsi="Book Antiqua" w:cs="宋体"/>
          <w:lang w:val="en-US" w:eastAsia="zh-CN"/>
        </w:rPr>
        <w:t>Riestra</w:t>
      </w:r>
      <w:proofErr w:type="spellEnd"/>
      <w:r w:rsidRPr="00E2037D">
        <w:rPr>
          <w:rFonts w:ascii="Book Antiqua" w:eastAsia="宋体" w:hAnsi="Book Antiqua" w:cs="宋体"/>
          <w:lang w:val="en-US" w:eastAsia="zh-CN"/>
        </w:rPr>
        <w:t xml:space="preserve"> S, Arias L, Fuentes D, Alvarez N, </w:t>
      </w:r>
      <w:proofErr w:type="spellStart"/>
      <w:r w:rsidRPr="00E2037D">
        <w:rPr>
          <w:rFonts w:ascii="Book Antiqua" w:eastAsia="宋体" w:hAnsi="Book Antiqua" w:cs="宋体"/>
          <w:lang w:val="en-US" w:eastAsia="zh-CN"/>
        </w:rPr>
        <w:t>Calleja</w:t>
      </w:r>
      <w:proofErr w:type="spellEnd"/>
      <w:r w:rsidRPr="00E2037D">
        <w:rPr>
          <w:rFonts w:ascii="Book Antiqua" w:eastAsia="宋体" w:hAnsi="Book Antiqua" w:cs="宋体"/>
          <w:lang w:val="en-US" w:eastAsia="zh-CN"/>
        </w:rPr>
        <w:t xml:space="preserve"> S, Hernando M, Herrero B, </w:t>
      </w:r>
      <w:proofErr w:type="spellStart"/>
      <w:r w:rsidRPr="00E2037D">
        <w:rPr>
          <w:rFonts w:ascii="Book Antiqua" w:eastAsia="宋体" w:hAnsi="Book Antiqua" w:cs="宋体"/>
          <w:lang w:val="en-US" w:eastAsia="zh-CN"/>
        </w:rPr>
        <w:t>Casqueiro</w:t>
      </w:r>
      <w:proofErr w:type="spellEnd"/>
      <w:r w:rsidRPr="00E2037D">
        <w:rPr>
          <w:rFonts w:ascii="Book Antiqua" w:eastAsia="宋体" w:hAnsi="Book Antiqua" w:cs="宋体"/>
          <w:lang w:val="en-US" w:eastAsia="zh-CN"/>
        </w:rPr>
        <w:t xml:space="preserve"> J, Rodrigo L. Duodenal biopsy may be avoided when high transglutaminase antibody titers are present. </w:t>
      </w:r>
      <w:r w:rsidRPr="00E2037D">
        <w:rPr>
          <w:rFonts w:ascii="Book Antiqua" w:eastAsia="宋体" w:hAnsi="Book Antiqua" w:cs="宋体"/>
          <w:i/>
          <w:iCs/>
          <w:lang w:val="en-US" w:eastAsia="zh-CN"/>
        </w:rPr>
        <w:t xml:space="preserve">World J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lang w:val="en-US" w:eastAsia="zh-CN"/>
        </w:rPr>
        <w:t xml:space="preserve"> 2009; </w:t>
      </w:r>
      <w:r w:rsidRPr="00E2037D">
        <w:rPr>
          <w:rFonts w:ascii="Book Antiqua" w:eastAsia="宋体" w:hAnsi="Book Antiqua" w:cs="宋体"/>
          <w:b/>
          <w:bCs/>
          <w:lang w:val="en-US" w:eastAsia="zh-CN"/>
        </w:rPr>
        <w:t>15</w:t>
      </w:r>
      <w:r w:rsidRPr="00E2037D">
        <w:rPr>
          <w:rFonts w:ascii="Book Antiqua" w:eastAsia="宋体" w:hAnsi="Book Antiqua" w:cs="宋体"/>
          <w:lang w:val="en-US" w:eastAsia="zh-CN"/>
        </w:rPr>
        <w:t>: 4775-4780 [PMID: 19824110 DOI: 10.3748/wjg.15.4775]</w:t>
      </w:r>
    </w:p>
    <w:p w14:paraId="3822B892"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22 </w:t>
      </w:r>
      <w:proofErr w:type="spellStart"/>
      <w:r w:rsidRPr="00E2037D">
        <w:rPr>
          <w:rFonts w:ascii="Book Antiqua" w:eastAsia="宋体" w:hAnsi="Book Antiqua" w:cs="宋体"/>
          <w:b/>
          <w:bCs/>
          <w:lang w:val="en-US" w:eastAsia="zh-CN"/>
        </w:rPr>
        <w:t>Catassi</w:t>
      </w:r>
      <w:proofErr w:type="spellEnd"/>
      <w:r w:rsidRPr="00E2037D">
        <w:rPr>
          <w:rFonts w:ascii="Book Antiqua" w:eastAsia="宋体" w:hAnsi="Book Antiqua" w:cs="宋体"/>
          <w:b/>
          <w:bCs/>
          <w:lang w:val="en-US" w:eastAsia="zh-CN"/>
        </w:rPr>
        <w:t xml:space="preserve"> C</w:t>
      </w:r>
      <w:r w:rsidRPr="00E2037D">
        <w:rPr>
          <w:rFonts w:ascii="Book Antiqua" w:eastAsia="宋体" w:hAnsi="Book Antiqua" w:cs="宋体"/>
          <w:lang w:val="en-US" w:eastAsia="zh-CN"/>
        </w:rPr>
        <w:t xml:space="preserve">, Fasano A. Celiac disease diagnosis: simple rules are better than complicated algorithms. </w:t>
      </w:r>
      <w:r w:rsidRPr="00E2037D">
        <w:rPr>
          <w:rFonts w:ascii="Book Antiqua" w:eastAsia="宋体" w:hAnsi="Book Antiqua" w:cs="宋体"/>
          <w:i/>
          <w:iCs/>
          <w:lang w:val="en-US" w:eastAsia="zh-CN"/>
        </w:rPr>
        <w:t>Am J Med</w:t>
      </w:r>
      <w:r w:rsidRPr="00E2037D">
        <w:rPr>
          <w:rFonts w:ascii="Book Antiqua" w:eastAsia="宋体" w:hAnsi="Book Antiqua" w:cs="宋体"/>
          <w:lang w:val="en-US" w:eastAsia="zh-CN"/>
        </w:rPr>
        <w:t xml:space="preserve"> 2010; </w:t>
      </w:r>
      <w:r w:rsidRPr="00E2037D">
        <w:rPr>
          <w:rFonts w:ascii="Book Antiqua" w:eastAsia="宋体" w:hAnsi="Book Antiqua" w:cs="宋体"/>
          <w:b/>
          <w:bCs/>
          <w:lang w:val="en-US" w:eastAsia="zh-CN"/>
        </w:rPr>
        <w:t>123</w:t>
      </w:r>
      <w:r w:rsidRPr="00E2037D">
        <w:rPr>
          <w:rFonts w:ascii="Book Antiqua" w:eastAsia="宋体" w:hAnsi="Book Antiqua" w:cs="宋体"/>
          <w:lang w:val="en-US" w:eastAsia="zh-CN"/>
        </w:rPr>
        <w:t>: 691-693 [PMID: 20670718 DOI: 10.1016/j.amjmed.2010.02.019]</w:t>
      </w:r>
    </w:p>
    <w:p w14:paraId="270F974D"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23 </w:t>
      </w:r>
      <w:proofErr w:type="spellStart"/>
      <w:r w:rsidRPr="00E2037D">
        <w:rPr>
          <w:rFonts w:ascii="Book Antiqua" w:eastAsia="宋体" w:hAnsi="Book Antiqua" w:cs="宋体"/>
          <w:b/>
          <w:bCs/>
          <w:lang w:val="en-US" w:eastAsia="zh-CN"/>
        </w:rPr>
        <w:t>Esteve</w:t>
      </w:r>
      <w:proofErr w:type="spellEnd"/>
      <w:r w:rsidRPr="00E2037D">
        <w:rPr>
          <w:rFonts w:ascii="Book Antiqua" w:eastAsia="宋体" w:hAnsi="Book Antiqua" w:cs="宋体"/>
          <w:b/>
          <w:bCs/>
          <w:lang w:val="en-US" w:eastAsia="zh-CN"/>
        </w:rPr>
        <w:t xml:space="preserve"> M</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Rosinach</w:t>
      </w:r>
      <w:proofErr w:type="spellEnd"/>
      <w:r w:rsidRPr="00E2037D">
        <w:rPr>
          <w:rFonts w:ascii="Book Antiqua" w:eastAsia="宋体" w:hAnsi="Book Antiqua" w:cs="宋体"/>
          <w:lang w:val="en-US" w:eastAsia="zh-CN"/>
        </w:rPr>
        <w:t xml:space="preserve"> M, </w:t>
      </w:r>
      <w:proofErr w:type="spellStart"/>
      <w:r w:rsidRPr="00E2037D">
        <w:rPr>
          <w:rFonts w:ascii="Book Antiqua" w:eastAsia="宋体" w:hAnsi="Book Antiqua" w:cs="宋体"/>
          <w:lang w:val="en-US" w:eastAsia="zh-CN"/>
        </w:rPr>
        <w:t>Fernández-Bañares</w:t>
      </w:r>
      <w:proofErr w:type="spellEnd"/>
      <w:r w:rsidRPr="00E2037D">
        <w:rPr>
          <w:rFonts w:ascii="Book Antiqua" w:eastAsia="宋体" w:hAnsi="Book Antiqua" w:cs="宋体"/>
          <w:lang w:val="en-US" w:eastAsia="zh-CN"/>
        </w:rPr>
        <w:t xml:space="preserve"> F, </w:t>
      </w:r>
      <w:proofErr w:type="spellStart"/>
      <w:r w:rsidRPr="00E2037D">
        <w:rPr>
          <w:rFonts w:ascii="Book Antiqua" w:eastAsia="宋体" w:hAnsi="Book Antiqua" w:cs="宋体"/>
          <w:lang w:val="en-US" w:eastAsia="zh-CN"/>
        </w:rPr>
        <w:t>Farré</w:t>
      </w:r>
      <w:proofErr w:type="spellEnd"/>
      <w:r w:rsidRPr="00E2037D">
        <w:rPr>
          <w:rFonts w:ascii="Book Antiqua" w:eastAsia="宋体" w:hAnsi="Book Antiqua" w:cs="宋体"/>
          <w:lang w:val="en-US" w:eastAsia="zh-CN"/>
        </w:rPr>
        <w:t xml:space="preserve"> C, Salas A, </w:t>
      </w:r>
      <w:proofErr w:type="spellStart"/>
      <w:r w:rsidRPr="00E2037D">
        <w:rPr>
          <w:rFonts w:ascii="Book Antiqua" w:eastAsia="宋体" w:hAnsi="Book Antiqua" w:cs="宋体"/>
          <w:lang w:val="en-US" w:eastAsia="zh-CN"/>
        </w:rPr>
        <w:t>Alsina</w:t>
      </w:r>
      <w:proofErr w:type="spellEnd"/>
      <w:r w:rsidRPr="00E2037D">
        <w:rPr>
          <w:rFonts w:ascii="Book Antiqua" w:eastAsia="宋体" w:hAnsi="Book Antiqua" w:cs="宋体"/>
          <w:lang w:val="en-US" w:eastAsia="zh-CN"/>
        </w:rPr>
        <w:t xml:space="preserve"> M, </w:t>
      </w:r>
      <w:proofErr w:type="spellStart"/>
      <w:r w:rsidRPr="00E2037D">
        <w:rPr>
          <w:rFonts w:ascii="Book Antiqua" w:eastAsia="宋体" w:hAnsi="Book Antiqua" w:cs="宋体"/>
          <w:lang w:val="en-US" w:eastAsia="zh-CN"/>
        </w:rPr>
        <w:t>Vilar</w:t>
      </w:r>
      <w:proofErr w:type="spellEnd"/>
      <w:r w:rsidRPr="00E2037D">
        <w:rPr>
          <w:rFonts w:ascii="Book Antiqua" w:eastAsia="宋体" w:hAnsi="Book Antiqua" w:cs="宋体"/>
          <w:lang w:val="en-US" w:eastAsia="zh-CN"/>
        </w:rPr>
        <w:t xml:space="preserve"> P, Abad-</w:t>
      </w:r>
      <w:proofErr w:type="spellStart"/>
      <w:r w:rsidRPr="00E2037D">
        <w:rPr>
          <w:rFonts w:ascii="Book Antiqua" w:eastAsia="宋体" w:hAnsi="Book Antiqua" w:cs="宋体"/>
          <w:lang w:val="en-US" w:eastAsia="zh-CN"/>
        </w:rPr>
        <w:t>Lacruz</w:t>
      </w:r>
      <w:proofErr w:type="spellEnd"/>
      <w:r w:rsidRPr="00E2037D">
        <w:rPr>
          <w:rFonts w:ascii="Book Antiqua" w:eastAsia="宋体" w:hAnsi="Book Antiqua" w:cs="宋体"/>
          <w:lang w:val="en-US" w:eastAsia="zh-CN"/>
        </w:rPr>
        <w:t xml:space="preserve"> A, </w:t>
      </w:r>
      <w:proofErr w:type="spellStart"/>
      <w:r w:rsidRPr="00E2037D">
        <w:rPr>
          <w:rFonts w:ascii="Book Antiqua" w:eastAsia="宋体" w:hAnsi="Book Antiqua" w:cs="宋体"/>
          <w:lang w:val="en-US" w:eastAsia="zh-CN"/>
        </w:rPr>
        <w:t>Forné</w:t>
      </w:r>
      <w:proofErr w:type="spellEnd"/>
      <w:r w:rsidRPr="00E2037D">
        <w:rPr>
          <w:rFonts w:ascii="Book Antiqua" w:eastAsia="宋体" w:hAnsi="Book Antiqua" w:cs="宋体"/>
          <w:lang w:val="en-US" w:eastAsia="zh-CN"/>
        </w:rPr>
        <w:t xml:space="preserve"> M, </w:t>
      </w:r>
      <w:proofErr w:type="spellStart"/>
      <w:r w:rsidRPr="00E2037D">
        <w:rPr>
          <w:rFonts w:ascii="Book Antiqua" w:eastAsia="宋体" w:hAnsi="Book Antiqua" w:cs="宋体"/>
          <w:lang w:val="en-US" w:eastAsia="zh-CN"/>
        </w:rPr>
        <w:t>Mariné</w:t>
      </w:r>
      <w:proofErr w:type="spellEnd"/>
      <w:r w:rsidRPr="00E2037D">
        <w:rPr>
          <w:rFonts w:ascii="Book Antiqua" w:eastAsia="宋体" w:hAnsi="Book Antiqua" w:cs="宋体"/>
          <w:lang w:val="en-US" w:eastAsia="zh-CN"/>
        </w:rPr>
        <w:t xml:space="preserve"> M, </w:t>
      </w:r>
      <w:proofErr w:type="spellStart"/>
      <w:r w:rsidRPr="00E2037D">
        <w:rPr>
          <w:rFonts w:ascii="Book Antiqua" w:eastAsia="宋体" w:hAnsi="Book Antiqua" w:cs="宋体"/>
          <w:lang w:val="en-US" w:eastAsia="zh-CN"/>
        </w:rPr>
        <w:t>Santaolalla</w:t>
      </w:r>
      <w:proofErr w:type="spellEnd"/>
      <w:r w:rsidRPr="00E2037D">
        <w:rPr>
          <w:rFonts w:ascii="Book Antiqua" w:eastAsia="宋体" w:hAnsi="Book Antiqua" w:cs="宋体"/>
          <w:lang w:val="en-US" w:eastAsia="zh-CN"/>
        </w:rPr>
        <w:t xml:space="preserve"> R, </w:t>
      </w:r>
      <w:proofErr w:type="spellStart"/>
      <w:r w:rsidRPr="00E2037D">
        <w:rPr>
          <w:rFonts w:ascii="Book Antiqua" w:eastAsia="宋体" w:hAnsi="Book Antiqua" w:cs="宋体"/>
          <w:lang w:val="en-US" w:eastAsia="zh-CN"/>
        </w:rPr>
        <w:t>Espinós</w:t>
      </w:r>
      <w:proofErr w:type="spellEnd"/>
      <w:r w:rsidRPr="00E2037D">
        <w:rPr>
          <w:rFonts w:ascii="Book Antiqua" w:eastAsia="宋体" w:hAnsi="Book Antiqua" w:cs="宋体"/>
          <w:lang w:val="en-US" w:eastAsia="zh-CN"/>
        </w:rPr>
        <w:t xml:space="preserve"> JC, </w:t>
      </w:r>
      <w:proofErr w:type="spellStart"/>
      <w:r w:rsidRPr="00E2037D">
        <w:rPr>
          <w:rFonts w:ascii="Book Antiqua" w:eastAsia="宋体" w:hAnsi="Book Antiqua" w:cs="宋体"/>
          <w:lang w:val="en-US" w:eastAsia="zh-CN"/>
        </w:rPr>
        <w:t>Viver</w:t>
      </w:r>
      <w:proofErr w:type="spellEnd"/>
      <w:r w:rsidRPr="00E2037D">
        <w:rPr>
          <w:rFonts w:ascii="Book Antiqua" w:eastAsia="宋体" w:hAnsi="Book Antiqua" w:cs="宋体"/>
          <w:lang w:val="en-US" w:eastAsia="zh-CN"/>
        </w:rPr>
        <w:t xml:space="preserve"> JM. Spectrum of gluten-sensitive enteropathy in first-degree relatives of patients with coeliac disease: clinical relevance of lymphocytic enteritis. </w:t>
      </w:r>
      <w:r w:rsidRPr="00E2037D">
        <w:rPr>
          <w:rFonts w:ascii="Book Antiqua" w:eastAsia="宋体" w:hAnsi="Book Antiqua" w:cs="宋体"/>
          <w:i/>
          <w:iCs/>
          <w:lang w:val="en-US" w:eastAsia="zh-CN"/>
        </w:rPr>
        <w:t>Gut</w:t>
      </w:r>
      <w:r w:rsidRPr="00E2037D">
        <w:rPr>
          <w:rFonts w:ascii="Book Antiqua" w:eastAsia="宋体" w:hAnsi="Book Antiqua" w:cs="宋体"/>
          <w:lang w:val="en-US" w:eastAsia="zh-CN"/>
        </w:rPr>
        <w:t xml:space="preserve"> 2006; </w:t>
      </w:r>
      <w:r w:rsidRPr="00E2037D">
        <w:rPr>
          <w:rFonts w:ascii="Book Antiqua" w:eastAsia="宋体" w:hAnsi="Book Antiqua" w:cs="宋体"/>
          <w:b/>
          <w:bCs/>
          <w:lang w:val="en-US" w:eastAsia="zh-CN"/>
        </w:rPr>
        <w:t>55</w:t>
      </w:r>
      <w:r w:rsidRPr="00E2037D">
        <w:rPr>
          <w:rFonts w:ascii="Book Antiqua" w:eastAsia="宋体" w:hAnsi="Book Antiqua" w:cs="宋体"/>
          <w:lang w:val="en-US" w:eastAsia="zh-CN"/>
        </w:rPr>
        <w:t>: 1739-1745 [PMID: 16709658 DOI: 10.1136/gut.2006.095299]</w:t>
      </w:r>
    </w:p>
    <w:p w14:paraId="1C2C2BC8"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24 </w:t>
      </w:r>
      <w:proofErr w:type="spellStart"/>
      <w:r w:rsidRPr="00E2037D">
        <w:rPr>
          <w:rFonts w:ascii="Book Antiqua" w:eastAsia="宋体" w:hAnsi="Book Antiqua" w:cs="宋体"/>
          <w:b/>
          <w:bCs/>
          <w:lang w:val="en-US" w:eastAsia="zh-CN"/>
        </w:rPr>
        <w:t>Salmi</w:t>
      </w:r>
      <w:proofErr w:type="spellEnd"/>
      <w:r w:rsidRPr="00E2037D">
        <w:rPr>
          <w:rFonts w:ascii="Book Antiqua" w:eastAsia="宋体" w:hAnsi="Book Antiqua" w:cs="宋体"/>
          <w:b/>
          <w:bCs/>
          <w:lang w:val="en-US" w:eastAsia="zh-CN"/>
        </w:rPr>
        <w:t xml:space="preserve"> TT</w:t>
      </w:r>
      <w:r w:rsidRPr="00E2037D">
        <w:rPr>
          <w:rFonts w:ascii="Book Antiqua" w:eastAsia="宋体" w:hAnsi="Book Antiqua" w:cs="宋体"/>
          <w:lang w:val="en-US" w:eastAsia="zh-CN"/>
        </w:rPr>
        <w:t xml:space="preserve">, Collin P, </w:t>
      </w:r>
      <w:proofErr w:type="spellStart"/>
      <w:r w:rsidRPr="00E2037D">
        <w:rPr>
          <w:rFonts w:ascii="Book Antiqua" w:eastAsia="宋体" w:hAnsi="Book Antiqua" w:cs="宋体"/>
          <w:lang w:val="en-US" w:eastAsia="zh-CN"/>
        </w:rPr>
        <w:t>Reunala</w:t>
      </w:r>
      <w:proofErr w:type="spellEnd"/>
      <w:r w:rsidRPr="00E2037D">
        <w:rPr>
          <w:rFonts w:ascii="Book Antiqua" w:eastAsia="宋体" w:hAnsi="Book Antiqua" w:cs="宋体"/>
          <w:lang w:val="en-US" w:eastAsia="zh-CN"/>
        </w:rPr>
        <w:t xml:space="preserve"> T, </w:t>
      </w:r>
      <w:proofErr w:type="spellStart"/>
      <w:r w:rsidRPr="00E2037D">
        <w:rPr>
          <w:rFonts w:ascii="Book Antiqua" w:eastAsia="宋体" w:hAnsi="Book Antiqua" w:cs="宋体"/>
          <w:lang w:val="en-US" w:eastAsia="zh-CN"/>
        </w:rPr>
        <w:t>Mäki</w:t>
      </w:r>
      <w:proofErr w:type="spellEnd"/>
      <w:r w:rsidRPr="00E2037D">
        <w:rPr>
          <w:rFonts w:ascii="Book Antiqua" w:eastAsia="宋体" w:hAnsi="Book Antiqua" w:cs="宋体"/>
          <w:lang w:val="en-US" w:eastAsia="zh-CN"/>
        </w:rPr>
        <w:t xml:space="preserve"> M, </w:t>
      </w:r>
      <w:proofErr w:type="spellStart"/>
      <w:r w:rsidRPr="00E2037D">
        <w:rPr>
          <w:rFonts w:ascii="Book Antiqua" w:eastAsia="宋体" w:hAnsi="Book Antiqua" w:cs="宋体"/>
          <w:lang w:val="en-US" w:eastAsia="zh-CN"/>
        </w:rPr>
        <w:t>Kaukinen</w:t>
      </w:r>
      <w:proofErr w:type="spellEnd"/>
      <w:r w:rsidRPr="00E2037D">
        <w:rPr>
          <w:rFonts w:ascii="Book Antiqua" w:eastAsia="宋体" w:hAnsi="Book Antiqua" w:cs="宋体"/>
          <w:lang w:val="en-US" w:eastAsia="zh-CN"/>
        </w:rPr>
        <w:t xml:space="preserve"> K. Diagnostic methods beyond conventional histology in coeliac disease diagnosis. </w:t>
      </w:r>
      <w:r w:rsidRPr="00E2037D">
        <w:rPr>
          <w:rFonts w:ascii="Book Antiqua" w:eastAsia="宋体" w:hAnsi="Book Antiqua" w:cs="宋体"/>
          <w:i/>
          <w:iCs/>
          <w:lang w:val="en-US" w:eastAsia="zh-CN"/>
        </w:rPr>
        <w:t>Dig Liver Dis</w:t>
      </w:r>
      <w:r w:rsidRPr="00E2037D">
        <w:rPr>
          <w:rFonts w:ascii="Book Antiqua" w:eastAsia="宋体" w:hAnsi="Book Antiqua" w:cs="宋体"/>
          <w:lang w:val="en-US" w:eastAsia="zh-CN"/>
        </w:rPr>
        <w:t xml:space="preserve"> 2010; </w:t>
      </w:r>
      <w:r w:rsidRPr="00E2037D">
        <w:rPr>
          <w:rFonts w:ascii="Book Antiqua" w:eastAsia="宋体" w:hAnsi="Book Antiqua" w:cs="宋体"/>
          <w:b/>
          <w:bCs/>
          <w:lang w:val="en-US" w:eastAsia="zh-CN"/>
        </w:rPr>
        <w:t>42</w:t>
      </w:r>
      <w:r w:rsidRPr="00E2037D">
        <w:rPr>
          <w:rFonts w:ascii="Book Antiqua" w:eastAsia="宋体" w:hAnsi="Book Antiqua" w:cs="宋体"/>
          <w:lang w:val="en-US" w:eastAsia="zh-CN"/>
        </w:rPr>
        <w:t>: 28-32 [PMID: 19473894 DOI: 10.1016/j.dld.2009.04.004]</w:t>
      </w:r>
    </w:p>
    <w:p w14:paraId="65986415" w14:textId="35F684F3" w:rsidR="00E2037D" w:rsidRPr="00E2037D" w:rsidRDefault="000342F5" w:rsidP="00E2037D">
      <w:pPr>
        <w:spacing w:after="0"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25</w:t>
      </w:r>
      <w:r w:rsidRPr="000342F5">
        <w:rPr>
          <w:rFonts w:ascii="Book Antiqua" w:eastAsia="宋体" w:hAnsi="Book Antiqua" w:cs="宋体"/>
          <w:b/>
          <w:lang w:val="en-US" w:eastAsia="zh-CN"/>
        </w:rPr>
        <w:t xml:space="preserve"> </w:t>
      </w:r>
      <w:proofErr w:type="spellStart"/>
      <w:r w:rsidRPr="000342F5">
        <w:rPr>
          <w:rFonts w:ascii="Book Antiqua" w:eastAsia="宋体" w:hAnsi="Book Antiqua" w:cs="宋体"/>
          <w:b/>
          <w:lang w:val="en-US" w:eastAsia="zh-CN"/>
        </w:rPr>
        <w:t>Laparra</w:t>
      </w:r>
      <w:proofErr w:type="spellEnd"/>
      <w:r w:rsidRPr="000342F5">
        <w:rPr>
          <w:rFonts w:ascii="Book Antiqua" w:eastAsia="宋体" w:hAnsi="Book Antiqua" w:cs="宋体"/>
          <w:b/>
          <w:lang w:val="en-US" w:eastAsia="zh-CN"/>
        </w:rPr>
        <w:t xml:space="preserve"> M</w:t>
      </w:r>
      <w:r w:rsidR="00E2037D" w:rsidRPr="00E2037D">
        <w:rPr>
          <w:rFonts w:ascii="Book Antiqua" w:eastAsia="宋体" w:hAnsi="Book Antiqua" w:cs="宋体"/>
          <w:b/>
          <w:lang w:val="en-US" w:eastAsia="zh-CN"/>
        </w:rPr>
        <w:t>OM</w:t>
      </w:r>
      <w:r w:rsidR="00E2037D" w:rsidRPr="00E2037D">
        <w:rPr>
          <w:rFonts w:ascii="Book Antiqua" w:eastAsia="宋体" w:hAnsi="Book Antiqua" w:cs="宋体"/>
          <w:lang w:val="en-US" w:eastAsia="zh-CN"/>
        </w:rPr>
        <w:t xml:space="preserve">, </w:t>
      </w:r>
      <w:proofErr w:type="spellStart"/>
      <w:r w:rsidR="00E2037D" w:rsidRPr="00E2037D">
        <w:rPr>
          <w:rFonts w:ascii="Book Antiqua" w:eastAsia="宋体" w:hAnsi="Book Antiqua" w:cs="宋体"/>
          <w:lang w:val="en-US" w:eastAsia="zh-CN"/>
        </w:rPr>
        <w:t>Sanz</w:t>
      </w:r>
      <w:proofErr w:type="spellEnd"/>
      <w:r w:rsidR="00E2037D" w:rsidRPr="00E2037D">
        <w:rPr>
          <w:rFonts w:ascii="Book Antiqua" w:eastAsia="宋体" w:hAnsi="Book Antiqua" w:cs="宋体"/>
          <w:lang w:val="en-US" w:eastAsia="zh-CN"/>
        </w:rPr>
        <w:t xml:space="preserve"> Y. Microbiota intestinal y </w:t>
      </w:r>
      <w:proofErr w:type="spellStart"/>
      <w:r w:rsidR="00E2037D" w:rsidRPr="00E2037D">
        <w:rPr>
          <w:rFonts w:ascii="Book Antiqua" w:eastAsia="宋体" w:hAnsi="Book Antiqua" w:cs="宋体"/>
          <w:lang w:val="en-US" w:eastAsia="zh-CN"/>
        </w:rPr>
        <w:t>enfermedad</w:t>
      </w:r>
      <w:proofErr w:type="spellEnd"/>
      <w:r w:rsidR="00E2037D" w:rsidRPr="00E2037D">
        <w:rPr>
          <w:rFonts w:ascii="Book Antiqua" w:eastAsia="宋体" w:hAnsi="Book Antiqua" w:cs="宋体"/>
          <w:lang w:val="en-US" w:eastAsia="zh-CN"/>
        </w:rPr>
        <w:t xml:space="preserve"> </w:t>
      </w:r>
      <w:proofErr w:type="spellStart"/>
      <w:r w:rsidR="00E2037D" w:rsidRPr="00E2037D">
        <w:rPr>
          <w:rFonts w:ascii="Book Antiqua" w:eastAsia="宋体" w:hAnsi="Book Antiqua" w:cs="宋体"/>
          <w:lang w:val="en-US" w:eastAsia="zh-CN"/>
        </w:rPr>
        <w:t>celiaca</w:t>
      </w:r>
      <w:proofErr w:type="spellEnd"/>
      <w:r w:rsidR="00E2037D" w:rsidRPr="00E2037D">
        <w:rPr>
          <w:rFonts w:ascii="Book Antiqua" w:eastAsia="宋体" w:hAnsi="Book Antiqua" w:cs="宋体"/>
          <w:lang w:val="en-US" w:eastAsia="zh-CN"/>
        </w:rPr>
        <w:t>.</w:t>
      </w:r>
      <w:proofErr w:type="gramEnd"/>
      <w:r w:rsidR="00E2037D" w:rsidRPr="00E2037D">
        <w:rPr>
          <w:rFonts w:ascii="Book Antiqua" w:eastAsia="宋体" w:hAnsi="Book Antiqua" w:cs="宋体"/>
          <w:lang w:val="en-US" w:eastAsia="zh-CN"/>
        </w:rPr>
        <w:t xml:space="preserve"> In: AS </w:t>
      </w:r>
      <w:proofErr w:type="spellStart"/>
      <w:r w:rsidR="00E2037D" w:rsidRPr="00E2037D">
        <w:rPr>
          <w:rFonts w:ascii="Book Antiqua" w:eastAsia="宋体" w:hAnsi="Book Antiqua" w:cs="宋体"/>
          <w:lang w:val="en-US" w:eastAsia="zh-CN"/>
        </w:rPr>
        <w:t>RLyP</w:t>
      </w:r>
      <w:proofErr w:type="spellEnd"/>
      <w:r w:rsidR="00E2037D" w:rsidRPr="00E2037D">
        <w:rPr>
          <w:rFonts w:ascii="Book Antiqua" w:eastAsia="宋体" w:hAnsi="Book Antiqua" w:cs="宋体"/>
          <w:lang w:val="en-US" w:eastAsia="zh-CN"/>
        </w:rPr>
        <w:t xml:space="preserve">, editor. </w:t>
      </w:r>
      <w:proofErr w:type="spellStart"/>
      <w:proofErr w:type="gramStart"/>
      <w:r w:rsidR="00E2037D" w:rsidRPr="00E2037D">
        <w:rPr>
          <w:rFonts w:ascii="Book Antiqua" w:eastAsia="宋体" w:hAnsi="Book Antiqua" w:cs="宋体"/>
          <w:lang w:val="en-US" w:eastAsia="zh-CN"/>
        </w:rPr>
        <w:t>Enfermedad</w:t>
      </w:r>
      <w:proofErr w:type="spellEnd"/>
      <w:r w:rsidR="00E2037D" w:rsidRPr="00E2037D">
        <w:rPr>
          <w:rFonts w:ascii="Book Antiqua" w:eastAsia="宋体" w:hAnsi="Book Antiqua" w:cs="宋体"/>
          <w:lang w:val="en-US" w:eastAsia="zh-CN"/>
        </w:rPr>
        <w:t xml:space="preserve"> </w:t>
      </w:r>
      <w:proofErr w:type="spellStart"/>
      <w:r w:rsidR="00E2037D" w:rsidRPr="00E2037D">
        <w:rPr>
          <w:rFonts w:ascii="Book Antiqua" w:eastAsia="宋体" w:hAnsi="Book Antiqua" w:cs="宋体"/>
          <w:lang w:val="en-US" w:eastAsia="zh-CN"/>
        </w:rPr>
        <w:t>celiaca</w:t>
      </w:r>
      <w:proofErr w:type="spellEnd"/>
      <w:r w:rsidR="00E2037D" w:rsidRPr="00E2037D">
        <w:rPr>
          <w:rFonts w:ascii="Book Antiqua" w:eastAsia="宋体" w:hAnsi="Book Antiqua" w:cs="宋体"/>
          <w:lang w:val="en-US" w:eastAsia="zh-CN"/>
        </w:rPr>
        <w:t xml:space="preserve"> y </w:t>
      </w:r>
      <w:proofErr w:type="spellStart"/>
      <w:r w:rsidR="00E2037D" w:rsidRPr="00E2037D">
        <w:rPr>
          <w:rFonts w:ascii="Book Antiqua" w:eastAsia="宋体" w:hAnsi="Book Antiqua" w:cs="宋体"/>
          <w:lang w:val="en-US" w:eastAsia="zh-CN"/>
        </w:rPr>
        <w:t>sensibilidad</w:t>
      </w:r>
      <w:proofErr w:type="spellEnd"/>
      <w:r w:rsidR="00E2037D" w:rsidRPr="00E2037D">
        <w:rPr>
          <w:rFonts w:ascii="Book Antiqua" w:eastAsia="宋体" w:hAnsi="Book Antiqua" w:cs="宋体"/>
          <w:lang w:val="en-US" w:eastAsia="zh-CN"/>
        </w:rPr>
        <w:t xml:space="preserve"> al gluten no </w:t>
      </w:r>
      <w:proofErr w:type="spellStart"/>
      <w:r w:rsidR="00E2037D" w:rsidRPr="00E2037D">
        <w:rPr>
          <w:rFonts w:ascii="Book Antiqua" w:eastAsia="宋体" w:hAnsi="Book Antiqua" w:cs="宋体"/>
          <w:lang w:val="en-US" w:eastAsia="zh-CN"/>
        </w:rPr>
        <w:t>celiaca</w:t>
      </w:r>
      <w:proofErr w:type="spellEnd"/>
      <w:r w:rsidR="00E2037D" w:rsidRPr="00E2037D">
        <w:rPr>
          <w:rFonts w:ascii="Book Antiqua" w:eastAsia="宋体" w:hAnsi="Book Antiqua" w:cs="宋体"/>
          <w:lang w:val="en-US" w:eastAsia="zh-CN"/>
        </w:rPr>
        <w:t>.</w:t>
      </w:r>
      <w:proofErr w:type="gramEnd"/>
      <w:r w:rsidR="00E2037D" w:rsidRPr="00E2037D">
        <w:rPr>
          <w:rFonts w:ascii="Book Antiqua" w:eastAsia="宋体" w:hAnsi="Book Antiqua" w:cs="宋体"/>
          <w:lang w:val="en-US" w:eastAsia="zh-CN"/>
        </w:rPr>
        <w:t xml:space="preserve"> 213. Barcelona, </w:t>
      </w:r>
      <w:proofErr w:type="spellStart"/>
      <w:r w:rsidR="00E2037D" w:rsidRPr="00E2037D">
        <w:rPr>
          <w:rFonts w:ascii="Book Antiqua" w:eastAsia="宋体" w:hAnsi="Book Antiqua" w:cs="宋体"/>
          <w:lang w:val="en-US" w:eastAsia="zh-CN"/>
        </w:rPr>
        <w:t>Espa</w:t>
      </w:r>
      <w:proofErr w:type="spellEnd"/>
      <w:r w:rsidRPr="00EA5799">
        <w:rPr>
          <w:rFonts w:ascii="Book Antiqua" w:eastAsia="GungsuhChe" w:hAnsi="Book Antiqua" w:cs="Arial"/>
          <w:noProof/>
          <w:lang w:val="es-ES"/>
        </w:rPr>
        <w:t>ñ</w:t>
      </w:r>
      <w:r w:rsidR="00E2037D" w:rsidRPr="00E2037D">
        <w:rPr>
          <w:rFonts w:ascii="Book Antiqua" w:eastAsia="宋体" w:hAnsi="Book Antiqua" w:cs="宋体"/>
          <w:lang w:val="en-US" w:eastAsia="zh-CN"/>
        </w:rPr>
        <w:t>a: Omnia Science</w:t>
      </w:r>
      <w:r>
        <w:rPr>
          <w:rFonts w:ascii="Book Antiqua" w:eastAsia="宋体" w:hAnsi="Book Antiqua" w:cs="宋体" w:hint="eastAsia"/>
          <w:lang w:val="en-US" w:eastAsia="zh-CN"/>
        </w:rPr>
        <w:t>,</w:t>
      </w:r>
      <w:r w:rsidR="00E2037D" w:rsidRPr="00E2037D">
        <w:rPr>
          <w:rFonts w:ascii="Book Antiqua" w:eastAsia="宋体" w:hAnsi="Book Antiqua" w:cs="宋体"/>
          <w:lang w:val="en-US" w:eastAsia="zh-CN"/>
        </w:rPr>
        <w:t xml:space="preserve"> 2013</w:t>
      </w:r>
      <w:r>
        <w:rPr>
          <w:rFonts w:ascii="Book Antiqua" w:eastAsia="宋体" w:hAnsi="Book Antiqua" w:cs="宋体" w:hint="eastAsia"/>
          <w:lang w:val="en-US" w:eastAsia="zh-CN"/>
        </w:rPr>
        <w:t>:</w:t>
      </w:r>
      <w:r>
        <w:rPr>
          <w:rFonts w:ascii="Book Antiqua" w:eastAsia="宋体" w:hAnsi="Book Antiqua" w:cs="宋体"/>
          <w:lang w:val="en-US" w:eastAsia="zh-CN"/>
        </w:rPr>
        <w:t xml:space="preserve"> 479-</w:t>
      </w:r>
      <w:r>
        <w:rPr>
          <w:rFonts w:ascii="Book Antiqua" w:eastAsia="宋体" w:hAnsi="Book Antiqua" w:cs="宋体" w:hint="eastAsia"/>
          <w:lang w:val="en-US" w:eastAsia="zh-CN"/>
        </w:rPr>
        <w:t>4</w:t>
      </w:r>
      <w:r>
        <w:rPr>
          <w:rFonts w:ascii="Book Antiqua" w:eastAsia="宋体" w:hAnsi="Book Antiqua" w:cs="宋体"/>
          <w:lang w:val="en-US" w:eastAsia="zh-CN"/>
        </w:rPr>
        <w:t>96</w:t>
      </w:r>
      <w:r w:rsidR="00E2037D" w:rsidRPr="00E2037D">
        <w:rPr>
          <w:rFonts w:ascii="Book Antiqua" w:eastAsia="宋体" w:hAnsi="Book Antiqua" w:cs="宋体"/>
          <w:lang w:val="en-US" w:eastAsia="zh-CN"/>
        </w:rPr>
        <w:t xml:space="preserve"> </w:t>
      </w:r>
      <w:r>
        <w:rPr>
          <w:rFonts w:ascii="Book Antiqua" w:eastAsia="宋体" w:hAnsi="Book Antiqua" w:cs="宋体" w:hint="eastAsia"/>
          <w:lang w:val="en-US" w:eastAsia="zh-CN"/>
        </w:rPr>
        <w:t>[</w:t>
      </w:r>
      <w:r w:rsidR="00E2037D" w:rsidRPr="00E2037D">
        <w:rPr>
          <w:rFonts w:ascii="Book Antiqua" w:eastAsia="宋体" w:hAnsi="Book Antiqua" w:cs="宋体"/>
          <w:lang w:val="en-US" w:eastAsia="zh-CN"/>
        </w:rPr>
        <w:t>DOI: 10.3926/oms.33</w:t>
      </w:r>
      <w:r>
        <w:rPr>
          <w:rFonts w:ascii="Book Antiqua" w:eastAsia="宋体" w:hAnsi="Book Antiqua" w:cs="宋体" w:hint="eastAsia"/>
          <w:lang w:val="en-US" w:eastAsia="zh-CN"/>
        </w:rPr>
        <w:t>]</w:t>
      </w:r>
    </w:p>
    <w:p w14:paraId="22445DF6"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lastRenderedPageBreak/>
        <w:t xml:space="preserve">26 </w:t>
      </w:r>
      <w:proofErr w:type="spellStart"/>
      <w:r w:rsidRPr="00E2037D">
        <w:rPr>
          <w:rFonts w:ascii="Book Antiqua" w:eastAsia="宋体" w:hAnsi="Book Antiqua" w:cs="宋体"/>
          <w:b/>
          <w:bCs/>
          <w:lang w:val="en-US" w:eastAsia="zh-CN"/>
        </w:rPr>
        <w:t>Collado</w:t>
      </w:r>
      <w:proofErr w:type="spellEnd"/>
      <w:r w:rsidRPr="00E2037D">
        <w:rPr>
          <w:rFonts w:ascii="Book Antiqua" w:eastAsia="宋体" w:hAnsi="Book Antiqua" w:cs="宋体"/>
          <w:b/>
          <w:bCs/>
          <w:lang w:val="en-US" w:eastAsia="zh-CN"/>
        </w:rPr>
        <w:t xml:space="preserve"> MC</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Donat</w:t>
      </w:r>
      <w:proofErr w:type="spellEnd"/>
      <w:r w:rsidRPr="00E2037D">
        <w:rPr>
          <w:rFonts w:ascii="Book Antiqua" w:eastAsia="宋体" w:hAnsi="Book Antiqua" w:cs="宋体"/>
          <w:lang w:val="en-US" w:eastAsia="zh-CN"/>
        </w:rPr>
        <w:t xml:space="preserve"> E, </w:t>
      </w:r>
      <w:proofErr w:type="spellStart"/>
      <w:r w:rsidRPr="00E2037D">
        <w:rPr>
          <w:rFonts w:ascii="Book Antiqua" w:eastAsia="宋体" w:hAnsi="Book Antiqua" w:cs="宋体"/>
          <w:lang w:val="en-US" w:eastAsia="zh-CN"/>
        </w:rPr>
        <w:t>Ribes-Koninckx</w:t>
      </w:r>
      <w:proofErr w:type="spellEnd"/>
      <w:r w:rsidRPr="00E2037D">
        <w:rPr>
          <w:rFonts w:ascii="Book Antiqua" w:eastAsia="宋体" w:hAnsi="Book Antiqua" w:cs="宋体"/>
          <w:lang w:val="en-US" w:eastAsia="zh-CN"/>
        </w:rPr>
        <w:t xml:space="preserve"> C, </w:t>
      </w:r>
      <w:proofErr w:type="spellStart"/>
      <w:r w:rsidRPr="00E2037D">
        <w:rPr>
          <w:rFonts w:ascii="Book Antiqua" w:eastAsia="宋体" w:hAnsi="Book Antiqua" w:cs="宋体"/>
          <w:lang w:val="en-US" w:eastAsia="zh-CN"/>
        </w:rPr>
        <w:t>Calabuig</w:t>
      </w:r>
      <w:proofErr w:type="spellEnd"/>
      <w:r w:rsidRPr="00E2037D">
        <w:rPr>
          <w:rFonts w:ascii="Book Antiqua" w:eastAsia="宋体" w:hAnsi="Book Antiqua" w:cs="宋体"/>
          <w:lang w:val="en-US" w:eastAsia="zh-CN"/>
        </w:rPr>
        <w:t xml:space="preserve"> M, </w:t>
      </w:r>
      <w:proofErr w:type="spellStart"/>
      <w:r w:rsidRPr="00E2037D">
        <w:rPr>
          <w:rFonts w:ascii="Book Antiqua" w:eastAsia="宋体" w:hAnsi="Book Antiqua" w:cs="宋体"/>
          <w:lang w:val="en-US" w:eastAsia="zh-CN"/>
        </w:rPr>
        <w:t>Sanz</w:t>
      </w:r>
      <w:proofErr w:type="spellEnd"/>
      <w:r w:rsidRPr="00E2037D">
        <w:rPr>
          <w:rFonts w:ascii="Book Antiqua" w:eastAsia="宋体" w:hAnsi="Book Antiqua" w:cs="宋体"/>
          <w:lang w:val="en-US" w:eastAsia="zh-CN"/>
        </w:rPr>
        <w:t xml:space="preserve"> Y. Specific duodenal and </w:t>
      </w:r>
      <w:proofErr w:type="spellStart"/>
      <w:r w:rsidRPr="00E2037D">
        <w:rPr>
          <w:rFonts w:ascii="Book Antiqua" w:eastAsia="宋体" w:hAnsi="Book Antiqua" w:cs="宋体"/>
          <w:lang w:val="en-US" w:eastAsia="zh-CN"/>
        </w:rPr>
        <w:t>faecal</w:t>
      </w:r>
      <w:proofErr w:type="spellEnd"/>
      <w:r w:rsidRPr="00E2037D">
        <w:rPr>
          <w:rFonts w:ascii="Book Antiqua" w:eastAsia="宋体" w:hAnsi="Book Antiqua" w:cs="宋体"/>
          <w:lang w:val="en-US" w:eastAsia="zh-CN"/>
        </w:rPr>
        <w:t xml:space="preserve"> bacterial groups associated with </w:t>
      </w:r>
      <w:proofErr w:type="spellStart"/>
      <w:r w:rsidRPr="00E2037D">
        <w:rPr>
          <w:rFonts w:ascii="Book Antiqua" w:eastAsia="宋体" w:hAnsi="Book Antiqua" w:cs="宋体"/>
          <w:lang w:val="en-US" w:eastAsia="zh-CN"/>
        </w:rPr>
        <w:t>paediatric</w:t>
      </w:r>
      <w:proofErr w:type="spellEnd"/>
      <w:r w:rsidRPr="00E2037D">
        <w:rPr>
          <w:rFonts w:ascii="Book Antiqua" w:eastAsia="宋体" w:hAnsi="Book Antiqua" w:cs="宋体"/>
          <w:lang w:val="en-US" w:eastAsia="zh-CN"/>
        </w:rPr>
        <w:t xml:space="preserve"> coeliac disease. </w:t>
      </w:r>
      <w:r w:rsidRPr="00E2037D">
        <w:rPr>
          <w:rFonts w:ascii="Book Antiqua" w:eastAsia="宋体" w:hAnsi="Book Antiqua" w:cs="宋体"/>
          <w:i/>
          <w:iCs/>
          <w:lang w:val="en-US" w:eastAsia="zh-CN"/>
        </w:rPr>
        <w:t xml:space="preserve">J </w:t>
      </w:r>
      <w:proofErr w:type="spellStart"/>
      <w:r w:rsidRPr="00E2037D">
        <w:rPr>
          <w:rFonts w:ascii="Book Antiqua" w:eastAsia="宋体" w:hAnsi="Book Antiqua" w:cs="宋体"/>
          <w:i/>
          <w:iCs/>
          <w:lang w:val="en-US" w:eastAsia="zh-CN"/>
        </w:rPr>
        <w:t>Clin</w:t>
      </w:r>
      <w:proofErr w:type="spellEnd"/>
      <w:r w:rsidRPr="00E2037D">
        <w:rPr>
          <w:rFonts w:ascii="Book Antiqua" w:eastAsia="宋体" w:hAnsi="Book Antiqua" w:cs="宋体"/>
          <w:i/>
          <w:iCs/>
          <w:lang w:val="en-US" w:eastAsia="zh-CN"/>
        </w:rPr>
        <w:t xml:space="preserve"> </w:t>
      </w:r>
      <w:proofErr w:type="spellStart"/>
      <w:r w:rsidRPr="00E2037D">
        <w:rPr>
          <w:rFonts w:ascii="Book Antiqua" w:eastAsia="宋体" w:hAnsi="Book Antiqua" w:cs="宋体"/>
          <w:i/>
          <w:iCs/>
          <w:lang w:val="en-US" w:eastAsia="zh-CN"/>
        </w:rPr>
        <w:t>Pathol</w:t>
      </w:r>
      <w:proofErr w:type="spellEnd"/>
      <w:r w:rsidRPr="00E2037D">
        <w:rPr>
          <w:rFonts w:ascii="Book Antiqua" w:eastAsia="宋体" w:hAnsi="Book Antiqua" w:cs="宋体"/>
          <w:lang w:val="en-US" w:eastAsia="zh-CN"/>
        </w:rPr>
        <w:t xml:space="preserve"> 2009; </w:t>
      </w:r>
      <w:r w:rsidRPr="00E2037D">
        <w:rPr>
          <w:rFonts w:ascii="Book Antiqua" w:eastAsia="宋体" w:hAnsi="Book Antiqua" w:cs="宋体"/>
          <w:b/>
          <w:bCs/>
          <w:lang w:val="en-US" w:eastAsia="zh-CN"/>
        </w:rPr>
        <w:t>62</w:t>
      </w:r>
      <w:r w:rsidRPr="00E2037D">
        <w:rPr>
          <w:rFonts w:ascii="Book Antiqua" w:eastAsia="宋体" w:hAnsi="Book Antiqua" w:cs="宋体"/>
          <w:lang w:val="en-US" w:eastAsia="zh-CN"/>
        </w:rPr>
        <w:t>: 264-269 [PMID: 18996905 DOI: 10.1136/jcp.2008.061366]</w:t>
      </w:r>
    </w:p>
    <w:p w14:paraId="33D56229"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27 </w:t>
      </w:r>
      <w:proofErr w:type="spellStart"/>
      <w:r w:rsidRPr="00E2037D">
        <w:rPr>
          <w:rFonts w:ascii="Book Antiqua" w:eastAsia="宋体" w:hAnsi="Book Antiqua" w:cs="宋体"/>
          <w:b/>
          <w:bCs/>
          <w:lang w:val="en-US" w:eastAsia="zh-CN"/>
        </w:rPr>
        <w:t>Nistal</w:t>
      </w:r>
      <w:proofErr w:type="spellEnd"/>
      <w:r w:rsidRPr="00E2037D">
        <w:rPr>
          <w:rFonts w:ascii="Book Antiqua" w:eastAsia="宋体" w:hAnsi="Book Antiqua" w:cs="宋体"/>
          <w:b/>
          <w:bCs/>
          <w:lang w:val="en-US" w:eastAsia="zh-CN"/>
        </w:rPr>
        <w:t xml:space="preserve"> E</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Caminero</w:t>
      </w:r>
      <w:proofErr w:type="spellEnd"/>
      <w:r w:rsidRPr="00E2037D">
        <w:rPr>
          <w:rFonts w:ascii="Book Antiqua" w:eastAsia="宋体" w:hAnsi="Book Antiqua" w:cs="宋体"/>
          <w:lang w:val="en-US" w:eastAsia="zh-CN"/>
        </w:rPr>
        <w:t xml:space="preserve"> A, </w:t>
      </w:r>
      <w:proofErr w:type="spellStart"/>
      <w:r w:rsidRPr="00E2037D">
        <w:rPr>
          <w:rFonts w:ascii="Book Antiqua" w:eastAsia="宋体" w:hAnsi="Book Antiqua" w:cs="宋体"/>
          <w:lang w:val="en-US" w:eastAsia="zh-CN"/>
        </w:rPr>
        <w:t>Herrán</w:t>
      </w:r>
      <w:proofErr w:type="spellEnd"/>
      <w:r w:rsidRPr="00E2037D">
        <w:rPr>
          <w:rFonts w:ascii="Book Antiqua" w:eastAsia="宋体" w:hAnsi="Book Antiqua" w:cs="宋体"/>
          <w:lang w:val="en-US" w:eastAsia="zh-CN"/>
        </w:rPr>
        <w:t xml:space="preserve"> AR, Arias L, </w:t>
      </w:r>
      <w:proofErr w:type="spellStart"/>
      <w:r w:rsidRPr="00E2037D">
        <w:rPr>
          <w:rFonts w:ascii="Book Antiqua" w:eastAsia="宋体" w:hAnsi="Book Antiqua" w:cs="宋体"/>
          <w:lang w:val="en-US" w:eastAsia="zh-CN"/>
        </w:rPr>
        <w:t>Vivas</w:t>
      </w:r>
      <w:proofErr w:type="spellEnd"/>
      <w:r w:rsidRPr="00E2037D">
        <w:rPr>
          <w:rFonts w:ascii="Book Antiqua" w:eastAsia="宋体" w:hAnsi="Book Antiqua" w:cs="宋体"/>
          <w:lang w:val="en-US" w:eastAsia="zh-CN"/>
        </w:rPr>
        <w:t xml:space="preserve"> S, de Morales JM, </w:t>
      </w:r>
      <w:proofErr w:type="spellStart"/>
      <w:r w:rsidRPr="00E2037D">
        <w:rPr>
          <w:rFonts w:ascii="Book Antiqua" w:eastAsia="宋体" w:hAnsi="Book Antiqua" w:cs="宋体"/>
          <w:lang w:val="en-US" w:eastAsia="zh-CN"/>
        </w:rPr>
        <w:t>Calleja</w:t>
      </w:r>
      <w:proofErr w:type="spellEnd"/>
      <w:r w:rsidRPr="00E2037D">
        <w:rPr>
          <w:rFonts w:ascii="Book Antiqua" w:eastAsia="宋体" w:hAnsi="Book Antiqua" w:cs="宋体"/>
          <w:lang w:val="en-US" w:eastAsia="zh-CN"/>
        </w:rPr>
        <w:t xml:space="preserve"> S, de </w:t>
      </w:r>
      <w:proofErr w:type="spellStart"/>
      <w:r w:rsidRPr="00E2037D">
        <w:rPr>
          <w:rFonts w:ascii="Book Antiqua" w:eastAsia="宋体" w:hAnsi="Book Antiqua" w:cs="宋体"/>
          <w:lang w:val="en-US" w:eastAsia="zh-CN"/>
        </w:rPr>
        <w:t>Miera</w:t>
      </w:r>
      <w:proofErr w:type="spellEnd"/>
      <w:r w:rsidRPr="00E2037D">
        <w:rPr>
          <w:rFonts w:ascii="Book Antiqua" w:eastAsia="宋体" w:hAnsi="Book Antiqua" w:cs="宋体"/>
          <w:lang w:val="en-US" w:eastAsia="zh-CN"/>
        </w:rPr>
        <w:t xml:space="preserve"> LE, Arroyo P, </w:t>
      </w:r>
      <w:proofErr w:type="spellStart"/>
      <w:r w:rsidRPr="00E2037D">
        <w:rPr>
          <w:rFonts w:ascii="Book Antiqua" w:eastAsia="宋体" w:hAnsi="Book Antiqua" w:cs="宋体"/>
          <w:lang w:val="en-US" w:eastAsia="zh-CN"/>
        </w:rPr>
        <w:t>Casqueiro</w:t>
      </w:r>
      <w:proofErr w:type="spellEnd"/>
      <w:r w:rsidRPr="00E2037D">
        <w:rPr>
          <w:rFonts w:ascii="Book Antiqua" w:eastAsia="宋体" w:hAnsi="Book Antiqua" w:cs="宋体"/>
          <w:lang w:val="en-US" w:eastAsia="zh-CN"/>
        </w:rPr>
        <w:t xml:space="preserve"> J. Differences of small intestinal bacteria populations in adults and children with/without celiac disease: effect of age, gluten diet, and disease. </w:t>
      </w:r>
      <w:proofErr w:type="spellStart"/>
      <w:r w:rsidRPr="00E2037D">
        <w:rPr>
          <w:rFonts w:ascii="Book Antiqua" w:eastAsia="宋体" w:hAnsi="Book Antiqua" w:cs="宋体"/>
          <w:i/>
          <w:iCs/>
          <w:lang w:val="en-US" w:eastAsia="zh-CN"/>
        </w:rPr>
        <w:t>Inflamm</w:t>
      </w:r>
      <w:proofErr w:type="spellEnd"/>
      <w:r w:rsidRPr="00E2037D">
        <w:rPr>
          <w:rFonts w:ascii="Book Antiqua" w:eastAsia="宋体" w:hAnsi="Book Antiqua" w:cs="宋体"/>
          <w:i/>
          <w:iCs/>
          <w:lang w:val="en-US" w:eastAsia="zh-CN"/>
        </w:rPr>
        <w:t xml:space="preserve"> Bowel Dis</w:t>
      </w:r>
      <w:r w:rsidRPr="00E2037D">
        <w:rPr>
          <w:rFonts w:ascii="Book Antiqua" w:eastAsia="宋体" w:hAnsi="Book Antiqua" w:cs="宋体"/>
          <w:lang w:val="en-US" w:eastAsia="zh-CN"/>
        </w:rPr>
        <w:t xml:space="preserve"> 2012; </w:t>
      </w:r>
      <w:r w:rsidRPr="00E2037D">
        <w:rPr>
          <w:rFonts w:ascii="Book Antiqua" w:eastAsia="宋体" w:hAnsi="Book Antiqua" w:cs="宋体"/>
          <w:b/>
          <w:bCs/>
          <w:lang w:val="en-US" w:eastAsia="zh-CN"/>
        </w:rPr>
        <w:t>18</w:t>
      </w:r>
      <w:r w:rsidRPr="00E2037D">
        <w:rPr>
          <w:rFonts w:ascii="Book Antiqua" w:eastAsia="宋体" w:hAnsi="Book Antiqua" w:cs="宋体"/>
          <w:lang w:val="en-US" w:eastAsia="zh-CN"/>
        </w:rPr>
        <w:t>: 649-656 [PMID: 21826768 DOI: 10.1002/ibd.21830]</w:t>
      </w:r>
    </w:p>
    <w:p w14:paraId="1C2396CA"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28 </w:t>
      </w:r>
      <w:proofErr w:type="spellStart"/>
      <w:r w:rsidRPr="00E2037D">
        <w:rPr>
          <w:rFonts w:ascii="Book Antiqua" w:eastAsia="宋体" w:hAnsi="Book Antiqua" w:cs="宋体"/>
          <w:b/>
          <w:bCs/>
          <w:lang w:val="en-US" w:eastAsia="zh-CN"/>
        </w:rPr>
        <w:t>Nistal</w:t>
      </w:r>
      <w:proofErr w:type="spellEnd"/>
      <w:r w:rsidRPr="00E2037D">
        <w:rPr>
          <w:rFonts w:ascii="Book Antiqua" w:eastAsia="宋体" w:hAnsi="Book Antiqua" w:cs="宋体"/>
          <w:b/>
          <w:bCs/>
          <w:lang w:val="en-US" w:eastAsia="zh-CN"/>
        </w:rPr>
        <w:t xml:space="preserve"> E</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Caminero</w:t>
      </w:r>
      <w:proofErr w:type="spellEnd"/>
      <w:r w:rsidRPr="00E2037D">
        <w:rPr>
          <w:rFonts w:ascii="Book Antiqua" w:eastAsia="宋体" w:hAnsi="Book Antiqua" w:cs="宋体"/>
          <w:lang w:val="en-US" w:eastAsia="zh-CN"/>
        </w:rPr>
        <w:t xml:space="preserve"> A, </w:t>
      </w:r>
      <w:proofErr w:type="spellStart"/>
      <w:r w:rsidRPr="00E2037D">
        <w:rPr>
          <w:rFonts w:ascii="Book Antiqua" w:eastAsia="宋体" w:hAnsi="Book Antiqua" w:cs="宋体"/>
          <w:lang w:val="en-US" w:eastAsia="zh-CN"/>
        </w:rPr>
        <w:t>Vivas</w:t>
      </w:r>
      <w:proofErr w:type="spellEnd"/>
      <w:r w:rsidRPr="00E2037D">
        <w:rPr>
          <w:rFonts w:ascii="Book Antiqua" w:eastAsia="宋体" w:hAnsi="Book Antiqua" w:cs="宋体"/>
          <w:lang w:val="en-US" w:eastAsia="zh-CN"/>
        </w:rPr>
        <w:t xml:space="preserve"> S, Ruiz de Morales JM, </w:t>
      </w:r>
      <w:proofErr w:type="spellStart"/>
      <w:r w:rsidRPr="00E2037D">
        <w:rPr>
          <w:rFonts w:ascii="Book Antiqua" w:eastAsia="宋体" w:hAnsi="Book Antiqua" w:cs="宋体"/>
          <w:lang w:val="en-US" w:eastAsia="zh-CN"/>
        </w:rPr>
        <w:t>Sáenz</w:t>
      </w:r>
      <w:proofErr w:type="spellEnd"/>
      <w:r w:rsidRPr="00E2037D">
        <w:rPr>
          <w:rFonts w:ascii="Book Antiqua" w:eastAsia="宋体" w:hAnsi="Book Antiqua" w:cs="宋体"/>
          <w:lang w:val="en-US" w:eastAsia="zh-CN"/>
        </w:rPr>
        <w:t xml:space="preserve"> de </w:t>
      </w:r>
      <w:proofErr w:type="spellStart"/>
      <w:r w:rsidRPr="00E2037D">
        <w:rPr>
          <w:rFonts w:ascii="Book Antiqua" w:eastAsia="宋体" w:hAnsi="Book Antiqua" w:cs="宋体"/>
          <w:lang w:val="en-US" w:eastAsia="zh-CN"/>
        </w:rPr>
        <w:t>Miera</w:t>
      </w:r>
      <w:proofErr w:type="spellEnd"/>
      <w:r w:rsidRPr="00E2037D">
        <w:rPr>
          <w:rFonts w:ascii="Book Antiqua" w:eastAsia="宋体" w:hAnsi="Book Antiqua" w:cs="宋体"/>
          <w:lang w:val="en-US" w:eastAsia="zh-CN"/>
        </w:rPr>
        <w:t xml:space="preserve"> LE, Rodríguez-</w:t>
      </w:r>
      <w:proofErr w:type="spellStart"/>
      <w:r w:rsidRPr="00E2037D">
        <w:rPr>
          <w:rFonts w:ascii="Book Antiqua" w:eastAsia="宋体" w:hAnsi="Book Antiqua" w:cs="宋体"/>
          <w:lang w:val="en-US" w:eastAsia="zh-CN"/>
        </w:rPr>
        <w:t>Aparicio</w:t>
      </w:r>
      <w:proofErr w:type="spellEnd"/>
      <w:r w:rsidRPr="00E2037D">
        <w:rPr>
          <w:rFonts w:ascii="Book Antiqua" w:eastAsia="宋体" w:hAnsi="Book Antiqua" w:cs="宋体"/>
          <w:lang w:val="en-US" w:eastAsia="zh-CN"/>
        </w:rPr>
        <w:t xml:space="preserve"> LB, </w:t>
      </w:r>
      <w:proofErr w:type="spellStart"/>
      <w:r w:rsidRPr="00E2037D">
        <w:rPr>
          <w:rFonts w:ascii="Book Antiqua" w:eastAsia="宋体" w:hAnsi="Book Antiqua" w:cs="宋体"/>
          <w:lang w:val="en-US" w:eastAsia="zh-CN"/>
        </w:rPr>
        <w:t>Casqueiro</w:t>
      </w:r>
      <w:proofErr w:type="spellEnd"/>
      <w:r w:rsidRPr="00E2037D">
        <w:rPr>
          <w:rFonts w:ascii="Book Antiqua" w:eastAsia="宋体" w:hAnsi="Book Antiqua" w:cs="宋体"/>
          <w:lang w:val="en-US" w:eastAsia="zh-CN"/>
        </w:rPr>
        <w:t xml:space="preserve"> J. Differences in </w:t>
      </w:r>
      <w:proofErr w:type="spellStart"/>
      <w:r w:rsidRPr="00E2037D">
        <w:rPr>
          <w:rFonts w:ascii="Book Antiqua" w:eastAsia="宋体" w:hAnsi="Book Antiqua" w:cs="宋体"/>
          <w:lang w:val="en-US" w:eastAsia="zh-CN"/>
        </w:rPr>
        <w:t>faecal</w:t>
      </w:r>
      <w:proofErr w:type="spellEnd"/>
      <w:r w:rsidRPr="00E2037D">
        <w:rPr>
          <w:rFonts w:ascii="Book Antiqua" w:eastAsia="宋体" w:hAnsi="Book Antiqua" w:cs="宋体"/>
          <w:lang w:val="en-US" w:eastAsia="zh-CN"/>
        </w:rPr>
        <w:t xml:space="preserve"> bacteria populations and </w:t>
      </w:r>
      <w:proofErr w:type="spellStart"/>
      <w:r w:rsidRPr="00E2037D">
        <w:rPr>
          <w:rFonts w:ascii="Book Antiqua" w:eastAsia="宋体" w:hAnsi="Book Antiqua" w:cs="宋体"/>
          <w:lang w:val="en-US" w:eastAsia="zh-CN"/>
        </w:rPr>
        <w:t>faecal</w:t>
      </w:r>
      <w:proofErr w:type="spellEnd"/>
      <w:r w:rsidRPr="00E2037D">
        <w:rPr>
          <w:rFonts w:ascii="Book Antiqua" w:eastAsia="宋体" w:hAnsi="Book Antiqua" w:cs="宋体"/>
          <w:lang w:val="en-US" w:eastAsia="zh-CN"/>
        </w:rPr>
        <w:t xml:space="preserve"> bacteria metabolism in healthy adults and celiac disease patients. </w:t>
      </w:r>
      <w:proofErr w:type="spellStart"/>
      <w:r w:rsidRPr="00E2037D">
        <w:rPr>
          <w:rFonts w:ascii="Book Antiqua" w:eastAsia="宋体" w:hAnsi="Book Antiqua" w:cs="宋体"/>
          <w:i/>
          <w:iCs/>
          <w:lang w:val="en-US" w:eastAsia="zh-CN"/>
        </w:rPr>
        <w:t>Biochimie</w:t>
      </w:r>
      <w:proofErr w:type="spellEnd"/>
      <w:r w:rsidRPr="00E2037D">
        <w:rPr>
          <w:rFonts w:ascii="Book Antiqua" w:eastAsia="宋体" w:hAnsi="Book Antiqua" w:cs="宋体"/>
          <w:lang w:val="en-US" w:eastAsia="zh-CN"/>
        </w:rPr>
        <w:t xml:space="preserve"> 2012; </w:t>
      </w:r>
      <w:r w:rsidRPr="00E2037D">
        <w:rPr>
          <w:rFonts w:ascii="Book Antiqua" w:eastAsia="宋体" w:hAnsi="Book Antiqua" w:cs="宋体"/>
          <w:b/>
          <w:bCs/>
          <w:lang w:val="en-US" w:eastAsia="zh-CN"/>
        </w:rPr>
        <w:t>94</w:t>
      </w:r>
      <w:r w:rsidRPr="00E2037D">
        <w:rPr>
          <w:rFonts w:ascii="Book Antiqua" w:eastAsia="宋体" w:hAnsi="Book Antiqua" w:cs="宋体"/>
          <w:lang w:val="en-US" w:eastAsia="zh-CN"/>
        </w:rPr>
        <w:t>: 1724-1729 [PMID: 22542995 DOI: 10.1016/j.biochi.2012.03.025]</w:t>
      </w:r>
    </w:p>
    <w:p w14:paraId="1C5C7955" w14:textId="77777777" w:rsidR="00E2037D" w:rsidRPr="00E2037D" w:rsidRDefault="00E2037D" w:rsidP="00E2037D">
      <w:pPr>
        <w:spacing w:after="0" w:line="360" w:lineRule="auto"/>
        <w:jc w:val="both"/>
        <w:rPr>
          <w:rFonts w:ascii="Book Antiqua" w:eastAsia="宋体" w:hAnsi="Book Antiqua" w:cs="宋体"/>
          <w:lang w:val="en-US" w:eastAsia="zh-CN"/>
        </w:rPr>
      </w:pPr>
      <w:proofErr w:type="gramStart"/>
      <w:r w:rsidRPr="00E2037D">
        <w:rPr>
          <w:rFonts w:ascii="Book Antiqua" w:eastAsia="宋体" w:hAnsi="Book Antiqua" w:cs="宋体"/>
          <w:lang w:val="en-US" w:eastAsia="zh-CN"/>
        </w:rPr>
        <w:t xml:space="preserve">29 </w:t>
      </w:r>
      <w:r w:rsidRPr="00E2037D">
        <w:rPr>
          <w:rFonts w:ascii="Book Antiqua" w:eastAsia="宋体" w:hAnsi="Book Antiqua" w:cs="宋体"/>
          <w:b/>
          <w:bCs/>
          <w:lang w:val="en-US" w:eastAsia="zh-CN"/>
        </w:rPr>
        <w:t>Leon F</w:t>
      </w:r>
      <w:r w:rsidRPr="00E2037D">
        <w:rPr>
          <w:rFonts w:ascii="Book Antiqua" w:eastAsia="宋体" w:hAnsi="Book Antiqua" w:cs="宋体"/>
          <w:lang w:val="en-US" w:eastAsia="zh-CN"/>
        </w:rPr>
        <w:t>. Flow cytometry of intestinal intraepithelial lymphocytes in celiac disease.</w:t>
      </w:r>
      <w:proofErr w:type="gramEnd"/>
      <w:r w:rsidRPr="00E2037D">
        <w:rPr>
          <w:rFonts w:ascii="Book Antiqua" w:eastAsia="宋体" w:hAnsi="Book Antiqua" w:cs="宋体"/>
          <w:lang w:val="en-US" w:eastAsia="zh-CN"/>
        </w:rPr>
        <w:t xml:space="preserve"> </w:t>
      </w:r>
      <w:r w:rsidRPr="00E2037D">
        <w:rPr>
          <w:rFonts w:ascii="Book Antiqua" w:eastAsia="宋体" w:hAnsi="Book Antiqua" w:cs="宋体"/>
          <w:i/>
          <w:iCs/>
          <w:lang w:val="en-US" w:eastAsia="zh-CN"/>
        </w:rPr>
        <w:t xml:space="preserve">J </w:t>
      </w:r>
      <w:proofErr w:type="spellStart"/>
      <w:r w:rsidRPr="00E2037D">
        <w:rPr>
          <w:rFonts w:ascii="Book Antiqua" w:eastAsia="宋体" w:hAnsi="Book Antiqua" w:cs="宋体"/>
          <w:i/>
          <w:iCs/>
          <w:lang w:val="en-US" w:eastAsia="zh-CN"/>
        </w:rPr>
        <w:t>Immunol</w:t>
      </w:r>
      <w:proofErr w:type="spellEnd"/>
      <w:r w:rsidRPr="00E2037D">
        <w:rPr>
          <w:rFonts w:ascii="Book Antiqua" w:eastAsia="宋体" w:hAnsi="Book Antiqua" w:cs="宋体"/>
          <w:i/>
          <w:iCs/>
          <w:lang w:val="en-US" w:eastAsia="zh-CN"/>
        </w:rPr>
        <w:t xml:space="preserve"> Methods</w:t>
      </w:r>
      <w:r w:rsidRPr="00E2037D">
        <w:rPr>
          <w:rFonts w:ascii="Book Antiqua" w:eastAsia="宋体" w:hAnsi="Book Antiqua" w:cs="宋体"/>
          <w:lang w:val="en-US" w:eastAsia="zh-CN"/>
        </w:rPr>
        <w:t xml:space="preserve"> 2011; </w:t>
      </w:r>
      <w:r w:rsidRPr="00E2037D">
        <w:rPr>
          <w:rFonts w:ascii="Book Antiqua" w:eastAsia="宋体" w:hAnsi="Book Antiqua" w:cs="宋体"/>
          <w:b/>
          <w:bCs/>
          <w:lang w:val="en-US" w:eastAsia="zh-CN"/>
        </w:rPr>
        <w:t>363</w:t>
      </w:r>
      <w:r w:rsidRPr="00E2037D">
        <w:rPr>
          <w:rFonts w:ascii="Book Antiqua" w:eastAsia="宋体" w:hAnsi="Book Antiqua" w:cs="宋体"/>
          <w:lang w:val="en-US" w:eastAsia="zh-CN"/>
        </w:rPr>
        <w:t>: 177-186 [PMID: 20833175 DOI: 10.1016/j.jim.2010.09.002]</w:t>
      </w:r>
    </w:p>
    <w:p w14:paraId="22A78354" w14:textId="10304A0E"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30 </w:t>
      </w:r>
      <w:proofErr w:type="spellStart"/>
      <w:r w:rsidRPr="00E2037D">
        <w:rPr>
          <w:rFonts w:ascii="Book Antiqua" w:eastAsia="宋体" w:hAnsi="Book Antiqua" w:cs="宋体"/>
          <w:b/>
          <w:bCs/>
          <w:lang w:val="en-US" w:eastAsia="zh-CN"/>
        </w:rPr>
        <w:t>Calleja</w:t>
      </w:r>
      <w:proofErr w:type="spellEnd"/>
      <w:r w:rsidRPr="00E2037D">
        <w:rPr>
          <w:rFonts w:ascii="Book Antiqua" w:eastAsia="宋体" w:hAnsi="Book Antiqua" w:cs="宋体"/>
          <w:b/>
          <w:bCs/>
          <w:lang w:val="en-US" w:eastAsia="zh-CN"/>
        </w:rPr>
        <w:t xml:space="preserve"> S</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Vivas</w:t>
      </w:r>
      <w:proofErr w:type="spellEnd"/>
      <w:r w:rsidRPr="00E2037D">
        <w:rPr>
          <w:rFonts w:ascii="Book Antiqua" w:eastAsia="宋体" w:hAnsi="Book Antiqua" w:cs="宋体"/>
          <w:lang w:val="en-US" w:eastAsia="zh-CN"/>
        </w:rPr>
        <w:t xml:space="preserve"> S, </w:t>
      </w:r>
      <w:proofErr w:type="spellStart"/>
      <w:r w:rsidRPr="00E2037D">
        <w:rPr>
          <w:rFonts w:ascii="Book Antiqua" w:eastAsia="宋体" w:hAnsi="Book Antiqua" w:cs="宋体"/>
          <w:lang w:val="en-US" w:eastAsia="zh-CN"/>
        </w:rPr>
        <w:t>Santiuste</w:t>
      </w:r>
      <w:proofErr w:type="spellEnd"/>
      <w:r w:rsidRPr="00E2037D">
        <w:rPr>
          <w:rFonts w:ascii="Book Antiqua" w:eastAsia="宋体" w:hAnsi="Book Antiqua" w:cs="宋体"/>
          <w:lang w:val="en-US" w:eastAsia="zh-CN"/>
        </w:rPr>
        <w:t xml:space="preserve"> M, Arias L, Hernando M, </w:t>
      </w:r>
      <w:proofErr w:type="spellStart"/>
      <w:r w:rsidRPr="00E2037D">
        <w:rPr>
          <w:rFonts w:ascii="Book Antiqua" w:eastAsia="宋体" w:hAnsi="Book Antiqua" w:cs="宋体"/>
          <w:lang w:val="en-US" w:eastAsia="zh-CN"/>
        </w:rPr>
        <w:t>Nistal</w:t>
      </w:r>
      <w:proofErr w:type="spellEnd"/>
      <w:r w:rsidRPr="00E2037D">
        <w:rPr>
          <w:rFonts w:ascii="Book Antiqua" w:eastAsia="宋体" w:hAnsi="Book Antiqua" w:cs="宋体"/>
          <w:lang w:val="en-US" w:eastAsia="zh-CN"/>
        </w:rPr>
        <w:t xml:space="preserve"> E, </w:t>
      </w:r>
      <w:proofErr w:type="spellStart"/>
      <w:r w:rsidRPr="00E2037D">
        <w:rPr>
          <w:rFonts w:ascii="Book Antiqua" w:eastAsia="宋体" w:hAnsi="Book Antiqua" w:cs="宋体"/>
          <w:lang w:val="en-US" w:eastAsia="zh-CN"/>
        </w:rPr>
        <w:t>Casqueiro</w:t>
      </w:r>
      <w:proofErr w:type="spellEnd"/>
      <w:r w:rsidRPr="00E2037D">
        <w:rPr>
          <w:rFonts w:ascii="Book Antiqua" w:eastAsia="宋体" w:hAnsi="Book Antiqua" w:cs="宋体"/>
          <w:lang w:val="en-US" w:eastAsia="zh-CN"/>
        </w:rPr>
        <w:t xml:space="preserve"> J, Ruiz de Morales JG. Dynamics of non-conventional intraepithelial lymphocytes-NK, NKT, and </w:t>
      </w:r>
      <w:proofErr w:type="spellStart"/>
      <w:r w:rsidRPr="00E2037D">
        <w:rPr>
          <w:rFonts w:ascii="Book Antiqua" w:eastAsia="宋体" w:hAnsi="Book Antiqua" w:cs="宋体"/>
          <w:lang w:val="en-US" w:eastAsia="zh-CN"/>
        </w:rPr>
        <w:t>γδ</w:t>
      </w:r>
      <w:proofErr w:type="spellEnd"/>
      <w:r w:rsidRPr="00E2037D">
        <w:rPr>
          <w:rFonts w:ascii="Book Antiqua" w:eastAsia="宋体" w:hAnsi="Book Antiqua" w:cs="宋体"/>
          <w:lang w:val="en-US" w:eastAsia="zh-CN"/>
        </w:rPr>
        <w:t xml:space="preserve"> T-in celiac disease: relationship with age, diet, and histopathology. </w:t>
      </w:r>
      <w:r w:rsidRPr="00E2037D">
        <w:rPr>
          <w:rFonts w:ascii="Book Antiqua" w:eastAsia="宋体" w:hAnsi="Book Antiqua" w:cs="宋体"/>
          <w:i/>
          <w:iCs/>
          <w:lang w:val="en-US" w:eastAsia="zh-CN"/>
        </w:rPr>
        <w:t xml:space="preserve">Dig Dis </w:t>
      </w:r>
      <w:proofErr w:type="spellStart"/>
      <w:r w:rsidRPr="00E2037D">
        <w:rPr>
          <w:rFonts w:ascii="Book Antiqua" w:eastAsia="宋体" w:hAnsi="Book Antiqua" w:cs="宋体"/>
          <w:i/>
          <w:iCs/>
          <w:lang w:val="en-US" w:eastAsia="zh-CN"/>
        </w:rPr>
        <w:t>Sci</w:t>
      </w:r>
      <w:proofErr w:type="spellEnd"/>
      <w:r w:rsidRPr="00E2037D">
        <w:rPr>
          <w:rFonts w:ascii="Book Antiqua" w:eastAsia="宋体" w:hAnsi="Book Antiqua" w:cs="宋体"/>
          <w:lang w:val="en-US" w:eastAsia="zh-CN"/>
        </w:rPr>
        <w:t xml:space="preserve"> 2011; </w:t>
      </w:r>
      <w:r w:rsidRPr="00E2037D">
        <w:rPr>
          <w:rFonts w:ascii="Book Antiqua" w:eastAsia="宋体" w:hAnsi="Book Antiqua" w:cs="宋体"/>
          <w:b/>
          <w:bCs/>
          <w:lang w:val="en-US" w:eastAsia="zh-CN"/>
        </w:rPr>
        <w:t>56</w:t>
      </w:r>
      <w:r w:rsidRPr="00E2037D">
        <w:rPr>
          <w:rFonts w:ascii="Book Antiqua" w:eastAsia="宋体" w:hAnsi="Book Antiqua" w:cs="宋体"/>
          <w:lang w:val="en-US" w:eastAsia="zh-CN"/>
        </w:rPr>
        <w:t>: 2042-2049 [PMID: 21221796 DOI: 10.1007/s10620-010-1534-5</w:t>
      </w:r>
      <w:r w:rsidR="00453E0B">
        <w:rPr>
          <w:rFonts w:ascii="Book Antiqua" w:eastAsia="宋体" w:hAnsi="Book Antiqua" w:cs="宋体" w:hint="eastAsia"/>
          <w:lang w:val="en-US" w:eastAsia="zh-CN"/>
        </w:rPr>
        <w:t>]</w:t>
      </w:r>
    </w:p>
    <w:p w14:paraId="0F65F201"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31 </w:t>
      </w:r>
      <w:proofErr w:type="spellStart"/>
      <w:r w:rsidRPr="00E2037D">
        <w:rPr>
          <w:rFonts w:ascii="Book Antiqua" w:eastAsia="宋体" w:hAnsi="Book Antiqua" w:cs="宋体"/>
          <w:b/>
          <w:bCs/>
          <w:lang w:val="en-US" w:eastAsia="zh-CN"/>
        </w:rPr>
        <w:t>Camarero</w:t>
      </w:r>
      <w:proofErr w:type="spellEnd"/>
      <w:r w:rsidRPr="00E2037D">
        <w:rPr>
          <w:rFonts w:ascii="Book Antiqua" w:eastAsia="宋体" w:hAnsi="Book Antiqua" w:cs="宋体"/>
          <w:b/>
          <w:bCs/>
          <w:lang w:val="en-US" w:eastAsia="zh-CN"/>
        </w:rPr>
        <w:t xml:space="preserve"> C</w:t>
      </w:r>
      <w:r w:rsidRPr="00E2037D">
        <w:rPr>
          <w:rFonts w:ascii="Book Antiqua" w:eastAsia="宋体" w:hAnsi="Book Antiqua" w:cs="宋体"/>
          <w:lang w:val="en-US" w:eastAsia="zh-CN"/>
        </w:rPr>
        <w:t xml:space="preserve">, Leon F, Sanchez L, </w:t>
      </w:r>
      <w:proofErr w:type="spellStart"/>
      <w:r w:rsidRPr="00E2037D">
        <w:rPr>
          <w:rFonts w:ascii="Book Antiqua" w:eastAsia="宋体" w:hAnsi="Book Antiqua" w:cs="宋体"/>
          <w:lang w:val="en-US" w:eastAsia="zh-CN"/>
        </w:rPr>
        <w:t>Asensio</w:t>
      </w:r>
      <w:proofErr w:type="spellEnd"/>
      <w:r w:rsidRPr="00E2037D">
        <w:rPr>
          <w:rFonts w:ascii="Book Antiqua" w:eastAsia="宋体" w:hAnsi="Book Antiqua" w:cs="宋体"/>
          <w:lang w:val="en-US" w:eastAsia="zh-CN"/>
        </w:rPr>
        <w:t xml:space="preserve"> A, Roy G. Age-related variation of intraepithelial lymphocytes subsets in normal human duodenal mucosa. </w:t>
      </w:r>
      <w:r w:rsidRPr="00E2037D">
        <w:rPr>
          <w:rFonts w:ascii="Book Antiqua" w:eastAsia="宋体" w:hAnsi="Book Antiqua" w:cs="宋体"/>
          <w:i/>
          <w:iCs/>
          <w:lang w:val="en-US" w:eastAsia="zh-CN"/>
        </w:rPr>
        <w:t xml:space="preserve">Dig Dis </w:t>
      </w:r>
      <w:proofErr w:type="spellStart"/>
      <w:r w:rsidRPr="00E2037D">
        <w:rPr>
          <w:rFonts w:ascii="Book Antiqua" w:eastAsia="宋体" w:hAnsi="Book Antiqua" w:cs="宋体"/>
          <w:i/>
          <w:iCs/>
          <w:lang w:val="en-US" w:eastAsia="zh-CN"/>
        </w:rPr>
        <w:t>Sci</w:t>
      </w:r>
      <w:proofErr w:type="spellEnd"/>
      <w:r w:rsidRPr="00E2037D">
        <w:rPr>
          <w:rFonts w:ascii="Book Antiqua" w:eastAsia="宋体" w:hAnsi="Book Antiqua" w:cs="宋体"/>
          <w:lang w:val="en-US" w:eastAsia="zh-CN"/>
        </w:rPr>
        <w:t xml:space="preserve"> 2007; </w:t>
      </w:r>
      <w:r w:rsidRPr="00E2037D">
        <w:rPr>
          <w:rFonts w:ascii="Book Antiqua" w:eastAsia="宋体" w:hAnsi="Book Antiqua" w:cs="宋体"/>
          <w:b/>
          <w:bCs/>
          <w:lang w:val="en-US" w:eastAsia="zh-CN"/>
        </w:rPr>
        <w:t>52</w:t>
      </w:r>
      <w:r w:rsidRPr="00E2037D">
        <w:rPr>
          <w:rFonts w:ascii="Book Antiqua" w:eastAsia="宋体" w:hAnsi="Book Antiqua" w:cs="宋体"/>
          <w:lang w:val="en-US" w:eastAsia="zh-CN"/>
        </w:rPr>
        <w:t>: 685-691 [PMID: 17235707 DOI: 10.1007/s10620-006-9176-3]</w:t>
      </w:r>
    </w:p>
    <w:p w14:paraId="5501C496"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32 </w:t>
      </w:r>
      <w:r w:rsidRPr="00E2037D">
        <w:rPr>
          <w:rFonts w:ascii="Book Antiqua" w:eastAsia="宋体" w:hAnsi="Book Antiqua" w:cs="宋体"/>
          <w:b/>
          <w:bCs/>
          <w:lang w:val="en-US" w:eastAsia="zh-CN"/>
        </w:rPr>
        <w:t>Rubio-Tapia A</w:t>
      </w:r>
      <w:r w:rsidRPr="00E2037D">
        <w:rPr>
          <w:rFonts w:ascii="Book Antiqua" w:eastAsia="宋体" w:hAnsi="Book Antiqua" w:cs="宋体"/>
          <w:lang w:val="en-US" w:eastAsia="zh-CN"/>
        </w:rPr>
        <w:t xml:space="preserve">, Rahim MW, See JA, Lahr BD, Wu TT, Murray JA. </w:t>
      </w:r>
      <w:proofErr w:type="gramStart"/>
      <w:r w:rsidRPr="00E2037D">
        <w:rPr>
          <w:rFonts w:ascii="Book Antiqua" w:eastAsia="宋体" w:hAnsi="Book Antiqua" w:cs="宋体"/>
          <w:lang w:val="en-US" w:eastAsia="zh-CN"/>
        </w:rPr>
        <w:t>Mucosal recovery and mortality in adults with celiac disease after treatment with a gluten-free diet.</w:t>
      </w:r>
      <w:proofErr w:type="gramEnd"/>
      <w:r w:rsidRPr="00E2037D">
        <w:rPr>
          <w:rFonts w:ascii="Book Antiqua" w:eastAsia="宋体" w:hAnsi="Book Antiqua" w:cs="宋体"/>
          <w:lang w:val="en-US" w:eastAsia="zh-CN"/>
        </w:rPr>
        <w:t xml:space="preserve"> </w:t>
      </w:r>
      <w:r w:rsidRPr="00E2037D">
        <w:rPr>
          <w:rFonts w:ascii="Book Antiqua" w:eastAsia="宋体" w:hAnsi="Book Antiqua" w:cs="宋体"/>
          <w:i/>
          <w:iCs/>
          <w:lang w:val="en-US" w:eastAsia="zh-CN"/>
        </w:rPr>
        <w:t xml:space="preserve">Am J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lang w:val="en-US" w:eastAsia="zh-CN"/>
        </w:rPr>
        <w:t xml:space="preserve"> 2010; </w:t>
      </w:r>
      <w:r w:rsidRPr="00E2037D">
        <w:rPr>
          <w:rFonts w:ascii="Book Antiqua" w:eastAsia="宋体" w:hAnsi="Book Antiqua" w:cs="宋体"/>
          <w:b/>
          <w:bCs/>
          <w:lang w:val="en-US" w:eastAsia="zh-CN"/>
        </w:rPr>
        <w:t>105</w:t>
      </w:r>
      <w:r w:rsidRPr="00E2037D">
        <w:rPr>
          <w:rFonts w:ascii="Book Antiqua" w:eastAsia="宋体" w:hAnsi="Book Antiqua" w:cs="宋体"/>
          <w:lang w:val="en-US" w:eastAsia="zh-CN"/>
        </w:rPr>
        <w:t>: 1412-1420 [PMID: 20145607 DOI: 10.1038/ajg.2010.10]</w:t>
      </w:r>
    </w:p>
    <w:p w14:paraId="3FDF9F7C"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33 </w:t>
      </w:r>
      <w:proofErr w:type="spellStart"/>
      <w:r w:rsidRPr="00E2037D">
        <w:rPr>
          <w:rFonts w:ascii="Book Antiqua" w:eastAsia="宋体" w:hAnsi="Book Antiqua" w:cs="宋体"/>
          <w:b/>
          <w:bCs/>
          <w:lang w:val="en-US" w:eastAsia="zh-CN"/>
        </w:rPr>
        <w:t>Wahab</w:t>
      </w:r>
      <w:proofErr w:type="spellEnd"/>
      <w:r w:rsidRPr="00E2037D">
        <w:rPr>
          <w:rFonts w:ascii="Book Antiqua" w:eastAsia="宋体" w:hAnsi="Book Antiqua" w:cs="宋体"/>
          <w:b/>
          <w:bCs/>
          <w:lang w:val="en-US" w:eastAsia="zh-CN"/>
        </w:rPr>
        <w:t xml:space="preserve"> PJ</w:t>
      </w:r>
      <w:r w:rsidRPr="00E2037D">
        <w:rPr>
          <w:rFonts w:ascii="Book Antiqua" w:eastAsia="宋体" w:hAnsi="Book Antiqua" w:cs="宋体"/>
          <w:lang w:val="en-US" w:eastAsia="zh-CN"/>
        </w:rPr>
        <w:t xml:space="preserve">, Meijer JW, Mulder CJ. Histologic follow-up of people with celiac disease on a gluten-free diet: slow and incomplete recovery. </w:t>
      </w:r>
      <w:r w:rsidRPr="00E2037D">
        <w:rPr>
          <w:rFonts w:ascii="Book Antiqua" w:eastAsia="宋体" w:hAnsi="Book Antiqua" w:cs="宋体"/>
          <w:i/>
          <w:iCs/>
          <w:lang w:val="en-US" w:eastAsia="zh-CN"/>
        </w:rPr>
        <w:t xml:space="preserve">Am J </w:t>
      </w:r>
      <w:proofErr w:type="spellStart"/>
      <w:r w:rsidRPr="00E2037D">
        <w:rPr>
          <w:rFonts w:ascii="Book Antiqua" w:eastAsia="宋体" w:hAnsi="Book Antiqua" w:cs="宋体"/>
          <w:i/>
          <w:iCs/>
          <w:lang w:val="en-US" w:eastAsia="zh-CN"/>
        </w:rPr>
        <w:t>Clin</w:t>
      </w:r>
      <w:proofErr w:type="spellEnd"/>
      <w:r w:rsidRPr="00E2037D">
        <w:rPr>
          <w:rFonts w:ascii="Book Antiqua" w:eastAsia="宋体" w:hAnsi="Book Antiqua" w:cs="宋体"/>
          <w:i/>
          <w:iCs/>
          <w:lang w:val="en-US" w:eastAsia="zh-CN"/>
        </w:rPr>
        <w:t xml:space="preserve"> </w:t>
      </w:r>
      <w:proofErr w:type="spellStart"/>
      <w:r w:rsidRPr="00E2037D">
        <w:rPr>
          <w:rFonts w:ascii="Book Antiqua" w:eastAsia="宋体" w:hAnsi="Book Antiqua" w:cs="宋体"/>
          <w:i/>
          <w:iCs/>
          <w:lang w:val="en-US" w:eastAsia="zh-CN"/>
        </w:rPr>
        <w:t>Pathol</w:t>
      </w:r>
      <w:proofErr w:type="spellEnd"/>
      <w:r w:rsidRPr="00E2037D">
        <w:rPr>
          <w:rFonts w:ascii="Book Antiqua" w:eastAsia="宋体" w:hAnsi="Book Antiqua" w:cs="宋体"/>
          <w:lang w:val="en-US" w:eastAsia="zh-CN"/>
        </w:rPr>
        <w:t xml:space="preserve"> 2002; </w:t>
      </w:r>
      <w:r w:rsidRPr="00E2037D">
        <w:rPr>
          <w:rFonts w:ascii="Book Antiqua" w:eastAsia="宋体" w:hAnsi="Book Antiqua" w:cs="宋体"/>
          <w:b/>
          <w:bCs/>
          <w:lang w:val="en-US" w:eastAsia="zh-CN"/>
        </w:rPr>
        <w:t>118</w:t>
      </w:r>
      <w:r w:rsidRPr="00E2037D">
        <w:rPr>
          <w:rFonts w:ascii="Book Antiqua" w:eastAsia="宋体" w:hAnsi="Book Antiqua" w:cs="宋体"/>
          <w:lang w:val="en-US" w:eastAsia="zh-CN"/>
        </w:rPr>
        <w:t>: 459-463 [PMID: 12219789 DOI: 10.1309/EVXT-851X-WHLC-RLX9]</w:t>
      </w:r>
    </w:p>
    <w:p w14:paraId="00F62E98" w14:textId="77777777" w:rsidR="00E2037D" w:rsidRPr="00E2037D" w:rsidRDefault="00E2037D" w:rsidP="00E2037D">
      <w:pPr>
        <w:spacing w:after="0" w:line="360" w:lineRule="auto"/>
        <w:jc w:val="both"/>
        <w:rPr>
          <w:rFonts w:ascii="Book Antiqua" w:eastAsia="宋体" w:hAnsi="Book Antiqua" w:cs="宋体"/>
          <w:lang w:val="en-US" w:eastAsia="zh-CN"/>
        </w:rPr>
      </w:pPr>
      <w:proofErr w:type="gramStart"/>
      <w:r w:rsidRPr="00E2037D">
        <w:rPr>
          <w:rFonts w:ascii="Book Antiqua" w:eastAsia="宋体" w:hAnsi="Book Antiqua" w:cs="宋体"/>
          <w:lang w:val="en-US" w:eastAsia="zh-CN"/>
        </w:rPr>
        <w:t xml:space="preserve">34 </w:t>
      </w:r>
      <w:proofErr w:type="spellStart"/>
      <w:r w:rsidRPr="00E2037D">
        <w:rPr>
          <w:rFonts w:ascii="Book Antiqua" w:eastAsia="宋体" w:hAnsi="Book Antiqua" w:cs="宋体"/>
          <w:b/>
          <w:bCs/>
          <w:lang w:val="en-US" w:eastAsia="zh-CN"/>
        </w:rPr>
        <w:t>Elfström</w:t>
      </w:r>
      <w:proofErr w:type="spellEnd"/>
      <w:r w:rsidRPr="00E2037D">
        <w:rPr>
          <w:rFonts w:ascii="Book Antiqua" w:eastAsia="宋体" w:hAnsi="Book Antiqua" w:cs="宋体"/>
          <w:b/>
          <w:bCs/>
          <w:lang w:val="en-US" w:eastAsia="zh-CN"/>
        </w:rPr>
        <w:t xml:space="preserve"> P</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Granath</w:t>
      </w:r>
      <w:proofErr w:type="spellEnd"/>
      <w:r w:rsidRPr="00E2037D">
        <w:rPr>
          <w:rFonts w:ascii="Book Antiqua" w:eastAsia="宋体" w:hAnsi="Book Antiqua" w:cs="宋体"/>
          <w:lang w:val="en-US" w:eastAsia="zh-CN"/>
        </w:rPr>
        <w:t xml:space="preserve"> F, </w:t>
      </w:r>
      <w:proofErr w:type="spellStart"/>
      <w:r w:rsidRPr="00E2037D">
        <w:rPr>
          <w:rFonts w:ascii="Book Antiqua" w:eastAsia="宋体" w:hAnsi="Book Antiqua" w:cs="宋体"/>
          <w:lang w:val="en-US" w:eastAsia="zh-CN"/>
        </w:rPr>
        <w:t>Ekström</w:t>
      </w:r>
      <w:proofErr w:type="spellEnd"/>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Smedby</w:t>
      </w:r>
      <w:proofErr w:type="spellEnd"/>
      <w:r w:rsidRPr="00E2037D">
        <w:rPr>
          <w:rFonts w:ascii="Book Antiqua" w:eastAsia="宋体" w:hAnsi="Book Antiqua" w:cs="宋体"/>
          <w:lang w:val="en-US" w:eastAsia="zh-CN"/>
        </w:rPr>
        <w:t xml:space="preserve"> K, Montgomery SM, </w:t>
      </w:r>
      <w:proofErr w:type="spellStart"/>
      <w:r w:rsidRPr="00E2037D">
        <w:rPr>
          <w:rFonts w:ascii="Book Antiqua" w:eastAsia="宋体" w:hAnsi="Book Antiqua" w:cs="宋体"/>
          <w:lang w:val="en-US" w:eastAsia="zh-CN"/>
        </w:rPr>
        <w:t>Askling</w:t>
      </w:r>
      <w:proofErr w:type="spellEnd"/>
      <w:r w:rsidRPr="00E2037D">
        <w:rPr>
          <w:rFonts w:ascii="Book Antiqua" w:eastAsia="宋体" w:hAnsi="Book Antiqua" w:cs="宋体"/>
          <w:lang w:val="en-US" w:eastAsia="zh-CN"/>
        </w:rPr>
        <w:t xml:space="preserve"> J, Ekbom A, </w:t>
      </w:r>
      <w:proofErr w:type="spellStart"/>
      <w:r w:rsidRPr="00E2037D">
        <w:rPr>
          <w:rFonts w:ascii="Book Antiqua" w:eastAsia="宋体" w:hAnsi="Book Antiqua" w:cs="宋体"/>
          <w:lang w:val="en-US" w:eastAsia="zh-CN"/>
        </w:rPr>
        <w:t>Ludvigsson</w:t>
      </w:r>
      <w:proofErr w:type="spellEnd"/>
      <w:r w:rsidRPr="00E2037D">
        <w:rPr>
          <w:rFonts w:ascii="Book Antiqua" w:eastAsia="宋体" w:hAnsi="Book Antiqua" w:cs="宋体"/>
          <w:lang w:val="en-US" w:eastAsia="zh-CN"/>
        </w:rPr>
        <w:t xml:space="preserve"> JF.</w:t>
      </w:r>
      <w:proofErr w:type="gramEnd"/>
      <w:r w:rsidRPr="00E2037D">
        <w:rPr>
          <w:rFonts w:ascii="Book Antiqua" w:eastAsia="宋体" w:hAnsi="Book Antiqua" w:cs="宋体"/>
          <w:lang w:val="en-US" w:eastAsia="zh-CN"/>
        </w:rPr>
        <w:t xml:space="preserve"> </w:t>
      </w:r>
      <w:proofErr w:type="gramStart"/>
      <w:r w:rsidRPr="00E2037D">
        <w:rPr>
          <w:rFonts w:ascii="Book Antiqua" w:eastAsia="宋体" w:hAnsi="Book Antiqua" w:cs="宋体"/>
          <w:lang w:val="en-US" w:eastAsia="zh-CN"/>
        </w:rPr>
        <w:t xml:space="preserve">Risk of lymphoproliferative malignancy in relation to </w:t>
      </w:r>
      <w:r w:rsidRPr="00E2037D">
        <w:rPr>
          <w:rFonts w:ascii="Book Antiqua" w:eastAsia="宋体" w:hAnsi="Book Antiqua" w:cs="宋体"/>
          <w:lang w:val="en-US" w:eastAsia="zh-CN"/>
        </w:rPr>
        <w:lastRenderedPageBreak/>
        <w:t>small intestinal histopathology among patients with celiac disease.</w:t>
      </w:r>
      <w:proofErr w:type="gramEnd"/>
      <w:r w:rsidRPr="00E2037D">
        <w:rPr>
          <w:rFonts w:ascii="Book Antiqua" w:eastAsia="宋体" w:hAnsi="Book Antiqua" w:cs="宋体"/>
          <w:lang w:val="en-US" w:eastAsia="zh-CN"/>
        </w:rPr>
        <w:t xml:space="preserve"> </w:t>
      </w:r>
      <w:r w:rsidRPr="00E2037D">
        <w:rPr>
          <w:rFonts w:ascii="Book Antiqua" w:eastAsia="宋体" w:hAnsi="Book Antiqua" w:cs="宋体"/>
          <w:i/>
          <w:iCs/>
          <w:lang w:val="en-US" w:eastAsia="zh-CN"/>
        </w:rPr>
        <w:t>J Natl Cancer Inst</w:t>
      </w:r>
      <w:r w:rsidRPr="00E2037D">
        <w:rPr>
          <w:rFonts w:ascii="Book Antiqua" w:eastAsia="宋体" w:hAnsi="Book Antiqua" w:cs="宋体"/>
          <w:lang w:val="en-US" w:eastAsia="zh-CN"/>
        </w:rPr>
        <w:t xml:space="preserve"> 2011; </w:t>
      </w:r>
      <w:r w:rsidRPr="00E2037D">
        <w:rPr>
          <w:rFonts w:ascii="Book Antiqua" w:eastAsia="宋体" w:hAnsi="Book Antiqua" w:cs="宋体"/>
          <w:b/>
          <w:bCs/>
          <w:lang w:val="en-US" w:eastAsia="zh-CN"/>
        </w:rPr>
        <w:t>103</w:t>
      </w:r>
      <w:r w:rsidRPr="00E2037D">
        <w:rPr>
          <w:rFonts w:ascii="Book Antiqua" w:eastAsia="宋体" w:hAnsi="Book Antiqua" w:cs="宋体"/>
          <w:lang w:val="en-US" w:eastAsia="zh-CN"/>
        </w:rPr>
        <w:t>: 436-444 [PMID: 21289299 DOI: 10.1093/</w:t>
      </w:r>
      <w:proofErr w:type="spellStart"/>
      <w:r w:rsidRPr="00E2037D">
        <w:rPr>
          <w:rFonts w:ascii="Book Antiqua" w:eastAsia="宋体" w:hAnsi="Book Antiqua" w:cs="宋体"/>
          <w:lang w:val="en-US" w:eastAsia="zh-CN"/>
        </w:rPr>
        <w:t>jnci</w:t>
      </w:r>
      <w:proofErr w:type="spellEnd"/>
      <w:r w:rsidRPr="00E2037D">
        <w:rPr>
          <w:rFonts w:ascii="Book Antiqua" w:eastAsia="宋体" w:hAnsi="Book Antiqua" w:cs="宋体"/>
          <w:lang w:val="en-US" w:eastAsia="zh-CN"/>
        </w:rPr>
        <w:t>/djq564]</w:t>
      </w:r>
    </w:p>
    <w:p w14:paraId="7F6628D3" w14:textId="77777777" w:rsidR="00E2037D" w:rsidRPr="00E2037D" w:rsidRDefault="00E2037D" w:rsidP="00E2037D">
      <w:pPr>
        <w:spacing w:after="0" w:line="360" w:lineRule="auto"/>
        <w:jc w:val="both"/>
        <w:rPr>
          <w:rFonts w:ascii="Book Antiqua" w:eastAsia="宋体" w:hAnsi="Book Antiqua" w:cs="宋体"/>
          <w:lang w:val="en-US" w:eastAsia="zh-CN"/>
        </w:rPr>
      </w:pPr>
      <w:proofErr w:type="gramStart"/>
      <w:r w:rsidRPr="00E2037D">
        <w:rPr>
          <w:rFonts w:ascii="Book Antiqua" w:eastAsia="宋体" w:hAnsi="Book Antiqua" w:cs="宋体"/>
          <w:lang w:val="en-US" w:eastAsia="zh-CN"/>
        </w:rPr>
        <w:t xml:space="preserve">35 </w:t>
      </w:r>
      <w:proofErr w:type="spellStart"/>
      <w:r w:rsidRPr="00E2037D">
        <w:rPr>
          <w:rFonts w:ascii="Book Antiqua" w:eastAsia="宋体" w:hAnsi="Book Antiqua" w:cs="宋体"/>
          <w:b/>
          <w:bCs/>
          <w:lang w:val="en-US" w:eastAsia="zh-CN"/>
        </w:rPr>
        <w:t>Lebwohl</w:t>
      </w:r>
      <w:proofErr w:type="spellEnd"/>
      <w:r w:rsidRPr="00E2037D">
        <w:rPr>
          <w:rFonts w:ascii="Book Antiqua" w:eastAsia="宋体" w:hAnsi="Book Antiqua" w:cs="宋体"/>
          <w:b/>
          <w:bCs/>
          <w:lang w:val="en-US" w:eastAsia="zh-CN"/>
        </w:rPr>
        <w:t xml:space="preserve"> B</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Granath</w:t>
      </w:r>
      <w:proofErr w:type="spellEnd"/>
      <w:r w:rsidRPr="00E2037D">
        <w:rPr>
          <w:rFonts w:ascii="Book Antiqua" w:eastAsia="宋体" w:hAnsi="Book Antiqua" w:cs="宋体"/>
          <w:lang w:val="en-US" w:eastAsia="zh-CN"/>
        </w:rPr>
        <w:t xml:space="preserve"> F, Ekbom A, </w:t>
      </w:r>
      <w:proofErr w:type="spellStart"/>
      <w:r w:rsidRPr="00E2037D">
        <w:rPr>
          <w:rFonts w:ascii="Book Antiqua" w:eastAsia="宋体" w:hAnsi="Book Antiqua" w:cs="宋体"/>
          <w:lang w:val="en-US" w:eastAsia="zh-CN"/>
        </w:rPr>
        <w:t>Smedby</w:t>
      </w:r>
      <w:proofErr w:type="spellEnd"/>
      <w:r w:rsidRPr="00E2037D">
        <w:rPr>
          <w:rFonts w:ascii="Book Antiqua" w:eastAsia="宋体" w:hAnsi="Book Antiqua" w:cs="宋体"/>
          <w:lang w:val="en-US" w:eastAsia="zh-CN"/>
        </w:rPr>
        <w:t xml:space="preserve"> KE, Murray JA, </w:t>
      </w:r>
      <w:proofErr w:type="spellStart"/>
      <w:r w:rsidRPr="00E2037D">
        <w:rPr>
          <w:rFonts w:ascii="Book Antiqua" w:eastAsia="宋体" w:hAnsi="Book Antiqua" w:cs="宋体"/>
          <w:lang w:val="en-US" w:eastAsia="zh-CN"/>
        </w:rPr>
        <w:t>Neugut</w:t>
      </w:r>
      <w:proofErr w:type="spellEnd"/>
      <w:r w:rsidRPr="00E2037D">
        <w:rPr>
          <w:rFonts w:ascii="Book Antiqua" w:eastAsia="宋体" w:hAnsi="Book Antiqua" w:cs="宋体"/>
          <w:lang w:val="en-US" w:eastAsia="zh-CN"/>
        </w:rPr>
        <w:t xml:space="preserve"> AI, Green PH, </w:t>
      </w:r>
      <w:proofErr w:type="spellStart"/>
      <w:r w:rsidRPr="00E2037D">
        <w:rPr>
          <w:rFonts w:ascii="Book Antiqua" w:eastAsia="宋体" w:hAnsi="Book Antiqua" w:cs="宋体"/>
          <w:lang w:val="en-US" w:eastAsia="zh-CN"/>
        </w:rPr>
        <w:t>Ludvigsson</w:t>
      </w:r>
      <w:proofErr w:type="spellEnd"/>
      <w:r w:rsidRPr="00E2037D">
        <w:rPr>
          <w:rFonts w:ascii="Book Antiqua" w:eastAsia="宋体" w:hAnsi="Book Antiqua" w:cs="宋体"/>
          <w:lang w:val="en-US" w:eastAsia="zh-CN"/>
        </w:rPr>
        <w:t xml:space="preserve"> JF.</w:t>
      </w:r>
      <w:proofErr w:type="gramEnd"/>
      <w:r w:rsidRPr="00E2037D">
        <w:rPr>
          <w:rFonts w:ascii="Book Antiqua" w:eastAsia="宋体" w:hAnsi="Book Antiqua" w:cs="宋体"/>
          <w:lang w:val="en-US" w:eastAsia="zh-CN"/>
        </w:rPr>
        <w:t xml:space="preserve"> Mucosal healing and risk for lymphoproliferative malignancy in celiac disease: a population-based cohort study. </w:t>
      </w:r>
      <w:r w:rsidRPr="00E2037D">
        <w:rPr>
          <w:rFonts w:ascii="Book Antiqua" w:eastAsia="宋体" w:hAnsi="Book Antiqua" w:cs="宋体"/>
          <w:i/>
          <w:iCs/>
          <w:lang w:val="en-US" w:eastAsia="zh-CN"/>
        </w:rPr>
        <w:t>Ann Intern Med</w:t>
      </w:r>
      <w:r w:rsidRPr="00E2037D">
        <w:rPr>
          <w:rFonts w:ascii="Book Antiqua" w:eastAsia="宋体" w:hAnsi="Book Antiqua" w:cs="宋体"/>
          <w:lang w:val="en-US" w:eastAsia="zh-CN"/>
        </w:rPr>
        <w:t xml:space="preserve"> 2013; </w:t>
      </w:r>
      <w:r w:rsidRPr="00E2037D">
        <w:rPr>
          <w:rFonts w:ascii="Book Antiqua" w:eastAsia="宋体" w:hAnsi="Book Antiqua" w:cs="宋体"/>
          <w:b/>
          <w:bCs/>
          <w:lang w:val="en-US" w:eastAsia="zh-CN"/>
        </w:rPr>
        <w:t>159</w:t>
      </w:r>
      <w:r w:rsidRPr="00E2037D">
        <w:rPr>
          <w:rFonts w:ascii="Book Antiqua" w:eastAsia="宋体" w:hAnsi="Book Antiqua" w:cs="宋体"/>
          <w:lang w:val="en-US" w:eastAsia="zh-CN"/>
        </w:rPr>
        <w:t>: 169-175 [PMID: 23922062 DOI: 10.7326/0003-4819-159-3-201308060-00006]</w:t>
      </w:r>
    </w:p>
    <w:p w14:paraId="0D391BEB"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36 </w:t>
      </w:r>
      <w:r w:rsidRPr="00E2037D">
        <w:rPr>
          <w:rFonts w:ascii="Book Antiqua" w:eastAsia="宋体" w:hAnsi="Book Antiqua" w:cs="宋体"/>
          <w:b/>
          <w:bCs/>
          <w:lang w:val="en-US" w:eastAsia="zh-CN"/>
        </w:rPr>
        <w:t>Lewis NR</w:t>
      </w:r>
      <w:r w:rsidRPr="00E2037D">
        <w:rPr>
          <w:rFonts w:ascii="Book Antiqua" w:eastAsia="宋体" w:hAnsi="Book Antiqua" w:cs="宋体"/>
          <w:lang w:val="en-US" w:eastAsia="zh-CN"/>
        </w:rPr>
        <w:t xml:space="preserve">, Scott BB. Should patients with coeliac disease have their bone mineral density measured? </w:t>
      </w:r>
      <w:proofErr w:type="spellStart"/>
      <w:r w:rsidRPr="00E2037D">
        <w:rPr>
          <w:rFonts w:ascii="Book Antiqua" w:eastAsia="宋体" w:hAnsi="Book Antiqua" w:cs="宋体"/>
          <w:i/>
          <w:iCs/>
          <w:lang w:val="en-US" w:eastAsia="zh-CN"/>
        </w:rPr>
        <w:t>Eur</w:t>
      </w:r>
      <w:proofErr w:type="spellEnd"/>
      <w:r w:rsidRPr="00E2037D">
        <w:rPr>
          <w:rFonts w:ascii="Book Antiqua" w:eastAsia="宋体" w:hAnsi="Book Antiqua" w:cs="宋体"/>
          <w:i/>
          <w:iCs/>
          <w:lang w:val="en-US" w:eastAsia="zh-CN"/>
        </w:rPr>
        <w:t xml:space="preserve"> J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i/>
          <w:iCs/>
          <w:lang w:val="en-US" w:eastAsia="zh-CN"/>
        </w:rPr>
        <w:t xml:space="preserve"> </w:t>
      </w:r>
      <w:proofErr w:type="spellStart"/>
      <w:r w:rsidRPr="00E2037D">
        <w:rPr>
          <w:rFonts w:ascii="Book Antiqua" w:eastAsia="宋体" w:hAnsi="Book Antiqua" w:cs="宋体"/>
          <w:i/>
          <w:iCs/>
          <w:lang w:val="en-US" w:eastAsia="zh-CN"/>
        </w:rPr>
        <w:t>Hepatol</w:t>
      </w:r>
      <w:proofErr w:type="spellEnd"/>
      <w:r w:rsidRPr="00E2037D">
        <w:rPr>
          <w:rFonts w:ascii="Book Antiqua" w:eastAsia="宋体" w:hAnsi="Book Antiqua" w:cs="宋体"/>
          <w:lang w:val="en-US" w:eastAsia="zh-CN"/>
        </w:rPr>
        <w:t xml:space="preserve"> 2005; </w:t>
      </w:r>
      <w:r w:rsidRPr="00E2037D">
        <w:rPr>
          <w:rFonts w:ascii="Book Antiqua" w:eastAsia="宋体" w:hAnsi="Book Antiqua" w:cs="宋体"/>
          <w:b/>
          <w:bCs/>
          <w:lang w:val="en-US" w:eastAsia="zh-CN"/>
        </w:rPr>
        <w:t>17</w:t>
      </w:r>
      <w:r w:rsidRPr="00E2037D">
        <w:rPr>
          <w:rFonts w:ascii="Book Antiqua" w:eastAsia="宋体" w:hAnsi="Book Antiqua" w:cs="宋体"/>
          <w:lang w:val="en-US" w:eastAsia="zh-CN"/>
        </w:rPr>
        <w:t>: 1065-1070 [PMID: 16148551 DOI: 10.1097/00042737-200510000-00009]</w:t>
      </w:r>
    </w:p>
    <w:p w14:paraId="62F0CF93"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37 </w:t>
      </w:r>
      <w:r w:rsidRPr="00E2037D">
        <w:rPr>
          <w:rFonts w:ascii="Book Antiqua" w:eastAsia="宋体" w:hAnsi="Book Antiqua" w:cs="宋体"/>
          <w:b/>
          <w:bCs/>
          <w:lang w:val="en-US" w:eastAsia="zh-CN"/>
        </w:rPr>
        <w:t>West J</w:t>
      </w:r>
      <w:r w:rsidRPr="00E2037D">
        <w:rPr>
          <w:rFonts w:ascii="Book Antiqua" w:eastAsia="宋体" w:hAnsi="Book Antiqua" w:cs="宋体"/>
          <w:lang w:val="en-US" w:eastAsia="zh-CN"/>
        </w:rPr>
        <w:t xml:space="preserve">, Logan RF, Card TR, Smith C, Hubbard R. Fracture risk in people with celiac disease: a population-based cohort study. </w:t>
      </w:r>
      <w:r w:rsidRPr="00E2037D">
        <w:rPr>
          <w:rFonts w:ascii="Book Antiqua" w:eastAsia="宋体" w:hAnsi="Book Antiqua" w:cs="宋体"/>
          <w:i/>
          <w:iCs/>
          <w:lang w:val="en-US" w:eastAsia="zh-CN"/>
        </w:rPr>
        <w:t>Gastroenterology</w:t>
      </w:r>
      <w:r w:rsidRPr="00E2037D">
        <w:rPr>
          <w:rFonts w:ascii="Book Antiqua" w:eastAsia="宋体" w:hAnsi="Book Antiqua" w:cs="宋体"/>
          <w:lang w:val="en-US" w:eastAsia="zh-CN"/>
        </w:rPr>
        <w:t xml:space="preserve"> 2003; </w:t>
      </w:r>
      <w:r w:rsidRPr="00E2037D">
        <w:rPr>
          <w:rFonts w:ascii="Book Antiqua" w:eastAsia="宋体" w:hAnsi="Book Antiqua" w:cs="宋体"/>
          <w:b/>
          <w:bCs/>
          <w:lang w:val="en-US" w:eastAsia="zh-CN"/>
        </w:rPr>
        <w:t>125</w:t>
      </w:r>
      <w:r w:rsidRPr="00E2037D">
        <w:rPr>
          <w:rFonts w:ascii="Book Antiqua" w:eastAsia="宋体" w:hAnsi="Book Antiqua" w:cs="宋体"/>
          <w:lang w:val="en-US" w:eastAsia="zh-CN"/>
        </w:rPr>
        <w:t>: 429-436 [PMID: 12891545 DOI: 10.1016/S0016-5085(03)00891-6]</w:t>
      </w:r>
    </w:p>
    <w:p w14:paraId="4B582600"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38 </w:t>
      </w:r>
      <w:proofErr w:type="spellStart"/>
      <w:r w:rsidRPr="00E2037D">
        <w:rPr>
          <w:rFonts w:ascii="Book Antiqua" w:eastAsia="宋体" w:hAnsi="Book Antiqua" w:cs="宋体"/>
          <w:b/>
          <w:bCs/>
          <w:lang w:val="en-US" w:eastAsia="zh-CN"/>
        </w:rPr>
        <w:t>Ribes-Koninckx</w:t>
      </w:r>
      <w:proofErr w:type="spellEnd"/>
      <w:r w:rsidRPr="00E2037D">
        <w:rPr>
          <w:rFonts w:ascii="Book Antiqua" w:eastAsia="宋体" w:hAnsi="Book Antiqua" w:cs="宋体"/>
          <w:b/>
          <w:bCs/>
          <w:lang w:val="en-US" w:eastAsia="zh-CN"/>
        </w:rPr>
        <w:t xml:space="preserve"> C</w:t>
      </w:r>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Mearin</w:t>
      </w:r>
      <w:proofErr w:type="spellEnd"/>
      <w:r w:rsidRPr="00E2037D">
        <w:rPr>
          <w:rFonts w:ascii="Book Antiqua" w:eastAsia="宋体" w:hAnsi="Book Antiqua" w:cs="宋体"/>
          <w:lang w:val="en-US" w:eastAsia="zh-CN"/>
        </w:rPr>
        <w:t xml:space="preserve"> ML, </w:t>
      </w:r>
      <w:proofErr w:type="spellStart"/>
      <w:r w:rsidRPr="00E2037D">
        <w:rPr>
          <w:rFonts w:ascii="Book Antiqua" w:eastAsia="宋体" w:hAnsi="Book Antiqua" w:cs="宋体"/>
          <w:lang w:val="en-US" w:eastAsia="zh-CN"/>
        </w:rPr>
        <w:t>Korponay-Szabó</w:t>
      </w:r>
      <w:proofErr w:type="spellEnd"/>
      <w:r w:rsidRPr="00E2037D">
        <w:rPr>
          <w:rFonts w:ascii="Book Antiqua" w:eastAsia="宋体" w:hAnsi="Book Antiqua" w:cs="宋体"/>
          <w:lang w:val="en-US" w:eastAsia="zh-CN"/>
        </w:rPr>
        <w:t xml:space="preserve"> IR, Shamir R, </w:t>
      </w:r>
      <w:proofErr w:type="spellStart"/>
      <w:r w:rsidRPr="00E2037D">
        <w:rPr>
          <w:rFonts w:ascii="Book Antiqua" w:eastAsia="宋体" w:hAnsi="Book Antiqua" w:cs="宋体"/>
          <w:lang w:val="en-US" w:eastAsia="zh-CN"/>
        </w:rPr>
        <w:t>Husby</w:t>
      </w:r>
      <w:proofErr w:type="spellEnd"/>
      <w:r w:rsidRPr="00E2037D">
        <w:rPr>
          <w:rFonts w:ascii="Book Antiqua" w:eastAsia="宋体" w:hAnsi="Book Antiqua" w:cs="宋体"/>
          <w:lang w:val="en-US" w:eastAsia="zh-CN"/>
        </w:rPr>
        <w:t xml:space="preserve"> S, Ventura A, </w:t>
      </w:r>
      <w:proofErr w:type="spellStart"/>
      <w:r w:rsidRPr="00E2037D">
        <w:rPr>
          <w:rFonts w:ascii="Book Antiqua" w:eastAsia="宋体" w:hAnsi="Book Antiqua" w:cs="宋体"/>
          <w:lang w:val="en-US" w:eastAsia="zh-CN"/>
        </w:rPr>
        <w:t>Branski</w:t>
      </w:r>
      <w:proofErr w:type="spellEnd"/>
      <w:r w:rsidRPr="00E2037D">
        <w:rPr>
          <w:rFonts w:ascii="Book Antiqua" w:eastAsia="宋体" w:hAnsi="Book Antiqua" w:cs="宋体"/>
          <w:lang w:val="en-US" w:eastAsia="zh-CN"/>
        </w:rPr>
        <w:t xml:space="preserve"> D, </w:t>
      </w:r>
      <w:proofErr w:type="spellStart"/>
      <w:r w:rsidRPr="00E2037D">
        <w:rPr>
          <w:rFonts w:ascii="Book Antiqua" w:eastAsia="宋体" w:hAnsi="Book Antiqua" w:cs="宋体"/>
          <w:lang w:val="en-US" w:eastAsia="zh-CN"/>
        </w:rPr>
        <w:t>Catassi</w:t>
      </w:r>
      <w:proofErr w:type="spellEnd"/>
      <w:r w:rsidRPr="00E2037D">
        <w:rPr>
          <w:rFonts w:ascii="Book Antiqua" w:eastAsia="宋体" w:hAnsi="Book Antiqua" w:cs="宋体"/>
          <w:lang w:val="en-US" w:eastAsia="zh-CN"/>
        </w:rPr>
        <w:t xml:space="preserve"> C, </w:t>
      </w:r>
      <w:proofErr w:type="spellStart"/>
      <w:r w:rsidRPr="00E2037D">
        <w:rPr>
          <w:rFonts w:ascii="Book Antiqua" w:eastAsia="宋体" w:hAnsi="Book Antiqua" w:cs="宋体"/>
          <w:lang w:val="en-US" w:eastAsia="zh-CN"/>
        </w:rPr>
        <w:t>Koletzko</w:t>
      </w:r>
      <w:proofErr w:type="spellEnd"/>
      <w:r w:rsidRPr="00E2037D">
        <w:rPr>
          <w:rFonts w:ascii="Book Antiqua" w:eastAsia="宋体" w:hAnsi="Book Antiqua" w:cs="宋体"/>
          <w:lang w:val="en-US" w:eastAsia="zh-CN"/>
        </w:rPr>
        <w:t xml:space="preserve"> S, </w:t>
      </w:r>
      <w:proofErr w:type="spellStart"/>
      <w:r w:rsidRPr="00E2037D">
        <w:rPr>
          <w:rFonts w:ascii="Book Antiqua" w:eastAsia="宋体" w:hAnsi="Book Antiqua" w:cs="宋体"/>
          <w:lang w:val="en-US" w:eastAsia="zh-CN"/>
        </w:rPr>
        <w:t>Mäki</w:t>
      </w:r>
      <w:proofErr w:type="spellEnd"/>
      <w:r w:rsidRPr="00E2037D">
        <w:rPr>
          <w:rFonts w:ascii="Book Antiqua" w:eastAsia="宋体" w:hAnsi="Book Antiqua" w:cs="宋体"/>
          <w:lang w:val="en-US" w:eastAsia="zh-CN"/>
        </w:rPr>
        <w:t xml:space="preserve"> M, </w:t>
      </w:r>
      <w:proofErr w:type="spellStart"/>
      <w:r w:rsidRPr="00E2037D">
        <w:rPr>
          <w:rFonts w:ascii="Book Antiqua" w:eastAsia="宋体" w:hAnsi="Book Antiqua" w:cs="宋体"/>
          <w:lang w:val="en-US" w:eastAsia="zh-CN"/>
        </w:rPr>
        <w:t>Troncone</w:t>
      </w:r>
      <w:proofErr w:type="spellEnd"/>
      <w:r w:rsidRPr="00E2037D">
        <w:rPr>
          <w:rFonts w:ascii="Book Antiqua" w:eastAsia="宋体" w:hAnsi="Book Antiqua" w:cs="宋体"/>
          <w:lang w:val="en-US" w:eastAsia="zh-CN"/>
        </w:rPr>
        <w:t xml:space="preserve"> R, Zimmer KP. Coeliac disease diagnosis: ESPGHAN 1990 criteria or need for a change? </w:t>
      </w:r>
      <w:proofErr w:type="gramStart"/>
      <w:r w:rsidRPr="00E2037D">
        <w:rPr>
          <w:rFonts w:ascii="Book Antiqua" w:eastAsia="宋体" w:hAnsi="Book Antiqua" w:cs="宋体"/>
          <w:lang w:val="en-US" w:eastAsia="zh-CN"/>
        </w:rPr>
        <w:t>Results of a questionnaire.</w:t>
      </w:r>
      <w:proofErr w:type="gramEnd"/>
      <w:r w:rsidRPr="00E2037D">
        <w:rPr>
          <w:rFonts w:ascii="Book Antiqua" w:eastAsia="宋体" w:hAnsi="Book Antiqua" w:cs="宋体"/>
          <w:lang w:val="en-US" w:eastAsia="zh-CN"/>
        </w:rPr>
        <w:t xml:space="preserve"> </w:t>
      </w:r>
      <w:r w:rsidRPr="00E2037D">
        <w:rPr>
          <w:rFonts w:ascii="Book Antiqua" w:eastAsia="宋体" w:hAnsi="Book Antiqua" w:cs="宋体"/>
          <w:i/>
          <w:iCs/>
          <w:lang w:val="en-US" w:eastAsia="zh-CN"/>
        </w:rPr>
        <w:t xml:space="preserve">J </w:t>
      </w:r>
      <w:proofErr w:type="spellStart"/>
      <w:r w:rsidRPr="00E2037D">
        <w:rPr>
          <w:rFonts w:ascii="Book Antiqua" w:eastAsia="宋体" w:hAnsi="Book Antiqua" w:cs="宋体"/>
          <w:i/>
          <w:iCs/>
          <w:lang w:val="en-US" w:eastAsia="zh-CN"/>
        </w:rPr>
        <w:t>Pediatr</w:t>
      </w:r>
      <w:proofErr w:type="spellEnd"/>
      <w:r w:rsidRPr="00E2037D">
        <w:rPr>
          <w:rFonts w:ascii="Book Antiqua" w:eastAsia="宋体" w:hAnsi="Book Antiqua" w:cs="宋体"/>
          <w:i/>
          <w:iCs/>
          <w:lang w:val="en-US" w:eastAsia="zh-CN"/>
        </w:rPr>
        <w:t xml:space="preserve">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i/>
          <w:iCs/>
          <w:lang w:val="en-US" w:eastAsia="zh-CN"/>
        </w:rPr>
        <w:t xml:space="preserve"> </w:t>
      </w:r>
      <w:proofErr w:type="spellStart"/>
      <w:r w:rsidRPr="00E2037D">
        <w:rPr>
          <w:rFonts w:ascii="Book Antiqua" w:eastAsia="宋体" w:hAnsi="Book Antiqua" w:cs="宋体"/>
          <w:i/>
          <w:iCs/>
          <w:lang w:val="en-US" w:eastAsia="zh-CN"/>
        </w:rPr>
        <w:t>Nutr</w:t>
      </w:r>
      <w:proofErr w:type="spellEnd"/>
      <w:r w:rsidRPr="00E2037D">
        <w:rPr>
          <w:rFonts w:ascii="Book Antiqua" w:eastAsia="宋体" w:hAnsi="Book Antiqua" w:cs="宋体"/>
          <w:lang w:val="en-US" w:eastAsia="zh-CN"/>
        </w:rPr>
        <w:t xml:space="preserve"> 2012; </w:t>
      </w:r>
      <w:r w:rsidRPr="00E2037D">
        <w:rPr>
          <w:rFonts w:ascii="Book Antiqua" w:eastAsia="宋体" w:hAnsi="Book Antiqua" w:cs="宋体"/>
          <w:b/>
          <w:bCs/>
          <w:lang w:val="en-US" w:eastAsia="zh-CN"/>
        </w:rPr>
        <w:t>54</w:t>
      </w:r>
      <w:r w:rsidRPr="00E2037D">
        <w:rPr>
          <w:rFonts w:ascii="Book Antiqua" w:eastAsia="宋体" w:hAnsi="Book Antiqua" w:cs="宋体"/>
          <w:lang w:val="en-US" w:eastAsia="zh-CN"/>
        </w:rPr>
        <w:t>: 15-19 [PMID: 21716133 DOI: 10.1097/MPG.0b013e31822a00bb]</w:t>
      </w:r>
    </w:p>
    <w:p w14:paraId="0FB6A18C"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39 </w:t>
      </w:r>
      <w:r w:rsidRPr="00E2037D">
        <w:rPr>
          <w:rFonts w:ascii="Book Antiqua" w:eastAsia="宋体" w:hAnsi="Book Antiqua" w:cs="宋体"/>
          <w:b/>
          <w:bCs/>
          <w:lang w:val="en-US" w:eastAsia="zh-CN"/>
        </w:rPr>
        <w:t>Thomas HJ</w:t>
      </w:r>
      <w:r w:rsidRPr="00E2037D">
        <w:rPr>
          <w:rFonts w:ascii="Book Antiqua" w:eastAsia="宋体" w:hAnsi="Book Antiqua" w:cs="宋体"/>
          <w:lang w:val="en-US" w:eastAsia="zh-CN"/>
        </w:rPr>
        <w:t xml:space="preserve">, Wotton CJ, </w:t>
      </w:r>
      <w:proofErr w:type="spellStart"/>
      <w:r w:rsidRPr="00E2037D">
        <w:rPr>
          <w:rFonts w:ascii="Book Antiqua" w:eastAsia="宋体" w:hAnsi="Book Antiqua" w:cs="宋体"/>
          <w:lang w:val="en-US" w:eastAsia="zh-CN"/>
        </w:rPr>
        <w:t>Yeates</w:t>
      </w:r>
      <w:proofErr w:type="spellEnd"/>
      <w:r w:rsidRPr="00E2037D">
        <w:rPr>
          <w:rFonts w:ascii="Book Antiqua" w:eastAsia="宋体" w:hAnsi="Book Antiqua" w:cs="宋体"/>
          <w:lang w:val="en-US" w:eastAsia="zh-CN"/>
        </w:rPr>
        <w:t xml:space="preserve"> D, Ahmad T, Jewell DP, </w:t>
      </w:r>
      <w:proofErr w:type="spellStart"/>
      <w:r w:rsidRPr="00E2037D">
        <w:rPr>
          <w:rFonts w:ascii="Book Antiqua" w:eastAsia="宋体" w:hAnsi="Book Antiqua" w:cs="宋体"/>
          <w:lang w:val="en-US" w:eastAsia="zh-CN"/>
        </w:rPr>
        <w:t>Goldacre</w:t>
      </w:r>
      <w:proofErr w:type="spellEnd"/>
      <w:r w:rsidRPr="00E2037D">
        <w:rPr>
          <w:rFonts w:ascii="Book Antiqua" w:eastAsia="宋体" w:hAnsi="Book Antiqua" w:cs="宋体"/>
          <w:lang w:val="en-US" w:eastAsia="zh-CN"/>
        </w:rPr>
        <w:t xml:space="preserve"> MJ. </w:t>
      </w:r>
      <w:proofErr w:type="gramStart"/>
      <w:r w:rsidRPr="00E2037D">
        <w:rPr>
          <w:rFonts w:ascii="Book Antiqua" w:eastAsia="宋体" w:hAnsi="Book Antiqua" w:cs="宋体"/>
          <w:lang w:val="en-US" w:eastAsia="zh-CN"/>
        </w:rPr>
        <w:t>Pneumococcal infection in patients with coeliac disease.</w:t>
      </w:r>
      <w:proofErr w:type="gramEnd"/>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i/>
          <w:iCs/>
          <w:lang w:val="en-US" w:eastAsia="zh-CN"/>
        </w:rPr>
        <w:t>Eur</w:t>
      </w:r>
      <w:proofErr w:type="spellEnd"/>
      <w:r w:rsidRPr="00E2037D">
        <w:rPr>
          <w:rFonts w:ascii="Book Antiqua" w:eastAsia="宋体" w:hAnsi="Book Antiqua" w:cs="宋体"/>
          <w:i/>
          <w:iCs/>
          <w:lang w:val="en-US" w:eastAsia="zh-CN"/>
        </w:rPr>
        <w:t xml:space="preserve"> J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i/>
          <w:iCs/>
          <w:lang w:val="en-US" w:eastAsia="zh-CN"/>
        </w:rPr>
        <w:t xml:space="preserve"> </w:t>
      </w:r>
      <w:proofErr w:type="spellStart"/>
      <w:r w:rsidRPr="00E2037D">
        <w:rPr>
          <w:rFonts w:ascii="Book Antiqua" w:eastAsia="宋体" w:hAnsi="Book Antiqua" w:cs="宋体"/>
          <w:i/>
          <w:iCs/>
          <w:lang w:val="en-US" w:eastAsia="zh-CN"/>
        </w:rPr>
        <w:t>Hepatol</w:t>
      </w:r>
      <w:proofErr w:type="spellEnd"/>
      <w:r w:rsidRPr="00E2037D">
        <w:rPr>
          <w:rFonts w:ascii="Book Antiqua" w:eastAsia="宋体" w:hAnsi="Book Antiqua" w:cs="宋体"/>
          <w:lang w:val="en-US" w:eastAsia="zh-CN"/>
        </w:rPr>
        <w:t xml:space="preserve"> 2008; </w:t>
      </w:r>
      <w:r w:rsidRPr="00E2037D">
        <w:rPr>
          <w:rFonts w:ascii="Book Antiqua" w:eastAsia="宋体" w:hAnsi="Book Antiqua" w:cs="宋体"/>
          <w:b/>
          <w:bCs/>
          <w:lang w:val="en-US" w:eastAsia="zh-CN"/>
        </w:rPr>
        <w:t>20</w:t>
      </w:r>
      <w:r w:rsidRPr="00E2037D">
        <w:rPr>
          <w:rFonts w:ascii="Book Antiqua" w:eastAsia="宋体" w:hAnsi="Book Antiqua" w:cs="宋体"/>
          <w:lang w:val="en-US" w:eastAsia="zh-CN"/>
        </w:rPr>
        <w:t>: 624-628 [PMID: 18679063 DOI: 10.1097/MEG.0b013e3282f45764]</w:t>
      </w:r>
    </w:p>
    <w:p w14:paraId="6C603FA3" w14:textId="77777777" w:rsidR="00E2037D" w:rsidRPr="00E2037D" w:rsidRDefault="00E2037D" w:rsidP="00E2037D">
      <w:pPr>
        <w:spacing w:after="0" w:line="360" w:lineRule="auto"/>
        <w:jc w:val="both"/>
        <w:rPr>
          <w:rFonts w:ascii="Book Antiqua" w:eastAsia="宋体" w:hAnsi="Book Antiqua" w:cs="宋体"/>
          <w:lang w:val="en-US" w:eastAsia="zh-CN"/>
        </w:rPr>
      </w:pPr>
      <w:r w:rsidRPr="00E2037D">
        <w:rPr>
          <w:rFonts w:ascii="Book Antiqua" w:eastAsia="宋体" w:hAnsi="Book Antiqua" w:cs="宋体"/>
          <w:lang w:val="en-US" w:eastAsia="zh-CN"/>
        </w:rPr>
        <w:t xml:space="preserve">40 </w:t>
      </w:r>
      <w:r w:rsidRPr="00E2037D">
        <w:rPr>
          <w:rFonts w:ascii="Book Antiqua" w:eastAsia="宋体" w:hAnsi="Book Antiqua" w:cs="宋体"/>
          <w:b/>
          <w:bCs/>
          <w:lang w:val="en-US" w:eastAsia="zh-CN"/>
        </w:rPr>
        <w:t xml:space="preserve">Di </w:t>
      </w:r>
      <w:proofErr w:type="spellStart"/>
      <w:r w:rsidRPr="00E2037D">
        <w:rPr>
          <w:rFonts w:ascii="Book Antiqua" w:eastAsia="宋体" w:hAnsi="Book Antiqua" w:cs="宋体"/>
          <w:b/>
          <w:bCs/>
          <w:lang w:val="en-US" w:eastAsia="zh-CN"/>
        </w:rPr>
        <w:t>Sabatino</w:t>
      </w:r>
      <w:proofErr w:type="spellEnd"/>
      <w:r w:rsidRPr="00E2037D">
        <w:rPr>
          <w:rFonts w:ascii="Book Antiqua" w:eastAsia="宋体" w:hAnsi="Book Antiqua" w:cs="宋体"/>
          <w:b/>
          <w:bCs/>
          <w:lang w:val="en-US" w:eastAsia="zh-CN"/>
        </w:rPr>
        <w:t xml:space="preserve"> A</w:t>
      </w:r>
      <w:r w:rsidRPr="00E2037D">
        <w:rPr>
          <w:rFonts w:ascii="Book Antiqua" w:eastAsia="宋体" w:hAnsi="Book Antiqua" w:cs="宋体"/>
          <w:lang w:val="en-US" w:eastAsia="zh-CN"/>
        </w:rPr>
        <w:t xml:space="preserve">, Brunetti L, </w:t>
      </w:r>
      <w:proofErr w:type="spellStart"/>
      <w:r w:rsidRPr="00E2037D">
        <w:rPr>
          <w:rFonts w:ascii="Book Antiqua" w:eastAsia="宋体" w:hAnsi="Book Antiqua" w:cs="宋体"/>
          <w:lang w:val="en-US" w:eastAsia="zh-CN"/>
        </w:rPr>
        <w:t>Carnevale</w:t>
      </w:r>
      <w:proofErr w:type="spellEnd"/>
      <w:r w:rsidRPr="00E2037D">
        <w:rPr>
          <w:rFonts w:ascii="Book Antiqua" w:eastAsia="宋体" w:hAnsi="Book Antiqua" w:cs="宋体"/>
          <w:lang w:val="en-US" w:eastAsia="zh-CN"/>
        </w:rPr>
        <w:t xml:space="preserve"> </w:t>
      </w:r>
      <w:proofErr w:type="spellStart"/>
      <w:r w:rsidRPr="00E2037D">
        <w:rPr>
          <w:rFonts w:ascii="Book Antiqua" w:eastAsia="宋体" w:hAnsi="Book Antiqua" w:cs="宋体"/>
          <w:lang w:val="en-US" w:eastAsia="zh-CN"/>
        </w:rPr>
        <w:t>Maffè</w:t>
      </w:r>
      <w:proofErr w:type="spellEnd"/>
      <w:r w:rsidRPr="00E2037D">
        <w:rPr>
          <w:rFonts w:ascii="Book Antiqua" w:eastAsia="宋体" w:hAnsi="Book Antiqua" w:cs="宋体"/>
          <w:lang w:val="en-US" w:eastAsia="zh-CN"/>
        </w:rPr>
        <w:t xml:space="preserve"> G, </w:t>
      </w:r>
      <w:proofErr w:type="spellStart"/>
      <w:r w:rsidRPr="00E2037D">
        <w:rPr>
          <w:rFonts w:ascii="Book Antiqua" w:eastAsia="宋体" w:hAnsi="Book Antiqua" w:cs="宋体"/>
          <w:lang w:val="en-US" w:eastAsia="zh-CN"/>
        </w:rPr>
        <w:t>Giuffrida</w:t>
      </w:r>
      <w:proofErr w:type="spellEnd"/>
      <w:r w:rsidRPr="00E2037D">
        <w:rPr>
          <w:rFonts w:ascii="Book Antiqua" w:eastAsia="宋体" w:hAnsi="Book Antiqua" w:cs="宋体"/>
          <w:lang w:val="en-US" w:eastAsia="zh-CN"/>
        </w:rPr>
        <w:t xml:space="preserve"> P, </w:t>
      </w:r>
      <w:proofErr w:type="spellStart"/>
      <w:r w:rsidRPr="00E2037D">
        <w:rPr>
          <w:rFonts w:ascii="Book Antiqua" w:eastAsia="宋体" w:hAnsi="Book Antiqua" w:cs="宋体"/>
          <w:lang w:val="en-US" w:eastAsia="zh-CN"/>
        </w:rPr>
        <w:t>Corazza</w:t>
      </w:r>
      <w:proofErr w:type="spellEnd"/>
      <w:r w:rsidRPr="00E2037D">
        <w:rPr>
          <w:rFonts w:ascii="Book Antiqua" w:eastAsia="宋体" w:hAnsi="Book Antiqua" w:cs="宋体"/>
          <w:lang w:val="en-US" w:eastAsia="zh-CN"/>
        </w:rPr>
        <w:t xml:space="preserve"> GR. Is it worth investigating splenic function in patients with celiac disease? </w:t>
      </w:r>
      <w:r w:rsidRPr="00E2037D">
        <w:rPr>
          <w:rFonts w:ascii="Book Antiqua" w:eastAsia="宋体" w:hAnsi="Book Antiqua" w:cs="宋体"/>
          <w:i/>
          <w:iCs/>
          <w:lang w:val="en-US" w:eastAsia="zh-CN"/>
        </w:rPr>
        <w:t xml:space="preserve">World J </w:t>
      </w:r>
      <w:proofErr w:type="spellStart"/>
      <w:r w:rsidRPr="00E2037D">
        <w:rPr>
          <w:rFonts w:ascii="Book Antiqua" w:eastAsia="宋体" w:hAnsi="Book Antiqua" w:cs="宋体"/>
          <w:i/>
          <w:iCs/>
          <w:lang w:val="en-US" w:eastAsia="zh-CN"/>
        </w:rPr>
        <w:t>Gastroenterol</w:t>
      </w:r>
      <w:proofErr w:type="spellEnd"/>
      <w:r w:rsidRPr="00E2037D">
        <w:rPr>
          <w:rFonts w:ascii="Book Antiqua" w:eastAsia="宋体" w:hAnsi="Book Antiqua" w:cs="宋体"/>
          <w:lang w:val="en-US" w:eastAsia="zh-CN"/>
        </w:rPr>
        <w:t xml:space="preserve"> 2013; </w:t>
      </w:r>
      <w:r w:rsidRPr="00E2037D">
        <w:rPr>
          <w:rFonts w:ascii="Book Antiqua" w:eastAsia="宋体" w:hAnsi="Book Antiqua" w:cs="宋体"/>
          <w:b/>
          <w:bCs/>
          <w:lang w:val="en-US" w:eastAsia="zh-CN"/>
        </w:rPr>
        <w:t>19</w:t>
      </w:r>
      <w:r w:rsidRPr="00E2037D">
        <w:rPr>
          <w:rFonts w:ascii="Book Antiqua" w:eastAsia="宋体" w:hAnsi="Book Antiqua" w:cs="宋体"/>
          <w:lang w:val="en-US" w:eastAsia="zh-CN"/>
        </w:rPr>
        <w:t>: 2313-2318 [PMID: 23613624 DOI: 10.3748/wjg.v19.i15.2313]</w:t>
      </w:r>
    </w:p>
    <w:p w14:paraId="5370954C" w14:textId="3ACF85F3" w:rsidR="00F71496" w:rsidRPr="00E2037D" w:rsidRDefault="00F71496" w:rsidP="00E2037D">
      <w:pPr>
        <w:spacing w:after="0" w:line="360" w:lineRule="auto"/>
        <w:jc w:val="both"/>
        <w:rPr>
          <w:rFonts w:ascii="Book Antiqua" w:eastAsia="GungsuhChe" w:hAnsi="Book Antiqua" w:cs="Arial"/>
          <w:lang w:val="en-US"/>
        </w:rPr>
      </w:pPr>
    </w:p>
    <w:p w14:paraId="060E8DE9" w14:textId="77777777" w:rsidR="003435AA" w:rsidRDefault="004F2A2C" w:rsidP="00F05A2F">
      <w:pPr>
        <w:spacing w:after="0" w:line="360" w:lineRule="auto"/>
        <w:jc w:val="right"/>
        <w:rPr>
          <w:rFonts w:ascii="Book Antiqua" w:eastAsia="宋体" w:hAnsi="Book Antiqua"/>
          <w:b/>
          <w:lang w:eastAsia="zh-CN"/>
        </w:rPr>
      </w:pPr>
      <w:r w:rsidRPr="00F05A2F">
        <w:rPr>
          <w:rFonts w:ascii="Book Antiqua" w:hAnsi="Book Antiqua"/>
          <w:b/>
        </w:rPr>
        <w:t xml:space="preserve">P-Reviewer: </w:t>
      </w:r>
      <w:r w:rsidR="00E2037D" w:rsidRPr="00F05A2F">
        <w:rPr>
          <w:rFonts w:ascii="Book Antiqua" w:hAnsi="Book Antiqua" w:cs="Tahoma"/>
          <w:color w:val="000000"/>
        </w:rPr>
        <w:t>Greco</w:t>
      </w:r>
      <w:r w:rsidR="00E2037D" w:rsidRPr="00F05A2F">
        <w:rPr>
          <w:rFonts w:ascii="Book Antiqua" w:eastAsia="宋体" w:hAnsi="Book Antiqua" w:cs="Tahoma"/>
          <w:color w:val="000000"/>
          <w:lang w:eastAsia="zh-CN"/>
        </w:rPr>
        <w:t xml:space="preserve"> L, </w:t>
      </w:r>
      <w:r w:rsidR="00E2037D" w:rsidRPr="00F05A2F">
        <w:rPr>
          <w:rFonts w:ascii="Book Antiqua" w:hAnsi="Book Antiqua" w:cs="Tahoma"/>
          <w:color w:val="000000"/>
        </w:rPr>
        <w:t>Julio-Pieper</w:t>
      </w:r>
      <w:r w:rsidR="00E2037D" w:rsidRPr="00F05A2F">
        <w:rPr>
          <w:rFonts w:ascii="Book Antiqua" w:eastAsia="宋体" w:hAnsi="Book Antiqua" w:cs="Tahoma"/>
          <w:color w:val="000000"/>
          <w:lang w:eastAsia="zh-CN"/>
        </w:rPr>
        <w:t xml:space="preserve"> M, </w:t>
      </w:r>
      <w:r w:rsidR="00E2037D" w:rsidRPr="00F05A2F">
        <w:rPr>
          <w:rFonts w:ascii="Book Antiqua" w:hAnsi="Book Antiqua" w:cs="Tahoma"/>
          <w:color w:val="000000"/>
        </w:rPr>
        <w:t>Rodrigo</w:t>
      </w:r>
      <w:r w:rsidR="00E2037D" w:rsidRPr="00F05A2F">
        <w:rPr>
          <w:rFonts w:ascii="Book Antiqua" w:eastAsia="宋体" w:hAnsi="Book Antiqua" w:cs="Tahoma"/>
          <w:color w:val="000000"/>
          <w:lang w:eastAsia="zh-CN"/>
        </w:rPr>
        <w:t xml:space="preserve"> L</w:t>
      </w:r>
      <w:r w:rsidR="00E2037D" w:rsidRPr="00F05A2F">
        <w:rPr>
          <w:rFonts w:ascii="Book Antiqua" w:hAnsi="Book Antiqua"/>
          <w:b/>
        </w:rPr>
        <w:t xml:space="preserve"> </w:t>
      </w:r>
    </w:p>
    <w:p w14:paraId="58697E5F" w14:textId="7766D41F" w:rsidR="00965571" w:rsidRPr="00F05A2F" w:rsidRDefault="004F2A2C" w:rsidP="00F05A2F">
      <w:pPr>
        <w:spacing w:after="0" w:line="360" w:lineRule="auto"/>
        <w:jc w:val="right"/>
        <w:rPr>
          <w:rFonts w:ascii="Book Antiqua" w:eastAsia="宋体" w:hAnsi="Book Antiqua"/>
          <w:b/>
          <w:lang w:eastAsia="zh-CN"/>
        </w:rPr>
      </w:pPr>
      <w:r w:rsidRPr="00F05A2F">
        <w:rPr>
          <w:rFonts w:ascii="Book Antiqua" w:hAnsi="Book Antiqua"/>
          <w:b/>
        </w:rPr>
        <w:t xml:space="preserve">S-Editor: </w:t>
      </w:r>
      <w:r w:rsidRPr="00F05A2F">
        <w:rPr>
          <w:rFonts w:ascii="Book Antiqua" w:hAnsi="Book Antiqua"/>
        </w:rPr>
        <w:t>Ji FF</w:t>
      </w:r>
      <w:r w:rsidRPr="00F05A2F">
        <w:rPr>
          <w:rFonts w:ascii="Book Antiqua" w:hAnsi="Book Antiqua"/>
          <w:b/>
        </w:rPr>
        <w:t xml:space="preserve"> L-Editor: E-Editor:</w:t>
      </w:r>
    </w:p>
    <w:p w14:paraId="2CE470D9" w14:textId="77777777" w:rsidR="004F2A2C" w:rsidRPr="004F2A2C" w:rsidRDefault="004F2A2C" w:rsidP="00EA5799">
      <w:pPr>
        <w:spacing w:after="0" w:line="360" w:lineRule="auto"/>
        <w:jc w:val="both"/>
        <w:rPr>
          <w:rFonts w:ascii="Book Antiqua" w:eastAsia="宋体" w:hAnsi="Book Antiqua" w:cs="Arial"/>
          <w:lang w:val="en-US" w:eastAsia="zh-CN"/>
        </w:rPr>
      </w:pPr>
    </w:p>
    <w:p w14:paraId="4238F68C" w14:textId="77777777" w:rsidR="004F2A2C" w:rsidRDefault="004F2A2C">
      <w:pPr>
        <w:rPr>
          <w:rFonts w:ascii="Book Antiqua" w:eastAsia="GungsuhChe" w:hAnsi="Book Antiqua" w:cs="Arial"/>
          <w:b/>
          <w:lang w:val="en-US"/>
        </w:rPr>
      </w:pPr>
      <w:r>
        <w:rPr>
          <w:rFonts w:ascii="Book Antiqua" w:eastAsia="GungsuhChe" w:hAnsi="Book Antiqua" w:cs="Arial"/>
          <w:b/>
          <w:lang w:val="en-US"/>
        </w:rPr>
        <w:br w:type="page"/>
      </w:r>
    </w:p>
    <w:p w14:paraId="035BFB67" w14:textId="671C42BB" w:rsidR="00965571" w:rsidRPr="004F2A2C" w:rsidRDefault="004F2A2C" w:rsidP="00EA5799">
      <w:pPr>
        <w:spacing w:after="0" w:line="360" w:lineRule="auto"/>
        <w:jc w:val="both"/>
        <w:rPr>
          <w:rFonts w:ascii="Book Antiqua" w:eastAsia="GungsuhChe" w:hAnsi="Book Antiqua" w:cs="Arial"/>
          <w:b/>
          <w:lang w:val="en-US"/>
        </w:rPr>
      </w:pPr>
      <w:r w:rsidRPr="004F2A2C">
        <w:rPr>
          <w:rFonts w:ascii="Book Antiqua" w:eastAsia="GungsuhChe" w:hAnsi="Book Antiqua" w:cs="Arial"/>
          <w:b/>
          <w:lang w:val="en-US"/>
        </w:rPr>
        <w:lastRenderedPageBreak/>
        <w:t xml:space="preserve">Table 1 </w:t>
      </w:r>
      <w:r w:rsidR="00965571" w:rsidRPr="004F2A2C">
        <w:rPr>
          <w:rFonts w:ascii="Book Antiqua" w:eastAsia="GungsuhChe" w:hAnsi="Book Antiqua" w:cs="Arial"/>
          <w:b/>
          <w:lang w:val="en-US"/>
        </w:rPr>
        <w:t xml:space="preserve">Age-related major clinical </w:t>
      </w:r>
      <w:proofErr w:type="gramStart"/>
      <w:r w:rsidR="00965571" w:rsidRPr="004F2A2C">
        <w:rPr>
          <w:rFonts w:ascii="Book Antiqua" w:eastAsia="GungsuhChe" w:hAnsi="Book Antiqua" w:cs="Arial"/>
          <w:b/>
          <w:lang w:val="en-US"/>
        </w:rPr>
        <w:t>findings</w:t>
      </w:r>
      <w:proofErr w:type="gramEnd"/>
      <w:r w:rsidR="00965571" w:rsidRPr="004F2A2C">
        <w:rPr>
          <w:rFonts w:ascii="Book Antiqua" w:eastAsia="GungsuhChe" w:hAnsi="Book Antiqua" w:cs="Arial"/>
          <w:b/>
          <w:lang w:val="en-US"/>
        </w:rPr>
        <w:t xml:space="preserve"> at celiac disease diagnosis</w:t>
      </w:r>
    </w:p>
    <w:tbl>
      <w:tblPr>
        <w:tblStyle w:val="TableGrid"/>
        <w:tblW w:w="9039" w:type="dxa"/>
        <w:tblLook w:val="04A0" w:firstRow="1" w:lastRow="0" w:firstColumn="1" w:lastColumn="0" w:noHBand="0" w:noVBand="1"/>
      </w:tblPr>
      <w:tblGrid>
        <w:gridCol w:w="2879"/>
        <w:gridCol w:w="2879"/>
        <w:gridCol w:w="3281"/>
      </w:tblGrid>
      <w:tr w:rsidR="00EA5799" w:rsidRPr="00EA5799" w14:paraId="654D0B7C" w14:textId="77777777" w:rsidTr="00314F56">
        <w:tc>
          <w:tcPr>
            <w:tcW w:w="2879" w:type="dxa"/>
          </w:tcPr>
          <w:p w14:paraId="7AC85749" w14:textId="3B3E2F5B" w:rsidR="00965571" w:rsidRPr="004F2A2C" w:rsidRDefault="004F2A2C" w:rsidP="00EA5799">
            <w:pPr>
              <w:spacing w:line="360" w:lineRule="auto"/>
              <w:jc w:val="both"/>
              <w:rPr>
                <w:rFonts w:ascii="Book Antiqua" w:eastAsia="宋体" w:hAnsi="Book Antiqua" w:cs="Arial"/>
                <w:lang w:val="es-ES" w:eastAsia="zh-CN"/>
              </w:rPr>
            </w:pPr>
            <w:r>
              <w:rPr>
                <w:rFonts w:ascii="Book Antiqua" w:eastAsia="GungsuhChe" w:hAnsi="Book Antiqua" w:cs="Arial"/>
                <w:lang w:val="es-ES"/>
              </w:rPr>
              <w:t>Children &lt; 2 yr</w:t>
            </w:r>
          </w:p>
        </w:tc>
        <w:tc>
          <w:tcPr>
            <w:tcW w:w="2879" w:type="dxa"/>
          </w:tcPr>
          <w:p w14:paraId="72C9868D" w14:textId="6C75326C" w:rsidR="00965571" w:rsidRPr="004F2A2C" w:rsidRDefault="004F2A2C" w:rsidP="00EA5799">
            <w:pPr>
              <w:spacing w:line="360" w:lineRule="auto"/>
              <w:jc w:val="both"/>
              <w:rPr>
                <w:rFonts w:ascii="Book Antiqua" w:eastAsia="宋体" w:hAnsi="Book Antiqua" w:cs="Arial"/>
                <w:lang w:val="es-ES" w:eastAsia="zh-CN"/>
              </w:rPr>
            </w:pPr>
            <w:r>
              <w:rPr>
                <w:rFonts w:ascii="Book Antiqua" w:eastAsia="GungsuhChe" w:hAnsi="Book Antiqua" w:cs="Arial"/>
                <w:lang w:val="es-ES"/>
              </w:rPr>
              <w:t>Children &gt; 2 yr</w:t>
            </w:r>
          </w:p>
        </w:tc>
        <w:tc>
          <w:tcPr>
            <w:tcW w:w="3281" w:type="dxa"/>
          </w:tcPr>
          <w:p w14:paraId="383BB2F4"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Adults</w:t>
            </w:r>
          </w:p>
        </w:tc>
      </w:tr>
      <w:tr w:rsidR="00EA5799" w:rsidRPr="00EA5799" w14:paraId="10FA8FD7" w14:textId="77777777" w:rsidTr="00314F56">
        <w:tc>
          <w:tcPr>
            <w:tcW w:w="2879" w:type="dxa"/>
          </w:tcPr>
          <w:p w14:paraId="57BE93E0"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Diarrhea</w:t>
            </w:r>
          </w:p>
        </w:tc>
        <w:tc>
          <w:tcPr>
            <w:tcW w:w="2879" w:type="dxa"/>
          </w:tcPr>
          <w:p w14:paraId="453BCD92"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Loose stools</w:t>
            </w:r>
          </w:p>
        </w:tc>
        <w:tc>
          <w:tcPr>
            <w:tcW w:w="3281" w:type="dxa"/>
          </w:tcPr>
          <w:p w14:paraId="224A21AC"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Dyspepsia/Irritable bowel syndrome</w:t>
            </w:r>
          </w:p>
        </w:tc>
      </w:tr>
      <w:tr w:rsidR="00EA5799" w:rsidRPr="00EA5799" w14:paraId="450695E9" w14:textId="77777777" w:rsidTr="00314F56">
        <w:tc>
          <w:tcPr>
            <w:tcW w:w="2879" w:type="dxa"/>
          </w:tcPr>
          <w:p w14:paraId="776CE21A"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Malnutrition</w:t>
            </w:r>
          </w:p>
        </w:tc>
        <w:tc>
          <w:tcPr>
            <w:tcW w:w="2879" w:type="dxa"/>
          </w:tcPr>
          <w:p w14:paraId="272AE5B9"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iron deficiency</w:t>
            </w:r>
          </w:p>
        </w:tc>
        <w:tc>
          <w:tcPr>
            <w:tcW w:w="3281" w:type="dxa"/>
          </w:tcPr>
          <w:p w14:paraId="33BBC1CD"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Iron deficiency</w:t>
            </w:r>
          </w:p>
        </w:tc>
      </w:tr>
      <w:tr w:rsidR="00EA5799" w:rsidRPr="00EA5799" w14:paraId="76556CEB" w14:textId="77777777" w:rsidTr="00314F56">
        <w:tc>
          <w:tcPr>
            <w:tcW w:w="2879" w:type="dxa"/>
          </w:tcPr>
          <w:p w14:paraId="28B1ED94"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Bloating</w:t>
            </w:r>
          </w:p>
        </w:tc>
        <w:tc>
          <w:tcPr>
            <w:tcW w:w="2879" w:type="dxa"/>
          </w:tcPr>
          <w:p w14:paraId="4CF409C0"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Abdominal pain</w:t>
            </w:r>
          </w:p>
        </w:tc>
        <w:tc>
          <w:tcPr>
            <w:tcW w:w="3281" w:type="dxa"/>
          </w:tcPr>
          <w:p w14:paraId="4926F36D"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Constipation</w:t>
            </w:r>
            <w:r w:rsidRPr="00EA5799" w:rsidDel="00347BF6">
              <w:rPr>
                <w:rFonts w:ascii="Book Antiqua" w:eastAsia="GungsuhChe" w:hAnsi="Book Antiqua" w:cs="Arial"/>
                <w:lang w:val="es-ES"/>
              </w:rPr>
              <w:t xml:space="preserve"> </w:t>
            </w:r>
          </w:p>
        </w:tc>
      </w:tr>
      <w:tr w:rsidR="00EA5799" w:rsidRPr="00EA5799" w14:paraId="493CA22A" w14:textId="77777777" w:rsidTr="00314F56">
        <w:tc>
          <w:tcPr>
            <w:tcW w:w="2879" w:type="dxa"/>
          </w:tcPr>
          <w:p w14:paraId="464068C9"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Vomiting</w:t>
            </w:r>
          </w:p>
        </w:tc>
        <w:tc>
          <w:tcPr>
            <w:tcW w:w="2879" w:type="dxa"/>
          </w:tcPr>
          <w:p w14:paraId="3000B2C6"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Dyspepsia</w:t>
            </w:r>
          </w:p>
        </w:tc>
        <w:tc>
          <w:tcPr>
            <w:tcW w:w="3281" w:type="dxa"/>
          </w:tcPr>
          <w:p w14:paraId="25D721E9"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Osteoporosis</w:t>
            </w:r>
          </w:p>
        </w:tc>
      </w:tr>
      <w:tr w:rsidR="00EA5799" w:rsidRPr="00EA5799" w14:paraId="17A780B2" w14:textId="77777777" w:rsidTr="00314F56">
        <w:tc>
          <w:tcPr>
            <w:tcW w:w="2879" w:type="dxa"/>
          </w:tcPr>
          <w:p w14:paraId="3625F9C7"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Irritability</w:t>
            </w:r>
          </w:p>
        </w:tc>
        <w:tc>
          <w:tcPr>
            <w:tcW w:w="2879" w:type="dxa"/>
          </w:tcPr>
          <w:p w14:paraId="69EC1CEF"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Growth delay</w:t>
            </w:r>
          </w:p>
        </w:tc>
        <w:tc>
          <w:tcPr>
            <w:tcW w:w="3281" w:type="dxa"/>
          </w:tcPr>
          <w:p w14:paraId="221EEE45"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Arthritis</w:t>
            </w:r>
          </w:p>
        </w:tc>
      </w:tr>
      <w:tr w:rsidR="00EA5799" w:rsidRPr="00EA5799" w14:paraId="40EDDBEB" w14:textId="77777777" w:rsidTr="00314F56">
        <w:tc>
          <w:tcPr>
            <w:tcW w:w="2879" w:type="dxa"/>
          </w:tcPr>
          <w:p w14:paraId="1000E5EA"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Muscular atrophy</w:t>
            </w:r>
          </w:p>
        </w:tc>
        <w:tc>
          <w:tcPr>
            <w:tcW w:w="2879" w:type="dxa"/>
          </w:tcPr>
          <w:p w14:paraId="0D80ECCC"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Headache</w:t>
            </w:r>
          </w:p>
        </w:tc>
        <w:tc>
          <w:tcPr>
            <w:tcW w:w="3281" w:type="dxa"/>
          </w:tcPr>
          <w:p w14:paraId="2608F6B9"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Hypertransaminasemia</w:t>
            </w:r>
          </w:p>
        </w:tc>
      </w:tr>
      <w:tr w:rsidR="00965571" w:rsidRPr="00EA5799" w14:paraId="58E4BDCE" w14:textId="77777777" w:rsidTr="00314F56">
        <w:tc>
          <w:tcPr>
            <w:tcW w:w="2879" w:type="dxa"/>
          </w:tcPr>
          <w:p w14:paraId="001A8F81"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Anemia</w:t>
            </w:r>
          </w:p>
        </w:tc>
        <w:tc>
          <w:tcPr>
            <w:tcW w:w="2879" w:type="dxa"/>
          </w:tcPr>
          <w:p w14:paraId="16000622"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Pubertal delay</w:t>
            </w:r>
          </w:p>
        </w:tc>
        <w:tc>
          <w:tcPr>
            <w:tcW w:w="3281" w:type="dxa"/>
          </w:tcPr>
          <w:p w14:paraId="19F7F7A9" w14:textId="77777777" w:rsidR="00965571" w:rsidRPr="00EA5799" w:rsidRDefault="00965571" w:rsidP="00EA5799">
            <w:pPr>
              <w:spacing w:line="360" w:lineRule="auto"/>
              <w:jc w:val="both"/>
              <w:rPr>
                <w:rFonts w:ascii="Book Antiqua" w:eastAsia="GungsuhChe" w:hAnsi="Book Antiqua" w:cs="Arial"/>
                <w:lang w:val="es-ES"/>
              </w:rPr>
            </w:pPr>
            <w:r w:rsidRPr="00EA5799">
              <w:rPr>
                <w:rFonts w:ascii="Book Antiqua" w:eastAsia="GungsuhChe" w:hAnsi="Book Antiqua" w:cs="Arial"/>
                <w:lang w:val="es-ES"/>
              </w:rPr>
              <w:t>Extraintestinal symptoms</w:t>
            </w:r>
          </w:p>
        </w:tc>
      </w:tr>
    </w:tbl>
    <w:p w14:paraId="5A5268B3" w14:textId="77777777" w:rsidR="00965571" w:rsidRPr="00EA5799" w:rsidRDefault="00965571" w:rsidP="00EA5799">
      <w:pPr>
        <w:spacing w:after="0" w:line="360" w:lineRule="auto"/>
        <w:jc w:val="both"/>
        <w:rPr>
          <w:rFonts w:ascii="Book Antiqua" w:eastAsia="GungsuhChe" w:hAnsi="Book Antiqua" w:cs="Arial"/>
          <w:lang w:val="es-ES"/>
        </w:rPr>
      </w:pPr>
    </w:p>
    <w:p w14:paraId="0FEF78EA" w14:textId="77777777" w:rsidR="004F2A2C" w:rsidRDefault="004F2A2C">
      <w:pPr>
        <w:rPr>
          <w:rFonts w:ascii="Book Antiqua" w:eastAsia="GungsuhChe" w:hAnsi="Book Antiqua" w:cs="Arial"/>
          <w:b/>
          <w:lang w:val="en-US"/>
        </w:rPr>
      </w:pPr>
      <w:r>
        <w:rPr>
          <w:rFonts w:ascii="Book Antiqua" w:eastAsia="GungsuhChe" w:hAnsi="Book Antiqua" w:cs="Arial"/>
          <w:b/>
          <w:lang w:val="en-US"/>
        </w:rPr>
        <w:br w:type="page"/>
      </w:r>
    </w:p>
    <w:p w14:paraId="4FE35562" w14:textId="4FCDEB6B" w:rsidR="004F2A2C" w:rsidRPr="004F2A2C" w:rsidRDefault="004F2A2C" w:rsidP="00EA5799">
      <w:pPr>
        <w:spacing w:after="0" w:line="360" w:lineRule="auto"/>
        <w:jc w:val="both"/>
        <w:rPr>
          <w:rFonts w:ascii="Book Antiqua" w:eastAsia="宋体" w:hAnsi="Book Antiqua" w:cs="Arial"/>
          <w:b/>
          <w:lang w:val="en-US" w:eastAsia="zh-CN"/>
        </w:rPr>
      </w:pPr>
      <w:proofErr w:type="spellStart"/>
      <w:r w:rsidRPr="004F2A2C">
        <w:rPr>
          <w:rFonts w:ascii="Book Antiqua" w:eastAsia="GungsuhChe" w:hAnsi="Book Antiqua" w:cs="Arial"/>
          <w:b/>
          <w:lang w:val="en-US"/>
        </w:rPr>
        <w:lastRenderedPageBreak/>
        <w:t>Tabla</w:t>
      </w:r>
      <w:proofErr w:type="spellEnd"/>
      <w:r w:rsidRPr="004F2A2C">
        <w:rPr>
          <w:rFonts w:ascii="Book Antiqua" w:eastAsia="GungsuhChe" w:hAnsi="Book Antiqua" w:cs="Arial"/>
          <w:b/>
          <w:lang w:val="en-US"/>
        </w:rPr>
        <w:t xml:space="preserve"> 2 </w:t>
      </w:r>
      <w:r w:rsidR="00965571" w:rsidRPr="004F2A2C">
        <w:rPr>
          <w:rFonts w:ascii="Book Antiqua" w:eastAsia="GungsuhChe" w:hAnsi="Book Antiqua" w:cs="Arial"/>
          <w:b/>
          <w:lang w:val="en-US"/>
        </w:rPr>
        <w:t xml:space="preserve">Diagnostic </w:t>
      </w:r>
      <w:r w:rsidR="00A807F4" w:rsidRPr="004F2A2C">
        <w:rPr>
          <w:rFonts w:ascii="Book Antiqua" w:eastAsia="GungsuhChe" w:hAnsi="Book Antiqua" w:cs="Arial"/>
          <w:b/>
          <w:lang w:val="en-US"/>
        </w:rPr>
        <w:t>c</w:t>
      </w:r>
      <w:r w:rsidR="00965571" w:rsidRPr="004F2A2C">
        <w:rPr>
          <w:rFonts w:ascii="Book Antiqua" w:eastAsia="GungsuhChe" w:hAnsi="Book Antiqua" w:cs="Arial"/>
          <w:b/>
          <w:lang w:val="en-US"/>
        </w:rPr>
        <w:t>riteria for celiac disease pr</w:t>
      </w:r>
      <w:r w:rsidRPr="004F2A2C">
        <w:rPr>
          <w:rFonts w:ascii="Book Antiqua" w:eastAsia="GungsuhChe" w:hAnsi="Book Antiqua" w:cs="Arial"/>
          <w:b/>
          <w:lang w:val="en-US"/>
        </w:rPr>
        <w:t xml:space="preserve">oposed by Fasano and </w:t>
      </w:r>
      <w:proofErr w:type="spellStart"/>
      <w:r w:rsidRPr="004F2A2C">
        <w:rPr>
          <w:rFonts w:ascii="Book Antiqua" w:eastAsia="GungsuhChe" w:hAnsi="Book Antiqua" w:cs="Arial"/>
          <w:b/>
          <w:lang w:val="en-US"/>
        </w:rPr>
        <w:t>Catassi</w:t>
      </w:r>
      <w:proofErr w:type="spellEnd"/>
    </w:p>
    <w:p w14:paraId="2C824931" w14:textId="77777777" w:rsidR="004F2A2C" w:rsidRDefault="004F2A2C" w:rsidP="00EA5799">
      <w:pPr>
        <w:spacing w:after="0" w:line="360" w:lineRule="auto"/>
        <w:jc w:val="both"/>
        <w:rPr>
          <w:rFonts w:ascii="Book Antiqua" w:eastAsia="宋体" w:hAnsi="Book Antiqua" w:cs="Arial"/>
          <w:lang w:val="en-US" w:eastAsia="zh-CN"/>
        </w:rPr>
      </w:pPr>
    </w:p>
    <w:p w14:paraId="36CB8105" w14:textId="4F1D7459" w:rsidR="004F2A2C" w:rsidRDefault="004F2A2C">
      <w:pPr>
        <w:rPr>
          <w:rFonts w:ascii="Book Antiqua" w:eastAsia="GungsuhChe" w:hAnsi="Book Antiqua" w:cs="Arial"/>
          <w:lang w:val="es-ES"/>
        </w:rPr>
      </w:pPr>
    </w:p>
    <w:tbl>
      <w:tblPr>
        <w:tblStyle w:val="TableGrid"/>
        <w:tblpPr w:leftFromText="141" w:rightFromText="141" w:vertAnchor="text" w:horzAnchor="page" w:tblpX="1810" w:tblpY="-476"/>
        <w:tblW w:w="0" w:type="auto"/>
        <w:tblLook w:val="04A0" w:firstRow="1" w:lastRow="0" w:firstColumn="1" w:lastColumn="0" w:noHBand="0" w:noVBand="1"/>
      </w:tblPr>
      <w:tblGrid>
        <w:gridCol w:w="7821"/>
      </w:tblGrid>
      <w:tr w:rsidR="004F2A2C" w:rsidRPr="00EA5799" w14:paraId="0F8C505E" w14:textId="77777777" w:rsidTr="00FF570E">
        <w:tc>
          <w:tcPr>
            <w:tcW w:w="7821" w:type="dxa"/>
          </w:tcPr>
          <w:p w14:paraId="6F4A46D5" w14:textId="77777777" w:rsidR="004F2A2C" w:rsidRPr="00EA5799" w:rsidRDefault="004F2A2C" w:rsidP="00FF570E">
            <w:pPr>
              <w:spacing w:line="360" w:lineRule="auto"/>
              <w:jc w:val="both"/>
              <w:rPr>
                <w:rFonts w:ascii="Book Antiqua" w:eastAsia="GungsuhChe" w:hAnsi="Book Antiqua" w:cs="Arial"/>
                <w:lang w:val="en-US"/>
              </w:rPr>
            </w:pPr>
            <w:r w:rsidRPr="00EA5799">
              <w:rPr>
                <w:rFonts w:ascii="Book Antiqua" w:hAnsi="Book Antiqua" w:cs="Arial"/>
                <w:lang w:val="en-US"/>
              </w:rPr>
              <w:t>The presence of signs and symptoms compatible with celiac disease</w:t>
            </w:r>
          </w:p>
        </w:tc>
      </w:tr>
      <w:tr w:rsidR="004F2A2C" w:rsidRPr="00EA5799" w14:paraId="6C80034F" w14:textId="77777777" w:rsidTr="00FF570E">
        <w:tc>
          <w:tcPr>
            <w:tcW w:w="7821" w:type="dxa"/>
          </w:tcPr>
          <w:p w14:paraId="14F3EAB6" w14:textId="77777777" w:rsidR="004F2A2C" w:rsidRPr="00EA5799" w:rsidRDefault="004F2A2C" w:rsidP="00FF570E">
            <w:pPr>
              <w:spacing w:line="360" w:lineRule="auto"/>
              <w:jc w:val="both"/>
              <w:rPr>
                <w:rFonts w:ascii="Book Antiqua" w:eastAsia="GungsuhChe" w:hAnsi="Book Antiqua" w:cs="Arial"/>
                <w:lang w:val="en-US"/>
              </w:rPr>
            </w:pPr>
            <w:r w:rsidRPr="00EA5799">
              <w:rPr>
                <w:rFonts w:ascii="Book Antiqua" w:hAnsi="Book Antiqua" w:cs="Arial"/>
                <w:lang w:val="en-US"/>
              </w:rPr>
              <w:t>Positivity of serum celiac disease IgA class autoantibodies at high titer</w:t>
            </w:r>
          </w:p>
        </w:tc>
      </w:tr>
      <w:tr w:rsidR="004F2A2C" w:rsidRPr="00EA5799" w14:paraId="0FCCEA09" w14:textId="77777777" w:rsidTr="00FF570E">
        <w:tc>
          <w:tcPr>
            <w:tcW w:w="7821" w:type="dxa"/>
          </w:tcPr>
          <w:p w14:paraId="060BDA93" w14:textId="41A6BD11" w:rsidR="004F2A2C" w:rsidRPr="00A807F4" w:rsidRDefault="004F2A2C" w:rsidP="00FF570E">
            <w:pPr>
              <w:spacing w:line="360" w:lineRule="auto"/>
              <w:jc w:val="both"/>
              <w:rPr>
                <w:rFonts w:ascii="Book Antiqua" w:eastAsia="宋体" w:hAnsi="Book Antiqua" w:cs="Arial"/>
                <w:lang w:val="en-US" w:eastAsia="zh-CN"/>
              </w:rPr>
            </w:pPr>
            <w:r w:rsidRPr="00EA5799">
              <w:rPr>
                <w:rFonts w:ascii="Book Antiqua" w:hAnsi="Book Antiqua" w:cs="Arial"/>
                <w:lang w:val="en-US"/>
              </w:rPr>
              <w:t>Presence of the predisp</w:t>
            </w:r>
            <w:r w:rsidR="00A807F4">
              <w:rPr>
                <w:rFonts w:ascii="Book Antiqua" w:hAnsi="Book Antiqua" w:cs="Arial"/>
                <w:lang w:val="en-US"/>
              </w:rPr>
              <w:t>osing genes HLA-DQ2 and/or –DQ8</w:t>
            </w:r>
          </w:p>
        </w:tc>
      </w:tr>
      <w:tr w:rsidR="004F2A2C" w:rsidRPr="00EA5799" w14:paraId="4B07EEB0" w14:textId="77777777" w:rsidTr="00FF570E">
        <w:tc>
          <w:tcPr>
            <w:tcW w:w="7821" w:type="dxa"/>
          </w:tcPr>
          <w:p w14:paraId="433B0A53" w14:textId="69629063" w:rsidR="004F2A2C" w:rsidRPr="004F2A2C" w:rsidRDefault="004F2A2C" w:rsidP="004F2A2C">
            <w:pPr>
              <w:spacing w:line="360" w:lineRule="auto"/>
              <w:jc w:val="both"/>
              <w:rPr>
                <w:rFonts w:ascii="Book Antiqua" w:eastAsia="宋体" w:hAnsi="Book Antiqua" w:cs="Arial"/>
                <w:lang w:val="en-US" w:eastAsia="zh-CN"/>
              </w:rPr>
            </w:pPr>
            <w:r w:rsidRPr="00EA5799">
              <w:rPr>
                <w:rFonts w:ascii="Book Antiqua" w:hAnsi="Book Antiqua" w:cs="Arial"/>
                <w:lang w:val="en-US"/>
              </w:rPr>
              <w:t>Celiac enteropathy at the small intestinal biopsy</w:t>
            </w:r>
            <w:r w:rsidRPr="004F2A2C">
              <w:rPr>
                <w:rFonts w:ascii="Book Antiqua" w:eastAsia="宋体" w:hAnsi="Book Antiqua" w:cs="Arial" w:hint="eastAsia"/>
                <w:vertAlign w:val="superscript"/>
                <w:lang w:val="en-US" w:eastAsia="zh-CN"/>
              </w:rPr>
              <w:t>1</w:t>
            </w:r>
          </w:p>
        </w:tc>
      </w:tr>
      <w:tr w:rsidR="004F2A2C" w:rsidRPr="00EA5799" w14:paraId="22B0415F" w14:textId="77777777" w:rsidTr="00FF570E">
        <w:tc>
          <w:tcPr>
            <w:tcW w:w="7821" w:type="dxa"/>
          </w:tcPr>
          <w:p w14:paraId="0A5CBC4B" w14:textId="59037DDB" w:rsidR="004F2A2C" w:rsidRPr="004F2A2C" w:rsidRDefault="004F2A2C" w:rsidP="004F2A2C">
            <w:pPr>
              <w:spacing w:line="360" w:lineRule="auto"/>
              <w:jc w:val="both"/>
              <w:rPr>
                <w:rFonts w:ascii="Book Antiqua" w:eastAsia="宋体" w:hAnsi="Book Antiqua" w:cs="Arial"/>
                <w:lang w:val="es-ES" w:eastAsia="zh-CN"/>
              </w:rPr>
            </w:pPr>
            <w:r w:rsidRPr="00EA5799">
              <w:rPr>
                <w:rFonts w:ascii="Book Antiqua" w:hAnsi="Book Antiqua" w:cs="Arial"/>
                <w:lang w:val="en-US"/>
              </w:rPr>
              <w:t>Resolution of the symptoms and normalization of serology test following the implementation of a gluten-free diet</w:t>
            </w:r>
            <w:r>
              <w:rPr>
                <w:rFonts w:ascii="Book Antiqua" w:eastAsia="宋体" w:hAnsi="Book Antiqua" w:cs="Arial" w:hint="eastAsia"/>
                <w:vertAlign w:val="superscript"/>
                <w:lang w:val="en-US" w:eastAsia="zh-CN"/>
              </w:rPr>
              <w:t>2</w:t>
            </w:r>
          </w:p>
        </w:tc>
      </w:tr>
    </w:tbl>
    <w:p w14:paraId="32B545FA" w14:textId="77777777" w:rsidR="00965571" w:rsidRPr="00EA5799" w:rsidRDefault="00965571" w:rsidP="00EA5799">
      <w:pPr>
        <w:spacing w:after="0" w:line="360" w:lineRule="auto"/>
        <w:jc w:val="both"/>
        <w:rPr>
          <w:rFonts w:ascii="Book Antiqua" w:eastAsia="GungsuhChe" w:hAnsi="Book Antiqua" w:cs="Arial"/>
          <w:lang w:val="es-ES"/>
        </w:rPr>
      </w:pPr>
    </w:p>
    <w:p w14:paraId="38217442" w14:textId="77777777" w:rsidR="00965571" w:rsidRPr="00EA5799" w:rsidRDefault="00965571" w:rsidP="00EA5799">
      <w:pPr>
        <w:spacing w:after="0" w:line="360" w:lineRule="auto"/>
        <w:jc w:val="both"/>
        <w:rPr>
          <w:rFonts w:ascii="Book Antiqua" w:eastAsia="GungsuhChe" w:hAnsi="Book Antiqua" w:cs="Arial"/>
          <w:lang w:val="es-ES"/>
        </w:rPr>
      </w:pPr>
    </w:p>
    <w:p w14:paraId="7675E0D7" w14:textId="77777777" w:rsidR="00965571" w:rsidRPr="00EA5799" w:rsidRDefault="00965571" w:rsidP="00EA5799">
      <w:pPr>
        <w:spacing w:after="0" w:line="360" w:lineRule="auto"/>
        <w:jc w:val="both"/>
        <w:rPr>
          <w:rFonts w:ascii="Book Antiqua" w:eastAsia="GungsuhChe" w:hAnsi="Book Antiqua" w:cs="Arial"/>
          <w:lang w:val="es-ES"/>
        </w:rPr>
      </w:pPr>
    </w:p>
    <w:p w14:paraId="233F8248" w14:textId="77777777" w:rsidR="00965571" w:rsidRPr="00EA5799" w:rsidRDefault="00965571" w:rsidP="00EA5799">
      <w:pPr>
        <w:spacing w:after="0" w:line="360" w:lineRule="auto"/>
        <w:jc w:val="both"/>
        <w:rPr>
          <w:rFonts w:ascii="Book Antiqua" w:eastAsia="GungsuhChe" w:hAnsi="Book Antiqua" w:cs="Arial"/>
          <w:lang w:val="es-ES"/>
        </w:rPr>
      </w:pPr>
    </w:p>
    <w:p w14:paraId="5675C677" w14:textId="77777777" w:rsidR="00965571" w:rsidRPr="00EA5799" w:rsidRDefault="00965571" w:rsidP="00EA5799">
      <w:pPr>
        <w:spacing w:after="0" w:line="360" w:lineRule="auto"/>
        <w:jc w:val="both"/>
        <w:rPr>
          <w:rFonts w:ascii="Book Antiqua" w:eastAsia="GungsuhChe" w:hAnsi="Book Antiqua" w:cs="Arial"/>
          <w:lang w:val="es-ES"/>
        </w:rPr>
      </w:pPr>
    </w:p>
    <w:p w14:paraId="7F4BB9EA" w14:textId="77777777" w:rsidR="00965571" w:rsidRPr="00EA5799" w:rsidRDefault="00965571" w:rsidP="00EA5799">
      <w:pPr>
        <w:spacing w:after="0" w:line="360" w:lineRule="auto"/>
        <w:jc w:val="both"/>
        <w:rPr>
          <w:rFonts w:ascii="Book Antiqua" w:eastAsia="GungsuhChe" w:hAnsi="Book Antiqua" w:cs="Arial"/>
          <w:lang w:val="es-ES"/>
        </w:rPr>
      </w:pPr>
    </w:p>
    <w:p w14:paraId="3368B6F7" w14:textId="52B3B93D" w:rsidR="004F2A2C" w:rsidRPr="00EA5799" w:rsidRDefault="004F2A2C" w:rsidP="004F2A2C">
      <w:pPr>
        <w:spacing w:after="0" w:line="360" w:lineRule="auto"/>
        <w:jc w:val="both"/>
        <w:rPr>
          <w:rFonts w:ascii="Book Antiqua" w:eastAsia="GungsuhChe" w:hAnsi="Book Antiqua" w:cs="Arial"/>
          <w:lang w:val="en-US"/>
        </w:rPr>
      </w:pPr>
      <w:r w:rsidRPr="004F2A2C">
        <w:rPr>
          <w:rFonts w:ascii="Book Antiqua" w:eastAsia="宋体" w:hAnsi="Book Antiqua" w:cs="Arial" w:hint="eastAsia"/>
          <w:vertAlign w:val="superscript"/>
          <w:lang w:val="en-US" w:eastAsia="zh-CN"/>
        </w:rPr>
        <w:t>1</w:t>
      </w:r>
      <w:r w:rsidR="00965571" w:rsidRPr="00EA5799">
        <w:rPr>
          <w:rFonts w:ascii="Book Antiqua" w:hAnsi="Book Antiqua" w:cs="Arial"/>
          <w:lang w:val="en-US"/>
        </w:rPr>
        <w:t>Including Marsh-</w:t>
      </w:r>
      <w:proofErr w:type="spellStart"/>
      <w:r w:rsidR="00965571" w:rsidRPr="00EA5799">
        <w:rPr>
          <w:rFonts w:ascii="Book Antiqua" w:hAnsi="Book Antiqua" w:cs="Arial"/>
          <w:lang w:val="en-US"/>
        </w:rPr>
        <w:t>Oberhuber</w:t>
      </w:r>
      <w:proofErr w:type="spellEnd"/>
      <w:r w:rsidR="00965571" w:rsidRPr="00EA5799">
        <w:rPr>
          <w:rFonts w:ascii="Book Antiqua" w:hAnsi="Book Antiqua" w:cs="Arial"/>
          <w:lang w:val="en-US"/>
        </w:rPr>
        <w:t xml:space="preserve"> 3 lesions, Marsh-</w:t>
      </w:r>
      <w:proofErr w:type="spellStart"/>
      <w:r w:rsidR="00965571" w:rsidRPr="00EA5799">
        <w:rPr>
          <w:rFonts w:ascii="Book Antiqua" w:hAnsi="Book Antiqua" w:cs="Arial"/>
          <w:lang w:val="en-US"/>
        </w:rPr>
        <w:t>Oberhuber</w:t>
      </w:r>
      <w:proofErr w:type="spellEnd"/>
      <w:r w:rsidR="00965571" w:rsidRPr="00EA5799">
        <w:rPr>
          <w:rFonts w:ascii="Book Antiqua" w:hAnsi="Book Antiqua" w:cs="Arial"/>
          <w:lang w:val="en-US"/>
        </w:rPr>
        <w:t xml:space="preserve"> 1-2 lesions associated with positive celiac antibodies positive at low/high titer, or Marsh-</w:t>
      </w:r>
      <w:proofErr w:type="spellStart"/>
      <w:r w:rsidR="00965571" w:rsidRPr="00EA5799">
        <w:rPr>
          <w:rFonts w:ascii="Book Antiqua" w:hAnsi="Book Antiqua" w:cs="Arial"/>
          <w:lang w:val="en-US"/>
        </w:rPr>
        <w:t>Oberhuber</w:t>
      </w:r>
      <w:proofErr w:type="spellEnd"/>
      <w:r w:rsidR="00965571" w:rsidRPr="00EA5799">
        <w:rPr>
          <w:rFonts w:ascii="Book Antiqua" w:hAnsi="Book Antiqua" w:cs="Arial"/>
          <w:lang w:val="en-US"/>
        </w:rPr>
        <w:t xml:space="preserve"> 1-3 lesion associated </w:t>
      </w:r>
      <w:r>
        <w:rPr>
          <w:rFonts w:ascii="Book Antiqua" w:hAnsi="Book Antiqua" w:cs="Arial"/>
          <w:lang w:val="en-US"/>
        </w:rPr>
        <w:t xml:space="preserve">with IgA </w:t>
      </w:r>
      <w:proofErr w:type="spellStart"/>
      <w:r>
        <w:rPr>
          <w:rFonts w:ascii="Book Antiqua" w:hAnsi="Book Antiqua" w:cs="Arial"/>
          <w:lang w:val="en-US"/>
        </w:rPr>
        <w:t>subepithelial</w:t>
      </w:r>
      <w:proofErr w:type="spellEnd"/>
      <w:r>
        <w:rPr>
          <w:rFonts w:ascii="Book Antiqua" w:hAnsi="Book Antiqua" w:cs="Arial"/>
          <w:lang w:val="en-US"/>
        </w:rPr>
        <w:t xml:space="preserve"> deposits</w:t>
      </w:r>
      <w:r>
        <w:rPr>
          <w:rFonts w:ascii="Book Antiqua" w:eastAsia="宋体" w:hAnsi="Book Antiqua" w:cs="Arial" w:hint="eastAsia"/>
          <w:lang w:val="en-US" w:eastAsia="zh-CN"/>
        </w:rPr>
        <w:t xml:space="preserve">; </w:t>
      </w:r>
      <w:r w:rsidRPr="004F2A2C">
        <w:rPr>
          <w:rFonts w:ascii="Book Antiqua" w:eastAsia="宋体" w:hAnsi="Book Antiqua" w:cs="Arial" w:hint="eastAsia"/>
          <w:vertAlign w:val="superscript"/>
          <w:lang w:val="en-US" w:eastAsia="zh-CN"/>
        </w:rPr>
        <w:t>2</w:t>
      </w:r>
      <w:r w:rsidR="00965571" w:rsidRPr="00EA5799">
        <w:rPr>
          <w:rFonts w:ascii="Book Antiqua" w:hAnsi="Book Antiqua" w:cs="Arial"/>
          <w:lang w:val="en-US"/>
        </w:rPr>
        <w:t xml:space="preserve">Histological normalization in patients with </w:t>
      </w:r>
      <w:proofErr w:type="spellStart"/>
      <w:r w:rsidR="00965571" w:rsidRPr="00EA5799">
        <w:rPr>
          <w:rFonts w:ascii="Book Antiqua" w:hAnsi="Book Antiqua" w:cs="Arial"/>
          <w:lang w:val="en-US"/>
        </w:rPr>
        <w:t>sero</w:t>
      </w:r>
      <w:proofErr w:type="spellEnd"/>
      <w:r w:rsidR="00965571" w:rsidRPr="00EA5799">
        <w:rPr>
          <w:rFonts w:ascii="Book Antiqua" w:hAnsi="Book Antiqua" w:cs="Arial"/>
          <w:lang w:val="en-US"/>
        </w:rPr>
        <w:t xml:space="preserve">-negative celiac disease or associated IgA deficiency. </w:t>
      </w:r>
      <w:proofErr w:type="gramStart"/>
      <w:r w:rsidRPr="00EA5799">
        <w:rPr>
          <w:rFonts w:ascii="Book Antiqua" w:eastAsia="GungsuhChe" w:hAnsi="Book Antiqua" w:cs="Arial"/>
          <w:lang w:val="en-US"/>
        </w:rPr>
        <w:t>At least 4 of 5 (or 3 of 4 if the HLA genotype is not performed).</w:t>
      </w:r>
      <w:proofErr w:type="gramEnd"/>
      <w:r w:rsidRPr="00EA5799">
        <w:rPr>
          <w:rFonts w:ascii="Book Antiqua" w:eastAsia="GungsuhChe" w:hAnsi="Book Antiqua" w:cs="Arial"/>
          <w:lang w:val="en-US"/>
        </w:rPr>
        <w:t xml:space="preserve">  </w:t>
      </w:r>
    </w:p>
    <w:p w14:paraId="60DC85ED" w14:textId="77777777" w:rsidR="00A807F4" w:rsidRDefault="00A807F4">
      <w:pPr>
        <w:rPr>
          <w:rFonts w:ascii="Book Antiqua" w:hAnsi="Book Antiqua" w:cs="Arial"/>
          <w:b/>
          <w:lang w:val="en-US"/>
        </w:rPr>
      </w:pPr>
      <w:r>
        <w:rPr>
          <w:rFonts w:ascii="Book Antiqua" w:hAnsi="Book Antiqua" w:cs="Arial"/>
          <w:b/>
          <w:lang w:val="en-US"/>
        </w:rPr>
        <w:br w:type="page"/>
      </w:r>
    </w:p>
    <w:p w14:paraId="77BB922F" w14:textId="23AA8C7E" w:rsidR="00700246" w:rsidRPr="00A807F4" w:rsidRDefault="00A807F4" w:rsidP="00EA5799">
      <w:pPr>
        <w:spacing w:after="0" w:line="360" w:lineRule="auto"/>
        <w:jc w:val="both"/>
        <w:rPr>
          <w:rFonts w:ascii="Book Antiqua" w:hAnsi="Book Antiqua" w:cs="Arial"/>
          <w:b/>
          <w:lang w:val="en-US"/>
        </w:rPr>
      </w:pPr>
      <w:r w:rsidRPr="00A807F4">
        <w:rPr>
          <w:rFonts w:ascii="Book Antiqua" w:hAnsi="Book Antiqua" w:cs="Arial"/>
          <w:b/>
          <w:lang w:val="en-US"/>
        </w:rPr>
        <w:lastRenderedPageBreak/>
        <w:t>Table 3</w:t>
      </w:r>
      <w:r w:rsidR="00700246" w:rsidRPr="00A807F4">
        <w:rPr>
          <w:rFonts w:ascii="Book Antiqua" w:hAnsi="Book Antiqua" w:cs="Arial"/>
          <w:b/>
          <w:lang w:val="en-US"/>
        </w:rPr>
        <w:t xml:space="preserve"> Summary of key features associated with the presentation of celiac disease in adults</w:t>
      </w:r>
    </w:p>
    <w:tbl>
      <w:tblPr>
        <w:tblStyle w:val="TableGrid"/>
        <w:tblW w:w="0" w:type="auto"/>
        <w:tblLook w:val="04A0" w:firstRow="1" w:lastRow="0" w:firstColumn="1" w:lastColumn="0" w:noHBand="0" w:noVBand="1"/>
      </w:tblPr>
      <w:tblGrid>
        <w:gridCol w:w="8638"/>
      </w:tblGrid>
      <w:tr w:rsidR="00EA5799" w:rsidRPr="00EA5799" w14:paraId="54B26651" w14:textId="77777777" w:rsidTr="00314F56">
        <w:tc>
          <w:tcPr>
            <w:tcW w:w="8638" w:type="dxa"/>
          </w:tcPr>
          <w:p w14:paraId="71E40C22" w14:textId="77777777" w:rsidR="00700246" w:rsidRPr="00EA5799" w:rsidRDefault="00700246" w:rsidP="00EA5799">
            <w:pPr>
              <w:spacing w:line="360" w:lineRule="auto"/>
              <w:jc w:val="both"/>
              <w:rPr>
                <w:rFonts w:ascii="Book Antiqua" w:hAnsi="Book Antiqua" w:cs="Arial"/>
                <w:lang w:val="en-US"/>
              </w:rPr>
            </w:pPr>
            <w:r w:rsidRPr="00EA5799">
              <w:rPr>
                <w:rFonts w:ascii="Book Antiqua" w:hAnsi="Book Antiqua" w:cs="Arial"/>
                <w:lang w:val="en-US"/>
              </w:rPr>
              <w:t>High prevalence, even in advanced age</w:t>
            </w:r>
          </w:p>
        </w:tc>
      </w:tr>
      <w:tr w:rsidR="00EA5799" w:rsidRPr="00EA5799" w14:paraId="79B12F02" w14:textId="77777777" w:rsidTr="00314F56">
        <w:tc>
          <w:tcPr>
            <w:tcW w:w="8638" w:type="dxa"/>
          </w:tcPr>
          <w:p w14:paraId="5B0C15E7" w14:textId="77777777" w:rsidR="00700246" w:rsidRPr="00EA5799" w:rsidRDefault="00700246" w:rsidP="00EA5799">
            <w:pPr>
              <w:spacing w:line="360" w:lineRule="auto"/>
              <w:jc w:val="both"/>
              <w:rPr>
                <w:rFonts w:ascii="Book Antiqua" w:hAnsi="Book Antiqua" w:cs="Arial"/>
                <w:lang w:val="es-ES"/>
              </w:rPr>
            </w:pPr>
            <w:r w:rsidRPr="00EA5799">
              <w:rPr>
                <w:rFonts w:ascii="Book Antiqua" w:hAnsi="Book Antiqua" w:cs="Arial"/>
                <w:lang w:val="es-ES"/>
              </w:rPr>
              <w:t>Oligosymptomatic presentation</w:t>
            </w:r>
          </w:p>
        </w:tc>
      </w:tr>
      <w:tr w:rsidR="00EA5799" w:rsidRPr="00EA5799" w14:paraId="539710CC" w14:textId="77777777" w:rsidTr="00314F56">
        <w:tc>
          <w:tcPr>
            <w:tcW w:w="8638" w:type="dxa"/>
          </w:tcPr>
          <w:p w14:paraId="1D6555BE" w14:textId="77777777" w:rsidR="00700246" w:rsidRPr="00EA5799" w:rsidRDefault="00700246" w:rsidP="00EA5799">
            <w:pPr>
              <w:spacing w:line="360" w:lineRule="auto"/>
              <w:jc w:val="both"/>
              <w:rPr>
                <w:rFonts w:ascii="Book Antiqua" w:hAnsi="Book Antiqua" w:cs="Arial"/>
                <w:lang w:val="en-US"/>
              </w:rPr>
            </w:pPr>
            <w:r w:rsidRPr="00EA5799">
              <w:rPr>
                <w:rFonts w:ascii="Book Antiqua" w:hAnsi="Book Antiqua" w:cs="Arial"/>
                <w:lang w:val="en-US"/>
              </w:rPr>
              <w:t>Serology may have a low diagnostic yield</w:t>
            </w:r>
          </w:p>
        </w:tc>
      </w:tr>
      <w:tr w:rsidR="00EA5799" w:rsidRPr="00EA5799" w14:paraId="02FFD991" w14:textId="77777777" w:rsidTr="00314F56">
        <w:tc>
          <w:tcPr>
            <w:tcW w:w="8638" w:type="dxa"/>
          </w:tcPr>
          <w:p w14:paraId="656C337B" w14:textId="77777777" w:rsidR="00700246" w:rsidRPr="00EA5799" w:rsidRDefault="00700246" w:rsidP="00EA5799">
            <w:pPr>
              <w:spacing w:line="360" w:lineRule="auto"/>
              <w:jc w:val="both"/>
              <w:rPr>
                <w:rFonts w:ascii="Book Antiqua" w:hAnsi="Book Antiqua" w:cs="Arial"/>
                <w:lang w:val="en-US"/>
              </w:rPr>
            </w:pPr>
            <w:r w:rsidRPr="00EA5799">
              <w:rPr>
                <w:rFonts w:ascii="Book Antiqua" w:hAnsi="Book Antiqua" w:cs="Arial"/>
                <w:lang w:val="en-US"/>
              </w:rPr>
              <w:t>Duodenal biopsy usually shows mild atrophy or lymphocytic enteritis</w:t>
            </w:r>
          </w:p>
        </w:tc>
      </w:tr>
      <w:tr w:rsidR="00EA5799" w:rsidRPr="00EA5799" w14:paraId="38B9D870" w14:textId="77777777" w:rsidTr="00314F56">
        <w:tc>
          <w:tcPr>
            <w:tcW w:w="8638" w:type="dxa"/>
          </w:tcPr>
          <w:p w14:paraId="2C4A4806" w14:textId="77777777" w:rsidR="00700246" w:rsidRPr="00EA5799" w:rsidRDefault="00700246" w:rsidP="00EA5799">
            <w:pPr>
              <w:spacing w:line="360" w:lineRule="auto"/>
              <w:jc w:val="both"/>
              <w:rPr>
                <w:rFonts w:ascii="Book Antiqua" w:hAnsi="Book Antiqua" w:cs="Arial"/>
                <w:lang w:val="en-US"/>
              </w:rPr>
            </w:pPr>
            <w:r w:rsidRPr="00EA5799">
              <w:rPr>
                <w:rFonts w:ascii="Book Antiqua" w:hAnsi="Book Antiqua" w:cs="Arial"/>
                <w:lang w:val="en-US"/>
              </w:rPr>
              <w:t>Lymphocytic enteritis is a common presentation in adult celiac</w:t>
            </w:r>
          </w:p>
        </w:tc>
      </w:tr>
      <w:tr w:rsidR="00EA5799" w:rsidRPr="00EA5799" w14:paraId="3F0ED8D7" w14:textId="77777777" w:rsidTr="00314F56">
        <w:tc>
          <w:tcPr>
            <w:tcW w:w="8638" w:type="dxa"/>
          </w:tcPr>
          <w:p w14:paraId="4CB10B64" w14:textId="77777777" w:rsidR="00700246" w:rsidRPr="00EA5799" w:rsidRDefault="00700246" w:rsidP="00EA5799">
            <w:pPr>
              <w:spacing w:line="360" w:lineRule="auto"/>
              <w:jc w:val="both"/>
              <w:rPr>
                <w:rFonts w:ascii="Book Antiqua" w:hAnsi="Book Antiqua" w:cs="Arial"/>
                <w:lang w:val="en-US"/>
              </w:rPr>
            </w:pPr>
            <w:r w:rsidRPr="00EA5799">
              <w:rPr>
                <w:rFonts w:ascii="Book Antiqua" w:hAnsi="Book Antiqua" w:cs="Arial"/>
                <w:lang w:val="en-US"/>
              </w:rPr>
              <w:t>The study of duodenal biopsy by an expert pathologist and the use of advanced techniques like flow cytometry may be useful for the diagnosis.</w:t>
            </w:r>
          </w:p>
        </w:tc>
      </w:tr>
      <w:tr w:rsidR="00EA5799" w:rsidRPr="00EA5799" w14:paraId="4969EF47" w14:textId="77777777" w:rsidTr="00314F56">
        <w:tc>
          <w:tcPr>
            <w:tcW w:w="8638" w:type="dxa"/>
          </w:tcPr>
          <w:p w14:paraId="37A17DF5" w14:textId="77777777" w:rsidR="00700246" w:rsidRPr="00EA5799" w:rsidRDefault="00700246" w:rsidP="00EA5799">
            <w:pPr>
              <w:spacing w:line="360" w:lineRule="auto"/>
              <w:jc w:val="both"/>
              <w:rPr>
                <w:rFonts w:ascii="Book Antiqua" w:hAnsi="Book Antiqua" w:cs="Arial"/>
                <w:lang w:val="en-US"/>
              </w:rPr>
            </w:pPr>
            <w:r w:rsidRPr="00EA5799">
              <w:rPr>
                <w:rFonts w:ascii="Book Antiqua" w:hAnsi="Book Antiqua" w:cs="Arial"/>
                <w:lang w:val="en-US"/>
              </w:rPr>
              <w:t>Monitoring of the strict dietary compliance and the recovery of villous atrophy</w:t>
            </w:r>
          </w:p>
        </w:tc>
      </w:tr>
      <w:tr w:rsidR="00700246" w:rsidRPr="00EA5799" w14:paraId="1ADDDCE3" w14:textId="77777777" w:rsidTr="00314F56">
        <w:tc>
          <w:tcPr>
            <w:tcW w:w="8638" w:type="dxa"/>
          </w:tcPr>
          <w:p w14:paraId="000D5761" w14:textId="77777777" w:rsidR="00700246" w:rsidRPr="00EA5799" w:rsidRDefault="00700246" w:rsidP="00EA5799">
            <w:pPr>
              <w:spacing w:line="360" w:lineRule="auto"/>
              <w:jc w:val="both"/>
              <w:rPr>
                <w:rFonts w:ascii="Book Antiqua" w:hAnsi="Book Antiqua" w:cs="Arial"/>
                <w:lang w:val="en-US"/>
              </w:rPr>
            </w:pPr>
            <w:r w:rsidRPr="00EA5799">
              <w:rPr>
                <w:rFonts w:ascii="Book Antiqua" w:hAnsi="Book Antiqua" w:cs="Arial"/>
                <w:lang w:val="en-US"/>
              </w:rPr>
              <w:t xml:space="preserve">The presence of associated complications should be identified at an early stage </w:t>
            </w:r>
          </w:p>
        </w:tc>
      </w:tr>
    </w:tbl>
    <w:p w14:paraId="4C6FB03B" w14:textId="77777777" w:rsidR="00700246" w:rsidRPr="00EA5799" w:rsidRDefault="00700246" w:rsidP="00EA5799">
      <w:pPr>
        <w:spacing w:after="0" w:line="360" w:lineRule="auto"/>
        <w:jc w:val="both"/>
        <w:rPr>
          <w:rFonts w:ascii="Book Antiqua" w:eastAsia="GungsuhChe" w:hAnsi="Book Antiqua" w:cs="Arial"/>
          <w:lang w:val="en-US"/>
        </w:rPr>
      </w:pPr>
    </w:p>
    <w:p w14:paraId="46E8EF5B" w14:textId="45FD4220" w:rsidR="00A807F4" w:rsidRDefault="00A807F4">
      <w:pPr>
        <w:rPr>
          <w:rFonts w:ascii="Book Antiqua" w:eastAsia="宋体" w:hAnsi="Book Antiqua" w:cs="Arial"/>
          <w:lang w:val="en-US" w:eastAsia="zh-CN"/>
        </w:rPr>
      </w:pPr>
      <w:r>
        <w:rPr>
          <w:rFonts w:ascii="Book Antiqua" w:eastAsia="宋体" w:hAnsi="Book Antiqua" w:cs="Arial"/>
          <w:lang w:val="en-US" w:eastAsia="zh-CN"/>
        </w:rPr>
        <w:br w:type="page"/>
      </w:r>
    </w:p>
    <w:p w14:paraId="1FDEA66F" w14:textId="4440D496" w:rsidR="00700246" w:rsidRPr="00A807F4" w:rsidRDefault="00A807F4" w:rsidP="00EA5799">
      <w:pPr>
        <w:spacing w:after="0" w:line="360" w:lineRule="auto"/>
        <w:jc w:val="both"/>
        <w:rPr>
          <w:rFonts w:ascii="Book Antiqua" w:eastAsia="宋体" w:hAnsi="Book Antiqua" w:cs="Arial"/>
          <w:lang w:val="en-US" w:eastAsia="zh-CN"/>
        </w:rPr>
      </w:pPr>
      <w:r>
        <w:rPr>
          <w:rFonts w:ascii="Book Antiqua" w:eastAsia="宋体" w:hAnsi="Book Antiqua" w:cs="Arial"/>
          <w:noProof/>
          <w:lang w:val="en-US" w:eastAsia="en-US"/>
        </w:rPr>
        <w:lastRenderedPageBreak/>
        <w:drawing>
          <wp:inline distT="0" distB="0" distL="0" distR="0" wp14:anchorId="720B9D2A" wp14:editId="67C27FE7">
            <wp:extent cx="5396230" cy="4046273"/>
            <wp:effectExtent l="0" t="0" r="0" b="0"/>
            <wp:docPr id="1" name="图片 1" descr="E:\jifangfang\送修稿\2015-08-04\20349\新建文件夹\Gráfico%20relación%20e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8-04\20349\新建文件夹\Gráfico%20relación%20ed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4046273"/>
                    </a:xfrm>
                    <a:prstGeom prst="rect">
                      <a:avLst/>
                    </a:prstGeom>
                    <a:noFill/>
                    <a:ln>
                      <a:noFill/>
                    </a:ln>
                  </pic:spPr>
                </pic:pic>
              </a:graphicData>
            </a:graphic>
          </wp:inline>
        </w:drawing>
      </w:r>
    </w:p>
    <w:p w14:paraId="5AE5C132" w14:textId="345BEF6F" w:rsidR="00700246" w:rsidRPr="00A807F4" w:rsidRDefault="00700246" w:rsidP="00EA5799">
      <w:pPr>
        <w:spacing w:after="0" w:line="360" w:lineRule="auto"/>
        <w:jc w:val="both"/>
        <w:rPr>
          <w:rFonts w:ascii="Book Antiqua" w:eastAsia="宋体" w:hAnsi="Book Antiqua" w:cs="Arial"/>
          <w:b/>
          <w:lang w:val="en-US" w:eastAsia="zh-CN"/>
        </w:rPr>
      </w:pPr>
      <w:r w:rsidRPr="00A807F4">
        <w:rPr>
          <w:rFonts w:ascii="Book Antiqua" w:eastAsia="GungsuhChe" w:hAnsi="Book Antiqua" w:cs="Arial"/>
          <w:b/>
          <w:lang w:val="en-US"/>
        </w:rPr>
        <w:t>Figure</w:t>
      </w:r>
      <w:r w:rsidR="00A807F4" w:rsidRPr="00A807F4">
        <w:rPr>
          <w:rFonts w:ascii="Book Antiqua" w:eastAsia="GungsuhChe" w:hAnsi="Book Antiqua" w:cs="Arial"/>
          <w:b/>
          <w:lang w:val="en-US"/>
        </w:rPr>
        <w:t xml:space="preserve"> 1</w:t>
      </w:r>
      <w:r w:rsidRPr="00A807F4">
        <w:rPr>
          <w:rFonts w:ascii="Book Antiqua" w:eastAsia="GungsuhChe" w:hAnsi="Book Antiqua" w:cs="Arial"/>
          <w:b/>
          <w:lang w:val="en-US"/>
        </w:rPr>
        <w:t xml:space="preserve"> Relationship among age, antibodies and villous atrophy</w:t>
      </w:r>
      <w:r w:rsidR="00A807F4" w:rsidRPr="00A807F4">
        <w:rPr>
          <w:rFonts w:ascii="Book Antiqua" w:eastAsia="宋体" w:hAnsi="Book Antiqua" w:cs="Arial" w:hint="eastAsia"/>
          <w:b/>
          <w:lang w:val="en-US" w:eastAsia="zh-CN"/>
        </w:rPr>
        <w:t>.</w:t>
      </w:r>
    </w:p>
    <w:p w14:paraId="3B3189AF" w14:textId="77777777" w:rsidR="00700246" w:rsidRPr="00EA5799" w:rsidRDefault="00700246" w:rsidP="00EA5799">
      <w:pPr>
        <w:spacing w:after="0" w:line="360" w:lineRule="auto"/>
        <w:jc w:val="both"/>
        <w:rPr>
          <w:rFonts w:ascii="Book Antiqua" w:eastAsia="GungsuhChe" w:hAnsi="Book Antiqua" w:cs="Helvetica"/>
          <w:lang w:val="en-US"/>
        </w:rPr>
      </w:pPr>
    </w:p>
    <w:p w14:paraId="71335F8E" w14:textId="2649CE1C" w:rsidR="00700246" w:rsidRPr="00EA5799" w:rsidRDefault="00700246" w:rsidP="00EA5799">
      <w:pPr>
        <w:spacing w:after="0" w:line="360" w:lineRule="auto"/>
        <w:jc w:val="both"/>
        <w:rPr>
          <w:rFonts w:ascii="Book Antiqua" w:eastAsia="GungsuhChe" w:hAnsi="Book Antiqua" w:cs="Arial"/>
          <w:lang w:val="en-US"/>
        </w:rPr>
      </w:pPr>
    </w:p>
    <w:p w14:paraId="2073060B" w14:textId="77777777" w:rsidR="00700246" w:rsidRPr="00EA5799" w:rsidRDefault="00700246" w:rsidP="00EA5799">
      <w:pPr>
        <w:spacing w:after="0" w:line="360" w:lineRule="auto"/>
        <w:jc w:val="both"/>
        <w:rPr>
          <w:rFonts w:ascii="Book Antiqua" w:eastAsia="GungsuhChe" w:hAnsi="Book Antiqua" w:cs="Helvetica"/>
          <w:lang w:val="en-US"/>
        </w:rPr>
      </w:pPr>
    </w:p>
    <w:sectPr w:rsidR="00700246" w:rsidRPr="00EA5799" w:rsidSect="00F6173B">
      <w:footerReference w:type="even" r:id="rId12"/>
      <w:footerReference w:type="default" r:id="rId13"/>
      <w:pgSz w:w="11900" w:h="16840"/>
      <w:pgMar w:top="1417" w:right="1701" w:bottom="1417" w:left="1701" w:header="708" w:footer="708"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D0D613" w15:done="0"/>
  <w15:commentEx w15:paraId="498B4952" w15:done="0"/>
  <w15:commentEx w15:paraId="7AD90B5E" w15:done="0"/>
  <w15:commentEx w15:paraId="52638204" w15:done="0"/>
  <w15:commentEx w15:paraId="1F539925" w15:done="0"/>
  <w15:commentEx w15:paraId="51C7738F" w15:done="0"/>
  <w15:commentEx w15:paraId="2119A32A" w15:done="0"/>
  <w15:commentEx w15:paraId="42D2B413" w15:done="0"/>
  <w15:commentEx w15:paraId="73B92ED8" w15:done="0"/>
  <w15:commentEx w15:paraId="243A2739" w15:done="0"/>
  <w15:commentEx w15:paraId="417D0371" w15:done="0"/>
  <w15:commentEx w15:paraId="43FB5A99" w15:done="0"/>
  <w15:commentEx w15:paraId="72540398" w15:done="0"/>
  <w15:commentEx w15:paraId="558916C1" w15:done="0"/>
  <w15:commentEx w15:paraId="66A717A6" w15:done="0"/>
  <w15:commentEx w15:paraId="6F5809C9" w15:done="0"/>
  <w15:commentEx w15:paraId="5DBEF179" w15:done="0"/>
  <w15:commentEx w15:paraId="70568AD2" w15:done="0"/>
  <w15:commentEx w15:paraId="273A6E2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C9337" w14:textId="77777777" w:rsidR="00A31F83" w:rsidRDefault="00A31F83" w:rsidP="006B6B50">
      <w:pPr>
        <w:spacing w:after="0"/>
      </w:pPr>
      <w:r>
        <w:separator/>
      </w:r>
    </w:p>
  </w:endnote>
  <w:endnote w:type="continuationSeparator" w:id="0">
    <w:p w14:paraId="4A20E78E" w14:textId="77777777" w:rsidR="00A31F83" w:rsidRDefault="00A31F83" w:rsidP="006B6B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GungsuhChe">
    <w:altName w:val="Arial Unicode MS"/>
    <w:charset w:val="81"/>
    <w:family w:val="modern"/>
    <w:pitch w:val="fixed"/>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E371B" w14:textId="77777777" w:rsidR="00314F56" w:rsidRDefault="00314F56" w:rsidP="009762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04DF12" w14:textId="77777777" w:rsidR="00314F56" w:rsidRDefault="00314F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6CD81" w14:textId="77777777" w:rsidR="00314F56" w:rsidRDefault="00314F56" w:rsidP="009762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5930">
      <w:rPr>
        <w:rStyle w:val="PageNumber"/>
        <w:noProof/>
      </w:rPr>
      <w:t>20</w:t>
    </w:r>
    <w:r>
      <w:rPr>
        <w:rStyle w:val="PageNumber"/>
      </w:rPr>
      <w:fldChar w:fldCharType="end"/>
    </w:r>
  </w:p>
  <w:p w14:paraId="6356BA95" w14:textId="77777777" w:rsidR="00314F56" w:rsidRDefault="00314F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F5F07" w14:textId="77777777" w:rsidR="00A31F83" w:rsidRDefault="00A31F83" w:rsidP="006B6B50">
      <w:pPr>
        <w:spacing w:after="0"/>
      </w:pPr>
      <w:r>
        <w:separator/>
      </w:r>
    </w:p>
  </w:footnote>
  <w:footnote w:type="continuationSeparator" w:id="0">
    <w:p w14:paraId="6D4CD3CB" w14:textId="77777777" w:rsidR="00A31F83" w:rsidRDefault="00A31F83" w:rsidP="006B6B5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47257"/>
    <w:multiLevelType w:val="hybridMultilevel"/>
    <w:tmpl w:val="F18AE32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0A3A78"/>
    <w:multiLevelType w:val="hybridMultilevel"/>
    <w:tmpl w:val="A70E4268"/>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70664BA8"/>
    <w:multiLevelType w:val="hybridMultilevel"/>
    <w:tmpl w:val="43DC9A2E"/>
    <w:lvl w:ilvl="0" w:tplc="62D04CD2">
      <w:start w:val="1"/>
      <w:numFmt w:val="bullet"/>
      <w:lvlText w:val="•"/>
      <w:lvlJc w:val="left"/>
      <w:pPr>
        <w:tabs>
          <w:tab w:val="num" w:pos="720"/>
        </w:tabs>
        <w:ind w:left="720" w:hanging="360"/>
      </w:pPr>
      <w:rPr>
        <w:rFonts w:ascii="Arial" w:hAnsi="Arial" w:hint="default"/>
      </w:rPr>
    </w:lvl>
    <w:lvl w:ilvl="1" w:tplc="731A3D46" w:tentative="1">
      <w:start w:val="1"/>
      <w:numFmt w:val="bullet"/>
      <w:lvlText w:val="•"/>
      <w:lvlJc w:val="left"/>
      <w:pPr>
        <w:tabs>
          <w:tab w:val="num" w:pos="1440"/>
        </w:tabs>
        <w:ind w:left="1440" w:hanging="360"/>
      </w:pPr>
      <w:rPr>
        <w:rFonts w:ascii="Arial" w:hAnsi="Arial" w:hint="default"/>
      </w:rPr>
    </w:lvl>
    <w:lvl w:ilvl="2" w:tplc="0F30F682" w:tentative="1">
      <w:start w:val="1"/>
      <w:numFmt w:val="bullet"/>
      <w:lvlText w:val="•"/>
      <w:lvlJc w:val="left"/>
      <w:pPr>
        <w:tabs>
          <w:tab w:val="num" w:pos="2160"/>
        </w:tabs>
        <w:ind w:left="2160" w:hanging="360"/>
      </w:pPr>
      <w:rPr>
        <w:rFonts w:ascii="Arial" w:hAnsi="Arial" w:hint="default"/>
      </w:rPr>
    </w:lvl>
    <w:lvl w:ilvl="3" w:tplc="8C5E90B6" w:tentative="1">
      <w:start w:val="1"/>
      <w:numFmt w:val="bullet"/>
      <w:lvlText w:val="•"/>
      <w:lvlJc w:val="left"/>
      <w:pPr>
        <w:tabs>
          <w:tab w:val="num" w:pos="2880"/>
        </w:tabs>
        <w:ind w:left="2880" w:hanging="360"/>
      </w:pPr>
      <w:rPr>
        <w:rFonts w:ascii="Arial" w:hAnsi="Arial" w:hint="default"/>
      </w:rPr>
    </w:lvl>
    <w:lvl w:ilvl="4" w:tplc="3C1452EC" w:tentative="1">
      <w:start w:val="1"/>
      <w:numFmt w:val="bullet"/>
      <w:lvlText w:val="•"/>
      <w:lvlJc w:val="left"/>
      <w:pPr>
        <w:tabs>
          <w:tab w:val="num" w:pos="3600"/>
        </w:tabs>
        <w:ind w:left="3600" w:hanging="360"/>
      </w:pPr>
      <w:rPr>
        <w:rFonts w:ascii="Arial" w:hAnsi="Arial" w:hint="default"/>
      </w:rPr>
    </w:lvl>
    <w:lvl w:ilvl="5" w:tplc="9F368208" w:tentative="1">
      <w:start w:val="1"/>
      <w:numFmt w:val="bullet"/>
      <w:lvlText w:val="•"/>
      <w:lvlJc w:val="left"/>
      <w:pPr>
        <w:tabs>
          <w:tab w:val="num" w:pos="4320"/>
        </w:tabs>
        <w:ind w:left="4320" w:hanging="360"/>
      </w:pPr>
      <w:rPr>
        <w:rFonts w:ascii="Arial" w:hAnsi="Arial" w:hint="default"/>
      </w:rPr>
    </w:lvl>
    <w:lvl w:ilvl="6" w:tplc="CDF6042E" w:tentative="1">
      <w:start w:val="1"/>
      <w:numFmt w:val="bullet"/>
      <w:lvlText w:val="•"/>
      <w:lvlJc w:val="left"/>
      <w:pPr>
        <w:tabs>
          <w:tab w:val="num" w:pos="5040"/>
        </w:tabs>
        <w:ind w:left="5040" w:hanging="360"/>
      </w:pPr>
      <w:rPr>
        <w:rFonts w:ascii="Arial" w:hAnsi="Arial" w:hint="default"/>
      </w:rPr>
    </w:lvl>
    <w:lvl w:ilvl="7" w:tplc="CA14FF30" w:tentative="1">
      <w:start w:val="1"/>
      <w:numFmt w:val="bullet"/>
      <w:lvlText w:val="•"/>
      <w:lvlJc w:val="left"/>
      <w:pPr>
        <w:tabs>
          <w:tab w:val="num" w:pos="5760"/>
        </w:tabs>
        <w:ind w:left="5760" w:hanging="360"/>
      </w:pPr>
      <w:rPr>
        <w:rFonts w:ascii="Arial" w:hAnsi="Arial" w:hint="default"/>
      </w:rPr>
    </w:lvl>
    <w:lvl w:ilvl="8" w:tplc="57663E5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2va0xtrhtt957eww0dpas0hdxwxdp5p5fdx&quot;&gt;CDabril06&lt;record-ids&gt;&lt;item&gt;473&lt;/item&gt;&lt;item&gt;2008&lt;/item&gt;&lt;item&gt;2014&lt;/item&gt;&lt;item&gt;2113&lt;/item&gt;&lt;item&gt;2637&lt;/item&gt;&lt;item&gt;17942&lt;/item&gt;&lt;item&gt;18860&lt;/item&gt;&lt;item&gt;18864&lt;/item&gt;&lt;item&gt;19846&lt;/item&gt;&lt;item&gt;20182&lt;/item&gt;&lt;item&gt;20236&lt;/item&gt;&lt;item&gt;20888&lt;/item&gt;&lt;item&gt;20892&lt;/item&gt;&lt;item&gt;21652&lt;/item&gt;&lt;item&gt;22250&lt;/item&gt;&lt;item&gt;22553&lt;/item&gt;&lt;item&gt;22668&lt;/item&gt;&lt;item&gt;22811&lt;/item&gt;&lt;item&gt;22843&lt;/item&gt;&lt;item&gt;22973&lt;/item&gt;&lt;item&gt;23210&lt;/item&gt;&lt;item&gt;23240&lt;/item&gt;&lt;item&gt;24118&lt;/item&gt;&lt;item&gt;24356&lt;/item&gt;&lt;item&gt;24703&lt;/item&gt;&lt;item&gt;25037&lt;/item&gt;&lt;item&gt;25848&lt;/item&gt;&lt;item&gt;25941&lt;/item&gt;&lt;item&gt;25999&lt;/item&gt;&lt;item&gt;26007&lt;/item&gt;&lt;item&gt;26013&lt;/item&gt;&lt;item&gt;26015&lt;/item&gt;&lt;item&gt;26016&lt;/item&gt;&lt;item&gt;26017&lt;/item&gt;&lt;item&gt;26018&lt;/item&gt;&lt;item&gt;26021&lt;/item&gt;&lt;item&gt;26129&lt;/item&gt;&lt;item&gt;26169&lt;/item&gt;&lt;item&gt;26187&lt;/item&gt;&lt;item&gt;26217&lt;/item&gt;&lt;/record-ids&gt;&lt;/item&gt;&lt;/Libraries&gt;"/>
  </w:docVars>
  <w:rsids>
    <w:rsidRoot w:val="005F0550"/>
    <w:rsid w:val="00000693"/>
    <w:rsid w:val="00002AAC"/>
    <w:rsid w:val="000044A0"/>
    <w:rsid w:val="00005425"/>
    <w:rsid w:val="0000784D"/>
    <w:rsid w:val="00011014"/>
    <w:rsid w:val="000134CC"/>
    <w:rsid w:val="00014684"/>
    <w:rsid w:val="00017C86"/>
    <w:rsid w:val="0002616D"/>
    <w:rsid w:val="000342F5"/>
    <w:rsid w:val="000361CA"/>
    <w:rsid w:val="000438B2"/>
    <w:rsid w:val="000448B2"/>
    <w:rsid w:val="00044B10"/>
    <w:rsid w:val="00047250"/>
    <w:rsid w:val="00047357"/>
    <w:rsid w:val="000677AC"/>
    <w:rsid w:val="00071362"/>
    <w:rsid w:val="000715A2"/>
    <w:rsid w:val="00073597"/>
    <w:rsid w:val="000756DF"/>
    <w:rsid w:val="00084332"/>
    <w:rsid w:val="00084FCB"/>
    <w:rsid w:val="00085477"/>
    <w:rsid w:val="00093505"/>
    <w:rsid w:val="000A0EF0"/>
    <w:rsid w:val="000B362D"/>
    <w:rsid w:val="000B379B"/>
    <w:rsid w:val="000B627A"/>
    <w:rsid w:val="000C32C6"/>
    <w:rsid w:val="000C6EA9"/>
    <w:rsid w:val="000D0447"/>
    <w:rsid w:val="000D1A81"/>
    <w:rsid w:val="000D5B63"/>
    <w:rsid w:val="000D6B9E"/>
    <w:rsid w:val="000E29AD"/>
    <w:rsid w:val="000E4282"/>
    <w:rsid w:val="000E6543"/>
    <w:rsid w:val="000F5337"/>
    <w:rsid w:val="000F62E5"/>
    <w:rsid w:val="00102BA6"/>
    <w:rsid w:val="00102C73"/>
    <w:rsid w:val="0010764D"/>
    <w:rsid w:val="00111046"/>
    <w:rsid w:val="00115973"/>
    <w:rsid w:val="00120238"/>
    <w:rsid w:val="00123BEA"/>
    <w:rsid w:val="001248E5"/>
    <w:rsid w:val="0013357D"/>
    <w:rsid w:val="00133CFC"/>
    <w:rsid w:val="00141B74"/>
    <w:rsid w:val="00145A6D"/>
    <w:rsid w:val="00147830"/>
    <w:rsid w:val="001518D6"/>
    <w:rsid w:val="00170F3B"/>
    <w:rsid w:val="00193B4D"/>
    <w:rsid w:val="00194BAC"/>
    <w:rsid w:val="001A097A"/>
    <w:rsid w:val="001A2D32"/>
    <w:rsid w:val="001A3D49"/>
    <w:rsid w:val="001B1E5F"/>
    <w:rsid w:val="001B3F4C"/>
    <w:rsid w:val="001C37BF"/>
    <w:rsid w:val="001C4B04"/>
    <w:rsid w:val="001C6BA9"/>
    <w:rsid w:val="001D2FA9"/>
    <w:rsid w:val="001D3299"/>
    <w:rsid w:val="001D3DF5"/>
    <w:rsid w:val="001D4867"/>
    <w:rsid w:val="001D6554"/>
    <w:rsid w:val="001E37ED"/>
    <w:rsid w:val="001F373A"/>
    <w:rsid w:val="001F3E95"/>
    <w:rsid w:val="001F6FD4"/>
    <w:rsid w:val="0020173C"/>
    <w:rsid w:val="002071A2"/>
    <w:rsid w:val="002202B4"/>
    <w:rsid w:val="0022665A"/>
    <w:rsid w:val="00230056"/>
    <w:rsid w:val="00232888"/>
    <w:rsid w:val="00235781"/>
    <w:rsid w:val="002359C3"/>
    <w:rsid w:val="00236DD5"/>
    <w:rsid w:val="0024323F"/>
    <w:rsid w:val="00254690"/>
    <w:rsid w:val="00257E41"/>
    <w:rsid w:val="00260309"/>
    <w:rsid w:val="00265ECC"/>
    <w:rsid w:val="00267430"/>
    <w:rsid w:val="002720B4"/>
    <w:rsid w:val="00275006"/>
    <w:rsid w:val="002754B5"/>
    <w:rsid w:val="00280101"/>
    <w:rsid w:val="00286D3A"/>
    <w:rsid w:val="002939D9"/>
    <w:rsid w:val="002B3A33"/>
    <w:rsid w:val="002C03B3"/>
    <w:rsid w:val="002C1FE2"/>
    <w:rsid w:val="002C4E8B"/>
    <w:rsid w:val="002D4505"/>
    <w:rsid w:val="002D582C"/>
    <w:rsid w:val="002D64BC"/>
    <w:rsid w:val="002E569F"/>
    <w:rsid w:val="002E78EA"/>
    <w:rsid w:val="002F24BD"/>
    <w:rsid w:val="002F7E77"/>
    <w:rsid w:val="00300D23"/>
    <w:rsid w:val="00307162"/>
    <w:rsid w:val="00307D56"/>
    <w:rsid w:val="0031190D"/>
    <w:rsid w:val="00311938"/>
    <w:rsid w:val="00312626"/>
    <w:rsid w:val="00314F56"/>
    <w:rsid w:val="00325373"/>
    <w:rsid w:val="00325842"/>
    <w:rsid w:val="003262DE"/>
    <w:rsid w:val="003279E5"/>
    <w:rsid w:val="00331997"/>
    <w:rsid w:val="0033286D"/>
    <w:rsid w:val="003329A4"/>
    <w:rsid w:val="00336405"/>
    <w:rsid w:val="003368F9"/>
    <w:rsid w:val="00341DAA"/>
    <w:rsid w:val="003435AA"/>
    <w:rsid w:val="003466B2"/>
    <w:rsid w:val="0034670B"/>
    <w:rsid w:val="00347854"/>
    <w:rsid w:val="00347BF6"/>
    <w:rsid w:val="00347EA4"/>
    <w:rsid w:val="00361F11"/>
    <w:rsid w:val="00365F7F"/>
    <w:rsid w:val="00366609"/>
    <w:rsid w:val="00375E86"/>
    <w:rsid w:val="00377F12"/>
    <w:rsid w:val="003903EF"/>
    <w:rsid w:val="0039287B"/>
    <w:rsid w:val="00392B26"/>
    <w:rsid w:val="003967CC"/>
    <w:rsid w:val="003976CD"/>
    <w:rsid w:val="003A0BE9"/>
    <w:rsid w:val="003A30C7"/>
    <w:rsid w:val="003B0440"/>
    <w:rsid w:val="003B15EB"/>
    <w:rsid w:val="003B19FE"/>
    <w:rsid w:val="003B458D"/>
    <w:rsid w:val="003C03DE"/>
    <w:rsid w:val="003C582E"/>
    <w:rsid w:val="003D133C"/>
    <w:rsid w:val="003D2637"/>
    <w:rsid w:val="003D3853"/>
    <w:rsid w:val="003D40EB"/>
    <w:rsid w:val="003D5C7A"/>
    <w:rsid w:val="003E28FE"/>
    <w:rsid w:val="003E7D16"/>
    <w:rsid w:val="003F6BE9"/>
    <w:rsid w:val="00412B7E"/>
    <w:rsid w:val="00413456"/>
    <w:rsid w:val="00431E65"/>
    <w:rsid w:val="00434E11"/>
    <w:rsid w:val="004364A4"/>
    <w:rsid w:val="00447B91"/>
    <w:rsid w:val="004501E4"/>
    <w:rsid w:val="00451F01"/>
    <w:rsid w:val="00453E0B"/>
    <w:rsid w:val="00456A98"/>
    <w:rsid w:val="0045766A"/>
    <w:rsid w:val="004711BC"/>
    <w:rsid w:val="0049252A"/>
    <w:rsid w:val="004A13A7"/>
    <w:rsid w:val="004A262B"/>
    <w:rsid w:val="004B1030"/>
    <w:rsid w:val="004B3E97"/>
    <w:rsid w:val="004C0753"/>
    <w:rsid w:val="004D6FE4"/>
    <w:rsid w:val="004D709C"/>
    <w:rsid w:val="004F16EE"/>
    <w:rsid w:val="004F2A2C"/>
    <w:rsid w:val="004F6A37"/>
    <w:rsid w:val="004F7ECB"/>
    <w:rsid w:val="00500FFC"/>
    <w:rsid w:val="00501386"/>
    <w:rsid w:val="00504FEB"/>
    <w:rsid w:val="00506508"/>
    <w:rsid w:val="00506528"/>
    <w:rsid w:val="0051172E"/>
    <w:rsid w:val="00517B4A"/>
    <w:rsid w:val="00517B8E"/>
    <w:rsid w:val="00520569"/>
    <w:rsid w:val="00522B85"/>
    <w:rsid w:val="00522E17"/>
    <w:rsid w:val="005230C4"/>
    <w:rsid w:val="005249CC"/>
    <w:rsid w:val="0052763F"/>
    <w:rsid w:val="005309ED"/>
    <w:rsid w:val="00534567"/>
    <w:rsid w:val="005372E3"/>
    <w:rsid w:val="0053736A"/>
    <w:rsid w:val="00542F68"/>
    <w:rsid w:val="00545204"/>
    <w:rsid w:val="005557C0"/>
    <w:rsid w:val="00560BE4"/>
    <w:rsid w:val="00563709"/>
    <w:rsid w:val="005659E0"/>
    <w:rsid w:val="00574154"/>
    <w:rsid w:val="00581743"/>
    <w:rsid w:val="005851C2"/>
    <w:rsid w:val="00586568"/>
    <w:rsid w:val="0059687C"/>
    <w:rsid w:val="005A5A2F"/>
    <w:rsid w:val="005A5A31"/>
    <w:rsid w:val="005B2612"/>
    <w:rsid w:val="005D44BF"/>
    <w:rsid w:val="005D4D49"/>
    <w:rsid w:val="005D5F91"/>
    <w:rsid w:val="005E4E70"/>
    <w:rsid w:val="005E5B7F"/>
    <w:rsid w:val="005E5B9A"/>
    <w:rsid w:val="005E6154"/>
    <w:rsid w:val="005F0550"/>
    <w:rsid w:val="005F1CE4"/>
    <w:rsid w:val="005F2636"/>
    <w:rsid w:val="005F4184"/>
    <w:rsid w:val="00603151"/>
    <w:rsid w:val="006033B7"/>
    <w:rsid w:val="00606962"/>
    <w:rsid w:val="006120EB"/>
    <w:rsid w:val="00613BA1"/>
    <w:rsid w:val="00614319"/>
    <w:rsid w:val="00614B51"/>
    <w:rsid w:val="00615845"/>
    <w:rsid w:val="006175F5"/>
    <w:rsid w:val="00621446"/>
    <w:rsid w:val="00625650"/>
    <w:rsid w:val="00625DD2"/>
    <w:rsid w:val="0062617D"/>
    <w:rsid w:val="006271A8"/>
    <w:rsid w:val="00634CD3"/>
    <w:rsid w:val="00636338"/>
    <w:rsid w:val="0064500D"/>
    <w:rsid w:val="006502AB"/>
    <w:rsid w:val="00651102"/>
    <w:rsid w:val="006527BA"/>
    <w:rsid w:val="00655025"/>
    <w:rsid w:val="00676D9B"/>
    <w:rsid w:val="0068120A"/>
    <w:rsid w:val="00684A60"/>
    <w:rsid w:val="006851B8"/>
    <w:rsid w:val="00687915"/>
    <w:rsid w:val="00690D57"/>
    <w:rsid w:val="00693C13"/>
    <w:rsid w:val="006966CB"/>
    <w:rsid w:val="006A2EEB"/>
    <w:rsid w:val="006A2F82"/>
    <w:rsid w:val="006A7C30"/>
    <w:rsid w:val="006B1DA2"/>
    <w:rsid w:val="006B2677"/>
    <w:rsid w:val="006B6B50"/>
    <w:rsid w:val="006C0B09"/>
    <w:rsid w:val="006C1DCE"/>
    <w:rsid w:val="006D2A08"/>
    <w:rsid w:val="006D304F"/>
    <w:rsid w:val="006D3462"/>
    <w:rsid w:val="006F03FB"/>
    <w:rsid w:val="006F042C"/>
    <w:rsid w:val="006F4144"/>
    <w:rsid w:val="00700246"/>
    <w:rsid w:val="0070089A"/>
    <w:rsid w:val="00703AC1"/>
    <w:rsid w:val="00704CB7"/>
    <w:rsid w:val="00707104"/>
    <w:rsid w:val="0071178B"/>
    <w:rsid w:val="0071300B"/>
    <w:rsid w:val="00724A32"/>
    <w:rsid w:val="00725784"/>
    <w:rsid w:val="0073235B"/>
    <w:rsid w:val="00732BF5"/>
    <w:rsid w:val="00745A77"/>
    <w:rsid w:val="00747EEF"/>
    <w:rsid w:val="00752005"/>
    <w:rsid w:val="00760A02"/>
    <w:rsid w:val="00761B7B"/>
    <w:rsid w:val="007636F2"/>
    <w:rsid w:val="00765922"/>
    <w:rsid w:val="0078334D"/>
    <w:rsid w:val="00783C2D"/>
    <w:rsid w:val="00794476"/>
    <w:rsid w:val="0079706C"/>
    <w:rsid w:val="00797A16"/>
    <w:rsid w:val="007A3336"/>
    <w:rsid w:val="007A39E9"/>
    <w:rsid w:val="007A542F"/>
    <w:rsid w:val="007B3FBC"/>
    <w:rsid w:val="007C0E30"/>
    <w:rsid w:val="007C27EA"/>
    <w:rsid w:val="007D0A6B"/>
    <w:rsid w:val="007D4028"/>
    <w:rsid w:val="007E0FC6"/>
    <w:rsid w:val="007E1D76"/>
    <w:rsid w:val="007E20B0"/>
    <w:rsid w:val="007E4F3E"/>
    <w:rsid w:val="007E5201"/>
    <w:rsid w:val="007E71E3"/>
    <w:rsid w:val="007F5435"/>
    <w:rsid w:val="007F7CB2"/>
    <w:rsid w:val="00800308"/>
    <w:rsid w:val="00803287"/>
    <w:rsid w:val="00812C92"/>
    <w:rsid w:val="00814179"/>
    <w:rsid w:val="00815B3D"/>
    <w:rsid w:val="0082372C"/>
    <w:rsid w:val="008257F5"/>
    <w:rsid w:val="00825E7E"/>
    <w:rsid w:val="008263FD"/>
    <w:rsid w:val="008312D7"/>
    <w:rsid w:val="00835639"/>
    <w:rsid w:val="00846BD1"/>
    <w:rsid w:val="00847EF4"/>
    <w:rsid w:val="0085227A"/>
    <w:rsid w:val="0085265C"/>
    <w:rsid w:val="008572BD"/>
    <w:rsid w:val="00860B92"/>
    <w:rsid w:val="008612B5"/>
    <w:rsid w:val="008619EB"/>
    <w:rsid w:val="0086625D"/>
    <w:rsid w:val="0088152C"/>
    <w:rsid w:val="00884E30"/>
    <w:rsid w:val="00887D1E"/>
    <w:rsid w:val="00891B85"/>
    <w:rsid w:val="00891EAE"/>
    <w:rsid w:val="00894DBD"/>
    <w:rsid w:val="00896172"/>
    <w:rsid w:val="00897D51"/>
    <w:rsid w:val="008A63D2"/>
    <w:rsid w:val="008A7F9C"/>
    <w:rsid w:val="008B1402"/>
    <w:rsid w:val="008B5F6B"/>
    <w:rsid w:val="008C18BA"/>
    <w:rsid w:val="008C7794"/>
    <w:rsid w:val="008D07A5"/>
    <w:rsid w:val="008D0A0E"/>
    <w:rsid w:val="008D21ED"/>
    <w:rsid w:val="008D681B"/>
    <w:rsid w:val="008D6C41"/>
    <w:rsid w:val="008E18C4"/>
    <w:rsid w:val="008E5030"/>
    <w:rsid w:val="008E68AD"/>
    <w:rsid w:val="008E6A0B"/>
    <w:rsid w:val="008F0592"/>
    <w:rsid w:val="0090014E"/>
    <w:rsid w:val="0090390A"/>
    <w:rsid w:val="009041C6"/>
    <w:rsid w:val="009060A3"/>
    <w:rsid w:val="009154E2"/>
    <w:rsid w:val="00917F68"/>
    <w:rsid w:val="00923FF4"/>
    <w:rsid w:val="00943A52"/>
    <w:rsid w:val="00943A8C"/>
    <w:rsid w:val="00944810"/>
    <w:rsid w:val="009560C8"/>
    <w:rsid w:val="00956619"/>
    <w:rsid w:val="00960C85"/>
    <w:rsid w:val="00965571"/>
    <w:rsid w:val="0097049F"/>
    <w:rsid w:val="00975B07"/>
    <w:rsid w:val="0097623E"/>
    <w:rsid w:val="00977A18"/>
    <w:rsid w:val="009827BC"/>
    <w:rsid w:val="00982ED9"/>
    <w:rsid w:val="00983B37"/>
    <w:rsid w:val="0098490C"/>
    <w:rsid w:val="00990600"/>
    <w:rsid w:val="00993C4E"/>
    <w:rsid w:val="00995C66"/>
    <w:rsid w:val="00996005"/>
    <w:rsid w:val="009A0FFC"/>
    <w:rsid w:val="009A5366"/>
    <w:rsid w:val="009A6F08"/>
    <w:rsid w:val="009B14C7"/>
    <w:rsid w:val="009B56D8"/>
    <w:rsid w:val="009B6BC2"/>
    <w:rsid w:val="009C2E1D"/>
    <w:rsid w:val="009C4D96"/>
    <w:rsid w:val="009C6E9B"/>
    <w:rsid w:val="009F1E31"/>
    <w:rsid w:val="009F20F2"/>
    <w:rsid w:val="009F7B2C"/>
    <w:rsid w:val="009F7FAA"/>
    <w:rsid w:val="00A0160F"/>
    <w:rsid w:val="00A01753"/>
    <w:rsid w:val="00A023EF"/>
    <w:rsid w:val="00A046A0"/>
    <w:rsid w:val="00A1148D"/>
    <w:rsid w:val="00A1287B"/>
    <w:rsid w:val="00A13553"/>
    <w:rsid w:val="00A15730"/>
    <w:rsid w:val="00A161E6"/>
    <w:rsid w:val="00A20448"/>
    <w:rsid w:val="00A20807"/>
    <w:rsid w:val="00A24A57"/>
    <w:rsid w:val="00A31F83"/>
    <w:rsid w:val="00A3205C"/>
    <w:rsid w:val="00A35BDE"/>
    <w:rsid w:val="00A36A51"/>
    <w:rsid w:val="00A46101"/>
    <w:rsid w:val="00A567F8"/>
    <w:rsid w:val="00A61210"/>
    <w:rsid w:val="00A67F0F"/>
    <w:rsid w:val="00A7144E"/>
    <w:rsid w:val="00A75830"/>
    <w:rsid w:val="00A7763C"/>
    <w:rsid w:val="00A7764F"/>
    <w:rsid w:val="00A807F4"/>
    <w:rsid w:val="00A831BA"/>
    <w:rsid w:val="00A83817"/>
    <w:rsid w:val="00A83BAC"/>
    <w:rsid w:val="00A87295"/>
    <w:rsid w:val="00A876DF"/>
    <w:rsid w:val="00A87C65"/>
    <w:rsid w:val="00A91709"/>
    <w:rsid w:val="00A94435"/>
    <w:rsid w:val="00A945E5"/>
    <w:rsid w:val="00A94756"/>
    <w:rsid w:val="00AA11E4"/>
    <w:rsid w:val="00AA69B7"/>
    <w:rsid w:val="00AA6C49"/>
    <w:rsid w:val="00AC0EB1"/>
    <w:rsid w:val="00AC0ED4"/>
    <w:rsid w:val="00AC167C"/>
    <w:rsid w:val="00AC3C0C"/>
    <w:rsid w:val="00AD1702"/>
    <w:rsid w:val="00AD6E68"/>
    <w:rsid w:val="00AD706A"/>
    <w:rsid w:val="00AE046E"/>
    <w:rsid w:val="00AF0F66"/>
    <w:rsid w:val="00AF282D"/>
    <w:rsid w:val="00AF3A26"/>
    <w:rsid w:val="00AF4663"/>
    <w:rsid w:val="00AF4BFA"/>
    <w:rsid w:val="00B1579E"/>
    <w:rsid w:val="00B15B11"/>
    <w:rsid w:val="00B15C0A"/>
    <w:rsid w:val="00B16A8E"/>
    <w:rsid w:val="00B17FA3"/>
    <w:rsid w:val="00B2476C"/>
    <w:rsid w:val="00B2582E"/>
    <w:rsid w:val="00B3307D"/>
    <w:rsid w:val="00B369F9"/>
    <w:rsid w:val="00B4069E"/>
    <w:rsid w:val="00B47C46"/>
    <w:rsid w:val="00B55930"/>
    <w:rsid w:val="00B55F35"/>
    <w:rsid w:val="00B85A1D"/>
    <w:rsid w:val="00B864FE"/>
    <w:rsid w:val="00B86BE4"/>
    <w:rsid w:val="00B87FC9"/>
    <w:rsid w:val="00B97D67"/>
    <w:rsid w:val="00B97DBD"/>
    <w:rsid w:val="00BA6C4C"/>
    <w:rsid w:val="00BA729F"/>
    <w:rsid w:val="00BB565F"/>
    <w:rsid w:val="00BB58B7"/>
    <w:rsid w:val="00BB6ABF"/>
    <w:rsid w:val="00BF1A3E"/>
    <w:rsid w:val="00BF4BFC"/>
    <w:rsid w:val="00BF7DF0"/>
    <w:rsid w:val="00C07A24"/>
    <w:rsid w:val="00C10A7B"/>
    <w:rsid w:val="00C11CA3"/>
    <w:rsid w:val="00C16F70"/>
    <w:rsid w:val="00C17BD7"/>
    <w:rsid w:val="00C213FC"/>
    <w:rsid w:val="00C32F1E"/>
    <w:rsid w:val="00C33C6F"/>
    <w:rsid w:val="00C408CC"/>
    <w:rsid w:val="00C40F65"/>
    <w:rsid w:val="00C43ED4"/>
    <w:rsid w:val="00C53D90"/>
    <w:rsid w:val="00C57051"/>
    <w:rsid w:val="00C619BC"/>
    <w:rsid w:val="00C65B97"/>
    <w:rsid w:val="00C664EF"/>
    <w:rsid w:val="00C704B8"/>
    <w:rsid w:val="00C75995"/>
    <w:rsid w:val="00C77918"/>
    <w:rsid w:val="00C855D5"/>
    <w:rsid w:val="00C878D8"/>
    <w:rsid w:val="00C926C0"/>
    <w:rsid w:val="00CA5B64"/>
    <w:rsid w:val="00CA7657"/>
    <w:rsid w:val="00CB5623"/>
    <w:rsid w:val="00CC0FD1"/>
    <w:rsid w:val="00CC41FB"/>
    <w:rsid w:val="00CD05DC"/>
    <w:rsid w:val="00CD3D78"/>
    <w:rsid w:val="00CE4419"/>
    <w:rsid w:val="00CE682A"/>
    <w:rsid w:val="00CF2576"/>
    <w:rsid w:val="00CF3A37"/>
    <w:rsid w:val="00CF6D00"/>
    <w:rsid w:val="00D01EE1"/>
    <w:rsid w:val="00D021F1"/>
    <w:rsid w:val="00D04435"/>
    <w:rsid w:val="00D07888"/>
    <w:rsid w:val="00D129E8"/>
    <w:rsid w:val="00D14598"/>
    <w:rsid w:val="00D219FB"/>
    <w:rsid w:val="00D22A02"/>
    <w:rsid w:val="00D22D7A"/>
    <w:rsid w:val="00D27029"/>
    <w:rsid w:val="00D27952"/>
    <w:rsid w:val="00D44934"/>
    <w:rsid w:val="00D44C9A"/>
    <w:rsid w:val="00D45A17"/>
    <w:rsid w:val="00D5116E"/>
    <w:rsid w:val="00D537CC"/>
    <w:rsid w:val="00D56EA3"/>
    <w:rsid w:val="00D62780"/>
    <w:rsid w:val="00D72C43"/>
    <w:rsid w:val="00D72F19"/>
    <w:rsid w:val="00D77A96"/>
    <w:rsid w:val="00D8130F"/>
    <w:rsid w:val="00D83BC3"/>
    <w:rsid w:val="00D86534"/>
    <w:rsid w:val="00D90D95"/>
    <w:rsid w:val="00DA055B"/>
    <w:rsid w:val="00DA2B1C"/>
    <w:rsid w:val="00DA3991"/>
    <w:rsid w:val="00DA659D"/>
    <w:rsid w:val="00DA6B83"/>
    <w:rsid w:val="00DB1780"/>
    <w:rsid w:val="00DB4217"/>
    <w:rsid w:val="00DC4670"/>
    <w:rsid w:val="00DC4BA3"/>
    <w:rsid w:val="00DC7060"/>
    <w:rsid w:val="00DD40C8"/>
    <w:rsid w:val="00DD7804"/>
    <w:rsid w:val="00DE040D"/>
    <w:rsid w:val="00DE518C"/>
    <w:rsid w:val="00DE6275"/>
    <w:rsid w:val="00DF3E13"/>
    <w:rsid w:val="00E07BD4"/>
    <w:rsid w:val="00E129AD"/>
    <w:rsid w:val="00E12F67"/>
    <w:rsid w:val="00E179FA"/>
    <w:rsid w:val="00E200FB"/>
    <w:rsid w:val="00E2037D"/>
    <w:rsid w:val="00E23456"/>
    <w:rsid w:val="00E250BF"/>
    <w:rsid w:val="00E31DB6"/>
    <w:rsid w:val="00E37F25"/>
    <w:rsid w:val="00E404F1"/>
    <w:rsid w:val="00E412F4"/>
    <w:rsid w:val="00E4172E"/>
    <w:rsid w:val="00E43BAA"/>
    <w:rsid w:val="00E46EFC"/>
    <w:rsid w:val="00E5775B"/>
    <w:rsid w:val="00E64363"/>
    <w:rsid w:val="00E709C7"/>
    <w:rsid w:val="00E72609"/>
    <w:rsid w:val="00E742EF"/>
    <w:rsid w:val="00E75BA6"/>
    <w:rsid w:val="00E75C28"/>
    <w:rsid w:val="00E802E9"/>
    <w:rsid w:val="00EA308B"/>
    <w:rsid w:val="00EA3953"/>
    <w:rsid w:val="00EA3BFD"/>
    <w:rsid w:val="00EA5129"/>
    <w:rsid w:val="00EA5799"/>
    <w:rsid w:val="00EA7AC6"/>
    <w:rsid w:val="00EB1711"/>
    <w:rsid w:val="00EB3542"/>
    <w:rsid w:val="00EC38DD"/>
    <w:rsid w:val="00EC4D39"/>
    <w:rsid w:val="00EC6A58"/>
    <w:rsid w:val="00EC7FD4"/>
    <w:rsid w:val="00ED1D6F"/>
    <w:rsid w:val="00ED46E6"/>
    <w:rsid w:val="00ED514F"/>
    <w:rsid w:val="00ED6540"/>
    <w:rsid w:val="00EE1B8E"/>
    <w:rsid w:val="00EF6322"/>
    <w:rsid w:val="00F0449F"/>
    <w:rsid w:val="00F05A2F"/>
    <w:rsid w:val="00F06F0A"/>
    <w:rsid w:val="00F13C1D"/>
    <w:rsid w:val="00F150B0"/>
    <w:rsid w:val="00F15A49"/>
    <w:rsid w:val="00F16767"/>
    <w:rsid w:val="00F2457C"/>
    <w:rsid w:val="00F2469B"/>
    <w:rsid w:val="00F31EE3"/>
    <w:rsid w:val="00F34EB1"/>
    <w:rsid w:val="00F366B8"/>
    <w:rsid w:val="00F4105C"/>
    <w:rsid w:val="00F44B14"/>
    <w:rsid w:val="00F525C6"/>
    <w:rsid w:val="00F6173B"/>
    <w:rsid w:val="00F71496"/>
    <w:rsid w:val="00F74487"/>
    <w:rsid w:val="00F77624"/>
    <w:rsid w:val="00F776B0"/>
    <w:rsid w:val="00F87129"/>
    <w:rsid w:val="00F909F7"/>
    <w:rsid w:val="00F927FF"/>
    <w:rsid w:val="00FA0B24"/>
    <w:rsid w:val="00FA6E87"/>
    <w:rsid w:val="00FB62B3"/>
    <w:rsid w:val="00FC2897"/>
    <w:rsid w:val="00FC315E"/>
    <w:rsid w:val="00FC53F0"/>
    <w:rsid w:val="00FD3AD4"/>
    <w:rsid w:val="00FD466B"/>
    <w:rsid w:val="00FE0E31"/>
    <w:rsid w:val="00FF51E8"/>
    <w:rsid w:val="00FF588C"/>
    <w:rsid w:val="00FF6A29"/>
  </w:rsids>
  <m:mathPr>
    <m:mathFont m:val="Cambria Math"/>
    <m:brkBin m:val="before"/>
    <m:brkBinSub m:val="--"/>
    <m:smallFrac/>
    <m:dispDef/>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AC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962"/>
    <w:rPr>
      <w:color w:val="0000FF" w:themeColor="hyperlink"/>
      <w:u w:val="single"/>
    </w:rPr>
  </w:style>
  <w:style w:type="table" w:styleId="TableGrid">
    <w:name w:val="Table Grid"/>
    <w:basedOn w:val="TableNormal"/>
    <w:uiPriority w:val="59"/>
    <w:rsid w:val="00B15C0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6DF"/>
    <w:pPr>
      <w:ind w:left="720"/>
      <w:contextualSpacing/>
    </w:pPr>
  </w:style>
  <w:style w:type="paragraph" w:styleId="Footer">
    <w:name w:val="footer"/>
    <w:basedOn w:val="Normal"/>
    <w:link w:val="FooterChar"/>
    <w:uiPriority w:val="99"/>
    <w:unhideWhenUsed/>
    <w:rsid w:val="006B6B50"/>
    <w:pPr>
      <w:tabs>
        <w:tab w:val="center" w:pos="4252"/>
        <w:tab w:val="right" w:pos="8504"/>
      </w:tabs>
      <w:spacing w:after="0"/>
    </w:pPr>
  </w:style>
  <w:style w:type="character" w:customStyle="1" w:styleId="FooterChar">
    <w:name w:val="Footer Char"/>
    <w:basedOn w:val="DefaultParagraphFont"/>
    <w:link w:val="Footer"/>
    <w:uiPriority w:val="99"/>
    <w:rsid w:val="006B6B50"/>
  </w:style>
  <w:style w:type="character" w:styleId="PageNumber">
    <w:name w:val="page number"/>
    <w:basedOn w:val="DefaultParagraphFont"/>
    <w:uiPriority w:val="99"/>
    <w:semiHidden/>
    <w:unhideWhenUsed/>
    <w:rsid w:val="006B6B50"/>
  </w:style>
  <w:style w:type="character" w:styleId="LineNumber">
    <w:name w:val="line number"/>
    <w:basedOn w:val="DefaultParagraphFont"/>
    <w:uiPriority w:val="99"/>
    <w:semiHidden/>
    <w:unhideWhenUsed/>
    <w:rsid w:val="008D0A0E"/>
  </w:style>
  <w:style w:type="paragraph" w:styleId="BalloonText">
    <w:name w:val="Balloon Text"/>
    <w:basedOn w:val="Normal"/>
    <w:link w:val="BalloonTextChar"/>
    <w:uiPriority w:val="99"/>
    <w:semiHidden/>
    <w:unhideWhenUsed/>
    <w:rsid w:val="00F7149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496"/>
    <w:rPr>
      <w:rFonts w:ascii="Lucida Grande" w:hAnsi="Lucida Grande" w:cs="Lucida Grande"/>
      <w:sz w:val="18"/>
      <w:szCs w:val="18"/>
    </w:rPr>
  </w:style>
  <w:style w:type="character" w:styleId="CommentReference">
    <w:name w:val="annotation reference"/>
    <w:basedOn w:val="DefaultParagraphFont"/>
    <w:uiPriority w:val="99"/>
    <w:semiHidden/>
    <w:unhideWhenUsed/>
    <w:rsid w:val="00897D51"/>
    <w:rPr>
      <w:sz w:val="16"/>
      <w:szCs w:val="16"/>
    </w:rPr>
  </w:style>
  <w:style w:type="paragraph" w:styleId="CommentText">
    <w:name w:val="annotation text"/>
    <w:basedOn w:val="Normal"/>
    <w:link w:val="CommentTextChar"/>
    <w:uiPriority w:val="99"/>
    <w:unhideWhenUsed/>
    <w:rsid w:val="0068120A"/>
    <w:rPr>
      <w:sz w:val="20"/>
      <w:szCs w:val="20"/>
      <w:lang w:val="en-US"/>
    </w:rPr>
  </w:style>
  <w:style w:type="character" w:customStyle="1" w:styleId="CommentTextChar">
    <w:name w:val="Comment Text Char"/>
    <w:basedOn w:val="DefaultParagraphFont"/>
    <w:link w:val="CommentText"/>
    <w:uiPriority w:val="99"/>
    <w:rsid w:val="0068120A"/>
    <w:rPr>
      <w:sz w:val="20"/>
      <w:szCs w:val="20"/>
      <w:lang w:val="en-US"/>
    </w:rPr>
  </w:style>
  <w:style w:type="paragraph" w:styleId="CommentSubject">
    <w:name w:val="annotation subject"/>
    <w:basedOn w:val="CommentText"/>
    <w:next w:val="CommentText"/>
    <w:link w:val="CommentSubjectChar"/>
    <w:uiPriority w:val="99"/>
    <w:semiHidden/>
    <w:unhideWhenUsed/>
    <w:rsid w:val="00897D51"/>
    <w:rPr>
      <w:b/>
      <w:bCs/>
    </w:rPr>
  </w:style>
  <w:style w:type="character" w:customStyle="1" w:styleId="CommentSubjectChar">
    <w:name w:val="Comment Subject Char"/>
    <w:basedOn w:val="CommentTextChar"/>
    <w:link w:val="CommentSubject"/>
    <w:uiPriority w:val="99"/>
    <w:semiHidden/>
    <w:rsid w:val="00897D51"/>
    <w:rPr>
      <w:b/>
      <w:bCs/>
      <w:sz w:val="20"/>
      <w:szCs w:val="20"/>
      <w:lang w:val="en-US"/>
    </w:rPr>
  </w:style>
  <w:style w:type="paragraph" w:styleId="Header">
    <w:name w:val="header"/>
    <w:basedOn w:val="Normal"/>
    <w:link w:val="HeaderChar"/>
    <w:uiPriority w:val="99"/>
    <w:unhideWhenUsed/>
    <w:rsid w:val="00C779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77918"/>
    <w:rPr>
      <w:sz w:val="18"/>
      <w:szCs w:val="18"/>
    </w:rPr>
  </w:style>
  <w:style w:type="character" w:styleId="Emphasis">
    <w:name w:val="Emphasis"/>
    <w:qFormat/>
    <w:rsid w:val="00B5593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962"/>
    <w:rPr>
      <w:color w:val="0000FF" w:themeColor="hyperlink"/>
      <w:u w:val="single"/>
    </w:rPr>
  </w:style>
  <w:style w:type="table" w:styleId="TableGrid">
    <w:name w:val="Table Grid"/>
    <w:basedOn w:val="TableNormal"/>
    <w:uiPriority w:val="59"/>
    <w:rsid w:val="00B15C0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6DF"/>
    <w:pPr>
      <w:ind w:left="720"/>
      <w:contextualSpacing/>
    </w:pPr>
  </w:style>
  <w:style w:type="paragraph" w:styleId="Footer">
    <w:name w:val="footer"/>
    <w:basedOn w:val="Normal"/>
    <w:link w:val="FooterChar"/>
    <w:uiPriority w:val="99"/>
    <w:unhideWhenUsed/>
    <w:rsid w:val="006B6B50"/>
    <w:pPr>
      <w:tabs>
        <w:tab w:val="center" w:pos="4252"/>
        <w:tab w:val="right" w:pos="8504"/>
      </w:tabs>
      <w:spacing w:after="0"/>
    </w:pPr>
  </w:style>
  <w:style w:type="character" w:customStyle="1" w:styleId="FooterChar">
    <w:name w:val="Footer Char"/>
    <w:basedOn w:val="DefaultParagraphFont"/>
    <w:link w:val="Footer"/>
    <w:uiPriority w:val="99"/>
    <w:rsid w:val="006B6B50"/>
  </w:style>
  <w:style w:type="character" w:styleId="PageNumber">
    <w:name w:val="page number"/>
    <w:basedOn w:val="DefaultParagraphFont"/>
    <w:uiPriority w:val="99"/>
    <w:semiHidden/>
    <w:unhideWhenUsed/>
    <w:rsid w:val="006B6B50"/>
  </w:style>
  <w:style w:type="character" w:styleId="LineNumber">
    <w:name w:val="line number"/>
    <w:basedOn w:val="DefaultParagraphFont"/>
    <w:uiPriority w:val="99"/>
    <w:semiHidden/>
    <w:unhideWhenUsed/>
    <w:rsid w:val="008D0A0E"/>
  </w:style>
  <w:style w:type="paragraph" w:styleId="BalloonText">
    <w:name w:val="Balloon Text"/>
    <w:basedOn w:val="Normal"/>
    <w:link w:val="BalloonTextChar"/>
    <w:uiPriority w:val="99"/>
    <w:semiHidden/>
    <w:unhideWhenUsed/>
    <w:rsid w:val="00F7149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496"/>
    <w:rPr>
      <w:rFonts w:ascii="Lucida Grande" w:hAnsi="Lucida Grande" w:cs="Lucida Grande"/>
      <w:sz w:val="18"/>
      <w:szCs w:val="18"/>
    </w:rPr>
  </w:style>
  <w:style w:type="character" w:styleId="CommentReference">
    <w:name w:val="annotation reference"/>
    <w:basedOn w:val="DefaultParagraphFont"/>
    <w:uiPriority w:val="99"/>
    <w:semiHidden/>
    <w:unhideWhenUsed/>
    <w:rsid w:val="00897D51"/>
    <w:rPr>
      <w:sz w:val="16"/>
      <w:szCs w:val="16"/>
    </w:rPr>
  </w:style>
  <w:style w:type="paragraph" w:styleId="CommentText">
    <w:name w:val="annotation text"/>
    <w:basedOn w:val="Normal"/>
    <w:link w:val="CommentTextChar"/>
    <w:uiPriority w:val="99"/>
    <w:unhideWhenUsed/>
    <w:rsid w:val="0068120A"/>
    <w:rPr>
      <w:sz w:val="20"/>
      <w:szCs w:val="20"/>
      <w:lang w:val="en-US"/>
    </w:rPr>
  </w:style>
  <w:style w:type="character" w:customStyle="1" w:styleId="CommentTextChar">
    <w:name w:val="Comment Text Char"/>
    <w:basedOn w:val="DefaultParagraphFont"/>
    <w:link w:val="CommentText"/>
    <w:uiPriority w:val="99"/>
    <w:rsid w:val="0068120A"/>
    <w:rPr>
      <w:sz w:val="20"/>
      <w:szCs w:val="20"/>
      <w:lang w:val="en-US"/>
    </w:rPr>
  </w:style>
  <w:style w:type="paragraph" w:styleId="CommentSubject">
    <w:name w:val="annotation subject"/>
    <w:basedOn w:val="CommentText"/>
    <w:next w:val="CommentText"/>
    <w:link w:val="CommentSubjectChar"/>
    <w:uiPriority w:val="99"/>
    <w:semiHidden/>
    <w:unhideWhenUsed/>
    <w:rsid w:val="00897D51"/>
    <w:rPr>
      <w:b/>
      <w:bCs/>
    </w:rPr>
  </w:style>
  <w:style w:type="character" w:customStyle="1" w:styleId="CommentSubjectChar">
    <w:name w:val="Comment Subject Char"/>
    <w:basedOn w:val="CommentTextChar"/>
    <w:link w:val="CommentSubject"/>
    <w:uiPriority w:val="99"/>
    <w:semiHidden/>
    <w:rsid w:val="00897D51"/>
    <w:rPr>
      <w:b/>
      <w:bCs/>
      <w:sz w:val="20"/>
      <w:szCs w:val="20"/>
      <w:lang w:val="en-US"/>
    </w:rPr>
  </w:style>
  <w:style w:type="paragraph" w:styleId="Header">
    <w:name w:val="header"/>
    <w:basedOn w:val="Normal"/>
    <w:link w:val="HeaderChar"/>
    <w:uiPriority w:val="99"/>
    <w:unhideWhenUsed/>
    <w:rsid w:val="00C779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77918"/>
    <w:rPr>
      <w:sz w:val="18"/>
      <w:szCs w:val="18"/>
    </w:rPr>
  </w:style>
  <w:style w:type="character" w:styleId="Emphasis">
    <w:name w:val="Emphasis"/>
    <w:qFormat/>
    <w:rsid w:val="00B5593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80804">
      <w:bodyDiv w:val="1"/>
      <w:marLeft w:val="0"/>
      <w:marRight w:val="0"/>
      <w:marTop w:val="0"/>
      <w:marBottom w:val="0"/>
      <w:divBdr>
        <w:top w:val="none" w:sz="0" w:space="0" w:color="auto"/>
        <w:left w:val="none" w:sz="0" w:space="0" w:color="auto"/>
        <w:bottom w:val="none" w:sz="0" w:space="0" w:color="auto"/>
        <w:right w:val="none" w:sz="0" w:space="0" w:color="auto"/>
      </w:divBdr>
      <w:divsChild>
        <w:div w:id="695038693">
          <w:marLeft w:val="0"/>
          <w:marRight w:val="0"/>
          <w:marTop w:val="0"/>
          <w:marBottom w:val="0"/>
          <w:divBdr>
            <w:top w:val="none" w:sz="0" w:space="0" w:color="auto"/>
            <w:left w:val="none" w:sz="0" w:space="0" w:color="auto"/>
            <w:bottom w:val="none" w:sz="0" w:space="0" w:color="auto"/>
            <w:right w:val="none" w:sz="0" w:space="0" w:color="auto"/>
          </w:divBdr>
          <w:divsChild>
            <w:div w:id="564145119">
              <w:marLeft w:val="0"/>
              <w:marRight w:val="0"/>
              <w:marTop w:val="0"/>
              <w:marBottom w:val="0"/>
              <w:divBdr>
                <w:top w:val="none" w:sz="0" w:space="0" w:color="auto"/>
                <w:left w:val="none" w:sz="0" w:space="0" w:color="auto"/>
                <w:bottom w:val="none" w:sz="0" w:space="0" w:color="auto"/>
                <w:right w:val="none" w:sz="0" w:space="0" w:color="auto"/>
              </w:divBdr>
            </w:div>
            <w:div w:id="839975759">
              <w:marLeft w:val="0"/>
              <w:marRight w:val="0"/>
              <w:marTop w:val="0"/>
              <w:marBottom w:val="0"/>
              <w:divBdr>
                <w:top w:val="none" w:sz="0" w:space="0" w:color="auto"/>
                <w:left w:val="none" w:sz="0" w:space="0" w:color="auto"/>
                <w:bottom w:val="none" w:sz="0" w:space="0" w:color="auto"/>
                <w:right w:val="none" w:sz="0" w:space="0" w:color="auto"/>
              </w:divBdr>
            </w:div>
            <w:div w:id="1986155011">
              <w:marLeft w:val="0"/>
              <w:marRight w:val="0"/>
              <w:marTop w:val="0"/>
              <w:marBottom w:val="0"/>
              <w:divBdr>
                <w:top w:val="none" w:sz="0" w:space="0" w:color="auto"/>
                <w:left w:val="none" w:sz="0" w:space="0" w:color="auto"/>
                <w:bottom w:val="none" w:sz="0" w:space="0" w:color="auto"/>
                <w:right w:val="none" w:sz="0" w:space="0" w:color="auto"/>
              </w:divBdr>
            </w:div>
            <w:div w:id="1563710907">
              <w:marLeft w:val="0"/>
              <w:marRight w:val="0"/>
              <w:marTop w:val="0"/>
              <w:marBottom w:val="0"/>
              <w:divBdr>
                <w:top w:val="none" w:sz="0" w:space="0" w:color="auto"/>
                <w:left w:val="none" w:sz="0" w:space="0" w:color="auto"/>
                <w:bottom w:val="none" w:sz="0" w:space="0" w:color="auto"/>
                <w:right w:val="none" w:sz="0" w:space="0" w:color="auto"/>
              </w:divBdr>
            </w:div>
            <w:div w:id="179860677">
              <w:marLeft w:val="0"/>
              <w:marRight w:val="0"/>
              <w:marTop w:val="0"/>
              <w:marBottom w:val="0"/>
              <w:divBdr>
                <w:top w:val="none" w:sz="0" w:space="0" w:color="auto"/>
                <w:left w:val="none" w:sz="0" w:space="0" w:color="auto"/>
                <w:bottom w:val="none" w:sz="0" w:space="0" w:color="auto"/>
                <w:right w:val="none" w:sz="0" w:space="0" w:color="auto"/>
              </w:divBdr>
            </w:div>
            <w:div w:id="1555501211">
              <w:marLeft w:val="0"/>
              <w:marRight w:val="0"/>
              <w:marTop w:val="0"/>
              <w:marBottom w:val="0"/>
              <w:divBdr>
                <w:top w:val="none" w:sz="0" w:space="0" w:color="auto"/>
                <w:left w:val="none" w:sz="0" w:space="0" w:color="auto"/>
                <w:bottom w:val="none" w:sz="0" w:space="0" w:color="auto"/>
                <w:right w:val="none" w:sz="0" w:space="0" w:color="auto"/>
              </w:divBdr>
            </w:div>
            <w:div w:id="234241580">
              <w:marLeft w:val="0"/>
              <w:marRight w:val="0"/>
              <w:marTop w:val="0"/>
              <w:marBottom w:val="0"/>
              <w:divBdr>
                <w:top w:val="none" w:sz="0" w:space="0" w:color="auto"/>
                <w:left w:val="none" w:sz="0" w:space="0" w:color="auto"/>
                <w:bottom w:val="none" w:sz="0" w:space="0" w:color="auto"/>
                <w:right w:val="none" w:sz="0" w:space="0" w:color="auto"/>
              </w:divBdr>
            </w:div>
            <w:div w:id="716201698">
              <w:marLeft w:val="0"/>
              <w:marRight w:val="0"/>
              <w:marTop w:val="0"/>
              <w:marBottom w:val="0"/>
              <w:divBdr>
                <w:top w:val="none" w:sz="0" w:space="0" w:color="auto"/>
                <w:left w:val="none" w:sz="0" w:space="0" w:color="auto"/>
                <w:bottom w:val="none" w:sz="0" w:space="0" w:color="auto"/>
                <w:right w:val="none" w:sz="0" w:space="0" w:color="auto"/>
              </w:divBdr>
            </w:div>
            <w:div w:id="711685391">
              <w:marLeft w:val="0"/>
              <w:marRight w:val="0"/>
              <w:marTop w:val="0"/>
              <w:marBottom w:val="0"/>
              <w:divBdr>
                <w:top w:val="none" w:sz="0" w:space="0" w:color="auto"/>
                <w:left w:val="none" w:sz="0" w:space="0" w:color="auto"/>
                <w:bottom w:val="none" w:sz="0" w:space="0" w:color="auto"/>
                <w:right w:val="none" w:sz="0" w:space="0" w:color="auto"/>
              </w:divBdr>
            </w:div>
            <w:div w:id="1880236606">
              <w:marLeft w:val="0"/>
              <w:marRight w:val="0"/>
              <w:marTop w:val="0"/>
              <w:marBottom w:val="0"/>
              <w:divBdr>
                <w:top w:val="none" w:sz="0" w:space="0" w:color="auto"/>
                <w:left w:val="none" w:sz="0" w:space="0" w:color="auto"/>
                <w:bottom w:val="none" w:sz="0" w:space="0" w:color="auto"/>
                <w:right w:val="none" w:sz="0" w:space="0" w:color="auto"/>
              </w:divBdr>
            </w:div>
            <w:div w:id="1064986396">
              <w:marLeft w:val="0"/>
              <w:marRight w:val="0"/>
              <w:marTop w:val="0"/>
              <w:marBottom w:val="0"/>
              <w:divBdr>
                <w:top w:val="none" w:sz="0" w:space="0" w:color="auto"/>
                <w:left w:val="none" w:sz="0" w:space="0" w:color="auto"/>
                <w:bottom w:val="none" w:sz="0" w:space="0" w:color="auto"/>
                <w:right w:val="none" w:sz="0" w:space="0" w:color="auto"/>
              </w:divBdr>
            </w:div>
            <w:div w:id="968827730">
              <w:marLeft w:val="0"/>
              <w:marRight w:val="0"/>
              <w:marTop w:val="0"/>
              <w:marBottom w:val="0"/>
              <w:divBdr>
                <w:top w:val="none" w:sz="0" w:space="0" w:color="auto"/>
                <w:left w:val="none" w:sz="0" w:space="0" w:color="auto"/>
                <w:bottom w:val="none" w:sz="0" w:space="0" w:color="auto"/>
                <w:right w:val="none" w:sz="0" w:space="0" w:color="auto"/>
              </w:divBdr>
            </w:div>
            <w:div w:id="235673555">
              <w:marLeft w:val="0"/>
              <w:marRight w:val="0"/>
              <w:marTop w:val="0"/>
              <w:marBottom w:val="0"/>
              <w:divBdr>
                <w:top w:val="none" w:sz="0" w:space="0" w:color="auto"/>
                <w:left w:val="none" w:sz="0" w:space="0" w:color="auto"/>
                <w:bottom w:val="none" w:sz="0" w:space="0" w:color="auto"/>
                <w:right w:val="none" w:sz="0" w:space="0" w:color="auto"/>
              </w:divBdr>
            </w:div>
            <w:div w:id="452795973">
              <w:marLeft w:val="0"/>
              <w:marRight w:val="0"/>
              <w:marTop w:val="0"/>
              <w:marBottom w:val="0"/>
              <w:divBdr>
                <w:top w:val="none" w:sz="0" w:space="0" w:color="auto"/>
                <w:left w:val="none" w:sz="0" w:space="0" w:color="auto"/>
                <w:bottom w:val="none" w:sz="0" w:space="0" w:color="auto"/>
                <w:right w:val="none" w:sz="0" w:space="0" w:color="auto"/>
              </w:divBdr>
            </w:div>
            <w:div w:id="1296791797">
              <w:marLeft w:val="0"/>
              <w:marRight w:val="0"/>
              <w:marTop w:val="0"/>
              <w:marBottom w:val="0"/>
              <w:divBdr>
                <w:top w:val="none" w:sz="0" w:space="0" w:color="auto"/>
                <w:left w:val="none" w:sz="0" w:space="0" w:color="auto"/>
                <w:bottom w:val="none" w:sz="0" w:space="0" w:color="auto"/>
                <w:right w:val="none" w:sz="0" w:space="0" w:color="auto"/>
              </w:divBdr>
            </w:div>
            <w:div w:id="1979723653">
              <w:marLeft w:val="0"/>
              <w:marRight w:val="0"/>
              <w:marTop w:val="0"/>
              <w:marBottom w:val="0"/>
              <w:divBdr>
                <w:top w:val="none" w:sz="0" w:space="0" w:color="auto"/>
                <w:left w:val="none" w:sz="0" w:space="0" w:color="auto"/>
                <w:bottom w:val="none" w:sz="0" w:space="0" w:color="auto"/>
                <w:right w:val="none" w:sz="0" w:space="0" w:color="auto"/>
              </w:divBdr>
            </w:div>
            <w:div w:id="198445169">
              <w:marLeft w:val="0"/>
              <w:marRight w:val="0"/>
              <w:marTop w:val="0"/>
              <w:marBottom w:val="0"/>
              <w:divBdr>
                <w:top w:val="none" w:sz="0" w:space="0" w:color="auto"/>
                <w:left w:val="none" w:sz="0" w:space="0" w:color="auto"/>
                <w:bottom w:val="none" w:sz="0" w:space="0" w:color="auto"/>
                <w:right w:val="none" w:sz="0" w:space="0" w:color="auto"/>
              </w:divBdr>
            </w:div>
            <w:div w:id="1345092970">
              <w:marLeft w:val="0"/>
              <w:marRight w:val="0"/>
              <w:marTop w:val="0"/>
              <w:marBottom w:val="0"/>
              <w:divBdr>
                <w:top w:val="none" w:sz="0" w:space="0" w:color="auto"/>
                <w:left w:val="none" w:sz="0" w:space="0" w:color="auto"/>
                <w:bottom w:val="none" w:sz="0" w:space="0" w:color="auto"/>
                <w:right w:val="none" w:sz="0" w:space="0" w:color="auto"/>
              </w:divBdr>
            </w:div>
            <w:div w:id="1869678296">
              <w:marLeft w:val="0"/>
              <w:marRight w:val="0"/>
              <w:marTop w:val="0"/>
              <w:marBottom w:val="0"/>
              <w:divBdr>
                <w:top w:val="none" w:sz="0" w:space="0" w:color="auto"/>
                <w:left w:val="none" w:sz="0" w:space="0" w:color="auto"/>
                <w:bottom w:val="none" w:sz="0" w:space="0" w:color="auto"/>
                <w:right w:val="none" w:sz="0" w:space="0" w:color="auto"/>
              </w:divBdr>
            </w:div>
            <w:div w:id="548341070">
              <w:marLeft w:val="0"/>
              <w:marRight w:val="0"/>
              <w:marTop w:val="0"/>
              <w:marBottom w:val="0"/>
              <w:divBdr>
                <w:top w:val="none" w:sz="0" w:space="0" w:color="auto"/>
                <w:left w:val="none" w:sz="0" w:space="0" w:color="auto"/>
                <w:bottom w:val="none" w:sz="0" w:space="0" w:color="auto"/>
                <w:right w:val="none" w:sz="0" w:space="0" w:color="auto"/>
              </w:divBdr>
            </w:div>
            <w:div w:id="60714230">
              <w:marLeft w:val="0"/>
              <w:marRight w:val="0"/>
              <w:marTop w:val="0"/>
              <w:marBottom w:val="0"/>
              <w:divBdr>
                <w:top w:val="none" w:sz="0" w:space="0" w:color="auto"/>
                <w:left w:val="none" w:sz="0" w:space="0" w:color="auto"/>
                <w:bottom w:val="none" w:sz="0" w:space="0" w:color="auto"/>
                <w:right w:val="none" w:sz="0" w:space="0" w:color="auto"/>
              </w:divBdr>
            </w:div>
            <w:div w:id="1066805546">
              <w:marLeft w:val="0"/>
              <w:marRight w:val="0"/>
              <w:marTop w:val="0"/>
              <w:marBottom w:val="0"/>
              <w:divBdr>
                <w:top w:val="none" w:sz="0" w:space="0" w:color="auto"/>
                <w:left w:val="none" w:sz="0" w:space="0" w:color="auto"/>
                <w:bottom w:val="none" w:sz="0" w:space="0" w:color="auto"/>
                <w:right w:val="none" w:sz="0" w:space="0" w:color="auto"/>
              </w:divBdr>
            </w:div>
            <w:div w:id="1459690155">
              <w:marLeft w:val="0"/>
              <w:marRight w:val="0"/>
              <w:marTop w:val="0"/>
              <w:marBottom w:val="0"/>
              <w:divBdr>
                <w:top w:val="none" w:sz="0" w:space="0" w:color="auto"/>
                <w:left w:val="none" w:sz="0" w:space="0" w:color="auto"/>
                <w:bottom w:val="none" w:sz="0" w:space="0" w:color="auto"/>
                <w:right w:val="none" w:sz="0" w:space="0" w:color="auto"/>
              </w:divBdr>
            </w:div>
            <w:div w:id="633677088">
              <w:marLeft w:val="0"/>
              <w:marRight w:val="0"/>
              <w:marTop w:val="0"/>
              <w:marBottom w:val="0"/>
              <w:divBdr>
                <w:top w:val="none" w:sz="0" w:space="0" w:color="auto"/>
                <w:left w:val="none" w:sz="0" w:space="0" w:color="auto"/>
                <w:bottom w:val="none" w:sz="0" w:space="0" w:color="auto"/>
                <w:right w:val="none" w:sz="0" w:space="0" w:color="auto"/>
              </w:divBdr>
            </w:div>
            <w:div w:id="1388139293">
              <w:marLeft w:val="0"/>
              <w:marRight w:val="0"/>
              <w:marTop w:val="0"/>
              <w:marBottom w:val="0"/>
              <w:divBdr>
                <w:top w:val="none" w:sz="0" w:space="0" w:color="auto"/>
                <w:left w:val="none" w:sz="0" w:space="0" w:color="auto"/>
                <w:bottom w:val="none" w:sz="0" w:space="0" w:color="auto"/>
                <w:right w:val="none" w:sz="0" w:space="0" w:color="auto"/>
              </w:divBdr>
            </w:div>
            <w:div w:id="550964977">
              <w:marLeft w:val="0"/>
              <w:marRight w:val="0"/>
              <w:marTop w:val="0"/>
              <w:marBottom w:val="0"/>
              <w:divBdr>
                <w:top w:val="none" w:sz="0" w:space="0" w:color="auto"/>
                <w:left w:val="none" w:sz="0" w:space="0" w:color="auto"/>
                <w:bottom w:val="none" w:sz="0" w:space="0" w:color="auto"/>
                <w:right w:val="none" w:sz="0" w:space="0" w:color="auto"/>
              </w:divBdr>
            </w:div>
            <w:div w:id="1266764695">
              <w:marLeft w:val="0"/>
              <w:marRight w:val="0"/>
              <w:marTop w:val="0"/>
              <w:marBottom w:val="0"/>
              <w:divBdr>
                <w:top w:val="none" w:sz="0" w:space="0" w:color="auto"/>
                <w:left w:val="none" w:sz="0" w:space="0" w:color="auto"/>
                <w:bottom w:val="none" w:sz="0" w:space="0" w:color="auto"/>
                <w:right w:val="none" w:sz="0" w:space="0" w:color="auto"/>
              </w:divBdr>
            </w:div>
            <w:div w:id="1844470145">
              <w:marLeft w:val="0"/>
              <w:marRight w:val="0"/>
              <w:marTop w:val="0"/>
              <w:marBottom w:val="0"/>
              <w:divBdr>
                <w:top w:val="none" w:sz="0" w:space="0" w:color="auto"/>
                <w:left w:val="none" w:sz="0" w:space="0" w:color="auto"/>
                <w:bottom w:val="none" w:sz="0" w:space="0" w:color="auto"/>
                <w:right w:val="none" w:sz="0" w:space="0" w:color="auto"/>
              </w:divBdr>
            </w:div>
            <w:div w:id="657538615">
              <w:marLeft w:val="0"/>
              <w:marRight w:val="0"/>
              <w:marTop w:val="0"/>
              <w:marBottom w:val="0"/>
              <w:divBdr>
                <w:top w:val="none" w:sz="0" w:space="0" w:color="auto"/>
                <w:left w:val="none" w:sz="0" w:space="0" w:color="auto"/>
                <w:bottom w:val="none" w:sz="0" w:space="0" w:color="auto"/>
                <w:right w:val="none" w:sz="0" w:space="0" w:color="auto"/>
              </w:divBdr>
            </w:div>
            <w:div w:id="1426994283">
              <w:marLeft w:val="0"/>
              <w:marRight w:val="0"/>
              <w:marTop w:val="0"/>
              <w:marBottom w:val="0"/>
              <w:divBdr>
                <w:top w:val="none" w:sz="0" w:space="0" w:color="auto"/>
                <w:left w:val="none" w:sz="0" w:space="0" w:color="auto"/>
                <w:bottom w:val="none" w:sz="0" w:space="0" w:color="auto"/>
                <w:right w:val="none" w:sz="0" w:space="0" w:color="auto"/>
              </w:divBdr>
            </w:div>
            <w:div w:id="227813056">
              <w:marLeft w:val="0"/>
              <w:marRight w:val="0"/>
              <w:marTop w:val="0"/>
              <w:marBottom w:val="0"/>
              <w:divBdr>
                <w:top w:val="none" w:sz="0" w:space="0" w:color="auto"/>
                <w:left w:val="none" w:sz="0" w:space="0" w:color="auto"/>
                <w:bottom w:val="none" w:sz="0" w:space="0" w:color="auto"/>
                <w:right w:val="none" w:sz="0" w:space="0" w:color="auto"/>
              </w:divBdr>
            </w:div>
            <w:div w:id="920260110">
              <w:marLeft w:val="0"/>
              <w:marRight w:val="0"/>
              <w:marTop w:val="0"/>
              <w:marBottom w:val="0"/>
              <w:divBdr>
                <w:top w:val="none" w:sz="0" w:space="0" w:color="auto"/>
                <w:left w:val="none" w:sz="0" w:space="0" w:color="auto"/>
                <w:bottom w:val="none" w:sz="0" w:space="0" w:color="auto"/>
                <w:right w:val="none" w:sz="0" w:space="0" w:color="auto"/>
              </w:divBdr>
            </w:div>
            <w:div w:id="1054307018">
              <w:marLeft w:val="0"/>
              <w:marRight w:val="0"/>
              <w:marTop w:val="0"/>
              <w:marBottom w:val="0"/>
              <w:divBdr>
                <w:top w:val="none" w:sz="0" w:space="0" w:color="auto"/>
                <w:left w:val="none" w:sz="0" w:space="0" w:color="auto"/>
                <w:bottom w:val="none" w:sz="0" w:space="0" w:color="auto"/>
                <w:right w:val="none" w:sz="0" w:space="0" w:color="auto"/>
              </w:divBdr>
            </w:div>
            <w:div w:id="1273246353">
              <w:marLeft w:val="0"/>
              <w:marRight w:val="0"/>
              <w:marTop w:val="0"/>
              <w:marBottom w:val="0"/>
              <w:divBdr>
                <w:top w:val="none" w:sz="0" w:space="0" w:color="auto"/>
                <w:left w:val="none" w:sz="0" w:space="0" w:color="auto"/>
                <w:bottom w:val="none" w:sz="0" w:space="0" w:color="auto"/>
                <w:right w:val="none" w:sz="0" w:space="0" w:color="auto"/>
              </w:divBdr>
            </w:div>
            <w:div w:id="1828400238">
              <w:marLeft w:val="0"/>
              <w:marRight w:val="0"/>
              <w:marTop w:val="0"/>
              <w:marBottom w:val="0"/>
              <w:divBdr>
                <w:top w:val="none" w:sz="0" w:space="0" w:color="auto"/>
                <w:left w:val="none" w:sz="0" w:space="0" w:color="auto"/>
                <w:bottom w:val="none" w:sz="0" w:space="0" w:color="auto"/>
                <w:right w:val="none" w:sz="0" w:space="0" w:color="auto"/>
              </w:divBdr>
            </w:div>
            <w:div w:id="326130446">
              <w:marLeft w:val="0"/>
              <w:marRight w:val="0"/>
              <w:marTop w:val="0"/>
              <w:marBottom w:val="0"/>
              <w:divBdr>
                <w:top w:val="none" w:sz="0" w:space="0" w:color="auto"/>
                <w:left w:val="none" w:sz="0" w:space="0" w:color="auto"/>
                <w:bottom w:val="none" w:sz="0" w:space="0" w:color="auto"/>
                <w:right w:val="none" w:sz="0" w:space="0" w:color="auto"/>
              </w:divBdr>
            </w:div>
            <w:div w:id="1284189048">
              <w:marLeft w:val="0"/>
              <w:marRight w:val="0"/>
              <w:marTop w:val="0"/>
              <w:marBottom w:val="0"/>
              <w:divBdr>
                <w:top w:val="none" w:sz="0" w:space="0" w:color="auto"/>
                <w:left w:val="none" w:sz="0" w:space="0" w:color="auto"/>
                <w:bottom w:val="none" w:sz="0" w:space="0" w:color="auto"/>
                <w:right w:val="none" w:sz="0" w:space="0" w:color="auto"/>
              </w:divBdr>
            </w:div>
            <w:div w:id="1047920679">
              <w:marLeft w:val="0"/>
              <w:marRight w:val="0"/>
              <w:marTop w:val="0"/>
              <w:marBottom w:val="0"/>
              <w:divBdr>
                <w:top w:val="none" w:sz="0" w:space="0" w:color="auto"/>
                <w:left w:val="none" w:sz="0" w:space="0" w:color="auto"/>
                <w:bottom w:val="none" w:sz="0" w:space="0" w:color="auto"/>
                <w:right w:val="none" w:sz="0" w:space="0" w:color="auto"/>
              </w:divBdr>
            </w:div>
            <w:div w:id="1850244242">
              <w:marLeft w:val="0"/>
              <w:marRight w:val="0"/>
              <w:marTop w:val="0"/>
              <w:marBottom w:val="0"/>
              <w:divBdr>
                <w:top w:val="none" w:sz="0" w:space="0" w:color="auto"/>
                <w:left w:val="none" w:sz="0" w:space="0" w:color="auto"/>
                <w:bottom w:val="none" w:sz="0" w:space="0" w:color="auto"/>
                <w:right w:val="none" w:sz="0" w:space="0" w:color="auto"/>
              </w:divBdr>
            </w:div>
            <w:div w:id="4702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694">
      <w:bodyDiv w:val="1"/>
      <w:marLeft w:val="0"/>
      <w:marRight w:val="0"/>
      <w:marTop w:val="0"/>
      <w:marBottom w:val="0"/>
      <w:divBdr>
        <w:top w:val="none" w:sz="0" w:space="0" w:color="auto"/>
        <w:left w:val="none" w:sz="0" w:space="0" w:color="auto"/>
        <w:bottom w:val="none" w:sz="0" w:space="0" w:color="auto"/>
        <w:right w:val="none" w:sz="0" w:space="0" w:color="auto"/>
      </w:divBdr>
      <w:divsChild>
        <w:div w:id="1735741375">
          <w:marLeft w:val="547"/>
          <w:marRight w:val="0"/>
          <w:marTop w:val="11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55" Type="http://schemas.microsoft.com/office/2011/relationships/commentsExtended" Target="commentsExtended.xml"/><Relationship Id="rId10" Type="http://schemas.openxmlformats.org/officeDocument/2006/relationships/hyperlink" Target="mailto:svivas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12600-213F-9D41-94AB-74DC8E41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4977</Words>
  <Characters>28373</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2015-10-13T05:29:00Z</dcterms:created>
  <dcterms:modified xsi:type="dcterms:W3CDTF">2015-10-13T05:29:00Z</dcterms:modified>
</cp:coreProperties>
</file>